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A1447" w14:textId="7198E77C" w:rsidR="00A52F9F" w:rsidRDefault="00472A07" w:rsidP="00A52F9F">
      <w:pPr>
        <w:jc w:val="center"/>
        <w:rPr>
          <w:rFonts w:ascii="Times New Roman" w:hAnsi="Times New Roman" w:cs="Times New Roman"/>
          <w:b/>
          <w:bCs/>
          <w:sz w:val="24"/>
          <w:szCs w:val="24"/>
        </w:rPr>
      </w:pPr>
      <w:r w:rsidRPr="00A93BAC">
        <w:rPr>
          <w:rFonts w:ascii="Times New Roman" w:hAnsi="Times New Roman" w:cs="Times New Roman"/>
          <w:b/>
          <w:bCs/>
          <w:sz w:val="24"/>
          <w:szCs w:val="24"/>
        </w:rPr>
        <w:t xml:space="preserve">Combined Effect of </w:t>
      </w:r>
      <w:r w:rsidR="006E25DD" w:rsidRPr="00A93BAC">
        <w:rPr>
          <w:rFonts w:ascii="Times New Roman" w:hAnsi="Times New Roman" w:cs="Times New Roman"/>
          <w:b/>
          <w:bCs/>
          <w:sz w:val="24"/>
          <w:szCs w:val="24"/>
        </w:rPr>
        <w:t xml:space="preserve">Diclosulam </w:t>
      </w:r>
      <w:r w:rsidRPr="00A93BAC">
        <w:rPr>
          <w:rFonts w:ascii="Times New Roman" w:hAnsi="Times New Roman" w:cs="Times New Roman"/>
          <w:b/>
          <w:bCs/>
          <w:sz w:val="24"/>
          <w:szCs w:val="24"/>
        </w:rPr>
        <w:t xml:space="preserve">0.9% + </w:t>
      </w:r>
      <w:r w:rsidR="006E25DD" w:rsidRPr="00A93BAC">
        <w:rPr>
          <w:rFonts w:ascii="Times New Roman" w:hAnsi="Times New Roman" w:cs="Times New Roman"/>
          <w:b/>
          <w:bCs/>
          <w:sz w:val="24"/>
          <w:szCs w:val="24"/>
        </w:rPr>
        <w:t xml:space="preserve">Pendimethalin </w:t>
      </w:r>
      <w:r w:rsidRPr="00A93BAC">
        <w:rPr>
          <w:rFonts w:ascii="Times New Roman" w:hAnsi="Times New Roman" w:cs="Times New Roman"/>
          <w:b/>
          <w:bCs/>
          <w:sz w:val="24"/>
          <w:szCs w:val="24"/>
        </w:rPr>
        <w:t xml:space="preserve">35% </w:t>
      </w:r>
      <w:r w:rsidR="006E25DD" w:rsidRPr="00A93BAC">
        <w:rPr>
          <w:rFonts w:ascii="Times New Roman" w:hAnsi="Times New Roman" w:cs="Times New Roman"/>
          <w:b/>
          <w:bCs/>
          <w:sz w:val="24"/>
          <w:szCs w:val="24"/>
        </w:rPr>
        <w:t>SE</w:t>
      </w:r>
      <w:r w:rsidR="006E25DD" w:rsidRPr="00A93BAC">
        <w:rPr>
          <w:rFonts w:ascii="Times New Roman" w:hAnsi="Times New Roman" w:cs="Times New Roman"/>
          <w:b/>
          <w:bCs/>
          <w:sz w:val="24"/>
          <w:szCs w:val="24"/>
          <w:lang w:val="en-US"/>
        </w:rPr>
        <w:t xml:space="preserve"> </w:t>
      </w:r>
      <w:r w:rsidRPr="00A93BAC">
        <w:rPr>
          <w:rFonts w:ascii="Times New Roman" w:hAnsi="Times New Roman" w:cs="Times New Roman"/>
          <w:b/>
          <w:bCs/>
          <w:sz w:val="24"/>
          <w:szCs w:val="24"/>
        </w:rPr>
        <w:t>On Economic</w:t>
      </w:r>
      <w:r w:rsidR="00A56F36">
        <w:rPr>
          <w:rFonts w:ascii="Times New Roman" w:hAnsi="Times New Roman" w:cs="Times New Roman"/>
          <w:b/>
          <w:bCs/>
          <w:sz w:val="24"/>
          <w:szCs w:val="24"/>
        </w:rPr>
        <w:t xml:space="preserve">s </w:t>
      </w:r>
      <w:r w:rsidRPr="00A93BAC">
        <w:rPr>
          <w:rFonts w:ascii="Times New Roman" w:hAnsi="Times New Roman" w:cs="Times New Roman"/>
          <w:b/>
          <w:bCs/>
          <w:sz w:val="24"/>
          <w:szCs w:val="24"/>
        </w:rPr>
        <w:t xml:space="preserve">of Soybean Crop </w:t>
      </w:r>
    </w:p>
    <w:p w14:paraId="0EEBC7B7" w14:textId="40867B9D" w:rsidR="00472A07" w:rsidRPr="00A93BAC" w:rsidRDefault="00472A07" w:rsidP="00472A07">
      <w:pPr>
        <w:rPr>
          <w:rFonts w:ascii="Times New Roman" w:hAnsi="Times New Roman" w:cs="Times New Roman"/>
          <w:b/>
          <w:bCs/>
          <w:sz w:val="24"/>
          <w:szCs w:val="24"/>
        </w:rPr>
      </w:pPr>
      <w:r w:rsidRPr="00A93BAC">
        <w:rPr>
          <w:rFonts w:ascii="Times New Roman" w:hAnsi="Times New Roman" w:cs="Times New Roman"/>
          <w:b/>
          <w:bCs/>
          <w:sz w:val="24"/>
          <w:szCs w:val="24"/>
        </w:rPr>
        <w:t>Abstract</w:t>
      </w:r>
      <w:r w:rsidR="00AF59CE">
        <w:rPr>
          <w:rFonts w:ascii="Times New Roman" w:hAnsi="Times New Roman" w:cs="Times New Roman"/>
          <w:b/>
          <w:bCs/>
          <w:sz w:val="24"/>
          <w:szCs w:val="24"/>
        </w:rPr>
        <w:t xml:space="preserve"> </w:t>
      </w:r>
    </w:p>
    <w:p w14:paraId="2185904B" w14:textId="0D6C87B2" w:rsidR="00594A6B" w:rsidRPr="00B37B3D" w:rsidRDefault="006A59B2" w:rsidP="00594A6B">
      <w:pPr>
        <w:pStyle w:val="Style12"/>
        <w:spacing w:before="120" w:line="360" w:lineRule="auto"/>
        <w:rPr>
          <w:rFonts w:ascii="Times New Roman" w:hAnsi="Times New Roman" w:cs="Times New Roman"/>
        </w:rPr>
      </w:pPr>
      <w:r w:rsidRPr="006A59B2">
        <w:rPr>
          <w:rFonts w:ascii="Times New Roman" w:eastAsia="Calibri" w:hAnsi="Times New Roman" w:cs="Times New Roman"/>
        </w:rPr>
        <w:t>A field experiment was executed at the BSP Unit, Department of Agronomy, Jawaharlal Nehru Krishi Vishwa Vidyalaya, Jabalpur (M.P.)</w:t>
      </w:r>
      <w:r w:rsidR="00B37B3D">
        <w:rPr>
          <w:rFonts w:ascii="Times New Roman" w:eastAsia="Calibri" w:hAnsi="Times New Roman" w:cs="Times New Roman"/>
        </w:rPr>
        <w:t xml:space="preserve"> </w:t>
      </w:r>
      <w:r w:rsidR="00B37B3D" w:rsidRPr="006A59B2">
        <w:rPr>
          <w:rFonts w:ascii="Times New Roman" w:eastAsia="Calibri" w:hAnsi="Times New Roman" w:cs="Times New Roman"/>
        </w:rPr>
        <w:t xml:space="preserve">in the </w:t>
      </w:r>
      <w:r w:rsidR="00B37B3D" w:rsidRPr="00B37B3D">
        <w:rPr>
          <w:rFonts w:ascii="Times New Roman" w:eastAsia="Calibri" w:hAnsi="Times New Roman" w:cs="Times New Roman"/>
          <w:i/>
          <w:iCs/>
          <w:highlight w:val="yellow"/>
        </w:rPr>
        <w:t>Kharif</w:t>
      </w:r>
      <w:r w:rsidR="00B37B3D" w:rsidRPr="006A59B2">
        <w:rPr>
          <w:rFonts w:ascii="Times New Roman" w:eastAsia="Calibri" w:hAnsi="Times New Roman" w:cs="Times New Roman"/>
        </w:rPr>
        <w:t xml:space="preserve"> season of 2019</w:t>
      </w:r>
      <w:r w:rsidR="00B37B3D">
        <w:rPr>
          <w:rFonts w:ascii="Times New Roman" w:eastAsia="Calibri" w:hAnsi="Times New Roman" w:cs="Times New Roman"/>
        </w:rPr>
        <w:t>-20</w:t>
      </w:r>
      <w:r w:rsidRPr="006A59B2">
        <w:rPr>
          <w:rFonts w:ascii="Times New Roman" w:eastAsia="Calibri" w:hAnsi="Times New Roman" w:cs="Times New Roman"/>
        </w:rPr>
        <w:t>.</w:t>
      </w:r>
      <w:r w:rsidR="004F68FD">
        <w:rPr>
          <w:rFonts w:ascii="Times New Roman" w:eastAsia="Calibri" w:hAnsi="Times New Roman" w:cs="Times New Roman"/>
        </w:rPr>
        <w:t xml:space="preserve"> </w:t>
      </w:r>
      <w:r w:rsidRPr="006A59B2">
        <w:rPr>
          <w:rFonts w:ascii="Times New Roman" w:eastAsia="Calibri" w:hAnsi="Times New Roman" w:cs="Times New Roman"/>
        </w:rPr>
        <w:t>Eleven weed control treatments were arranged in a Randomized Block Design with three replications.</w:t>
      </w:r>
      <w:r w:rsidR="00594A6B">
        <w:rPr>
          <w:rFonts w:ascii="Times New Roman" w:eastAsia="Calibri" w:hAnsi="Times New Roman" w:cs="Times New Roman"/>
        </w:rPr>
        <w:t xml:space="preserve"> </w:t>
      </w:r>
      <w:r w:rsidR="00594A6B" w:rsidRPr="00594A6B">
        <w:rPr>
          <w:rFonts w:ascii="Times New Roman" w:hAnsi="Times New Roman" w:cs="Times New Roman"/>
        </w:rPr>
        <w:t>The study demonstrated that the application of Diclosulam 0.9% + Pendimethalin 35% SE at 22.5 + 875 g ha</w:t>
      </w:r>
      <w:r w:rsidR="00594A6B" w:rsidRPr="00B37B3D">
        <w:rPr>
          <w:rFonts w:ascii="Times New Roman" w:hAnsi="Times New Roman" w:cs="Times New Roman"/>
          <w:highlight w:val="yellow"/>
          <w:vertAlign w:val="superscript"/>
        </w:rPr>
        <w:t>-1</w:t>
      </w:r>
      <w:r w:rsidR="00594A6B" w:rsidRPr="00B37B3D">
        <w:rPr>
          <w:rFonts w:ascii="Times New Roman" w:hAnsi="Times New Roman" w:cs="Times New Roman"/>
          <w:highlight w:val="yellow"/>
        </w:rPr>
        <w:t xml:space="preserve"> </w:t>
      </w:r>
      <w:r w:rsidR="00594A6B" w:rsidRPr="00594A6B">
        <w:rPr>
          <w:rFonts w:ascii="Times New Roman" w:hAnsi="Times New Roman" w:cs="Times New Roman"/>
        </w:rPr>
        <w:t>resulted in the highest net monetary return and benefit-cost ratio (37611 Rs and 2.00, respectively) compared to other treatments. Furthermore, this combined application achieved the greatest gross monetary return (Rs 75211 ha</w:t>
      </w:r>
      <w:r w:rsidR="00594A6B" w:rsidRPr="00B37B3D">
        <w:rPr>
          <w:rFonts w:ascii="Times New Roman" w:hAnsi="Times New Roman" w:cs="Times New Roman"/>
          <w:highlight w:val="yellow"/>
          <w:vertAlign w:val="superscript"/>
        </w:rPr>
        <w:t>-1</w:t>
      </w:r>
      <w:r w:rsidR="00594A6B" w:rsidRPr="00594A6B">
        <w:rPr>
          <w:rFonts w:ascii="Times New Roman" w:hAnsi="Times New Roman" w:cs="Times New Roman"/>
        </w:rPr>
        <w:t xml:space="preserve">), closely succeeded </w:t>
      </w:r>
      <w:r w:rsidR="00B37B3D" w:rsidRPr="00594A6B">
        <w:rPr>
          <w:rFonts w:ascii="Times New Roman" w:hAnsi="Times New Roman" w:cs="Times New Roman"/>
        </w:rPr>
        <w:t xml:space="preserve">by </w:t>
      </w:r>
      <w:r w:rsidR="00B37B3D">
        <w:rPr>
          <w:rFonts w:ascii="Times New Roman" w:hAnsi="Times New Roman" w:cs="Times New Roman"/>
        </w:rPr>
        <w:t>Diclosulam</w:t>
      </w:r>
      <w:r w:rsidR="00B37B3D" w:rsidRPr="00B37B3D">
        <w:rPr>
          <w:rFonts w:ascii="Times New Roman" w:hAnsi="Times New Roman" w:cs="Times New Roman"/>
          <w:color w:val="000000"/>
          <w:highlight w:val="yellow"/>
        </w:rPr>
        <w:t xml:space="preserve"> 0.9% + Pendimethalin 35% SE</w:t>
      </w:r>
      <w:r w:rsidR="00594A6B" w:rsidRPr="00594A6B">
        <w:rPr>
          <w:rFonts w:ascii="Times New Roman" w:hAnsi="Times New Roman" w:cs="Times New Roman"/>
        </w:rPr>
        <w:t>. The highest cultivation cost was observed under manual weeding done twice, amounting to Rs. 44325 ha</w:t>
      </w:r>
      <w:r w:rsidR="00594A6B" w:rsidRPr="00B37B3D">
        <w:rPr>
          <w:rFonts w:ascii="Times New Roman" w:hAnsi="Times New Roman" w:cs="Times New Roman"/>
          <w:highlight w:val="yellow"/>
          <w:vertAlign w:val="superscript"/>
        </w:rPr>
        <w:t>-1</w:t>
      </w:r>
      <w:r w:rsidR="00594A6B" w:rsidRPr="00594A6B">
        <w:rPr>
          <w:rFonts w:ascii="Times New Roman" w:hAnsi="Times New Roman" w:cs="Times New Roman"/>
        </w:rPr>
        <w:t>.</w:t>
      </w:r>
    </w:p>
    <w:p w14:paraId="2BDD2BBE" w14:textId="458AF895" w:rsidR="00C06D8F" w:rsidRPr="00A93BAC" w:rsidRDefault="00C06D8F" w:rsidP="00C06D8F">
      <w:pPr>
        <w:pStyle w:val="Style12"/>
        <w:widowControl/>
        <w:spacing w:before="120" w:line="360" w:lineRule="auto"/>
        <w:rPr>
          <w:rFonts w:ascii="Times New Roman" w:hAnsi="Times New Roman" w:cs="Times New Roman"/>
          <w:color w:val="000000"/>
        </w:rPr>
      </w:pPr>
      <w:r w:rsidRPr="00A93BAC">
        <w:rPr>
          <w:rStyle w:val="FontStyle100"/>
          <w:rFonts w:ascii="Times New Roman" w:eastAsiaTheme="majorEastAsia" w:hAnsi="Times New Roman" w:cs="Times New Roman"/>
          <w:b/>
          <w:bCs/>
          <w:sz w:val="24"/>
          <w:szCs w:val="24"/>
          <w:lang w:val="en-US" w:eastAsia="en-US"/>
        </w:rPr>
        <w:t xml:space="preserve">Keywords: </w:t>
      </w:r>
      <w:r w:rsidR="00413A2C" w:rsidRPr="00A93BAC">
        <w:rPr>
          <w:rStyle w:val="FontStyle100"/>
          <w:rFonts w:ascii="Times New Roman" w:eastAsiaTheme="majorEastAsia" w:hAnsi="Times New Roman" w:cs="Times New Roman"/>
          <w:sz w:val="24"/>
          <w:szCs w:val="24"/>
          <w:lang w:val="en-US" w:eastAsia="en-US"/>
        </w:rPr>
        <w:t>Soybean</w:t>
      </w:r>
      <w:r w:rsidR="00BB620D" w:rsidRPr="00A93BAC">
        <w:rPr>
          <w:rStyle w:val="FontStyle100"/>
          <w:rFonts w:ascii="Times New Roman" w:eastAsiaTheme="majorEastAsia" w:hAnsi="Times New Roman" w:cs="Times New Roman"/>
          <w:sz w:val="24"/>
          <w:szCs w:val="24"/>
          <w:lang w:val="en-US" w:eastAsia="en-US"/>
        </w:rPr>
        <w:t xml:space="preserve">, </w:t>
      </w:r>
      <w:r w:rsidR="00943D6C" w:rsidRPr="00A93BAC">
        <w:rPr>
          <w:rStyle w:val="FontStyle100"/>
          <w:rFonts w:ascii="Times New Roman" w:eastAsiaTheme="majorEastAsia" w:hAnsi="Times New Roman" w:cs="Times New Roman"/>
          <w:sz w:val="24"/>
          <w:szCs w:val="24"/>
          <w:lang w:val="en-US" w:eastAsia="en-US"/>
        </w:rPr>
        <w:t>weed management</w:t>
      </w:r>
      <w:r w:rsidR="00BB620D" w:rsidRPr="00A93BAC">
        <w:rPr>
          <w:rFonts w:ascii="Times New Roman" w:hAnsi="Times New Roman" w:cs="Times New Roman"/>
          <w:color w:val="000000"/>
        </w:rPr>
        <w:t>, Pre plant incorporation, GMR, NMR and B:C ratio</w:t>
      </w:r>
    </w:p>
    <w:p w14:paraId="1341920C" w14:textId="77777777" w:rsidR="005A22B4" w:rsidRDefault="005A22B4" w:rsidP="00C06D8F">
      <w:pPr>
        <w:pStyle w:val="Style12"/>
        <w:widowControl/>
        <w:spacing w:before="120" w:line="360" w:lineRule="auto"/>
        <w:rPr>
          <w:rFonts w:ascii="Times New Roman" w:hAnsi="Times New Roman" w:cs="Times New Roman"/>
          <w:b/>
          <w:bCs/>
          <w:color w:val="000000"/>
        </w:rPr>
        <w:sectPr w:rsidR="005A22B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42379047" w14:textId="42CAFC34" w:rsidR="00BB620D" w:rsidRPr="00A93BAC" w:rsidRDefault="00BB620D" w:rsidP="00C06D8F">
      <w:pPr>
        <w:pStyle w:val="Style12"/>
        <w:widowControl/>
        <w:spacing w:before="120" w:line="360" w:lineRule="auto"/>
        <w:rPr>
          <w:rFonts w:ascii="Times New Roman" w:hAnsi="Times New Roman" w:cs="Times New Roman"/>
          <w:b/>
          <w:bCs/>
          <w:lang w:val="en-US"/>
        </w:rPr>
      </w:pPr>
      <w:r w:rsidRPr="00A93BAC">
        <w:rPr>
          <w:rFonts w:ascii="Times New Roman" w:hAnsi="Times New Roman" w:cs="Times New Roman"/>
          <w:b/>
          <w:bCs/>
          <w:color w:val="000000"/>
        </w:rPr>
        <w:t>Introduction:</w:t>
      </w:r>
    </w:p>
    <w:p w14:paraId="2DF794E3" w14:textId="77777777" w:rsidR="009464C5" w:rsidRDefault="009464C5" w:rsidP="00A937F2">
      <w:pPr>
        <w:spacing w:before="120" w:after="120" w:line="360" w:lineRule="auto"/>
        <w:jc w:val="both"/>
        <w:rPr>
          <w:rFonts w:ascii="Times New Roman" w:hAnsi="Times New Roman" w:cs="Times New Roman"/>
          <w:sz w:val="24"/>
          <w:szCs w:val="24"/>
        </w:rPr>
        <w:sectPr w:rsidR="009464C5" w:rsidSect="005A22B4">
          <w:type w:val="continuous"/>
          <w:pgSz w:w="11906" w:h="16838"/>
          <w:pgMar w:top="1440" w:right="1440" w:bottom="1440" w:left="1440" w:header="708" w:footer="708" w:gutter="0"/>
          <w:cols w:space="708"/>
          <w:docGrid w:linePitch="360"/>
        </w:sectPr>
      </w:pPr>
    </w:p>
    <w:p w14:paraId="206A9765" w14:textId="6C52F419" w:rsidR="00A937F2" w:rsidRPr="00A937F2" w:rsidRDefault="00E7142D" w:rsidP="00A937F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w:t>
      </w:r>
      <w:r w:rsidR="00B84F68" w:rsidRPr="00B84F68">
        <w:rPr>
          <w:rFonts w:ascii="Times New Roman" w:hAnsi="Times New Roman" w:cs="Times New Roman"/>
          <w:sz w:val="24"/>
          <w:szCs w:val="24"/>
        </w:rPr>
        <w:t xml:space="preserve">Soybean </w:t>
      </w:r>
      <w:r w:rsidR="00B84F68" w:rsidRPr="00B37B3D">
        <w:rPr>
          <w:rFonts w:ascii="Times New Roman" w:hAnsi="Times New Roman" w:cs="Times New Roman"/>
          <w:i/>
          <w:iCs/>
          <w:sz w:val="24"/>
          <w:szCs w:val="24"/>
          <w:highlight w:val="yellow"/>
        </w:rPr>
        <w:t>(Glycine max</w:t>
      </w:r>
      <w:r w:rsidR="00B84F68" w:rsidRPr="00B84F68">
        <w:rPr>
          <w:rFonts w:ascii="Times New Roman" w:hAnsi="Times New Roman" w:cs="Times New Roman"/>
          <w:sz w:val="24"/>
          <w:szCs w:val="24"/>
        </w:rPr>
        <w:t xml:space="preserve"> (L.) Merrill) is a significant leguminous oilseed crop in the country, comprising over 50 percent of oilseeds and approximately 30 percent of the overall supply of all vegetable oils</w:t>
      </w:r>
      <w:r>
        <w:rPr>
          <w:rFonts w:ascii="Times New Roman" w:hAnsi="Times New Roman" w:cs="Times New Roman"/>
          <w:sz w:val="24"/>
          <w:szCs w:val="24"/>
        </w:rPr>
        <w:t>”</w:t>
      </w:r>
      <w:r w:rsidR="00B84F68" w:rsidRPr="00B84F68">
        <w:rPr>
          <w:rFonts w:ascii="Times New Roman" w:hAnsi="Times New Roman" w:cs="Times New Roman"/>
          <w:sz w:val="24"/>
          <w:szCs w:val="24"/>
        </w:rPr>
        <w:t xml:space="preserve"> (Tiwari, 2006). </w:t>
      </w:r>
      <w:r>
        <w:rPr>
          <w:rFonts w:ascii="Times New Roman" w:hAnsi="Times New Roman" w:cs="Times New Roman"/>
          <w:sz w:val="24"/>
          <w:szCs w:val="24"/>
        </w:rPr>
        <w:t>“</w:t>
      </w:r>
      <w:r w:rsidR="00B84F68" w:rsidRPr="00B84F68">
        <w:rPr>
          <w:rFonts w:ascii="Times New Roman" w:hAnsi="Times New Roman" w:cs="Times New Roman"/>
          <w:sz w:val="24"/>
          <w:szCs w:val="24"/>
        </w:rPr>
        <w:t xml:space="preserve">The crop has a special attribute of enhancing soil fertility in a cropping system by the biological nitrogen fixation. The crop thrives well in tropical and sub-tropical climate. Soybean is regarded as the "Miracle Crop," "Wonder Crop," or "Golden Bean" of the 21st century. It is originated to China and was imported to India in 1968 from the United States. </w:t>
      </w:r>
      <w:r w:rsidR="000D30A7" w:rsidRPr="000D30A7">
        <w:rPr>
          <w:rFonts w:ascii="Times New Roman" w:hAnsi="Times New Roman" w:cs="Times New Roman"/>
          <w:sz w:val="24"/>
          <w:szCs w:val="24"/>
        </w:rPr>
        <w:t xml:space="preserve">It has become a significant commercial crop in numerous nations. Soybean seed comprises 20 percent oil, 40 percent protein, 30 percent carbs, 4 percent saponins, 5 percent fiber, and is devoid of cholesterol. It enhances soil fertility by fixing substantial quantities of nitrogen and by the integration of leaf at maturity. Currently, it is regarded as the most significant industrial crop both nationally and globally. </w:t>
      </w:r>
      <w:r w:rsidR="00072298" w:rsidRPr="00072298">
        <w:rPr>
          <w:rFonts w:ascii="Times New Roman" w:hAnsi="Times New Roman" w:cs="Times New Roman"/>
          <w:sz w:val="24"/>
          <w:szCs w:val="24"/>
        </w:rPr>
        <w:t xml:space="preserve">It possesses extensive geographical adaptability, distinctive chemical composition, substantial nutritional value, functional health advantages, and various uses (food, feed, and non-edible). The primary soybean-producing nations include the United States (34%), Brazil (30%), Argentina (18%), China (4%), and India, which contributes 3.95% to total global production (USDA, 2018). In India, soybean is cultivated on 10.84 million hectares, yielding 11.48 million tonnes. Madhya Pradesh is a prominent state in India for soybean agriculture, encompassing 5.4 million hectares and yielding a total production of 5.9 million tonnes. </w:t>
      </w:r>
      <w:r w:rsidR="004272FF" w:rsidRPr="004272FF">
        <w:rPr>
          <w:rFonts w:ascii="Times New Roman" w:hAnsi="Times New Roman" w:cs="Times New Roman"/>
          <w:sz w:val="24"/>
          <w:szCs w:val="24"/>
        </w:rPr>
        <w:t>Madhya Pradesh is recognized as the soybean state in India. However, the soybean productivity stands at only 1094 kg ha</w:t>
      </w:r>
      <w:r w:rsidR="004272FF" w:rsidRPr="00B37B3D">
        <w:rPr>
          <w:rFonts w:ascii="Times New Roman" w:hAnsi="Times New Roman" w:cs="Times New Roman"/>
          <w:sz w:val="24"/>
          <w:szCs w:val="24"/>
          <w:highlight w:val="yellow"/>
          <w:vertAlign w:val="superscript"/>
        </w:rPr>
        <w:t>-1</w:t>
      </w:r>
      <w:r w:rsidR="004272FF" w:rsidRPr="004272FF">
        <w:rPr>
          <w:rFonts w:ascii="Times New Roman" w:hAnsi="Times New Roman" w:cs="Times New Roman"/>
          <w:sz w:val="24"/>
          <w:szCs w:val="24"/>
        </w:rPr>
        <w:t xml:space="preserve">, significantly </w:t>
      </w:r>
      <w:r w:rsidR="004272FF" w:rsidRPr="004272FF">
        <w:rPr>
          <w:rFonts w:ascii="Times New Roman" w:hAnsi="Times New Roman" w:cs="Times New Roman"/>
          <w:sz w:val="24"/>
          <w:szCs w:val="24"/>
        </w:rPr>
        <w:lastRenderedPageBreak/>
        <w:t>lower than its yield potential of 2500 kg ha-1</w:t>
      </w:r>
      <w:r>
        <w:rPr>
          <w:rFonts w:ascii="Times New Roman" w:hAnsi="Times New Roman" w:cs="Times New Roman"/>
          <w:sz w:val="24"/>
          <w:szCs w:val="24"/>
        </w:rPr>
        <w:t>”</w:t>
      </w:r>
      <w:r w:rsidR="004272FF" w:rsidRPr="004272FF">
        <w:rPr>
          <w:rFonts w:ascii="Times New Roman" w:hAnsi="Times New Roman" w:cs="Times New Roman"/>
          <w:sz w:val="24"/>
          <w:szCs w:val="24"/>
        </w:rPr>
        <w:t xml:space="preserve"> (SOPA, 2018). </w:t>
      </w:r>
      <w:r>
        <w:rPr>
          <w:rFonts w:ascii="Times New Roman" w:hAnsi="Times New Roman" w:cs="Times New Roman"/>
          <w:sz w:val="24"/>
          <w:szCs w:val="24"/>
        </w:rPr>
        <w:t>“</w:t>
      </w:r>
      <w:r w:rsidR="004272FF" w:rsidRPr="004272FF">
        <w:rPr>
          <w:rFonts w:ascii="Times New Roman" w:hAnsi="Times New Roman" w:cs="Times New Roman"/>
          <w:sz w:val="24"/>
          <w:szCs w:val="24"/>
        </w:rPr>
        <w:t>The highest net returns of Rs 4003/ha and a benefit-cost ratio of 1.43 were observed with pendimethalin at 1.5 kg/ha, in comparison to other pendimethalin levels and unweeded control</w:t>
      </w:r>
      <w:r>
        <w:rPr>
          <w:rFonts w:ascii="Times New Roman" w:hAnsi="Times New Roman" w:cs="Times New Roman"/>
          <w:sz w:val="24"/>
          <w:szCs w:val="24"/>
        </w:rPr>
        <w:t>”</w:t>
      </w:r>
      <w:r w:rsidR="004272FF" w:rsidRPr="004272FF">
        <w:rPr>
          <w:rFonts w:ascii="Times New Roman" w:hAnsi="Times New Roman" w:cs="Times New Roman"/>
          <w:sz w:val="24"/>
          <w:szCs w:val="24"/>
        </w:rPr>
        <w:t xml:space="preserve"> (Kewat and Bhan, 2003).</w:t>
      </w:r>
      <w:r w:rsidR="00A937F2">
        <w:rPr>
          <w:rFonts w:ascii="Times New Roman" w:hAnsi="Times New Roman" w:cs="Times New Roman"/>
          <w:sz w:val="24"/>
          <w:szCs w:val="24"/>
        </w:rPr>
        <w:t xml:space="preserve"> </w:t>
      </w:r>
      <w:r>
        <w:rPr>
          <w:rFonts w:ascii="Times New Roman" w:hAnsi="Times New Roman" w:cs="Times New Roman"/>
          <w:sz w:val="24"/>
          <w:szCs w:val="24"/>
        </w:rPr>
        <w:t>“</w:t>
      </w:r>
      <w:r w:rsidR="007070A7" w:rsidRPr="007070A7">
        <w:rPr>
          <w:rFonts w:ascii="Times New Roman" w:hAnsi="Times New Roman" w:cs="Times New Roman"/>
          <w:color w:val="000000"/>
          <w:sz w:val="24"/>
          <w:szCs w:val="24"/>
        </w:rPr>
        <w:t>In the examination of the uniformity of the rate and period of Imazethapyr application in soybean, the highest net returns were recorded with Imazethapyr at 75 g/ha applied at 25 days after sowing (DAS), which was statistically comparable to Imazethapyr at 75 g/ha applied at 15 DAS, Imazethapyr at 100 g/ha applied at either 15 or 25 DAS, and Pendimethalin at 0.45 kg/ha combined with hand weeding at 40 DAS. However, it was significantly superior to Imazethapyr at 50 g/ha applied at 15 or 25 DAS, two hand weedings, and the unweeded control</w:t>
      </w:r>
      <w:r>
        <w:rPr>
          <w:rFonts w:ascii="Times New Roman" w:hAnsi="Times New Roman" w:cs="Times New Roman"/>
          <w:color w:val="000000"/>
          <w:sz w:val="24"/>
          <w:szCs w:val="24"/>
        </w:rPr>
        <w:t>”</w:t>
      </w:r>
      <w:r w:rsidR="007070A7" w:rsidRPr="007070A7">
        <w:rPr>
          <w:rFonts w:ascii="Times New Roman" w:hAnsi="Times New Roman" w:cs="Times New Roman"/>
          <w:color w:val="000000"/>
          <w:sz w:val="24"/>
          <w:szCs w:val="24"/>
        </w:rPr>
        <w:t xml:space="preserve"> (Hari </w:t>
      </w:r>
      <w:r w:rsidR="007070A7" w:rsidRPr="00B37B3D">
        <w:rPr>
          <w:rFonts w:ascii="Times New Roman" w:hAnsi="Times New Roman" w:cs="Times New Roman"/>
          <w:i/>
          <w:iCs/>
          <w:color w:val="000000"/>
          <w:sz w:val="24"/>
          <w:szCs w:val="24"/>
          <w:highlight w:val="yellow"/>
        </w:rPr>
        <w:t>et al.</w:t>
      </w:r>
      <w:r w:rsidR="007070A7" w:rsidRPr="007070A7">
        <w:rPr>
          <w:rFonts w:ascii="Times New Roman" w:hAnsi="Times New Roman" w:cs="Times New Roman"/>
          <w:color w:val="000000"/>
          <w:sz w:val="24"/>
          <w:szCs w:val="24"/>
        </w:rPr>
        <w:t xml:space="preserve"> 2013).</w:t>
      </w:r>
      <w:r w:rsidR="00A937F2">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00A937F2" w:rsidRPr="00A937F2">
        <w:rPr>
          <w:rFonts w:ascii="Times New Roman" w:hAnsi="Times New Roman" w:cs="Times New Roman"/>
          <w:color w:val="000000"/>
          <w:sz w:val="24"/>
          <w:szCs w:val="24"/>
        </w:rPr>
        <w:t>Combination herbicides are more successful in combating weed infestations and the resultant nutrient depletion than a singular herbicide method. The application of herbicides, especially as pre-plant incorporation, can hinder the growth of weeds in the early stages and establish a weed-free environment</w:t>
      </w:r>
      <w:r>
        <w:rPr>
          <w:rFonts w:ascii="Times New Roman" w:hAnsi="Times New Roman" w:cs="Times New Roman"/>
          <w:color w:val="000000"/>
          <w:sz w:val="24"/>
          <w:szCs w:val="24"/>
        </w:rPr>
        <w:t>”</w:t>
      </w:r>
      <w:r w:rsidR="00A937F2" w:rsidRPr="00A937F2">
        <w:rPr>
          <w:rFonts w:ascii="Times New Roman" w:hAnsi="Times New Roman" w:cs="Times New Roman"/>
          <w:color w:val="000000"/>
          <w:sz w:val="24"/>
          <w:szCs w:val="24"/>
        </w:rPr>
        <w:t xml:space="preserve"> (Gulaiya </w:t>
      </w:r>
      <w:r w:rsidR="00A937F2" w:rsidRPr="00B37B3D">
        <w:rPr>
          <w:rFonts w:ascii="Times New Roman" w:hAnsi="Times New Roman" w:cs="Times New Roman"/>
          <w:i/>
          <w:iCs/>
          <w:color w:val="000000"/>
          <w:sz w:val="24"/>
          <w:szCs w:val="24"/>
          <w:highlight w:val="yellow"/>
        </w:rPr>
        <w:t>et al.,</w:t>
      </w:r>
      <w:r w:rsidR="00A937F2" w:rsidRPr="00A937F2">
        <w:rPr>
          <w:rFonts w:ascii="Times New Roman" w:hAnsi="Times New Roman" w:cs="Times New Roman"/>
          <w:color w:val="000000"/>
          <w:sz w:val="24"/>
          <w:szCs w:val="24"/>
        </w:rPr>
        <w:t xml:space="preserve"> 2023). </w:t>
      </w:r>
    </w:p>
    <w:p w14:paraId="48802E7A" w14:textId="271FEE9B" w:rsidR="00E421A1" w:rsidRPr="00221D6E" w:rsidRDefault="00E421A1" w:rsidP="00E421A1">
      <w:pPr>
        <w:widowControl w:val="0"/>
        <w:autoSpaceDE w:val="0"/>
        <w:autoSpaceDN w:val="0"/>
        <w:adjustRightInd w:val="0"/>
        <w:spacing w:before="120" w:after="120" w:line="360" w:lineRule="auto"/>
        <w:jc w:val="both"/>
        <w:rPr>
          <w:rFonts w:ascii="Times New Roman" w:hAnsi="Times New Roman" w:cs="Times New Roman"/>
          <w:b/>
          <w:sz w:val="24"/>
          <w:szCs w:val="24"/>
        </w:rPr>
      </w:pPr>
      <w:r w:rsidRPr="00221D6E">
        <w:rPr>
          <w:rFonts w:ascii="Times New Roman" w:hAnsi="Times New Roman" w:cs="Times New Roman"/>
          <w:b/>
          <w:sz w:val="24"/>
          <w:szCs w:val="24"/>
        </w:rPr>
        <w:t>MATERIALS AND METHOD</w:t>
      </w:r>
      <w:r w:rsidR="00450078">
        <w:rPr>
          <w:rFonts w:ascii="Times New Roman" w:hAnsi="Times New Roman" w:cs="Times New Roman"/>
          <w:b/>
          <w:sz w:val="24"/>
          <w:szCs w:val="24"/>
        </w:rPr>
        <w:t>S</w:t>
      </w:r>
    </w:p>
    <w:p w14:paraId="58CA4DBE" w14:textId="0D598F83" w:rsidR="008502E3" w:rsidRPr="008502E3" w:rsidRDefault="00DA604B" w:rsidP="00B37B3D">
      <w:pPr>
        <w:pStyle w:val="BodyTextIndent"/>
        <w:spacing w:before="120" w:line="360" w:lineRule="auto"/>
        <w:ind w:left="0"/>
        <w:jc w:val="both"/>
        <w:rPr>
          <w:rFonts w:ascii="Times New Roman" w:eastAsia="Calibri" w:hAnsi="Times New Roman"/>
          <w:sz w:val="24"/>
          <w:szCs w:val="24"/>
        </w:rPr>
      </w:pPr>
      <w:r w:rsidRPr="00DA604B">
        <w:rPr>
          <w:rFonts w:ascii="Times New Roman" w:eastAsia="Calibri" w:hAnsi="Times New Roman"/>
          <w:sz w:val="24"/>
          <w:szCs w:val="24"/>
        </w:rPr>
        <w:t>A field experiment was executed at the BSP Unit, Department of Agronomy, Jawaharlal Nehru Krishi Vishwa Vidyalaya, Jabalpur (M.P.) in the Kharif season of 2019</w:t>
      </w:r>
      <w:r w:rsidR="00B37B3D">
        <w:rPr>
          <w:rFonts w:ascii="Times New Roman" w:eastAsia="Calibri" w:hAnsi="Times New Roman"/>
          <w:sz w:val="24"/>
          <w:szCs w:val="24"/>
        </w:rPr>
        <w:t>-20</w:t>
      </w:r>
      <w:r w:rsidRPr="00DA604B">
        <w:rPr>
          <w:rFonts w:ascii="Times New Roman" w:eastAsia="Calibri" w:hAnsi="Times New Roman"/>
          <w:sz w:val="24"/>
          <w:szCs w:val="24"/>
        </w:rPr>
        <w:t xml:space="preserve">. </w:t>
      </w:r>
      <w:r w:rsidR="008718F0" w:rsidRPr="006A59B2">
        <w:rPr>
          <w:rFonts w:ascii="Times New Roman" w:eastAsia="Calibri" w:hAnsi="Times New Roman"/>
        </w:rPr>
        <w:t>Eleven weed control treatments were arranged in a Randomized Block Design with three replications.</w:t>
      </w:r>
      <w:r w:rsidR="008718F0">
        <w:rPr>
          <w:rFonts w:ascii="Times New Roman" w:eastAsia="Calibri" w:hAnsi="Times New Roman"/>
        </w:rPr>
        <w:t xml:space="preserve"> </w:t>
      </w:r>
      <w:r w:rsidRPr="00DA604B">
        <w:rPr>
          <w:rFonts w:ascii="Times New Roman" w:eastAsia="Calibri" w:hAnsi="Times New Roman"/>
          <w:sz w:val="24"/>
          <w:szCs w:val="24"/>
        </w:rPr>
        <w:t xml:space="preserve">The chosen experimental field exhibited uniform environment and was infested with location-specific weeds characteristic of the area. All physical resources, including labor, agrochemicals, equipment, and irrigation water, etc. </w:t>
      </w:r>
      <w:r w:rsidR="008502E3" w:rsidRPr="008502E3">
        <w:rPr>
          <w:rFonts w:ascii="Times New Roman" w:eastAsia="Calibri" w:hAnsi="Times New Roman"/>
          <w:sz w:val="24"/>
          <w:szCs w:val="24"/>
        </w:rPr>
        <w:t>The analytical evaluations were carried out at the College of Agriculture, JNKVV, Jabalpur, in the laboratory of the Department of Agronomy. According to the data, the experimental field's soil had a sandy clay loam texture, a neutral pH of 7.10, and medium concentrations of potassium (310.80 kg/ha), nitrogen (360.30 kg/ha), phosphorus (15.83 kg/ha), and organic carbon (0.65%).</w:t>
      </w:r>
    </w:p>
    <w:p w14:paraId="0E17859C" w14:textId="77777777" w:rsidR="009464C5" w:rsidRDefault="009464C5" w:rsidP="00F45FCC">
      <w:pPr>
        <w:spacing w:before="120" w:after="120" w:line="240" w:lineRule="auto"/>
        <w:jc w:val="both"/>
        <w:rPr>
          <w:rFonts w:ascii="Times New Roman" w:hAnsi="Times New Roman" w:cs="Times New Roman"/>
          <w:b/>
          <w:sz w:val="24"/>
          <w:szCs w:val="24"/>
        </w:rPr>
        <w:sectPr w:rsidR="009464C5" w:rsidSect="005A22B4">
          <w:type w:val="continuous"/>
          <w:pgSz w:w="11906" w:h="16838"/>
          <w:pgMar w:top="1440" w:right="1440" w:bottom="1440" w:left="1440" w:header="708" w:footer="708" w:gutter="0"/>
          <w:cols w:space="708"/>
          <w:docGrid w:linePitch="360"/>
        </w:sectPr>
      </w:pPr>
    </w:p>
    <w:p w14:paraId="5550C44B" w14:textId="77777777" w:rsidR="00AA41F1" w:rsidRPr="00221D6E" w:rsidRDefault="00AA41F1" w:rsidP="00F45FCC">
      <w:pPr>
        <w:spacing w:before="120" w:after="120" w:line="240" w:lineRule="auto"/>
        <w:jc w:val="both"/>
        <w:rPr>
          <w:rFonts w:ascii="Times New Roman" w:hAnsi="Times New Roman" w:cs="Times New Roman"/>
          <w:sz w:val="24"/>
          <w:szCs w:val="24"/>
        </w:rPr>
      </w:pPr>
      <w:r w:rsidRPr="00221D6E">
        <w:rPr>
          <w:rFonts w:ascii="Times New Roman" w:hAnsi="Times New Roman" w:cs="Times New Roman"/>
          <w:b/>
          <w:sz w:val="24"/>
          <w:szCs w:val="24"/>
        </w:rPr>
        <w:t>Experimental details: -</w:t>
      </w:r>
    </w:p>
    <w:p w14:paraId="76337923" w14:textId="5C388605" w:rsidR="00E421A1" w:rsidRPr="00221D6E" w:rsidRDefault="00F62DA4" w:rsidP="00F45FCC">
      <w:pPr>
        <w:tabs>
          <w:tab w:val="decimal" w:pos="180"/>
        </w:tabs>
        <w:spacing w:before="120" w:after="12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List </w:t>
      </w:r>
      <w:r w:rsidR="00B37B3D">
        <w:rPr>
          <w:rFonts w:ascii="Times New Roman" w:hAnsi="Times New Roman" w:cs="Times New Roman"/>
          <w:b/>
          <w:sz w:val="24"/>
          <w:szCs w:val="24"/>
        </w:rPr>
        <w:t>1:</w:t>
      </w:r>
      <w:r>
        <w:rPr>
          <w:rFonts w:ascii="Times New Roman" w:hAnsi="Times New Roman" w:cs="Times New Roman"/>
          <w:b/>
          <w:sz w:val="24"/>
          <w:szCs w:val="24"/>
        </w:rPr>
        <w:t xml:space="preserve"> </w:t>
      </w:r>
      <w:r w:rsidR="00AA41F1" w:rsidRPr="00221D6E">
        <w:rPr>
          <w:rFonts w:ascii="Times New Roman" w:hAnsi="Times New Roman" w:cs="Times New Roman"/>
          <w:b/>
          <w:sz w:val="24"/>
          <w:szCs w:val="24"/>
        </w:rPr>
        <w:t xml:space="preserve">Treatments: </w:t>
      </w:r>
      <w:r w:rsidR="00AA41F1" w:rsidRPr="00221D6E">
        <w:rPr>
          <w:rFonts w:ascii="Times New Roman" w:hAnsi="Times New Roman" w:cs="Times New Roman"/>
          <w:bCs/>
          <w:sz w:val="24"/>
          <w:szCs w:val="24"/>
        </w:rPr>
        <w:t>11 weed control treatments</w:t>
      </w:r>
    </w:p>
    <w:tbl>
      <w:tblPr>
        <w:tblW w:w="83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2"/>
        <w:gridCol w:w="4419"/>
        <w:gridCol w:w="2529"/>
      </w:tblGrid>
      <w:tr w:rsidR="00364ADE" w:rsidRPr="00A93BAC" w14:paraId="71C913BC" w14:textId="77777777" w:rsidTr="00AA41F1">
        <w:trPr>
          <w:trHeight w:val="537"/>
        </w:trPr>
        <w:tc>
          <w:tcPr>
            <w:tcW w:w="1422" w:type="dxa"/>
            <w:shd w:val="clear" w:color="auto" w:fill="auto"/>
            <w:vAlign w:val="center"/>
          </w:tcPr>
          <w:p w14:paraId="2FBB3AD0" w14:textId="77777777" w:rsidR="00364ADE" w:rsidRPr="00A93BAC" w:rsidRDefault="00364ADE" w:rsidP="00AA41F1">
            <w:pPr>
              <w:spacing w:after="0" w:line="240" w:lineRule="auto"/>
              <w:ind w:left="-144" w:right="-144"/>
              <w:jc w:val="center"/>
              <w:rPr>
                <w:rFonts w:ascii="Times New Roman" w:hAnsi="Times New Roman" w:cs="Times New Roman"/>
                <w:b/>
                <w:bCs/>
                <w:color w:val="000000"/>
                <w:sz w:val="24"/>
                <w:szCs w:val="24"/>
              </w:rPr>
            </w:pPr>
            <w:r w:rsidRPr="00A93BAC">
              <w:rPr>
                <w:rFonts w:ascii="Times New Roman" w:hAnsi="Times New Roman" w:cs="Times New Roman"/>
                <w:b/>
                <w:bCs/>
                <w:color w:val="000000"/>
                <w:sz w:val="24"/>
                <w:szCs w:val="24"/>
              </w:rPr>
              <w:t>Treatments</w:t>
            </w:r>
          </w:p>
        </w:tc>
        <w:tc>
          <w:tcPr>
            <w:tcW w:w="4419" w:type="dxa"/>
            <w:shd w:val="clear" w:color="auto" w:fill="auto"/>
            <w:vAlign w:val="center"/>
          </w:tcPr>
          <w:p w14:paraId="3CCC0438" w14:textId="77777777" w:rsidR="00364ADE" w:rsidRPr="00A93BAC" w:rsidRDefault="00364ADE" w:rsidP="00AA41F1">
            <w:pPr>
              <w:spacing w:after="0" w:line="240" w:lineRule="auto"/>
              <w:jc w:val="center"/>
              <w:rPr>
                <w:rFonts w:ascii="Times New Roman" w:hAnsi="Times New Roman" w:cs="Times New Roman"/>
                <w:b/>
                <w:bCs/>
                <w:color w:val="000000"/>
                <w:sz w:val="24"/>
                <w:szCs w:val="24"/>
              </w:rPr>
            </w:pPr>
            <w:r w:rsidRPr="00A93BAC">
              <w:rPr>
                <w:rFonts w:ascii="Times New Roman" w:hAnsi="Times New Roman" w:cs="Times New Roman"/>
                <w:b/>
                <w:bCs/>
                <w:color w:val="000000"/>
                <w:sz w:val="24"/>
                <w:szCs w:val="24"/>
              </w:rPr>
              <w:t>Herbicides</w:t>
            </w:r>
          </w:p>
        </w:tc>
        <w:tc>
          <w:tcPr>
            <w:tcW w:w="2529" w:type="dxa"/>
            <w:shd w:val="clear" w:color="auto" w:fill="auto"/>
            <w:vAlign w:val="center"/>
          </w:tcPr>
          <w:p w14:paraId="79CABD32" w14:textId="77777777" w:rsidR="00364ADE" w:rsidRPr="00A93BAC" w:rsidRDefault="00364ADE" w:rsidP="00AA41F1">
            <w:pPr>
              <w:spacing w:after="0" w:line="240" w:lineRule="auto"/>
              <w:jc w:val="center"/>
              <w:rPr>
                <w:rFonts w:ascii="Times New Roman" w:hAnsi="Times New Roman" w:cs="Times New Roman"/>
                <w:b/>
                <w:bCs/>
                <w:color w:val="000000"/>
                <w:sz w:val="24"/>
                <w:szCs w:val="24"/>
              </w:rPr>
            </w:pPr>
            <w:r w:rsidRPr="00A93BAC">
              <w:rPr>
                <w:rFonts w:ascii="Times New Roman" w:hAnsi="Times New Roman" w:cs="Times New Roman"/>
                <w:b/>
                <w:bCs/>
                <w:color w:val="000000"/>
                <w:sz w:val="24"/>
                <w:szCs w:val="24"/>
              </w:rPr>
              <w:t>Rate of application (g/ha)</w:t>
            </w:r>
          </w:p>
        </w:tc>
      </w:tr>
      <w:tr w:rsidR="00364ADE" w:rsidRPr="00A93BAC" w14:paraId="081A93DC" w14:textId="77777777" w:rsidTr="00AA41F1">
        <w:trPr>
          <w:trHeight w:val="253"/>
        </w:trPr>
        <w:tc>
          <w:tcPr>
            <w:tcW w:w="1422" w:type="dxa"/>
            <w:shd w:val="clear" w:color="auto" w:fill="auto"/>
            <w:vAlign w:val="center"/>
          </w:tcPr>
          <w:p w14:paraId="4A06F4C7"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1</w:t>
            </w:r>
          </w:p>
        </w:tc>
        <w:tc>
          <w:tcPr>
            <w:tcW w:w="4419" w:type="dxa"/>
            <w:shd w:val="clear" w:color="auto" w:fill="auto"/>
          </w:tcPr>
          <w:p w14:paraId="07E95C46" w14:textId="77777777" w:rsidR="00364ADE" w:rsidRPr="00A93BAC" w:rsidRDefault="00364ADE" w:rsidP="00AA41F1">
            <w:pPr>
              <w:spacing w:after="0" w:line="240" w:lineRule="auto"/>
              <w:jc w:val="both"/>
              <w:rPr>
                <w:rFonts w:ascii="Times New Roman" w:hAnsi="Times New Roman" w:cs="Times New Roman"/>
                <w:color w:val="000000"/>
                <w:sz w:val="24"/>
                <w:szCs w:val="24"/>
              </w:rPr>
            </w:pPr>
            <w:r w:rsidRPr="00A93BAC">
              <w:rPr>
                <w:rFonts w:ascii="Times New Roman" w:hAnsi="Times New Roman" w:cs="Times New Roman"/>
                <w:color w:val="000000"/>
                <w:sz w:val="24"/>
                <w:szCs w:val="24"/>
              </w:rPr>
              <w:t>Diclosulam 0.9% + Pendimethalin 35% SE</w:t>
            </w:r>
          </w:p>
        </w:tc>
        <w:tc>
          <w:tcPr>
            <w:tcW w:w="2529" w:type="dxa"/>
            <w:shd w:val="clear" w:color="auto" w:fill="auto"/>
          </w:tcPr>
          <w:p w14:paraId="1E85A513"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18 + 700</w:t>
            </w:r>
          </w:p>
        </w:tc>
      </w:tr>
      <w:tr w:rsidR="00364ADE" w:rsidRPr="00A93BAC" w14:paraId="1F85F489" w14:textId="77777777" w:rsidTr="00AA41F1">
        <w:trPr>
          <w:trHeight w:val="229"/>
        </w:trPr>
        <w:tc>
          <w:tcPr>
            <w:tcW w:w="1422" w:type="dxa"/>
            <w:shd w:val="clear" w:color="auto" w:fill="auto"/>
            <w:vAlign w:val="center"/>
          </w:tcPr>
          <w:p w14:paraId="7EA71D1C"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2</w:t>
            </w:r>
          </w:p>
        </w:tc>
        <w:tc>
          <w:tcPr>
            <w:tcW w:w="4419" w:type="dxa"/>
            <w:shd w:val="clear" w:color="auto" w:fill="auto"/>
          </w:tcPr>
          <w:p w14:paraId="6C14B23B" w14:textId="77777777" w:rsidR="00364ADE" w:rsidRPr="00A93BAC" w:rsidRDefault="00364ADE" w:rsidP="00AA41F1">
            <w:pPr>
              <w:spacing w:after="0" w:line="240" w:lineRule="auto"/>
              <w:jc w:val="both"/>
              <w:rPr>
                <w:rFonts w:ascii="Times New Roman" w:hAnsi="Times New Roman" w:cs="Times New Roman"/>
                <w:color w:val="000000"/>
                <w:sz w:val="24"/>
                <w:szCs w:val="24"/>
              </w:rPr>
            </w:pPr>
            <w:r w:rsidRPr="00A93BAC">
              <w:rPr>
                <w:rFonts w:ascii="Times New Roman" w:hAnsi="Times New Roman" w:cs="Times New Roman"/>
                <w:color w:val="000000"/>
                <w:sz w:val="24"/>
                <w:szCs w:val="24"/>
              </w:rPr>
              <w:t>Diclosulam 0.9% + Pendimethalin 35% SE</w:t>
            </w:r>
          </w:p>
        </w:tc>
        <w:tc>
          <w:tcPr>
            <w:tcW w:w="2529" w:type="dxa"/>
            <w:shd w:val="clear" w:color="auto" w:fill="auto"/>
          </w:tcPr>
          <w:p w14:paraId="71067366"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20.25 + 787.5</w:t>
            </w:r>
          </w:p>
        </w:tc>
      </w:tr>
      <w:tr w:rsidR="00364ADE" w:rsidRPr="00A93BAC" w14:paraId="15672C42" w14:textId="77777777" w:rsidTr="00AA41F1">
        <w:trPr>
          <w:trHeight w:val="219"/>
        </w:trPr>
        <w:tc>
          <w:tcPr>
            <w:tcW w:w="1422" w:type="dxa"/>
            <w:shd w:val="clear" w:color="auto" w:fill="auto"/>
            <w:vAlign w:val="center"/>
          </w:tcPr>
          <w:p w14:paraId="7102F592"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3</w:t>
            </w:r>
          </w:p>
        </w:tc>
        <w:tc>
          <w:tcPr>
            <w:tcW w:w="4419" w:type="dxa"/>
            <w:shd w:val="clear" w:color="auto" w:fill="auto"/>
          </w:tcPr>
          <w:p w14:paraId="1993DF06" w14:textId="77777777" w:rsidR="00364ADE" w:rsidRPr="00A93BAC" w:rsidRDefault="00364ADE" w:rsidP="00AA41F1">
            <w:pPr>
              <w:spacing w:after="0" w:line="240" w:lineRule="auto"/>
              <w:jc w:val="both"/>
              <w:rPr>
                <w:rFonts w:ascii="Times New Roman" w:hAnsi="Times New Roman" w:cs="Times New Roman"/>
                <w:color w:val="000000"/>
                <w:sz w:val="24"/>
                <w:szCs w:val="24"/>
              </w:rPr>
            </w:pPr>
            <w:r w:rsidRPr="00A93BAC">
              <w:rPr>
                <w:rFonts w:ascii="Times New Roman" w:hAnsi="Times New Roman" w:cs="Times New Roman"/>
                <w:color w:val="000000"/>
                <w:sz w:val="24"/>
                <w:szCs w:val="24"/>
              </w:rPr>
              <w:t>Diclosulam 0.9% + Pendimethalin 35% SE</w:t>
            </w:r>
          </w:p>
        </w:tc>
        <w:tc>
          <w:tcPr>
            <w:tcW w:w="2529" w:type="dxa"/>
            <w:shd w:val="clear" w:color="auto" w:fill="auto"/>
          </w:tcPr>
          <w:p w14:paraId="58DF9BC1"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22.5 + 875</w:t>
            </w:r>
          </w:p>
        </w:tc>
      </w:tr>
      <w:tr w:rsidR="00364ADE" w:rsidRPr="00A93BAC" w14:paraId="18D039A9" w14:textId="77777777" w:rsidTr="00AA41F1">
        <w:trPr>
          <w:trHeight w:val="243"/>
        </w:trPr>
        <w:tc>
          <w:tcPr>
            <w:tcW w:w="1422" w:type="dxa"/>
            <w:shd w:val="clear" w:color="auto" w:fill="auto"/>
            <w:vAlign w:val="center"/>
          </w:tcPr>
          <w:p w14:paraId="32199E18"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4</w:t>
            </w:r>
          </w:p>
        </w:tc>
        <w:tc>
          <w:tcPr>
            <w:tcW w:w="4419" w:type="dxa"/>
            <w:shd w:val="clear" w:color="auto" w:fill="auto"/>
          </w:tcPr>
          <w:p w14:paraId="1BD2C873" w14:textId="77777777" w:rsidR="00364ADE" w:rsidRPr="00A93BAC" w:rsidRDefault="00364ADE" w:rsidP="00AA41F1">
            <w:pPr>
              <w:spacing w:after="0" w:line="240" w:lineRule="auto"/>
              <w:jc w:val="both"/>
              <w:rPr>
                <w:rFonts w:ascii="Times New Roman" w:hAnsi="Times New Roman" w:cs="Times New Roman"/>
                <w:color w:val="000000"/>
                <w:sz w:val="24"/>
                <w:szCs w:val="24"/>
              </w:rPr>
            </w:pPr>
            <w:r w:rsidRPr="00A93BAC">
              <w:rPr>
                <w:rFonts w:ascii="Times New Roman" w:hAnsi="Times New Roman" w:cs="Times New Roman"/>
                <w:color w:val="000000"/>
                <w:sz w:val="24"/>
                <w:szCs w:val="24"/>
              </w:rPr>
              <w:t>Diclosulam 0.9% + Pendimethalin 35% SE</w:t>
            </w:r>
          </w:p>
        </w:tc>
        <w:tc>
          <w:tcPr>
            <w:tcW w:w="2529" w:type="dxa"/>
            <w:shd w:val="clear" w:color="auto" w:fill="auto"/>
          </w:tcPr>
          <w:p w14:paraId="0060B36E"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22.5 + 875</w:t>
            </w:r>
          </w:p>
        </w:tc>
      </w:tr>
      <w:tr w:rsidR="00364ADE" w:rsidRPr="00A93BAC" w14:paraId="6479CD8E" w14:textId="77777777" w:rsidTr="00AA41F1">
        <w:trPr>
          <w:trHeight w:val="193"/>
        </w:trPr>
        <w:tc>
          <w:tcPr>
            <w:tcW w:w="1422" w:type="dxa"/>
            <w:shd w:val="clear" w:color="auto" w:fill="auto"/>
            <w:vAlign w:val="center"/>
          </w:tcPr>
          <w:p w14:paraId="0740D2CE"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5</w:t>
            </w:r>
          </w:p>
        </w:tc>
        <w:tc>
          <w:tcPr>
            <w:tcW w:w="4419" w:type="dxa"/>
            <w:shd w:val="clear" w:color="auto" w:fill="auto"/>
          </w:tcPr>
          <w:p w14:paraId="5CE3D27A"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Diclosulam 84 % WG</w:t>
            </w:r>
          </w:p>
        </w:tc>
        <w:tc>
          <w:tcPr>
            <w:tcW w:w="2529" w:type="dxa"/>
            <w:shd w:val="clear" w:color="auto" w:fill="auto"/>
          </w:tcPr>
          <w:p w14:paraId="2B0E73B6"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20.25</w:t>
            </w:r>
          </w:p>
        </w:tc>
      </w:tr>
      <w:tr w:rsidR="00364ADE" w:rsidRPr="00A93BAC" w14:paraId="3DE93DA1" w14:textId="77777777" w:rsidTr="00AA41F1">
        <w:trPr>
          <w:trHeight w:val="99"/>
        </w:trPr>
        <w:tc>
          <w:tcPr>
            <w:tcW w:w="1422" w:type="dxa"/>
            <w:shd w:val="clear" w:color="auto" w:fill="auto"/>
            <w:vAlign w:val="center"/>
          </w:tcPr>
          <w:p w14:paraId="2FCFA285"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6</w:t>
            </w:r>
          </w:p>
        </w:tc>
        <w:tc>
          <w:tcPr>
            <w:tcW w:w="4419" w:type="dxa"/>
            <w:shd w:val="clear" w:color="auto" w:fill="auto"/>
          </w:tcPr>
          <w:p w14:paraId="4B9A8B4D"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Diclosulam 84 % WG</w:t>
            </w:r>
          </w:p>
        </w:tc>
        <w:tc>
          <w:tcPr>
            <w:tcW w:w="2529" w:type="dxa"/>
            <w:shd w:val="clear" w:color="auto" w:fill="auto"/>
          </w:tcPr>
          <w:p w14:paraId="02DEF1A7"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22.50</w:t>
            </w:r>
          </w:p>
        </w:tc>
      </w:tr>
      <w:tr w:rsidR="00364ADE" w:rsidRPr="00A93BAC" w14:paraId="6B2D6B79" w14:textId="77777777" w:rsidTr="00AA41F1">
        <w:trPr>
          <w:trHeight w:val="231"/>
        </w:trPr>
        <w:tc>
          <w:tcPr>
            <w:tcW w:w="1422" w:type="dxa"/>
            <w:shd w:val="clear" w:color="auto" w:fill="auto"/>
            <w:vAlign w:val="center"/>
          </w:tcPr>
          <w:p w14:paraId="37EE188A"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7</w:t>
            </w:r>
          </w:p>
        </w:tc>
        <w:tc>
          <w:tcPr>
            <w:tcW w:w="4419" w:type="dxa"/>
            <w:shd w:val="clear" w:color="auto" w:fill="auto"/>
          </w:tcPr>
          <w:p w14:paraId="443048D0"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 xml:space="preserve">Pendimethalin 30 % EC </w:t>
            </w:r>
          </w:p>
        </w:tc>
        <w:tc>
          <w:tcPr>
            <w:tcW w:w="2529" w:type="dxa"/>
            <w:shd w:val="clear" w:color="auto" w:fill="auto"/>
          </w:tcPr>
          <w:p w14:paraId="0B6635DF"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787.5</w:t>
            </w:r>
          </w:p>
        </w:tc>
      </w:tr>
      <w:tr w:rsidR="00364ADE" w:rsidRPr="00A93BAC" w14:paraId="48FDFD92" w14:textId="77777777" w:rsidTr="00AA41F1">
        <w:trPr>
          <w:trHeight w:val="50"/>
        </w:trPr>
        <w:tc>
          <w:tcPr>
            <w:tcW w:w="1422" w:type="dxa"/>
            <w:shd w:val="clear" w:color="auto" w:fill="auto"/>
            <w:vAlign w:val="center"/>
          </w:tcPr>
          <w:p w14:paraId="4880FB64"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8</w:t>
            </w:r>
          </w:p>
        </w:tc>
        <w:tc>
          <w:tcPr>
            <w:tcW w:w="4419" w:type="dxa"/>
            <w:shd w:val="clear" w:color="auto" w:fill="auto"/>
          </w:tcPr>
          <w:p w14:paraId="1738FDAD"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 xml:space="preserve">Pendimethalin 30 % EC </w:t>
            </w:r>
          </w:p>
        </w:tc>
        <w:tc>
          <w:tcPr>
            <w:tcW w:w="2529" w:type="dxa"/>
            <w:shd w:val="clear" w:color="auto" w:fill="auto"/>
            <w:vAlign w:val="center"/>
          </w:tcPr>
          <w:p w14:paraId="0068A13B"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rPr>
              <w:t>875</w:t>
            </w:r>
          </w:p>
        </w:tc>
      </w:tr>
      <w:tr w:rsidR="00364ADE" w:rsidRPr="00A93BAC" w14:paraId="58A2D501" w14:textId="77777777" w:rsidTr="00AA41F1">
        <w:trPr>
          <w:trHeight w:val="213"/>
        </w:trPr>
        <w:tc>
          <w:tcPr>
            <w:tcW w:w="1422" w:type="dxa"/>
            <w:shd w:val="clear" w:color="auto" w:fill="auto"/>
            <w:vAlign w:val="center"/>
          </w:tcPr>
          <w:p w14:paraId="52F5992A"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lastRenderedPageBreak/>
              <w:t>T</w:t>
            </w:r>
            <w:r w:rsidRPr="00A93BAC">
              <w:rPr>
                <w:rFonts w:ascii="Times New Roman" w:hAnsi="Times New Roman" w:cs="Times New Roman"/>
                <w:color w:val="000000"/>
                <w:sz w:val="24"/>
                <w:szCs w:val="24"/>
                <w:vertAlign w:val="subscript"/>
              </w:rPr>
              <w:t>9</w:t>
            </w:r>
          </w:p>
        </w:tc>
        <w:tc>
          <w:tcPr>
            <w:tcW w:w="4419" w:type="dxa"/>
            <w:shd w:val="clear" w:color="auto" w:fill="auto"/>
          </w:tcPr>
          <w:p w14:paraId="3301C14B"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Pendimethalin 30 % EC+ Imazethapyr 2 % EC</w:t>
            </w:r>
          </w:p>
        </w:tc>
        <w:tc>
          <w:tcPr>
            <w:tcW w:w="2529" w:type="dxa"/>
            <w:shd w:val="clear" w:color="auto" w:fill="auto"/>
          </w:tcPr>
          <w:p w14:paraId="65611656"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900 + 60</w:t>
            </w:r>
          </w:p>
        </w:tc>
      </w:tr>
      <w:tr w:rsidR="00364ADE" w:rsidRPr="00A93BAC" w14:paraId="50FA7363" w14:textId="77777777" w:rsidTr="00AA41F1">
        <w:trPr>
          <w:trHeight w:val="62"/>
        </w:trPr>
        <w:tc>
          <w:tcPr>
            <w:tcW w:w="1422" w:type="dxa"/>
            <w:shd w:val="clear" w:color="auto" w:fill="auto"/>
            <w:vAlign w:val="center"/>
          </w:tcPr>
          <w:p w14:paraId="79D2798D"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10</w:t>
            </w:r>
          </w:p>
        </w:tc>
        <w:tc>
          <w:tcPr>
            <w:tcW w:w="4419" w:type="dxa"/>
            <w:shd w:val="clear" w:color="auto" w:fill="auto"/>
          </w:tcPr>
          <w:p w14:paraId="1A8E0F89"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Hand weeding (Twice)</w:t>
            </w:r>
          </w:p>
        </w:tc>
        <w:tc>
          <w:tcPr>
            <w:tcW w:w="2529" w:type="dxa"/>
            <w:shd w:val="clear" w:color="auto" w:fill="auto"/>
          </w:tcPr>
          <w:p w14:paraId="56F6B13E" w14:textId="77777777" w:rsidR="00364ADE" w:rsidRPr="00A93BAC" w:rsidRDefault="00364ADE" w:rsidP="00AA41F1">
            <w:pPr>
              <w:spacing w:after="0" w:line="240" w:lineRule="auto"/>
              <w:jc w:val="center"/>
              <w:rPr>
                <w:rFonts w:ascii="Times New Roman" w:hAnsi="Times New Roman" w:cs="Times New Roman"/>
              </w:rPr>
            </w:pPr>
            <w:r w:rsidRPr="00A93BAC">
              <w:rPr>
                <w:rFonts w:ascii="Times New Roman" w:hAnsi="Times New Roman" w:cs="Times New Roman"/>
              </w:rPr>
              <w:t>20 &amp; 40 DAS</w:t>
            </w:r>
          </w:p>
        </w:tc>
      </w:tr>
      <w:tr w:rsidR="00364ADE" w:rsidRPr="00A93BAC" w14:paraId="457DFD96" w14:textId="77777777" w:rsidTr="00AA41F1">
        <w:trPr>
          <w:trHeight w:val="41"/>
        </w:trPr>
        <w:tc>
          <w:tcPr>
            <w:tcW w:w="1422" w:type="dxa"/>
            <w:shd w:val="clear" w:color="auto" w:fill="auto"/>
            <w:vAlign w:val="center"/>
          </w:tcPr>
          <w:p w14:paraId="33296AF7" w14:textId="77777777" w:rsidR="00364ADE" w:rsidRPr="00A93BAC" w:rsidRDefault="00364ADE" w:rsidP="00AA41F1">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T</w:t>
            </w:r>
            <w:r w:rsidRPr="00A93BAC">
              <w:rPr>
                <w:rFonts w:ascii="Times New Roman" w:hAnsi="Times New Roman" w:cs="Times New Roman"/>
                <w:color w:val="000000"/>
                <w:sz w:val="24"/>
                <w:szCs w:val="24"/>
                <w:vertAlign w:val="subscript"/>
              </w:rPr>
              <w:t>11</w:t>
            </w:r>
          </w:p>
        </w:tc>
        <w:tc>
          <w:tcPr>
            <w:tcW w:w="4419" w:type="dxa"/>
            <w:shd w:val="clear" w:color="auto" w:fill="auto"/>
          </w:tcPr>
          <w:p w14:paraId="56F962F1" w14:textId="77777777" w:rsidR="00364ADE" w:rsidRPr="00A93BAC" w:rsidRDefault="00364ADE" w:rsidP="00AA41F1">
            <w:pPr>
              <w:spacing w:after="0" w:line="240" w:lineRule="auto"/>
              <w:jc w:val="both"/>
              <w:rPr>
                <w:rFonts w:ascii="Times New Roman" w:hAnsi="Times New Roman" w:cs="Times New Roman"/>
              </w:rPr>
            </w:pPr>
            <w:r w:rsidRPr="00A93BAC">
              <w:rPr>
                <w:rFonts w:ascii="Times New Roman" w:hAnsi="Times New Roman" w:cs="Times New Roman"/>
              </w:rPr>
              <w:t>Weedy check</w:t>
            </w:r>
          </w:p>
        </w:tc>
        <w:tc>
          <w:tcPr>
            <w:tcW w:w="2529" w:type="dxa"/>
            <w:shd w:val="clear" w:color="auto" w:fill="auto"/>
            <w:vAlign w:val="center"/>
          </w:tcPr>
          <w:p w14:paraId="38558FE4" w14:textId="77777777" w:rsidR="00364ADE" w:rsidRPr="00A93BAC" w:rsidRDefault="00364ADE" w:rsidP="00AA41F1">
            <w:pPr>
              <w:spacing w:after="0" w:line="240" w:lineRule="auto"/>
              <w:jc w:val="center"/>
              <w:rPr>
                <w:rFonts w:ascii="Times New Roman" w:hAnsi="Times New Roman" w:cs="Times New Roman"/>
                <w:b/>
                <w:bCs/>
                <w:color w:val="000000"/>
                <w:sz w:val="24"/>
                <w:szCs w:val="24"/>
              </w:rPr>
            </w:pPr>
            <w:r w:rsidRPr="00A93BAC">
              <w:rPr>
                <w:rFonts w:ascii="Times New Roman" w:hAnsi="Times New Roman" w:cs="Times New Roman"/>
                <w:b/>
                <w:bCs/>
                <w:color w:val="000000"/>
                <w:sz w:val="24"/>
                <w:szCs w:val="24"/>
              </w:rPr>
              <w:t>-</w:t>
            </w:r>
          </w:p>
        </w:tc>
      </w:tr>
    </w:tbl>
    <w:p w14:paraId="376D6D8A" w14:textId="77777777" w:rsidR="009464C5" w:rsidRDefault="009464C5" w:rsidP="00F45FCC">
      <w:pPr>
        <w:pStyle w:val="Style12"/>
        <w:widowControl/>
        <w:spacing w:line="360" w:lineRule="auto"/>
        <w:rPr>
          <w:rStyle w:val="FontStyle99"/>
          <w:rFonts w:ascii="Times New Roman" w:hAnsi="Times New Roman" w:cs="Times New Roman"/>
          <w:sz w:val="24"/>
          <w:szCs w:val="24"/>
          <w:lang w:val="en-US" w:eastAsia="en-US"/>
        </w:rPr>
        <w:sectPr w:rsidR="009464C5" w:rsidSect="005A22B4">
          <w:type w:val="continuous"/>
          <w:pgSz w:w="11906" w:h="16838"/>
          <w:pgMar w:top="1440" w:right="1440" w:bottom="1440" w:left="1440" w:header="708" w:footer="708" w:gutter="0"/>
          <w:cols w:space="708"/>
          <w:docGrid w:linePitch="360"/>
        </w:sectPr>
      </w:pPr>
    </w:p>
    <w:p w14:paraId="22B83379" w14:textId="77777777" w:rsidR="00320B01" w:rsidRPr="00F45FCC" w:rsidRDefault="00320B01" w:rsidP="00F45FCC">
      <w:pPr>
        <w:pStyle w:val="Style12"/>
        <w:widowControl/>
        <w:spacing w:line="360" w:lineRule="auto"/>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Economics of the treatments</w:t>
      </w:r>
    </w:p>
    <w:p w14:paraId="6C501A97" w14:textId="77777777" w:rsidR="00BC42BA" w:rsidRPr="00BC42BA" w:rsidRDefault="00BC42BA" w:rsidP="00BC42BA">
      <w:pPr>
        <w:pStyle w:val="Style12"/>
        <w:spacing w:line="360" w:lineRule="auto"/>
        <w:rPr>
          <w:rFonts w:ascii="Times New Roman" w:eastAsia="Calibri" w:hAnsi="Times New Roman" w:cs="Times New Roman"/>
        </w:rPr>
      </w:pPr>
      <w:r w:rsidRPr="00BC42BA">
        <w:rPr>
          <w:rFonts w:ascii="Times New Roman" w:eastAsia="Calibri" w:hAnsi="Times New Roman" w:cs="Times New Roman"/>
        </w:rPr>
        <w:t>An economic analysis of the treatments is crucial for evaluating their practical utility from the perspective of producers. As a result, the economic feasibility of the various remedies was evaluated on a per-hectare-area basis by calculating the cost of cultivation, gross monetary returns (GMRs), net monetary returns (NMRs), and benefit-cost ratio (B:C).</w:t>
      </w:r>
    </w:p>
    <w:p w14:paraId="5A5D7025" w14:textId="61B34B70" w:rsidR="00320B01" w:rsidRPr="00F45FCC" w:rsidRDefault="00320B01" w:rsidP="00F45FCC">
      <w:pPr>
        <w:pStyle w:val="Style12"/>
        <w:widowControl/>
        <w:spacing w:line="360" w:lineRule="auto"/>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Cost of cultivation</w:t>
      </w:r>
    </w:p>
    <w:p w14:paraId="4DA41E92" w14:textId="3661F9CE" w:rsidR="00320B01" w:rsidRPr="00F45FCC" w:rsidRDefault="00320B01" w:rsidP="00F45FCC">
      <w:pPr>
        <w:pStyle w:val="Style2"/>
        <w:widowControl/>
        <w:spacing w:line="360" w:lineRule="auto"/>
        <w:ind w:firstLine="0"/>
        <w:rPr>
          <w:rStyle w:val="FontStyle99"/>
          <w:rFonts w:ascii="Times New Roman" w:hAnsi="Times New Roman" w:cs="Times New Roman"/>
          <w:b w:val="0"/>
          <w:bCs w:val="0"/>
          <w:sz w:val="24"/>
          <w:szCs w:val="24"/>
          <w:lang w:val="en-US" w:eastAsia="en-US"/>
        </w:rPr>
      </w:pPr>
      <w:r w:rsidRPr="00F45FCC">
        <w:rPr>
          <w:rStyle w:val="FontStyle100"/>
          <w:rFonts w:ascii="Times New Roman" w:eastAsia="Calibri" w:hAnsi="Times New Roman" w:cs="Times New Roman"/>
          <w:sz w:val="24"/>
          <w:szCs w:val="24"/>
          <w:lang w:val="en-US" w:eastAsia="en-US"/>
        </w:rPr>
        <w:t>The cost of cultivation for each treatment was determined on the basis of different inputs used for raising the crop under different treatments on one-hectare area basis.</w:t>
      </w:r>
    </w:p>
    <w:p w14:paraId="2C35ACCB" w14:textId="66E73190" w:rsidR="00320B01" w:rsidRPr="00F45FCC" w:rsidRDefault="00320B01" w:rsidP="00320B01">
      <w:pPr>
        <w:pStyle w:val="Style59"/>
        <w:widowControl/>
        <w:tabs>
          <w:tab w:val="left" w:pos="720"/>
        </w:tabs>
        <w:spacing w:before="120" w:after="120" w:line="360" w:lineRule="auto"/>
        <w:jc w:val="both"/>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Gross monetary returns (GMRs)</w:t>
      </w:r>
    </w:p>
    <w:p w14:paraId="2232B4D9" w14:textId="4E6558D3" w:rsidR="00320B01" w:rsidRPr="00F45FCC" w:rsidRDefault="00320B01" w:rsidP="00320B01">
      <w:pPr>
        <w:pStyle w:val="Style2"/>
        <w:widowControl/>
        <w:spacing w:before="120" w:after="120" w:line="360" w:lineRule="auto"/>
        <w:ind w:firstLine="0"/>
        <w:rPr>
          <w:rFonts w:ascii="Times New Roman" w:hAnsi="Times New Roman" w:cs="Times New Roman"/>
          <w:lang w:val="en-US" w:eastAsia="en-US"/>
        </w:rPr>
      </w:pPr>
      <w:r w:rsidRPr="00F45FCC">
        <w:rPr>
          <w:rStyle w:val="FontStyle100"/>
          <w:rFonts w:ascii="Times New Roman" w:eastAsia="Calibri" w:hAnsi="Times New Roman" w:cs="Times New Roman"/>
          <w:sz w:val="24"/>
          <w:szCs w:val="24"/>
          <w:lang w:val="en-US" w:eastAsia="en-US"/>
        </w:rPr>
        <w:t>The values realized from the produce obtained under each treatment was computed on the basis of existing market price of the produce (both grain and stover) as the gross monetary returns (GMRs) per hectare under different treatments as per the following formula.</w:t>
      </w:r>
    </w:p>
    <w:p w14:paraId="0E50BF27" w14:textId="77777777" w:rsidR="00320B01" w:rsidRPr="00F45FCC" w:rsidRDefault="00320B01" w:rsidP="00320B01">
      <w:pPr>
        <w:pStyle w:val="Style2"/>
        <w:widowControl/>
        <w:spacing w:before="120" w:after="120" w:line="360" w:lineRule="auto"/>
        <w:ind w:firstLine="720"/>
        <w:jc w:val="center"/>
        <w:rPr>
          <w:rStyle w:val="FontStyle99"/>
          <w:rFonts w:ascii="Times New Roman" w:eastAsia="Calibri" w:hAnsi="Times New Roman" w:cs="Times New Roman"/>
          <w:b w:val="0"/>
          <w:bCs w:val="0"/>
          <w:sz w:val="24"/>
          <w:szCs w:val="24"/>
          <w:lang w:val="en-US" w:eastAsia="en-US"/>
        </w:rPr>
      </w:pPr>
      <w:r w:rsidRPr="00F45FCC">
        <w:rPr>
          <w:rStyle w:val="FontStyle100"/>
          <w:rFonts w:ascii="Times New Roman" w:eastAsia="Calibri" w:hAnsi="Times New Roman" w:cs="Times New Roman"/>
          <w:sz w:val="24"/>
          <w:szCs w:val="24"/>
          <w:lang w:val="en-US" w:eastAsia="en-US"/>
        </w:rPr>
        <w:t>Gross monetary returns = value of seed + value of Stover</w:t>
      </w:r>
    </w:p>
    <w:p w14:paraId="4AC1F83C" w14:textId="743E8E27" w:rsidR="00320B01" w:rsidRPr="00F45FCC" w:rsidRDefault="00320B01" w:rsidP="00F45FCC">
      <w:pPr>
        <w:pStyle w:val="Style59"/>
        <w:widowControl/>
        <w:tabs>
          <w:tab w:val="left" w:pos="720"/>
        </w:tabs>
        <w:spacing w:line="360" w:lineRule="auto"/>
        <w:jc w:val="both"/>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Net monetary returns (NMRs)</w:t>
      </w:r>
    </w:p>
    <w:p w14:paraId="0E5CF110" w14:textId="24DD304B" w:rsidR="00320B01" w:rsidRPr="00F45FCC" w:rsidRDefault="00320B01" w:rsidP="00F45FCC">
      <w:pPr>
        <w:pStyle w:val="Style2"/>
        <w:widowControl/>
        <w:spacing w:line="360" w:lineRule="auto"/>
        <w:ind w:firstLine="0"/>
        <w:rPr>
          <w:rStyle w:val="FontStyle100"/>
          <w:rFonts w:ascii="Times New Roman" w:eastAsia="Calibri" w:hAnsi="Times New Roman" w:cs="Times New Roman"/>
          <w:sz w:val="24"/>
          <w:szCs w:val="24"/>
          <w:lang w:val="en-US" w:eastAsia="en-US"/>
        </w:rPr>
      </w:pPr>
      <w:r w:rsidRPr="00F45FCC">
        <w:rPr>
          <w:rStyle w:val="FontStyle100"/>
          <w:rFonts w:ascii="Times New Roman" w:eastAsia="Calibri" w:hAnsi="Times New Roman" w:cs="Times New Roman"/>
          <w:sz w:val="24"/>
          <w:szCs w:val="24"/>
          <w:lang w:val="en-US" w:eastAsia="en-US"/>
        </w:rPr>
        <w:t>The net monetary return (NMRs) per hectare under each treatment was determined by subtracting the cost of cultivation of a particular treatment from the GMRs of the same treatment as per the following formula.</w:t>
      </w:r>
    </w:p>
    <w:p w14:paraId="1E98AF6F" w14:textId="77777777" w:rsidR="00320B01" w:rsidRPr="00F45FCC" w:rsidRDefault="00320B01" w:rsidP="00F45FCC">
      <w:pPr>
        <w:pStyle w:val="Style2"/>
        <w:widowControl/>
        <w:spacing w:line="360" w:lineRule="auto"/>
        <w:ind w:firstLine="720"/>
        <w:jc w:val="center"/>
        <w:rPr>
          <w:rStyle w:val="FontStyle99"/>
          <w:rFonts w:ascii="Times New Roman" w:eastAsia="Calibri" w:hAnsi="Times New Roman" w:cs="Times New Roman"/>
          <w:b w:val="0"/>
          <w:bCs w:val="0"/>
          <w:sz w:val="24"/>
          <w:szCs w:val="24"/>
          <w:lang w:val="en-US" w:eastAsia="en-US"/>
        </w:rPr>
      </w:pPr>
      <w:r w:rsidRPr="00F45FCC">
        <w:rPr>
          <w:rStyle w:val="FontStyle100"/>
          <w:rFonts w:ascii="Times New Roman" w:eastAsia="Calibri" w:hAnsi="Times New Roman" w:cs="Times New Roman"/>
          <w:sz w:val="24"/>
          <w:szCs w:val="24"/>
          <w:lang w:val="en-US" w:eastAsia="en-US"/>
        </w:rPr>
        <w:t>Net monetary returns = gross monetary returns - cost of cultivation</w:t>
      </w:r>
    </w:p>
    <w:p w14:paraId="628EE6C6" w14:textId="0F9EA76D" w:rsidR="00320B01" w:rsidRPr="00F45FCC" w:rsidRDefault="00320B01" w:rsidP="00F45FCC">
      <w:pPr>
        <w:pStyle w:val="Style59"/>
        <w:widowControl/>
        <w:tabs>
          <w:tab w:val="left" w:pos="720"/>
        </w:tabs>
        <w:spacing w:line="360" w:lineRule="auto"/>
        <w:jc w:val="both"/>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Benefit-cost ratio (B: C)</w:t>
      </w:r>
    </w:p>
    <w:p w14:paraId="1F3835A3" w14:textId="5489B7BE" w:rsidR="00320B01" w:rsidRPr="00F45FCC" w:rsidRDefault="00320B01" w:rsidP="00F45FCC">
      <w:pPr>
        <w:pStyle w:val="Style5"/>
        <w:widowControl/>
        <w:spacing w:line="360" w:lineRule="auto"/>
        <w:ind w:firstLine="0"/>
        <w:rPr>
          <w:rStyle w:val="FontStyle100"/>
          <w:rFonts w:ascii="Times New Roman" w:eastAsia="Calibri" w:hAnsi="Times New Roman" w:cs="Times New Roman"/>
          <w:sz w:val="24"/>
          <w:szCs w:val="24"/>
          <w:lang w:val="en-US" w:eastAsia="en-US"/>
        </w:rPr>
      </w:pPr>
      <w:r w:rsidRPr="00F45FCC">
        <w:rPr>
          <w:rStyle w:val="FontStyle100"/>
          <w:rFonts w:ascii="Times New Roman" w:eastAsia="Calibri" w:hAnsi="Times New Roman" w:cs="Times New Roman"/>
          <w:sz w:val="24"/>
          <w:szCs w:val="24"/>
          <w:lang w:val="en-US" w:eastAsia="en-US"/>
        </w:rPr>
        <w:t>To estimate the benefits under different treatments for each rupee of expenditure incurred, B: C ratio of each treatment was calculated as below: -</w:t>
      </w:r>
    </w:p>
    <w:tbl>
      <w:tblPr>
        <w:tblW w:w="0" w:type="auto"/>
        <w:jc w:val="center"/>
        <w:tblBorders>
          <w:insideH w:val="single" w:sz="4" w:space="0" w:color="auto"/>
        </w:tblBorders>
        <w:tblLook w:val="04A0" w:firstRow="1" w:lastRow="0" w:firstColumn="1" w:lastColumn="0" w:noHBand="0" w:noVBand="1"/>
      </w:tblPr>
      <w:tblGrid>
        <w:gridCol w:w="2654"/>
        <w:gridCol w:w="3357"/>
      </w:tblGrid>
      <w:tr w:rsidR="00320B01" w:rsidRPr="00F45FCC" w14:paraId="1BD4221A" w14:textId="77777777" w:rsidTr="000E3B57">
        <w:trPr>
          <w:trHeight w:val="415"/>
          <w:jc w:val="center"/>
        </w:trPr>
        <w:tc>
          <w:tcPr>
            <w:tcW w:w="2654" w:type="dxa"/>
            <w:vMerge w:val="restart"/>
            <w:shd w:val="clear" w:color="auto" w:fill="auto"/>
            <w:vAlign w:val="center"/>
          </w:tcPr>
          <w:p w14:paraId="4A6E83C8" w14:textId="77777777" w:rsidR="00320B01" w:rsidRPr="00F45FCC" w:rsidRDefault="00320B01" w:rsidP="001D7A87">
            <w:pPr>
              <w:spacing w:after="0" w:line="240" w:lineRule="auto"/>
              <w:ind w:right="28"/>
              <w:jc w:val="right"/>
              <w:rPr>
                <w:rFonts w:ascii="Times New Roman" w:hAnsi="Times New Roman" w:cs="Times New Roman"/>
                <w:color w:val="000000"/>
                <w:sz w:val="24"/>
                <w:szCs w:val="24"/>
              </w:rPr>
            </w:pPr>
            <w:r w:rsidRPr="00F45FCC">
              <w:rPr>
                <w:rFonts w:ascii="Times New Roman" w:hAnsi="Times New Roman" w:cs="Times New Roman"/>
                <w:color w:val="000000"/>
                <w:sz w:val="24"/>
                <w:szCs w:val="24"/>
              </w:rPr>
              <w:t>Benefit: cost ratio =</w:t>
            </w:r>
          </w:p>
        </w:tc>
        <w:tc>
          <w:tcPr>
            <w:tcW w:w="3357" w:type="dxa"/>
            <w:shd w:val="clear" w:color="auto" w:fill="auto"/>
            <w:vAlign w:val="center"/>
          </w:tcPr>
          <w:p w14:paraId="0CC27A22" w14:textId="77777777" w:rsidR="00320B01" w:rsidRPr="00F45FCC" w:rsidRDefault="00320B01" w:rsidP="001D7A87">
            <w:pPr>
              <w:spacing w:after="0" w:line="240" w:lineRule="auto"/>
              <w:ind w:right="28"/>
              <w:jc w:val="center"/>
              <w:rPr>
                <w:rFonts w:ascii="Times New Roman" w:hAnsi="Times New Roman" w:cs="Times New Roman"/>
                <w:color w:val="000000"/>
                <w:sz w:val="24"/>
                <w:szCs w:val="24"/>
              </w:rPr>
            </w:pPr>
            <w:r w:rsidRPr="00F45FCC">
              <w:rPr>
                <w:rFonts w:ascii="Times New Roman" w:hAnsi="Times New Roman" w:cs="Times New Roman"/>
                <w:color w:val="000000"/>
                <w:sz w:val="24"/>
                <w:szCs w:val="24"/>
              </w:rPr>
              <w:t>Gross returns (Rs ha</w:t>
            </w:r>
            <w:r w:rsidRPr="00F45FCC">
              <w:rPr>
                <w:rFonts w:ascii="Times New Roman" w:hAnsi="Times New Roman" w:cs="Times New Roman"/>
                <w:color w:val="000000"/>
                <w:sz w:val="24"/>
                <w:szCs w:val="24"/>
                <w:vertAlign w:val="superscript"/>
              </w:rPr>
              <w:t>-1</w:t>
            </w:r>
            <w:r w:rsidRPr="00F45FCC">
              <w:rPr>
                <w:rFonts w:ascii="Times New Roman" w:hAnsi="Times New Roman" w:cs="Times New Roman"/>
                <w:color w:val="000000"/>
                <w:sz w:val="24"/>
                <w:szCs w:val="24"/>
              </w:rPr>
              <w:t>)</w:t>
            </w:r>
          </w:p>
        </w:tc>
      </w:tr>
      <w:tr w:rsidR="00320B01" w:rsidRPr="00F45FCC" w14:paraId="5A594C4C" w14:textId="77777777" w:rsidTr="000E3B57">
        <w:trPr>
          <w:trHeight w:val="153"/>
          <w:jc w:val="center"/>
        </w:trPr>
        <w:tc>
          <w:tcPr>
            <w:tcW w:w="2654" w:type="dxa"/>
            <w:vMerge/>
            <w:shd w:val="clear" w:color="auto" w:fill="auto"/>
            <w:vAlign w:val="center"/>
          </w:tcPr>
          <w:p w14:paraId="342CF851" w14:textId="77777777" w:rsidR="00320B01" w:rsidRPr="00F45FCC" w:rsidRDefault="00320B01" w:rsidP="001D7A87">
            <w:pPr>
              <w:spacing w:after="0" w:line="240" w:lineRule="auto"/>
              <w:ind w:right="28" w:firstLine="720"/>
              <w:jc w:val="both"/>
              <w:rPr>
                <w:rFonts w:ascii="Times New Roman" w:hAnsi="Times New Roman" w:cs="Times New Roman"/>
                <w:color w:val="000000"/>
                <w:sz w:val="24"/>
                <w:szCs w:val="24"/>
              </w:rPr>
            </w:pPr>
          </w:p>
        </w:tc>
        <w:tc>
          <w:tcPr>
            <w:tcW w:w="3357" w:type="dxa"/>
            <w:shd w:val="clear" w:color="auto" w:fill="auto"/>
            <w:vAlign w:val="center"/>
          </w:tcPr>
          <w:p w14:paraId="3C3F1018" w14:textId="77777777" w:rsidR="00320B01" w:rsidRPr="00F45FCC" w:rsidRDefault="00320B01" w:rsidP="001D7A87">
            <w:pPr>
              <w:spacing w:after="0" w:line="240" w:lineRule="auto"/>
              <w:ind w:right="28"/>
              <w:jc w:val="center"/>
              <w:rPr>
                <w:rFonts w:ascii="Times New Roman" w:hAnsi="Times New Roman" w:cs="Times New Roman"/>
                <w:color w:val="000000"/>
                <w:sz w:val="24"/>
                <w:szCs w:val="24"/>
              </w:rPr>
            </w:pPr>
            <w:r w:rsidRPr="00F45FCC">
              <w:rPr>
                <w:rFonts w:ascii="Times New Roman" w:hAnsi="Times New Roman" w:cs="Times New Roman"/>
                <w:color w:val="000000"/>
                <w:sz w:val="24"/>
                <w:szCs w:val="24"/>
              </w:rPr>
              <w:t>Cost of cultivation (Rs ha</w:t>
            </w:r>
            <w:r w:rsidRPr="00F45FCC">
              <w:rPr>
                <w:rFonts w:ascii="Times New Roman" w:hAnsi="Times New Roman" w:cs="Times New Roman"/>
                <w:color w:val="000000"/>
                <w:sz w:val="24"/>
                <w:szCs w:val="24"/>
                <w:vertAlign w:val="superscript"/>
              </w:rPr>
              <w:t>-1</w:t>
            </w:r>
            <w:r w:rsidRPr="00F45FCC">
              <w:rPr>
                <w:rFonts w:ascii="Times New Roman" w:hAnsi="Times New Roman" w:cs="Times New Roman"/>
                <w:color w:val="000000"/>
                <w:sz w:val="24"/>
                <w:szCs w:val="24"/>
              </w:rPr>
              <w:t>)</w:t>
            </w:r>
          </w:p>
        </w:tc>
      </w:tr>
    </w:tbl>
    <w:p w14:paraId="3594A9F0" w14:textId="77777777" w:rsidR="001D7A87" w:rsidRDefault="001D7A87" w:rsidP="00C50C01">
      <w:pPr>
        <w:widowControl w:val="0"/>
        <w:autoSpaceDE w:val="0"/>
        <w:autoSpaceDN w:val="0"/>
        <w:adjustRightInd w:val="0"/>
        <w:spacing w:after="0" w:line="360" w:lineRule="auto"/>
        <w:jc w:val="both"/>
        <w:rPr>
          <w:rFonts w:ascii="Times New Roman" w:hAnsi="Times New Roman" w:cs="Times New Roman"/>
          <w:b/>
          <w:sz w:val="24"/>
          <w:szCs w:val="24"/>
        </w:rPr>
      </w:pPr>
    </w:p>
    <w:p w14:paraId="60136AEF" w14:textId="67369F93" w:rsidR="00085C25" w:rsidRPr="00F45FCC" w:rsidRDefault="00085C25" w:rsidP="00C50C01">
      <w:pPr>
        <w:widowControl w:val="0"/>
        <w:autoSpaceDE w:val="0"/>
        <w:autoSpaceDN w:val="0"/>
        <w:adjustRightInd w:val="0"/>
        <w:spacing w:after="0" w:line="360" w:lineRule="auto"/>
        <w:jc w:val="both"/>
        <w:rPr>
          <w:rFonts w:ascii="Times New Roman" w:hAnsi="Times New Roman" w:cs="Times New Roman"/>
          <w:b/>
          <w:sz w:val="24"/>
          <w:szCs w:val="24"/>
        </w:rPr>
      </w:pPr>
      <w:r w:rsidRPr="00F45FCC">
        <w:rPr>
          <w:rFonts w:ascii="Times New Roman" w:hAnsi="Times New Roman" w:cs="Times New Roman"/>
          <w:b/>
          <w:sz w:val="24"/>
          <w:szCs w:val="24"/>
        </w:rPr>
        <w:t>RESULTS AND DISCUSSION:</w:t>
      </w:r>
    </w:p>
    <w:p w14:paraId="55705FE2" w14:textId="6D3F7956" w:rsidR="008307C0" w:rsidRPr="00F45FCC" w:rsidRDefault="00C00DFB" w:rsidP="001D7A87">
      <w:pPr>
        <w:widowControl w:val="0"/>
        <w:autoSpaceDE w:val="0"/>
        <w:autoSpaceDN w:val="0"/>
        <w:adjustRightInd w:val="0"/>
        <w:spacing w:after="0" w:line="360" w:lineRule="auto"/>
        <w:jc w:val="both"/>
        <w:rPr>
          <w:rFonts w:ascii="Times New Roman" w:hAnsi="Times New Roman" w:cs="Times New Roman"/>
          <w:b/>
          <w:sz w:val="24"/>
          <w:szCs w:val="24"/>
        </w:rPr>
      </w:pPr>
      <w:r w:rsidRPr="00F45FCC">
        <w:rPr>
          <w:rFonts w:ascii="Times New Roman" w:hAnsi="Times New Roman" w:cs="Times New Roman"/>
          <w:b/>
          <w:sz w:val="24"/>
          <w:szCs w:val="24"/>
        </w:rPr>
        <w:t xml:space="preserve">Effect of herbicidal treatments </w:t>
      </w:r>
      <w:r w:rsidR="008307C0" w:rsidRPr="00F45FCC">
        <w:rPr>
          <w:rFonts w:ascii="Times New Roman" w:hAnsi="Times New Roman" w:cs="Times New Roman"/>
          <w:b/>
          <w:sz w:val="24"/>
          <w:szCs w:val="24"/>
        </w:rPr>
        <w:t>on Economics:</w:t>
      </w:r>
    </w:p>
    <w:p w14:paraId="4A138236" w14:textId="77777777" w:rsidR="00E66CF2" w:rsidRDefault="00627300" w:rsidP="00E66CF2">
      <w:pPr>
        <w:pStyle w:val="Style12"/>
        <w:spacing w:line="360" w:lineRule="auto"/>
        <w:rPr>
          <w:rFonts w:ascii="Times New Roman" w:hAnsi="Times New Roman" w:cs="Times New Roman"/>
        </w:rPr>
      </w:pPr>
      <w:r w:rsidRPr="00627300">
        <w:rPr>
          <w:rFonts w:ascii="Times New Roman" w:hAnsi="Times New Roman" w:cs="Times New Roman"/>
        </w:rPr>
        <w:t>The economic evaluation of weed control treatments was conducted on a per hectare basis, encompassing the costs of cultivation, gross monetary returns, net monetary returns, and the benefit-cost ratio (profitability per rupee of investment) across various treatments (Table 1 and Figures 1 and 2).</w:t>
      </w:r>
    </w:p>
    <w:p w14:paraId="3A1EF436" w14:textId="039D7163" w:rsidR="008307C0" w:rsidRPr="00E66CF2" w:rsidRDefault="008307C0" w:rsidP="00E66CF2">
      <w:pPr>
        <w:pStyle w:val="Style12"/>
        <w:spacing w:line="360" w:lineRule="auto"/>
        <w:rPr>
          <w:rStyle w:val="FontStyle99"/>
          <w:rFonts w:ascii="Times New Roman" w:hAnsi="Times New Roman" w:cs="Times New Roman"/>
          <w:b w:val="0"/>
          <w:bCs w:val="0"/>
          <w:sz w:val="24"/>
          <w:szCs w:val="24"/>
        </w:rPr>
      </w:pPr>
      <w:r w:rsidRPr="00F45FCC">
        <w:rPr>
          <w:rStyle w:val="FontStyle99"/>
          <w:rFonts w:ascii="Times New Roman" w:hAnsi="Times New Roman" w:cs="Times New Roman"/>
          <w:sz w:val="24"/>
          <w:szCs w:val="24"/>
          <w:lang w:val="en-US" w:eastAsia="en-US"/>
        </w:rPr>
        <w:lastRenderedPageBreak/>
        <w:t xml:space="preserve"> Cost of cultivation</w:t>
      </w:r>
    </w:p>
    <w:p w14:paraId="04EE8889" w14:textId="704818C0" w:rsidR="007D4C2E" w:rsidRPr="007D4C2E" w:rsidRDefault="00891EA5" w:rsidP="007D4C2E">
      <w:pPr>
        <w:pStyle w:val="Style2"/>
        <w:spacing w:line="348" w:lineRule="auto"/>
        <w:ind w:firstLine="0"/>
        <w:rPr>
          <w:rFonts w:ascii="Times New Roman" w:eastAsiaTheme="majorEastAsia" w:hAnsi="Times New Roman" w:cs="Times New Roman"/>
        </w:rPr>
      </w:pPr>
      <w:r w:rsidRPr="00891EA5">
        <w:rPr>
          <w:rFonts w:ascii="Times New Roman" w:eastAsiaTheme="majorEastAsia" w:hAnsi="Times New Roman" w:cs="Times New Roman"/>
        </w:rPr>
        <w:t>The cost of cultivation was calculated based to the treatment, based on the market prices of various common and variable agro-inputs utilized. The results obtained are shown in Table 1 and illustrated in Figure 1. The data clearly indicates that the weedy check treatment incurred the lowest cultivation cost (Rs 32625 ha</w:t>
      </w:r>
      <w:r w:rsidRPr="00B37B3D">
        <w:rPr>
          <w:rFonts w:ascii="Times New Roman" w:eastAsiaTheme="majorEastAsia" w:hAnsi="Times New Roman" w:cs="Times New Roman"/>
          <w:highlight w:val="yellow"/>
          <w:vertAlign w:val="superscript"/>
        </w:rPr>
        <w:t>-1</w:t>
      </w:r>
      <w:r w:rsidRPr="00891EA5">
        <w:rPr>
          <w:rFonts w:ascii="Times New Roman" w:eastAsiaTheme="majorEastAsia" w:hAnsi="Times New Roman" w:cs="Times New Roman"/>
        </w:rPr>
        <w:t>), while the application of Diclosulam 0.9% + Pendimethalin 35% SE18 + 700 g ha-1 resulted in a slight increase in cost (Rs 36675 ha</w:t>
      </w:r>
      <w:r w:rsidRPr="00B37B3D">
        <w:rPr>
          <w:rFonts w:ascii="Times New Roman" w:eastAsiaTheme="majorEastAsia" w:hAnsi="Times New Roman" w:cs="Times New Roman"/>
          <w:highlight w:val="yellow"/>
          <w:vertAlign w:val="superscript"/>
        </w:rPr>
        <w:t>-1</w:t>
      </w:r>
      <w:r w:rsidRPr="00891EA5">
        <w:rPr>
          <w:rFonts w:ascii="Times New Roman" w:eastAsiaTheme="majorEastAsia" w:hAnsi="Times New Roman" w:cs="Times New Roman"/>
        </w:rPr>
        <w:t xml:space="preserve">). The expenses associated with cultivation rose further due to the addition of various herbicidal treatments, ranging from Rs.36675 to Rs.42225 per hectare in these treatments. </w:t>
      </w:r>
      <w:r w:rsidR="007D4C2E" w:rsidRPr="007D4C2E">
        <w:rPr>
          <w:rFonts w:ascii="Times New Roman" w:eastAsiaTheme="majorEastAsia" w:hAnsi="Times New Roman" w:cs="Times New Roman"/>
        </w:rPr>
        <w:t>The expense attained its highest level (Rs. 44325 ha</w:t>
      </w:r>
      <w:r w:rsidR="007D4C2E" w:rsidRPr="00B37B3D">
        <w:rPr>
          <w:rFonts w:ascii="Times New Roman" w:eastAsiaTheme="majorEastAsia" w:hAnsi="Times New Roman" w:cs="Times New Roman"/>
          <w:highlight w:val="yellow"/>
          <w:vertAlign w:val="superscript"/>
        </w:rPr>
        <w:t>-1</w:t>
      </w:r>
      <w:r w:rsidR="007D4C2E" w:rsidRPr="007D4C2E">
        <w:rPr>
          <w:rFonts w:ascii="Times New Roman" w:eastAsiaTheme="majorEastAsia" w:hAnsi="Times New Roman" w:cs="Times New Roman"/>
        </w:rPr>
        <w:t>) with two instances of manual hand weeding. This may be attributed to the unaffordability for impoverished farmers, combined with the uncertain availability of labor during peak periods. The treatments including pre-plant inclusion of herbicides required comparatively reduced cultivation costs. The cost of cultivation significantly influences farmers' acceptance of any treatment. Consequently, it is evident that employing herbicides for weed management appears to be more cost-effective than manual weeding.</w:t>
      </w:r>
    </w:p>
    <w:p w14:paraId="3D4E3D21" w14:textId="66BDDD0F" w:rsidR="008307C0" w:rsidRPr="00F45FCC" w:rsidRDefault="008307C0" w:rsidP="003456E4">
      <w:pPr>
        <w:pStyle w:val="Style59"/>
        <w:widowControl/>
        <w:tabs>
          <w:tab w:val="left" w:pos="720"/>
        </w:tabs>
        <w:spacing w:line="360" w:lineRule="auto"/>
        <w:jc w:val="both"/>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Gross monetary returns (GMRs)</w:t>
      </w:r>
    </w:p>
    <w:p w14:paraId="17B5DA26" w14:textId="632E016C" w:rsidR="000A728E" w:rsidRPr="000A728E" w:rsidRDefault="000A728E" w:rsidP="000A728E">
      <w:pPr>
        <w:pStyle w:val="Style59"/>
        <w:tabs>
          <w:tab w:val="left" w:pos="720"/>
        </w:tabs>
        <w:spacing w:line="360" w:lineRule="auto"/>
        <w:jc w:val="both"/>
        <w:rPr>
          <w:rFonts w:ascii="Times New Roman" w:hAnsi="Times New Roman" w:cs="Times New Roman"/>
        </w:rPr>
      </w:pPr>
      <w:r w:rsidRPr="000A728E">
        <w:rPr>
          <w:rFonts w:ascii="Times New Roman" w:hAnsi="Times New Roman" w:cs="Times New Roman"/>
        </w:rPr>
        <w:t xml:space="preserve">The gross monetary returns (GMR) under a specific treatment were calculated by taking into account the value of economic produce (seed) and haulm based on the current market rate (Table 1 and Figure 1). The weedy check plot had the lowest GMR (Rs 39373 </w:t>
      </w:r>
      <w:r w:rsidR="00B37B3D" w:rsidRPr="007D4C2E">
        <w:rPr>
          <w:rFonts w:ascii="Times New Roman" w:eastAsiaTheme="majorEastAsia" w:hAnsi="Times New Roman" w:cs="Times New Roman"/>
        </w:rPr>
        <w:t>ha</w:t>
      </w:r>
      <w:r w:rsidR="00B37B3D" w:rsidRPr="00B37B3D">
        <w:rPr>
          <w:rFonts w:ascii="Times New Roman" w:eastAsiaTheme="majorEastAsia" w:hAnsi="Times New Roman" w:cs="Times New Roman"/>
          <w:highlight w:val="yellow"/>
          <w:vertAlign w:val="superscript"/>
        </w:rPr>
        <w:t>-1</w:t>
      </w:r>
      <w:r w:rsidRPr="000A728E">
        <w:rPr>
          <w:rFonts w:ascii="Times New Roman" w:hAnsi="Times New Roman" w:cs="Times New Roman"/>
        </w:rPr>
        <w:t xml:space="preserve">), but all of the plots getting weed management had a notable rise in GMR. Diclosulam 0.9% + Pendimethalin 35% SE plots applied together at 22.5 + 875 g ha-1 produced the highest GMR (Rs 75211 </w:t>
      </w:r>
      <w:r w:rsidR="00B37B3D" w:rsidRPr="007D4C2E">
        <w:rPr>
          <w:rFonts w:ascii="Times New Roman" w:eastAsiaTheme="majorEastAsia" w:hAnsi="Times New Roman" w:cs="Times New Roman"/>
        </w:rPr>
        <w:t>ha</w:t>
      </w:r>
      <w:r w:rsidR="00B37B3D" w:rsidRPr="00B37B3D">
        <w:rPr>
          <w:rFonts w:ascii="Times New Roman" w:eastAsiaTheme="majorEastAsia" w:hAnsi="Times New Roman" w:cs="Times New Roman"/>
          <w:highlight w:val="yellow"/>
          <w:vertAlign w:val="superscript"/>
        </w:rPr>
        <w:t>-1</w:t>
      </w:r>
      <w:r w:rsidRPr="000A728E">
        <w:rPr>
          <w:rFonts w:ascii="Times New Roman" w:hAnsi="Times New Roman" w:cs="Times New Roman"/>
        </w:rPr>
        <w:t xml:space="preserve">), closely followed by </w:t>
      </w:r>
      <w:r w:rsidR="00B37B3D" w:rsidRPr="00B37B3D">
        <w:rPr>
          <w:rFonts w:ascii="Times New Roman" w:hAnsi="Times New Roman" w:cs="Times New Roman"/>
          <w:color w:val="000000"/>
          <w:highlight w:val="yellow"/>
        </w:rPr>
        <w:t>Diclosulam 0.9% + Pendimethalin 35% SE</w:t>
      </w:r>
      <w:r w:rsidRPr="000A728E">
        <w:rPr>
          <w:rFonts w:ascii="Times New Roman" w:hAnsi="Times New Roman" w:cs="Times New Roman"/>
        </w:rPr>
        <w:t xml:space="preserve"> (Rs 67471</w:t>
      </w:r>
      <w:r w:rsidR="00B37B3D">
        <w:rPr>
          <w:rFonts w:ascii="Times New Roman" w:hAnsi="Times New Roman" w:cs="Times New Roman"/>
        </w:rPr>
        <w:t xml:space="preserve"> </w:t>
      </w:r>
      <w:r w:rsidR="00B37B3D" w:rsidRPr="007D4C2E">
        <w:rPr>
          <w:rFonts w:ascii="Times New Roman" w:eastAsiaTheme="majorEastAsia" w:hAnsi="Times New Roman" w:cs="Times New Roman"/>
        </w:rPr>
        <w:t>ha</w:t>
      </w:r>
      <w:r w:rsidR="00B37B3D" w:rsidRPr="00B37B3D">
        <w:rPr>
          <w:rFonts w:ascii="Times New Roman" w:eastAsiaTheme="majorEastAsia" w:hAnsi="Times New Roman" w:cs="Times New Roman"/>
          <w:highlight w:val="yellow"/>
          <w:vertAlign w:val="superscript"/>
        </w:rPr>
        <w:t>-1</w:t>
      </w:r>
      <w:r w:rsidRPr="000A728E">
        <w:rPr>
          <w:rFonts w:ascii="Times New Roman" w:hAnsi="Times New Roman" w:cs="Times New Roman"/>
        </w:rPr>
        <w:t xml:space="preserve">). However, when hand weeding was used, the GMR reached its maximum (Rs 84445 ha-1). The higher soybean seed and haulm yields under these treatments were the reason of the higher GMR values. Similar results were also reported Idapuganti </w:t>
      </w:r>
      <w:r w:rsidRPr="00B37B3D">
        <w:rPr>
          <w:rFonts w:ascii="Times New Roman" w:hAnsi="Times New Roman" w:cs="Times New Roman"/>
          <w:i/>
          <w:iCs/>
          <w:highlight w:val="yellow"/>
        </w:rPr>
        <w:t>et al.</w:t>
      </w:r>
      <w:r w:rsidRPr="000A728E">
        <w:rPr>
          <w:rFonts w:ascii="Times New Roman" w:hAnsi="Times New Roman" w:cs="Times New Roman"/>
        </w:rPr>
        <w:t xml:space="preserve"> (2005).</w:t>
      </w:r>
    </w:p>
    <w:p w14:paraId="22CF499B" w14:textId="36CADF94" w:rsidR="008307C0" w:rsidRPr="00F45FCC" w:rsidRDefault="008307C0" w:rsidP="003456E4">
      <w:pPr>
        <w:pStyle w:val="Style59"/>
        <w:widowControl/>
        <w:tabs>
          <w:tab w:val="left" w:pos="720"/>
        </w:tabs>
        <w:spacing w:line="360" w:lineRule="auto"/>
        <w:jc w:val="both"/>
        <w:rPr>
          <w:rStyle w:val="FontStyle99"/>
          <w:rFonts w:ascii="Times New Roman" w:hAnsi="Times New Roman" w:cs="Times New Roman"/>
          <w:sz w:val="24"/>
          <w:szCs w:val="24"/>
          <w:lang w:val="en-US" w:eastAsia="en-US"/>
        </w:rPr>
      </w:pPr>
      <w:r w:rsidRPr="00F45FCC">
        <w:rPr>
          <w:rStyle w:val="FontStyle99"/>
          <w:rFonts w:ascii="Times New Roman" w:hAnsi="Times New Roman" w:cs="Times New Roman"/>
          <w:sz w:val="24"/>
          <w:szCs w:val="24"/>
          <w:lang w:val="en-US" w:eastAsia="en-US"/>
        </w:rPr>
        <w:t>Net monetary returns (NMRs)</w:t>
      </w:r>
    </w:p>
    <w:p w14:paraId="4DD0E3E4" w14:textId="12EDD4EB" w:rsidR="00605214" w:rsidRPr="00605214" w:rsidRDefault="007B7B72" w:rsidP="00605214">
      <w:pPr>
        <w:widowControl w:val="0"/>
        <w:autoSpaceDE w:val="0"/>
        <w:autoSpaceDN w:val="0"/>
        <w:adjustRightInd w:val="0"/>
        <w:spacing w:after="0" w:line="360" w:lineRule="auto"/>
        <w:jc w:val="both"/>
        <w:rPr>
          <w:rFonts w:ascii="Times New Roman" w:hAnsi="Times New Roman" w:cs="Times New Roman"/>
          <w:sz w:val="24"/>
          <w:szCs w:val="24"/>
        </w:rPr>
      </w:pPr>
      <w:r w:rsidRPr="007B7B72">
        <w:rPr>
          <w:rFonts w:ascii="Times New Roman" w:hAnsi="Times New Roman" w:cs="Times New Roman"/>
          <w:sz w:val="24"/>
          <w:szCs w:val="24"/>
        </w:rPr>
        <w:t>The net monetary returns (NMR) for each treatment were calculated by deducting the cultivation cost from the treatment's GMR. The resulting treatment-wise values were displayed in Table 1 (Figure 1). The data showed that the NMR (Rs. 40120 ha</w:t>
      </w:r>
      <w:r w:rsidRPr="00B37B3D">
        <w:rPr>
          <w:rFonts w:ascii="Times New Roman" w:hAnsi="Times New Roman" w:cs="Times New Roman"/>
          <w:sz w:val="24"/>
          <w:szCs w:val="24"/>
          <w:highlight w:val="yellow"/>
          <w:vertAlign w:val="superscript"/>
        </w:rPr>
        <w:t>-1</w:t>
      </w:r>
      <w:r w:rsidRPr="007B7B72">
        <w:rPr>
          <w:rFonts w:ascii="Times New Roman" w:hAnsi="Times New Roman" w:cs="Times New Roman"/>
          <w:sz w:val="24"/>
          <w:szCs w:val="24"/>
        </w:rPr>
        <w:t xml:space="preserve">) was subjected to hand weeding twice. Diclosulam 0.9% + Pendimethalin 35% SE at 22.5 + 875 g ha-1 (Rs. 37611 </w:t>
      </w:r>
      <w:r w:rsidR="00B37B3D" w:rsidRPr="007B7B72">
        <w:rPr>
          <w:rFonts w:ascii="Times New Roman" w:hAnsi="Times New Roman" w:cs="Times New Roman"/>
          <w:sz w:val="24"/>
          <w:szCs w:val="24"/>
        </w:rPr>
        <w:t>ha</w:t>
      </w:r>
      <w:r w:rsidR="00B37B3D" w:rsidRPr="00B37B3D">
        <w:rPr>
          <w:rFonts w:ascii="Times New Roman" w:hAnsi="Times New Roman" w:cs="Times New Roman"/>
          <w:sz w:val="24"/>
          <w:szCs w:val="24"/>
          <w:highlight w:val="yellow"/>
          <w:vertAlign w:val="superscript"/>
        </w:rPr>
        <w:t>-1</w:t>
      </w:r>
      <w:r w:rsidRPr="007B7B72">
        <w:rPr>
          <w:rFonts w:ascii="Times New Roman" w:hAnsi="Times New Roman" w:cs="Times New Roman"/>
          <w:sz w:val="24"/>
          <w:szCs w:val="24"/>
        </w:rPr>
        <w:t xml:space="preserve">) suggesting that was more profitable than hand weeding twice which requires highest investment on weeding. The NMR with treatment Diclosulam 0.9% + Pendimethalin 35% SE at 22.5 + 875 g </w:t>
      </w:r>
      <w:r w:rsidR="00B37B3D" w:rsidRPr="007B7B72">
        <w:rPr>
          <w:rFonts w:ascii="Times New Roman" w:hAnsi="Times New Roman" w:cs="Times New Roman"/>
          <w:sz w:val="24"/>
          <w:szCs w:val="24"/>
        </w:rPr>
        <w:t>ha</w:t>
      </w:r>
      <w:r w:rsidR="00B37B3D" w:rsidRPr="00B37B3D">
        <w:rPr>
          <w:rFonts w:ascii="Times New Roman" w:hAnsi="Times New Roman" w:cs="Times New Roman"/>
          <w:sz w:val="24"/>
          <w:szCs w:val="24"/>
          <w:highlight w:val="yellow"/>
          <w:vertAlign w:val="superscript"/>
        </w:rPr>
        <w:t>-1</w:t>
      </w:r>
      <w:r w:rsidR="00B37B3D">
        <w:rPr>
          <w:rFonts w:ascii="Times New Roman" w:hAnsi="Times New Roman" w:cs="Times New Roman"/>
          <w:sz w:val="24"/>
          <w:szCs w:val="24"/>
          <w:vertAlign w:val="superscript"/>
        </w:rPr>
        <w:t xml:space="preserve"> </w:t>
      </w:r>
      <w:r w:rsidRPr="007B7B72">
        <w:rPr>
          <w:rFonts w:ascii="Times New Roman" w:hAnsi="Times New Roman" w:cs="Times New Roman"/>
          <w:sz w:val="24"/>
          <w:szCs w:val="24"/>
        </w:rPr>
        <w:t xml:space="preserve">closely followed by Diclosulam 0.9% + Pendimethalin 35% SE at 45 + 1750 g </w:t>
      </w:r>
      <w:r w:rsidR="00B37B3D" w:rsidRPr="007B7B72">
        <w:rPr>
          <w:rFonts w:ascii="Times New Roman" w:hAnsi="Times New Roman" w:cs="Times New Roman"/>
          <w:sz w:val="24"/>
          <w:szCs w:val="24"/>
        </w:rPr>
        <w:t>ha</w:t>
      </w:r>
      <w:r w:rsidR="00B37B3D" w:rsidRPr="00B37B3D">
        <w:rPr>
          <w:rFonts w:ascii="Times New Roman" w:hAnsi="Times New Roman" w:cs="Times New Roman"/>
          <w:sz w:val="24"/>
          <w:szCs w:val="24"/>
          <w:highlight w:val="yellow"/>
          <w:vertAlign w:val="superscript"/>
        </w:rPr>
        <w:t>-1</w:t>
      </w:r>
      <w:r w:rsidR="00B37B3D" w:rsidRPr="007B7B72">
        <w:rPr>
          <w:rFonts w:ascii="Times New Roman" w:hAnsi="Times New Roman" w:cs="Times New Roman"/>
          <w:sz w:val="24"/>
          <w:szCs w:val="24"/>
        </w:rPr>
        <w:t xml:space="preserve"> </w:t>
      </w:r>
      <w:r w:rsidR="00B37B3D">
        <w:rPr>
          <w:rFonts w:ascii="Times New Roman" w:hAnsi="Times New Roman" w:cs="Times New Roman"/>
          <w:sz w:val="24"/>
          <w:szCs w:val="24"/>
        </w:rPr>
        <w:t>(</w:t>
      </w:r>
      <w:r w:rsidRPr="007B7B72">
        <w:rPr>
          <w:rFonts w:ascii="Times New Roman" w:hAnsi="Times New Roman" w:cs="Times New Roman"/>
          <w:sz w:val="24"/>
          <w:szCs w:val="24"/>
        </w:rPr>
        <w:t xml:space="preserve">Rs. 25246ha-1). </w:t>
      </w:r>
      <w:r w:rsidR="00605214" w:rsidRPr="00605214">
        <w:rPr>
          <w:rFonts w:ascii="Times New Roman" w:hAnsi="Times New Roman" w:cs="Times New Roman"/>
          <w:sz w:val="24"/>
          <w:szCs w:val="24"/>
        </w:rPr>
        <w:t xml:space="preserve">Both Kewat </w:t>
      </w:r>
      <w:r w:rsidR="00605214" w:rsidRPr="00B37B3D">
        <w:rPr>
          <w:rFonts w:ascii="Times New Roman" w:hAnsi="Times New Roman" w:cs="Times New Roman"/>
          <w:i/>
          <w:iCs/>
          <w:sz w:val="24"/>
          <w:szCs w:val="24"/>
          <w:highlight w:val="yellow"/>
        </w:rPr>
        <w:t>et al.</w:t>
      </w:r>
      <w:r w:rsidR="00605214" w:rsidRPr="00605214">
        <w:rPr>
          <w:rFonts w:ascii="Times New Roman" w:hAnsi="Times New Roman" w:cs="Times New Roman"/>
          <w:sz w:val="24"/>
          <w:szCs w:val="24"/>
        </w:rPr>
        <w:t xml:space="preserve"> (2000) and Idapuganti </w:t>
      </w:r>
      <w:r w:rsidR="00605214" w:rsidRPr="00B37B3D">
        <w:rPr>
          <w:rFonts w:ascii="Times New Roman" w:hAnsi="Times New Roman" w:cs="Times New Roman"/>
          <w:i/>
          <w:iCs/>
          <w:sz w:val="24"/>
          <w:szCs w:val="24"/>
          <w:highlight w:val="yellow"/>
        </w:rPr>
        <w:t>et al.</w:t>
      </w:r>
      <w:r w:rsidR="00605214" w:rsidRPr="00605214">
        <w:rPr>
          <w:rFonts w:ascii="Times New Roman" w:hAnsi="Times New Roman" w:cs="Times New Roman"/>
          <w:sz w:val="24"/>
          <w:szCs w:val="24"/>
        </w:rPr>
        <w:t xml:space="preserve"> (2005) found </w:t>
      </w:r>
      <w:r w:rsidR="00605214" w:rsidRPr="00605214">
        <w:rPr>
          <w:rFonts w:ascii="Times New Roman" w:hAnsi="Times New Roman" w:cs="Times New Roman"/>
          <w:sz w:val="24"/>
          <w:szCs w:val="24"/>
        </w:rPr>
        <w:lastRenderedPageBreak/>
        <w:t>similar findings.</w:t>
      </w:r>
    </w:p>
    <w:p w14:paraId="4CB27250" w14:textId="1DCB397E" w:rsidR="008307C0" w:rsidRPr="00F45FCC" w:rsidRDefault="008307C0" w:rsidP="00605214">
      <w:pPr>
        <w:widowControl w:val="0"/>
        <w:autoSpaceDE w:val="0"/>
        <w:autoSpaceDN w:val="0"/>
        <w:adjustRightInd w:val="0"/>
        <w:spacing w:after="0" w:line="360" w:lineRule="auto"/>
        <w:jc w:val="both"/>
        <w:rPr>
          <w:rFonts w:ascii="Times New Roman" w:hAnsi="Times New Roman" w:cs="Times New Roman"/>
          <w:b/>
          <w:bCs/>
          <w:lang w:val="en-US"/>
        </w:rPr>
      </w:pPr>
      <w:r w:rsidRPr="00F45FCC">
        <w:rPr>
          <w:rStyle w:val="FontStyle99"/>
          <w:rFonts w:ascii="Times New Roman" w:hAnsi="Times New Roman" w:cs="Times New Roman"/>
          <w:sz w:val="24"/>
          <w:szCs w:val="24"/>
          <w:lang w:val="en-US"/>
        </w:rPr>
        <w:t>Benefit-cost ratio (B: C)</w:t>
      </w:r>
    </w:p>
    <w:p w14:paraId="3EEBE737" w14:textId="7F2382A3" w:rsidR="00605214" w:rsidRPr="00605214" w:rsidRDefault="0031590E" w:rsidP="00605214">
      <w:pPr>
        <w:widowControl w:val="0"/>
        <w:autoSpaceDE w:val="0"/>
        <w:autoSpaceDN w:val="0"/>
        <w:adjustRightInd w:val="0"/>
        <w:spacing w:after="0" w:line="360" w:lineRule="auto"/>
        <w:jc w:val="both"/>
        <w:rPr>
          <w:rFonts w:ascii="Times New Roman" w:hAnsi="Times New Roman" w:cs="Times New Roman"/>
          <w:sz w:val="24"/>
          <w:szCs w:val="24"/>
        </w:rPr>
      </w:pPr>
      <w:r w:rsidRPr="0031590E">
        <w:rPr>
          <w:rFonts w:ascii="Times New Roman" w:hAnsi="Times New Roman" w:cs="Times New Roman"/>
          <w:sz w:val="24"/>
          <w:szCs w:val="24"/>
        </w:rPr>
        <w:t xml:space="preserve">It represents the net economic return for each rupee invested under a specific treatment. Table 1 and Figure 2 present the benefit-cost ratio statistics as influenced by various interventions. The data clearly show that using Diclosulam 0.9% + Pendimethalin 35% SE at 22.5 + 875 g </w:t>
      </w:r>
      <w:r w:rsidR="00BC6380" w:rsidRPr="007B7B72">
        <w:rPr>
          <w:rFonts w:ascii="Times New Roman" w:hAnsi="Times New Roman" w:cs="Times New Roman"/>
          <w:sz w:val="24"/>
          <w:szCs w:val="24"/>
        </w:rPr>
        <w:t>ha</w:t>
      </w:r>
      <w:r w:rsidR="00BC6380" w:rsidRPr="00B37B3D">
        <w:rPr>
          <w:rFonts w:ascii="Times New Roman" w:hAnsi="Times New Roman" w:cs="Times New Roman"/>
          <w:sz w:val="24"/>
          <w:szCs w:val="24"/>
          <w:highlight w:val="yellow"/>
          <w:vertAlign w:val="superscript"/>
        </w:rPr>
        <w:t>-1</w:t>
      </w:r>
      <w:r w:rsidR="00BC6380">
        <w:rPr>
          <w:rFonts w:ascii="Times New Roman" w:hAnsi="Times New Roman" w:cs="Times New Roman"/>
          <w:sz w:val="24"/>
          <w:szCs w:val="24"/>
          <w:vertAlign w:val="superscript"/>
        </w:rPr>
        <w:t xml:space="preserve"> </w:t>
      </w:r>
      <w:r w:rsidRPr="0031590E">
        <w:rPr>
          <w:rFonts w:ascii="Times New Roman" w:hAnsi="Times New Roman" w:cs="Times New Roman"/>
          <w:sz w:val="24"/>
          <w:szCs w:val="24"/>
        </w:rPr>
        <w:t xml:space="preserve">resulted in a higher B: C ratio (2.00), closely followed by </w:t>
      </w:r>
      <w:r w:rsidR="00BC6380" w:rsidRPr="00BC6380">
        <w:rPr>
          <w:rFonts w:ascii="Times New Roman" w:hAnsi="Times New Roman" w:cs="Times New Roman"/>
          <w:sz w:val="24"/>
          <w:szCs w:val="24"/>
          <w:highlight w:val="yellow"/>
        </w:rPr>
        <w:t>Diclosulam 84 % WG</w:t>
      </w:r>
      <w:r w:rsidR="00BC6380">
        <w:rPr>
          <w:rFonts w:ascii="Times New Roman" w:hAnsi="Times New Roman" w:cs="Times New Roman"/>
          <w:sz w:val="24"/>
          <w:szCs w:val="24"/>
        </w:rPr>
        <w:t xml:space="preserve"> </w:t>
      </w:r>
      <w:r w:rsidRPr="0031590E">
        <w:rPr>
          <w:rFonts w:ascii="Times New Roman" w:hAnsi="Times New Roman" w:cs="Times New Roman"/>
          <w:sz w:val="24"/>
          <w:szCs w:val="24"/>
        </w:rPr>
        <w:t xml:space="preserve">(1.74). Hand weeding gave the highest benefit-cost ratio (1.91). Weedy check, however, had the lowest B: C ratio (1.21). The benefit-cost ratio, which shows the overall economic gain under a specific treatment for every rupee of investment, indicates how profitable the therapies are. </w:t>
      </w:r>
      <w:r w:rsidR="00605214" w:rsidRPr="00605214">
        <w:rPr>
          <w:rFonts w:ascii="Times New Roman" w:hAnsi="Times New Roman" w:cs="Times New Roman"/>
          <w:sz w:val="24"/>
          <w:szCs w:val="24"/>
        </w:rPr>
        <w:t xml:space="preserve">Idapuganti </w:t>
      </w:r>
      <w:r w:rsidR="00605214" w:rsidRPr="00BC6380">
        <w:rPr>
          <w:rFonts w:ascii="Times New Roman" w:hAnsi="Times New Roman" w:cs="Times New Roman"/>
          <w:i/>
          <w:iCs/>
          <w:sz w:val="24"/>
          <w:szCs w:val="24"/>
          <w:highlight w:val="yellow"/>
        </w:rPr>
        <w:t>et al</w:t>
      </w:r>
      <w:r w:rsidR="00605214" w:rsidRPr="00605214">
        <w:rPr>
          <w:rFonts w:ascii="Times New Roman" w:hAnsi="Times New Roman" w:cs="Times New Roman"/>
          <w:sz w:val="24"/>
          <w:szCs w:val="24"/>
        </w:rPr>
        <w:t xml:space="preserve">. (2005) and Kewat </w:t>
      </w:r>
      <w:r w:rsidR="00605214" w:rsidRPr="00BC6380">
        <w:rPr>
          <w:rFonts w:ascii="Times New Roman" w:hAnsi="Times New Roman" w:cs="Times New Roman"/>
          <w:i/>
          <w:iCs/>
          <w:sz w:val="24"/>
          <w:szCs w:val="24"/>
          <w:highlight w:val="yellow"/>
        </w:rPr>
        <w:t>et al.</w:t>
      </w:r>
      <w:r w:rsidR="00605214" w:rsidRPr="00605214">
        <w:rPr>
          <w:rFonts w:ascii="Times New Roman" w:hAnsi="Times New Roman" w:cs="Times New Roman"/>
          <w:sz w:val="24"/>
          <w:szCs w:val="24"/>
        </w:rPr>
        <w:t xml:space="preserve"> (2000) both reported similar findings.</w:t>
      </w:r>
    </w:p>
    <w:p w14:paraId="7C1025FD" w14:textId="77777777" w:rsidR="009464C5" w:rsidRDefault="009464C5" w:rsidP="00605214">
      <w:pPr>
        <w:widowControl w:val="0"/>
        <w:autoSpaceDE w:val="0"/>
        <w:autoSpaceDN w:val="0"/>
        <w:adjustRightInd w:val="0"/>
        <w:spacing w:after="0" w:line="360" w:lineRule="auto"/>
        <w:jc w:val="both"/>
        <w:rPr>
          <w:rFonts w:ascii="Times New Roman" w:hAnsi="Times New Roman" w:cs="Times New Roman"/>
          <w:b/>
          <w:bCs/>
          <w:sz w:val="24"/>
          <w:szCs w:val="24"/>
        </w:rPr>
        <w:sectPr w:rsidR="009464C5" w:rsidSect="005A22B4">
          <w:type w:val="continuous"/>
          <w:pgSz w:w="11906" w:h="16838"/>
          <w:pgMar w:top="1440" w:right="1440" w:bottom="1440" w:left="1440" w:header="708" w:footer="708" w:gutter="0"/>
          <w:cols w:space="708"/>
          <w:docGrid w:linePitch="360"/>
        </w:sectPr>
      </w:pPr>
    </w:p>
    <w:p w14:paraId="020B02B0" w14:textId="7B1209DC" w:rsidR="00F101D9" w:rsidRPr="00A93BAC" w:rsidRDefault="00F101D9" w:rsidP="00605214">
      <w:pPr>
        <w:widowControl w:val="0"/>
        <w:autoSpaceDE w:val="0"/>
        <w:autoSpaceDN w:val="0"/>
        <w:adjustRightInd w:val="0"/>
        <w:spacing w:after="0" w:line="360" w:lineRule="auto"/>
        <w:jc w:val="both"/>
        <w:rPr>
          <w:rFonts w:ascii="Times New Roman" w:hAnsi="Times New Roman" w:cs="Times New Roman"/>
          <w:b/>
          <w:bCs/>
          <w:sz w:val="24"/>
          <w:szCs w:val="24"/>
        </w:rPr>
      </w:pPr>
      <w:r w:rsidRPr="00A93BAC">
        <w:rPr>
          <w:rFonts w:ascii="Times New Roman" w:hAnsi="Times New Roman" w:cs="Times New Roman"/>
          <w:b/>
          <w:bCs/>
          <w:sz w:val="24"/>
          <w:szCs w:val="24"/>
        </w:rPr>
        <w:t xml:space="preserve">Table </w:t>
      </w:r>
      <w:r w:rsidR="001D2A58">
        <w:rPr>
          <w:rFonts w:ascii="Times New Roman" w:hAnsi="Times New Roman" w:cs="Times New Roman"/>
          <w:b/>
          <w:bCs/>
          <w:sz w:val="24"/>
          <w:szCs w:val="24"/>
        </w:rPr>
        <w:t>1</w:t>
      </w:r>
      <w:r w:rsidRPr="00A93BAC">
        <w:rPr>
          <w:rFonts w:ascii="Times New Roman" w:hAnsi="Times New Roman" w:cs="Times New Roman"/>
          <w:b/>
          <w:bCs/>
          <w:sz w:val="24"/>
          <w:szCs w:val="24"/>
        </w:rPr>
        <w:t>. Economic analysis of different weed control treatments</w:t>
      </w:r>
    </w:p>
    <w:tbl>
      <w:tblPr>
        <w:tblW w:w="90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
        <w:gridCol w:w="2745"/>
        <w:gridCol w:w="1629"/>
        <w:gridCol w:w="1287"/>
        <w:gridCol w:w="1152"/>
        <w:gridCol w:w="1089"/>
        <w:gridCol w:w="738"/>
      </w:tblGrid>
      <w:tr w:rsidR="00F101D9" w:rsidRPr="00A93BAC" w14:paraId="66616FF6" w14:textId="77777777" w:rsidTr="000E3B57">
        <w:trPr>
          <w:trHeight w:val="443"/>
        </w:trPr>
        <w:tc>
          <w:tcPr>
            <w:tcW w:w="3195" w:type="dxa"/>
            <w:gridSpan w:val="2"/>
            <w:tcMar>
              <w:top w:w="15" w:type="dxa"/>
              <w:left w:w="14" w:type="dxa"/>
              <w:bottom w:w="0" w:type="dxa"/>
              <w:right w:w="14" w:type="dxa"/>
            </w:tcMar>
            <w:vAlign w:val="center"/>
          </w:tcPr>
          <w:p w14:paraId="7B72BECD"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hAnsi="Times New Roman" w:cs="Times New Roman"/>
                <w:b/>
                <w:bCs/>
                <w:szCs w:val="24"/>
              </w:rPr>
              <w:t>Treatments</w:t>
            </w:r>
          </w:p>
        </w:tc>
        <w:tc>
          <w:tcPr>
            <w:tcW w:w="1629" w:type="dxa"/>
            <w:tcMar>
              <w:top w:w="15" w:type="dxa"/>
              <w:left w:w="14" w:type="dxa"/>
              <w:bottom w:w="0" w:type="dxa"/>
              <w:right w:w="14" w:type="dxa"/>
            </w:tcMar>
            <w:vAlign w:val="center"/>
          </w:tcPr>
          <w:p w14:paraId="7C0EA666"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hAnsi="Times New Roman" w:cs="Times New Roman"/>
                <w:b/>
                <w:bCs/>
                <w:szCs w:val="24"/>
              </w:rPr>
              <w:t>Dose g ha</w:t>
            </w:r>
            <w:r w:rsidRPr="00A93BAC">
              <w:rPr>
                <w:rFonts w:ascii="Times New Roman" w:hAnsi="Times New Roman" w:cs="Times New Roman"/>
                <w:b/>
                <w:bCs/>
                <w:szCs w:val="24"/>
                <w:vertAlign w:val="superscript"/>
              </w:rPr>
              <w:t>-1</w:t>
            </w:r>
          </w:p>
        </w:tc>
        <w:tc>
          <w:tcPr>
            <w:tcW w:w="1287" w:type="dxa"/>
            <w:tcMar>
              <w:top w:w="15" w:type="dxa"/>
              <w:left w:w="14" w:type="dxa"/>
              <w:bottom w:w="0" w:type="dxa"/>
              <w:right w:w="14" w:type="dxa"/>
            </w:tcMar>
            <w:vAlign w:val="center"/>
          </w:tcPr>
          <w:p w14:paraId="5912856C"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eastAsia="Times New Roman" w:hAnsi="Times New Roman" w:cs="Times New Roman"/>
                <w:b/>
                <w:kern w:val="24"/>
                <w:szCs w:val="24"/>
              </w:rPr>
              <w:t>Cost of cultivation (Rsha</w:t>
            </w:r>
            <w:r w:rsidRPr="00A93BAC">
              <w:rPr>
                <w:rFonts w:ascii="Times New Roman" w:eastAsia="Times New Roman" w:hAnsi="Times New Roman" w:cs="Times New Roman"/>
                <w:b/>
                <w:kern w:val="24"/>
                <w:szCs w:val="24"/>
                <w:vertAlign w:val="superscript"/>
              </w:rPr>
              <w:t>-1</w:t>
            </w:r>
            <w:r w:rsidRPr="00A93BAC">
              <w:rPr>
                <w:rFonts w:ascii="Times New Roman" w:eastAsia="Times New Roman" w:hAnsi="Times New Roman" w:cs="Times New Roman"/>
                <w:b/>
                <w:kern w:val="24"/>
                <w:szCs w:val="24"/>
              </w:rPr>
              <w:t>)</w:t>
            </w:r>
          </w:p>
        </w:tc>
        <w:tc>
          <w:tcPr>
            <w:tcW w:w="1152" w:type="dxa"/>
            <w:tcMar>
              <w:top w:w="15" w:type="dxa"/>
              <w:left w:w="14" w:type="dxa"/>
              <w:bottom w:w="0" w:type="dxa"/>
              <w:right w:w="14" w:type="dxa"/>
            </w:tcMar>
            <w:vAlign w:val="center"/>
          </w:tcPr>
          <w:p w14:paraId="36956F81"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eastAsia="Times New Roman" w:hAnsi="Times New Roman" w:cs="Times New Roman"/>
                <w:b/>
                <w:kern w:val="24"/>
                <w:szCs w:val="24"/>
              </w:rPr>
              <w:t>Gross monetary returns (Rsha</w:t>
            </w:r>
            <w:r w:rsidRPr="00A93BAC">
              <w:rPr>
                <w:rFonts w:ascii="Times New Roman" w:eastAsia="Times New Roman" w:hAnsi="Times New Roman" w:cs="Times New Roman"/>
                <w:b/>
                <w:kern w:val="24"/>
                <w:szCs w:val="24"/>
                <w:vertAlign w:val="superscript"/>
              </w:rPr>
              <w:t>-1</w:t>
            </w:r>
            <w:r w:rsidRPr="00A93BAC">
              <w:rPr>
                <w:rFonts w:ascii="Times New Roman" w:eastAsia="Times New Roman" w:hAnsi="Times New Roman" w:cs="Times New Roman"/>
                <w:b/>
                <w:kern w:val="24"/>
                <w:szCs w:val="24"/>
              </w:rPr>
              <w:t>)</w:t>
            </w:r>
          </w:p>
        </w:tc>
        <w:tc>
          <w:tcPr>
            <w:tcW w:w="1089" w:type="dxa"/>
            <w:tcMar>
              <w:top w:w="15" w:type="dxa"/>
              <w:left w:w="14" w:type="dxa"/>
              <w:bottom w:w="0" w:type="dxa"/>
              <w:right w:w="14" w:type="dxa"/>
            </w:tcMar>
            <w:vAlign w:val="center"/>
          </w:tcPr>
          <w:p w14:paraId="1DE37797"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eastAsia="Times New Roman" w:hAnsi="Times New Roman" w:cs="Times New Roman"/>
                <w:b/>
                <w:kern w:val="24"/>
                <w:szCs w:val="24"/>
              </w:rPr>
              <w:t>Net monetary returns (Rsha</w:t>
            </w:r>
            <w:r w:rsidRPr="00A93BAC">
              <w:rPr>
                <w:rFonts w:ascii="Times New Roman" w:eastAsia="Times New Roman" w:hAnsi="Times New Roman" w:cs="Times New Roman"/>
                <w:b/>
                <w:kern w:val="24"/>
                <w:szCs w:val="24"/>
                <w:vertAlign w:val="superscript"/>
              </w:rPr>
              <w:t>-1</w:t>
            </w:r>
            <w:r w:rsidRPr="00A93BAC">
              <w:rPr>
                <w:rFonts w:ascii="Times New Roman" w:eastAsia="Times New Roman" w:hAnsi="Times New Roman" w:cs="Times New Roman"/>
                <w:b/>
                <w:kern w:val="24"/>
                <w:szCs w:val="24"/>
              </w:rPr>
              <w:t>)</w:t>
            </w:r>
          </w:p>
        </w:tc>
        <w:tc>
          <w:tcPr>
            <w:tcW w:w="738" w:type="dxa"/>
            <w:tcMar>
              <w:top w:w="15" w:type="dxa"/>
              <w:left w:w="14" w:type="dxa"/>
              <w:bottom w:w="0" w:type="dxa"/>
              <w:right w:w="14" w:type="dxa"/>
            </w:tcMar>
            <w:vAlign w:val="center"/>
          </w:tcPr>
          <w:p w14:paraId="3A6F9986" w14:textId="77777777" w:rsidR="00F101D9" w:rsidRPr="00A93BAC" w:rsidRDefault="00F101D9" w:rsidP="009E7708">
            <w:pPr>
              <w:spacing w:after="0" w:line="240" w:lineRule="auto"/>
              <w:jc w:val="center"/>
              <w:rPr>
                <w:rFonts w:ascii="Times New Roman" w:eastAsia="Times New Roman" w:hAnsi="Times New Roman" w:cs="Times New Roman"/>
                <w:b/>
                <w:szCs w:val="24"/>
              </w:rPr>
            </w:pPr>
            <w:r w:rsidRPr="00A93BAC">
              <w:rPr>
                <w:rFonts w:ascii="Times New Roman" w:eastAsia="Times New Roman" w:hAnsi="Times New Roman" w:cs="Times New Roman"/>
                <w:b/>
                <w:kern w:val="24"/>
                <w:szCs w:val="24"/>
              </w:rPr>
              <w:t>B:C Ratio</w:t>
            </w:r>
          </w:p>
        </w:tc>
      </w:tr>
      <w:tr w:rsidR="00F101D9" w:rsidRPr="00A93BAC" w14:paraId="0A619817" w14:textId="77777777" w:rsidTr="000E3B57">
        <w:trPr>
          <w:trHeight w:val="62"/>
        </w:trPr>
        <w:tc>
          <w:tcPr>
            <w:tcW w:w="450" w:type="dxa"/>
            <w:tcMar>
              <w:top w:w="15" w:type="dxa"/>
              <w:left w:w="62" w:type="dxa"/>
              <w:bottom w:w="0" w:type="dxa"/>
              <w:right w:w="62" w:type="dxa"/>
            </w:tcMar>
            <w:vAlign w:val="center"/>
          </w:tcPr>
          <w:p w14:paraId="431118BE"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1</w:t>
            </w:r>
          </w:p>
        </w:tc>
        <w:tc>
          <w:tcPr>
            <w:tcW w:w="2745" w:type="dxa"/>
            <w:tcMar>
              <w:top w:w="15" w:type="dxa"/>
              <w:left w:w="62" w:type="dxa"/>
              <w:bottom w:w="0" w:type="dxa"/>
              <w:right w:w="62" w:type="dxa"/>
            </w:tcMar>
            <w:vAlign w:val="center"/>
          </w:tcPr>
          <w:p w14:paraId="01EF0BD7" w14:textId="77777777" w:rsidR="00F101D9" w:rsidRPr="00A93BAC" w:rsidRDefault="00F101D9" w:rsidP="009E7708">
            <w:pPr>
              <w:widowControl w:val="0"/>
              <w:spacing w:after="0" w:line="240" w:lineRule="auto"/>
              <w:rPr>
                <w:rFonts w:ascii="Times New Roman" w:hAnsi="Times New Roman" w:cs="Times New Roman"/>
                <w:b/>
                <w:bCs/>
                <w:sz w:val="24"/>
                <w:szCs w:val="24"/>
              </w:rPr>
            </w:pPr>
            <w:r w:rsidRPr="00A93BAC">
              <w:rPr>
                <w:rFonts w:ascii="Times New Roman" w:hAnsi="Times New Roman" w:cs="Times New Roman"/>
                <w:color w:val="000000"/>
                <w:sz w:val="24"/>
                <w:szCs w:val="24"/>
              </w:rPr>
              <w:t>Diclosulam 0.9% + Pendimethalin 35% SE</w:t>
            </w:r>
          </w:p>
        </w:tc>
        <w:tc>
          <w:tcPr>
            <w:tcW w:w="1629" w:type="dxa"/>
            <w:tcMar>
              <w:top w:w="15" w:type="dxa"/>
              <w:left w:w="61" w:type="dxa"/>
              <w:bottom w:w="0" w:type="dxa"/>
              <w:right w:w="61" w:type="dxa"/>
            </w:tcMar>
            <w:vAlign w:val="center"/>
          </w:tcPr>
          <w:p w14:paraId="4AA5F047"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18 + 700</w:t>
            </w:r>
          </w:p>
        </w:tc>
        <w:tc>
          <w:tcPr>
            <w:tcW w:w="1287" w:type="dxa"/>
            <w:tcMar>
              <w:top w:w="15" w:type="dxa"/>
              <w:left w:w="14" w:type="dxa"/>
              <w:bottom w:w="0" w:type="dxa"/>
              <w:right w:w="14" w:type="dxa"/>
            </w:tcMar>
            <w:vAlign w:val="center"/>
          </w:tcPr>
          <w:p w14:paraId="5AFF9DF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36675</w:t>
            </w:r>
          </w:p>
        </w:tc>
        <w:tc>
          <w:tcPr>
            <w:tcW w:w="1152" w:type="dxa"/>
            <w:tcMar>
              <w:top w:w="15" w:type="dxa"/>
              <w:left w:w="62" w:type="dxa"/>
              <w:bottom w:w="0" w:type="dxa"/>
              <w:right w:w="62" w:type="dxa"/>
            </w:tcMar>
            <w:vAlign w:val="center"/>
          </w:tcPr>
          <w:p w14:paraId="1B5C438F"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56998</w:t>
            </w:r>
          </w:p>
        </w:tc>
        <w:tc>
          <w:tcPr>
            <w:tcW w:w="1089" w:type="dxa"/>
            <w:tcMar>
              <w:top w:w="15" w:type="dxa"/>
              <w:left w:w="62" w:type="dxa"/>
              <w:bottom w:w="0" w:type="dxa"/>
              <w:right w:w="62" w:type="dxa"/>
            </w:tcMar>
            <w:vAlign w:val="center"/>
          </w:tcPr>
          <w:p w14:paraId="3D988038"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20323</w:t>
            </w:r>
          </w:p>
        </w:tc>
        <w:tc>
          <w:tcPr>
            <w:tcW w:w="738" w:type="dxa"/>
            <w:tcMar>
              <w:top w:w="15" w:type="dxa"/>
              <w:left w:w="62" w:type="dxa"/>
              <w:bottom w:w="0" w:type="dxa"/>
              <w:right w:w="62" w:type="dxa"/>
            </w:tcMar>
            <w:vAlign w:val="center"/>
          </w:tcPr>
          <w:p w14:paraId="1E7BB1D2"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1.55</w:t>
            </w:r>
          </w:p>
        </w:tc>
      </w:tr>
      <w:tr w:rsidR="00F101D9" w:rsidRPr="00A93BAC" w14:paraId="1CDED1B4" w14:textId="77777777" w:rsidTr="000E3B57">
        <w:trPr>
          <w:trHeight w:val="182"/>
        </w:trPr>
        <w:tc>
          <w:tcPr>
            <w:tcW w:w="450" w:type="dxa"/>
            <w:tcMar>
              <w:top w:w="15" w:type="dxa"/>
              <w:left w:w="62" w:type="dxa"/>
              <w:bottom w:w="0" w:type="dxa"/>
              <w:right w:w="62" w:type="dxa"/>
            </w:tcMar>
            <w:vAlign w:val="center"/>
          </w:tcPr>
          <w:p w14:paraId="5D1452D1"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2</w:t>
            </w:r>
          </w:p>
        </w:tc>
        <w:tc>
          <w:tcPr>
            <w:tcW w:w="2745" w:type="dxa"/>
            <w:tcMar>
              <w:top w:w="15" w:type="dxa"/>
              <w:left w:w="62" w:type="dxa"/>
              <w:bottom w:w="0" w:type="dxa"/>
              <w:right w:w="62" w:type="dxa"/>
            </w:tcMar>
            <w:vAlign w:val="center"/>
          </w:tcPr>
          <w:p w14:paraId="6FB9F90F" w14:textId="77777777" w:rsidR="00F101D9" w:rsidRPr="00A93BAC" w:rsidRDefault="00F101D9" w:rsidP="009E7708">
            <w:pPr>
              <w:widowControl w:val="0"/>
              <w:spacing w:after="0" w:line="240" w:lineRule="auto"/>
              <w:rPr>
                <w:rFonts w:ascii="Times New Roman" w:hAnsi="Times New Roman" w:cs="Times New Roman"/>
                <w:b/>
                <w:bCs/>
                <w:sz w:val="24"/>
                <w:szCs w:val="24"/>
              </w:rPr>
            </w:pPr>
            <w:r w:rsidRPr="00A93BAC">
              <w:rPr>
                <w:rFonts w:ascii="Times New Roman" w:hAnsi="Times New Roman" w:cs="Times New Roman"/>
                <w:color w:val="000000"/>
                <w:sz w:val="24"/>
                <w:szCs w:val="24"/>
              </w:rPr>
              <w:t>Diclosulam 0.9% + Pendimethalin 35% SE</w:t>
            </w:r>
          </w:p>
        </w:tc>
        <w:tc>
          <w:tcPr>
            <w:tcW w:w="1629" w:type="dxa"/>
            <w:tcMar>
              <w:top w:w="15" w:type="dxa"/>
              <w:left w:w="61" w:type="dxa"/>
              <w:bottom w:w="0" w:type="dxa"/>
              <w:right w:w="61" w:type="dxa"/>
            </w:tcMar>
            <w:vAlign w:val="center"/>
          </w:tcPr>
          <w:p w14:paraId="4C94AC2F"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20.25 + 787.5</w:t>
            </w:r>
          </w:p>
        </w:tc>
        <w:tc>
          <w:tcPr>
            <w:tcW w:w="1287" w:type="dxa"/>
            <w:tcMar>
              <w:top w:w="15" w:type="dxa"/>
              <w:left w:w="14" w:type="dxa"/>
              <w:bottom w:w="0" w:type="dxa"/>
              <w:right w:w="14" w:type="dxa"/>
            </w:tcMar>
            <w:vAlign w:val="center"/>
          </w:tcPr>
          <w:p w14:paraId="7E9E6B1A"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37137</w:t>
            </w:r>
          </w:p>
        </w:tc>
        <w:tc>
          <w:tcPr>
            <w:tcW w:w="1152" w:type="dxa"/>
            <w:tcMar>
              <w:top w:w="15" w:type="dxa"/>
              <w:left w:w="62" w:type="dxa"/>
              <w:bottom w:w="0" w:type="dxa"/>
              <w:right w:w="62" w:type="dxa"/>
            </w:tcMar>
            <w:vAlign w:val="center"/>
          </w:tcPr>
          <w:p w14:paraId="1E7FB118"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58917</w:t>
            </w:r>
          </w:p>
        </w:tc>
        <w:tc>
          <w:tcPr>
            <w:tcW w:w="1089" w:type="dxa"/>
            <w:tcMar>
              <w:top w:w="15" w:type="dxa"/>
              <w:left w:w="62" w:type="dxa"/>
              <w:bottom w:w="0" w:type="dxa"/>
              <w:right w:w="62" w:type="dxa"/>
            </w:tcMar>
            <w:vAlign w:val="center"/>
          </w:tcPr>
          <w:p w14:paraId="23B9A7E2"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21780</w:t>
            </w:r>
          </w:p>
        </w:tc>
        <w:tc>
          <w:tcPr>
            <w:tcW w:w="738" w:type="dxa"/>
            <w:tcMar>
              <w:top w:w="15" w:type="dxa"/>
              <w:left w:w="62" w:type="dxa"/>
              <w:bottom w:w="0" w:type="dxa"/>
              <w:right w:w="62" w:type="dxa"/>
            </w:tcMar>
            <w:vAlign w:val="center"/>
          </w:tcPr>
          <w:p w14:paraId="246A4B7D"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1.59</w:t>
            </w:r>
          </w:p>
        </w:tc>
      </w:tr>
      <w:tr w:rsidR="00F101D9" w:rsidRPr="00A93BAC" w14:paraId="77BBBA7C" w14:textId="77777777" w:rsidTr="000E3B57">
        <w:trPr>
          <w:trHeight w:val="317"/>
        </w:trPr>
        <w:tc>
          <w:tcPr>
            <w:tcW w:w="450" w:type="dxa"/>
            <w:tcMar>
              <w:top w:w="15" w:type="dxa"/>
              <w:left w:w="62" w:type="dxa"/>
              <w:bottom w:w="0" w:type="dxa"/>
              <w:right w:w="62" w:type="dxa"/>
            </w:tcMar>
            <w:vAlign w:val="center"/>
          </w:tcPr>
          <w:p w14:paraId="2B1FB152"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3</w:t>
            </w:r>
          </w:p>
        </w:tc>
        <w:tc>
          <w:tcPr>
            <w:tcW w:w="2745" w:type="dxa"/>
            <w:tcMar>
              <w:top w:w="15" w:type="dxa"/>
              <w:left w:w="62" w:type="dxa"/>
              <w:bottom w:w="0" w:type="dxa"/>
              <w:right w:w="62" w:type="dxa"/>
            </w:tcMar>
            <w:vAlign w:val="center"/>
          </w:tcPr>
          <w:p w14:paraId="79E262D7" w14:textId="77777777" w:rsidR="00F101D9" w:rsidRPr="00A93BAC" w:rsidRDefault="00F101D9" w:rsidP="009E7708">
            <w:pPr>
              <w:widowControl w:val="0"/>
              <w:spacing w:after="0" w:line="240" w:lineRule="auto"/>
              <w:rPr>
                <w:rFonts w:ascii="Times New Roman" w:hAnsi="Times New Roman" w:cs="Times New Roman"/>
                <w:b/>
                <w:bCs/>
                <w:sz w:val="24"/>
                <w:szCs w:val="24"/>
              </w:rPr>
            </w:pPr>
            <w:r w:rsidRPr="00A93BAC">
              <w:rPr>
                <w:rFonts w:ascii="Times New Roman" w:hAnsi="Times New Roman" w:cs="Times New Roman"/>
                <w:color w:val="000000"/>
                <w:sz w:val="24"/>
                <w:szCs w:val="24"/>
              </w:rPr>
              <w:t>Diclosulam 0.9% + Pendimethalin 35% SE</w:t>
            </w:r>
          </w:p>
        </w:tc>
        <w:tc>
          <w:tcPr>
            <w:tcW w:w="1629" w:type="dxa"/>
            <w:tcMar>
              <w:top w:w="15" w:type="dxa"/>
              <w:left w:w="61" w:type="dxa"/>
              <w:bottom w:w="0" w:type="dxa"/>
              <w:right w:w="61" w:type="dxa"/>
            </w:tcMar>
            <w:vAlign w:val="center"/>
          </w:tcPr>
          <w:p w14:paraId="7CF6B9F4"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22.5 + 875</w:t>
            </w:r>
          </w:p>
        </w:tc>
        <w:tc>
          <w:tcPr>
            <w:tcW w:w="1287" w:type="dxa"/>
            <w:tcMar>
              <w:top w:w="15" w:type="dxa"/>
              <w:left w:w="14" w:type="dxa"/>
              <w:bottom w:w="0" w:type="dxa"/>
              <w:right w:w="14" w:type="dxa"/>
            </w:tcMar>
            <w:vAlign w:val="center"/>
          </w:tcPr>
          <w:p w14:paraId="2048BC8E"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37600</w:t>
            </w:r>
          </w:p>
        </w:tc>
        <w:tc>
          <w:tcPr>
            <w:tcW w:w="1152" w:type="dxa"/>
            <w:tcMar>
              <w:top w:w="15" w:type="dxa"/>
              <w:left w:w="62" w:type="dxa"/>
              <w:bottom w:w="0" w:type="dxa"/>
              <w:right w:w="62" w:type="dxa"/>
            </w:tcMar>
            <w:vAlign w:val="center"/>
          </w:tcPr>
          <w:p w14:paraId="21765141"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75211</w:t>
            </w:r>
          </w:p>
        </w:tc>
        <w:tc>
          <w:tcPr>
            <w:tcW w:w="1089" w:type="dxa"/>
            <w:tcMar>
              <w:top w:w="15" w:type="dxa"/>
              <w:left w:w="62" w:type="dxa"/>
              <w:bottom w:w="0" w:type="dxa"/>
              <w:right w:w="62" w:type="dxa"/>
            </w:tcMar>
            <w:vAlign w:val="center"/>
          </w:tcPr>
          <w:p w14:paraId="5317F0E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37611</w:t>
            </w:r>
          </w:p>
        </w:tc>
        <w:tc>
          <w:tcPr>
            <w:tcW w:w="738" w:type="dxa"/>
            <w:tcMar>
              <w:top w:w="15" w:type="dxa"/>
              <w:left w:w="62" w:type="dxa"/>
              <w:bottom w:w="0" w:type="dxa"/>
              <w:right w:w="62" w:type="dxa"/>
            </w:tcMar>
            <w:vAlign w:val="center"/>
          </w:tcPr>
          <w:p w14:paraId="58816991"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2.00</w:t>
            </w:r>
          </w:p>
        </w:tc>
      </w:tr>
      <w:tr w:rsidR="00F101D9" w:rsidRPr="00A93BAC" w14:paraId="08FEE8C4" w14:textId="77777777" w:rsidTr="000E3B57">
        <w:trPr>
          <w:trHeight w:val="218"/>
        </w:trPr>
        <w:tc>
          <w:tcPr>
            <w:tcW w:w="450" w:type="dxa"/>
            <w:tcMar>
              <w:top w:w="15" w:type="dxa"/>
              <w:left w:w="62" w:type="dxa"/>
              <w:bottom w:w="0" w:type="dxa"/>
              <w:right w:w="62" w:type="dxa"/>
            </w:tcMar>
            <w:vAlign w:val="center"/>
          </w:tcPr>
          <w:p w14:paraId="77EE2CF1"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4</w:t>
            </w:r>
          </w:p>
        </w:tc>
        <w:tc>
          <w:tcPr>
            <w:tcW w:w="2745" w:type="dxa"/>
            <w:tcMar>
              <w:top w:w="15" w:type="dxa"/>
              <w:left w:w="62" w:type="dxa"/>
              <w:bottom w:w="0" w:type="dxa"/>
              <w:right w:w="62" w:type="dxa"/>
            </w:tcMar>
            <w:vAlign w:val="center"/>
          </w:tcPr>
          <w:p w14:paraId="073F0A2C" w14:textId="77777777" w:rsidR="00F101D9" w:rsidRPr="00A93BAC" w:rsidRDefault="00F101D9" w:rsidP="009E7708">
            <w:pPr>
              <w:widowControl w:val="0"/>
              <w:spacing w:after="0" w:line="240" w:lineRule="auto"/>
              <w:rPr>
                <w:rFonts w:ascii="Times New Roman" w:hAnsi="Times New Roman" w:cs="Times New Roman"/>
                <w:b/>
                <w:bCs/>
                <w:sz w:val="24"/>
                <w:szCs w:val="24"/>
              </w:rPr>
            </w:pPr>
            <w:r w:rsidRPr="00A93BAC">
              <w:rPr>
                <w:rFonts w:ascii="Times New Roman" w:hAnsi="Times New Roman" w:cs="Times New Roman"/>
                <w:color w:val="000000"/>
                <w:sz w:val="24"/>
                <w:szCs w:val="24"/>
              </w:rPr>
              <w:t>Diclosulam 0.9% + Pendimethalin 35% SE</w:t>
            </w:r>
          </w:p>
        </w:tc>
        <w:tc>
          <w:tcPr>
            <w:tcW w:w="1629" w:type="dxa"/>
            <w:tcMar>
              <w:top w:w="15" w:type="dxa"/>
              <w:left w:w="61" w:type="dxa"/>
              <w:bottom w:w="0" w:type="dxa"/>
              <w:right w:w="61" w:type="dxa"/>
            </w:tcMar>
            <w:vAlign w:val="center"/>
          </w:tcPr>
          <w:p w14:paraId="1875EDC3"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45 + 1750</w:t>
            </w:r>
          </w:p>
        </w:tc>
        <w:tc>
          <w:tcPr>
            <w:tcW w:w="1287" w:type="dxa"/>
            <w:tcMar>
              <w:top w:w="15" w:type="dxa"/>
              <w:left w:w="14" w:type="dxa"/>
              <w:bottom w:w="0" w:type="dxa"/>
              <w:right w:w="14" w:type="dxa"/>
            </w:tcMar>
            <w:vAlign w:val="center"/>
          </w:tcPr>
          <w:p w14:paraId="7F2F190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42225</w:t>
            </w:r>
          </w:p>
        </w:tc>
        <w:tc>
          <w:tcPr>
            <w:tcW w:w="1152" w:type="dxa"/>
            <w:tcMar>
              <w:top w:w="15" w:type="dxa"/>
              <w:left w:w="62" w:type="dxa"/>
              <w:bottom w:w="0" w:type="dxa"/>
              <w:right w:w="62" w:type="dxa"/>
            </w:tcMar>
            <w:vAlign w:val="center"/>
          </w:tcPr>
          <w:p w14:paraId="4CDFC416"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67471</w:t>
            </w:r>
          </w:p>
        </w:tc>
        <w:tc>
          <w:tcPr>
            <w:tcW w:w="1089" w:type="dxa"/>
            <w:tcMar>
              <w:top w:w="15" w:type="dxa"/>
              <w:left w:w="62" w:type="dxa"/>
              <w:bottom w:w="0" w:type="dxa"/>
              <w:right w:w="62" w:type="dxa"/>
            </w:tcMar>
            <w:vAlign w:val="center"/>
          </w:tcPr>
          <w:p w14:paraId="3F724FCB"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25246</w:t>
            </w:r>
          </w:p>
        </w:tc>
        <w:tc>
          <w:tcPr>
            <w:tcW w:w="738" w:type="dxa"/>
            <w:tcMar>
              <w:top w:w="15" w:type="dxa"/>
              <w:left w:w="62" w:type="dxa"/>
              <w:bottom w:w="0" w:type="dxa"/>
              <w:right w:w="62" w:type="dxa"/>
            </w:tcMar>
            <w:vAlign w:val="center"/>
          </w:tcPr>
          <w:p w14:paraId="1F6BE362"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1.60</w:t>
            </w:r>
          </w:p>
        </w:tc>
      </w:tr>
      <w:tr w:rsidR="00F101D9" w:rsidRPr="00A93BAC" w14:paraId="0266BB62" w14:textId="77777777" w:rsidTr="000E3B57">
        <w:trPr>
          <w:trHeight w:val="62"/>
        </w:trPr>
        <w:tc>
          <w:tcPr>
            <w:tcW w:w="450" w:type="dxa"/>
            <w:tcMar>
              <w:top w:w="15" w:type="dxa"/>
              <w:left w:w="62" w:type="dxa"/>
              <w:bottom w:w="0" w:type="dxa"/>
              <w:right w:w="62" w:type="dxa"/>
            </w:tcMar>
            <w:vAlign w:val="center"/>
          </w:tcPr>
          <w:p w14:paraId="36346997"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5</w:t>
            </w:r>
          </w:p>
        </w:tc>
        <w:tc>
          <w:tcPr>
            <w:tcW w:w="2745" w:type="dxa"/>
            <w:tcMar>
              <w:top w:w="15" w:type="dxa"/>
              <w:left w:w="62" w:type="dxa"/>
              <w:bottom w:w="0" w:type="dxa"/>
              <w:right w:w="62" w:type="dxa"/>
            </w:tcMar>
            <w:vAlign w:val="center"/>
          </w:tcPr>
          <w:p w14:paraId="13C39D26" w14:textId="77777777" w:rsidR="00F101D9" w:rsidRPr="00A93BAC" w:rsidRDefault="00F101D9" w:rsidP="009E7708">
            <w:pPr>
              <w:spacing w:after="0" w:line="240" w:lineRule="auto"/>
              <w:rPr>
                <w:rFonts w:ascii="Times New Roman" w:hAnsi="Times New Roman" w:cs="Times New Roman"/>
                <w:sz w:val="24"/>
                <w:szCs w:val="24"/>
              </w:rPr>
            </w:pPr>
            <w:r w:rsidRPr="00A93BAC">
              <w:rPr>
                <w:rFonts w:ascii="Times New Roman" w:hAnsi="Times New Roman" w:cs="Times New Roman"/>
                <w:sz w:val="24"/>
                <w:szCs w:val="24"/>
              </w:rPr>
              <w:t>Diclosulam 84 % WG</w:t>
            </w:r>
          </w:p>
        </w:tc>
        <w:tc>
          <w:tcPr>
            <w:tcW w:w="1629" w:type="dxa"/>
            <w:tcMar>
              <w:top w:w="15" w:type="dxa"/>
              <w:left w:w="61" w:type="dxa"/>
              <w:bottom w:w="0" w:type="dxa"/>
              <w:right w:w="61" w:type="dxa"/>
            </w:tcMar>
            <w:vAlign w:val="center"/>
          </w:tcPr>
          <w:p w14:paraId="527085BB"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20.25</w:t>
            </w:r>
          </w:p>
        </w:tc>
        <w:tc>
          <w:tcPr>
            <w:tcW w:w="1287" w:type="dxa"/>
            <w:tcMar>
              <w:top w:w="15" w:type="dxa"/>
              <w:left w:w="14" w:type="dxa"/>
              <w:bottom w:w="0" w:type="dxa"/>
              <w:right w:w="14" w:type="dxa"/>
            </w:tcMar>
            <w:vAlign w:val="center"/>
          </w:tcPr>
          <w:p w14:paraId="41C7495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33023</w:t>
            </w:r>
          </w:p>
        </w:tc>
        <w:tc>
          <w:tcPr>
            <w:tcW w:w="1152" w:type="dxa"/>
            <w:tcMar>
              <w:top w:w="15" w:type="dxa"/>
              <w:left w:w="62" w:type="dxa"/>
              <w:bottom w:w="0" w:type="dxa"/>
              <w:right w:w="62" w:type="dxa"/>
            </w:tcMar>
            <w:vAlign w:val="center"/>
          </w:tcPr>
          <w:p w14:paraId="1555C330"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56631</w:t>
            </w:r>
          </w:p>
        </w:tc>
        <w:tc>
          <w:tcPr>
            <w:tcW w:w="1089" w:type="dxa"/>
            <w:tcMar>
              <w:top w:w="15" w:type="dxa"/>
              <w:left w:w="62" w:type="dxa"/>
              <w:bottom w:w="0" w:type="dxa"/>
              <w:right w:w="62" w:type="dxa"/>
            </w:tcMar>
            <w:vAlign w:val="center"/>
          </w:tcPr>
          <w:p w14:paraId="162DB27A"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23608</w:t>
            </w:r>
          </w:p>
        </w:tc>
        <w:tc>
          <w:tcPr>
            <w:tcW w:w="738" w:type="dxa"/>
            <w:tcMar>
              <w:top w:w="15" w:type="dxa"/>
              <w:left w:w="62" w:type="dxa"/>
              <w:bottom w:w="0" w:type="dxa"/>
              <w:right w:w="62" w:type="dxa"/>
            </w:tcMar>
            <w:vAlign w:val="center"/>
          </w:tcPr>
          <w:p w14:paraId="7224A1F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1.71</w:t>
            </w:r>
          </w:p>
        </w:tc>
      </w:tr>
      <w:tr w:rsidR="00F101D9" w:rsidRPr="00A93BAC" w14:paraId="0A20963E" w14:textId="77777777" w:rsidTr="000E3B57">
        <w:trPr>
          <w:trHeight w:val="62"/>
        </w:trPr>
        <w:tc>
          <w:tcPr>
            <w:tcW w:w="450" w:type="dxa"/>
            <w:tcMar>
              <w:top w:w="15" w:type="dxa"/>
              <w:left w:w="62" w:type="dxa"/>
              <w:bottom w:w="0" w:type="dxa"/>
              <w:right w:w="62" w:type="dxa"/>
            </w:tcMar>
            <w:vAlign w:val="center"/>
          </w:tcPr>
          <w:p w14:paraId="3A2F3DB3"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6</w:t>
            </w:r>
          </w:p>
        </w:tc>
        <w:tc>
          <w:tcPr>
            <w:tcW w:w="2745" w:type="dxa"/>
            <w:tcMar>
              <w:top w:w="15" w:type="dxa"/>
              <w:left w:w="62" w:type="dxa"/>
              <w:bottom w:w="0" w:type="dxa"/>
              <w:right w:w="62" w:type="dxa"/>
            </w:tcMar>
            <w:vAlign w:val="center"/>
          </w:tcPr>
          <w:p w14:paraId="415EBE1E" w14:textId="77777777" w:rsidR="00F101D9" w:rsidRPr="00A93BAC" w:rsidRDefault="00F101D9" w:rsidP="009E7708">
            <w:pPr>
              <w:spacing w:after="0" w:line="240" w:lineRule="auto"/>
              <w:rPr>
                <w:rFonts w:ascii="Times New Roman" w:hAnsi="Times New Roman" w:cs="Times New Roman"/>
                <w:sz w:val="24"/>
                <w:szCs w:val="24"/>
              </w:rPr>
            </w:pPr>
            <w:r w:rsidRPr="00A93BAC">
              <w:rPr>
                <w:rFonts w:ascii="Times New Roman" w:hAnsi="Times New Roman" w:cs="Times New Roman"/>
                <w:sz w:val="24"/>
                <w:szCs w:val="24"/>
              </w:rPr>
              <w:t>Diclosulam 84 % WG</w:t>
            </w:r>
          </w:p>
        </w:tc>
        <w:tc>
          <w:tcPr>
            <w:tcW w:w="1629" w:type="dxa"/>
            <w:tcMar>
              <w:top w:w="15" w:type="dxa"/>
              <w:left w:w="61" w:type="dxa"/>
              <w:bottom w:w="0" w:type="dxa"/>
              <w:right w:w="61" w:type="dxa"/>
            </w:tcMar>
            <w:vAlign w:val="center"/>
          </w:tcPr>
          <w:p w14:paraId="6AB05751"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22.50</w:t>
            </w:r>
          </w:p>
        </w:tc>
        <w:tc>
          <w:tcPr>
            <w:tcW w:w="1287" w:type="dxa"/>
            <w:tcMar>
              <w:top w:w="15" w:type="dxa"/>
              <w:left w:w="14" w:type="dxa"/>
              <w:bottom w:w="0" w:type="dxa"/>
              <w:right w:w="14" w:type="dxa"/>
            </w:tcMar>
            <w:vAlign w:val="center"/>
          </w:tcPr>
          <w:p w14:paraId="0A12B724"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33027</w:t>
            </w:r>
          </w:p>
        </w:tc>
        <w:tc>
          <w:tcPr>
            <w:tcW w:w="1152" w:type="dxa"/>
            <w:tcMar>
              <w:top w:w="15" w:type="dxa"/>
              <w:left w:w="62" w:type="dxa"/>
              <w:bottom w:w="0" w:type="dxa"/>
              <w:right w:w="62" w:type="dxa"/>
            </w:tcMar>
            <w:vAlign w:val="center"/>
          </w:tcPr>
          <w:p w14:paraId="0B08851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57631</w:t>
            </w:r>
          </w:p>
        </w:tc>
        <w:tc>
          <w:tcPr>
            <w:tcW w:w="1089" w:type="dxa"/>
            <w:tcMar>
              <w:top w:w="15" w:type="dxa"/>
              <w:left w:w="62" w:type="dxa"/>
              <w:bottom w:w="0" w:type="dxa"/>
              <w:right w:w="62" w:type="dxa"/>
            </w:tcMar>
            <w:vAlign w:val="center"/>
          </w:tcPr>
          <w:p w14:paraId="60E6B937"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24604</w:t>
            </w:r>
          </w:p>
        </w:tc>
        <w:tc>
          <w:tcPr>
            <w:tcW w:w="738" w:type="dxa"/>
            <w:tcMar>
              <w:top w:w="15" w:type="dxa"/>
              <w:left w:w="62" w:type="dxa"/>
              <w:bottom w:w="0" w:type="dxa"/>
              <w:right w:w="62" w:type="dxa"/>
            </w:tcMar>
            <w:vAlign w:val="center"/>
          </w:tcPr>
          <w:p w14:paraId="0E5C687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1.74</w:t>
            </w:r>
          </w:p>
        </w:tc>
      </w:tr>
      <w:tr w:rsidR="00F101D9" w:rsidRPr="00A93BAC" w14:paraId="5B2442A4" w14:textId="77777777" w:rsidTr="000E3B57">
        <w:trPr>
          <w:trHeight w:val="62"/>
        </w:trPr>
        <w:tc>
          <w:tcPr>
            <w:tcW w:w="450" w:type="dxa"/>
            <w:tcMar>
              <w:top w:w="15" w:type="dxa"/>
              <w:left w:w="62" w:type="dxa"/>
              <w:bottom w:w="0" w:type="dxa"/>
              <w:right w:w="62" w:type="dxa"/>
            </w:tcMar>
            <w:vAlign w:val="center"/>
          </w:tcPr>
          <w:p w14:paraId="1F30896A"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7</w:t>
            </w:r>
          </w:p>
        </w:tc>
        <w:tc>
          <w:tcPr>
            <w:tcW w:w="2745" w:type="dxa"/>
            <w:tcMar>
              <w:top w:w="15" w:type="dxa"/>
              <w:left w:w="62" w:type="dxa"/>
              <w:bottom w:w="0" w:type="dxa"/>
              <w:right w:w="62" w:type="dxa"/>
            </w:tcMar>
            <w:vAlign w:val="center"/>
          </w:tcPr>
          <w:p w14:paraId="24146686" w14:textId="77777777" w:rsidR="00F101D9" w:rsidRPr="00A93BAC" w:rsidRDefault="00F101D9" w:rsidP="009E7708">
            <w:pPr>
              <w:widowControl w:val="0"/>
              <w:spacing w:after="0" w:line="240" w:lineRule="auto"/>
              <w:rPr>
                <w:rFonts w:ascii="Times New Roman" w:hAnsi="Times New Roman" w:cs="Times New Roman"/>
                <w:b/>
                <w:bCs/>
                <w:sz w:val="24"/>
                <w:szCs w:val="24"/>
              </w:rPr>
            </w:pPr>
            <w:r w:rsidRPr="00A93BAC">
              <w:rPr>
                <w:rFonts w:ascii="Times New Roman" w:hAnsi="Times New Roman" w:cs="Times New Roman"/>
                <w:sz w:val="24"/>
                <w:szCs w:val="24"/>
              </w:rPr>
              <w:t>Pendimethalin 30 % EC</w:t>
            </w:r>
          </w:p>
        </w:tc>
        <w:tc>
          <w:tcPr>
            <w:tcW w:w="1629" w:type="dxa"/>
            <w:tcMar>
              <w:top w:w="15" w:type="dxa"/>
              <w:left w:w="61" w:type="dxa"/>
              <w:bottom w:w="0" w:type="dxa"/>
              <w:right w:w="61" w:type="dxa"/>
            </w:tcMar>
            <w:vAlign w:val="center"/>
          </w:tcPr>
          <w:p w14:paraId="3DADF34E"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787.5</w:t>
            </w:r>
          </w:p>
        </w:tc>
        <w:tc>
          <w:tcPr>
            <w:tcW w:w="1287" w:type="dxa"/>
            <w:tcMar>
              <w:top w:w="15" w:type="dxa"/>
              <w:left w:w="14" w:type="dxa"/>
              <w:bottom w:w="0" w:type="dxa"/>
              <w:right w:w="14" w:type="dxa"/>
            </w:tcMar>
            <w:vAlign w:val="center"/>
          </w:tcPr>
          <w:p w14:paraId="555BBBE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34432</w:t>
            </w:r>
          </w:p>
        </w:tc>
        <w:tc>
          <w:tcPr>
            <w:tcW w:w="1152" w:type="dxa"/>
            <w:tcMar>
              <w:top w:w="15" w:type="dxa"/>
              <w:left w:w="62" w:type="dxa"/>
              <w:bottom w:w="0" w:type="dxa"/>
              <w:right w:w="62" w:type="dxa"/>
            </w:tcMar>
            <w:vAlign w:val="center"/>
          </w:tcPr>
          <w:p w14:paraId="3B4421C0"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57574</w:t>
            </w:r>
          </w:p>
        </w:tc>
        <w:tc>
          <w:tcPr>
            <w:tcW w:w="1089" w:type="dxa"/>
            <w:tcMar>
              <w:top w:w="15" w:type="dxa"/>
              <w:left w:w="62" w:type="dxa"/>
              <w:bottom w:w="0" w:type="dxa"/>
              <w:right w:w="62" w:type="dxa"/>
            </w:tcMar>
            <w:vAlign w:val="center"/>
          </w:tcPr>
          <w:p w14:paraId="3FCF8942"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23142</w:t>
            </w:r>
          </w:p>
        </w:tc>
        <w:tc>
          <w:tcPr>
            <w:tcW w:w="738" w:type="dxa"/>
            <w:tcMar>
              <w:top w:w="15" w:type="dxa"/>
              <w:left w:w="62" w:type="dxa"/>
              <w:bottom w:w="0" w:type="dxa"/>
              <w:right w:w="62" w:type="dxa"/>
            </w:tcMar>
            <w:vAlign w:val="center"/>
          </w:tcPr>
          <w:p w14:paraId="17D17FE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1.67</w:t>
            </w:r>
          </w:p>
        </w:tc>
      </w:tr>
      <w:tr w:rsidR="00F101D9" w:rsidRPr="00A93BAC" w14:paraId="0359060F" w14:textId="77777777" w:rsidTr="000E3B57">
        <w:trPr>
          <w:trHeight w:val="62"/>
        </w:trPr>
        <w:tc>
          <w:tcPr>
            <w:tcW w:w="450" w:type="dxa"/>
            <w:tcMar>
              <w:top w:w="15" w:type="dxa"/>
              <w:left w:w="62" w:type="dxa"/>
              <w:bottom w:w="0" w:type="dxa"/>
              <w:right w:w="62" w:type="dxa"/>
            </w:tcMar>
            <w:vAlign w:val="center"/>
          </w:tcPr>
          <w:p w14:paraId="191D6E3D"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8</w:t>
            </w:r>
          </w:p>
        </w:tc>
        <w:tc>
          <w:tcPr>
            <w:tcW w:w="2745" w:type="dxa"/>
            <w:tcMar>
              <w:top w:w="15" w:type="dxa"/>
              <w:left w:w="62" w:type="dxa"/>
              <w:bottom w:w="0" w:type="dxa"/>
              <w:right w:w="62" w:type="dxa"/>
            </w:tcMar>
            <w:vAlign w:val="center"/>
          </w:tcPr>
          <w:p w14:paraId="191AD9C7" w14:textId="77777777" w:rsidR="00F101D9" w:rsidRPr="00A93BAC" w:rsidRDefault="00F101D9" w:rsidP="009E7708">
            <w:pPr>
              <w:widowControl w:val="0"/>
              <w:spacing w:after="0" w:line="240" w:lineRule="auto"/>
              <w:rPr>
                <w:rFonts w:ascii="Times New Roman" w:hAnsi="Times New Roman" w:cs="Times New Roman"/>
                <w:b/>
                <w:bCs/>
                <w:sz w:val="24"/>
                <w:szCs w:val="24"/>
              </w:rPr>
            </w:pPr>
            <w:r w:rsidRPr="00A93BAC">
              <w:rPr>
                <w:rFonts w:ascii="Times New Roman" w:hAnsi="Times New Roman" w:cs="Times New Roman"/>
                <w:sz w:val="24"/>
                <w:szCs w:val="24"/>
              </w:rPr>
              <w:t>Pendimethalin 30 % EC</w:t>
            </w:r>
          </w:p>
        </w:tc>
        <w:tc>
          <w:tcPr>
            <w:tcW w:w="1629" w:type="dxa"/>
            <w:tcMar>
              <w:top w:w="15" w:type="dxa"/>
              <w:left w:w="61" w:type="dxa"/>
              <w:bottom w:w="0" w:type="dxa"/>
              <w:right w:w="61" w:type="dxa"/>
            </w:tcMar>
            <w:vAlign w:val="center"/>
          </w:tcPr>
          <w:p w14:paraId="362162F0"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875</w:t>
            </w:r>
          </w:p>
        </w:tc>
        <w:tc>
          <w:tcPr>
            <w:tcW w:w="1287" w:type="dxa"/>
            <w:tcMar>
              <w:top w:w="15" w:type="dxa"/>
              <w:left w:w="14" w:type="dxa"/>
              <w:bottom w:w="0" w:type="dxa"/>
              <w:right w:w="14" w:type="dxa"/>
            </w:tcMar>
            <w:vAlign w:val="center"/>
          </w:tcPr>
          <w:p w14:paraId="39DD5B24"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34579</w:t>
            </w:r>
          </w:p>
        </w:tc>
        <w:tc>
          <w:tcPr>
            <w:tcW w:w="1152" w:type="dxa"/>
            <w:tcMar>
              <w:top w:w="15" w:type="dxa"/>
              <w:left w:w="62" w:type="dxa"/>
              <w:bottom w:w="0" w:type="dxa"/>
              <w:right w:w="62" w:type="dxa"/>
            </w:tcMar>
            <w:vAlign w:val="center"/>
          </w:tcPr>
          <w:p w14:paraId="7BFE58A1"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57536</w:t>
            </w:r>
          </w:p>
        </w:tc>
        <w:tc>
          <w:tcPr>
            <w:tcW w:w="1089" w:type="dxa"/>
            <w:tcMar>
              <w:top w:w="15" w:type="dxa"/>
              <w:left w:w="62" w:type="dxa"/>
              <w:bottom w:w="0" w:type="dxa"/>
              <w:right w:w="62" w:type="dxa"/>
            </w:tcMar>
            <w:vAlign w:val="center"/>
          </w:tcPr>
          <w:p w14:paraId="679B0F8C"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22957</w:t>
            </w:r>
          </w:p>
        </w:tc>
        <w:tc>
          <w:tcPr>
            <w:tcW w:w="738" w:type="dxa"/>
            <w:tcMar>
              <w:top w:w="15" w:type="dxa"/>
              <w:left w:w="62" w:type="dxa"/>
              <w:bottom w:w="0" w:type="dxa"/>
              <w:right w:w="62" w:type="dxa"/>
            </w:tcMar>
            <w:vAlign w:val="center"/>
          </w:tcPr>
          <w:p w14:paraId="42B05FD3"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1.66</w:t>
            </w:r>
          </w:p>
        </w:tc>
      </w:tr>
      <w:tr w:rsidR="00F101D9" w:rsidRPr="00A93BAC" w14:paraId="4318F7BB" w14:textId="77777777" w:rsidTr="000E3B57">
        <w:trPr>
          <w:trHeight w:val="65"/>
        </w:trPr>
        <w:tc>
          <w:tcPr>
            <w:tcW w:w="450" w:type="dxa"/>
            <w:tcMar>
              <w:top w:w="15" w:type="dxa"/>
              <w:left w:w="62" w:type="dxa"/>
              <w:bottom w:w="0" w:type="dxa"/>
              <w:right w:w="62" w:type="dxa"/>
            </w:tcMar>
            <w:vAlign w:val="center"/>
          </w:tcPr>
          <w:p w14:paraId="094A3037" w14:textId="77777777" w:rsidR="00F101D9" w:rsidRPr="00A93BAC" w:rsidRDefault="00F101D9" w:rsidP="009E7708">
            <w:pPr>
              <w:spacing w:after="0" w:line="240" w:lineRule="auto"/>
              <w:jc w:val="center"/>
              <w:rPr>
                <w:rFonts w:ascii="Times New Roman" w:eastAsia="Times New Roman" w:hAnsi="Times New Roman" w:cs="Times New Roman"/>
                <w:bCs/>
                <w:kern w:val="24"/>
                <w:sz w:val="24"/>
                <w:szCs w:val="24"/>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9</w:t>
            </w:r>
          </w:p>
        </w:tc>
        <w:tc>
          <w:tcPr>
            <w:tcW w:w="2745" w:type="dxa"/>
            <w:tcMar>
              <w:top w:w="15" w:type="dxa"/>
              <w:left w:w="62" w:type="dxa"/>
              <w:bottom w:w="0" w:type="dxa"/>
              <w:right w:w="62" w:type="dxa"/>
            </w:tcMar>
            <w:vAlign w:val="center"/>
          </w:tcPr>
          <w:p w14:paraId="7E285B62" w14:textId="77777777" w:rsidR="00F101D9" w:rsidRPr="00A93BAC" w:rsidRDefault="00F101D9" w:rsidP="009E7708">
            <w:pPr>
              <w:spacing w:after="0" w:line="240" w:lineRule="auto"/>
              <w:rPr>
                <w:rFonts w:ascii="Times New Roman" w:hAnsi="Times New Roman" w:cs="Times New Roman"/>
                <w:sz w:val="24"/>
                <w:szCs w:val="24"/>
              </w:rPr>
            </w:pPr>
            <w:r w:rsidRPr="00A93BAC">
              <w:rPr>
                <w:rFonts w:ascii="Times New Roman" w:hAnsi="Times New Roman" w:cs="Times New Roman"/>
                <w:sz w:val="24"/>
                <w:szCs w:val="24"/>
              </w:rPr>
              <w:t>Pendimethalin30%EC +Imazethapyr 2 % EC</w:t>
            </w:r>
          </w:p>
        </w:tc>
        <w:tc>
          <w:tcPr>
            <w:tcW w:w="1629" w:type="dxa"/>
            <w:tcMar>
              <w:top w:w="15" w:type="dxa"/>
              <w:left w:w="14" w:type="dxa"/>
              <w:bottom w:w="0" w:type="dxa"/>
              <w:right w:w="14" w:type="dxa"/>
            </w:tcMar>
            <w:vAlign w:val="center"/>
          </w:tcPr>
          <w:p w14:paraId="6D46C1A6"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900 + 60</w:t>
            </w:r>
          </w:p>
        </w:tc>
        <w:tc>
          <w:tcPr>
            <w:tcW w:w="1287" w:type="dxa"/>
            <w:tcMar>
              <w:top w:w="15" w:type="dxa"/>
              <w:left w:w="62" w:type="dxa"/>
              <w:bottom w:w="0" w:type="dxa"/>
              <w:right w:w="62" w:type="dxa"/>
            </w:tcMar>
            <w:vAlign w:val="center"/>
          </w:tcPr>
          <w:p w14:paraId="4E7FF1AB"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35825</w:t>
            </w:r>
          </w:p>
        </w:tc>
        <w:tc>
          <w:tcPr>
            <w:tcW w:w="1152" w:type="dxa"/>
            <w:tcMar>
              <w:top w:w="15" w:type="dxa"/>
              <w:left w:w="62" w:type="dxa"/>
              <w:bottom w:w="0" w:type="dxa"/>
              <w:right w:w="62" w:type="dxa"/>
            </w:tcMar>
            <w:vAlign w:val="center"/>
          </w:tcPr>
          <w:p w14:paraId="1D670A6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55723</w:t>
            </w:r>
          </w:p>
        </w:tc>
        <w:tc>
          <w:tcPr>
            <w:tcW w:w="1089" w:type="dxa"/>
            <w:tcMar>
              <w:top w:w="15" w:type="dxa"/>
              <w:left w:w="62" w:type="dxa"/>
              <w:bottom w:w="0" w:type="dxa"/>
              <w:right w:w="62" w:type="dxa"/>
            </w:tcMar>
            <w:vAlign w:val="center"/>
          </w:tcPr>
          <w:p w14:paraId="15071718"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19898</w:t>
            </w:r>
          </w:p>
        </w:tc>
        <w:tc>
          <w:tcPr>
            <w:tcW w:w="738" w:type="dxa"/>
            <w:tcMar>
              <w:top w:w="15" w:type="dxa"/>
              <w:left w:w="62" w:type="dxa"/>
              <w:bottom w:w="0" w:type="dxa"/>
              <w:right w:w="62" w:type="dxa"/>
            </w:tcMar>
            <w:vAlign w:val="center"/>
          </w:tcPr>
          <w:p w14:paraId="4C0DA8FE"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1.56</w:t>
            </w:r>
          </w:p>
        </w:tc>
      </w:tr>
      <w:tr w:rsidR="00F101D9" w:rsidRPr="00A93BAC" w14:paraId="62805E85" w14:textId="77777777" w:rsidTr="000E3B57">
        <w:trPr>
          <w:trHeight w:val="290"/>
        </w:trPr>
        <w:tc>
          <w:tcPr>
            <w:tcW w:w="450" w:type="dxa"/>
            <w:tcMar>
              <w:top w:w="15" w:type="dxa"/>
              <w:left w:w="62" w:type="dxa"/>
              <w:bottom w:w="0" w:type="dxa"/>
              <w:right w:w="62" w:type="dxa"/>
            </w:tcMar>
            <w:vAlign w:val="center"/>
          </w:tcPr>
          <w:p w14:paraId="2FE4AA82" w14:textId="77777777" w:rsidR="00F101D9" w:rsidRPr="00A93BAC" w:rsidRDefault="00F101D9" w:rsidP="009E7708">
            <w:pPr>
              <w:spacing w:after="0" w:line="240" w:lineRule="auto"/>
              <w:jc w:val="center"/>
              <w:rPr>
                <w:rFonts w:ascii="Times New Roman" w:eastAsia="Batang" w:hAnsi="Times New Roman" w:cs="Times New Roman"/>
                <w:sz w:val="24"/>
                <w:szCs w:val="24"/>
                <w:lang w:eastAsia="en-IN"/>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10</w:t>
            </w:r>
          </w:p>
        </w:tc>
        <w:tc>
          <w:tcPr>
            <w:tcW w:w="2745" w:type="dxa"/>
            <w:tcMar>
              <w:top w:w="15" w:type="dxa"/>
              <w:left w:w="62" w:type="dxa"/>
              <w:bottom w:w="0" w:type="dxa"/>
              <w:right w:w="62" w:type="dxa"/>
            </w:tcMar>
            <w:vAlign w:val="center"/>
          </w:tcPr>
          <w:p w14:paraId="726E1471" w14:textId="77777777" w:rsidR="00F101D9" w:rsidRPr="00A93BAC" w:rsidRDefault="00F101D9" w:rsidP="009E7708">
            <w:pPr>
              <w:spacing w:after="0" w:line="240" w:lineRule="auto"/>
              <w:rPr>
                <w:rFonts w:ascii="Times New Roman" w:hAnsi="Times New Roman" w:cs="Times New Roman"/>
                <w:sz w:val="24"/>
                <w:szCs w:val="24"/>
              </w:rPr>
            </w:pPr>
            <w:r w:rsidRPr="00A93BAC">
              <w:rPr>
                <w:rFonts w:ascii="Times New Roman" w:hAnsi="Times New Roman" w:cs="Times New Roman"/>
                <w:sz w:val="24"/>
                <w:szCs w:val="24"/>
              </w:rPr>
              <w:t>Hand weeding</w:t>
            </w:r>
          </w:p>
        </w:tc>
        <w:tc>
          <w:tcPr>
            <w:tcW w:w="1629" w:type="dxa"/>
            <w:tcMar>
              <w:top w:w="15" w:type="dxa"/>
              <w:left w:w="14" w:type="dxa"/>
              <w:bottom w:w="0" w:type="dxa"/>
              <w:right w:w="14" w:type="dxa"/>
            </w:tcMar>
            <w:vAlign w:val="center"/>
          </w:tcPr>
          <w:p w14:paraId="04131D61"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20 &amp; 40 DAS</w:t>
            </w:r>
          </w:p>
        </w:tc>
        <w:tc>
          <w:tcPr>
            <w:tcW w:w="1287" w:type="dxa"/>
            <w:tcMar>
              <w:top w:w="15" w:type="dxa"/>
              <w:left w:w="62" w:type="dxa"/>
              <w:bottom w:w="0" w:type="dxa"/>
              <w:right w:w="62" w:type="dxa"/>
            </w:tcMar>
            <w:vAlign w:val="center"/>
          </w:tcPr>
          <w:p w14:paraId="6C5ABC1F"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44325</w:t>
            </w:r>
          </w:p>
        </w:tc>
        <w:tc>
          <w:tcPr>
            <w:tcW w:w="1152" w:type="dxa"/>
            <w:tcMar>
              <w:top w:w="15" w:type="dxa"/>
              <w:left w:w="62" w:type="dxa"/>
              <w:bottom w:w="0" w:type="dxa"/>
              <w:right w:w="62" w:type="dxa"/>
            </w:tcMar>
            <w:vAlign w:val="center"/>
          </w:tcPr>
          <w:p w14:paraId="6FEFDFB4"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84445</w:t>
            </w:r>
          </w:p>
        </w:tc>
        <w:tc>
          <w:tcPr>
            <w:tcW w:w="1089" w:type="dxa"/>
            <w:tcMar>
              <w:top w:w="15" w:type="dxa"/>
              <w:left w:w="62" w:type="dxa"/>
              <w:bottom w:w="0" w:type="dxa"/>
              <w:right w:w="62" w:type="dxa"/>
            </w:tcMar>
            <w:vAlign w:val="center"/>
          </w:tcPr>
          <w:p w14:paraId="6065F2B3"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40120</w:t>
            </w:r>
          </w:p>
        </w:tc>
        <w:tc>
          <w:tcPr>
            <w:tcW w:w="738" w:type="dxa"/>
            <w:tcMar>
              <w:top w:w="15" w:type="dxa"/>
              <w:left w:w="62" w:type="dxa"/>
              <w:bottom w:w="0" w:type="dxa"/>
              <w:right w:w="62" w:type="dxa"/>
            </w:tcMar>
            <w:vAlign w:val="center"/>
          </w:tcPr>
          <w:p w14:paraId="421CB609"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1.91</w:t>
            </w:r>
          </w:p>
        </w:tc>
      </w:tr>
      <w:tr w:rsidR="00F101D9" w:rsidRPr="00A93BAC" w14:paraId="4B76B540" w14:textId="77777777" w:rsidTr="000E3B57">
        <w:trPr>
          <w:trHeight w:val="62"/>
        </w:trPr>
        <w:tc>
          <w:tcPr>
            <w:tcW w:w="450" w:type="dxa"/>
            <w:tcMar>
              <w:top w:w="15" w:type="dxa"/>
              <w:left w:w="62" w:type="dxa"/>
              <w:bottom w:w="0" w:type="dxa"/>
              <w:right w:w="62" w:type="dxa"/>
            </w:tcMar>
            <w:vAlign w:val="center"/>
          </w:tcPr>
          <w:p w14:paraId="71B6F9B1" w14:textId="77777777" w:rsidR="00F101D9" w:rsidRPr="00A93BAC" w:rsidRDefault="00F101D9" w:rsidP="009E7708">
            <w:pPr>
              <w:spacing w:after="0" w:line="240" w:lineRule="auto"/>
              <w:jc w:val="center"/>
              <w:rPr>
                <w:rFonts w:ascii="Times New Roman" w:eastAsia="Batang" w:hAnsi="Times New Roman" w:cs="Times New Roman"/>
                <w:sz w:val="24"/>
                <w:szCs w:val="24"/>
                <w:lang w:eastAsia="en-IN"/>
              </w:rPr>
            </w:pPr>
            <w:r w:rsidRPr="00A93BAC">
              <w:rPr>
                <w:rFonts w:ascii="Times New Roman" w:eastAsia="Batang" w:hAnsi="Times New Roman" w:cs="Times New Roman"/>
                <w:sz w:val="24"/>
                <w:szCs w:val="24"/>
                <w:lang w:eastAsia="en-IN"/>
              </w:rPr>
              <w:t>T</w:t>
            </w:r>
            <w:r w:rsidRPr="00A93BAC">
              <w:rPr>
                <w:rFonts w:ascii="Times New Roman" w:eastAsia="Batang" w:hAnsi="Times New Roman" w:cs="Times New Roman"/>
                <w:sz w:val="24"/>
                <w:szCs w:val="24"/>
                <w:vertAlign w:val="subscript"/>
                <w:lang w:eastAsia="en-IN"/>
              </w:rPr>
              <w:t>11</w:t>
            </w:r>
          </w:p>
        </w:tc>
        <w:tc>
          <w:tcPr>
            <w:tcW w:w="2745" w:type="dxa"/>
            <w:tcMar>
              <w:top w:w="15" w:type="dxa"/>
              <w:left w:w="62" w:type="dxa"/>
              <w:bottom w:w="0" w:type="dxa"/>
              <w:right w:w="62" w:type="dxa"/>
            </w:tcMar>
            <w:vAlign w:val="center"/>
          </w:tcPr>
          <w:p w14:paraId="1395F24A" w14:textId="77777777" w:rsidR="00F101D9" w:rsidRPr="00A93BAC" w:rsidRDefault="00F101D9" w:rsidP="009E7708">
            <w:pPr>
              <w:spacing w:after="0" w:line="240" w:lineRule="auto"/>
              <w:rPr>
                <w:rFonts w:ascii="Times New Roman" w:hAnsi="Times New Roman" w:cs="Times New Roman"/>
                <w:sz w:val="24"/>
                <w:szCs w:val="24"/>
              </w:rPr>
            </w:pPr>
            <w:r w:rsidRPr="00A93BAC">
              <w:rPr>
                <w:rFonts w:ascii="Times New Roman" w:hAnsi="Times New Roman" w:cs="Times New Roman"/>
                <w:sz w:val="24"/>
                <w:szCs w:val="24"/>
              </w:rPr>
              <w:t>Weedy check</w:t>
            </w:r>
          </w:p>
        </w:tc>
        <w:tc>
          <w:tcPr>
            <w:tcW w:w="1629" w:type="dxa"/>
            <w:tcMar>
              <w:top w:w="15" w:type="dxa"/>
              <w:left w:w="14" w:type="dxa"/>
              <w:bottom w:w="0" w:type="dxa"/>
              <w:right w:w="14" w:type="dxa"/>
            </w:tcMar>
            <w:vAlign w:val="center"/>
          </w:tcPr>
          <w:p w14:paraId="7A7CC570" w14:textId="77777777" w:rsidR="00F101D9" w:rsidRPr="00A93BAC" w:rsidRDefault="00F101D9" w:rsidP="009E7708">
            <w:pPr>
              <w:spacing w:after="0" w:line="240" w:lineRule="auto"/>
              <w:jc w:val="center"/>
              <w:rPr>
                <w:rFonts w:ascii="Times New Roman" w:hAnsi="Times New Roman" w:cs="Times New Roman"/>
                <w:color w:val="000000"/>
                <w:sz w:val="24"/>
              </w:rPr>
            </w:pPr>
            <w:r w:rsidRPr="00A93BAC">
              <w:rPr>
                <w:rFonts w:ascii="Times New Roman" w:hAnsi="Times New Roman" w:cs="Times New Roman"/>
                <w:sz w:val="24"/>
                <w:szCs w:val="24"/>
              </w:rPr>
              <w:t>-</w:t>
            </w:r>
          </w:p>
        </w:tc>
        <w:tc>
          <w:tcPr>
            <w:tcW w:w="1287" w:type="dxa"/>
            <w:tcMar>
              <w:top w:w="15" w:type="dxa"/>
              <w:left w:w="62" w:type="dxa"/>
              <w:bottom w:w="0" w:type="dxa"/>
              <w:right w:w="62" w:type="dxa"/>
            </w:tcMar>
            <w:vAlign w:val="center"/>
          </w:tcPr>
          <w:p w14:paraId="1FAF619C"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32625</w:t>
            </w:r>
          </w:p>
        </w:tc>
        <w:tc>
          <w:tcPr>
            <w:tcW w:w="1152" w:type="dxa"/>
            <w:tcMar>
              <w:top w:w="15" w:type="dxa"/>
              <w:left w:w="62" w:type="dxa"/>
              <w:bottom w:w="0" w:type="dxa"/>
              <w:right w:w="62" w:type="dxa"/>
            </w:tcMar>
            <w:vAlign w:val="center"/>
          </w:tcPr>
          <w:p w14:paraId="26406455"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39373</w:t>
            </w:r>
          </w:p>
        </w:tc>
        <w:tc>
          <w:tcPr>
            <w:tcW w:w="1089" w:type="dxa"/>
            <w:tcMar>
              <w:top w:w="15" w:type="dxa"/>
              <w:left w:w="62" w:type="dxa"/>
              <w:bottom w:w="0" w:type="dxa"/>
              <w:right w:w="62" w:type="dxa"/>
            </w:tcMar>
            <w:vAlign w:val="center"/>
          </w:tcPr>
          <w:p w14:paraId="0F55CF5F"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6748</w:t>
            </w:r>
          </w:p>
        </w:tc>
        <w:tc>
          <w:tcPr>
            <w:tcW w:w="738" w:type="dxa"/>
            <w:tcMar>
              <w:top w:w="15" w:type="dxa"/>
              <w:left w:w="62" w:type="dxa"/>
              <w:bottom w:w="0" w:type="dxa"/>
              <w:right w:w="62" w:type="dxa"/>
            </w:tcMar>
            <w:vAlign w:val="center"/>
          </w:tcPr>
          <w:p w14:paraId="6A0135B8" w14:textId="77777777" w:rsidR="00F101D9" w:rsidRPr="00A93BAC" w:rsidRDefault="00F101D9" w:rsidP="009E7708">
            <w:pPr>
              <w:spacing w:after="0" w:line="240" w:lineRule="auto"/>
              <w:jc w:val="center"/>
              <w:rPr>
                <w:rFonts w:ascii="Times New Roman" w:hAnsi="Times New Roman" w:cs="Times New Roman"/>
                <w:color w:val="000000"/>
                <w:sz w:val="24"/>
                <w:szCs w:val="24"/>
              </w:rPr>
            </w:pPr>
            <w:r w:rsidRPr="00A93BAC">
              <w:rPr>
                <w:rFonts w:ascii="Times New Roman" w:hAnsi="Times New Roman" w:cs="Times New Roman"/>
                <w:color w:val="000000"/>
                <w:sz w:val="24"/>
                <w:szCs w:val="24"/>
              </w:rPr>
              <w:t>1.21</w:t>
            </w:r>
          </w:p>
        </w:tc>
      </w:tr>
    </w:tbl>
    <w:p w14:paraId="5B031EB6" w14:textId="77777777" w:rsidR="00A125C9" w:rsidRPr="00A93BAC" w:rsidRDefault="00A125C9" w:rsidP="004A06FE">
      <w:pPr>
        <w:spacing w:before="120" w:after="120" w:line="360" w:lineRule="auto"/>
        <w:jc w:val="both"/>
        <w:rPr>
          <w:rFonts w:ascii="Times New Roman" w:hAnsi="Times New Roman" w:cs="Times New Roman"/>
          <w:b/>
          <w:bCs/>
          <w:sz w:val="24"/>
          <w:szCs w:val="24"/>
        </w:rPr>
      </w:pPr>
    </w:p>
    <w:p w14:paraId="0A58DB3A" w14:textId="77777777" w:rsidR="00A125C9" w:rsidRPr="00A93BAC" w:rsidRDefault="00A125C9" w:rsidP="00A125C9">
      <w:pPr>
        <w:rPr>
          <w:rFonts w:ascii="Times New Roman" w:hAnsi="Times New Roman" w:cs="Times New Roman"/>
          <w:b/>
        </w:rPr>
      </w:pPr>
      <w:r w:rsidRPr="00A93BAC">
        <w:rPr>
          <w:rFonts w:ascii="Times New Roman" w:hAnsi="Times New Roman" w:cs="Times New Roman"/>
          <w:b/>
          <w:noProof/>
          <w:lang w:val="en-US" w:bidi="hi-IN"/>
        </w:rPr>
        <w:lastRenderedPageBreak/>
        <w:drawing>
          <wp:inline distT="0" distB="0" distL="0" distR="0" wp14:anchorId="74B59A62" wp14:editId="6EB21000">
            <wp:extent cx="5702300" cy="2616200"/>
            <wp:effectExtent l="0" t="0" r="12700" b="12700"/>
            <wp:docPr id="72" name="Chart 1">
              <a:extLst xmlns:a="http://schemas.openxmlformats.org/drawingml/2006/main">
                <a:ext uri="{FF2B5EF4-FFF2-40B4-BE49-F238E27FC236}">
                  <a16:creationId xmlns:a16="http://schemas.microsoft.com/office/drawing/2014/main" id="{9516D1B0-97B6-4706-8447-763DDF44E9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DEFC8A" w14:textId="093CDE88" w:rsidR="00A125C9" w:rsidRPr="00A93BAC" w:rsidRDefault="00A125C9" w:rsidP="00A125C9">
      <w:pPr>
        <w:spacing w:after="0" w:line="240" w:lineRule="auto"/>
        <w:contextualSpacing/>
        <w:jc w:val="both"/>
        <w:rPr>
          <w:rFonts w:ascii="Times New Roman" w:hAnsi="Times New Roman" w:cs="Times New Roman"/>
          <w:b/>
          <w:noProof/>
          <w:sz w:val="24"/>
          <w:szCs w:val="24"/>
        </w:rPr>
      </w:pPr>
      <w:r w:rsidRPr="00A93BAC">
        <w:rPr>
          <w:rFonts w:ascii="Times New Roman" w:hAnsi="Times New Roman" w:cs="Times New Roman"/>
          <w:b/>
          <w:noProof/>
          <w:sz w:val="24"/>
          <w:szCs w:val="24"/>
        </w:rPr>
        <w:t>Fig.1</w:t>
      </w:r>
      <w:r w:rsidR="001D2A58">
        <w:rPr>
          <w:rFonts w:ascii="Times New Roman" w:hAnsi="Times New Roman" w:cs="Times New Roman"/>
          <w:b/>
          <w:noProof/>
          <w:sz w:val="24"/>
          <w:szCs w:val="24"/>
        </w:rPr>
        <w:t>:</w:t>
      </w:r>
      <w:r w:rsidRPr="00A93BAC">
        <w:rPr>
          <w:rFonts w:ascii="Times New Roman" w:hAnsi="Times New Roman" w:cs="Times New Roman"/>
          <w:b/>
          <w:noProof/>
          <w:sz w:val="24"/>
          <w:szCs w:val="24"/>
        </w:rPr>
        <w:t xml:space="preserve"> Economic analysis of different weed control treatments in soybean</w:t>
      </w:r>
    </w:p>
    <w:p w14:paraId="3E8B0403" w14:textId="77777777" w:rsidR="00A125C9" w:rsidRPr="00A93BAC" w:rsidRDefault="00A125C9" w:rsidP="00A125C9">
      <w:pPr>
        <w:tabs>
          <w:tab w:val="left" w:pos="1431"/>
        </w:tabs>
        <w:rPr>
          <w:rFonts w:ascii="Times New Roman" w:hAnsi="Times New Roman" w:cs="Times New Roman"/>
          <w:b/>
        </w:rPr>
      </w:pPr>
      <w:r w:rsidRPr="00A93BAC">
        <w:rPr>
          <w:rFonts w:ascii="Times New Roman" w:hAnsi="Times New Roman" w:cs="Times New Roman"/>
          <w:b/>
        </w:rPr>
        <w:tab/>
      </w:r>
      <w:r w:rsidRPr="00A93BAC">
        <w:rPr>
          <w:rFonts w:ascii="Times New Roman" w:hAnsi="Times New Roman" w:cs="Times New Roman"/>
          <w:b/>
        </w:rPr>
        <w:tab/>
      </w:r>
    </w:p>
    <w:p w14:paraId="7625C4AC" w14:textId="77777777" w:rsidR="00A125C9" w:rsidRPr="00A93BAC" w:rsidRDefault="00A125C9" w:rsidP="00A125C9">
      <w:pPr>
        <w:tabs>
          <w:tab w:val="left" w:pos="1431"/>
        </w:tabs>
        <w:rPr>
          <w:rFonts w:ascii="Times New Roman" w:hAnsi="Times New Roman" w:cs="Times New Roman"/>
          <w:b/>
        </w:rPr>
      </w:pPr>
    </w:p>
    <w:p w14:paraId="21F6F5AB" w14:textId="77777777" w:rsidR="00A125C9" w:rsidRPr="00A93BAC" w:rsidRDefault="00A125C9" w:rsidP="00A125C9">
      <w:pPr>
        <w:rPr>
          <w:rFonts w:ascii="Times New Roman" w:hAnsi="Times New Roman" w:cs="Times New Roman"/>
        </w:rPr>
      </w:pPr>
      <w:r w:rsidRPr="00A93BAC">
        <w:rPr>
          <w:rFonts w:ascii="Times New Roman" w:hAnsi="Times New Roman" w:cs="Times New Roman"/>
          <w:noProof/>
          <w:lang w:val="en-US" w:bidi="hi-IN"/>
        </w:rPr>
        <w:drawing>
          <wp:inline distT="0" distB="0" distL="0" distR="0" wp14:anchorId="2BBB6ABD" wp14:editId="548ED0EA">
            <wp:extent cx="5670550" cy="2908300"/>
            <wp:effectExtent l="0" t="0" r="6350" b="6350"/>
            <wp:docPr id="73" name="Chart 17">
              <a:extLst xmlns:a="http://schemas.openxmlformats.org/drawingml/2006/main">
                <a:ext uri="{FF2B5EF4-FFF2-40B4-BE49-F238E27FC236}">
                  <a16:creationId xmlns:a16="http://schemas.microsoft.com/office/drawing/2014/main" id="{8C4D5B49-7FC9-4F7F-BC0D-481493B776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3B6C47" w14:textId="1DA2B724" w:rsidR="00A125C9" w:rsidRPr="00A93BAC" w:rsidRDefault="00A125C9" w:rsidP="00A125C9">
      <w:pPr>
        <w:tabs>
          <w:tab w:val="left" w:pos="810"/>
        </w:tabs>
        <w:spacing w:before="120" w:after="0" w:line="360" w:lineRule="auto"/>
        <w:jc w:val="both"/>
        <w:rPr>
          <w:rFonts w:ascii="Times New Roman" w:hAnsi="Times New Roman" w:cs="Times New Roman"/>
          <w:b/>
          <w:noProof/>
          <w:sz w:val="24"/>
          <w:szCs w:val="24"/>
        </w:rPr>
      </w:pPr>
      <w:r w:rsidRPr="00A93BAC">
        <w:rPr>
          <w:rFonts w:ascii="Times New Roman" w:hAnsi="Times New Roman" w:cs="Times New Roman"/>
          <w:b/>
          <w:noProof/>
          <w:sz w:val="24"/>
          <w:szCs w:val="24"/>
        </w:rPr>
        <w:t>Fig.</w:t>
      </w:r>
      <w:r w:rsidR="001D2A58">
        <w:rPr>
          <w:rFonts w:ascii="Times New Roman" w:hAnsi="Times New Roman" w:cs="Times New Roman"/>
          <w:b/>
          <w:noProof/>
          <w:sz w:val="24"/>
          <w:szCs w:val="24"/>
        </w:rPr>
        <w:t>2:</w:t>
      </w:r>
      <w:r w:rsidRPr="00A93BAC">
        <w:rPr>
          <w:rFonts w:ascii="Times New Roman" w:hAnsi="Times New Roman" w:cs="Times New Roman"/>
          <w:b/>
          <w:noProof/>
          <w:sz w:val="24"/>
          <w:szCs w:val="24"/>
        </w:rPr>
        <w:t xml:space="preserve"> Influence of different weed control treatments on benefit- cost ratio</w:t>
      </w:r>
    </w:p>
    <w:p w14:paraId="128E5978" w14:textId="77777777" w:rsidR="009464C5" w:rsidRDefault="009464C5" w:rsidP="00A125C9">
      <w:pPr>
        <w:tabs>
          <w:tab w:val="left" w:pos="810"/>
        </w:tabs>
        <w:spacing w:before="120" w:after="0" w:line="360" w:lineRule="auto"/>
        <w:jc w:val="both"/>
        <w:rPr>
          <w:rFonts w:ascii="Times New Roman" w:hAnsi="Times New Roman" w:cs="Times New Roman"/>
          <w:b/>
          <w:noProof/>
          <w:sz w:val="24"/>
          <w:szCs w:val="24"/>
        </w:rPr>
        <w:sectPr w:rsidR="009464C5" w:rsidSect="005A22B4">
          <w:type w:val="continuous"/>
          <w:pgSz w:w="11906" w:h="16838"/>
          <w:pgMar w:top="1440" w:right="1440" w:bottom="1440" w:left="1440" w:header="708" w:footer="708" w:gutter="0"/>
          <w:cols w:space="708"/>
          <w:docGrid w:linePitch="360"/>
        </w:sectPr>
      </w:pPr>
    </w:p>
    <w:p w14:paraId="2B23F642" w14:textId="2A07F1E4" w:rsidR="004A643E" w:rsidRPr="00A93BAC" w:rsidRDefault="004A643E" w:rsidP="00A125C9">
      <w:pPr>
        <w:tabs>
          <w:tab w:val="left" w:pos="810"/>
        </w:tabs>
        <w:spacing w:before="120" w:after="0" w:line="360" w:lineRule="auto"/>
        <w:jc w:val="both"/>
        <w:rPr>
          <w:rFonts w:ascii="Times New Roman" w:hAnsi="Times New Roman" w:cs="Times New Roman"/>
          <w:b/>
          <w:noProof/>
          <w:sz w:val="24"/>
          <w:szCs w:val="24"/>
        </w:rPr>
      </w:pPr>
      <w:r w:rsidRPr="00A93BAC">
        <w:rPr>
          <w:rFonts w:ascii="Times New Roman" w:hAnsi="Times New Roman" w:cs="Times New Roman"/>
          <w:b/>
          <w:noProof/>
          <w:sz w:val="24"/>
          <w:szCs w:val="24"/>
        </w:rPr>
        <w:t>Conclusion:</w:t>
      </w:r>
    </w:p>
    <w:p w14:paraId="7FC38886" w14:textId="5D5F8CB9" w:rsidR="009449F8" w:rsidRDefault="00980C68" w:rsidP="009449F8">
      <w:pPr>
        <w:pStyle w:val="Style12"/>
        <w:spacing w:before="120" w:line="360" w:lineRule="auto"/>
        <w:rPr>
          <w:rFonts w:ascii="Times New Roman" w:hAnsi="Times New Roman" w:cs="Times New Roman"/>
        </w:rPr>
      </w:pPr>
      <w:r w:rsidRPr="00A93BAC">
        <w:rPr>
          <w:rStyle w:val="FontStyle100"/>
          <w:rFonts w:ascii="Times New Roman" w:eastAsiaTheme="majorEastAsia" w:hAnsi="Times New Roman" w:cs="Times New Roman"/>
          <w:sz w:val="24"/>
          <w:szCs w:val="24"/>
          <w:lang w:val="en-US" w:eastAsia="en-US"/>
        </w:rPr>
        <w:t>Based on the foregoing discussion</w:t>
      </w:r>
      <w:r w:rsidR="00221D4D" w:rsidRPr="00A93BAC">
        <w:rPr>
          <w:rStyle w:val="FontStyle100"/>
          <w:rFonts w:ascii="Times New Roman" w:eastAsiaTheme="majorEastAsia" w:hAnsi="Times New Roman" w:cs="Times New Roman"/>
          <w:sz w:val="24"/>
          <w:szCs w:val="24"/>
          <w:lang w:val="en-US" w:eastAsia="en-US"/>
        </w:rPr>
        <w:t xml:space="preserve"> </w:t>
      </w:r>
      <w:r w:rsidRPr="00A93BAC">
        <w:rPr>
          <w:rStyle w:val="FontStyle100"/>
          <w:rFonts w:ascii="Times New Roman" w:eastAsiaTheme="majorEastAsia" w:hAnsi="Times New Roman" w:cs="Times New Roman"/>
          <w:sz w:val="24"/>
          <w:szCs w:val="24"/>
          <w:lang w:val="en-US" w:eastAsia="en-US"/>
        </w:rPr>
        <w:t xml:space="preserve">it can </w:t>
      </w:r>
      <w:r w:rsidR="00221D4D" w:rsidRPr="00A93BAC">
        <w:rPr>
          <w:rStyle w:val="FontStyle100"/>
          <w:rFonts w:ascii="Times New Roman" w:eastAsiaTheme="majorEastAsia" w:hAnsi="Times New Roman" w:cs="Times New Roman"/>
          <w:sz w:val="24"/>
          <w:szCs w:val="24"/>
          <w:lang w:val="en-US" w:eastAsia="en-US"/>
        </w:rPr>
        <w:t>be concluded</w:t>
      </w:r>
      <w:r w:rsidR="00AE02D5" w:rsidRPr="00A93BAC">
        <w:rPr>
          <w:rStyle w:val="FontStyle100"/>
          <w:rFonts w:ascii="Times New Roman" w:eastAsiaTheme="majorEastAsia" w:hAnsi="Times New Roman" w:cs="Times New Roman"/>
          <w:sz w:val="24"/>
          <w:szCs w:val="24"/>
          <w:lang w:val="en-US" w:eastAsia="en-US"/>
        </w:rPr>
        <w:t xml:space="preserve"> that</w:t>
      </w:r>
      <w:r w:rsidR="00221D4D" w:rsidRPr="00A93BAC">
        <w:rPr>
          <w:rStyle w:val="FontStyle100"/>
          <w:rFonts w:ascii="Times New Roman" w:eastAsiaTheme="majorEastAsia" w:hAnsi="Times New Roman" w:cs="Times New Roman"/>
          <w:sz w:val="24"/>
          <w:szCs w:val="24"/>
          <w:lang w:val="en-US" w:eastAsia="en-US"/>
        </w:rPr>
        <w:t xml:space="preserve"> </w:t>
      </w:r>
      <w:r w:rsidR="009449F8" w:rsidRPr="009449F8">
        <w:rPr>
          <w:rFonts w:ascii="Times New Roman" w:hAnsi="Times New Roman" w:cs="Times New Roman"/>
        </w:rPr>
        <w:t>the application of Diclosulam 0.9% + Pendimethalin 35% SE at 22.5 + 875 g ha</w:t>
      </w:r>
      <w:r w:rsidR="009449F8" w:rsidRPr="00BC6380">
        <w:rPr>
          <w:rFonts w:ascii="Times New Roman" w:hAnsi="Times New Roman" w:cs="Times New Roman"/>
          <w:highlight w:val="yellow"/>
          <w:vertAlign w:val="superscript"/>
        </w:rPr>
        <w:t>-1</w:t>
      </w:r>
      <w:r w:rsidR="009449F8" w:rsidRPr="009449F8">
        <w:rPr>
          <w:rFonts w:ascii="Times New Roman" w:hAnsi="Times New Roman" w:cs="Times New Roman"/>
        </w:rPr>
        <w:t xml:space="preserve"> was more profitable than other treatments in terms of net monetary return and B:C ratio (37611 Rs and 2.00, respectively), but the combined application of Diclosulam 0.9% + Pendimethalin 35% SE at 22.5 + 875 g </w:t>
      </w:r>
      <w:r w:rsidR="00BC6380" w:rsidRPr="009449F8">
        <w:rPr>
          <w:rFonts w:ascii="Times New Roman" w:hAnsi="Times New Roman" w:cs="Times New Roman"/>
        </w:rPr>
        <w:t>ha</w:t>
      </w:r>
      <w:r w:rsidR="00BC6380" w:rsidRPr="00BC6380">
        <w:rPr>
          <w:rFonts w:ascii="Times New Roman" w:hAnsi="Times New Roman" w:cs="Times New Roman"/>
          <w:highlight w:val="yellow"/>
          <w:vertAlign w:val="superscript"/>
        </w:rPr>
        <w:t>-1</w:t>
      </w:r>
      <w:r w:rsidR="00BC6380" w:rsidRPr="009449F8">
        <w:rPr>
          <w:rFonts w:ascii="Times New Roman" w:hAnsi="Times New Roman" w:cs="Times New Roman"/>
        </w:rPr>
        <w:t xml:space="preserve"> </w:t>
      </w:r>
      <w:r w:rsidR="009449F8" w:rsidRPr="009449F8">
        <w:rPr>
          <w:rFonts w:ascii="Times New Roman" w:hAnsi="Times New Roman" w:cs="Times New Roman"/>
        </w:rPr>
        <w:t xml:space="preserve">produced the highest GMR (Rs 75211 </w:t>
      </w:r>
      <w:r w:rsidR="00BC6380" w:rsidRPr="009449F8">
        <w:rPr>
          <w:rFonts w:ascii="Times New Roman" w:hAnsi="Times New Roman" w:cs="Times New Roman"/>
        </w:rPr>
        <w:t>ha</w:t>
      </w:r>
      <w:r w:rsidR="00BC6380" w:rsidRPr="00BC6380">
        <w:rPr>
          <w:rFonts w:ascii="Times New Roman" w:hAnsi="Times New Roman" w:cs="Times New Roman"/>
          <w:highlight w:val="yellow"/>
          <w:vertAlign w:val="superscript"/>
        </w:rPr>
        <w:t>-1</w:t>
      </w:r>
      <w:r w:rsidR="009449F8" w:rsidRPr="009449F8">
        <w:rPr>
          <w:rFonts w:ascii="Times New Roman" w:hAnsi="Times New Roman" w:cs="Times New Roman"/>
        </w:rPr>
        <w:t>), closely followed by</w:t>
      </w:r>
      <w:r w:rsidR="00BC6380">
        <w:rPr>
          <w:rFonts w:ascii="Times New Roman" w:hAnsi="Times New Roman" w:cs="Times New Roman"/>
        </w:rPr>
        <w:t xml:space="preserve"> </w:t>
      </w:r>
      <w:r w:rsidR="00BC6380" w:rsidRPr="00BC6380">
        <w:rPr>
          <w:rFonts w:ascii="Times New Roman" w:hAnsi="Times New Roman" w:cs="Times New Roman"/>
          <w:color w:val="000000"/>
          <w:highlight w:val="yellow"/>
        </w:rPr>
        <w:t>Diclosulam 0.9% + Pendimethalin 35% SE</w:t>
      </w:r>
      <w:r w:rsidR="009449F8" w:rsidRPr="009449F8">
        <w:rPr>
          <w:rFonts w:ascii="Times New Roman" w:hAnsi="Times New Roman" w:cs="Times New Roman"/>
        </w:rPr>
        <w:t xml:space="preserve">. The cultivation cost was highest (Rs. 44325 </w:t>
      </w:r>
      <w:r w:rsidR="00BC6380" w:rsidRPr="009449F8">
        <w:rPr>
          <w:rFonts w:ascii="Times New Roman" w:hAnsi="Times New Roman" w:cs="Times New Roman"/>
        </w:rPr>
        <w:t>ha</w:t>
      </w:r>
      <w:r w:rsidR="00BC6380" w:rsidRPr="00BC6380">
        <w:rPr>
          <w:rFonts w:ascii="Times New Roman" w:hAnsi="Times New Roman" w:cs="Times New Roman"/>
          <w:highlight w:val="yellow"/>
          <w:vertAlign w:val="superscript"/>
        </w:rPr>
        <w:t>-1</w:t>
      </w:r>
      <w:r w:rsidR="009449F8" w:rsidRPr="009449F8">
        <w:rPr>
          <w:rFonts w:ascii="Times New Roman" w:hAnsi="Times New Roman" w:cs="Times New Roman"/>
        </w:rPr>
        <w:t>) when weeds were removed by hand twice.</w:t>
      </w:r>
    </w:p>
    <w:p w14:paraId="3204FB15" w14:textId="04212242" w:rsidR="008749B7" w:rsidRDefault="008749B7" w:rsidP="009449F8">
      <w:pPr>
        <w:pStyle w:val="Style12"/>
        <w:spacing w:before="120" w:line="360" w:lineRule="auto"/>
        <w:rPr>
          <w:rFonts w:ascii="Times New Roman" w:hAnsi="Times New Roman" w:cs="Times New Roman"/>
        </w:rPr>
      </w:pPr>
    </w:p>
    <w:p w14:paraId="5FE334EA" w14:textId="77777777" w:rsidR="008749B7" w:rsidRPr="009C5487" w:rsidRDefault="008749B7" w:rsidP="008749B7">
      <w:pPr>
        <w:rPr>
          <w:rFonts w:ascii="Calibri" w:eastAsia="Calibri" w:hAnsi="Calibri" w:cs="Times New Roman"/>
          <w:kern w:val="2"/>
          <w:highlight w:val="yellow"/>
          <w:lang w:val="en-US"/>
        </w:rPr>
      </w:pPr>
      <w:bookmarkStart w:id="0" w:name="_Hlk180402183"/>
      <w:bookmarkStart w:id="1" w:name="_Hlk183680988"/>
      <w:r w:rsidRPr="009C5487">
        <w:rPr>
          <w:rFonts w:ascii="Calibri" w:eastAsia="Calibri" w:hAnsi="Calibri" w:cs="Times New Roman"/>
          <w:kern w:val="2"/>
          <w:highlight w:val="yellow"/>
          <w:lang w:val="en-US"/>
        </w:rPr>
        <w:t>Disclaimer (Artificial intelligence)</w:t>
      </w:r>
    </w:p>
    <w:p w14:paraId="2A71D2E5" w14:textId="77777777" w:rsidR="008749B7" w:rsidRPr="009C5487" w:rsidRDefault="008749B7" w:rsidP="008749B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6BB46585" w14:textId="77777777" w:rsidR="008749B7" w:rsidRPr="009C5487" w:rsidRDefault="008749B7" w:rsidP="008749B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02A7805A" w14:textId="77777777" w:rsidR="008749B7" w:rsidRPr="009C5487" w:rsidRDefault="008749B7" w:rsidP="008749B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2: </w:t>
      </w:r>
    </w:p>
    <w:p w14:paraId="6EF3B8DC" w14:textId="77777777" w:rsidR="008749B7" w:rsidRPr="009C5487" w:rsidRDefault="008749B7" w:rsidP="008749B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707CAA9" w14:textId="77777777" w:rsidR="008749B7" w:rsidRPr="009C5487" w:rsidRDefault="008749B7" w:rsidP="008749B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Details of the AI usage are given below:</w:t>
      </w:r>
    </w:p>
    <w:p w14:paraId="20F66DD1" w14:textId="77777777" w:rsidR="008749B7" w:rsidRPr="009C5487" w:rsidRDefault="008749B7" w:rsidP="008749B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1.</w:t>
      </w:r>
    </w:p>
    <w:p w14:paraId="28DFBC26" w14:textId="77777777" w:rsidR="008749B7" w:rsidRPr="009C5487" w:rsidRDefault="008749B7" w:rsidP="008749B7">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2.</w:t>
      </w:r>
    </w:p>
    <w:p w14:paraId="2A41D3C0" w14:textId="77777777" w:rsidR="008749B7" w:rsidRPr="009C5487" w:rsidRDefault="008749B7" w:rsidP="008749B7">
      <w:pPr>
        <w:rPr>
          <w:rFonts w:ascii="Calibri" w:eastAsia="Calibri" w:hAnsi="Calibri" w:cs="Times New Roman"/>
          <w:kern w:val="2"/>
          <w:lang w:val="en-US"/>
        </w:rPr>
      </w:pPr>
      <w:r w:rsidRPr="009C5487">
        <w:rPr>
          <w:rFonts w:ascii="Calibri" w:eastAsia="Calibri" w:hAnsi="Calibri" w:cs="Times New Roman"/>
          <w:kern w:val="2"/>
          <w:highlight w:val="yellow"/>
          <w:lang w:val="en-US"/>
        </w:rPr>
        <w:t>3.</w:t>
      </w:r>
    </w:p>
    <w:bookmarkEnd w:id="0"/>
    <w:bookmarkEnd w:id="1"/>
    <w:p w14:paraId="062BF859" w14:textId="77777777" w:rsidR="008749B7" w:rsidRPr="009449F8" w:rsidRDefault="008749B7" w:rsidP="009449F8">
      <w:pPr>
        <w:pStyle w:val="Style12"/>
        <w:spacing w:before="120" w:line="360" w:lineRule="auto"/>
        <w:rPr>
          <w:rFonts w:ascii="Times New Roman" w:hAnsi="Times New Roman" w:cs="Times New Roman"/>
        </w:rPr>
      </w:pPr>
    </w:p>
    <w:p w14:paraId="070B6D7C" w14:textId="0B59855A" w:rsidR="00D07EF8" w:rsidRPr="00D07EF8" w:rsidRDefault="00BD388C" w:rsidP="009449F8">
      <w:pPr>
        <w:pStyle w:val="Style12"/>
        <w:widowControl/>
        <w:spacing w:before="120" w:line="360" w:lineRule="auto"/>
        <w:rPr>
          <w:rFonts w:ascii="Times New Roman" w:hAnsi="Times New Roman" w:cs="Times New Roman"/>
          <w:b/>
          <w:bCs/>
        </w:rPr>
      </w:pPr>
      <w:r w:rsidRPr="00A93BAC">
        <w:rPr>
          <w:rFonts w:ascii="Times New Roman" w:hAnsi="Times New Roman" w:cs="Times New Roman"/>
          <w:b/>
          <w:bCs/>
        </w:rPr>
        <w:t>References:</w:t>
      </w:r>
    </w:p>
    <w:p w14:paraId="5C73D259" w14:textId="77777777" w:rsidR="00D07EF8" w:rsidRPr="00922916" w:rsidRDefault="00D07EF8" w:rsidP="00922916">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r w:rsidRPr="00922916">
        <w:rPr>
          <w:rFonts w:ascii="Times New Roman" w:hAnsi="Times New Roman" w:cs="Times New Roman"/>
          <w:sz w:val="24"/>
          <w:szCs w:val="24"/>
        </w:rPr>
        <w:t>Gulaiya S, Jain KK, Jamre PS, Ahirwal A, Sharma A, Kochale P, Prajapati R, Kumar A. Effect of Different Herbicides on Weed Management, Crop Growth and Yield of Soybean. International Journal of Plant &amp; Soil Science. 2023 Nov 25;35(22):435-40.</w:t>
      </w:r>
    </w:p>
    <w:p w14:paraId="62598D8A" w14:textId="77777777" w:rsidR="00D07EF8" w:rsidRPr="003511DD" w:rsidRDefault="00D07EF8" w:rsidP="0067076D">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r w:rsidRPr="003511DD">
        <w:rPr>
          <w:rFonts w:ascii="Times New Roman" w:hAnsi="Times New Roman" w:cs="Times New Roman"/>
          <w:sz w:val="24"/>
          <w:szCs w:val="24"/>
        </w:rPr>
        <w:t>Idapuganti RG, Rana DS and Pachauri DK. 2006. Integrated weed management in soybean (</w:t>
      </w:r>
      <w:r w:rsidRPr="003511DD">
        <w:rPr>
          <w:rFonts w:ascii="Times New Roman" w:hAnsi="Times New Roman" w:cs="Times New Roman"/>
          <w:i/>
          <w:sz w:val="24"/>
          <w:szCs w:val="24"/>
        </w:rPr>
        <w:t>Glycine max (L.) Merrill</w:t>
      </w:r>
      <w:r w:rsidRPr="003511DD">
        <w:rPr>
          <w:rFonts w:ascii="Times New Roman" w:hAnsi="Times New Roman" w:cs="Times New Roman"/>
          <w:sz w:val="24"/>
          <w:szCs w:val="24"/>
        </w:rPr>
        <w:t>) and its residual effect on succeeding wheat (</w:t>
      </w:r>
      <w:r w:rsidRPr="003511DD">
        <w:rPr>
          <w:rFonts w:ascii="Times New Roman" w:hAnsi="Times New Roman" w:cs="Times New Roman"/>
          <w:i/>
          <w:sz w:val="24"/>
          <w:szCs w:val="24"/>
        </w:rPr>
        <w:t>Triticum aestivum</w:t>
      </w:r>
      <w:r w:rsidRPr="003511DD">
        <w:rPr>
          <w:rFonts w:ascii="Times New Roman" w:hAnsi="Times New Roman" w:cs="Times New Roman"/>
          <w:sz w:val="24"/>
          <w:szCs w:val="24"/>
        </w:rPr>
        <w:t>). Indian Journal of Agriculture Science 76(2): 125-128</w:t>
      </w:r>
    </w:p>
    <w:p w14:paraId="2097CA31" w14:textId="77777777" w:rsidR="00D07EF8" w:rsidRPr="003511DD" w:rsidRDefault="00D07EF8" w:rsidP="003511DD">
      <w:pPr>
        <w:widowControl w:val="0"/>
        <w:tabs>
          <w:tab w:val="left" w:pos="1440"/>
        </w:tabs>
        <w:autoSpaceDE w:val="0"/>
        <w:autoSpaceDN w:val="0"/>
        <w:adjustRightInd w:val="0"/>
        <w:spacing w:before="120" w:after="120" w:line="240" w:lineRule="auto"/>
        <w:ind w:left="1440" w:hanging="1440"/>
        <w:jc w:val="both"/>
        <w:rPr>
          <w:rFonts w:ascii="Times New Roman" w:hAnsi="Times New Roman" w:cs="Times New Roman"/>
          <w:kern w:val="1"/>
          <w:sz w:val="24"/>
          <w:szCs w:val="24"/>
        </w:rPr>
      </w:pPr>
      <w:r w:rsidRPr="003511DD">
        <w:rPr>
          <w:rFonts w:ascii="Times New Roman" w:hAnsi="Times New Roman" w:cs="Times New Roman"/>
          <w:kern w:val="1"/>
          <w:sz w:val="24"/>
          <w:szCs w:val="24"/>
        </w:rPr>
        <w:t>Kewat ML, Pandey J, Yaduraju NT and Kulshreshtha G. 2000. Economic and ecofriendly weed management in soybean. Indian Journal of Weed Science 32(3&amp;4): 135-139.</w:t>
      </w:r>
    </w:p>
    <w:p w14:paraId="7A347238" w14:textId="43B93B4E" w:rsidR="00D07EF8" w:rsidRPr="003511DD" w:rsidRDefault="00D07EF8" w:rsidP="00922916">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r w:rsidRPr="003511DD">
        <w:rPr>
          <w:rFonts w:ascii="Times New Roman" w:hAnsi="Times New Roman" w:cs="Times New Roman"/>
          <w:sz w:val="24"/>
          <w:szCs w:val="24"/>
        </w:rPr>
        <w:t xml:space="preserve">SOPA 2018. The Soybean Processors Association of India e-mail: </w:t>
      </w:r>
      <w:hyperlink r:id="rId15" w:history="1">
        <w:r w:rsidR="00A85857" w:rsidRPr="00094DDC">
          <w:rPr>
            <w:rStyle w:val="Hyperlink"/>
            <w:rFonts w:ascii="Times New Roman" w:hAnsi="Times New Roman" w:cs="Times New Roman"/>
            <w:sz w:val="24"/>
            <w:szCs w:val="24"/>
          </w:rPr>
          <w:t>XXX@sopa.org</w:t>
        </w:r>
      </w:hyperlink>
      <w:r w:rsidRPr="003511DD">
        <w:rPr>
          <w:rFonts w:ascii="Times New Roman" w:hAnsi="Times New Roman" w:cs="Times New Roman"/>
          <w:sz w:val="24"/>
          <w:szCs w:val="24"/>
        </w:rPr>
        <w:t xml:space="preserve">, URL: </w:t>
      </w:r>
      <w:hyperlink r:id="rId16" w:history="1">
        <w:r w:rsidRPr="003511DD">
          <w:rPr>
            <w:rFonts w:ascii="Times New Roman" w:hAnsi="Times New Roman" w:cs="Times New Roman"/>
            <w:sz w:val="24"/>
            <w:szCs w:val="24"/>
          </w:rPr>
          <w:t>www.sopa.org</w:t>
        </w:r>
      </w:hyperlink>
    </w:p>
    <w:p w14:paraId="490EC5EE" w14:textId="77777777" w:rsidR="00D07EF8" w:rsidRPr="003511DD" w:rsidRDefault="00D07EF8" w:rsidP="007849F5">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r w:rsidRPr="003511DD">
        <w:rPr>
          <w:rFonts w:ascii="Times New Roman" w:hAnsi="Times New Roman" w:cs="Times New Roman"/>
          <w:sz w:val="24"/>
          <w:szCs w:val="24"/>
        </w:rPr>
        <w:t>Tiwari SP. 2006. Plant introduction in soybean- achievements and opportunities. Indian Journal of Plant Genetic Resources 19: 353–65.</w:t>
      </w:r>
    </w:p>
    <w:p w14:paraId="56CC1167" w14:textId="77777777" w:rsidR="00D07EF8" w:rsidRPr="003511DD" w:rsidRDefault="00D07EF8" w:rsidP="006A67F4">
      <w:pPr>
        <w:widowControl w:val="0"/>
        <w:tabs>
          <w:tab w:val="left" w:pos="1440"/>
        </w:tabs>
        <w:autoSpaceDE w:val="0"/>
        <w:autoSpaceDN w:val="0"/>
        <w:adjustRightInd w:val="0"/>
        <w:spacing w:before="120" w:after="120" w:line="252" w:lineRule="auto"/>
        <w:ind w:left="1440" w:hanging="1440"/>
        <w:jc w:val="both"/>
        <w:rPr>
          <w:rFonts w:ascii="Times New Roman" w:hAnsi="Times New Roman" w:cs="Times New Roman"/>
          <w:sz w:val="24"/>
          <w:szCs w:val="24"/>
        </w:rPr>
      </w:pPr>
      <w:r w:rsidRPr="003511DD">
        <w:rPr>
          <w:rFonts w:ascii="Times New Roman" w:hAnsi="Times New Roman" w:cs="Times New Roman"/>
          <w:sz w:val="24"/>
          <w:szCs w:val="24"/>
        </w:rPr>
        <w:t>USDA. 2018. World Agricultural Production. U.S. Department of Agriculture, International Production Assessment Division (IPAD), Washington. URL: http://www.fas.usda.gov</w:t>
      </w:r>
    </w:p>
    <w:p w14:paraId="558C9659" w14:textId="77777777" w:rsidR="005A22B4" w:rsidRDefault="005A22B4" w:rsidP="004A06FE">
      <w:pPr>
        <w:spacing w:before="120" w:after="120" w:line="360" w:lineRule="auto"/>
        <w:jc w:val="both"/>
        <w:rPr>
          <w:rFonts w:ascii="Times New Roman" w:hAnsi="Times New Roman" w:cs="Times New Roman"/>
          <w:b/>
          <w:bCs/>
          <w:sz w:val="24"/>
          <w:szCs w:val="24"/>
        </w:rPr>
        <w:sectPr w:rsidR="005A22B4" w:rsidSect="005A22B4">
          <w:type w:val="continuous"/>
          <w:pgSz w:w="11906" w:h="16838"/>
          <w:pgMar w:top="1440" w:right="1440" w:bottom="1440" w:left="1440" w:header="708" w:footer="708" w:gutter="0"/>
          <w:cols w:space="708"/>
          <w:docGrid w:linePitch="360"/>
        </w:sectPr>
      </w:pPr>
    </w:p>
    <w:p w14:paraId="48CAC1AD" w14:textId="77777777" w:rsidR="00BD388C" w:rsidRPr="00A93BAC" w:rsidRDefault="00BD388C" w:rsidP="004A06FE">
      <w:pPr>
        <w:spacing w:before="120" w:after="120" w:line="360" w:lineRule="auto"/>
        <w:jc w:val="both"/>
        <w:rPr>
          <w:rFonts w:ascii="Times New Roman" w:hAnsi="Times New Roman" w:cs="Times New Roman"/>
          <w:b/>
          <w:bCs/>
          <w:sz w:val="24"/>
          <w:szCs w:val="24"/>
        </w:rPr>
      </w:pPr>
    </w:p>
    <w:p w14:paraId="456FDCE7" w14:textId="41615A24" w:rsidR="00CD5237" w:rsidRPr="00A93BAC" w:rsidRDefault="00CD5237" w:rsidP="00C20DED">
      <w:pPr>
        <w:widowControl w:val="0"/>
        <w:autoSpaceDE w:val="0"/>
        <w:autoSpaceDN w:val="0"/>
        <w:adjustRightInd w:val="0"/>
        <w:spacing w:before="120" w:after="120" w:line="336" w:lineRule="auto"/>
        <w:jc w:val="both"/>
        <w:rPr>
          <w:rFonts w:ascii="Times New Roman" w:hAnsi="Times New Roman" w:cs="Times New Roman"/>
          <w:b/>
          <w:bCs/>
          <w:color w:val="000000"/>
          <w:sz w:val="24"/>
          <w:szCs w:val="24"/>
        </w:rPr>
      </w:pPr>
    </w:p>
    <w:p w14:paraId="4264B697" w14:textId="6F7A75BD" w:rsidR="00F22134" w:rsidRPr="00A93BAC" w:rsidRDefault="00F22134" w:rsidP="00F22134">
      <w:pPr>
        <w:spacing w:before="120" w:after="120" w:line="360" w:lineRule="auto"/>
        <w:ind w:firstLine="720"/>
        <w:jc w:val="both"/>
        <w:rPr>
          <w:rFonts w:ascii="Times New Roman" w:hAnsi="Times New Roman" w:cs="Times New Roman"/>
          <w:sz w:val="24"/>
          <w:szCs w:val="24"/>
        </w:rPr>
      </w:pPr>
    </w:p>
    <w:p w14:paraId="13D60F3A" w14:textId="2CBD9493" w:rsidR="00472A07" w:rsidRPr="00A93BAC" w:rsidRDefault="00472A07" w:rsidP="00472A07">
      <w:pPr>
        <w:rPr>
          <w:rFonts w:ascii="Times New Roman" w:hAnsi="Times New Roman" w:cs="Times New Roman"/>
          <w:b/>
          <w:bCs/>
          <w:sz w:val="24"/>
          <w:szCs w:val="24"/>
        </w:rPr>
      </w:pPr>
    </w:p>
    <w:sectPr w:rsidR="00472A07" w:rsidRPr="00A93BAC" w:rsidSect="009464C5">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A6F501" w14:textId="77777777" w:rsidR="0078638E" w:rsidRDefault="0078638E">
      <w:pPr>
        <w:spacing w:after="0" w:line="240" w:lineRule="auto"/>
      </w:pPr>
      <w:r>
        <w:separator/>
      </w:r>
    </w:p>
  </w:endnote>
  <w:endnote w:type="continuationSeparator" w:id="0">
    <w:p w14:paraId="30B773C3" w14:textId="77777777" w:rsidR="0078638E" w:rsidRDefault="00786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7ADC1" w14:textId="77777777" w:rsidR="00930F52" w:rsidRDefault="00930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5617" w14:textId="77777777" w:rsidR="00AF59CE" w:rsidRDefault="00AF59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CAE8A" w14:textId="77777777" w:rsidR="00930F52" w:rsidRDefault="00930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9D8CF" w14:textId="77777777" w:rsidR="0078638E" w:rsidRDefault="0078638E">
      <w:pPr>
        <w:spacing w:after="0" w:line="240" w:lineRule="auto"/>
      </w:pPr>
      <w:r>
        <w:separator/>
      </w:r>
    </w:p>
  </w:footnote>
  <w:footnote w:type="continuationSeparator" w:id="0">
    <w:p w14:paraId="04B012E4" w14:textId="77777777" w:rsidR="0078638E" w:rsidRDefault="007863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4255D" w14:textId="6389DA1C" w:rsidR="00930F52" w:rsidRDefault="00000000">
    <w:pPr>
      <w:pStyle w:val="Header"/>
    </w:pPr>
    <w:r>
      <w:rPr>
        <w:noProof/>
      </w:rPr>
      <w:pict w14:anchorId="0480FD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695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916DE" w14:textId="5B2DAED0" w:rsidR="00930F52" w:rsidRDefault="00000000">
    <w:pPr>
      <w:pStyle w:val="Header"/>
    </w:pPr>
    <w:r>
      <w:rPr>
        <w:noProof/>
      </w:rPr>
      <w:pict w14:anchorId="4B3F6C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695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65F7" w14:textId="27A5A7F9" w:rsidR="00930F52" w:rsidRDefault="00000000">
    <w:pPr>
      <w:pStyle w:val="Header"/>
    </w:pPr>
    <w:r>
      <w:rPr>
        <w:noProof/>
      </w:rPr>
      <w:pict w14:anchorId="3C83C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128695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90AD3"/>
    <w:multiLevelType w:val="hybridMultilevel"/>
    <w:tmpl w:val="D0922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45252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5DD"/>
    <w:rsid w:val="00024654"/>
    <w:rsid w:val="00025293"/>
    <w:rsid w:val="00026C33"/>
    <w:rsid w:val="00052280"/>
    <w:rsid w:val="00072298"/>
    <w:rsid w:val="00085C25"/>
    <w:rsid w:val="000A6BAB"/>
    <w:rsid w:val="000A728E"/>
    <w:rsid w:val="000B54DB"/>
    <w:rsid w:val="000D30A7"/>
    <w:rsid w:val="000D4FF8"/>
    <w:rsid w:val="000D510A"/>
    <w:rsid w:val="000F6BA0"/>
    <w:rsid w:val="00101F31"/>
    <w:rsid w:val="00147D86"/>
    <w:rsid w:val="00164F97"/>
    <w:rsid w:val="0018795D"/>
    <w:rsid w:val="001B4CF8"/>
    <w:rsid w:val="001D2A58"/>
    <w:rsid w:val="001D7A87"/>
    <w:rsid w:val="00221D4D"/>
    <w:rsid w:val="00221D6E"/>
    <w:rsid w:val="00255368"/>
    <w:rsid w:val="00256CFE"/>
    <w:rsid w:val="002A7709"/>
    <w:rsid w:val="002E1BBF"/>
    <w:rsid w:val="00312F22"/>
    <w:rsid w:val="0031590E"/>
    <w:rsid w:val="00320B01"/>
    <w:rsid w:val="00326F7A"/>
    <w:rsid w:val="003354A3"/>
    <w:rsid w:val="00337081"/>
    <w:rsid w:val="003456E4"/>
    <w:rsid w:val="003511DD"/>
    <w:rsid w:val="00364ADE"/>
    <w:rsid w:val="003842F0"/>
    <w:rsid w:val="003C27C0"/>
    <w:rsid w:val="003E1985"/>
    <w:rsid w:val="003E76F3"/>
    <w:rsid w:val="00413A2C"/>
    <w:rsid w:val="004272FF"/>
    <w:rsid w:val="0044766D"/>
    <w:rsid w:val="00450078"/>
    <w:rsid w:val="00472A07"/>
    <w:rsid w:val="004A06FE"/>
    <w:rsid w:val="004A643E"/>
    <w:rsid w:val="004C13DA"/>
    <w:rsid w:val="004D3A4B"/>
    <w:rsid w:val="004F68FD"/>
    <w:rsid w:val="00594A6B"/>
    <w:rsid w:val="005A22B4"/>
    <w:rsid w:val="005B346A"/>
    <w:rsid w:val="005B51A7"/>
    <w:rsid w:val="005D19D7"/>
    <w:rsid w:val="005F4277"/>
    <w:rsid w:val="00605214"/>
    <w:rsid w:val="00627300"/>
    <w:rsid w:val="00627EFC"/>
    <w:rsid w:val="0063555E"/>
    <w:rsid w:val="00635DFB"/>
    <w:rsid w:val="0067076D"/>
    <w:rsid w:val="0067425A"/>
    <w:rsid w:val="006828A2"/>
    <w:rsid w:val="006A1C59"/>
    <w:rsid w:val="006A59B2"/>
    <w:rsid w:val="006A67F4"/>
    <w:rsid w:val="006D1875"/>
    <w:rsid w:val="006D7A1B"/>
    <w:rsid w:val="006E25DD"/>
    <w:rsid w:val="00700C2D"/>
    <w:rsid w:val="007070A7"/>
    <w:rsid w:val="00747C4C"/>
    <w:rsid w:val="007849F5"/>
    <w:rsid w:val="0078638E"/>
    <w:rsid w:val="007B7B72"/>
    <w:rsid w:val="007D4C2E"/>
    <w:rsid w:val="00821DC1"/>
    <w:rsid w:val="00823D15"/>
    <w:rsid w:val="008307C0"/>
    <w:rsid w:val="008502E3"/>
    <w:rsid w:val="008622EE"/>
    <w:rsid w:val="008718F0"/>
    <w:rsid w:val="008749B7"/>
    <w:rsid w:val="00891EA5"/>
    <w:rsid w:val="008B5D0F"/>
    <w:rsid w:val="008D09FD"/>
    <w:rsid w:val="008D2953"/>
    <w:rsid w:val="008F14CF"/>
    <w:rsid w:val="008F428D"/>
    <w:rsid w:val="008F568F"/>
    <w:rsid w:val="009040E2"/>
    <w:rsid w:val="00907A35"/>
    <w:rsid w:val="00912D8B"/>
    <w:rsid w:val="00922916"/>
    <w:rsid w:val="00930F52"/>
    <w:rsid w:val="00943D6C"/>
    <w:rsid w:val="009449F8"/>
    <w:rsid w:val="009464C5"/>
    <w:rsid w:val="009566D3"/>
    <w:rsid w:val="00980C68"/>
    <w:rsid w:val="009E7708"/>
    <w:rsid w:val="009F2CE0"/>
    <w:rsid w:val="00A0701B"/>
    <w:rsid w:val="00A125C9"/>
    <w:rsid w:val="00A34DFD"/>
    <w:rsid w:val="00A47DB6"/>
    <w:rsid w:val="00A52F9F"/>
    <w:rsid w:val="00A56F36"/>
    <w:rsid w:val="00A724D4"/>
    <w:rsid w:val="00A85857"/>
    <w:rsid w:val="00A937F2"/>
    <w:rsid w:val="00A93BAC"/>
    <w:rsid w:val="00AA41F1"/>
    <w:rsid w:val="00AE02D5"/>
    <w:rsid w:val="00AF59CE"/>
    <w:rsid w:val="00B23845"/>
    <w:rsid w:val="00B37B3D"/>
    <w:rsid w:val="00B752F1"/>
    <w:rsid w:val="00B81C02"/>
    <w:rsid w:val="00B84F68"/>
    <w:rsid w:val="00BA392F"/>
    <w:rsid w:val="00BB620D"/>
    <w:rsid w:val="00BC42BA"/>
    <w:rsid w:val="00BC6380"/>
    <w:rsid w:val="00BD388C"/>
    <w:rsid w:val="00BE2338"/>
    <w:rsid w:val="00C00DFB"/>
    <w:rsid w:val="00C06D8F"/>
    <w:rsid w:val="00C20DED"/>
    <w:rsid w:val="00C24239"/>
    <w:rsid w:val="00C50C01"/>
    <w:rsid w:val="00CD5237"/>
    <w:rsid w:val="00D07EF8"/>
    <w:rsid w:val="00D574BC"/>
    <w:rsid w:val="00D84B77"/>
    <w:rsid w:val="00D93FFB"/>
    <w:rsid w:val="00D94FC0"/>
    <w:rsid w:val="00D962C1"/>
    <w:rsid w:val="00DA604B"/>
    <w:rsid w:val="00DB6ABB"/>
    <w:rsid w:val="00DE57D2"/>
    <w:rsid w:val="00E25CAE"/>
    <w:rsid w:val="00E34CCB"/>
    <w:rsid w:val="00E421A1"/>
    <w:rsid w:val="00E66CF2"/>
    <w:rsid w:val="00E7142D"/>
    <w:rsid w:val="00E776EA"/>
    <w:rsid w:val="00E80F2D"/>
    <w:rsid w:val="00EA28CE"/>
    <w:rsid w:val="00EB5A98"/>
    <w:rsid w:val="00EC1362"/>
    <w:rsid w:val="00F101D9"/>
    <w:rsid w:val="00F22134"/>
    <w:rsid w:val="00F22760"/>
    <w:rsid w:val="00F45FCC"/>
    <w:rsid w:val="00F62DA4"/>
    <w:rsid w:val="00F96502"/>
    <w:rsid w:val="00F978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C35D7"/>
  <w15:chartTrackingRefBased/>
  <w15:docId w15:val="{02487430-A5D3-48C1-8C8D-8791C781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5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E25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E25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E25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25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2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2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2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2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5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E25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E25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E25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25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2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5DD"/>
    <w:rPr>
      <w:rFonts w:eastAsiaTheme="majorEastAsia" w:cstheme="majorBidi"/>
      <w:color w:val="272727" w:themeColor="text1" w:themeTint="D8"/>
    </w:rPr>
  </w:style>
  <w:style w:type="paragraph" w:styleId="Title">
    <w:name w:val="Title"/>
    <w:basedOn w:val="Normal"/>
    <w:next w:val="Normal"/>
    <w:link w:val="TitleChar"/>
    <w:uiPriority w:val="10"/>
    <w:qFormat/>
    <w:rsid w:val="006E2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2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2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5DD"/>
    <w:pPr>
      <w:spacing w:before="160"/>
      <w:jc w:val="center"/>
    </w:pPr>
    <w:rPr>
      <w:i/>
      <w:iCs/>
      <w:color w:val="404040" w:themeColor="text1" w:themeTint="BF"/>
    </w:rPr>
  </w:style>
  <w:style w:type="character" w:customStyle="1" w:styleId="QuoteChar">
    <w:name w:val="Quote Char"/>
    <w:basedOn w:val="DefaultParagraphFont"/>
    <w:link w:val="Quote"/>
    <w:uiPriority w:val="29"/>
    <w:rsid w:val="006E25DD"/>
    <w:rPr>
      <w:i/>
      <w:iCs/>
      <w:color w:val="404040" w:themeColor="text1" w:themeTint="BF"/>
    </w:rPr>
  </w:style>
  <w:style w:type="paragraph" w:styleId="ListParagraph">
    <w:name w:val="List Paragraph"/>
    <w:basedOn w:val="Normal"/>
    <w:uiPriority w:val="34"/>
    <w:qFormat/>
    <w:rsid w:val="006E25DD"/>
    <w:pPr>
      <w:ind w:left="720"/>
      <w:contextualSpacing/>
    </w:pPr>
  </w:style>
  <w:style w:type="character" w:styleId="IntenseEmphasis">
    <w:name w:val="Intense Emphasis"/>
    <w:basedOn w:val="DefaultParagraphFont"/>
    <w:uiPriority w:val="21"/>
    <w:qFormat/>
    <w:rsid w:val="006E25DD"/>
    <w:rPr>
      <w:i/>
      <w:iCs/>
      <w:color w:val="2F5496" w:themeColor="accent1" w:themeShade="BF"/>
    </w:rPr>
  </w:style>
  <w:style w:type="paragraph" w:styleId="IntenseQuote">
    <w:name w:val="Intense Quote"/>
    <w:basedOn w:val="Normal"/>
    <w:next w:val="Normal"/>
    <w:link w:val="IntenseQuoteChar"/>
    <w:uiPriority w:val="30"/>
    <w:qFormat/>
    <w:rsid w:val="006E25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25DD"/>
    <w:rPr>
      <w:i/>
      <w:iCs/>
      <w:color w:val="2F5496" w:themeColor="accent1" w:themeShade="BF"/>
    </w:rPr>
  </w:style>
  <w:style w:type="character" w:styleId="IntenseReference">
    <w:name w:val="Intense Reference"/>
    <w:basedOn w:val="DefaultParagraphFont"/>
    <w:uiPriority w:val="32"/>
    <w:qFormat/>
    <w:rsid w:val="006E25DD"/>
    <w:rPr>
      <w:b/>
      <w:bCs/>
      <w:smallCaps/>
      <w:color w:val="2F5496" w:themeColor="accent1" w:themeShade="BF"/>
      <w:spacing w:val="5"/>
    </w:rPr>
  </w:style>
  <w:style w:type="character" w:customStyle="1" w:styleId="FontStyle100">
    <w:name w:val="Font Style100"/>
    <w:uiPriority w:val="99"/>
    <w:qFormat/>
    <w:rsid w:val="00A724D4"/>
    <w:rPr>
      <w:rFonts w:ascii="Arial" w:hAnsi="Arial" w:cs="Arial"/>
      <w:sz w:val="20"/>
      <w:szCs w:val="20"/>
    </w:rPr>
  </w:style>
  <w:style w:type="paragraph" w:customStyle="1" w:styleId="Style12">
    <w:name w:val="Style12"/>
    <w:basedOn w:val="Normal"/>
    <w:uiPriority w:val="99"/>
    <w:qFormat/>
    <w:rsid w:val="00C06D8F"/>
    <w:pPr>
      <w:widowControl w:val="0"/>
      <w:autoSpaceDE w:val="0"/>
      <w:autoSpaceDN w:val="0"/>
      <w:adjustRightInd w:val="0"/>
      <w:spacing w:after="0" w:line="240" w:lineRule="auto"/>
      <w:jc w:val="both"/>
    </w:pPr>
    <w:rPr>
      <w:rFonts w:ascii="Arial" w:eastAsia="Times New Roman" w:hAnsi="Arial" w:cs="Mangal"/>
      <w:sz w:val="24"/>
      <w:szCs w:val="24"/>
      <w:lang w:eastAsia="en-IN" w:bidi="hi-IN"/>
    </w:rPr>
  </w:style>
  <w:style w:type="paragraph" w:styleId="Footer">
    <w:name w:val="footer"/>
    <w:basedOn w:val="Normal"/>
    <w:link w:val="FooterChar"/>
    <w:uiPriority w:val="99"/>
    <w:unhideWhenUsed/>
    <w:rsid w:val="00E421A1"/>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421A1"/>
    <w:rPr>
      <w:rFonts w:ascii="Calibri" w:eastAsia="Calibri" w:hAnsi="Calibri" w:cs="Times New Roman"/>
    </w:rPr>
  </w:style>
  <w:style w:type="character" w:customStyle="1" w:styleId="FontStyle85">
    <w:name w:val="Font Style85"/>
    <w:uiPriority w:val="99"/>
    <w:qFormat/>
    <w:rsid w:val="00E34CCB"/>
    <w:rPr>
      <w:rFonts w:ascii="Arial" w:hAnsi="Arial" w:cs="Arial"/>
      <w:i/>
      <w:iCs/>
      <w:sz w:val="20"/>
      <w:szCs w:val="20"/>
    </w:rPr>
  </w:style>
  <w:style w:type="character" w:customStyle="1" w:styleId="FontStyle25">
    <w:name w:val="Font Style25"/>
    <w:uiPriority w:val="99"/>
    <w:qFormat/>
    <w:rsid w:val="00E34CCB"/>
    <w:rPr>
      <w:rFonts w:ascii="Arial" w:hAnsi="Arial" w:cs="Arial"/>
      <w:sz w:val="34"/>
      <w:szCs w:val="34"/>
    </w:rPr>
  </w:style>
  <w:style w:type="paragraph" w:styleId="BodyTextIndent">
    <w:name w:val="Body Text Indent"/>
    <w:basedOn w:val="Normal"/>
    <w:link w:val="BodyTextIndentChar"/>
    <w:uiPriority w:val="99"/>
    <w:rsid w:val="00E34CCB"/>
    <w:pPr>
      <w:spacing w:after="120" w:line="276" w:lineRule="auto"/>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E34CCB"/>
    <w:rPr>
      <w:rFonts w:ascii="Calibri" w:eastAsia="Times New Roman" w:hAnsi="Calibri" w:cs="Times New Roman"/>
    </w:rPr>
  </w:style>
  <w:style w:type="character" w:customStyle="1" w:styleId="FontStyle99">
    <w:name w:val="Font Style99"/>
    <w:uiPriority w:val="99"/>
    <w:qFormat/>
    <w:rsid w:val="00320B01"/>
    <w:rPr>
      <w:rFonts w:ascii="Arial" w:hAnsi="Arial" w:cs="Arial"/>
      <w:b/>
      <w:bCs/>
      <w:sz w:val="20"/>
      <w:szCs w:val="20"/>
    </w:rPr>
  </w:style>
  <w:style w:type="paragraph" w:customStyle="1" w:styleId="Style59">
    <w:name w:val="Style59"/>
    <w:basedOn w:val="Normal"/>
    <w:uiPriority w:val="99"/>
    <w:qFormat/>
    <w:rsid w:val="00320B01"/>
    <w:pPr>
      <w:widowControl w:val="0"/>
      <w:autoSpaceDE w:val="0"/>
      <w:autoSpaceDN w:val="0"/>
      <w:adjustRightInd w:val="0"/>
      <w:spacing w:after="0" w:line="240" w:lineRule="auto"/>
    </w:pPr>
    <w:rPr>
      <w:rFonts w:ascii="Arial" w:eastAsia="Times New Roman" w:hAnsi="Arial" w:cs="Mangal"/>
      <w:sz w:val="24"/>
      <w:szCs w:val="24"/>
      <w:lang w:eastAsia="en-IN" w:bidi="hi-IN"/>
    </w:rPr>
  </w:style>
  <w:style w:type="paragraph" w:customStyle="1" w:styleId="Style2">
    <w:name w:val="Style2"/>
    <w:basedOn w:val="Normal"/>
    <w:uiPriority w:val="99"/>
    <w:qFormat/>
    <w:rsid w:val="00320B01"/>
    <w:pPr>
      <w:widowControl w:val="0"/>
      <w:autoSpaceDE w:val="0"/>
      <w:autoSpaceDN w:val="0"/>
      <w:adjustRightInd w:val="0"/>
      <w:spacing w:after="0" w:line="414" w:lineRule="exact"/>
      <w:ind w:firstLine="1085"/>
      <w:jc w:val="both"/>
    </w:pPr>
    <w:rPr>
      <w:rFonts w:ascii="Arial" w:eastAsia="Times New Roman" w:hAnsi="Arial" w:cs="Mangal"/>
      <w:sz w:val="24"/>
      <w:szCs w:val="24"/>
      <w:lang w:eastAsia="en-IN" w:bidi="hi-IN"/>
    </w:rPr>
  </w:style>
  <w:style w:type="paragraph" w:customStyle="1" w:styleId="Style5">
    <w:name w:val="Style5"/>
    <w:basedOn w:val="Normal"/>
    <w:uiPriority w:val="99"/>
    <w:qFormat/>
    <w:rsid w:val="00320B01"/>
    <w:pPr>
      <w:widowControl w:val="0"/>
      <w:autoSpaceDE w:val="0"/>
      <w:autoSpaceDN w:val="0"/>
      <w:adjustRightInd w:val="0"/>
      <w:spacing w:after="0" w:line="428" w:lineRule="exact"/>
      <w:ind w:firstLine="1166"/>
      <w:jc w:val="both"/>
    </w:pPr>
    <w:rPr>
      <w:rFonts w:ascii="Arial" w:eastAsia="Times New Roman" w:hAnsi="Arial" w:cs="Mangal"/>
      <w:sz w:val="24"/>
      <w:szCs w:val="24"/>
      <w:lang w:eastAsia="en-IN" w:bidi="hi-IN"/>
    </w:rPr>
  </w:style>
  <w:style w:type="paragraph" w:customStyle="1" w:styleId="Style4">
    <w:name w:val="Style4"/>
    <w:basedOn w:val="Normal"/>
    <w:uiPriority w:val="99"/>
    <w:qFormat/>
    <w:rsid w:val="0063555E"/>
    <w:pPr>
      <w:widowControl w:val="0"/>
      <w:autoSpaceDE w:val="0"/>
      <w:autoSpaceDN w:val="0"/>
      <w:adjustRightInd w:val="0"/>
      <w:spacing w:after="0" w:line="428" w:lineRule="exact"/>
      <w:jc w:val="both"/>
    </w:pPr>
    <w:rPr>
      <w:rFonts w:ascii="Arial" w:eastAsia="Times New Roman" w:hAnsi="Arial" w:cs="Mangal"/>
      <w:sz w:val="24"/>
      <w:szCs w:val="24"/>
      <w:lang w:eastAsia="en-IN" w:bidi="hi-IN"/>
    </w:rPr>
  </w:style>
  <w:style w:type="paragraph" w:customStyle="1" w:styleId="Default">
    <w:name w:val="Default"/>
    <w:rsid w:val="003C27C0"/>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5A22B4"/>
    <w:rPr>
      <w:color w:val="0563C1" w:themeColor="hyperlink"/>
      <w:u w:val="single"/>
    </w:rPr>
  </w:style>
  <w:style w:type="character" w:styleId="UnresolvedMention">
    <w:name w:val="Unresolved Mention"/>
    <w:basedOn w:val="DefaultParagraphFont"/>
    <w:uiPriority w:val="99"/>
    <w:semiHidden/>
    <w:unhideWhenUsed/>
    <w:rsid w:val="005A22B4"/>
    <w:rPr>
      <w:color w:val="605E5C"/>
      <w:shd w:val="clear" w:color="auto" w:fill="E1DFDD"/>
    </w:rPr>
  </w:style>
  <w:style w:type="paragraph" w:styleId="Header">
    <w:name w:val="header"/>
    <w:basedOn w:val="Normal"/>
    <w:link w:val="HeaderChar"/>
    <w:uiPriority w:val="99"/>
    <w:unhideWhenUsed/>
    <w:rsid w:val="00930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F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00410">
      <w:bodyDiv w:val="1"/>
      <w:marLeft w:val="0"/>
      <w:marRight w:val="0"/>
      <w:marTop w:val="0"/>
      <w:marBottom w:val="0"/>
      <w:divBdr>
        <w:top w:val="none" w:sz="0" w:space="0" w:color="auto"/>
        <w:left w:val="none" w:sz="0" w:space="0" w:color="auto"/>
        <w:bottom w:val="none" w:sz="0" w:space="0" w:color="auto"/>
        <w:right w:val="none" w:sz="0" w:space="0" w:color="auto"/>
      </w:divBdr>
    </w:div>
    <w:div w:id="81462614">
      <w:bodyDiv w:val="1"/>
      <w:marLeft w:val="0"/>
      <w:marRight w:val="0"/>
      <w:marTop w:val="0"/>
      <w:marBottom w:val="0"/>
      <w:divBdr>
        <w:top w:val="none" w:sz="0" w:space="0" w:color="auto"/>
        <w:left w:val="none" w:sz="0" w:space="0" w:color="auto"/>
        <w:bottom w:val="none" w:sz="0" w:space="0" w:color="auto"/>
        <w:right w:val="none" w:sz="0" w:space="0" w:color="auto"/>
      </w:divBdr>
    </w:div>
    <w:div w:id="208566415">
      <w:bodyDiv w:val="1"/>
      <w:marLeft w:val="0"/>
      <w:marRight w:val="0"/>
      <w:marTop w:val="0"/>
      <w:marBottom w:val="0"/>
      <w:divBdr>
        <w:top w:val="none" w:sz="0" w:space="0" w:color="auto"/>
        <w:left w:val="none" w:sz="0" w:space="0" w:color="auto"/>
        <w:bottom w:val="none" w:sz="0" w:space="0" w:color="auto"/>
        <w:right w:val="none" w:sz="0" w:space="0" w:color="auto"/>
      </w:divBdr>
    </w:div>
    <w:div w:id="251938873">
      <w:bodyDiv w:val="1"/>
      <w:marLeft w:val="0"/>
      <w:marRight w:val="0"/>
      <w:marTop w:val="0"/>
      <w:marBottom w:val="0"/>
      <w:divBdr>
        <w:top w:val="none" w:sz="0" w:space="0" w:color="auto"/>
        <w:left w:val="none" w:sz="0" w:space="0" w:color="auto"/>
        <w:bottom w:val="none" w:sz="0" w:space="0" w:color="auto"/>
        <w:right w:val="none" w:sz="0" w:space="0" w:color="auto"/>
      </w:divBdr>
    </w:div>
    <w:div w:id="302278167">
      <w:bodyDiv w:val="1"/>
      <w:marLeft w:val="0"/>
      <w:marRight w:val="0"/>
      <w:marTop w:val="0"/>
      <w:marBottom w:val="0"/>
      <w:divBdr>
        <w:top w:val="none" w:sz="0" w:space="0" w:color="auto"/>
        <w:left w:val="none" w:sz="0" w:space="0" w:color="auto"/>
        <w:bottom w:val="none" w:sz="0" w:space="0" w:color="auto"/>
        <w:right w:val="none" w:sz="0" w:space="0" w:color="auto"/>
      </w:divBdr>
    </w:div>
    <w:div w:id="305479630">
      <w:bodyDiv w:val="1"/>
      <w:marLeft w:val="0"/>
      <w:marRight w:val="0"/>
      <w:marTop w:val="0"/>
      <w:marBottom w:val="0"/>
      <w:divBdr>
        <w:top w:val="none" w:sz="0" w:space="0" w:color="auto"/>
        <w:left w:val="none" w:sz="0" w:space="0" w:color="auto"/>
        <w:bottom w:val="none" w:sz="0" w:space="0" w:color="auto"/>
        <w:right w:val="none" w:sz="0" w:space="0" w:color="auto"/>
      </w:divBdr>
    </w:div>
    <w:div w:id="355809337">
      <w:bodyDiv w:val="1"/>
      <w:marLeft w:val="0"/>
      <w:marRight w:val="0"/>
      <w:marTop w:val="0"/>
      <w:marBottom w:val="0"/>
      <w:divBdr>
        <w:top w:val="none" w:sz="0" w:space="0" w:color="auto"/>
        <w:left w:val="none" w:sz="0" w:space="0" w:color="auto"/>
        <w:bottom w:val="none" w:sz="0" w:space="0" w:color="auto"/>
        <w:right w:val="none" w:sz="0" w:space="0" w:color="auto"/>
      </w:divBdr>
    </w:div>
    <w:div w:id="362631909">
      <w:bodyDiv w:val="1"/>
      <w:marLeft w:val="0"/>
      <w:marRight w:val="0"/>
      <w:marTop w:val="0"/>
      <w:marBottom w:val="0"/>
      <w:divBdr>
        <w:top w:val="none" w:sz="0" w:space="0" w:color="auto"/>
        <w:left w:val="none" w:sz="0" w:space="0" w:color="auto"/>
        <w:bottom w:val="none" w:sz="0" w:space="0" w:color="auto"/>
        <w:right w:val="none" w:sz="0" w:space="0" w:color="auto"/>
      </w:divBdr>
    </w:div>
    <w:div w:id="526795739">
      <w:bodyDiv w:val="1"/>
      <w:marLeft w:val="0"/>
      <w:marRight w:val="0"/>
      <w:marTop w:val="0"/>
      <w:marBottom w:val="0"/>
      <w:divBdr>
        <w:top w:val="none" w:sz="0" w:space="0" w:color="auto"/>
        <w:left w:val="none" w:sz="0" w:space="0" w:color="auto"/>
        <w:bottom w:val="none" w:sz="0" w:space="0" w:color="auto"/>
        <w:right w:val="none" w:sz="0" w:space="0" w:color="auto"/>
      </w:divBdr>
    </w:div>
    <w:div w:id="544487260">
      <w:bodyDiv w:val="1"/>
      <w:marLeft w:val="0"/>
      <w:marRight w:val="0"/>
      <w:marTop w:val="0"/>
      <w:marBottom w:val="0"/>
      <w:divBdr>
        <w:top w:val="none" w:sz="0" w:space="0" w:color="auto"/>
        <w:left w:val="none" w:sz="0" w:space="0" w:color="auto"/>
        <w:bottom w:val="none" w:sz="0" w:space="0" w:color="auto"/>
        <w:right w:val="none" w:sz="0" w:space="0" w:color="auto"/>
      </w:divBdr>
    </w:div>
    <w:div w:id="648435376">
      <w:bodyDiv w:val="1"/>
      <w:marLeft w:val="0"/>
      <w:marRight w:val="0"/>
      <w:marTop w:val="0"/>
      <w:marBottom w:val="0"/>
      <w:divBdr>
        <w:top w:val="none" w:sz="0" w:space="0" w:color="auto"/>
        <w:left w:val="none" w:sz="0" w:space="0" w:color="auto"/>
        <w:bottom w:val="none" w:sz="0" w:space="0" w:color="auto"/>
        <w:right w:val="none" w:sz="0" w:space="0" w:color="auto"/>
      </w:divBdr>
    </w:div>
    <w:div w:id="716200722">
      <w:bodyDiv w:val="1"/>
      <w:marLeft w:val="0"/>
      <w:marRight w:val="0"/>
      <w:marTop w:val="0"/>
      <w:marBottom w:val="0"/>
      <w:divBdr>
        <w:top w:val="none" w:sz="0" w:space="0" w:color="auto"/>
        <w:left w:val="none" w:sz="0" w:space="0" w:color="auto"/>
        <w:bottom w:val="none" w:sz="0" w:space="0" w:color="auto"/>
        <w:right w:val="none" w:sz="0" w:space="0" w:color="auto"/>
      </w:divBdr>
    </w:div>
    <w:div w:id="738403835">
      <w:bodyDiv w:val="1"/>
      <w:marLeft w:val="0"/>
      <w:marRight w:val="0"/>
      <w:marTop w:val="0"/>
      <w:marBottom w:val="0"/>
      <w:divBdr>
        <w:top w:val="none" w:sz="0" w:space="0" w:color="auto"/>
        <w:left w:val="none" w:sz="0" w:space="0" w:color="auto"/>
        <w:bottom w:val="none" w:sz="0" w:space="0" w:color="auto"/>
        <w:right w:val="none" w:sz="0" w:space="0" w:color="auto"/>
      </w:divBdr>
    </w:div>
    <w:div w:id="739136675">
      <w:bodyDiv w:val="1"/>
      <w:marLeft w:val="0"/>
      <w:marRight w:val="0"/>
      <w:marTop w:val="0"/>
      <w:marBottom w:val="0"/>
      <w:divBdr>
        <w:top w:val="none" w:sz="0" w:space="0" w:color="auto"/>
        <w:left w:val="none" w:sz="0" w:space="0" w:color="auto"/>
        <w:bottom w:val="none" w:sz="0" w:space="0" w:color="auto"/>
        <w:right w:val="none" w:sz="0" w:space="0" w:color="auto"/>
      </w:divBdr>
    </w:div>
    <w:div w:id="781730309">
      <w:bodyDiv w:val="1"/>
      <w:marLeft w:val="0"/>
      <w:marRight w:val="0"/>
      <w:marTop w:val="0"/>
      <w:marBottom w:val="0"/>
      <w:divBdr>
        <w:top w:val="none" w:sz="0" w:space="0" w:color="auto"/>
        <w:left w:val="none" w:sz="0" w:space="0" w:color="auto"/>
        <w:bottom w:val="none" w:sz="0" w:space="0" w:color="auto"/>
        <w:right w:val="none" w:sz="0" w:space="0" w:color="auto"/>
      </w:divBdr>
    </w:div>
    <w:div w:id="795560096">
      <w:bodyDiv w:val="1"/>
      <w:marLeft w:val="0"/>
      <w:marRight w:val="0"/>
      <w:marTop w:val="0"/>
      <w:marBottom w:val="0"/>
      <w:divBdr>
        <w:top w:val="none" w:sz="0" w:space="0" w:color="auto"/>
        <w:left w:val="none" w:sz="0" w:space="0" w:color="auto"/>
        <w:bottom w:val="none" w:sz="0" w:space="0" w:color="auto"/>
        <w:right w:val="none" w:sz="0" w:space="0" w:color="auto"/>
      </w:divBdr>
    </w:div>
    <w:div w:id="858934229">
      <w:bodyDiv w:val="1"/>
      <w:marLeft w:val="0"/>
      <w:marRight w:val="0"/>
      <w:marTop w:val="0"/>
      <w:marBottom w:val="0"/>
      <w:divBdr>
        <w:top w:val="none" w:sz="0" w:space="0" w:color="auto"/>
        <w:left w:val="none" w:sz="0" w:space="0" w:color="auto"/>
        <w:bottom w:val="none" w:sz="0" w:space="0" w:color="auto"/>
        <w:right w:val="none" w:sz="0" w:space="0" w:color="auto"/>
      </w:divBdr>
    </w:div>
    <w:div w:id="887452581">
      <w:bodyDiv w:val="1"/>
      <w:marLeft w:val="0"/>
      <w:marRight w:val="0"/>
      <w:marTop w:val="0"/>
      <w:marBottom w:val="0"/>
      <w:divBdr>
        <w:top w:val="none" w:sz="0" w:space="0" w:color="auto"/>
        <w:left w:val="none" w:sz="0" w:space="0" w:color="auto"/>
        <w:bottom w:val="none" w:sz="0" w:space="0" w:color="auto"/>
        <w:right w:val="none" w:sz="0" w:space="0" w:color="auto"/>
      </w:divBdr>
    </w:div>
    <w:div w:id="906918559">
      <w:bodyDiv w:val="1"/>
      <w:marLeft w:val="0"/>
      <w:marRight w:val="0"/>
      <w:marTop w:val="0"/>
      <w:marBottom w:val="0"/>
      <w:divBdr>
        <w:top w:val="none" w:sz="0" w:space="0" w:color="auto"/>
        <w:left w:val="none" w:sz="0" w:space="0" w:color="auto"/>
        <w:bottom w:val="none" w:sz="0" w:space="0" w:color="auto"/>
        <w:right w:val="none" w:sz="0" w:space="0" w:color="auto"/>
      </w:divBdr>
    </w:div>
    <w:div w:id="997809913">
      <w:bodyDiv w:val="1"/>
      <w:marLeft w:val="0"/>
      <w:marRight w:val="0"/>
      <w:marTop w:val="0"/>
      <w:marBottom w:val="0"/>
      <w:divBdr>
        <w:top w:val="none" w:sz="0" w:space="0" w:color="auto"/>
        <w:left w:val="none" w:sz="0" w:space="0" w:color="auto"/>
        <w:bottom w:val="none" w:sz="0" w:space="0" w:color="auto"/>
        <w:right w:val="none" w:sz="0" w:space="0" w:color="auto"/>
      </w:divBdr>
    </w:div>
    <w:div w:id="1084911068">
      <w:bodyDiv w:val="1"/>
      <w:marLeft w:val="0"/>
      <w:marRight w:val="0"/>
      <w:marTop w:val="0"/>
      <w:marBottom w:val="0"/>
      <w:divBdr>
        <w:top w:val="none" w:sz="0" w:space="0" w:color="auto"/>
        <w:left w:val="none" w:sz="0" w:space="0" w:color="auto"/>
        <w:bottom w:val="none" w:sz="0" w:space="0" w:color="auto"/>
        <w:right w:val="none" w:sz="0" w:space="0" w:color="auto"/>
      </w:divBdr>
    </w:div>
    <w:div w:id="1186673275">
      <w:bodyDiv w:val="1"/>
      <w:marLeft w:val="0"/>
      <w:marRight w:val="0"/>
      <w:marTop w:val="0"/>
      <w:marBottom w:val="0"/>
      <w:divBdr>
        <w:top w:val="none" w:sz="0" w:space="0" w:color="auto"/>
        <w:left w:val="none" w:sz="0" w:space="0" w:color="auto"/>
        <w:bottom w:val="none" w:sz="0" w:space="0" w:color="auto"/>
        <w:right w:val="none" w:sz="0" w:space="0" w:color="auto"/>
      </w:divBdr>
    </w:div>
    <w:div w:id="1197307226">
      <w:bodyDiv w:val="1"/>
      <w:marLeft w:val="0"/>
      <w:marRight w:val="0"/>
      <w:marTop w:val="0"/>
      <w:marBottom w:val="0"/>
      <w:divBdr>
        <w:top w:val="none" w:sz="0" w:space="0" w:color="auto"/>
        <w:left w:val="none" w:sz="0" w:space="0" w:color="auto"/>
        <w:bottom w:val="none" w:sz="0" w:space="0" w:color="auto"/>
        <w:right w:val="none" w:sz="0" w:space="0" w:color="auto"/>
      </w:divBdr>
    </w:div>
    <w:div w:id="1235436418">
      <w:bodyDiv w:val="1"/>
      <w:marLeft w:val="0"/>
      <w:marRight w:val="0"/>
      <w:marTop w:val="0"/>
      <w:marBottom w:val="0"/>
      <w:divBdr>
        <w:top w:val="none" w:sz="0" w:space="0" w:color="auto"/>
        <w:left w:val="none" w:sz="0" w:space="0" w:color="auto"/>
        <w:bottom w:val="none" w:sz="0" w:space="0" w:color="auto"/>
        <w:right w:val="none" w:sz="0" w:space="0" w:color="auto"/>
      </w:divBdr>
    </w:div>
    <w:div w:id="1238709631">
      <w:bodyDiv w:val="1"/>
      <w:marLeft w:val="0"/>
      <w:marRight w:val="0"/>
      <w:marTop w:val="0"/>
      <w:marBottom w:val="0"/>
      <w:divBdr>
        <w:top w:val="none" w:sz="0" w:space="0" w:color="auto"/>
        <w:left w:val="none" w:sz="0" w:space="0" w:color="auto"/>
        <w:bottom w:val="none" w:sz="0" w:space="0" w:color="auto"/>
        <w:right w:val="none" w:sz="0" w:space="0" w:color="auto"/>
      </w:divBdr>
    </w:div>
    <w:div w:id="1252666251">
      <w:bodyDiv w:val="1"/>
      <w:marLeft w:val="0"/>
      <w:marRight w:val="0"/>
      <w:marTop w:val="0"/>
      <w:marBottom w:val="0"/>
      <w:divBdr>
        <w:top w:val="none" w:sz="0" w:space="0" w:color="auto"/>
        <w:left w:val="none" w:sz="0" w:space="0" w:color="auto"/>
        <w:bottom w:val="none" w:sz="0" w:space="0" w:color="auto"/>
        <w:right w:val="none" w:sz="0" w:space="0" w:color="auto"/>
      </w:divBdr>
    </w:div>
    <w:div w:id="1341741819">
      <w:bodyDiv w:val="1"/>
      <w:marLeft w:val="0"/>
      <w:marRight w:val="0"/>
      <w:marTop w:val="0"/>
      <w:marBottom w:val="0"/>
      <w:divBdr>
        <w:top w:val="none" w:sz="0" w:space="0" w:color="auto"/>
        <w:left w:val="none" w:sz="0" w:space="0" w:color="auto"/>
        <w:bottom w:val="none" w:sz="0" w:space="0" w:color="auto"/>
        <w:right w:val="none" w:sz="0" w:space="0" w:color="auto"/>
      </w:divBdr>
    </w:div>
    <w:div w:id="1382443053">
      <w:bodyDiv w:val="1"/>
      <w:marLeft w:val="0"/>
      <w:marRight w:val="0"/>
      <w:marTop w:val="0"/>
      <w:marBottom w:val="0"/>
      <w:divBdr>
        <w:top w:val="none" w:sz="0" w:space="0" w:color="auto"/>
        <w:left w:val="none" w:sz="0" w:space="0" w:color="auto"/>
        <w:bottom w:val="none" w:sz="0" w:space="0" w:color="auto"/>
        <w:right w:val="none" w:sz="0" w:space="0" w:color="auto"/>
      </w:divBdr>
    </w:div>
    <w:div w:id="1434126632">
      <w:bodyDiv w:val="1"/>
      <w:marLeft w:val="0"/>
      <w:marRight w:val="0"/>
      <w:marTop w:val="0"/>
      <w:marBottom w:val="0"/>
      <w:divBdr>
        <w:top w:val="none" w:sz="0" w:space="0" w:color="auto"/>
        <w:left w:val="none" w:sz="0" w:space="0" w:color="auto"/>
        <w:bottom w:val="none" w:sz="0" w:space="0" w:color="auto"/>
        <w:right w:val="none" w:sz="0" w:space="0" w:color="auto"/>
      </w:divBdr>
    </w:div>
    <w:div w:id="1475681053">
      <w:bodyDiv w:val="1"/>
      <w:marLeft w:val="0"/>
      <w:marRight w:val="0"/>
      <w:marTop w:val="0"/>
      <w:marBottom w:val="0"/>
      <w:divBdr>
        <w:top w:val="none" w:sz="0" w:space="0" w:color="auto"/>
        <w:left w:val="none" w:sz="0" w:space="0" w:color="auto"/>
        <w:bottom w:val="none" w:sz="0" w:space="0" w:color="auto"/>
        <w:right w:val="none" w:sz="0" w:space="0" w:color="auto"/>
      </w:divBdr>
    </w:div>
    <w:div w:id="1497917873">
      <w:bodyDiv w:val="1"/>
      <w:marLeft w:val="0"/>
      <w:marRight w:val="0"/>
      <w:marTop w:val="0"/>
      <w:marBottom w:val="0"/>
      <w:divBdr>
        <w:top w:val="none" w:sz="0" w:space="0" w:color="auto"/>
        <w:left w:val="none" w:sz="0" w:space="0" w:color="auto"/>
        <w:bottom w:val="none" w:sz="0" w:space="0" w:color="auto"/>
        <w:right w:val="none" w:sz="0" w:space="0" w:color="auto"/>
      </w:divBdr>
    </w:div>
    <w:div w:id="1600870437">
      <w:bodyDiv w:val="1"/>
      <w:marLeft w:val="0"/>
      <w:marRight w:val="0"/>
      <w:marTop w:val="0"/>
      <w:marBottom w:val="0"/>
      <w:divBdr>
        <w:top w:val="none" w:sz="0" w:space="0" w:color="auto"/>
        <w:left w:val="none" w:sz="0" w:space="0" w:color="auto"/>
        <w:bottom w:val="none" w:sz="0" w:space="0" w:color="auto"/>
        <w:right w:val="none" w:sz="0" w:space="0" w:color="auto"/>
      </w:divBdr>
    </w:div>
    <w:div w:id="1619947545">
      <w:bodyDiv w:val="1"/>
      <w:marLeft w:val="0"/>
      <w:marRight w:val="0"/>
      <w:marTop w:val="0"/>
      <w:marBottom w:val="0"/>
      <w:divBdr>
        <w:top w:val="none" w:sz="0" w:space="0" w:color="auto"/>
        <w:left w:val="none" w:sz="0" w:space="0" w:color="auto"/>
        <w:bottom w:val="none" w:sz="0" w:space="0" w:color="auto"/>
        <w:right w:val="none" w:sz="0" w:space="0" w:color="auto"/>
      </w:divBdr>
    </w:div>
    <w:div w:id="1660420542">
      <w:bodyDiv w:val="1"/>
      <w:marLeft w:val="0"/>
      <w:marRight w:val="0"/>
      <w:marTop w:val="0"/>
      <w:marBottom w:val="0"/>
      <w:divBdr>
        <w:top w:val="none" w:sz="0" w:space="0" w:color="auto"/>
        <w:left w:val="none" w:sz="0" w:space="0" w:color="auto"/>
        <w:bottom w:val="none" w:sz="0" w:space="0" w:color="auto"/>
        <w:right w:val="none" w:sz="0" w:space="0" w:color="auto"/>
      </w:divBdr>
    </w:div>
    <w:div w:id="1767923669">
      <w:bodyDiv w:val="1"/>
      <w:marLeft w:val="0"/>
      <w:marRight w:val="0"/>
      <w:marTop w:val="0"/>
      <w:marBottom w:val="0"/>
      <w:divBdr>
        <w:top w:val="none" w:sz="0" w:space="0" w:color="auto"/>
        <w:left w:val="none" w:sz="0" w:space="0" w:color="auto"/>
        <w:bottom w:val="none" w:sz="0" w:space="0" w:color="auto"/>
        <w:right w:val="none" w:sz="0" w:space="0" w:color="auto"/>
      </w:divBdr>
    </w:div>
    <w:div w:id="1843616671">
      <w:bodyDiv w:val="1"/>
      <w:marLeft w:val="0"/>
      <w:marRight w:val="0"/>
      <w:marTop w:val="0"/>
      <w:marBottom w:val="0"/>
      <w:divBdr>
        <w:top w:val="none" w:sz="0" w:space="0" w:color="auto"/>
        <w:left w:val="none" w:sz="0" w:space="0" w:color="auto"/>
        <w:bottom w:val="none" w:sz="0" w:space="0" w:color="auto"/>
        <w:right w:val="none" w:sz="0" w:space="0" w:color="auto"/>
      </w:divBdr>
    </w:div>
    <w:div w:id="1871798376">
      <w:bodyDiv w:val="1"/>
      <w:marLeft w:val="0"/>
      <w:marRight w:val="0"/>
      <w:marTop w:val="0"/>
      <w:marBottom w:val="0"/>
      <w:divBdr>
        <w:top w:val="none" w:sz="0" w:space="0" w:color="auto"/>
        <w:left w:val="none" w:sz="0" w:space="0" w:color="auto"/>
        <w:bottom w:val="none" w:sz="0" w:space="0" w:color="auto"/>
        <w:right w:val="none" w:sz="0" w:space="0" w:color="auto"/>
      </w:divBdr>
    </w:div>
    <w:div w:id="2014527254">
      <w:bodyDiv w:val="1"/>
      <w:marLeft w:val="0"/>
      <w:marRight w:val="0"/>
      <w:marTop w:val="0"/>
      <w:marBottom w:val="0"/>
      <w:divBdr>
        <w:top w:val="none" w:sz="0" w:space="0" w:color="auto"/>
        <w:left w:val="none" w:sz="0" w:space="0" w:color="auto"/>
        <w:bottom w:val="none" w:sz="0" w:space="0" w:color="auto"/>
        <w:right w:val="none" w:sz="0" w:space="0" w:color="auto"/>
      </w:divBdr>
    </w:div>
    <w:div w:id="2060863543">
      <w:bodyDiv w:val="1"/>
      <w:marLeft w:val="0"/>
      <w:marRight w:val="0"/>
      <w:marTop w:val="0"/>
      <w:marBottom w:val="0"/>
      <w:divBdr>
        <w:top w:val="none" w:sz="0" w:space="0" w:color="auto"/>
        <w:left w:val="none" w:sz="0" w:space="0" w:color="auto"/>
        <w:bottom w:val="none" w:sz="0" w:space="0" w:color="auto"/>
        <w:right w:val="none" w:sz="0" w:space="0" w:color="auto"/>
      </w:divBdr>
    </w:div>
    <w:div w:id="2071682715">
      <w:bodyDiv w:val="1"/>
      <w:marLeft w:val="0"/>
      <w:marRight w:val="0"/>
      <w:marTop w:val="0"/>
      <w:marBottom w:val="0"/>
      <w:divBdr>
        <w:top w:val="none" w:sz="0" w:space="0" w:color="auto"/>
        <w:left w:val="none" w:sz="0" w:space="0" w:color="auto"/>
        <w:bottom w:val="none" w:sz="0" w:space="0" w:color="auto"/>
        <w:right w:val="none" w:sz="0" w:space="0" w:color="auto"/>
      </w:divBdr>
    </w:div>
    <w:div w:id="20718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opa.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XXX@sopa.org"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GULAIYA.TH.AN.LP\Transformation%20weed%2013xlsx.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GULAIYA.TH.AN.LP\Transformation%20weed%2013xls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8525406876069331"/>
          <c:y val="0.23382420048573521"/>
          <c:w val="0.77817377179979164"/>
          <c:h val="0.58988181183934396"/>
        </c:manualLayout>
      </c:layout>
      <c:bar3DChart>
        <c:barDir val="col"/>
        <c:grouping val="clustered"/>
        <c:varyColors val="0"/>
        <c:ser>
          <c:idx val="0"/>
          <c:order val="0"/>
          <c:tx>
            <c:strRef>
              <c:f>'Plant population'!$AA$1150</c:f>
              <c:strCache>
                <c:ptCount val="1"/>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'Plant population'!$Z$1151:$Z$1161</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population'!$AA$1151:$AA$1161</c:f>
            </c:numRef>
          </c:val>
          <c:extLst>
            <c:ext xmlns:c16="http://schemas.microsoft.com/office/drawing/2014/chart" uri="{C3380CC4-5D6E-409C-BE32-E72D297353CC}">
              <c16:uniqueId val="{00000000-903E-4284-8D52-9A76137FA797}"/>
            </c:ext>
          </c:extLst>
        </c:ser>
        <c:ser>
          <c:idx val="1"/>
          <c:order val="1"/>
          <c:tx>
            <c:strRef>
              <c:f>'Plant population'!$AB$1150</c:f>
              <c:strCache>
                <c:ptCount val="1"/>
                <c:pt idx="0">
                  <c:v>Cost of cultivation (Rs ha-1)</c:v>
                </c:pt>
              </c:strCache>
            </c:strRef>
          </c:tx>
          <c:spPr>
            <a:solidFill>
              <a:schemeClr val="accent2"/>
            </a:solidFill>
            <a:ln>
              <a:noFill/>
            </a:ln>
            <a:effectLst/>
            <a:sp3d/>
          </c:spPr>
          <c:invertIfNegative val="0"/>
          <c:dLbls>
            <c:delete val="1"/>
          </c:dLbls>
          <c:cat>
            <c:strRef>
              <c:f>'Plant population'!$Z$1151:$Z$1161</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population'!$AB$1151:$AB$1161</c:f>
              <c:numCache>
                <c:formatCode>General</c:formatCode>
                <c:ptCount val="11"/>
                <c:pt idx="0">
                  <c:v>36675</c:v>
                </c:pt>
                <c:pt idx="1">
                  <c:v>37137</c:v>
                </c:pt>
                <c:pt idx="2">
                  <c:v>37600</c:v>
                </c:pt>
                <c:pt idx="3">
                  <c:v>42225</c:v>
                </c:pt>
                <c:pt idx="4">
                  <c:v>33023</c:v>
                </c:pt>
                <c:pt idx="5">
                  <c:v>33027</c:v>
                </c:pt>
                <c:pt idx="6">
                  <c:v>34432</c:v>
                </c:pt>
                <c:pt idx="7">
                  <c:v>34579</c:v>
                </c:pt>
                <c:pt idx="8">
                  <c:v>35825</c:v>
                </c:pt>
                <c:pt idx="9">
                  <c:v>44325</c:v>
                </c:pt>
                <c:pt idx="10">
                  <c:v>32625</c:v>
                </c:pt>
              </c:numCache>
            </c:numRef>
          </c:val>
          <c:extLst>
            <c:ext xmlns:c16="http://schemas.microsoft.com/office/drawing/2014/chart" uri="{C3380CC4-5D6E-409C-BE32-E72D297353CC}">
              <c16:uniqueId val="{00000001-903E-4284-8D52-9A76137FA797}"/>
            </c:ext>
          </c:extLst>
        </c:ser>
        <c:ser>
          <c:idx val="2"/>
          <c:order val="2"/>
          <c:tx>
            <c:strRef>
              <c:f>'Plant population'!$AC$1150</c:f>
              <c:strCache>
                <c:ptCount val="1"/>
                <c:pt idx="0">
                  <c:v>Gross monetary returns (Rs ha-1)</c:v>
                </c:pt>
              </c:strCache>
            </c:strRef>
          </c:tx>
          <c:spPr>
            <a:solidFill>
              <a:schemeClr val="accent3"/>
            </a:solidFill>
            <a:ln>
              <a:noFill/>
            </a:ln>
            <a:effectLst/>
            <a:sp3d/>
          </c:spPr>
          <c:invertIfNegative val="0"/>
          <c:dLbls>
            <c:delete val="1"/>
          </c:dLbls>
          <c:cat>
            <c:strRef>
              <c:f>'Plant population'!$Z$1151:$Z$1161</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population'!$AC$1151:$AC$1161</c:f>
              <c:numCache>
                <c:formatCode>General</c:formatCode>
                <c:ptCount val="11"/>
                <c:pt idx="0">
                  <c:v>56998</c:v>
                </c:pt>
                <c:pt idx="1">
                  <c:v>58917</c:v>
                </c:pt>
                <c:pt idx="2">
                  <c:v>75211</c:v>
                </c:pt>
                <c:pt idx="3">
                  <c:v>67471</c:v>
                </c:pt>
                <c:pt idx="4">
                  <c:v>56631</c:v>
                </c:pt>
                <c:pt idx="5">
                  <c:v>57631</c:v>
                </c:pt>
                <c:pt idx="6">
                  <c:v>57574</c:v>
                </c:pt>
                <c:pt idx="7">
                  <c:v>57536</c:v>
                </c:pt>
                <c:pt idx="8">
                  <c:v>55723</c:v>
                </c:pt>
                <c:pt idx="9">
                  <c:v>84445</c:v>
                </c:pt>
                <c:pt idx="10">
                  <c:v>39373</c:v>
                </c:pt>
              </c:numCache>
            </c:numRef>
          </c:val>
          <c:extLst>
            <c:ext xmlns:c16="http://schemas.microsoft.com/office/drawing/2014/chart" uri="{C3380CC4-5D6E-409C-BE32-E72D297353CC}">
              <c16:uniqueId val="{00000002-903E-4284-8D52-9A76137FA797}"/>
            </c:ext>
          </c:extLst>
        </c:ser>
        <c:ser>
          <c:idx val="3"/>
          <c:order val="3"/>
          <c:tx>
            <c:strRef>
              <c:f>'Plant population'!$AD$1150</c:f>
              <c:strCache>
                <c:ptCount val="1"/>
                <c:pt idx="0">
                  <c:v>Net monetary returns (Rs ha-1)</c:v>
                </c:pt>
              </c:strCache>
            </c:strRef>
          </c:tx>
          <c:spPr>
            <a:solidFill>
              <a:schemeClr val="accent4"/>
            </a:solidFill>
            <a:ln>
              <a:noFill/>
            </a:ln>
            <a:effectLst/>
            <a:sp3d/>
          </c:spPr>
          <c:invertIfNegative val="0"/>
          <c:dLbls>
            <c:delete val="1"/>
          </c:dLbls>
          <c:cat>
            <c:strRef>
              <c:f>'Plant population'!$Z$1151:$Z$1161</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population'!$AD$1151:$AD$1161</c:f>
              <c:numCache>
                <c:formatCode>General</c:formatCode>
                <c:ptCount val="11"/>
                <c:pt idx="0">
                  <c:v>20323</c:v>
                </c:pt>
                <c:pt idx="1">
                  <c:v>21780</c:v>
                </c:pt>
                <c:pt idx="2">
                  <c:v>37611</c:v>
                </c:pt>
                <c:pt idx="3">
                  <c:v>25246</c:v>
                </c:pt>
                <c:pt idx="4">
                  <c:v>23608</c:v>
                </c:pt>
                <c:pt idx="5">
                  <c:v>24604</c:v>
                </c:pt>
                <c:pt idx="6">
                  <c:v>23142</c:v>
                </c:pt>
                <c:pt idx="7">
                  <c:v>22957</c:v>
                </c:pt>
                <c:pt idx="8">
                  <c:v>19898</c:v>
                </c:pt>
                <c:pt idx="9">
                  <c:v>40120</c:v>
                </c:pt>
                <c:pt idx="10">
                  <c:v>6748</c:v>
                </c:pt>
              </c:numCache>
            </c:numRef>
          </c:val>
          <c:extLst>
            <c:ext xmlns:c16="http://schemas.microsoft.com/office/drawing/2014/chart" uri="{C3380CC4-5D6E-409C-BE32-E72D297353CC}">
              <c16:uniqueId val="{00000003-903E-4284-8D52-9A76137FA797}"/>
            </c:ext>
          </c:extLst>
        </c:ser>
        <c:dLbls>
          <c:showLegendKey val="0"/>
          <c:showVal val="1"/>
          <c:showCatName val="0"/>
          <c:showSerName val="0"/>
          <c:showPercent val="0"/>
          <c:showBubbleSize val="0"/>
        </c:dLbls>
        <c:gapWidth val="150"/>
        <c:shape val="box"/>
        <c:axId val="97294208"/>
        <c:axId val="97308672"/>
        <c:axId val="0"/>
      </c:bar3DChart>
      <c:catAx>
        <c:axId val="97294208"/>
        <c:scaling>
          <c:orientation val="minMax"/>
        </c:scaling>
        <c:delete val="0"/>
        <c:axPos val="b"/>
        <c:title>
          <c:tx>
            <c:rich>
              <a:bodyPr rot="0" vert="horz"/>
              <a:lstStyle/>
              <a:p>
                <a:pPr>
                  <a:defRPr b="0"/>
                </a:pPr>
                <a:r>
                  <a:rPr lang="en-IN" b="0"/>
                  <a:t>Weed control treatments</a:t>
                </a:r>
              </a:p>
            </c:rich>
          </c:tx>
          <c:layout>
            <c:manualLayout>
              <c:xMode val="edge"/>
              <c:yMode val="edge"/>
              <c:x val="0.35657998239834443"/>
              <c:y val="0.92566674342482202"/>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97308672"/>
        <c:crosses val="autoZero"/>
        <c:auto val="1"/>
        <c:lblAlgn val="ctr"/>
        <c:lblOffset val="100"/>
        <c:noMultiLvlLbl val="0"/>
      </c:catAx>
      <c:valAx>
        <c:axId val="97308672"/>
        <c:scaling>
          <c:orientation val="minMax"/>
        </c:scaling>
        <c:delete val="0"/>
        <c:axPos val="l"/>
        <c:title>
          <c:tx>
            <c:rich>
              <a:bodyPr rot="-5400000" vert="horz"/>
              <a:lstStyle/>
              <a:p>
                <a:pPr>
                  <a:defRPr/>
                </a:pPr>
                <a:r>
                  <a:rPr lang="en-US" b="0"/>
                  <a:t>Cost of cultivation (Rs ha</a:t>
                </a:r>
                <a:r>
                  <a:rPr lang="en-US" b="0" baseline="30000"/>
                  <a:t>-1</a:t>
                </a:r>
                <a:r>
                  <a:rPr lang="en-US" b="0"/>
                  <a:t>),</a:t>
                </a:r>
                <a:r>
                  <a:rPr lang="en-IN" b="0"/>
                  <a:t> </a:t>
                </a:r>
                <a:r>
                  <a:rPr lang="en-US" b="0"/>
                  <a:t>Gross monetary returns (Rs ha</a:t>
                </a:r>
                <a:r>
                  <a:rPr lang="en-US" b="0" baseline="30000"/>
                  <a:t>-1</a:t>
                </a:r>
                <a:r>
                  <a:rPr lang="en-US" b="0" baseline="0"/>
                  <a:t>)</a:t>
                </a:r>
                <a:r>
                  <a:rPr lang="en-IN" b="0"/>
                  <a:t> </a:t>
                </a:r>
              </a:p>
            </c:rich>
          </c:tx>
          <c:layout>
            <c:manualLayout>
              <c:xMode val="edge"/>
              <c:yMode val="edge"/>
              <c:x val="1.249579213083033E-2"/>
              <c:y val="0.11259249876351067"/>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97294208"/>
        <c:crosses val="autoZero"/>
        <c:crossBetween val="between"/>
      </c:valAx>
      <c:spPr>
        <a:noFill/>
        <a:ln>
          <a:noFill/>
        </a:ln>
        <a:effectLst/>
      </c:spPr>
    </c:plotArea>
    <c:legend>
      <c:legendPos val="t"/>
      <c:layout>
        <c:manualLayout>
          <c:xMode val="edge"/>
          <c:yMode val="edge"/>
          <c:x val="4.592081573298238E-2"/>
          <c:y val="2.6422772685094721E-2"/>
          <c:w val="0.93014438058306215"/>
          <c:h val="0.15340187996987389"/>
        </c:manualLayout>
      </c:layout>
      <c:overlay val="0"/>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latin typeface="Arial" pitchFamily="34" charset="0"/>
          <a:cs typeface="Arial"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13849369849733537"/>
          <c:y val="0.18556362068060039"/>
          <c:w val="0.83732168824873665"/>
          <c:h val="0.63064499957826858"/>
        </c:manualLayout>
      </c:layout>
      <c:bar3DChart>
        <c:barDir val="col"/>
        <c:grouping val="clustered"/>
        <c:varyColors val="0"/>
        <c:ser>
          <c:idx val="0"/>
          <c:order val="0"/>
          <c:tx>
            <c:strRef>
              <c:f>'Plant population'!$AA$1165</c:f>
              <c:strCache>
                <c:ptCount val="1"/>
              </c:strCache>
            </c:strRef>
          </c:tx>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'Plant population'!$Z$1166:$Z$1176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population'!$AA$1166:$AA$1176</c:f>
            </c:numRef>
          </c:val>
          <c:extLst>
            <c:ext xmlns:c16="http://schemas.microsoft.com/office/drawing/2014/chart" uri="{C3380CC4-5D6E-409C-BE32-E72D297353CC}">
              <c16:uniqueId val="{00000000-5C50-4890-A250-42D312DF27C0}"/>
            </c:ext>
          </c:extLst>
        </c:ser>
        <c:ser>
          <c:idx val="1"/>
          <c:order val="1"/>
          <c:tx>
            <c:strRef>
              <c:f>'Plant population'!$AB$1165</c:f>
              <c:strCache>
                <c:ptCount val="1"/>
                <c:pt idx="0">
                  <c:v>B:C Ratio</c:v>
                </c:pt>
              </c:strCache>
            </c:strRef>
          </c:tx>
          <c:invertIfNegative val="0"/>
          <c:dLbls>
            <c:delete val="1"/>
          </c:dLbls>
          <c:cat>
            <c:strRef>
              <c:f>'Plant population'!$Z$1166:$Z$1176</c:f>
              <c:strCache>
                <c:ptCount val="11"/>
                <c:pt idx="0">
                  <c:v>T1</c:v>
                </c:pt>
                <c:pt idx="1">
                  <c:v>T2</c:v>
                </c:pt>
                <c:pt idx="2">
                  <c:v>T3</c:v>
                </c:pt>
                <c:pt idx="3">
                  <c:v>T4</c:v>
                </c:pt>
                <c:pt idx="4">
                  <c:v>T5</c:v>
                </c:pt>
                <c:pt idx="5">
                  <c:v>T6</c:v>
                </c:pt>
                <c:pt idx="6">
                  <c:v>T7</c:v>
                </c:pt>
                <c:pt idx="7">
                  <c:v>T8</c:v>
                </c:pt>
                <c:pt idx="8">
                  <c:v>T9</c:v>
                </c:pt>
                <c:pt idx="9">
                  <c:v>T10</c:v>
                </c:pt>
                <c:pt idx="10">
                  <c:v>T11</c:v>
                </c:pt>
              </c:strCache>
            </c:strRef>
          </c:cat>
          <c:val>
            <c:numRef>
              <c:f>'Plant population'!$AB$1166:$AB$1176</c:f>
              <c:numCache>
                <c:formatCode>0.00</c:formatCode>
                <c:ptCount val="11"/>
                <c:pt idx="0">
                  <c:v>1.5541376959781859</c:v>
                </c:pt>
                <c:pt idx="1">
                  <c:v>1.5864770983116567</c:v>
                </c:pt>
                <c:pt idx="2">
                  <c:v>2.0002925531914895</c:v>
                </c:pt>
                <c:pt idx="3">
                  <c:v>1.5978922439313199</c:v>
                </c:pt>
                <c:pt idx="4">
                  <c:v>1.7148956787693368</c:v>
                </c:pt>
                <c:pt idx="5">
                  <c:v>1.7449662397432404</c:v>
                </c:pt>
                <c:pt idx="6">
                  <c:v>1.672107342007435</c:v>
                </c:pt>
                <c:pt idx="7">
                  <c:v>1.6639000549466441</c:v>
                </c:pt>
                <c:pt idx="8">
                  <c:v>1.5554221912072574</c:v>
                </c:pt>
                <c:pt idx="9">
                  <c:v>1.9051325437112316</c:v>
                </c:pt>
                <c:pt idx="10">
                  <c:v>1.2068352490421399</c:v>
                </c:pt>
              </c:numCache>
            </c:numRef>
          </c:val>
          <c:extLst>
            <c:ext xmlns:c16="http://schemas.microsoft.com/office/drawing/2014/chart" uri="{C3380CC4-5D6E-409C-BE32-E72D297353CC}">
              <c16:uniqueId val="{00000001-5C50-4890-A250-42D312DF27C0}"/>
            </c:ext>
          </c:extLst>
        </c:ser>
        <c:dLbls>
          <c:showLegendKey val="0"/>
          <c:showVal val="1"/>
          <c:showCatName val="0"/>
          <c:showSerName val="0"/>
          <c:showPercent val="0"/>
          <c:showBubbleSize val="0"/>
        </c:dLbls>
        <c:gapWidth val="150"/>
        <c:shape val="box"/>
        <c:axId val="99767808"/>
        <c:axId val="99769728"/>
        <c:axId val="0"/>
      </c:bar3DChart>
      <c:catAx>
        <c:axId val="99767808"/>
        <c:scaling>
          <c:orientation val="minMax"/>
        </c:scaling>
        <c:delete val="0"/>
        <c:axPos val="b"/>
        <c:title>
          <c:tx>
            <c:rich>
              <a:bodyPr rot="0" vert="horz"/>
              <a:lstStyle/>
              <a:p>
                <a:pPr>
                  <a:defRPr sz="1050" b="0">
                    <a:latin typeface="Arial" pitchFamily="34" charset="0"/>
                    <a:cs typeface="Arial" pitchFamily="34" charset="0"/>
                  </a:defRPr>
                </a:pPr>
                <a:r>
                  <a:rPr lang="en-IN" sz="1050" b="0">
                    <a:latin typeface="Arial" pitchFamily="34" charset="0"/>
                    <a:cs typeface="Arial" pitchFamily="34" charset="0"/>
                  </a:rPr>
                  <a:t>Weed control treatments</a:t>
                </a:r>
              </a:p>
            </c:rich>
          </c:tx>
          <c:layout>
            <c:manualLayout>
              <c:xMode val="edge"/>
              <c:yMode val="edge"/>
              <c:x val="0.33478345941996285"/>
              <c:y val="0.91287182286502988"/>
            </c:manualLayout>
          </c:layout>
          <c:overlay val="0"/>
        </c:title>
        <c:numFmt formatCode="General" sourceLinked="1"/>
        <c:majorTickMark val="none"/>
        <c:minorTickMark val="none"/>
        <c:tickLblPos val="nextTo"/>
        <c:txPr>
          <a:bodyPr rot="-60000000" vert="horz"/>
          <a:lstStyle/>
          <a:p>
            <a:pPr>
              <a:defRPr/>
            </a:pPr>
            <a:endParaRPr lang="en-US"/>
          </a:p>
        </c:txPr>
        <c:crossAx val="99769728"/>
        <c:crosses val="autoZero"/>
        <c:auto val="1"/>
        <c:lblAlgn val="ctr"/>
        <c:lblOffset val="100"/>
        <c:noMultiLvlLbl val="0"/>
      </c:catAx>
      <c:valAx>
        <c:axId val="99769728"/>
        <c:scaling>
          <c:orientation val="minMax"/>
        </c:scaling>
        <c:delete val="0"/>
        <c:axPos val="l"/>
        <c:numFmt formatCode="0.00" sourceLinked="1"/>
        <c:majorTickMark val="none"/>
        <c:minorTickMark val="none"/>
        <c:tickLblPos val="nextTo"/>
        <c:txPr>
          <a:bodyPr rot="-60000000" vert="horz"/>
          <a:lstStyle/>
          <a:p>
            <a:pPr>
              <a:defRPr/>
            </a:pPr>
            <a:endParaRPr lang="en-US"/>
          </a:p>
        </c:txPr>
        <c:crossAx val="99767808"/>
        <c:crosses val="autoZero"/>
        <c:crossBetween val="between"/>
      </c:valAx>
    </c:plotArea>
    <c:legend>
      <c:legendPos val="b"/>
      <c:legendEntry>
        <c:idx val="0"/>
        <c:txPr>
          <a:bodyPr rot="0" vert="horz"/>
          <a:lstStyle/>
          <a:p>
            <a:pPr>
              <a:defRPr sz="1100">
                <a:latin typeface="Arial" pitchFamily="34" charset="0"/>
                <a:cs typeface="Arial" pitchFamily="34" charset="0"/>
              </a:defRPr>
            </a:pPr>
            <a:endParaRPr lang="en-US"/>
          </a:p>
        </c:txPr>
      </c:legendEntry>
      <c:layout>
        <c:manualLayout>
          <c:xMode val="edge"/>
          <c:yMode val="edge"/>
          <c:x val="0.41326812490693177"/>
          <c:y val="9.0393700787401512E-2"/>
          <c:w val="0.26474257322900241"/>
          <c:h val="0.10695735067803808"/>
        </c:manualLayout>
      </c:layout>
      <c:overlay val="0"/>
      <c:txPr>
        <a:bodyPr rot="0" vert="horz"/>
        <a:lstStyle/>
        <a:p>
          <a:pPr>
            <a:defRPr sz="1100">
              <a:latin typeface="Arial" pitchFamily="34" charset="0"/>
              <a:cs typeface="Arial"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1793</TotalTime>
  <Pages>7</Pages>
  <Words>2108</Words>
  <Characters>12021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 gulaiya</dc:creator>
  <cp:keywords/>
  <dc:description/>
  <cp:lastModifiedBy>Editor GP 005</cp:lastModifiedBy>
  <cp:revision>134</cp:revision>
  <dcterms:created xsi:type="dcterms:W3CDTF">2025-03-27T18:57:00Z</dcterms:created>
  <dcterms:modified xsi:type="dcterms:W3CDTF">2025-04-16T07:59:00Z</dcterms:modified>
</cp:coreProperties>
</file>