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849DF" w14:textId="415C79A3" w:rsidR="00CE52BA" w:rsidRDefault="00CE52BA" w:rsidP="00CE52BA">
      <w:pPr>
        <w:jc w:val="center"/>
        <w:rPr>
          <w:rFonts w:ascii="Arial" w:hAnsi="Arial" w:cs="Arial"/>
          <w:b/>
          <w:sz w:val="28"/>
        </w:rPr>
      </w:pPr>
      <w:r w:rsidRPr="00CE52BA">
        <w:rPr>
          <w:rFonts w:ascii="Arial" w:hAnsi="Arial" w:cs="Arial"/>
          <w:b/>
          <w:sz w:val="28"/>
        </w:rPr>
        <w:t xml:space="preserve">A Pharmacological Investigation of </w:t>
      </w:r>
      <w:proofErr w:type="spellStart"/>
      <w:r w:rsidRPr="00CE52BA">
        <w:rPr>
          <w:rFonts w:ascii="Arial" w:hAnsi="Arial" w:cs="Arial"/>
          <w:b/>
          <w:i/>
          <w:sz w:val="28"/>
        </w:rPr>
        <w:t>Boerhavia</w:t>
      </w:r>
      <w:proofErr w:type="spellEnd"/>
      <w:r w:rsidR="00484EC2">
        <w:rPr>
          <w:rFonts w:ascii="Arial" w:hAnsi="Arial" w:cs="Arial"/>
          <w:b/>
          <w:i/>
          <w:sz w:val="28"/>
        </w:rPr>
        <w:t xml:space="preserve"> </w:t>
      </w:r>
      <w:proofErr w:type="spellStart"/>
      <w:r w:rsidRPr="00CE52BA">
        <w:rPr>
          <w:rFonts w:ascii="Arial" w:hAnsi="Arial" w:cs="Arial"/>
          <w:b/>
          <w:i/>
          <w:sz w:val="28"/>
        </w:rPr>
        <w:t>diffusa</w:t>
      </w:r>
      <w:proofErr w:type="spellEnd"/>
      <w:r w:rsidRPr="00CE52BA">
        <w:rPr>
          <w:rFonts w:ascii="Arial" w:hAnsi="Arial" w:cs="Arial"/>
          <w:b/>
          <w:sz w:val="28"/>
        </w:rPr>
        <w:t xml:space="preserve">: </w:t>
      </w:r>
      <w:bookmarkStart w:id="0" w:name="_Hlk190603797"/>
      <w:r w:rsidRPr="00CE52BA">
        <w:rPr>
          <w:rFonts w:ascii="Arial" w:hAnsi="Arial" w:cs="Arial"/>
          <w:b/>
          <w:sz w:val="28"/>
        </w:rPr>
        <w:t xml:space="preserve">Anticancer, Antidiabetic, Analgesic, </w:t>
      </w:r>
      <w:bookmarkStart w:id="1" w:name="_GoBack"/>
      <w:r w:rsidRPr="00CE52BA">
        <w:rPr>
          <w:rFonts w:ascii="Arial" w:hAnsi="Arial" w:cs="Arial"/>
          <w:b/>
          <w:sz w:val="28"/>
        </w:rPr>
        <w:t xml:space="preserve">and </w:t>
      </w:r>
      <w:bookmarkEnd w:id="0"/>
      <w:r w:rsidR="000A2AAA" w:rsidRPr="000A2AAA">
        <w:rPr>
          <w:rFonts w:ascii="Arial" w:hAnsi="Arial" w:cs="Arial"/>
          <w:b/>
          <w:sz w:val="28"/>
        </w:rPr>
        <w:t xml:space="preserve">Neurological </w:t>
      </w:r>
      <w:r w:rsidRPr="00CE52BA">
        <w:rPr>
          <w:rFonts w:ascii="Arial" w:hAnsi="Arial" w:cs="Arial"/>
          <w:b/>
          <w:sz w:val="28"/>
        </w:rPr>
        <w:t>Properties</w:t>
      </w:r>
      <w:bookmarkEnd w:id="1"/>
    </w:p>
    <w:p w14:paraId="2EF6D744" w14:textId="77777777" w:rsidR="00E13EC5" w:rsidRDefault="00E13EC5" w:rsidP="00CE52BA">
      <w:pPr>
        <w:jc w:val="center"/>
        <w:rPr>
          <w:rFonts w:ascii="Arial" w:hAnsi="Arial" w:cs="Arial"/>
          <w:b/>
          <w:sz w:val="28"/>
        </w:rPr>
      </w:pPr>
    </w:p>
    <w:p w14:paraId="4EAD0ADE" w14:textId="77777777" w:rsidR="006A25F1" w:rsidRDefault="006A25F1" w:rsidP="00A73F88">
      <w:pPr>
        <w:jc w:val="both"/>
        <w:rPr>
          <w:rFonts w:ascii="Arial" w:hAnsi="Arial" w:cs="Arial"/>
          <w:b/>
          <w:sz w:val="28"/>
        </w:rPr>
      </w:pPr>
    </w:p>
    <w:p w14:paraId="5F86C535" w14:textId="77777777" w:rsidR="002657E4" w:rsidRDefault="00A73F88" w:rsidP="00A73F88">
      <w:pPr>
        <w:jc w:val="both"/>
        <w:rPr>
          <w:rFonts w:ascii="Arial" w:hAnsi="Arial" w:cs="Arial"/>
          <w:bCs/>
          <w:sz w:val="28"/>
        </w:rPr>
      </w:pPr>
      <w:r>
        <w:rPr>
          <w:rFonts w:ascii="Arial" w:hAnsi="Arial" w:cs="Arial"/>
          <w:b/>
          <w:sz w:val="28"/>
        </w:rPr>
        <w:t>Abstract</w:t>
      </w:r>
    </w:p>
    <w:p w14:paraId="504864EF" w14:textId="4033FE23" w:rsidR="002657E4" w:rsidRPr="00087A59" w:rsidRDefault="002657E4" w:rsidP="00A73F88">
      <w:pPr>
        <w:jc w:val="both"/>
        <w:rPr>
          <w:rFonts w:ascii="Arial" w:hAnsi="Arial" w:cs="Arial"/>
          <w:bCs/>
          <w:sz w:val="24"/>
          <w:szCs w:val="21"/>
          <w:lang w:val="en-US"/>
        </w:rPr>
      </w:pPr>
      <w:proofErr w:type="spellStart"/>
      <w:r w:rsidRPr="002657E4">
        <w:rPr>
          <w:rFonts w:ascii="Arial" w:hAnsi="Arial" w:cs="Arial"/>
          <w:bCs/>
          <w:i/>
          <w:iCs/>
          <w:sz w:val="24"/>
          <w:szCs w:val="21"/>
          <w:lang w:val="en-US"/>
        </w:rPr>
        <w:t>Boerhavia</w:t>
      </w:r>
      <w:proofErr w:type="spellEnd"/>
      <w:r w:rsidR="00484EC2">
        <w:rPr>
          <w:rFonts w:ascii="Arial" w:hAnsi="Arial" w:cs="Arial"/>
          <w:bCs/>
          <w:i/>
          <w:iCs/>
          <w:sz w:val="24"/>
          <w:szCs w:val="21"/>
          <w:lang w:val="en-US"/>
        </w:rPr>
        <w:t xml:space="preserve"> </w:t>
      </w:r>
      <w:proofErr w:type="spellStart"/>
      <w:r w:rsidRPr="002657E4">
        <w:rPr>
          <w:rFonts w:ascii="Arial" w:hAnsi="Arial" w:cs="Arial"/>
          <w:bCs/>
          <w:i/>
          <w:iCs/>
          <w:sz w:val="24"/>
          <w:szCs w:val="21"/>
          <w:lang w:val="en-US"/>
        </w:rPr>
        <w:t>diffusa</w:t>
      </w:r>
      <w:proofErr w:type="spellEnd"/>
      <w:r w:rsidRPr="002657E4">
        <w:rPr>
          <w:rFonts w:ascii="Arial" w:hAnsi="Arial" w:cs="Arial"/>
          <w:bCs/>
          <w:sz w:val="24"/>
          <w:szCs w:val="21"/>
          <w:lang w:val="en-US"/>
        </w:rPr>
        <w:t>, commonly known as Punarnava, is a medicinal plant widely used in traditional medicine due to its rich phytochemical composition, including flavonoids, alkaloids, glycosides, and phenolic compounds. This study investigates the anticancer, antidiabetic, neuropharmacological, and analgesic properties of the methanolic extract of </w:t>
      </w:r>
      <w:bookmarkStart w:id="2" w:name="_Hlk190603781"/>
      <w:proofErr w:type="spellStart"/>
      <w:r w:rsidRPr="002657E4">
        <w:rPr>
          <w:rFonts w:ascii="Arial" w:hAnsi="Arial" w:cs="Arial"/>
          <w:bCs/>
          <w:i/>
          <w:iCs/>
          <w:sz w:val="24"/>
          <w:szCs w:val="21"/>
          <w:lang w:val="en-US"/>
        </w:rPr>
        <w:t>Boerhavia</w:t>
      </w:r>
      <w:proofErr w:type="spellEnd"/>
      <w:r w:rsidR="00484EC2">
        <w:rPr>
          <w:rFonts w:ascii="Arial" w:hAnsi="Arial" w:cs="Arial"/>
          <w:bCs/>
          <w:i/>
          <w:iCs/>
          <w:sz w:val="24"/>
          <w:szCs w:val="21"/>
          <w:lang w:val="en-US"/>
        </w:rPr>
        <w:t xml:space="preserve"> </w:t>
      </w:r>
      <w:proofErr w:type="spellStart"/>
      <w:r w:rsidRPr="002657E4">
        <w:rPr>
          <w:rFonts w:ascii="Arial" w:hAnsi="Arial" w:cs="Arial"/>
          <w:bCs/>
          <w:i/>
          <w:iCs/>
          <w:sz w:val="24"/>
          <w:szCs w:val="21"/>
          <w:lang w:val="en-US"/>
        </w:rPr>
        <w:t>diffusa</w:t>
      </w:r>
      <w:proofErr w:type="spellEnd"/>
      <w:r w:rsidRPr="002657E4">
        <w:rPr>
          <w:rFonts w:ascii="Arial" w:hAnsi="Arial" w:cs="Arial"/>
          <w:bCs/>
          <w:sz w:val="24"/>
          <w:szCs w:val="21"/>
          <w:lang w:val="en-US"/>
        </w:rPr>
        <w:t> </w:t>
      </w:r>
      <w:bookmarkEnd w:id="2"/>
      <w:r w:rsidRPr="002657E4">
        <w:rPr>
          <w:rFonts w:ascii="Arial" w:hAnsi="Arial" w:cs="Arial"/>
          <w:bCs/>
          <w:sz w:val="24"/>
          <w:szCs w:val="21"/>
          <w:lang w:val="en-US"/>
        </w:rPr>
        <w:t>(MEBD) using </w:t>
      </w:r>
      <w:r w:rsidRPr="002657E4">
        <w:rPr>
          <w:rFonts w:ascii="Arial" w:hAnsi="Arial" w:cs="Arial"/>
          <w:bCs/>
          <w:i/>
          <w:iCs/>
          <w:sz w:val="24"/>
          <w:szCs w:val="21"/>
          <w:lang w:val="en-US"/>
        </w:rPr>
        <w:t>in vitro</w:t>
      </w:r>
      <w:r w:rsidRPr="002657E4">
        <w:rPr>
          <w:rFonts w:ascii="Arial" w:hAnsi="Arial" w:cs="Arial"/>
          <w:bCs/>
          <w:sz w:val="24"/>
          <w:szCs w:val="21"/>
          <w:lang w:val="en-US"/>
        </w:rPr>
        <w:t> and </w:t>
      </w:r>
      <w:r w:rsidRPr="002657E4">
        <w:rPr>
          <w:rFonts w:ascii="Arial" w:hAnsi="Arial" w:cs="Arial"/>
          <w:bCs/>
          <w:i/>
          <w:iCs/>
          <w:sz w:val="24"/>
          <w:szCs w:val="21"/>
          <w:lang w:val="en-US"/>
        </w:rPr>
        <w:t>in vivo</w:t>
      </w:r>
      <w:r w:rsidRPr="002657E4">
        <w:rPr>
          <w:rFonts w:ascii="Arial" w:hAnsi="Arial" w:cs="Arial"/>
          <w:bCs/>
          <w:sz w:val="24"/>
          <w:szCs w:val="21"/>
          <w:lang w:val="en-US"/>
        </w:rPr>
        <w:t> models. The anticancer activity was evaluated using HeLa cell lines</w:t>
      </w:r>
      <w:r w:rsidR="00C13D42">
        <w:rPr>
          <w:rFonts w:ascii="Arial" w:hAnsi="Arial" w:cs="Arial"/>
          <w:bCs/>
          <w:sz w:val="24"/>
          <w:szCs w:val="21"/>
          <w:lang w:val="en-US"/>
        </w:rPr>
        <w:t xml:space="preserve"> for </w:t>
      </w:r>
      <w:r w:rsidR="00C13D42" w:rsidRPr="00C13D42">
        <w:rPr>
          <w:rFonts w:ascii="Arial" w:hAnsi="Arial" w:cs="Arial"/>
          <w:bCs/>
          <w:sz w:val="24"/>
          <w:szCs w:val="21"/>
          <w:highlight w:val="yellow"/>
          <w:lang w:val="en-US"/>
        </w:rPr>
        <w:t>cell viability assay</w:t>
      </w:r>
      <w:r w:rsidRPr="00C13D42">
        <w:rPr>
          <w:rFonts w:ascii="Arial" w:hAnsi="Arial" w:cs="Arial"/>
          <w:bCs/>
          <w:sz w:val="24"/>
          <w:szCs w:val="21"/>
          <w:highlight w:val="yellow"/>
          <w:lang w:val="en-US"/>
        </w:rPr>
        <w:t>,</w:t>
      </w:r>
      <w:r w:rsidRPr="002657E4">
        <w:rPr>
          <w:rFonts w:ascii="Arial" w:hAnsi="Arial" w:cs="Arial"/>
          <w:bCs/>
          <w:sz w:val="24"/>
          <w:szCs w:val="21"/>
          <w:lang w:val="en-US"/>
        </w:rPr>
        <w:t xml:space="preserve"> where MEBD demonstrated significant inhibition of cell viability, with the highest inhibition (29.16%) observed at 1000 µm/</w:t>
      </w:r>
      <w:proofErr w:type="spellStart"/>
      <w:r w:rsidRPr="002657E4">
        <w:rPr>
          <w:rFonts w:ascii="Arial" w:hAnsi="Arial" w:cs="Arial"/>
          <w:bCs/>
          <w:sz w:val="24"/>
          <w:szCs w:val="21"/>
          <w:lang w:val="en-US"/>
        </w:rPr>
        <w:t>mL.</w:t>
      </w:r>
      <w:proofErr w:type="spellEnd"/>
      <w:r w:rsidRPr="002657E4">
        <w:rPr>
          <w:rFonts w:ascii="Arial" w:hAnsi="Arial" w:cs="Arial"/>
          <w:bCs/>
          <w:sz w:val="24"/>
          <w:szCs w:val="21"/>
          <w:lang w:val="en-US"/>
        </w:rPr>
        <w:t xml:space="preserve"> Morphological changes in cancer cells further supported its anticancer potential. For antidiabetic activity, MEBD was tested on streptozotocin-induced diabetic rats, showing a dose-dependent reduction in blood glucose levels, with the most significant effect at 400 mg/kg. Neuropharmacological effects were assessed through thiopental sodium-induced sleep and forced swimming tests. MEBD at 400 mg/kg significantly prolonged sleep duration and increased immobility time, indicating potential anxiolytic and antidepressant properties. Analgesic effects were evaluated using hot plate and formalin-induced nociception tests. MEBD at 500 mg/kg showed the highest latency in the hot plate test and significantly reduced nociceptive behavior in the formalin test, suggesting strong analgesic and anti-inflammatory properties. The results highlight the therapeutic potential of MEBD, with higher doses (400-500 mg/kg) demonstrating more pronounced effects across all tested activities. The study concludes that </w:t>
      </w:r>
      <w:proofErr w:type="spellStart"/>
      <w:r w:rsidRPr="002657E4">
        <w:rPr>
          <w:rFonts w:ascii="Arial" w:hAnsi="Arial" w:cs="Arial"/>
          <w:bCs/>
          <w:i/>
          <w:iCs/>
          <w:sz w:val="24"/>
          <w:szCs w:val="21"/>
          <w:lang w:val="en-US"/>
        </w:rPr>
        <w:t>Boerhavia</w:t>
      </w:r>
      <w:proofErr w:type="spellEnd"/>
      <w:r w:rsidR="00484EC2">
        <w:rPr>
          <w:rFonts w:ascii="Arial" w:hAnsi="Arial" w:cs="Arial"/>
          <w:bCs/>
          <w:i/>
          <w:iCs/>
          <w:sz w:val="24"/>
          <w:szCs w:val="21"/>
          <w:lang w:val="en-US"/>
        </w:rPr>
        <w:t xml:space="preserve"> </w:t>
      </w:r>
      <w:proofErr w:type="spellStart"/>
      <w:r w:rsidRPr="002657E4">
        <w:rPr>
          <w:rFonts w:ascii="Arial" w:hAnsi="Arial" w:cs="Arial"/>
          <w:bCs/>
          <w:i/>
          <w:iCs/>
          <w:sz w:val="24"/>
          <w:szCs w:val="21"/>
          <w:lang w:val="en-US"/>
        </w:rPr>
        <w:t>diffusa</w:t>
      </w:r>
      <w:proofErr w:type="spellEnd"/>
      <w:r w:rsidRPr="002657E4">
        <w:rPr>
          <w:rFonts w:ascii="Arial" w:hAnsi="Arial" w:cs="Arial"/>
          <w:bCs/>
          <w:sz w:val="24"/>
          <w:szCs w:val="21"/>
          <w:lang w:val="en-US"/>
        </w:rPr>
        <w:t> possesses significant pharmacological properties, making it a promising candidate for developing novel treatments for cancer, diabetes, neurological disorders, and pain. Further research is needed to identify the specific bioactive compounds and their mechanisms of action.</w:t>
      </w:r>
    </w:p>
    <w:p w14:paraId="04550722" w14:textId="64743EAB" w:rsidR="00A73F88" w:rsidRPr="00A73F88" w:rsidRDefault="00A73F88" w:rsidP="00A73F88">
      <w:pPr>
        <w:jc w:val="both"/>
        <w:rPr>
          <w:rFonts w:ascii="Arial" w:hAnsi="Arial" w:cs="Arial"/>
          <w:b/>
          <w:sz w:val="24"/>
          <w:szCs w:val="21"/>
        </w:rPr>
      </w:pPr>
      <w:r w:rsidRPr="00A73F88">
        <w:rPr>
          <w:rFonts w:ascii="Arial" w:hAnsi="Arial" w:cs="Arial"/>
          <w:b/>
          <w:sz w:val="24"/>
          <w:szCs w:val="21"/>
        </w:rPr>
        <w:t>Keywords:</w:t>
      </w:r>
      <w:r w:rsidR="00484EC2">
        <w:rPr>
          <w:rFonts w:ascii="Arial" w:hAnsi="Arial" w:cs="Arial"/>
          <w:b/>
          <w:sz w:val="24"/>
          <w:szCs w:val="21"/>
        </w:rPr>
        <w:t xml:space="preserve"> </w:t>
      </w:r>
      <w:proofErr w:type="spellStart"/>
      <w:r w:rsidR="002657E4" w:rsidRPr="002657E4">
        <w:rPr>
          <w:rFonts w:ascii="Arial" w:hAnsi="Arial" w:cs="Arial"/>
          <w:i/>
          <w:iCs/>
          <w:sz w:val="24"/>
          <w:szCs w:val="21"/>
          <w:lang w:val="en-US"/>
        </w:rPr>
        <w:t>Boerhavia</w:t>
      </w:r>
      <w:proofErr w:type="spellEnd"/>
      <w:r w:rsidR="00484EC2">
        <w:rPr>
          <w:rFonts w:ascii="Arial" w:hAnsi="Arial" w:cs="Arial"/>
          <w:i/>
          <w:iCs/>
          <w:sz w:val="24"/>
          <w:szCs w:val="21"/>
          <w:lang w:val="en-US"/>
        </w:rPr>
        <w:t xml:space="preserve"> </w:t>
      </w:r>
      <w:proofErr w:type="spellStart"/>
      <w:r w:rsidR="002657E4" w:rsidRPr="002657E4">
        <w:rPr>
          <w:rFonts w:ascii="Arial" w:hAnsi="Arial" w:cs="Arial"/>
          <w:i/>
          <w:iCs/>
          <w:sz w:val="24"/>
          <w:szCs w:val="21"/>
          <w:lang w:val="en-US"/>
        </w:rPr>
        <w:t>diffusa</w:t>
      </w:r>
      <w:proofErr w:type="spellEnd"/>
      <w:r w:rsidR="002657E4" w:rsidRPr="002657E4">
        <w:rPr>
          <w:rFonts w:ascii="Arial" w:hAnsi="Arial" w:cs="Arial"/>
          <w:sz w:val="24"/>
          <w:szCs w:val="21"/>
          <w:lang w:val="en-US"/>
        </w:rPr>
        <w:t>, Anticancer, Antidiabetic, Analgesic, Neuropharmacological.</w:t>
      </w:r>
    </w:p>
    <w:p w14:paraId="4CFF62D1" w14:textId="77777777" w:rsidR="00841D44" w:rsidRPr="00841D44" w:rsidRDefault="00841D44">
      <w:pPr>
        <w:rPr>
          <w:rFonts w:ascii="Arial" w:hAnsi="Arial" w:cs="Arial"/>
          <w:b/>
          <w:sz w:val="24"/>
        </w:rPr>
      </w:pPr>
      <w:r>
        <w:rPr>
          <w:rFonts w:ascii="Arial" w:hAnsi="Arial" w:cs="Arial"/>
          <w:b/>
          <w:sz w:val="24"/>
        </w:rPr>
        <w:t>1. INTRODUCTION</w:t>
      </w:r>
    </w:p>
    <w:p w14:paraId="7C7EBFFE" w14:textId="77777777" w:rsidR="00841D44" w:rsidRPr="00BA001B" w:rsidRDefault="00A0340B" w:rsidP="00A0340B">
      <w:pPr>
        <w:jc w:val="both"/>
        <w:rPr>
          <w:rFonts w:ascii="Arial" w:hAnsi="Arial" w:cs="Arial"/>
          <w:sz w:val="24"/>
        </w:rPr>
      </w:pPr>
      <w:r w:rsidRPr="00BA001B">
        <w:rPr>
          <w:rFonts w:ascii="Arial" w:hAnsi="Arial" w:cs="Arial"/>
          <w:sz w:val="24"/>
        </w:rPr>
        <w:t>Medicinal plants have</w:t>
      </w:r>
      <w:r w:rsidR="000455E9" w:rsidRPr="00BA001B">
        <w:rPr>
          <w:rFonts w:ascii="Arial" w:hAnsi="Arial" w:cs="Arial"/>
          <w:sz w:val="24"/>
        </w:rPr>
        <w:t xml:space="preserve"> long been used for centuries </w:t>
      </w:r>
      <w:r w:rsidR="004520FC" w:rsidRPr="00BA001B">
        <w:rPr>
          <w:rFonts w:ascii="Arial" w:hAnsi="Arial" w:cs="Arial"/>
          <w:sz w:val="24"/>
        </w:rPr>
        <w:t xml:space="preserve">across the world </w:t>
      </w:r>
      <w:r w:rsidR="000455E9" w:rsidRPr="00BA001B">
        <w:rPr>
          <w:rFonts w:ascii="Arial" w:hAnsi="Arial" w:cs="Arial"/>
          <w:sz w:val="24"/>
        </w:rPr>
        <w:t xml:space="preserve">to cure </w:t>
      </w:r>
      <w:r w:rsidRPr="00BA001B">
        <w:rPr>
          <w:rFonts w:ascii="Arial" w:hAnsi="Arial" w:cs="Arial"/>
          <w:sz w:val="24"/>
        </w:rPr>
        <w:t>several</w:t>
      </w:r>
      <w:r w:rsidR="004520FC" w:rsidRPr="00BA001B">
        <w:rPr>
          <w:rFonts w:ascii="Arial" w:hAnsi="Arial" w:cs="Arial"/>
          <w:sz w:val="24"/>
        </w:rPr>
        <w:t xml:space="preserve"> health conditions</w:t>
      </w:r>
      <w:r w:rsidR="00BC5912" w:rsidRPr="00BA001B">
        <w:rPr>
          <w:rFonts w:ascii="Arial" w:hAnsi="Arial" w:cs="Arial"/>
          <w:sz w:val="24"/>
        </w:rPr>
        <w:t xml:space="preserve"> (</w:t>
      </w:r>
      <w:r w:rsidR="00BC5912" w:rsidRPr="00BA001B">
        <w:rPr>
          <w:rFonts w:ascii="Arial" w:hAnsi="Arial" w:cs="Arial"/>
          <w:color w:val="222222"/>
          <w:sz w:val="24"/>
          <w:shd w:val="clear" w:color="auto" w:fill="FFFFFF"/>
        </w:rPr>
        <w:t>Jamshidi-Kia et al., 2017)</w:t>
      </w:r>
      <w:r w:rsidR="000455E9" w:rsidRPr="00BA001B">
        <w:rPr>
          <w:rFonts w:ascii="Arial" w:hAnsi="Arial" w:cs="Arial"/>
          <w:sz w:val="24"/>
        </w:rPr>
        <w:t>. They contain various bioactive compounds which</w:t>
      </w:r>
      <w:r w:rsidR="00311B43" w:rsidRPr="00BA001B">
        <w:rPr>
          <w:rFonts w:ascii="Arial" w:hAnsi="Arial" w:cs="Arial"/>
          <w:sz w:val="24"/>
        </w:rPr>
        <w:t xml:space="preserve"> is </w:t>
      </w:r>
      <w:r w:rsidRPr="00BA001B">
        <w:rPr>
          <w:rFonts w:ascii="Arial" w:hAnsi="Arial" w:cs="Arial"/>
          <w:sz w:val="24"/>
        </w:rPr>
        <w:t>very effective for treating different kinds of ailments</w:t>
      </w:r>
      <w:r w:rsidR="00BC5912" w:rsidRPr="00BA001B">
        <w:rPr>
          <w:rFonts w:ascii="Arial" w:hAnsi="Arial" w:cs="Arial"/>
          <w:sz w:val="24"/>
        </w:rPr>
        <w:t xml:space="preserve"> (</w:t>
      </w:r>
      <w:proofErr w:type="spellStart"/>
      <w:r w:rsidR="00BC5912" w:rsidRPr="00BA001B">
        <w:rPr>
          <w:rFonts w:ascii="Arial" w:hAnsi="Arial" w:cs="Arial"/>
          <w:color w:val="222222"/>
          <w:sz w:val="24"/>
          <w:shd w:val="clear" w:color="auto" w:fill="FFFFFF"/>
        </w:rPr>
        <w:t>Mgbeahuruike</w:t>
      </w:r>
      <w:proofErr w:type="spellEnd"/>
      <w:r w:rsidR="00BC5912" w:rsidRPr="00BA001B">
        <w:rPr>
          <w:rFonts w:ascii="Arial" w:hAnsi="Arial" w:cs="Arial"/>
          <w:color w:val="222222"/>
          <w:sz w:val="24"/>
          <w:shd w:val="clear" w:color="auto" w:fill="FFFFFF"/>
        </w:rPr>
        <w:t xml:space="preserve"> et al., 2017)</w:t>
      </w:r>
      <w:r w:rsidRPr="00BA001B">
        <w:rPr>
          <w:rFonts w:ascii="Arial" w:hAnsi="Arial" w:cs="Arial"/>
          <w:sz w:val="24"/>
        </w:rPr>
        <w:t xml:space="preserve">. According to a study, most of the people living in developing countries </w:t>
      </w:r>
      <w:r w:rsidR="00404D82" w:rsidRPr="00BA001B">
        <w:rPr>
          <w:rFonts w:ascii="Arial" w:hAnsi="Arial" w:cs="Arial"/>
          <w:sz w:val="24"/>
        </w:rPr>
        <w:t>still use</w:t>
      </w:r>
      <w:r w:rsidRPr="00BA001B">
        <w:rPr>
          <w:rFonts w:ascii="Arial" w:hAnsi="Arial" w:cs="Arial"/>
          <w:sz w:val="24"/>
        </w:rPr>
        <w:t xml:space="preserve"> medicinal plants as their primary remedy due to cheap cost and its diverse therapeutic capabilities</w:t>
      </w:r>
      <w:r w:rsidR="0005390A" w:rsidRPr="00BA001B">
        <w:rPr>
          <w:rFonts w:ascii="Arial" w:hAnsi="Arial" w:cs="Arial"/>
          <w:sz w:val="24"/>
        </w:rPr>
        <w:t xml:space="preserve"> (</w:t>
      </w:r>
      <w:proofErr w:type="spellStart"/>
      <w:r w:rsidR="0005390A" w:rsidRPr="00BA001B">
        <w:rPr>
          <w:rFonts w:ascii="Arial" w:hAnsi="Arial" w:cs="Arial"/>
          <w:color w:val="222222"/>
          <w:sz w:val="24"/>
          <w:shd w:val="clear" w:color="auto" w:fill="FFFFFF"/>
        </w:rPr>
        <w:t>Salmerón</w:t>
      </w:r>
      <w:proofErr w:type="spellEnd"/>
      <w:r w:rsidR="0005390A" w:rsidRPr="00BA001B">
        <w:rPr>
          <w:rFonts w:ascii="Arial" w:hAnsi="Arial" w:cs="Arial"/>
          <w:color w:val="222222"/>
          <w:sz w:val="24"/>
          <w:shd w:val="clear" w:color="auto" w:fill="FFFFFF"/>
        </w:rPr>
        <w:t xml:space="preserve"> et al., 2020)</w:t>
      </w:r>
      <w:r w:rsidRPr="00BA001B">
        <w:rPr>
          <w:rFonts w:ascii="Arial" w:hAnsi="Arial" w:cs="Arial"/>
          <w:sz w:val="24"/>
        </w:rPr>
        <w:t xml:space="preserve">. </w:t>
      </w:r>
      <w:r w:rsidR="00773C75" w:rsidRPr="00BA001B">
        <w:rPr>
          <w:rFonts w:ascii="Arial" w:hAnsi="Arial" w:cs="Arial"/>
          <w:sz w:val="24"/>
        </w:rPr>
        <w:t>For example, in Indian subcontinent, medicinal herbs have been used in the form of Ayurveda, as well as Unani, Siddha and folk medicine since the ancient times</w:t>
      </w:r>
      <w:r w:rsidR="008C205B" w:rsidRPr="00BA001B">
        <w:rPr>
          <w:rFonts w:ascii="Arial" w:hAnsi="Arial" w:cs="Arial"/>
          <w:sz w:val="24"/>
        </w:rPr>
        <w:t xml:space="preserve"> (</w:t>
      </w:r>
      <w:r w:rsidR="008C205B" w:rsidRPr="00BA001B">
        <w:rPr>
          <w:rFonts w:ascii="Arial" w:hAnsi="Arial" w:cs="Arial"/>
          <w:color w:val="222222"/>
          <w:sz w:val="24"/>
          <w:shd w:val="clear" w:color="auto" w:fill="FFFFFF"/>
        </w:rPr>
        <w:t>Rupani et al., 2018)</w:t>
      </w:r>
      <w:r w:rsidR="00773C75" w:rsidRPr="00BA001B">
        <w:rPr>
          <w:rFonts w:ascii="Arial" w:hAnsi="Arial" w:cs="Arial"/>
          <w:sz w:val="24"/>
        </w:rPr>
        <w:t xml:space="preserve">. </w:t>
      </w:r>
      <w:r w:rsidR="00F868BB" w:rsidRPr="00BA001B">
        <w:rPr>
          <w:rFonts w:ascii="Arial" w:hAnsi="Arial" w:cs="Arial"/>
          <w:sz w:val="24"/>
        </w:rPr>
        <w:t xml:space="preserve">However, despite their rich historical significance and widespread use, the necessity for medicinal plants remains still significant today.  </w:t>
      </w:r>
    </w:p>
    <w:p w14:paraId="25986BD6" w14:textId="253CE33A" w:rsidR="00EB1B62" w:rsidRPr="00BA001B" w:rsidRDefault="008F5942" w:rsidP="00A0340B">
      <w:pPr>
        <w:jc w:val="both"/>
        <w:rPr>
          <w:rFonts w:ascii="Arial" w:hAnsi="Arial" w:cs="Arial"/>
          <w:sz w:val="24"/>
        </w:rPr>
      </w:pPr>
      <w:r w:rsidRPr="00BA001B">
        <w:rPr>
          <w:rFonts w:ascii="Arial" w:hAnsi="Arial" w:cs="Arial"/>
          <w:sz w:val="24"/>
        </w:rPr>
        <w:lastRenderedPageBreak/>
        <w:t xml:space="preserve">Among the many herbs used in traditional medicine, </w:t>
      </w:r>
      <w:bookmarkStart w:id="3" w:name="_Hlk190602410"/>
      <w:proofErr w:type="spellStart"/>
      <w:r w:rsidRPr="00BA001B">
        <w:rPr>
          <w:rFonts w:ascii="Arial" w:hAnsi="Arial" w:cs="Arial"/>
          <w:i/>
          <w:sz w:val="24"/>
        </w:rPr>
        <w:t>Boerhavia</w:t>
      </w:r>
      <w:proofErr w:type="spellEnd"/>
      <w:r w:rsidR="00484EC2">
        <w:rPr>
          <w:rFonts w:ascii="Arial" w:hAnsi="Arial" w:cs="Arial"/>
          <w:i/>
          <w:sz w:val="24"/>
        </w:rPr>
        <w:t xml:space="preserve"> </w:t>
      </w:r>
      <w:proofErr w:type="spellStart"/>
      <w:r w:rsidRPr="00BA001B">
        <w:rPr>
          <w:rFonts w:ascii="Arial" w:hAnsi="Arial" w:cs="Arial"/>
          <w:i/>
          <w:sz w:val="24"/>
        </w:rPr>
        <w:t>diffusa</w:t>
      </w:r>
      <w:bookmarkEnd w:id="3"/>
      <w:proofErr w:type="spellEnd"/>
      <w:r w:rsidRPr="00BA001B">
        <w:rPr>
          <w:rFonts w:ascii="Arial" w:hAnsi="Arial" w:cs="Arial"/>
          <w:sz w:val="24"/>
        </w:rPr>
        <w:t xml:space="preserve">—also known as </w:t>
      </w:r>
      <w:proofErr w:type="spellStart"/>
      <w:r w:rsidRPr="00BA001B">
        <w:rPr>
          <w:rFonts w:ascii="Arial" w:hAnsi="Arial" w:cs="Arial"/>
          <w:sz w:val="24"/>
        </w:rPr>
        <w:t>Punarnava</w:t>
      </w:r>
      <w:proofErr w:type="spellEnd"/>
      <w:r w:rsidRPr="00BA001B">
        <w:rPr>
          <w:rFonts w:ascii="Arial" w:hAnsi="Arial" w:cs="Arial"/>
          <w:sz w:val="24"/>
        </w:rPr>
        <w:t xml:space="preserve">—stands out because of its great variety of therapeutic effects. This plant is rich </w:t>
      </w:r>
      <w:r w:rsidR="00EB1B62" w:rsidRPr="00BA001B">
        <w:rPr>
          <w:rFonts w:ascii="Arial" w:hAnsi="Arial" w:cs="Arial"/>
          <w:sz w:val="24"/>
        </w:rPr>
        <w:t>in various bioactive compounds including alkaloids, flavonoids, glycosides, tannins, steroids, terpenoids, and phenolic compounds</w:t>
      </w:r>
      <w:r w:rsidR="008C205B" w:rsidRPr="00BA001B">
        <w:rPr>
          <w:rFonts w:ascii="Arial" w:hAnsi="Arial" w:cs="Arial"/>
          <w:sz w:val="24"/>
        </w:rPr>
        <w:t xml:space="preserve"> (Kaur et al., 2019)</w:t>
      </w:r>
      <w:r w:rsidR="00EB1B62" w:rsidRPr="00BA001B">
        <w:rPr>
          <w:rFonts w:ascii="Arial" w:hAnsi="Arial" w:cs="Arial"/>
          <w:sz w:val="24"/>
        </w:rPr>
        <w:t xml:space="preserve">. </w:t>
      </w:r>
      <w:r w:rsidR="0055612F" w:rsidRPr="00BA001B">
        <w:rPr>
          <w:rFonts w:ascii="Arial" w:hAnsi="Arial" w:cs="Arial"/>
          <w:sz w:val="24"/>
        </w:rPr>
        <w:t xml:space="preserve">These compounds </w:t>
      </w:r>
      <w:r w:rsidR="009F4248" w:rsidRPr="00BA001B">
        <w:rPr>
          <w:rFonts w:ascii="Arial" w:hAnsi="Arial" w:cs="Arial"/>
          <w:sz w:val="24"/>
        </w:rPr>
        <w:t>are believed to</w:t>
      </w:r>
      <w:r w:rsidR="0055612F" w:rsidRPr="00BA001B">
        <w:rPr>
          <w:rFonts w:ascii="Arial" w:hAnsi="Arial" w:cs="Arial"/>
          <w:sz w:val="24"/>
        </w:rPr>
        <w:t xml:space="preserve"> contribute to its medicinal efficacy, demonstrating properties such as anti-inflammatory, antioxidant, diuretic, and others</w:t>
      </w:r>
      <w:r w:rsidR="008C205B" w:rsidRPr="00BA001B">
        <w:rPr>
          <w:rFonts w:ascii="Arial" w:hAnsi="Arial" w:cs="Arial"/>
          <w:sz w:val="24"/>
        </w:rPr>
        <w:t xml:space="preserve"> (Nayak et al., 2016)</w:t>
      </w:r>
      <w:r w:rsidR="0055612F" w:rsidRPr="00BA001B">
        <w:rPr>
          <w:rFonts w:ascii="Arial" w:hAnsi="Arial" w:cs="Arial"/>
          <w:sz w:val="24"/>
        </w:rPr>
        <w:t>.</w:t>
      </w:r>
    </w:p>
    <w:p w14:paraId="636DAE42" w14:textId="77777777" w:rsidR="009113AF" w:rsidRPr="00BA001B" w:rsidRDefault="0055612F" w:rsidP="009113AF">
      <w:pPr>
        <w:jc w:val="both"/>
        <w:rPr>
          <w:rFonts w:ascii="Arial" w:hAnsi="Arial" w:cs="Arial"/>
          <w:sz w:val="24"/>
        </w:rPr>
      </w:pPr>
      <w:r w:rsidRPr="00BA001B">
        <w:rPr>
          <w:rFonts w:ascii="Arial" w:hAnsi="Arial" w:cs="Arial"/>
          <w:sz w:val="24"/>
        </w:rPr>
        <w:t xml:space="preserve">Although </w:t>
      </w:r>
      <w:r w:rsidRPr="00BA001B">
        <w:rPr>
          <w:rFonts w:ascii="Arial" w:hAnsi="Arial" w:cs="Arial"/>
          <w:i/>
          <w:sz w:val="24"/>
        </w:rPr>
        <w:t xml:space="preserve">B. </w:t>
      </w:r>
      <w:proofErr w:type="spellStart"/>
      <w:r w:rsidRPr="00BA001B">
        <w:rPr>
          <w:rFonts w:ascii="Arial" w:hAnsi="Arial" w:cs="Arial"/>
          <w:i/>
          <w:sz w:val="24"/>
        </w:rPr>
        <w:t>diffusa</w:t>
      </w:r>
      <w:proofErr w:type="spellEnd"/>
      <w:r w:rsidRPr="00BA001B">
        <w:rPr>
          <w:rFonts w:ascii="Arial" w:hAnsi="Arial" w:cs="Arial"/>
          <w:sz w:val="24"/>
        </w:rPr>
        <w:t xml:space="preserve"> is widely used in folk medicine, its </w:t>
      </w:r>
      <w:r w:rsidR="009F4248" w:rsidRPr="00BA001B">
        <w:rPr>
          <w:rFonts w:ascii="Arial" w:hAnsi="Arial" w:cs="Arial"/>
          <w:sz w:val="24"/>
        </w:rPr>
        <w:t xml:space="preserve">full </w:t>
      </w:r>
      <w:r w:rsidRPr="00BA001B">
        <w:rPr>
          <w:rFonts w:ascii="Arial" w:hAnsi="Arial" w:cs="Arial"/>
          <w:sz w:val="24"/>
        </w:rPr>
        <w:t xml:space="preserve">therapeutic </w:t>
      </w:r>
      <w:r w:rsidR="009F4248" w:rsidRPr="00BA001B">
        <w:rPr>
          <w:rFonts w:ascii="Arial" w:hAnsi="Arial" w:cs="Arial"/>
          <w:sz w:val="24"/>
        </w:rPr>
        <w:t>potential still</w:t>
      </w:r>
      <w:r w:rsidRPr="00BA001B">
        <w:rPr>
          <w:rFonts w:ascii="Arial" w:hAnsi="Arial" w:cs="Arial"/>
          <w:sz w:val="24"/>
        </w:rPr>
        <w:t xml:space="preserve"> remains unexplored</w:t>
      </w:r>
      <w:r w:rsidR="009F4248" w:rsidRPr="00BA001B">
        <w:rPr>
          <w:rFonts w:ascii="Arial" w:hAnsi="Arial" w:cs="Arial"/>
          <w:sz w:val="24"/>
        </w:rPr>
        <w:t xml:space="preserve"> in the scientific community</w:t>
      </w:r>
      <w:r w:rsidRPr="00BA001B">
        <w:rPr>
          <w:rFonts w:ascii="Arial" w:hAnsi="Arial" w:cs="Arial"/>
          <w:sz w:val="24"/>
        </w:rPr>
        <w:t xml:space="preserve">. In other words, very few scientific studies have been conducted about its medicinal properties, especially in terms of its </w:t>
      </w:r>
      <w:r w:rsidR="009F4248" w:rsidRPr="00BA001B">
        <w:rPr>
          <w:rFonts w:ascii="Arial" w:hAnsi="Arial" w:cs="Arial"/>
          <w:sz w:val="24"/>
        </w:rPr>
        <w:t xml:space="preserve">anticancer, antidiabetic, analgesic, and neuropharmacological effects. Anticancer properties involve the ability to </w:t>
      </w:r>
      <w:r w:rsidR="00511293" w:rsidRPr="00BA001B">
        <w:rPr>
          <w:rFonts w:ascii="Arial" w:hAnsi="Arial" w:cs="Arial"/>
          <w:sz w:val="24"/>
        </w:rPr>
        <w:t>inhibit the growth of cancer cells</w:t>
      </w:r>
      <w:r w:rsidR="00107103" w:rsidRPr="00BA001B">
        <w:rPr>
          <w:rFonts w:ascii="Arial" w:hAnsi="Arial" w:cs="Arial"/>
          <w:sz w:val="24"/>
        </w:rPr>
        <w:t xml:space="preserve"> (</w:t>
      </w:r>
      <w:r w:rsidR="00107103" w:rsidRPr="00BA001B">
        <w:rPr>
          <w:rFonts w:ascii="Arial" w:hAnsi="Arial" w:cs="Arial"/>
          <w:color w:val="222222"/>
          <w:sz w:val="24"/>
          <w:shd w:val="clear" w:color="auto" w:fill="FFFFFF"/>
        </w:rPr>
        <w:t>Greenwell et al., 2015)</w:t>
      </w:r>
      <w:r w:rsidR="00511293" w:rsidRPr="00BA001B">
        <w:rPr>
          <w:rFonts w:ascii="Arial" w:hAnsi="Arial" w:cs="Arial"/>
          <w:sz w:val="24"/>
        </w:rPr>
        <w:t>. This is done by targeting the key molecular pathways that regulate cell proliferation and also by preventing uncontrolled cell division</w:t>
      </w:r>
      <w:r w:rsidR="00107103" w:rsidRPr="00BA001B">
        <w:rPr>
          <w:rFonts w:ascii="Arial" w:hAnsi="Arial" w:cs="Arial"/>
          <w:sz w:val="24"/>
        </w:rPr>
        <w:t xml:space="preserve"> (</w:t>
      </w:r>
      <w:proofErr w:type="spellStart"/>
      <w:r w:rsidR="00107103" w:rsidRPr="00BA001B">
        <w:rPr>
          <w:rFonts w:ascii="Arial" w:hAnsi="Arial" w:cs="Arial"/>
          <w:color w:val="222222"/>
          <w:sz w:val="24"/>
          <w:shd w:val="clear" w:color="auto" w:fill="FFFFFF"/>
        </w:rPr>
        <w:t>Vallianou</w:t>
      </w:r>
      <w:proofErr w:type="spellEnd"/>
      <w:r w:rsidR="00107103" w:rsidRPr="00BA001B">
        <w:rPr>
          <w:rFonts w:ascii="Arial" w:hAnsi="Arial" w:cs="Arial"/>
          <w:color w:val="222222"/>
          <w:sz w:val="24"/>
          <w:shd w:val="clear" w:color="auto" w:fill="FFFFFF"/>
        </w:rPr>
        <w:t xml:space="preserve"> et al., 2015)</w:t>
      </w:r>
      <w:r w:rsidR="00511293" w:rsidRPr="00BA001B">
        <w:rPr>
          <w:rFonts w:ascii="Arial" w:hAnsi="Arial" w:cs="Arial"/>
          <w:sz w:val="24"/>
        </w:rPr>
        <w:t>. The anticancer agents can also induce apostasies (programmed cell death) in tumour cells which effectively reduces tumour size</w:t>
      </w:r>
      <w:r w:rsidR="00107103" w:rsidRPr="00BA001B">
        <w:rPr>
          <w:rFonts w:ascii="Arial" w:hAnsi="Arial" w:cs="Arial"/>
          <w:sz w:val="24"/>
        </w:rPr>
        <w:t xml:space="preserve"> (</w:t>
      </w:r>
      <w:proofErr w:type="spellStart"/>
      <w:r w:rsidR="00107103" w:rsidRPr="00BA001B">
        <w:rPr>
          <w:rFonts w:ascii="Arial" w:hAnsi="Arial" w:cs="Arial"/>
          <w:color w:val="222222"/>
          <w:sz w:val="24"/>
          <w:shd w:val="clear" w:color="auto" w:fill="FFFFFF"/>
        </w:rPr>
        <w:t>Sa’adatu</w:t>
      </w:r>
      <w:proofErr w:type="spellEnd"/>
      <w:r w:rsidR="00107103" w:rsidRPr="00BA001B">
        <w:rPr>
          <w:rFonts w:ascii="Arial" w:hAnsi="Arial" w:cs="Arial"/>
          <w:color w:val="222222"/>
          <w:sz w:val="24"/>
          <w:shd w:val="clear" w:color="auto" w:fill="FFFFFF"/>
        </w:rPr>
        <w:t xml:space="preserve"> et al., 2022)</w:t>
      </w:r>
      <w:r w:rsidR="00511293" w:rsidRPr="00BA001B">
        <w:rPr>
          <w:rFonts w:ascii="Arial" w:hAnsi="Arial" w:cs="Arial"/>
          <w:sz w:val="24"/>
        </w:rPr>
        <w:t>.</w:t>
      </w:r>
      <w:r w:rsidR="00527618" w:rsidRPr="00BA001B">
        <w:rPr>
          <w:rFonts w:ascii="Arial" w:hAnsi="Arial" w:cs="Arial"/>
          <w:sz w:val="24"/>
        </w:rPr>
        <w:t xml:space="preserve"> In this paper, we are going to examine the anticancer properties of </w:t>
      </w:r>
      <w:r w:rsidR="00527618" w:rsidRPr="00BA001B">
        <w:rPr>
          <w:rFonts w:ascii="Arial" w:hAnsi="Arial" w:cs="Arial"/>
          <w:i/>
          <w:sz w:val="24"/>
        </w:rPr>
        <w:t xml:space="preserve">B. </w:t>
      </w:r>
      <w:proofErr w:type="spellStart"/>
      <w:r w:rsidR="00527618" w:rsidRPr="00BA001B">
        <w:rPr>
          <w:rFonts w:ascii="Arial" w:hAnsi="Arial" w:cs="Arial"/>
          <w:i/>
          <w:sz w:val="24"/>
        </w:rPr>
        <w:t>diffusa</w:t>
      </w:r>
      <w:proofErr w:type="spellEnd"/>
      <w:r w:rsidR="00527618" w:rsidRPr="00BA001B">
        <w:rPr>
          <w:rFonts w:ascii="Arial" w:hAnsi="Arial" w:cs="Arial"/>
          <w:sz w:val="24"/>
        </w:rPr>
        <w:t xml:space="preserve"> thoroughly. Likewise</w:t>
      </w:r>
      <w:r w:rsidR="009D259A" w:rsidRPr="00BA001B">
        <w:rPr>
          <w:rFonts w:ascii="Arial" w:hAnsi="Arial" w:cs="Arial"/>
          <w:sz w:val="24"/>
        </w:rPr>
        <w:t>,</w:t>
      </w:r>
      <w:r w:rsidR="00527618" w:rsidRPr="00BA001B">
        <w:rPr>
          <w:rFonts w:ascii="Arial" w:hAnsi="Arial" w:cs="Arial"/>
          <w:sz w:val="24"/>
        </w:rPr>
        <w:t xml:space="preserve"> the analgesic effects of this plant has not been explored </w:t>
      </w:r>
      <w:proofErr w:type="spellStart"/>
      <w:proofErr w:type="gramStart"/>
      <w:r w:rsidR="00527618" w:rsidRPr="00BA001B">
        <w:rPr>
          <w:rFonts w:ascii="Arial" w:hAnsi="Arial" w:cs="Arial"/>
          <w:sz w:val="24"/>
        </w:rPr>
        <w:t>fully.A</w:t>
      </w:r>
      <w:r w:rsidR="00511293" w:rsidRPr="00BA001B">
        <w:rPr>
          <w:rFonts w:ascii="Arial" w:hAnsi="Arial" w:cs="Arial"/>
          <w:sz w:val="24"/>
        </w:rPr>
        <w:t>nalgesic</w:t>
      </w:r>
      <w:proofErr w:type="spellEnd"/>
      <w:proofErr w:type="gramEnd"/>
      <w:r w:rsidR="00511293" w:rsidRPr="00BA001B">
        <w:rPr>
          <w:rFonts w:ascii="Arial" w:hAnsi="Arial" w:cs="Arial"/>
          <w:sz w:val="24"/>
        </w:rPr>
        <w:t xml:space="preserve"> properties refer to the ability of alleviating pain. Analgesic agents often </w:t>
      </w:r>
      <w:proofErr w:type="gramStart"/>
      <w:r w:rsidR="00511293" w:rsidRPr="00BA001B">
        <w:rPr>
          <w:rFonts w:ascii="Arial" w:hAnsi="Arial" w:cs="Arial"/>
          <w:sz w:val="24"/>
        </w:rPr>
        <w:t>reduces</w:t>
      </w:r>
      <w:proofErr w:type="gramEnd"/>
      <w:r w:rsidR="00511293" w:rsidRPr="00BA001B">
        <w:rPr>
          <w:rFonts w:ascii="Arial" w:hAnsi="Arial" w:cs="Arial"/>
          <w:sz w:val="24"/>
        </w:rPr>
        <w:t xml:space="preserve"> inflammation or even sometimes can </w:t>
      </w:r>
      <w:r w:rsidR="00527618" w:rsidRPr="00BA001B">
        <w:rPr>
          <w:rFonts w:ascii="Arial" w:hAnsi="Arial" w:cs="Arial"/>
          <w:sz w:val="24"/>
        </w:rPr>
        <w:t>block the pain signalling pathways and thus offering relief from conditions such as arthritis, neuropathy, or acute injuries</w:t>
      </w:r>
      <w:r w:rsidR="00BA001B" w:rsidRPr="00BA001B">
        <w:rPr>
          <w:rFonts w:ascii="Arial" w:hAnsi="Arial" w:cs="Arial"/>
          <w:sz w:val="24"/>
        </w:rPr>
        <w:t xml:space="preserve"> (Lende et al., 2011)</w:t>
      </w:r>
      <w:r w:rsidR="00527618" w:rsidRPr="00BA001B">
        <w:rPr>
          <w:rFonts w:ascii="Arial" w:hAnsi="Arial" w:cs="Arial"/>
          <w:sz w:val="24"/>
        </w:rPr>
        <w:t xml:space="preserve">. </w:t>
      </w:r>
      <w:r w:rsidR="009113AF" w:rsidRPr="00BA001B">
        <w:rPr>
          <w:rFonts w:ascii="Arial" w:hAnsi="Arial" w:cs="Arial"/>
          <w:sz w:val="24"/>
        </w:rPr>
        <w:t>The antidiabetic and neuropharmacological aspect of this plant also lacks proper attention and research. By either boosting insulin production, improving glucose absorption, or preventing carbohydrate breakdown, the antidiabetic characteristics help control blood glucose</w:t>
      </w:r>
      <w:r w:rsidR="00BA001B" w:rsidRPr="00BA001B">
        <w:rPr>
          <w:rFonts w:ascii="Arial" w:hAnsi="Arial" w:cs="Arial"/>
          <w:sz w:val="24"/>
        </w:rPr>
        <w:t xml:space="preserve"> (Mamun et al., 2014)</w:t>
      </w:r>
      <w:r w:rsidR="009113AF" w:rsidRPr="00BA001B">
        <w:rPr>
          <w:rFonts w:ascii="Arial" w:hAnsi="Arial" w:cs="Arial"/>
          <w:sz w:val="24"/>
        </w:rPr>
        <w:t xml:space="preserve">. Additionally, the neuropharmacological properties influence neurotransmitter activity, neuronal </w:t>
      </w:r>
      <w:proofErr w:type="spellStart"/>
      <w:r w:rsidR="009113AF" w:rsidRPr="00BA001B">
        <w:rPr>
          <w:rFonts w:ascii="Arial" w:hAnsi="Arial" w:cs="Arial"/>
          <w:sz w:val="24"/>
        </w:rPr>
        <w:t>signaling</w:t>
      </w:r>
      <w:proofErr w:type="spellEnd"/>
      <w:r w:rsidR="009113AF" w:rsidRPr="00BA001B">
        <w:rPr>
          <w:rFonts w:ascii="Arial" w:hAnsi="Arial" w:cs="Arial"/>
          <w:sz w:val="24"/>
        </w:rPr>
        <w:t>, and neuroprotection, aiding in conditions like anxiety, epilepsy, and neurodegeneration</w:t>
      </w:r>
      <w:r w:rsidR="00BA001B" w:rsidRPr="00BA001B">
        <w:rPr>
          <w:rFonts w:ascii="Arial" w:hAnsi="Arial" w:cs="Arial"/>
          <w:sz w:val="24"/>
        </w:rPr>
        <w:t xml:space="preserve"> (</w:t>
      </w:r>
      <w:proofErr w:type="spellStart"/>
      <w:r w:rsidR="00BA001B" w:rsidRPr="00BA001B">
        <w:rPr>
          <w:rFonts w:ascii="Arial" w:hAnsi="Arial" w:cs="Arial"/>
          <w:color w:val="222222"/>
          <w:sz w:val="24"/>
          <w:shd w:val="clear" w:color="auto" w:fill="FFFFFF"/>
        </w:rPr>
        <w:t>Roohbakhsh</w:t>
      </w:r>
      <w:proofErr w:type="spellEnd"/>
      <w:r w:rsidR="00BA001B" w:rsidRPr="00BA001B">
        <w:rPr>
          <w:rFonts w:ascii="Arial" w:hAnsi="Arial" w:cs="Arial"/>
          <w:color w:val="222222"/>
          <w:sz w:val="24"/>
          <w:shd w:val="clear" w:color="auto" w:fill="FFFFFF"/>
        </w:rPr>
        <w:t xml:space="preserve"> et al., 2014)</w:t>
      </w:r>
      <w:r w:rsidR="009113AF" w:rsidRPr="00BA001B">
        <w:rPr>
          <w:rFonts w:ascii="Arial" w:hAnsi="Arial" w:cs="Arial"/>
          <w:sz w:val="24"/>
        </w:rPr>
        <w:t xml:space="preserve">. In this paper, we are going to explore these medicinal aspects of </w:t>
      </w:r>
      <w:r w:rsidR="009113AF" w:rsidRPr="00BA001B">
        <w:rPr>
          <w:rFonts w:ascii="Arial" w:hAnsi="Arial" w:cs="Arial"/>
          <w:i/>
          <w:sz w:val="24"/>
        </w:rPr>
        <w:t xml:space="preserve">B. </w:t>
      </w:r>
      <w:proofErr w:type="spellStart"/>
      <w:r w:rsidR="009113AF" w:rsidRPr="00BA001B">
        <w:rPr>
          <w:rFonts w:ascii="Arial" w:hAnsi="Arial" w:cs="Arial"/>
          <w:i/>
          <w:sz w:val="24"/>
        </w:rPr>
        <w:t>diffusa</w:t>
      </w:r>
      <w:proofErr w:type="spellEnd"/>
      <w:r w:rsidR="009113AF" w:rsidRPr="00BA001B">
        <w:rPr>
          <w:rFonts w:ascii="Arial" w:hAnsi="Arial" w:cs="Arial"/>
          <w:sz w:val="24"/>
        </w:rPr>
        <w:t xml:space="preserve"> to understand its therapeutic potential.</w:t>
      </w:r>
    </w:p>
    <w:p w14:paraId="01C2F8B1" w14:textId="736B2CEC" w:rsidR="009113AF" w:rsidRPr="006E0879" w:rsidRDefault="00C03759" w:rsidP="009113AF">
      <w:pPr>
        <w:jc w:val="both"/>
        <w:rPr>
          <w:rFonts w:ascii="Arial" w:hAnsi="Arial" w:cs="Arial"/>
          <w:sz w:val="24"/>
        </w:rPr>
      </w:pPr>
      <w:r w:rsidRPr="006E0879">
        <w:rPr>
          <w:rFonts w:ascii="Arial" w:hAnsi="Arial" w:cs="Arial"/>
          <w:sz w:val="24"/>
        </w:rPr>
        <w:t xml:space="preserve">This study aims to address these critical literature gaps by examining the anticancer, antidiabetic, analgesic, and neuropharmacological effects of </w:t>
      </w:r>
      <w:proofErr w:type="spellStart"/>
      <w:r w:rsidRPr="009C6DC4">
        <w:rPr>
          <w:rFonts w:ascii="Arial" w:hAnsi="Arial" w:cs="Arial"/>
          <w:i/>
          <w:sz w:val="24"/>
        </w:rPr>
        <w:t>Boerhavia</w:t>
      </w:r>
      <w:proofErr w:type="spellEnd"/>
      <w:r w:rsidR="00AB56EE">
        <w:rPr>
          <w:rFonts w:ascii="Arial" w:hAnsi="Arial" w:cs="Arial"/>
          <w:i/>
          <w:sz w:val="24"/>
        </w:rPr>
        <w:t xml:space="preserve"> </w:t>
      </w:r>
      <w:proofErr w:type="spellStart"/>
      <w:r w:rsidRPr="009C6DC4">
        <w:rPr>
          <w:rFonts w:ascii="Arial" w:hAnsi="Arial" w:cs="Arial"/>
          <w:i/>
          <w:sz w:val="24"/>
        </w:rPr>
        <w:t>diffusa</w:t>
      </w:r>
      <w:proofErr w:type="spellEnd"/>
      <w:r w:rsidRPr="006E0879">
        <w:rPr>
          <w:rFonts w:ascii="Arial" w:hAnsi="Arial" w:cs="Arial"/>
          <w:sz w:val="24"/>
        </w:rPr>
        <w:t xml:space="preserve"> using </w:t>
      </w:r>
      <w:r w:rsidRPr="00CE52BA">
        <w:rPr>
          <w:rFonts w:ascii="Arial" w:hAnsi="Arial" w:cs="Arial"/>
          <w:i/>
          <w:sz w:val="24"/>
        </w:rPr>
        <w:t>in vitro</w:t>
      </w:r>
      <w:r w:rsidRPr="006E0879">
        <w:rPr>
          <w:rFonts w:ascii="Arial" w:hAnsi="Arial" w:cs="Arial"/>
          <w:sz w:val="24"/>
        </w:rPr>
        <w:t xml:space="preserve"> experimental models</w:t>
      </w:r>
      <w:r w:rsidR="00F96A25">
        <w:rPr>
          <w:rFonts w:ascii="Arial" w:hAnsi="Arial" w:cs="Arial"/>
          <w:sz w:val="24"/>
        </w:rPr>
        <w:t xml:space="preserve"> </w:t>
      </w:r>
      <w:r w:rsidR="00F96A25" w:rsidRPr="00AB56EE">
        <w:rPr>
          <w:rFonts w:ascii="Arial" w:hAnsi="Arial" w:cs="Arial"/>
          <w:sz w:val="24"/>
          <w:highlight w:val="yellow"/>
        </w:rPr>
        <w:t>such as MTT Cell Viability Assay and Phase-Contrast Microscopy</w:t>
      </w:r>
      <w:r w:rsidRPr="00AB56EE">
        <w:rPr>
          <w:rFonts w:ascii="Arial" w:hAnsi="Arial" w:cs="Arial"/>
          <w:sz w:val="24"/>
          <w:highlight w:val="yellow"/>
        </w:rPr>
        <w:t>.</w:t>
      </w:r>
      <w:r w:rsidRPr="006E0879">
        <w:rPr>
          <w:rFonts w:ascii="Arial" w:hAnsi="Arial" w:cs="Arial"/>
          <w:sz w:val="24"/>
        </w:rPr>
        <w:t xml:space="preserve"> Examining these properties will not only contribute to the current scientific understanding of its bioactive compounds but will also be used to treat conditions such as microbial infections, cancer, and thrombolytic diseases. The results of this work may inspire the development of novel medications based on </w:t>
      </w:r>
      <w:proofErr w:type="spellStart"/>
      <w:r w:rsidRPr="009C6DC4">
        <w:rPr>
          <w:rFonts w:ascii="Arial" w:hAnsi="Arial" w:cs="Arial"/>
          <w:i/>
          <w:sz w:val="24"/>
        </w:rPr>
        <w:t>Boerhavia</w:t>
      </w:r>
      <w:proofErr w:type="spellEnd"/>
      <w:r w:rsidR="00AB56EE">
        <w:rPr>
          <w:rFonts w:ascii="Arial" w:hAnsi="Arial" w:cs="Arial"/>
          <w:i/>
          <w:sz w:val="24"/>
        </w:rPr>
        <w:t xml:space="preserve"> </w:t>
      </w:r>
      <w:proofErr w:type="spellStart"/>
      <w:r w:rsidRPr="009C6DC4">
        <w:rPr>
          <w:rFonts w:ascii="Arial" w:hAnsi="Arial" w:cs="Arial"/>
          <w:i/>
          <w:sz w:val="24"/>
        </w:rPr>
        <w:t>diffusa</w:t>
      </w:r>
      <w:proofErr w:type="spellEnd"/>
      <w:r w:rsidRPr="006E0879">
        <w:rPr>
          <w:rFonts w:ascii="Arial" w:hAnsi="Arial" w:cs="Arial"/>
          <w:sz w:val="24"/>
        </w:rPr>
        <w:t>, thus extending its role in modern medicine.</w:t>
      </w:r>
    </w:p>
    <w:p w14:paraId="2FCB4231" w14:textId="77777777" w:rsidR="00F868BB" w:rsidRPr="00C61EB7" w:rsidRDefault="00A73F88" w:rsidP="00A0340B">
      <w:pPr>
        <w:jc w:val="both"/>
        <w:rPr>
          <w:rFonts w:ascii="Arial" w:hAnsi="Arial" w:cs="Arial"/>
          <w:b/>
          <w:bCs/>
          <w:sz w:val="24"/>
        </w:rPr>
      </w:pPr>
      <w:r w:rsidRPr="00C61EB7">
        <w:rPr>
          <w:rFonts w:ascii="Arial" w:hAnsi="Arial" w:cs="Arial"/>
          <w:b/>
          <w:bCs/>
          <w:sz w:val="24"/>
        </w:rPr>
        <w:t>2. MATERIAL and METHOD</w:t>
      </w:r>
    </w:p>
    <w:p w14:paraId="23B72BDE" w14:textId="3204FDF2" w:rsidR="00A73F88" w:rsidRPr="00C61EB7" w:rsidRDefault="00A73F88" w:rsidP="00A0340B">
      <w:pPr>
        <w:jc w:val="both"/>
        <w:rPr>
          <w:rFonts w:ascii="Arial" w:hAnsi="Arial" w:cs="Arial"/>
          <w:b/>
          <w:bCs/>
          <w:sz w:val="24"/>
        </w:rPr>
      </w:pPr>
      <w:r w:rsidRPr="00C13D42">
        <w:rPr>
          <w:rFonts w:ascii="Arial" w:hAnsi="Arial" w:cs="Arial"/>
          <w:b/>
          <w:bCs/>
          <w:sz w:val="24"/>
          <w:highlight w:val="yellow"/>
        </w:rPr>
        <w:t>2.1 Plant M</w:t>
      </w:r>
      <w:r w:rsidR="00C13D42" w:rsidRPr="00C13D42">
        <w:rPr>
          <w:rFonts w:ascii="Arial" w:hAnsi="Arial" w:cs="Arial"/>
          <w:b/>
          <w:bCs/>
          <w:sz w:val="24"/>
          <w:highlight w:val="yellow"/>
        </w:rPr>
        <w:t>ate</w:t>
      </w:r>
      <w:r w:rsidRPr="00C13D42">
        <w:rPr>
          <w:rFonts w:ascii="Arial" w:hAnsi="Arial" w:cs="Arial"/>
          <w:b/>
          <w:bCs/>
          <w:sz w:val="24"/>
          <w:highlight w:val="yellow"/>
        </w:rPr>
        <w:t>rial</w:t>
      </w:r>
    </w:p>
    <w:p w14:paraId="451ABADD" w14:textId="1EA045D0" w:rsidR="00A73F88" w:rsidRDefault="00C61EB7" w:rsidP="00A0340B">
      <w:pPr>
        <w:jc w:val="both"/>
        <w:rPr>
          <w:rFonts w:ascii="Arial" w:hAnsi="Arial" w:cs="Arial"/>
          <w:sz w:val="24"/>
        </w:rPr>
      </w:pPr>
      <w:r w:rsidRPr="00C61EB7">
        <w:rPr>
          <w:rFonts w:ascii="Arial" w:hAnsi="Arial" w:cs="Arial"/>
          <w:sz w:val="24"/>
        </w:rPr>
        <w:t xml:space="preserve">The </w:t>
      </w:r>
      <w:r w:rsidRPr="00C13D42">
        <w:rPr>
          <w:rFonts w:ascii="Arial" w:hAnsi="Arial" w:cs="Arial"/>
          <w:sz w:val="24"/>
          <w:highlight w:val="yellow"/>
        </w:rPr>
        <w:t xml:space="preserve">fresh </w:t>
      </w:r>
      <w:r w:rsidR="00C13D42" w:rsidRPr="00C13D42">
        <w:rPr>
          <w:rFonts w:ascii="Arial" w:hAnsi="Arial" w:cs="Arial"/>
          <w:sz w:val="24"/>
          <w:highlight w:val="yellow"/>
        </w:rPr>
        <w:t>plants</w:t>
      </w:r>
      <w:r w:rsidRPr="00C13D42">
        <w:rPr>
          <w:rFonts w:ascii="Arial" w:hAnsi="Arial" w:cs="Arial"/>
          <w:sz w:val="24"/>
          <w:highlight w:val="yellow"/>
        </w:rPr>
        <w:t xml:space="preserve"> were </w:t>
      </w:r>
      <w:r w:rsidR="00C13D42" w:rsidRPr="00C13D42">
        <w:rPr>
          <w:rFonts w:ascii="Arial" w:hAnsi="Arial" w:cs="Arial"/>
          <w:sz w:val="24"/>
          <w:highlight w:val="yellow"/>
        </w:rPr>
        <w:t>collected</w:t>
      </w:r>
      <w:r w:rsidRPr="00C61EB7">
        <w:rPr>
          <w:rFonts w:ascii="Arial" w:hAnsi="Arial" w:cs="Arial"/>
          <w:sz w:val="24"/>
        </w:rPr>
        <w:t xml:space="preserve"> from Dhaka, Bangladesh in September 2024 and subsequently identified by the taxonomist at the Bangladesh National Herbarium, located in Mirpur, Dhaka. An accession number was assigned, and a voucher specimen (DACB: 41278) has been deposited in the herbarium for future reference. The dried and powdered plant material (100g) was immersed in 300ml of methanol for </w:t>
      </w:r>
      <w:r w:rsidRPr="00C61EB7">
        <w:rPr>
          <w:rFonts w:ascii="Arial" w:hAnsi="Arial" w:cs="Arial"/>
          <w:sz w:val="24"/>
        </w:rPr>
        <w:lastRenderedPageBreak/>
        <w:t>a duration of 10 days. Subsequently, the extract underwent filtration through a cotton plug, followed by Whatman filter paper number 1. The resulting solution was then concentrated utilizing a rotary evaporator at a low temperature range of 40-50°C and under reduced pressure</w:t>
      </w:r>
      <w:r w:rsidR="00F726D7">
        <w:rPr>
          <w:rFonts w:ascii="Arial" w:hAnsi="Arial" w:cs="Arial"/>
          <w:sz w:val="24"/>
        </w:rPr>
        <w:fldChar w:fldCharType="begin" w:fldLock="1"/>
      </w:r>
      <w:r w:rsidR="003B5DB6">
        <w:rPr>
          <w:rFonts w:ascii="Arial" w:hAnsi="Arial" w:cs="Arial"/>
          <w:sz w:val="24"/>
        </w:rPr>
        <w:instrText>ADDIN CSL_CITATION {"citationItems":[{"id":"ITEM-1","itemData":{"DOI":"10.9734/jpri/2023/v35i77338","abstract":"Aims: The purpose of this research was to examine the effects of methanol-prepared leaf extracts from the Solanum americanum Mill. plant on a variety of in vitro activities, including antioxidant, anti-Arthritis, anti-inflammatory, thrombolysis, anti-bacterial, and in-vivo neuropharmacological activities.\r Study Design: Methanolic extract of Solanum americanum leaf (MESAL) was primarily evaluated via phytochemical screening. The potential for in vitro activities, including antioxidant, anti-arthritis, anti-inflammatory, thrombolysis, and anti-bacterial activity were determined to study due to the pharmacological interest in the plant's chemical constituent. Whether there is statistical significance to the changes seen in its in vivo neuropharmacological characteristics when tested in experimental animals.\r Place and Duration of Study: This research was carried out between November 2022 to January 2023 at the Laboratory of Phytochemistry and Pharmacology in the Department of Pharmacy and Laboratory of Microbiology, Stamford University Bangladesh and Bangladesh Council of Scientific and Industrial Research, Dhaka.\r Methodology: The plant was subjected to phytochemical screening utilizing a variety of test reagents and potential antioxidant, anti-arthritis, anti-inflammatory, thrombolytic, anti-bacterial, and neuropharmacological activities of MESAL were investigated.  Antioxidant, anti-arthritic, anti-inflammatory, thrombolytic, and antibacterial activities were tested at different doses utilizing the DPPH Free Radical Scavenging Assay, Protein Denaturation Assays, Clot Lysis, and the Disk Diffusion Method. Swiss albino mice were tested using open-field and hole-cross methods to measure their locomotion as part of the neuropharmacological study.\r Results: The MESAL phytochemical screening findings demonstrated that the plants' chemical compositions varied. Most antioxidant activities were found in MESA, with an IC50 of 11.73 µg/mL compared to Ascorbic acid's IC50 of 28.86 µg/mL. When compared to the standard, the percent inhibition value of MESAL's anti-arthritis activity was significantly higher. With a maximum protein denaturation value of 94.03% at a concentration of 1000µg/mL, MESAL possesses potent anti-inflammatory activity. The value of MESAL in terms of clot lysis is very significant which is 90.257%. While MESAL's antibacterial value is moderate, it is still worth considering. However, the extract was proven to be less effective than Diazepam in …","author":[{"dropping-particle":"","family":"Shomudro","given":"Hasib Khan","non-dropping-particle":"","parse-names":false,"suffix":""},{"dropping-particle":"","family":"Aboni","given":"Anan Mahabub","non-dropping-particle":"","parse-names":false,"suffix":""},{"dropping-particle":"","family":"Jasmeen","given":"Tasbira","non-dropping-particle":"","parse-names":false,"suffix":""},{"dropping-particle":"","family":"Sanam","given":"Sherejad","non-dropping-particle":"","parse-names":false,"suffix":""}],"container-title":"Journal of Pharmaceutical Research International","id":"ITEM-1","issue":"7","issued":{"date-parts":[["2023"]]},"page":"29-39","title":"In-Vitro Antioxidant, Anti-Arthritis, Anti-inflammatory, Thrombolysis, Anti-bacterial, and in-Vivo Neuropharmacological Activities of Bioactive Metabolites of Solanum americanum Mill.","type":"article-journal","volume":"35"},"uris":["http://www.mendeley.com/documents/?uuid=efa07d89-b992-4140-93b7-c10e47bd36f5"]}],"mendeley":{"formattedCitation":"(Shomudro, Aboni, et al., 2023)","plainTextFormattedCitation":"(Shomudro, Aboni, et al., 2023)","previouslyFormattedCitation":"(Shomudro, Aboni, et al., 2023)"},"properties":{"noteIndex":0},"schema":"https://github.com/citation-style-language/schema/raw/master/csl-citation.json"}</w:instrText>
      </w:r>
      <w:r w:rsidR="00F726D7">
        <w:rPr>
          <w:rFonts w:ascii="Arial" w:hAnsi="Arial" w:cs="Arial"/>
          <w:sz w:val="24"/>
        </w:rPr>
        <w:fldChar w:fldCharType="separate"/>
      </w:r>
      <w:r w:rsidR="003B5DB6" w:rsidRPr="003B5DB6">
        <w:rPr>
          <w:rFonts w:ascii="Arial" w:hAnsi="Arial" w:cs="Arial"/>
          <w:noProof/>
          <w:sz w:val="24"/>
        </w:rPr>
        <w:t>(Shomudro, Aboni, et al., 2023)</w:t>
      </w:r>
      <w:r w:rsidR="00F726D7">
        <w:rPr>
          <w:rFonts w:ascii="Arial" w:hAnsi="Arial" w:cs="Arial"/>
          <w:sz w:val="24"/>
        </w:rPr>
        <w:fldChar w:fldCharType="end"/>
      </w:r>
      <w:r w:rsidRPr="00C61EB7">
        <w:rPr>
          <w:rFonts w:ascii="Arial" w:hAnsi="Arial" w:cs="Arial"/>
          <w:sz w:val="24"/>
        </w:rPr>
        <w:t>.</w:t>
      </w:r>
    </w:p>
    <w:p w14:paraId="2D7F9A9C" w14:textId="77777777" w:rsidR="00C61EB7" w:rsidRPr="00667D5D" w:rsidRDefault="00C61EB7" w:rsidP="00A0340B">
      <w:pPr>
        <w:jc w:val="both"/>
        <w:rPr>
          <w:rFonts w:ascii="Arial" w:hAnsi="Arial" w:cs="Arial"/>
          <w:b/>
          <w:bCs/>
          <w:sz w:val="24"/>
        </w:rPr>
      </w:pPr>
      <w:r w:rsidRPr="00667D5D">
        <w:rPr>
          <w:rFonts w:ascii="Arial" w:hAnsi="Arial" w:cs="Arial"/>
          <w:b/>
          <w:bCs/>
          <w:sz w:val="24"/>
        </w:rPr>
        <w:t xml:space="preserve">2.2 </w:t>
      </w:r>
      <w:r w:rsidR="00667D5D" w:rsidRPr="00667D5D">
        <w:rPr>
          <w:rFonts w:ascii="Arial" w:hAnsi="Arial" w:cs="Arial"/>
          <w:b/>
          <w:bCs/>
          <w:sz w:val="24"/>
        </w:rPr>
        <w:t>Anticancer Test</w:t>
      </w:r>
    </w:p>
    <w:p w14:paraId="135B22D9" w14:textId="77777777" w:rsidR="00667D5D" w:rsidRPr="00667D5D" w:rsidRDefault="00667D5D" w:rsidP="00A0340B">
      <w:pPr>
        <w:jc w:val="both"/>
        <w:rPr>
          <w:rFonts w:ascii="Arial" w:hAnsi="Arial" w:cs="Arial"/>
          <w:b/>
          <w:bCs/>
          <w:sz w:val="24"/>
        </w:rPr>
      </w:pPr>
      <w:r w:rsidRPr="00667D5D">
        <w:rPr>
          <w:rFonts w:ascii="Arial" w:hAnsi="Arial" w:cs="Arial"/>
          <w:b/>
          <w:bCs/>
          <w:sz w:val="24"/>
        </w:rPr>
        <w:t>2.2.1 Cell viability assay</w:t>
      </w:r>
    </w:p>
    <w:p w14:paraId="2A549FF2" w14:textId="77777777" w:rsidR="00667D5D" w:rsidRPr="00667D5D" w:rsidRDefault="00667D5D" w:rsidP="00667D5D">
      <w:pPr>
        <w:jc w:val="both"/>
        <w:rPr>
          <w:rFonts w:ascii="Arial" w:hAnsi="Arial" w:cs="Arial"/>
          <w:sz w:val="24"/>
          <w:lang w:val="en-US"/>
        </w:rPr>
      </w:pPr>
      <w:r w:rsidRPr="00667D5D">
        <w:rPr>
          <w:rFonts w:ascii="Arial" w:hAnsi="Arial" w:cs="Arial"/>
          <w:sz w:val="24"/>
          <w:lang w:val="en-US"/>
        </w:rPr>
        <w:t xml:space="preserve">Cells were maintained in their designated media within 96-well plates until they achieved an approximate confluence of 70%. Following this, the cells were subjected to different concentrations of the extract, alongside a control comprising the vehicle/DMSO, for a duration of approximately 24 hours. Subsequently, the media was eliminated to facilitate the cleansing of the cells utilizing phosphate buffer saline (PBS). A 0.5 mg/ml solution of MTT was introduced to each well, followed by incubation of the plate at 37 °C for a duration of 4 hours, ensuring the absence of light during this period. Following the incubation period, the MTT solution was substituted with 200 </w:t>
      </w:r>
      <w:proofErr w:type="spellStart"/>
      <w:r w:rsidRPr="00667D5D">
        <w:rPr>
          <w:rFonts w:ascii="Arial" w:hAnsi="Arial" w:cs="Arial"/>
          <w:sz w:val="24"/>
          <w:lang w:val="en-US"/>
        </w:rPr>
        <w:t>μl</w:t>
      </w:r>
      <w:proofErr w:type="spellEnd"/>
      <w:r w:rsidRPr="00667D5D">
        <w:rPr>
          <w:rFonts w:ascii="Arial" w:hAnsi="Arial" w:cs="Arial"/>
          <w:sz w:val="24"/>
          <w:lang w:val="en-US"/>
        </w:rPr>
        <w:t xml:space="preserve"> of DMSO. The plate underwent agitation at a rate of 150 rpm for a duration of 5 minutes, after which the optical density was assessed at 490 nm utilizing a plate reader (</w:t>
      </w:r>
      <w:proofErr w:type="spellStart"/>
      <w:r w:rsidRPr="00667D5D">
        <w:rPr>
          <w:rFonts w:ascii="Arial" w:hAnsi="Arial" w:cs="Arial"/>
          <w:sz w:val="24"/>
          <w:lang w:val="en-US"/>
        </w:rPr>
        <w:t>ELx</w:t>
      </w:r>
      <w:proofErr w:type="spellEnd"/>
      <w:r w:rsidRPr="00667D5D">
        <w:rPr>
          <w:rFonts w:ascii="Arial" w:hAnsi="Arial" w:cs="Arial"/>
          <w:sz w:val="24"/>
          <w:lang w:val="en-US"/>
        </w:rPr>
        <w:t xml:space="preserve"> 800; </w:t>
      </w:r>
      <w:proofErr w:type="spellStart"/>
      <w:r w:rsidRPr="00667D5D">
        <w:rPr>
          <w:rFonts w:ascii="Arial" w:hAnsi="Arial" w:cs="Arial"/>
          <w:sz w:val="24"/>
          <w:lang w:val="en-US"/>
        </w:rPr>
        <w:t>Biotek</w:t>
      </w:r>
      <w:proofErr w:type="spellEnd"/>
      <w:r w:rsidRPr="00667D5D">
        <w:rPr>
          <w:rFonts w:ascii="Arial" w:hAnsi="Arial" w:cs="Arial"/>
          <w:sz w:val="24"/>
          <w:lang w:val="en-US"/>
        </w:rPr>
        <w:t>, Winooski, VT, USA). The experiment was performed repeatedly to assure precise data for graphical representation</w:t>
      </w:r>
      <w:r w:rsidR="00F726D7">
        <w:rPr>
          <w:rFonts w:ascii="Arial" w:hAnsi="Arial" w:cs="Arial"/>
          <w:sz w:val="24"/>
          <w:lang w:val="en-US"/>
        </w:rPr>
        <w:fldChar w:fldCharType="begin" w:fldLock="1"/>
      </w:r>
      <w:r w:rsidR="004A58A0">
        <w:rPr>
          <w:rFonts w:ascii="Arial" w:hAnsi="Arial" w:cs="Arial"/>
          <w:sz w:val="24"/>
          <w:lang w:val="en-US"/>
        </w:rPr>
        <w:instrText>ADDIN CSL_CITATION {"citationItems":[{"id":"ITEM-1","itemData":{"DOI":"10.9734/jabb/2024/v27i7974","abstract":"The present research investigated Ludwigia adscendens crude methanol extract invitro anticancer anthelminthic, and invivo anti-nociceptive, antidiabetic and toxicological properties. The coarsely dried plant powder was extracted using methanol. The methanolic extract (MELA) was further tested for anticancer, anthelminthic, anti-nociceptive, antidiabetic and toxicological activities. Cell Viability Assay was used for anticancer testing, and the earthworm assay was used for anthelminthic testing using different concentrations. Antinociceptive tests were done on Swiss albino mice at 200 and 400 mg/kg utilizing a hot plate, acetic acid induced writhing &amp; formalin-induced paw licking tests. Antidiabetic test was done using Blood Glucose Determination test using the dose of 150 mg/kg and 300 mg/kg. Acute toxicity was tested utilizing cinnamon oil-induced toxicological tests at 3000, 5000 and 7000 mg/kg. The MELA demonstrated 39.16% inhibition at 1000µg/mL in the Cell Viability Assay. The earthworm died after 6 minutes and 4 seconds in the 100 mg/mL anthelminthic test, whereas Albendazole killed it in 4 minutes and 20 seconds. Hot plate test results were substantial. The formalin-induced nociception test demonstrated strong inhibition rates of 79.54% in the early phase and 74.54% in the late phase at 400 mg/kg, compared to 62.99% and 68.18% for diclofenac sodium. Acetic acid-induced writhing test showed 77.66% of pain inhibition where’s Diclofenac sodium showed 79.61%. MELA inhibited blood glucose level very significantly compared to the standard Glibenclamide. In toxicological testing, 7000 mg/kg killed mice 2/5, whereas cinnamon oil killed 5/5 within 24 hours. The study shows that MELA has moderate anticancer, significant anthelmintic, anti-nociceptive, antidiabetic and mild toxicological properties. They may support the plant's use in conventional medicine to relieve pain, minimize drug intoxication, and prevent cancer, control diabetes and parasitic disorders.","author":[{"dropping-particle":"","family":"Ritu","given":"Tajmim Jahan","non-dropping-particle":"","parse-names":false,"suffix":""},{"dropping-particle":"","family":"Shomudro","given":"Hasib Khan","non-dropping-particle":"","parse-names":false,"suffix":""},{"dropping-particle":"","family":"Noor","given":"Samia","non-dropping-particle":"","parse-names":false,"suffix":""},{"dropping-particle":"","family":"Tahsin","given":"Homaira","non-dropping-particle":"","parse-names":false,"suffix":""},{"dropping-particle":"","family":"Uddin","given":"Md. Salah","non-dropping-particle":"","parse-names":false,"suffix":""}],"container-title":"Journal of Advances in Biology &amp; Biotechnology","id":"ITEM-1","issue":"7","issued":{"date-parts":[["2024"]]},"page":"140-155","title":"Evaluation of Anticancer, Anthelminthic, Anti-Nociceptive, Antidiabetic and Toxicological Investigation of Ludwigia adscendens","type":"article-journal","volume":"27"},"uris":["http://www.mendeley.com/documents/?uuid=ced8da7f-99a4-4ae6-b3aa-bc6e88835892"]}],"mendeley":{"formattedCitation":"(Ritu et al., 2024)","plainTextFormattedCitation":"(Ritu et al., 2024)","previouslyFormattedCitation":"(Ritu et al., 2024)"},"properties":{"noteIndex":0},"schema":"https://github.com/citation-style-language/schema/raw/master/csl-citation.json"}</w:instrText>
      </w:r>
      <w:r w:rsidR="00F726D7">
        <w:rPr>
          <w:rFonts w:ascii="Arial" w:hAnsi="Arial" w:cs="Arial"/>
          <w:sz w:val="24"/>
          <w:lang w:val="en-US"/>
        </w:rPr>
        <w:fldChar w:fldCharType="separate"/>
      </w:r>
      <w:r w:rsidR="004A58A0" w:rsidRPr="004A58A0">
        <w:rPr>
          <w:rFonts w:ascii="Arial" w:hAnsi="Arial" w:cs="Arial"/>
          <w:noProof/>
          <w:sz w:val="24"/>
          <w:lang w:val="en-US"/>
        </w:rPr>
        <w:t>(Ritu et al., 2024)</w:t>
      </w:r>
      <w:r w:rsidR="00F726D7">
        <w:rPr>
          <w:rFonts w:ascii="Arial" w:hAnsi="Arial" w:cs="Arial"/>
          <w:sz w:val="24"/>
          <w:lang w:val="en-US"/>
        </w:rPr>
        <w:fldChar w:fldCharType="end"/>
      </w:r>
      <w:r w:rsidRPr="00667D5D">
        <w:rPr>
          <w:rFonts w:ascii="Arial" w:hAnsi="Arial" w:cs="Arial"/>
          <w:sz w:val="24"/>
          <w:lang w:val="en-US"/>
        </w:rPr>
        <w:t xml:space="preserve">. </w:t>
      </w:r>
    </w:p>
    <w:p w14:paraId="0B88DAD6" w14:textId="77777777" w:rsidR="00667D5D" w:rsidRPr="00667D5D" w:rsidRDefault="00667D5D" w:rsidP="00A0340B">
      <w:pPr>
        <w:jc w:val="both"/>
        <w:rPr>
          <w:rFonts w:ascii="Arial" w:hAnsi="Arial" w:cs="Arial"/>
          <w:b/>
          <w:bCs/>
          <w:sz w:val="24"/>
          <w:lang w:val="en-US"/>
        </w:rPr>
      </w:pPr>
      <w:r w:rsidRPr="00667D5D">
        <w:rPr>
          <w:rFonts w:ascii="Arial" w:hAnsi="Arial" w:cs="Arial"/>
          <w:b/>
          <w:bCs/>
          <w:sz w:val="24"/>
          <w:lang w:val="en-US"/>
        </w:rPr>
        <w:t>2.2.2 Morphology study</w:t>
      </w:r>
    </w:p>
    <w:p w14:paraId="1C400801" w14:textId="77777777" w:rsidR="00667D5D" w:rsidRDefault="00667D5D" w:rsidP="00A0340B">
      <w:pPr>
        <w:jc w:val="both"/>
        <w:rPr>
          <w:rFonts w:ascii="Arial" w:hAnsi="Arial" w:cs="Arial"/>
          <w:sz w:val="24"/>
          <w:lang w:val="en-US"/>
        </w:rPr>
      </w:pPr>
      <w:r w:rsidRPr="00667D5D">
        <w:rPr>
          <w:rFonts w:ascii="Arial" w:hAnsi="Arial" w:cs="Arial"/>
          <w:sz w:val="24"/>
          <w:lang w:val="en-US"/>
        </w:rPr>
        <w:t>Cells were seeded in 24-well plates and treated with DMSO or extract at the IC</w:t>
      </w:r>
      <w:r w:rsidRPr="00667D5D">
        <w:rPr>
          <w:rFonts w:ascii="Arial" w:hAnsi="Arial" w:cs="Arial"/>
          <w:sz w:val="24"/>
          <w:vertAlign w:val="subscript"/>
          <w:lang w:val="en-US"/>
        </w:rPr>
        <w:t xml:space="preserve">50 </w:t>
      </w:r>
      <w:r w:rsidRPr="00667D5D">
        <w:rPr>
          <w:rFonts w:ascii="Arial" w:hAnsi="Arial" w:cs="Arial"/>
          <w:sz w:val="24"/>
          <w:lang w:val="en-US"/>
        </w:rPr>
        <w:t>concentration for a duration of 24 hours. Subsequent to the administration of the treatment, the image was obtained utilizing phase contrast microscopy.</w:t>
      </w:r>
    </w:p>
    <w:p w14:paraId="5F7FD40C" w14:textId="77777777" w:rsidR="00667D5D" w:rsidRPr="00A05E0B" w:rsidRDefault="00667D5D" w:rsidP="00A0340B">
      <w:pPr>
        <w:jc w:val="both"/>
        <w:rPr>
          <w:rFonts w:ascii="Arial" w:hAnsi="Arial" w:cs="Arial"/>
          <w:b/>
          <w:bCs/>
          <w:sz w:val="24"/>
          <w:lang w:val="en-US"/>
        </w:rPr>
      </w:pPr>
      <w:r w:rsidRPr="00A05E0B">
        <w:rPr>
          <w:rFonts w:ascii="Arial" w:hAnsi="Arial" w:cs="Arial"/>
          <w:b/>
          <w:bCs/>
          <w:sz w:val="24"/>
          <w:lang w:val="en-US"/>
        </w:rPr>
        <w:t xml:space="preserve">3. </w:t>
      </w:r>
      <w:r w:rsidRPr="00E61152">
        <w:rPr>
          <w:rFonts w:ascii="Arial" w:hAnsi="Arial" w:cs="Arial"/>
          <w:b/>
          <w:bCs/>
          <w:i/>
          <w:sz w:val="24"/>
          <w:lang w:val="en-US"/>
        </w:rPr>
        <w:t>In Vivo</w:t>
      </w:r>
      <w:r w:rsidRPr="00A05E0B">
        <w:rPr>
          <w:rFonts w:ascii="Arial" w:hAnsi="Arial" w:cs="Arial"/>
          <w:b/>
          <w:bCs/>
          <w:sz w:val="24"/>
          <w:lang w:val="en-US"/>
        </w:rPr>
        <w:t xml:space="preserve"> test</w:t>
      </w:r>
    </w:p>
    <w:p w14:paraId="45F6A75A" w14:textId="77777777" w:rsidR="00A05E0B" w:rsidRPr="00A05E0B" w:rsidRDefault="00A05E0B" w:rsidP="00A0340B">
      <w:pPr>
        <w:jc w:val="both"/>
        <w:rPr>
          <w:rFonts w:ascii="Arial" w:hAnsi="Arial" w:cs="Arial"/>
          <w:b/>
          <w:bCs/>
          <w:sz w:val="24"/>
          <w:lang w:val="en-US"/>
        </w:rPr>
      </w:pPr>
      <w:r w:rsidRPr="00A05E0B">
        <w:rPr>
          <w:rFonts w:ascii="Arial" w:hAnsi="Arial" w:cs="Arial"/>
          <w:b/>
          <w:bCs/>
          <w:sz w:val="24"/>
          <w:lang w:val="en-US"/>
        </w:rPr>
        <w:t>3.1 Experimental Animals</w:t>
      </w:r>
    </w:p>
    <w:p w14:paraId="227EFD1E" w14:textId="4D83E1A3" w:rsidR="00A05E0B" w:rsidRDefault="00A05E0B" w:rsidP="00A0340B">
      <w:pPr>
        <w:jc w:val="both"/>
        <w:rPr>
          <w:rFonts w:ascii="Arial" w:hAnsi="Arial" w:cs="Arial"/>
          <w:sz w:val="24"/>
          <w:lang w:val="en-US"/>
        </w:rPr>
      </w:pPr>
      <w:r w:rsidRPr="00A05E0B">
        <w:rPr>
          <w:rFonts w:ascii="Arial" w:hAnsi="Arial" w:cs="Arial"/>
          <w:sz w:val="24"/>
          <w:lang w:val="en-US"/>
        </w:rPr>
        <w:t xml:space="preserve">For this entire investigation, young, healthy </w:t>
      </w:r>
      <w:r w:rsidRPr="00A05E0B">
        <w:rPr>
          <w:rFonts w:ascii="Arial" w:hAnsi="Arial" w:cs="Arial"/>
          <w:i/>
          <w:iCs/>
          <w:sz w:val="24"/>
          <w:lang w:val="en-US"/>
        </w:rPr>
        <w:t>Swiss albino</w:t>
      </w:r>
      <w:r w:rsidRPr="00A05E0B">
        <w:rPr>
          <w:rFonts w:ascii="Arial" w:hAnsi="Arial" w:cs="Arial"/>
          <w:sz w:val="24"/>
          <w:lang w:val="en-US"/>
        </w:rPr>
        <w:t xml:space="preserve"> mice with a weight range of 22-25 g and </w:t>
      </w:r>
      <w:r w:rsidRPr="00A05E0B">
        <w:rPr>
          <w:rFonts w:ascii="Arial" w:hAnsi="Arial" w:cs="Arial"/>
          <w:i/>
          <w:iCs/>
          <w:sz w:val="24"/>
          <w:lang w:val="en-US"/>
        </w:rPr>
        <w:t>Rattus norvegicus</w:t>
      </w:r>
      <w:r w:rsidRPr="00A05E0B">
        <w:rPr>
          <w:rFonts w:ascii="Arial" w:hAnsi="Arial" w:cs="Arial"/>
          <w:sz w:val="24"/>
          <w:lang w:val="en-US"/>
        </w:rPr>
        <w:t xml:space="preserve"> rats weighing between 110-122 g were utilized</w:t>
      </w:r>
      <w:r w:rsidR="00C13D42">
        <w:rPr>
          <w:rFonts w:ascii="Arial" w:hAnsi="Arial" w:cs="Arial"/>
          <w:sz w:val="24"/>
          <w:lang w:val="en-US"/>
        </w:rPr>
        <w:t xml:space="preserve"> </w:t>
      </w:r>
      <w:r w:rsidR="00C13D42" w:rsidRPr="00C13D42">
        <w:rPr>
          <w:rFonts w:ascii="Arial" w:hAnsi="Arial" w:cs="Arial"/>
          <w:sz w:val="24"/>
          <w:highlight w:val="yellow"/>
          <w:lang w:val="en-US"/>
        </w:rPr>
        <w:t>for each experimental dose, 5 mice or rats were used</w:t>
      </w:r>
      <w:r w:rsidRPr="00C13D42">
        <w:rPr>
          <w:rFonts w:ascii="Arial" w:hAnsi="Arial" w:cs="Arial"/>
          <w:sz w:val="24"/>
          <w:highlight w:val="yellow"/>
          <w:lang w:val="en-US"/>
        </w:rPr>
        <w:t>.</w:t>
      </w:r>
      <w:r w:rsidRPr="00A05E0B">
        <w:rPr>
          <w:rFonts w:ascii="Arial" w:hAnsi="Arial" w:cs="Arial"/>
          <w:sz w:val="24"/>
          <w:lang w:val="en-US"/>
        </w:rPr>
        <w:t xml:space="preserve"> The mice and rats were obtained from the Saver facility at Jahangirnagar University in Dhaka, Bangladesh. A temperature of 77°F, a relative humidity ranging from 55 to 65%, and a diurnal cycle of light and dark exemplify standard atmospheric variations. Following the collection, the conditions persist without alteration for a duration of eight days. To assist the mice in recovering from the water and food scarcity experienced during transit and to facilitate their acclimatization to the laboratory environment, a diet comprising adequate nutrition and clean water was administered, adhering to the protocols established by Jahangirnagar University. The mice underwent a recovery period of ten days prior to the initiation of the experiment.</w:t>
      </w:r>
    </w:p>
    <w:p w14:paraId="7CC11E11" w14:textId="77777777" w:rsidR="00A05E0B" w:rsidRPr="00737C71" w:rsidRDefault="00A05E0B" w:rsidP="00A0340B">
      <w:pPr>
        <w:jc w:val="both"/>
        <w:rPr>
          <w:rFonts w:ascii="Arial" w:hAnsi="Arial" w:cs="Arial"/>
          <w:b/>
          <w:bCs/>
          <w:sz w:val="24"/>
          <w:lang w:val="en-US"/>
        </w:rPr>
      </w:pPr>
      <w:r w:rsidRPr="00737C71">
        <w:rPr>
          <w:rFonts w:ascii="Arial" w:hAnsi="Arial" w:cs="Arial"/>
          <w:b/>
          <w:bCs/>
          <w:sz w:val="24"/>
          <w:lang w:val="en-US"/>
        </w:rPr>
        <w:t>3.2 Antidiabetic test</w:t>
      </w:r>
    </w:p>
    <w:p w14:paraId="17AB7EE5" w14:textId="77777777" w:rsidR="00737C71" w:rsidRPr="00737C71" w:rsidRDefault="00A05E0B" w:rsidP="00737C71">
      <w:pPr>
        <w:jc w:val="both"/>
        <w:rPr>
          <w:rFonts w:ascii="Arial" w:hAnsi="Arial" w:cs="Arial"/>
          <w:b/>
          <w:bCs/>
          <w:sz w:val="24"/>
          <w:lang w:val="en-US"/>
        </w:rPr>
      </w:pPr>
      <w:r w:rsidRPr="00737C71">
        <w:rPr>
          <w:rFonts w:ascii="Arial" w:hAnsi="Arial" w:cs="Arial"/>
          <w:b/>
          <w:bCs/>
          <w:sz w:val="24"/>
          <w:lang w:val="en-US"/>
        </w:rPr>
        <w:t>3.</w:t>
      </w:r>
      <w:r w:rsidR="00737C71" w:rsidRPr="00737C71">
        <w:rPr>
          <w:rFonts w:ascii="Arial" w:hAnsi="Arial" w:cs="Arial"/>
          <w:b/>
          <w:bCs/>
          <w:sz w:val="24"/>
          <w:lang w:val="en-US"/>
        </w:rPr>
        <w:t>2</w:t>
      </w:r>
      <w:r w:rsidRPr="00737C71">
        <w:rPr>
          <w:rFonts w:ascii="Arial" w:hAnsi="Arial" w:cs="Arial"/>
          <w:b/>
          <w:bCs/>
          <w:sz w:val="24"/>
          <w:lang w:val="en-US"/>
        </w:rPr>
        <w:t xml:space="preserve">.1 </w:t>
      </w:r>
      <w:r w:rsidR="00737C71" w:rsidRPr="00737C71">
        <w:rPr>
          <w:rFonts w:ascii="Arial" w:hAnsi="Arial" w:cs="Arial"/>
          <w:b/>
          <w:bCs/>
          <w:sz w:val="24"/>
          <w:lang w:val="en-US"/>
        </w:rPr>
        <w:t>Diabetes Induction</w:t>
      </w:r>
    </w:p>
    <w:p w14:paraId="292FCF77" w14:textId="77777777" w:rsidR="00737C71" w:rsidRPr="00737C71" w:rsidRDefault="00737C71" w:rsidP="00737C71">
      <w:pPr>
        <w:jc w:val="both"/>
        <w:rPr>
          <w:rFonts w:ascii="Arial" w:hAnsi="Arial" w:cs="Arial"/>
          <w:sz w:val="24"/>
          <w:lang w:val="en-US"/>
        </w:rPr>
      </w:pPr>
      <w:r w:rsidRPr="00737C71">
        <w:rPr>
          <w:rFonts w:ascii="Arial" w:hAnsi="Arial" w:cs="Arial"/>
          <w:sz w:val="24"/>
          <w:lang w:val="en-US"/>
        </w:rPr>
        <w:t xml:space="preserve">Streptozotocin was administered to rats with a single intravenous injection after a 16-hour fasting interval. The pharmaceutical compound was solubilized in a citrate buffer at a pH of 4.5. Animals demonstrating post-prandial glycemia levels beyond 250 </w:t>
      </w:r>
      <w:r w:rsidRPr="00737C71">
        <w:rPr>
          <w:rFonts w:ascii="Arial" w:hAnsi="Arial" w:cs="Arial"/>
          <w:sz w:val="24"/>
          <w:lang w:val="en-US"/>
        </w:rPr>
        <w:lastRenderedPageBreak/>
        <w:t>mg/kg, five days post-streptozotocin treatment, were categorized as diabetic. Non-diabetic control mice received an injection of citrate buffer</w:t>
      </w:r>
      <w:r w:rsidR="00F726D7">
        <w:rPr>
          <w:rFonts w:ascii="Arial" w:hAnsi="Arial" w:cs="Arial"/>
          <w:sz w:val="24"/>
          <w:lang w:val="en-US"/>
        </w:rPr>
        <w:fldChar w:fldCharType="begin" w:fldLock="1"/>
      </w:r>
      <w:r w:rsidR="00E50103">
        <w:rPr>
          <w:rFonts w:ascii="Arial" w:hAnsi="Arial" w:cs="Arial"/>
          <w:sz w:val="24"/>
          <w:lang w:val="en-US"/>
        </w:rPr>
        <w:instrText>ADDIN CSL_CITATION {"citationItems":[{"id":"ITEM-1","itemData":{"DOI":"10.9734/jalsi/2024/v27i6660","abstract":"Aim: Research findings indicate that MEPSL exhibits Very significant anthelmintic, antidiabetic, and moderate toxicological properties. They may endorse the plant's utilization in mainstream medicine for reducing drug intoxication, and managing diabetes and parasitic disorders.\r Place and Duration of Study: The research was undertaken at Stamford University Bangladesh during the period from September 6th, 2023 to April 28th, 2024.\r Methodology: The current study examined the properties of Polyscias scutellaria leaf, including its In vitro anthelminthic, In vivo antidiabetic, and toxicological effects, using a crude methanol extract. The leaf powder of the dried plant was extracted using methanol. After phytochemical screening, the methanolic extract (MEPSL) underwent additional testing to evaluate its anthelminthic, antidiabetic, and toxicological activities. The earthworm assay was utilized to conduct anthelminthic testing with various concentrations. A study was conducted on Swiss albino mice to evaluate the antidiabetic effects. The Blood Glucose Determination test was performed using doses of 150 mg/kg and 300 mg/kg.  The toxicological tests for acute toxicity were conducted using cinnamon oil at doses of 3000, 5000, and 7000 mg/kg.  During the phytochemical screening process, compounds such as carbohydrates, alkaloids, glycosides, saponins, flavonoids, and reducing sugars were found in MEPSL. \r Results: According to the MEPSL findings, the earthworm met its demise after 30 minutes and 24 seconds during the 100 mg/mL anthelminthic test. In contrast, Albendazole took a significantly longer time of 38 minutes and 18 seconds to achieve the same result.  MEPSL showed a remarkable reduction in blood glucose levels compared to the standard Glibenclamide. In toxicological testing, a dosage of 5000 mg/kg resulted in the mortality of 3 out of 5 mice, while the application of cinnamon oil led to the death of all 5 mice within 24 hours.\r Conclusion: Research findings suggest that MEPSL possesses highly significant anthelmintic and antidiabetic properties, along with moderate toxicological effects. These findings may support the integration of the plant into conventional medicine for mitigating drug toxicity and treating diabetes and parasitic infections.","author":[{"dropping-particle":"","family":"Akter","given":"Jakiya","non-dropping-particle":"","parse-names":false,"suffix":""},{"dropping-particle":"","family":"Nazim","given":"Nafiza Binte","non-dropping-particle":"","parse-names":false,"suffix":""},{"dropping-particle":"","family":"Uddin","given":"Md. Salah","non-dropping-particle":"","parse-names":false,"suffix":""},{"dropping-particle":"","family":"Shomudro","given":"Hasib Khan","non-dropping-particle":"","parse-names":false,"suffix":""}],"container-title":"Journal of Applied Life Sciences International","id":"ITEM-1","issue":"6","issued":{"date-parts":[["2024"]]},"page":"1-9","title":"Phytochemical Characterization and Investigation of Anthelminthic, Antidiabetic, and Toxicological Effects of Polyscias scutellaria","type":"article-journal","volume":"27"},"uris":["http://www.mendeley.com/documents/?uuid=14b812e8-7c52-46f5-b768-bb5cc8ea7a2f"]}],"mendeley":{"formattedCitation":"(Akter, Nazim, et al., 2024)","plainTextFormattedCitation":"(Akter, Nazim, et al., 2024)","previouslyFormattedCitation":"(Akter et al., 2024)"},"properties":{"noteIndex":0},"schema":"https://github.com/citation-style-language/schema/raw/master/csl-citation.json"}</w:instrText>
      </w:r>
      <w:r w:rsidR="00F726D7">
        <w:rPr>
          <w:rFonts w:ascii="Arial" w:hAnsi="Arial" w:cs="Arial"/>
          <w:sz w:val="24"/>
          <w:lang w:val="en-US"/>
        </w:rPr>
        <w:fldChar w:fldCharType="separate"/>
      </w:r>
      <w:r w:rsidR="00E50103" w:rsidRPr="00E50103">
        <w:rPr>
          <w:rFonts w:ascii="Arial" w:hAnsi="Arial" w:cs="Arial"/>
          <w:noProof/>
          <w:sz w:val="24"/>
          <w:lang w:val="en-US"/>
        </w:rPr>
        <w:t>(Akter, Nazim, et al., 2024)</w:t>
      </w:r>
      <w:r w:rsidR="00F726D7">
        <w:rPr>
          <w:rFonts w:ascii="Arial" w:hAnsi="Arial" w:cs="Arial"/>
          <w:sz w:val="24"/>
          <w:lang w:val="en-US"/>
        </w:rPr>
        <w:fldChar w:fldCharType="end"/>
      </w:r>
      <w:r w:rsidRPr="00737C71">
        <w:rPr>
          <w:rFonts w:ascii="Arial" w:hAnsi="Arial" w:cs="Arial"/>
          <w:sz w:val="24"/>
          <w:lang w:val="en-US"/>
        </w:rPr>
        <w:t>.</w:t>
      </w:r>
    </w:p>
    <w:p w14:paraId="2A36CB85" w14:textId="77777777" w:rsidR="00737C71" w:rsidRPr="00737C71" w:rsidRDefault="00737C71" w:rsidP="00737C71">
      <w:pPr>
        <w:jc w:val="both"/>
        <w:rPr>
          <w:rFonts w:ascii="Arial" w:hAnsi="Arial" w:cs="Arial"/>
          <w:b/>
          <w:bCs/>
          <w:sz w:val="24"/>
          <w:lang w:val="en-US"/>
        </w:rPr>
      </w:pPr>
      <w:r w:rsidRPr="00737C71">
        <w:rPr>
          <w:rFonts w:ascii="Arial" w:hAnsi="Arial" w:cs="Arial"/>
          <w:b/>
          <w:bCs/>
          <w:sz w:val="24"/>
          <w:lang w:val="en-US"/>
        </w:rPr>
        <w:t>3.2.2 Oral Glucose Tolerance Test (OGTT)</w:t>
      </w:r>
    </w:p>
    <w:p w14:paraId="132A6524" w14:textId="77777777" w:rsidR="00A05E0B" w:rsidRDefault="00737C71" w:rsidP="00737C71">
      <w:pPr>
        <w:jc w:val="both"/>
        <w:rPr>
          <w:rFonts w:ascii="Arial" w:hAnsi="Arial" w:cs="Arial"/>
          <w:sz w:val="24"/>
          <w:lang w:val="en-US"/>
        </w:rPr>
      </w:pPr>
      <w:r w:rsidRPr="00737C71">
        <w:rPr>
          <w:rFonts w:ascii="Arial" w:hAnsi="Arial" w:cs="Arial"/>
          <w:sz w:val="24"/>
          <w:lang w:val="en-US"/>
        </w:rPr>
        <w:t>The OGTT was performed on overnight-fasted animals, including normal, diabetic control, and diabetic subjects administered with 200 and 400 mg/kg of extract. This was conducted after a 7-day regimen with the extract. All animals received a dosage of 2.5 g of glucose per kilogram of body mass. Plasma glucose concentrations were evaluated in blood samples collected from the tail tip at several time intervals: before to glucose injection (t = 0), and at 30, 60, 120, and 180 minutes post-delivery.</w:t>
      </w:r>
    </w:p>
    <w:p w14:paraId="5C76D5EA" w14:textId="77777777" w:rsidR="00737C71" w:rsidRPr="00507D56" w:rsidRDefault="00E43A14" w:rsidP="00737C71">
      <w:pPr>
        <w:jc w:val="both"/>
        <w:rPr>
          <w:rFonts w:ascii="Arial" w:hAnsi="Arial" w:cs="Arial"/>
          <w:b/>
          <w:bCs/>
          <w:sz w:val="24"/>
          <w:lang w:val="en-US"/>
        </w:rPr>
      </w:pPr>
      <w:r>
        <w:rPr>
          <w:rFonts w:ascii="Arial" w:hAnsi="Arial" w:cs="Arial"/>
          <w:b/>
          <w:bCs/>
          <w:sz w:val="24"/>
          <w:lang w:val="en-US"/>
        </w:rPr>
        <w:t>3</w:t>
      </w:r>
      <w:r w:rsidR="00737C71" w:rsidRPr="00507D56">
        <w:rPr>
          <w:rFonts w:ascii="Arial" w:hAnsi="Arial" w:cs="Arial"/>
          <w:b/>
          <w:bCs/>
          <w:sz w:val="24"/>
          <w:lang w:val="en-US"/>
        </w:rPr>
        <w:t>.</w:t>
      </w:r>
      <w:r>
        <w:rPr>
          <w:rFonts w:ascii="Arial" w:hAnsi="Arial" w:cs="Arial"/>
          <w:b/>
          <w:bCs/>
          <w:sz w:val="24"/>
          <w:lang w:val="en-US"/>
        </w:rPr>
        <w:t>4</w:t>
      </w:r>
      <w:r w:rsidR="00737C71" w:rsidRPr="00507D56">
        <w:rPr>
          <w:rFonts w:ascii="Arial" w:hAnsi="Arial" w:cs="Arial"/>
          <w:b/>
          <w:bCs/>
          <w:sz w:val="24"/>
          <w:lang w:val="en-US"/>
        </w:rPr>
        <w:t xml:space="preserve"> Neuropharmacological Test</w:t>
      </w:r>
    </w:p>
    <w:p w14:paraId="55F968EB" w14:textId="77777777" w:rsidR="00737C71" w:rsidRPr="00507D56" w:rsidRDefault="00E43A14" w:rsidP="00737C71">
      <w:pPr>
        <w:jc w:val="both"/>
        <w:rPr>
          <w:rFonts w:ascii="Arial" w:hAnsi="Arial" w:cs="Arial"/>
          <w:b/>
          <w:bCs/>
          <w:sz w:val="24"/>
          <w:lang w:val="en-US"/>
        </w:rPr>
      </w:pPr>
      <w:r>
        <w:rPr>
          <w:rFonts w:ascii="Arial" w:hAnsi="Arial" w:cs="Arial"/>
          <w:b/>
          <w:bCs/>
          <w:sz w:val="24"/>
          <w:lang w:val="en-US"/>
        </w:rPr>
        <w:t>3.</w:t>
      </w:r>
      <w:r w:rsidR="00737C71" w:rsidRPr="00507D56">
        <w:rPr>
          <w:rFonts w:ascii="Arial" w:hAnsi="Arial" w:cs="Arial"/>
          <w:b/>
          <w:bCs/>
          <w:sz w:val="24"/>
          <w:lang w:val="en-US"/>
        </w:rPr>
        <w:t>4.1 Evaluation of Sleep Duration Induced by Thiopental Sodium</w:t>
      </w:r>
    </w:p>
    <w:p w14:paraId="5C3AE353" w14:textId="77777777" w:rsidR="00737C71" w:rsidRPr="00737C71" w:rsidRDefault="00737C71" w:rsidP="00737C71">
      <w:pPr>
        <w:jc w:val="both"/>
        <w:rPr>
          <w:rFonts w:ascii="Arial" w:hAnsi="Arial" w:cs="Arial"/>
          <w:sz w:val="24"/>
          <w:lang w:val="en-US"/>
        </w:rPr>
      </w:pPr>
      <w:r w:rsidRPr="00737C71">
        <w:rPr>
          <w:rFonts w:ascii="Arial" w:hAnsi="Arial" w:cs="Arial"/>
          <w:sz w:val="24"/>
          <w:lang w:val="en-US"/>
        </w:rPr>
        <w:t xml:space="preserve">The subjects were stratified into five cohorts, each comprising five mice, utilizing a randomized selection methodology. Each cohort of mice was administered distinct treatments and subsequently housed in circular enclosures. After a duration of 30 minutes, thiopental sodium was administered to each mouse at a dosage of 40 mg/kg through the intraperitoneal route to facilitate the induction of sleep. Data were collected concerning the interval between thiopental administrations and the onset of the loss of the righting response, in addition to the duration from the loss to the subsequent recovery of the righting reflex </w:t>
      </w:r>
      <w:r w:rsidR="00F726D7">
        <w:rPr>
          <w:rFonts w:ascii="Arial" w:hAnsi="Arial" w:cs="Arial"/>
          <w:sz w:val="24"/>
          <w:lang w:val="en-US"/>
        </w:rPr>
        <w:fldChar w:fldCharType="begin" w:fldLock="1"/>
      </w:r>
      <w:r w:rsidR="00C17F63">
        <w:rPr>
          <w:rFonts w:ascii="Arial" w:hAnsi="Arial" w:cs="Arial"/>
          <w:sz w:val="24"/>
          <w:lang w:val="en-US"/>
        </w:rPr>
        <w:instrText>ADDIN CSL_CITATION {"citationItems":[{"id":"ITEM-1","itemData":{"DOI":"10.1016/j.pbb.2012.01.013","ISSN":"00913057","PMID":"22289689","abstract":"The role of peripheral and spinal 5-HT 3 receptors in formalin-induced secondary allodynia and hyperalgesia in rats was assessed. Formalin produced acute nociceptive behaviors (flinching and licking/lifting) followed by long-term secondary mechanical allodynia and hyperalgesia in both paws. In experiments where the test drug was anticipated to augment or antagonize the response, 0.5 or 1% formalin, respectively, was used for injection. Peripheral ipsilateral, but not contralateral, pre-treatment (- 10 min) with serotonin (5-HT, 10-100 nmol/paw) and the selective 5-HT 3 receptor agonist 1-(m-chlorophenyl)-biguanide (m-CPBG, 10-300 nmol/paw) increased 0.5% formalin-induced secondary allodynia and hyperalgesia in both paws. Moreover, spinal pre-treatment with m-CPBG (10-300 nmol/rat) increased 0.5% formalin-induced secondary hyperalgesia but not allodynia in both paws. Accordingly, peripheral ipsilateral (30-300 nmol/paw), but not contralateral (300 nmol/paw), and spinal (10-100 nmol) pre-treatment with the selective 5-HT 3 receptor antagonist ondansetron prevented 1% formalin-induced secondary mechanical allodynia and hyperalgesia in both paws. The peripheral pronociceptive effects of 5-HT (100 nmol/paw) and m-CPBG (300 nmol/paw) as well as the spinal effect of m-CPBG (300 nmol/rat) were completely prevented by the peripheral (10 nmol/paw) and spinal (1 nmol/rat) injection, respectively, of ondansetron. At these doses, ondansetron did not modify per se formalin-induced nociceptive behaviors. Spinal (30-300 nmol/rat), but not peripheral (300 nmol/paw), post-treatment (on day 6) with ondansetron reversed established formalin-induced secondary mechanical allodynia and hyperalgesia in both paws. Results suggest that a barrage of afferent input induced by 5-HT at peripheral 5-HT 3 receptors participates in the development of formalin-induced long-term secondary allodynia and hyperalgesia in the rat. In addition, our data suggest that spinal 5-HT 3 receptors play an important role during development and maintenance of these evoked long-term behaviors. © 2012 Elsevier Inc.","author":[{"dropping-particle":"","family":"Bravo-Hernández","given":"Mariana","non-dropping-particle":"","parse-names":false,"suffix":""},{"dropping-particle":"","family":"Cervantes-Durán","given":"Claudia","non-dropping-particle":"","parse-names":false,"suffix":""},{"dropping-particle":"","family":"Pineda-Farias","given":"Jorge Baruch","non-dropping-particle":"","parse-names":false,"suffix":""},{"dropping-particle":"","family":"Barragán-Iglesias","given":"Paulino","non-dropping-particle":"","parse-names":false,"suffix":""},{"dropping-particle":"","family":"López-Sánchez","given":"Pedro","non-dropping-particle":"","parse-names":false,"suffix":""},{"dropping-particle":"","family":"Granados-Soto","given":"Vinicio","non-dropping-particle":"","parse-names":false,"suffix":""}],"container-title":"Pharmacology Biochemistry and Behavior","id":"ITEM-1","issue":"2","issued":{"date-parts":[["2012"]]},"page":"246-257","publisher":"Elsevier Inc.","title":"Role of peripheral and spinal 5-HT 3 receptors in development and maintenance of formalin-induced long-term secondary allodynia and hyperalgesia","type":"article-journal","volume":"101"},"uris":["http://www.mendeley.com/documents/?uuid=f43fae63-0c23-438a-9707-80c2e8832592"]}],"mendeley":{"formattedCitation":"(Bravo-Hernández et al., 2012)","plainTextFormattedCitation":"(Bravo-Hernández et al., 2012)","previouslyFormattedCitation":"(Bravo-Hernández et al., 2012)"},"properties":{"noteIndex":0},"schema":"https://github.com/citation-style-language/schema/raw/master/csl-citation.json"}</w:instrText>
      </w:r>
      <w:r w:rsidR="00F726D7">
        <w:rPr>
          <w:rFonts w:ascii="Arial" w:hAnsi="Arial" w:cs="Arial"/>
          <w:sz w:val="24"/>
          <w:lang w:val="en-US"/>
        </w:rPr>
        <w:fldChar w:fldCharType="separate"/>
      </w:r>
      <w:r w:rsidR="00C17F63" w:rsidRPr="00C17F63">
        <w:rPr>
          <w:rFonts w:ascii="Arial" w:hAnsi="Arial" w:cs="Arial"/>
          <w:noProof/>
          <w:sz w:val="24"/>
          <w:lang w:val="en-US"/>
        </w:rPr>
        <w:t>(Bravo-Hernández et al., 2012)</w:t>
      </w:r>
      <w:r w:rsidR="00F726D7">
        <w:rPr>
          <w:rFonts w:ascii="Arial" w:hAnsi="Arial" w:cs="Arial"/>
          <w:sz w:val="24"/>
          <w:lang w:val="en-US"/>
        </w:rPr>
        <w:fldChar w:fldCharType="end"/>
      </w:r>
      <w:r w:rsidR="00C17F63">
        <w:rPr>
          <w:rFonts w:ascii="Arial" w:hAnsi="Arial" w:cs="Arial"/>
          <w:sz w:val="24"/>
          <w:lang w:val="en-US"/>
        </w:rPr>
        <w:t>.</w:t>
      </w:r>
    </w:p>
    <w:p w14:paraId="5A2FCCD4" w14:textId="77777777" w:rsidR="00737C71" w:rsidRPr="00507D56" w:rsidRDefault="00E43A14" w:rsidP="00737C71">
      <w:pPr>
        <w:jc w:val="both"/>
        <w:rPr>
          <w:rFonts w:ascii="Arial" w:hAnsi="Arial" w:cs="Arial"/>
          <w:b/>
          <w:bCs/>
          <w:sz w:val="24"/>
          <w:lang w:val="en-US"/>
        </w:rPr>
      </w:pPr>
      <w:r>
        <w:rPr>
          <w:rFonts w:ascii="Arial" w:hAnsi="Arial" w:cs="Arial"/>
          <w:b/>
          <w:bCs/>
          <w:sz w:val="24"/>
          <w:lang w:val="en-US"/>
        </w:rPr>
        <w:t>3.</w:t>
      </w:r>
      <w:r w:rsidR="00737C71" w:rsidRPr="00507D56">
        <w:rPr>
          <w:rFonts w:ascii="Arial" w:hAnsi="Arial" w:cs="Arial"/>
          <w:b/>
          <w:bCs/>
          <w:sz w:val="24"/>
          <w:lang w:val="en-US"/>
        </w:rPr>
        <w:t xml:space="preserve">4.2 </w:t>
      </w:r>
      <w:r w:rsidR="00507D56" w:rsidRPr="00507D56">
        <w:rPr>
          <w:rFonts w:ascii="Arial" w:hAnsi="Arial" w:cs="Arial"/>
          <w:b/>
          <w:bCs/>
          <w:sz w:val="24"/>
          <w:lang w:val="en-US"/>
        </w:rPr>
        <w:t>Forced Swimming Test</w:t>
      </w:r>
    </w:p>
    <w:p w14:paraId="76D1CD82" w14:textId="77777777" w:rsidR="00737C71" w:rsidRDefault="00737C71" w:rsidP="00737C71">
      <w:pPr>
        <w:jc w:val="both"/>
        <w:rPr>
          <w:rFonts w:ascii="Arial" w:hAnsi="Arial" w:cs="Arial"/>
          <w:sz w:val="24"/>
          <w:lang w:val="en-US"/>
        </w:rPr>
      </w:pPr>
      <w:r w:rsidRPr="00737C71">
        <w:rPr>
          <w:rFonts w:ascii="Arial" w:hAnsi="Arial" w:cs="Arial"/>
          <w:sz w:val="24"/>
          <w:lang w:val="en-US"/>
        </w:rPr>
        <w:t>The approach employed in prior studies. Following the implementation of specific modifications, we executed the forced swimming test by categorizing the mice into five distinct groups, with each group comprising five individuals. Each group received a control, Imipramine hydrochloride, along with three distinct doses of the extract. A cylindrical glass vessel with a height of 45 cm and a diameter of 20 cm was employed for the experimental procedure. The container was filled with water maintained at a temperature of 25±1ºC, reaching a depth of 17 cm. A mouse is classified as immobile when it remains suspended in water, exhibiting minimal motion to maintain its head above the surface. The experiment was performed from 1 P.M. to 3 P.M. for a duration of 5 minutes</w:t>
      </w:r>
      <w:r w:rsidR="00F726D7">
        <w:rPr>
          <w:rFonts w:ascii="Arial" w:hAnsi="Arial" w:cs="Arial"/>
          <w:sz w:val="24"/>
          <w:lang w:val="en-US"/>
        </w:rPr>
        <w:fldChar w:fldCharType="begin" w:fldLock="1"/>
      </w:r>
      <w:r w:rsidR="00C17F63">
        <w:rPr>
          <w:rFonts w:ascii="Arial" w:hAnsi="Arial" w:cs="Arial"/>
          <w:sz w:val="24"/>
          <w:lang w:val="en-US"/>
        </w:rPr>
        <w:instrText>ADDIN CSL_CITATION {"citationItems":[{"id":"ITEM-1","itemData":{"DOI":"10.4236/pp.2019.106023","ISSN":"2157-9423","abstract":"Diclipteracolorata C. B. Clarke, Euphorbia hirta L. and Sorghum bicolor (L.) Moench are reported among plant spe-cies used in Congolese traditional medicine to treat Sickle Cell Disease. These medicinal plants have been investigated for their inhibitory effect on the induced sickling process of red blood cells using Emmel's test. Aqueous plant extracts showed good antisickling activity as revealed by the observed normal biconcave form of sickle red blood cells in anoxic conditions. The calculated radius of treated red blood cells by Euphorbia hirta L., Diclipteracolorata C. B. Clarke and Sorghum biocolor (L.) Moench extracts are 3.31 ± 0.55; 3.34 ± 0.53; 3.17 ± 0.52, respectively. Euphorbia hirta L. is the most active with a normalization rate, more than 70%. The chemical screening performed on these plants showed the presence of anthocyanins which were then extracted. The test carried out with anthocyanin extracts showed that these phenolic compounds have a good antisickling activity and, additionally, possess an anti-hemolytic effect on SS blood. This suggests that the evidenced biological activity of these plants would be due to anthocyanins. The results hence ob-tained justify the use of these plants in Congolese traditional medicine.","author":[{"dropping-particle":"","family":"Rahman","given":"S. M. Mushiur","non-dropping-particle":"","parse-names":false,"suffix":""},{"dropping-particle":"","family":"Rana","given":"Sohel","non-dropping-particle":"","parse-names":false,"suffix":""},{"dropping-particle":"","family":"Islam","given":"Md. Nahinul","non-dropping-particle":"","parse-names":false,"suffix":""},{"dropping-particle":"","family":"Kumer","given":"Alok","non-dropping-particle":"","parse-names":false,"suffix":""},{"dropping-particle":"","family":"Hassan","given":"Md. Mehedi","non-dropping-particle":"","parse-names":false,"suffix":""},{"dropping-particle":"","family":"Biswas","given":"Tonmoy Kumar","non-dropping-particle":"","parse-names":false,"suffix":""},{"dropping-particle":"","family":"Atikullah","given":"Md.","non-dropping-particle":"","parse-names":false,"suffix":""}],"container-title":"Pharmacology &amp;amp; Pharmacy","id":"ITEM-1","issue":"06","issued":{"date-parts":[["2019"]]},"page":"283-297","title":"Evaluation of Anxiolytic and Sedative-Like Activities of Methanolic Extract of &amp;lt;i&amp;gt;Euphorbia hirta&amp;lt;/i&amp;gt; Leaves in Mice","type":"article-journal","volume":"10"},"uris":["http://www.mendeley.com/documents/?uuid=b876dcee-4586-438b-a333-4a75931ba0c4"]}],"mendeley":{"formattedCitation":"(Rahman et al., 2019)","plainTextFormattedCitation":"(Rahman et al., 2019)","previouslyFormattedCitation":"(Rahman et al., 2019)"},"properties":{"noteIndex":0},"schema":"https://github.com/citation-style-language/schema/raw/master/csl-citation.json"}</w:instrText>
      </w:r>
      <w:r w:rsidR="00F726D7">
        <w:rPr>
          <w:rFonts w:ascii="Arial" w:hAnsi="Arial" w:cs="Arial"/>
          <w:sz w:val="24"/>
          <w:lang w:val="en-US"/>
        </w:rPr>
        <w:fldChar w:fldCharType="separate"/>
      </w:r>
      <w:r w:rsidR="00C17F63" w:rsidRPr="00C17F63">
        <w:rPr>
          <w:rFonts w:ascii="Arial" w:hAnsi="Arial" w:cs="Arial"/>
          <w:noProof/>
          <w:sz w:val="24"/>
          <w:lang w:val="en-US"/>
        </w:rPr>
        <w:t>(Rahman et al., 2019)</w:t>
      </w:r>
      <w:r w:rsidR="00F726D7">
        <w:rPr>
          <w:rFonts w:ascii="Arial" w:hAnsi="Arial" w:cs="Arial"/>
          <w:sz w:val="24"/>
          <w:lang w:val="en-US"/>
        </w:rPr>
        <w:fldChar w:fldCharType="end"/>
      </w:r>
      <w:r w:rsidR="00507D56">
        <w:rPr>
          <w:rFonts w:ascii="Arial" w:hAnsi="Arial" w:cs="Arial"/>
          <w:sz w:val="24"/>
          <w:lang w:val="en-US"/>
        </w:rPr>
        <w:t>.</w:t>
      </w:r>
    </w:p>
    <w:p w14:paraId="69C5F507" w14:textId="77777777" w:rsidR="00507D56" w:rsidRPr="00507D56" w:rsidRDefault="00B10D76" w:rsidP="00737C71">
      <w:pPr>
        <w:jc w:val="both"/>
        <w:rPr>
          <w:rFonts w:ascii="Arial" w:hAnsi="Arial" w:cs="Arial"/>
          <w:b/>
          <w:bCs/>
          <w:sz w:val="24"/>
          <w:lang w:val="en-US"/>
        </w:rPr>
      </w:pPr>
      <w:r>
        <w:rPr>
          <w:rFonts w:ascii="Arial" w:hAnsi="Arial" w:cs="Arial"/>
          <w:b/>
          <w:bCs/>
          <w:sz w:val="24"/>
          <w:lang w:val="en-US"/>
        </w:rPr>
        <w:t>3.</w:t>
      </w:r>
      <w:proofErr w:type="gramStart"/>
      <w:r w:rsidR="00507D56" w:rsidRPr="00507D56">
        <w:rPr>
          <w:rFonts w:ascii="Arial" w:hAnsi="Arial" w:cs="Arial"/>
          <w:b/>
          <w:bCs/>
          <w:sz w:val="24"/>
          <w:lang w:val="en-US"/>
        </w:rPr>
        <w:t>5.Analgesic</w:t>
      </w:r>
      <w:proofErr w:type="gramEnd"/>
      <w:r w:rsidR="00507D56" w:rsidRPr="00507D56">
        <w:rPr>
          <w:rFonts w:ascii="Arial" w:hAnsi="Arial" w:cs="Arial"/>
          <w:b/>
          <w:bCs/>
          <w:sz w:val="24"/>
          <w:lang w:val="en-US"/>
        </w:rPr>
        <w:t xml:space="preserve"> Test</w:t>
      </w:r>
    </w:p>
    <w:p w14:paraId="6A55F0AC" w14:textId="77777777" w:rsidR="00E43A14" w:rsidRPr="00E43A14" w:rsidRDefault="00B10D76" w:rsidP="00E43A14">
      <w:pPr>
        <w:jc w:val="both"/>
        <w:rPr>
          <w:rFonts w:ascii="Arial" w:hAnsi="Arial" w:cs="Arial"/>
          <w:b/>
          <w:bCs/>
          <w:sz w:val="24"/>
          <w:lang w:val="en-US"/>
        </w:rPr>
      </w:pPr>
      <w:r>
        <w:rPr>
          <w:rFonts w:ascii="Arial" w:hAnsi="Arial" w:cs="Arial"/>
          <w:b/>
          <w:bCs/>
          <w:sz w:val="24"/>
          <w:lang w:val="en-US"/>
        </w:rPr>
        <w:t>3.</w:t>
      </w:r>
      <w:r w:rsidR="00507D56" w:rsidRPr="00E43A14">
        <w:rPr>
          <w:rFonts w:ascii="Arial" w:hAnsi="Arial" w:cs="Arial"/>
          <w:b/>
          <w:bCs/>
          <w:sz w:val="24"/>
          <w:lang w:val="en-US"/>
        </w:rPr>
        <w:t xml:space="preserve">5.1 </w:t>
      </w:r>
      <w:r w:rsidR="00E43A14" w:rsidRPr="00E43A14">
        <w:rPr>
          <w:rFonts w:ascii="Arial" w:hAnsi="Arial" w:cs="Arial"/>
          <w:b/>
          <w:bCs/>
          <w:sz w:val="24"/>
          <w:lang w:val="en-US"/>
        </w:rPr>
        <w:t>Hot plate test</w:t>
      </w:r>
    </w:p>
    <w:p w14:paraId="7DFEDC3C" w14:textId="77777777" w:rsidR="00E43A14" w:rsidRDefault="00E43A14" w:rsidP="00E43A14">
      <w:pPr>
        <w:jc w:val="both"/>
        <w:rPr>
          <w:rFonts w:ascii="Arial" w:hAnsi="Arial" w:cs="Arial"/>
          <w:sz w:val="24"/>
          <w:lang w:val="en-US"/>
        </w:rPr>
      </w:pPr>
      <w:r w:rsidRPr="00E43A14">
        <w:rPr>
          <w:rFonts w:ascii="Arial" w:hAnsi="Arial" w:cs="Arial"/>
          <w:sz w:val="24"/>
          <w:lang w:val="en-US"/>
        </w:rPr>
        <w:t xml:space="preserve">Employing the established protocol from prior studies, the analgesic efficacy was assessed utilizing the hot-plate test (Eddy's hot plate). A thermostat was calibrated to maintain the temperature at 51°±1° C. Mice of both sexes were divided into four groups, each consisting of five individual mice. Each cohort of mice was placed in a beaker positioned on a hot plate to assess their response to stimuli induced by electrical heat pain. Behaviors such as paw licking were documented as indicators of the animal's response to the painful heat. The response time (in seconds) of each mouse was quantified by recording the duration it took for them to either lick their paws or escape from the beaker. The response time was assessed prior to the </w:t>
      </w:r>
      <w:r w:rsidRPr="00E43A14">
        <w:rPr>
          <w:rFonts w:ascii="Arial" w:hAnsi="Arial" w:cs="Arial"/>
          <w:sz w:val="24"/>
          <w:lang w:val="en-US"/>
        </w:rPr>
        <w:lastRenderedPageBreak/>
        <w:t>administration of any therapeutic intervention. The mean initial response time prior to treatment for each group of mice was calculated based on this assessment. Subsequently, each test mouse received an oral administration of either distilled water (DW), Diclofenac sodium at a dosage of 10 mg/kg body weight, or MEBD at dosages of 200 and 400 mg/kg body weight, respectively. Reaction times were assessed five times at one-hour intervals, commencing 30 minutes post-administration of therapy in each cohort of mice</w:t>
      </w:r>
      <w:r w:rsidR="00F726D7">
        <w:rPr>
          <w:rFonts w:ascii="Arial" w:hAnsi="Arial" w:cs="Arial"/>
          <w:sz w:val="24"/>
          <w:lang w:val="en-US"/>
        </w:rPr>
        <w:fldChar w:fldCharType="begin" w:fldLock="1"/>
      </w:r>
      <w:r w:rsidR="00C17F63">
        <w:rPr>
          <w:rFonts w:ascii="Arial" w:hAnsi="Arial" w:cs="Arial"/>
          <w:sz w:val="24"/>
          <w:lang w:val="en-US"/>
        </w:rPr>
        <w:instrText>ADDIN CSL_CITATION {"citationItems":[{"id":"ITEM-1","itemData":{"DOI":"10.9734/jamps/2023/v25i8630","abstract":"Aims: This study was designed to investigate the effects of leaf extracts of Diospyros malabarica plant (EEDML) on a number of in vitro activities, including antibacterial, anti-inflammatory, cytotoxic, and thrombolytic activities, as well as in vivo analgesic activities.\r Place and Duration of Study: The Laboratory of Phytochemistry and Pharmacology at the Department of Pharmacy and the Laboratory of Microbiology at Stamford University Bangladesh and the Bangladesh Council of Scientific and Industrial Research, Dhaka, conducted this investigation from January 2022 to June 2023.\r Methodology: The study employed the Egg Albumin Protein Denaturation Assay to evaluate the anti-inflammatory effects of various doses. The Disk Diffusion Method was employed for conducting an antimicrobial assay. Different tests were conducted to evaluate the effects of thrombolytic and cytotoxic substances. These tests included the Clot Lysis assay and the Brine Shrimp Lethality Assay. In-vivo analgesic testing was conducted using the hot plate method and the acetic acid-induced writhing test.\r Results: The experimental tests showed significant pain-relieving effects, with inhibition percentages of 46.2% and 66.61% observed at doses of 200 and 400 mg/kg, respectively. The anti-inflammatory test showed a significant inhibition of EEDML at a concentration of 1000μg/mL, with an inhibition rate of 85.45%. The antimicrobial test showed a moderate antimicrobial effect, with a zone of inhibition ranging from 07-15, depending on the microorganism and dosage. The thrombolytic test showed a clot lysis rate of 85.37%, while the cytotoxic test indicated an LC50 value of 1.47.\r Conclusion: EEDML's phytochemical displays strong pharmacological properties, suggesting its potential for drug discovery in diverse areas.","author":[{"dropping-particle":"","family":"Chowdhury","given":"Maria","non-dropping-particle":"","parse-names":false,"suffix":""},{"dropping-particle":"","family":"Sultana","given":"Lamia Akter","non-dropping-particle":"","parse-names":false,"suffix":""},{"dropping-particle":"","family":"Joya","given":"Azijun Chowdhury","non-dropping-particle":"","parse-names":false,"suffix":""},{"dropping-particle":"","family":"Shomudro","given":"Hasib Khan","non-dropping-particle":"","parse-names":false,"suffix":""}],"container-title":"Journal of Advances in Medical and Pharmaceutical Sciences","id":"ITEM-1","issue":"8","issued":{"date-parts":[["2023"]]},"page":"1-11","title":"Pharmacological Investigation of In-vitro Anti-inflammatory, Antimicrobial, Thrombolytic, Cytotoxic and In vivo Analgesic Activities of Ethanolic Leaf Extract of Diospyros malabarica","type":"article-journal","volume":"25"},"uris":["http://www.mendeley.com/documents/?uuid=5851eddc-4ec2-44cb-b05f-38bfe6e1eb82"]}],"mendeley":{"formattedCitation":"(Chowdhury et al., 2023)","plainTextFormattedCitation":"(Chowdhury et al., 2023)","previouslyFormattedCitation":"(Chowdhury et al., 2023)"},"properties":{"noteIndex":0},"schema":"https://github.com/citation-style-language/schema/raw/master/csl-citation.json"}</w:instrText>
      </w:r>
      <w:r w:rsidR="00F726D7">
        <w:rPr>
          <w:rFonts w:ascii="Arial" w:hAnsi="Arial" w:cs="Arial"/>
          <w:sz w:val="24"/>
          <w:lang w:val="en-US"/>
        </w:rPr>
        <w:fldChar w:fldCharType="separate"/>
      </w:r>
      <w:r w:rsidR="00411E5A" w:rsidRPr="00411E5A">
        <w:rPr>
          <w:rFonts w:ascii="Arial" w:hAnsi="Arial" w:cs="Arial"/>
          <w:noProof/>
          <w:sz w:val="24"/>
          <w:lang w:val="en-US"/>
        </w:rPr>
        <w:t>(Chowdhury et al., 2023)</w:t>
      </w:r>
      <w:r w:rsidR="00F726D7">
        <w:rPr>
          <w:rFonts w:ascii="Arial" w:hAnsi="Arial" w:cs="Arial"/>
          <w:sz w:val="24"/>
          <w:lang w:val="en-US"/>
        </w:rPr>
        <w:fldChar w:fldCharType="end"/>
      </w:r>
      <w:r w:rsidRPr="00E43A14">
        <w:rPr>
          <w:rFonts w:ascii="Arial" w:hAnsi="Arial" w:cs="Arial"/>
          <w:sz w:val="24"/>
          <w:lang w:val="en-US"/>
        </w:rPr>
        <w:t>.</w:t>
      </w:r>
    </w:p>
    <w:p w14:paraId="3553DD43" w14:textId="77777777" w:rsidR="00E43A14" w:rsidRPr="00E43A14" w:rsidRDefault="00E43A14" w:rsidP="00E43A14">
      <w:pPr>
        <w:jc w:val="both"/>
        <w:rPr>
          <w:rFonts w:ascii="Arial" w:hAnsi="Arial" w:cs="Arial"/>
          <w:sz w:val="24"/>
          <w:lang w:val="en-US"/>
        </w:rPr>
      </w:pPr>
      <w:r w:rsidRPr="00E43A14">
        <w:rPr>
          <w:rFonts w:ascii="Arial" w:hAnsi="Arial" w:cs="Arial"/>
          <w:sz w:val="24"/>
          <w:lang w:val="en-US"/>
        </w:rPr>
        <w:t xml:space="preserve">Percent Analgesic Score = </w:t>
      </w:r>
      <m:oMath>
        <m:f>
          <m:fPr>
            <m:ctrlPr>
              <w:rPr>
                <w:rFonts w:ascii="Cambria Math" w:hAnsi="Cambria Math" w:cs="Arial"/>
                <w:i/>
                <w:sz w:val="24"/>
                <w:lang w:val="en-US"/>
              </w:rPr>
            </m:ctrlPr>
          </m:fPr>
          <m:num>
            <m:r>
              <w:rPr>
                <w:rFonts w:ascii="Cambria Math" w:hAnsi="Cambria Math" w:cs="Arial"/>
                <w:sz w:val="24"/>
                <w:lang w:val="en-US"/>
              </w:rPr>
              <m:t>Ta-Tb</m:t>
            </m:r>
          </m:num>
          <m:den>
            <m:r>
              <w:rPr>
                <w:rFonts w:ascii="Cambria Math" w:hAnsi="Cambria Math" w:cs="Arial"/>
                <w:sz w:val="24"/>
                <w:lang w:val="en-US"/>
              </w:rPr>
              <m:t>Ta</m:t>
            </m:r>
          </m:den>
        </m:f>
      </m:oMath>
      <w:r w:rsidRPr="00E43A14">
        <w:rPr>
          <w:rFonts w:ascii="Arial" w:hAnsi="Arial" w:cs="Arial"/>
          <w:sz w:val="24"/>
          <w:lang w:val="en-US"/>
        </w:rPr>
        <w:t xml:space="preserve"> X100.</w:t>
      </w:r>
    </w:p>
    <w:p w14:paraId="6D5C29BB" w14:textId="77777777" w:rsidR="00E43A14" w:rsidRPr="00E43A14" w:rsidRDefault="00E43A14" w:rsidP="00E43A14">
      <w:pPr>
        <w:jc w:val="both"/>
        <w:rPr>
          <w:rFonts w:ascii="Arial" w:hAnsi="Arial" w:cs="Arial"/>
          <w:sz w:val="24"/>
          <w:lang w:val="en-US"/>
        </w:rPr>
      </w:pPr>
      <w:r w:rsidRPr="00E43A14">
        <w:rPr>
          <w:rFonts w:ascii="Arial" w:hAnsi="Arial" w:cs="Arial"/>
          <w:sz w:val="24"/>
          <w:lang w:val="en-US"/>
        </w:rPr>
        <w:t>Time (in seconds) to react (before medication administration): Tb; Time (in seconds) to react (after drug administration): Ta.</w:t>
      </w:r>
    </w:p>
    <w:p w14:paraId="03B9D556" w14:textId="77777777" w:rsidR="00507D56" w:rsidRPr="00E43A14" w:rsidRDefault="00B10D76" w:rsidP="00E43A14">
      <w:pPr>
        <w:jc w:val="both"/>
        <w:rPr>
          <w:rFonts w:ascii="Arial" w:hAnsi="Arial" w:cs="Arial"/>
          <w:b/>
          <w:bCs/>
          <w:sz w:val="24"/>
          <w:lang w:val="en-US"/>
        </w:rPr>
      </w:pPr>
      <w:r>
        <w:rPr>
          <w:rFonts w:ascii="Arial" w:hAnsi="Arial" w:cs="Arial"/>
          <w:b/>
          <w:bCs/>
          <w:sz w:val="24"/>
          <w:lang w:val="en-US"/>
        </w:rPr>
        <w:t>3.</w:t>
      </w:r>
      <w:r w:rsidR="00E43A14" w:rsidRPr="00E43A14">
        <w:rPr>
          <w:rFonts w:ascii="Arial" w:hAnsi="Arial" w:cs="Arial"/>
          <w:b/>
          <w:bCs/>
          <w:sz w:val="24"/>
          <w:lang w:val="en-US"/>
        </w:rPr>
        <w:t>5.2 Formalin induced antinociception test</w:t>
      </w:r>
    </w:p>
    <w:p w14:paraId="0B39F506" w14:textId="77777777" w:rsidR="00E43A14" w:rsidRPr="00E43A14" w:rsidRDefault="00E43A14" w:rsidP="00E43A14">
      <w:pPr>
        <w:jc w:val="both"/>
        <w:rPr>
          <w:rFonts w:ascii="Arial" w:hAnsi="Arial" w:cs="Arial"/>
          <w:sz w:val="24"/>
          <w:lang w:val="en-US"/>
        </w:rPr>
      </w:pPr>
      <w:r w:rsidRPr="00E43A14">
        <w:rPr>
          <w:rFonts w:ascii="Arial" w:hAnsi="Arial" w:cs="Arial"/>
          <w:sz w:val="24"/>
          <w:lang w:val="en-US"/>
        </w:rPr>
        <w:t xml:space="preserve">The formalin test is a reliable and accurate model of nociception because it results in two different phases of increased licking activity that are linked to different nociceptive pathways. There are two stages of licking after the formalin injection: the early stage lasts for the first five minutes, and the late stage happens 15 to 45 minutes </w:t>
      </w:r>
      <w:proofErr w:type="spellStart"/>
      <w:proofErr w:type="gramStart"/>
      <w:r w:rsidRPr="00E43A14">
        <w:rPr>
          <w:rFonts w:ascii="Arial" w:hAnsi="Arial" w:cs="Arial"/>
          <w:sz w:val="24"/>
          <w:lang w:val="en-US"/>
        </w:rPr>
        <w:t>later.As</w:t>
      </w:r>
      <w:proofErr w:type="spellEnd"/>
      <w:proofErr w:type="gramEnd"/>
      <w:r w:rsidRPr="00E43A14">
        <w:rPr>
          <w:rFonts w:ascii="Arial" w:hAnsi="Arial" w:cs="Arial"/>
          <w:sz w:val="24"/>
          <w:lang w:val="en-US"/>
        </w:rPr>
        <w:t xml:space="preserve"> previously stated, a subcutaneous injection of formalin (20μL of a 2.5% solution) was administered to the dorsal surface of the right hind paw. A 45-degree angled mirror was then employed, and the animals were placed on a glass surface under a glass funnel [16]. The nociceptors directly caused the first phase of the pain response time (licking time), which lasted 0 to 5 minutes, and the second phase, which lasted 15 to 45 minutes and was brought on by the release of inflammatory mediators and resulted in inflammatory </w:t>
      </w:r>
      <w:proofErr w:type="spellStart"/>
      <w:proofErr w:type="gramStart"/>
      <w:r w:rsidRPr="00E43A14">
        <w:rPr>
          <w:rFonts w:ascii="Arial" w:hAnsi="Arial" w:cs="Arial"/>
          <w:sz w:val="24"/>
          <w:lang w:val="en-US"/>
        </w:rPr>
        <w:t>pain.They</w:t>
      </w:r>
      <w:proofErr w:type="spellEnd"/>
      <w:proofErr w:type="gramEnd"/>
      <w:r w:rsidRPr="00E43A14">
        <w:rPr>
          <w:rFonts w:ascii="Arial" w:hAnsi="Arial" w:cs="Arial"/>
          <w:sz w:val="24"/>
          <w:lang w:val="en-US"/>
        </w:rPr>
        <w:t xml:space="preserve"> were divided into five groups (n = 5) of animals at random. The animals in the negative control group received 0.5 mL of ordinary </w:t>
      </w:r>
      <w:proofErr w:type="spellStart"/>
      <w:proofErr w:type="gramStart"/>
      <w:r w:rsidRPr="00E43A14">
        <w:rPr>
          <w:rFonts w:ascii="Arial" w:hAnsi="Arial" w:cs="Arial"/>
          <w:sz w:val="24"/>
          <w:lang w:val="en-US"/>
        </w:rPr>
        <w:t>saline.Morphine</w:t>
      </w:r>
      <w:proofErr w:type="spellEnd"/>
      <w:proofErr w:type="gramEnd"/>
      <w:r w:rsidRPr="00E43A14">
        <w:rPr>
          <w:rFonts w:ascii="Arial" w:hAnsi="Arial" w:cs="Arial"/>
          <w:sz w:val="24"/>
          <w:lang w:val="en-US"/>
        </w:rPr>
        <w:t xml:space="preserve"> (10 mg/kg, </w:t>
      </w:r>
      <w:proofErr w:type="spellStart"/>
      <w:r w:rsidRPr="00E43A14">
        <w:rPr>
          <w:rFonts w:ascii="Arial" w:hAnsi="Arial" w:cs="Arial"/>
          <w:sz w:val="24"/>
          <w:lang w:val="en-US"/>
        </w:rPr>
        <w:t>Temad</w:t>
      </w:r>
      <w:proofErr w:type="spellEnd"/>
      <w:r w:rsidRPr="00E43A14">
        <w:rPr>
          <w:rFonts w:ascii="Arial" w:hAnsi="Arial" w:cs="Arial"/>
          <w:sz w:val="24"/>
          <w:lang w:val="en-US"/>
        </w:rPr>
        <w:t xml:space="preserve"> Co., Iran) was administered to the animals in the positive control group. The other groups received MEBD at different doses (250 and 500 mg/kg). The injections were all given intraperitoneally half an hour before to the test</w:t>
      </w:r>
      <w:r w:rsidR="00F726D7">
        <w:rPr>
          <w:rFonts w:ascii="Arial" w:hAnsi="Arial" w:cs="Arial"/>
          <w:sz w:val="24"/>
          <w:lang w:val="en-US"/>
        </w:rPr>
        <w:fldChar w:fldCharType="begin" w:fldLock="1"/>
      </w:r>
      <w:r w:rsidR="00677993">
        <w:rPr>
          <w:rFonts w:ascii="Arial" w:hAnsi="Arial" w:cs="Arial"/>
          <w:sz w:val="24"/>
          <w:lang w:val="en-US"/>
        </w:rPr>
        <w:instrText>ADDIN CSL_CITATION {"citationItems":[{"id":"ITEM-1","itemData":{"DOI":"10.9734/jabb/2024/v27i7974","abstract":"The present research investigated Ludwigia adscendens crude methanol extract invitro anticancer anthelminthic, and invivo anti-nociceptive, antidiabetic and toxicological properties. The coarsely dried plant powder was extracted using methanol. The methanolic extract (MELA) was further tested for anticancer, anthelminthic, anti-nociceptive, antidiabetic and toxicological activities. Cell Viability Assay was used for anticancer testing, and the earthworm assay was used for anthelminthic testing using different concentrations. Antinociceptive tests were done on Swiss albino mice at 200 and 400 mg/kg utilizing a hot plate, acetic acid induced writhing &amp; formalin-induced paw licking tests. Antidiabetic test was done using Blood Glucose Determination test using the dose of 150 mg/kg and 300 mg/kg. Acute toxicity was tested utilizing cinnamon oil-induced toxicological tests at 3000, 5000 and 7000 mg/kg. The MELA demonstrated 39.16% inhibition at 1000µg/mL in the Cell Viability Assay. The earthworm died after 6 minutes and 4 seconds in the 100 mg/mL anthelminthic test, whereas Albendazole killed it in 4 minutes and 20 seconds. Hot plate test results were substantial. The formalin-induced nociception test demonstrated strong inhibition rates of 79.54% in the early phase and 74.54% in the late phase at 400 mg/kg, compared to 62.99% and 68.18% for diclofenac sodium. Acetic acid-induced writhing test showed 77.66% of pain inhibition where’s Diclofenac sodium showed 79.61%. MELA inhibited blood glucose level very significantly compared to the standard Glibenclamide. In toxicological testing, 7000 mg/kg killed mice 2/5, whereas cinnamon oil killed 5/5 within 24 hours. The study shows that MELA has moderate anticancer, significant anthelmintic, anti-nociceptive, antidiabetic and mild toxicological properties. They may support the plant's use in conventional medicine to relieve pain, minimize drug intoxication, and prevent cancer, control diabetes and parasitic disorders.","author":[{"dropping-particle":"","family":"Ritu","given":"Tajmim Jahan","non-dropping-particle":"","parse-names":false,"suffix":""},{"dropping-particle":"","family":"Shomudro","given":"Hasib Khan","non-dropping-particle":"","parse-names":false,"suffix":""},{"dropping-particle":"","family":"Noor","given":"Samia","non-dropping-particle":"","parse-names":false,"suffix":""},{"dropping-particle":"","family":"Tahsin","given":"Homaira","non-dropping-particle":"","parse-names":false,"suffix":""},{"dropping-particle":"","family":"Uddin","given":"Md. Salah","non-dropping-particle":"","parse-names":false,"suffix":""}],"container-title":"Journal of Advances in Biology &amp; Biotechnology","id":"ITEM-1","issue":"7","issued":{"date-parts":[["2024"]]},"page":"140-155","title":"Evaluation of Anticancer, Anthelminthic, Anti-Nociceptive, Antidiabetic and Toxicological Investigation of Ludwigia adscendens","type":"article-journal","volume":"27"},"uris":["http://www.mendeley.com/documents/?uuid=ced8da7f-99a4-4ae6-b3aa-bc6e88835892"]}],"mendeley":{"formattedCitation":"(Ritu et al., 2024)","plainTextFormattedCitation":"(Ritu et al., 2024)","previouslyFormattedCitation":"(Ritu et al., 2024)"},"properties":{"noteIndex":0},"schema":"https://github.com/citation-style-language/schema/raw/master/csl-citation.json"}</w:instrText>
      </w:r>
      <w:r w:rsidR="00F726D7">
        <w:rPr>
          <w:rFonts w:ascii="Arial" w:hAnsi="Arial" w:cs="Arial"/>
          <w:sz w:val="24"/>
          <w:lang w:val="en-US"/>
        </w:rPr>
        <w:fldChar w:fldCharType="separate"/>
      </w:r>
      <w:r w:rsidR="00C17F63" w:rsidRPr="00C17F63">
        <w:rPr>
          <w:rFonts w:ascii="Arial" w:hAnsi="Arial" w:cs="Arial"/>
          <w:noProof/>
          <w:sz w:val="24"/>
          <w:lang w:val="en-US"/>
        </w:rPr>
        <w:t>(Ritu et al., 2024)</w:t>
      </w:r>
      <w:r w:rsidR="00F726D7">
        <w:rPr>
          <w:rFonts w:ascii="Arial" w:hAnsi="Arial" w:cs="Arial"/>
          <w:sz w:val="24"/>
          <w:lang w:val="en-US"/>
        </w:rPr>
        <w:fldChar w:fldCharType="end"/>
      </w:r>
      <w:r w:rsidRPr="00E43A14">
        <w:rPr>
          <w:rFonts w:ascii="Arial" w:hAnsi="Arial" w:cs="Arial"/>
          <w:sz w:val="24"/>
          <w:lang w:val="en-US"/>
        </w:rPr>
        <w:t>.</w:t>
      </w:r>
    </w:p>
    <w:p w14:paraId="4979A42C" w14:textId="77777777" w:rsidR="00E43A14" w:rsidRPr="00B10D76" w:rsidRDefault="00B10D76" w:rsidP="00E43A14">
      <w:pPr>
        <w:jc w:val="both"/>
        <w:rPr>
          <w:rFonts w:ascii="Arial" w:hAnsi="Arial" w:cs="Arial"/>
          <w:b/>
          <w:bCs/>
          <w:sz w:val="24"/>
          <w:lang w:val="en-US"/>
        </w:rPr>
      </w:pPr>
      <w:r w:rsidRPr="00B10D76">
        <w:rPr>
          <w:rFonts w:ascii="Arial" w:hAnsi="Arial" w:cs="Arial"/>
          <w:b/>
          <w:bCs/>
          <w:sz w:val="24"/>
          <w:lang w:val="en-US"/>
        </w:rPr>
        <w:t xml:space="preserve">4. Statistical Analysis </w:t>
      </w:r>
    </w:p>
    <w:p w14:paraId="5A9C0047" w14:textId="77777777" w:rsidR="00B10D76" w:rsidRDefault="00B10D76" w:rsidP="00E43A14">
      <w:pPr>
        <w:jc w:val="both"/>
        <w:rPr>
          <w:rFonts w:ascii="Arial" w:hAnsi="Arial" w:cs="Arial"/>
          <w:sz w:val="24"/>
          <w:lang w:val="en-US"/>
        </w:rPr>
      </w:pPr>
      <w:r w:rsidRPr="00B10D76">
        <w:rPr>
          <w:rFonts w:ascii="Arial" w:hAnsi="Arial" w:cs="Arial"/>
          <w:sz w:val="24"/>
          <w:lang w:val="en-US"/>
        </w:rPr>
        <w:t>The experimental data was replicated three times, and the mean and standard deviation were used to represent the results. Excel is commonly utilized for conducting statistical analyses.</w:t>
      </w:r>
    </w:p>
    <w:p w14:paraId="2DC38AE5" w14:textId="77777777" w:rsidR="00521115" w:rsidRPr="00521115" w:rsidRDefault="00521115" w:rsidP="00E43A14">
      <w:pPr>
        <w:jc w:val="both"/>
        <w:rPr>
          <w:rFonts w:ascii="Arial" w:hAnsi="Arial" w:cs="Arial"/>
          <w:b/>
          <w:bCs/>
          <w:sz w:val="24"/>
          <w:lang w:val="en-US"/>
        </w:rPr>
      </w:pPr>
      <w:r w:rsidRPr="00521115">
        <w:rPr>
          <w:rFonts w:ascii="Arial" w:hAnsi="Arial" w:cs="Arial"/>
          <w:b/>
          <w:bCs/>
          <w:sz w:val="24"/>
          <w:lang w:val="en-US"/>
        </w:rPr>
        <w:t>5. Results</w:t>
      </w:r>
    </w:p>
    <w:p w14:paraId="41B44AA2" w14:textId="77777777" w:rsidR="00521115" w:rsidRPr="00521115" w:rsidRDefault="00521115" w:rsidP="00E43A14">
      <w:pPr>
        <w:jc w:val="both"/>
        <w:rPr>
          <w:rFonts w:ascii="Arial" w:hAnsi="Arial" w:cs="Arial"/>
          <w:b/>
          <w:bCs/>
          <w:sz w:val="24"/>
          <w:lang w:val="en-US"/>
        </w:rPr>
      </w:pPr>
      <w:r w:rsidRPr="00521115">
        <w:rPr>
          <w:rFonts w:ascii="Arial" w:hAnsi="Arial" w:cs="Arial"/>
          <w:b/>
          <w:bCs/>
          <w:sz w:val="24"/>
          <w:lang w:val="en-US"/>
        </w:rPr>
        <w:t>5.1 Anticancer activity</w:t>
      </w:r>
    </w:p>
    <w:p w14:paraId="3CA001B8" w14:textId="50983503" w:rsidR="00714E5D" w:rsidRDefault="00714E5D" w:rsidP="00714E5D">
      <w:pPr>
        <w:jc w:val="both"/>
        <w:rPr>
          <w:rFonts w:ascii="Arial" w:hAnsi="Arial" w:cs="Arial"/>
          <w:sz w:val="24"/>
          <w:lang w:val="en-US"/>
        </w:rPr>
      </w:pPr>
      <w:r w:rsidRPr="00714E5D">
        <w:rPr>
          <w:rFonts w:ascii="Arial" w:hAnsi="Arial" w:cs="Arial"/>
          <w:sz w:val="24"/>
          <w:lang w:val="en-US"/>
        </w:rPr>
        <w:t xml:space="preserve">The alcoholic extract (MEBD) of the plant materials underwent standardization </w:t>
      </w:r>
      <w:r w:rsidR="00C13D42">
        <w:rPr>
          <w:rFonts w:ascii="Arial" w:hAnsi="Arial" w:cs="Arial"/>
          <w:sz w:val="24"/>
          <w:lang w:val="en-US"/>
        </w:rPr>
        <w:t xml:space="preserve">using </w:t>
      </w:r>
      <w:r w:rsidR="00C13D42" w:rsidRPr="00C13D42">
        <w:rPr>
          <w:rFonts w:ascii="Arial" w:hAnsi="Arial" w:cs="Arial"/>
          <w:sz w:val="24"/>
          <w:highlight w:val="yellow"/>
          <w:lang w:val="en-US"/>
        </w:rPr>
        <w:t>cell viability assay</w:t>
      </w:r>
      <w:r w:rsidR="00C13D42">
        <w:rPr>
          <w:rFonts w:ascii="Arial" w:hAnsi="Arial" w:cs="Arial"/>
          <w:sz w:val="24"/>
          <w:lang w:val="en-US"/>
        </w:rPr>
        <w:t xml:space="preserve"> </w:t>
      </w:r>
      <w:r w:rsidRPr="00714E5D">
        <w:rPr>
          <w:rFonts w:ascii="Arial" w:hAnsi="Arial" w:cs="Arial"/>
          <w:sz w:val="24"/>
          <w:lang w:val="en-US"/>
        </w:rPr>
        <w:t xml:space="preserve">through established methodologies, and its efficacy as an anticancer agent was assessed using HeLa cell lines. The methanolic extract derived from the </w:t>
      </w:r>
      <w:proofErr w:type="spellStart"/>
      <w:r w:rsidRPr="00714E5D">
        <w:rPr>
          <w:rFonts w:ascii="Arial" w:hAnsi="Arial" w:cs="Arial"/>
          <w:i/>
          <w:iCs/>
          <w:sz w:val="24"/>
          <w:lang w:val="en-US"/>
        </w:rPr>
        <w:t>Boerhavia</w:t>
      </w:r>
      <w:proofErr w:type="spellEnd"/>
      <w:r w:rsidR="00AB56EE">
        <w:rPr>
          <w:rFonts w:ascii="Arial" w:hAnsi="Arial" w:cs="Arial"/>
          <w:i/>
          <w:iCs/>
          <w:sz w:val="24"/>
          <w:lang w:val="en-US"/>
        </w:rPr>
        <w:t xml:space="preserve"> </w:t>
      </w:r>
      <w:proofErr w:type="spellStart"/>
      <w:r w:rsidRPr="00714E5D">
        <w:rPr>
          <w:rFonts w:ascii="Arial" w:hAnsi="Arial" w:cs="Arial"/>
          <w:i/>
          <w:iCs/>
          <w:sz w:val="24"/>
          <w:lang w:val="en-US"/>
        </w:rPr>
        <w:t>diffusa</w:t>
      </w:r>
      <w:proofErr w:type="spellEnd"/>
      <w:r w:rsidRPr="00714E5D">
        <w:rPr>
          <w:rFonts w:ascii="Arial" w:hAnsi="Arial" w:cs="Arial"/>
          <w:sz w:val="24"/>
          <w:lang w:val="en-US"/>
        </w:rPr>
        <w:t xml:space="preserve"> plant exhibited noteworthy outcomes, as presented in Table 1.</w:t>
      </w:r>
    </w:p>
    <w:p w14:paraId="616EB3A7" w14:textId="77777777" w:rsidR="00E61152" w:rsidRDefault="00E61152" w:rsidP="00714E5D">
      <w:pPr>
        <w:jc w:val="both"/>
        <w:rPr>
          <w:rFonts w:ascii="Arial" w:hAnsi="Arial" w:cs="Arial"/>
          <w:sz w:val="24"/>
          <w:lang w:val="en-US"/>
        </w:rPr>
      </w:pPr>
    </w:p>
    <w:p w14:paraId="6EEEF644" w14:textId="77777777" w:rsidR="00E61152" w:rsidRPr="00714E5D" w:rsidRDefault="00E61152" w:rsidP="00714E5D">
      <w:pPr>
        <w:jc w:val="both"/>
        <w:rPr>
          <w:rFonts w:ascii="Arial" w:hAnsi="Arial" w:cs="Arial"/>
          <w:sz w:val="24"/>
          <w:lang w:val="en-US"/>
        </w:rPr>
      </w:pPr>
    </w:p>
    <w:p w14:paraId="606A7E6B" w14:textId="77777777" w:rsidR="00521115" w:rsidRDefault="00714E5D" w:rsidP="00714E5D">
      <w:pPr>
        <w:jc w:val="center"/>
        <w:rPr>
          <w:rFonts w:ascii="Arial" w:hAnsi="Arial" w:cs="Arial"/>
          <w:sz w:val="24"/>
          <w:lang w:val="en-US"/>
        </w:rPr>
      </w:pPr>
      <w:r w:rsidRPr="0008054C">
        <w:rPr>
          <w:rFonts w:ascii="Arial" w:hAnsi="Arial" w:cs="Arial"/>
          <w:b/>
          <w:bCs/>
        </w:rPr>
        <w:lastRenderedPageBreak/>
        <w:t xml:space="preserve">Table </w:t>
      </w:r>
      <w:r>
        <w:rPr>
          <w:rFonts w:ascii="Arial" w:hAnsi="Arial" w:cs="Arial"/>
          <w:b/>
          <w:bCs/>
        </w:rPr>
        <w:t>1</w:t>
      </w:r>
      <w:r w:rsidRPr="0008054C">
        <w:rPr>
          <w:rFonts w:ascii="Arial" w:hAnsi="Arial" w:cs="Arial"/>
          <w:b/>
          <w:bCs/>
        </w:rPr>
        <w:t>. Anticancer activity of</w:t>
      </w:r>
      <w:r>
        <w:rPr>
          <w:rFonts w:ascii="Arial" w:hAnsi="Arial" w:cs="Arial"/>
          <w:b/>
          <w:bCs/>
        </w:rPr>
        <w:t xml:space="preserve"> MEBD</w:t>
      </w:r>
    </w:p>
    <w:tbl>
      <w:tblPr>
        <w:tblStyle w:val="TableGrid"/>
        <w:tblW w:w="49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507"/>
        <w:gridCol w:w="3860"/>
        <w:gridCol w:w="2478"/>
      </w:tblGrid>
      <w:tr w:rsidR="00714E5D" w:rsidRPr="0008054C" w14:paraId="18EB4CDF" w14:textId="77777777" w:rsidTr="00914936">
        <w:trPr>
          <w:trHeight w:val="20"/>
          <w:jc w:val="center"/>
        </w:trPr>
        <w:tc>
          <w:tcPr>
            <w:tcW w:w="1417" w:type="pct"/>
            <w:tcBorders>
              <w:top w:val="single" w:sz="4" w:space="0" w:color="auto"/>
              <w:bottom w:val="single" w:sz="4" w:space="0" w:color="auto"/>
            </w:tcBorders>
          </w:tcPr>
          <w:p w14:paraId="7080C87A" w14:textId="77777777" w:rsidR="00714E5D" w:rsidRPr="0008054C" w:rsidRDefault="00494954" w:rsidP="00914936">
            <w:pPr>
              <w:contextualSpacing/>
              <w:rPr>
                <w:rFonts w:ascii="Arial" w:eastAsia="Yu Mincho" w:hAnsi="Arial" w:cs="Arial"/>
                <w:b/>
                <w:bCs/>
              </w:rPr>
            </w:pPr>
            <w:r>
              <w:rPr>
                <w:rFonts w:ascii="Arial" w:eastAsia="Yu Mincho" w:hAnsi="Arial" w:cs="Arial"/>
                <w:b/>
                <w:bCs/>
              </w:rPr>
              <w:t>Concentration (µm</w:t>
            </w:r>
            <w:r w:rsidR="00714E5D" w:rsidRPr="0008054C">
              <w:rPr>
                <w:rFonts w:ascii="Arial" w:eastAsia="Yu Mincho" w:hAnsi="Arial" w:cs="Arial"/>
                <w:b/>
                <w:bCs/>
              </w:rPr>
              <w:t>/mL)</w:t>
            </w:r>
          </w:p>
        </w:tc>
        <w:tc>
          <w:tcPr>
            <w:tcW w:w="2182" w:type="pct"/>
            <w:tcBorders>
              <w:top w:val="single" w:sz="4" w:space="0" w:color="auto"/>
              <w:bottom w:val="single" w:sz="4" w:space="0" w:color="auto"/>
            </w:tcBorders>
          </w:tcPr>
          <w:p w14:paraId="1797E8F5" w14:textId="77777777" w:rsidR="00714E5D" w:rsidRPr="0008054C" w:rsidRDefault="00714E5D" w:rsidP="00914936">
            <w:pPr>
              <w:contextualSpacing/>
              <w:rPr>
                <w:rFonts w:ascii="Arial" w:eastAsia="Yu Mincho" w:hAnsi="Arial" w:cs="Arial"/>
                <w:b/>
                <w:bCs/>
              </w:rPr>
            </w:pPr>
            <w:r w:rsidRPr="0008054C">
              <w:rPr>
                <w:rFonts w:ascii="Arial" w:eastAsia="Yu Mincho" w:hAnsi="Arial" w:cs="Arial"/>
                <w:b/>
                <w:bCs/>
              </w:rPr>
              <w:t>Survival of the cell (%)</w:t>
            </w:r>
          </w:p>
        </w:tc>
        <w:tc>
          <w:tcPr>
            <w:tcW w:w="1401" w:type="pct"/>
            <w:tcBorders>
              <w:top w:val="single" w:sz="4" w:space="0" w:color="auto"/>
              <w:bottom w:val="single" w:sz="4" w:space="0" w:color="auto"/>
            </w:tcBorders>
          </w:tcPr>
          <w:p w14:paraId="39D0C390" w14:textId="77777777" w:rsidR="00714E5D" w:rsidRPr="0008054C" w:rsidRDefault="00714E5D" w:rsidP="00914936">
            <w:pPr>
              <w:contextualSpacing/>
              <w:rPr>
                <w:rFonts w:ascii="Arial" w:eastAsia="Yu Mincho" w:hAnsi="Arial" w:cs="Arial"/>
                <w:b/>
                <w:bCs/>
              </w:rPr>
            </w:pPr>
            <w:r w:rsidRPr="0008054C">
              <w:rPr>
                <w:rFonts w:ascii="Arial" w:eastAsia="Yu Mincho" w:hAnsi="Arial" w:cs="Arial"/>
                <w:b/>
                <w:bCs/>
              </w:rPr>
              <w:t>% of Inhibition</w:t>
            </w:r>
          </w:p>
        </w:tc>
      </w:tr>
      <w:tr w:rsidR="00714E5D" w:rsidRPr="0008054C" w14:paraId="2C511B8C" w14:textId="77777777" w:rsidTr="00914936">
        <w:trPr>
          <w:trHeight w:val="20"/>
          <w:jc w:val="center"/>
        </w:trPr>
        <w:tc>
          <w:tcPr>
            <w:tcW w:w="1417" w:type="pct"/>
            <w:tcBorders>
              <w:top w:val="single" w:sz="4" w:space="0" w:color="auto"/>
            </w:tcBorders>
          </w:tcPr>
          <w:p w14:paraId="15F0CD86" w14:textId="77777777" w:rsidR="00714E5D" w:rsidRPr="0008054C" w:rsidRDefault="00714E5D" w:rsidP="00914936">
            <w:pPr>
              <w:contextualSpacing/>
              <w:rPr>
                <w:rFonts w:ascii="Arial" w:eastAsia="Yu Mincho" w:hAnsi="Arial" w:cs="Arial"/>
              </w:rPr>
            </w:pPr>
            <w:r w:rsidRPr="0008054C">
              <w:rPr>
                <w:rFonts w:ascii="Arial" w:eastAsia="Yu Mincho" w:hAnsi="Arial" w:cs="Arial"/>
              </w:rPr>
              <w:t>125</w:t>
            </w:r>
          </w:p>
        </w:tc>
        <w:tc>
          <w:tcPr>
            <w:tcW w:w="2182" w:type="pct"/>
            <w:tcBorders>
              <w:top w:val="single" w:sz="4" w:space="0" w:color="auto"/>
            </w:tcBorders>
          </w:tcPr>
          <w:p w14:paraId="52093E3C" w14:textId="77777777" w:rsidR="00714E5D" w:rsidRPr="0008054C" w:rsidRDefault="00714E5D" w:rsidP="00914936">
            <w:pPr>
              <w:contextualSpacing/>
              <w:rPr>
                <w:rFonts w:ascii="Arial" w:eastAsia="Yu Mincho" w:hAnsi="Arial" w:cs="Arial"/>
              </w:rPr>
            </w:pPr>
            <w:r w:rsidRPr="0008054C">
              <w:rPr>
                <w:rFonts w:ascii="Arial" w:eastAsia="Yu Mincho" w:hAnsi="Arial" w:cs="Arial"/>
              </w:rPr>
              <w:t>85.69</w:t>
            </w:r>
          </w:p>
        </w:tc>
        <w:tc>
          <w:tcPr>
            <w:tcW w:w="1401" w:type="pct"/>
            <w:tcBorders>
              <w:top w:val="single" w:sz="4" w:space="0" w:color="auto"/>
            </w:tcBorders>
          </w:tcPr>
          <w:p w14:paraId="47A5523F" w14:textId="77777777" w:rsidR="00714E5D" w:rsidRPr="0008054C" w:rsidRDefault="00714E5D" w:rsidP="00914936">
            <w:pPr>
              <w:contextualSpacing/>
              <w:rPr>
                <w:rFonts w:ascii="Arial" w:eastAsia="Yu Mincho" w:hAnsi="Arial" w:cs="Arial"/>
              </w:rPr>
            </w:pPr>
            <w:r w:rsidRPr="0008054C">
              <w:rPr>
                <w:rFonts w:ascii="Arial" w:eastAsia="Yu Mincho" w:hAnsi="Arial" w:cs="Arial"/>
              </w:rPr>
              <w:t>14.3</w:t>
            </w:r>
            <w:r w:rsidR="008C5E75">
              <w:rPr>
                <w:rFonts w:ascii="Arial" w:eastAsia="Yu Mincho" w:hAnsi="Arial" w:cs="Arial"/>
              </w:rPr>
              <w:t>1</w:t>
            </w:r>
          </w:p>
        </w:tc>
      </w:tr>
      <w:tr w:rsidR="00714E5D" w:rsidRPr="0008054C" w14:paraId="2D499F21" w14:textId="77777777" w:rsidTr="00914936">
        <w:trPr>
          <w:trHeight w:val="20"/>
          <w:jc w:val="center"/>
        </w:trPr>
        <w:tc>
          <w:tcPr>
            <w:tcW w:w="1417" w:type="pct"/>
          </w:tcPr>
          <w:p w14:paraId="3E9A8979" w14:textId="77777777" w:rsidR="00714E5D" w:rsidRPr="0008054C" w:rsidRDefault="00714E5D" w:rsidP="00914936">
            <w:pPr>
              <w:contextualSpacing/>
              <w:rPr>
                <w:rFonts w:ascii="Arial" w:eastAsia="Yu Mincho" w:hAnsi="Arial" w:cs="Arial"/>
              </w:rPr>
            </w:pPr>
            <w:r w:rsidRPr="0008054C">
              <w:rPr>
                <w:rFonts w:ascii="Arial" w:eastAsia="Yu Mincho" w:hAnsi="Arial" w:cs="Arial"/>
              </w:rPr>
              <w:t>250</w:t>
            </w:r>
          </w:p>
        </w:tc>
        <w:tc>
          <w:tcPr>
            <w:tcW w:w="2182" w:type="pct"/>
          </w:tcPr>
          <w:p w14:paraId="4998C8F7" w14:textId="77777777" w:rsidR="00714E5D" w:rsidRPr="0008054C" w:rsidRDefault="00714E5D" w:rsidP="00914936">
            <w:pPr>
              <w:contextualSpacing/>
              <w:rPr>
                <w:rFonts w:ascii="Arial" w:eastAsia="Yu Mincho" w:hAnsi="Arial" w:cs="Arial"/>
              </w:rPr>
            </w:pPr>
            <w:r w:rsidRPr="0008054C">
              <w:rPr>
                <w:rFonts w:ascii="Arial" w:eastAsia="Yu Mincho" w:hAnsi="Arial" w:cs="Arial"/>
              </w:rPr>
              <w:t>76.94</w:t>
            </w:r>
          </w:p>
        </w:tc>
        <w:tc>
          <w:tcPr>
            <w:tcW w:w="1401" w:type="pct"/>
          </w:tcPr>
          <w:p w14:paraId="056275B0" w14:textId="77777777" w:rsidR="00714E5D" w:rsidRPr="0008054C" w:rsidRDefault="00714E5D" w:rsidP="00914936">
            <w:pPr>
              <w:contextualSpacing/>
              <w:rPr>
                <w:rFonts w:ascii="Arial" w:eastAsia="Yu Mincho" w:hAnsi="Arial" w:cs="Arial"/>
              </w:rPr>
            </w:pPr>
            <w:r w:rsidRPr="0008054C">
              <w:rPr>
                <w:rFonts w:ascii="Arial" w:eastAsia="Yu Mincho" w:hAnsi="Arial" w:cs="Arial"/>
              </w:rPr>
              <w:t>2</w:t>
            </w:r>
            <w:r w:rsidR="008C5E75">
              <w:rPr>
                <w:rFonts w:ascii="Arial" w:eastAsia="Yu Mincho" w:hAnsi="Arial" w:cs="Arial"/>
              </w:rPr>
              <w:t>3</w:t>
            </w:r>
            <w:r w:rsidRPr="0008054C">
              <w:rPr>
                <w:rFonts w:ascii="Arial" w:eastAsia="Yu Mincho" w:hAnsi="Arial" w:cs="Arial"/>
              </w:rPr>
              <w:t>.06</w:t>
            </w:r>
          </w:p>
        </w:tc>
      </w:tr>
      <w:tr w:rsidR="00714E5D" w:rsidRPr="0008054C" w14:paraId="1A356D02" w14:textId="77777777" w:rsidTr="00914936">
        <w:trPr>
          <w:trHeight w:val="20"/>
          <w:jc w:val="center"/>
        </w:trPr>
        <w:tc>
          <w:tcPr>
            <w:tcW w:w="1417" w:type="pct"/>
          </w:tcPr>
          <w:p w14:paraId="7C6A85AF" w14:textId="77777777" w:rsidR="00714E5D" w:rsidRPr="0008054C" w:rsidRDefault="00714E5D" w:rsidP="00914936">
            <w:pPr>
              <w:contextualSpacing/>
              <w:rPr>
                <w:rFonts w:ascii="Arial" w:eastAsia="Yu Mincho" w:hAnsi="Arial" w:cs="Arial"/>
              </w:rPr>
            </w:pPr>
            <w:r w:rsidRPr="0008054C">
              <w:rPr>
                <w:rFonts w:ascii="Arial" w:eastAsia="Yu Mincho" w:hAnsi="Arial" w:cs="Arial"/>
              </w:rPr>
              <w:t>500</w:t>
            </w:r>
          </w:p>
        </w:tc>
        <w:tc>
          <w:tcPr>
            <w:tcW w:w="2182" w:type="pct"/>
          </w:tcPr>
          <w:p w14:paraId="1D977C78" w14:textId="77777777" w:rsidR="00714E5D" w:rsidRPr="0008054C" w:rsidRDefault="00714E5D" w:rsidP="00914936">
            <w:pPr>
              <w:contextualSpacing/>
              <w:rPr>
                <w:rFonts w:ascii="Arial" w:eastAsia="Yu Mincho" w:hAnsi="Arial" w:cs="Arial"/>
              </w:rPr>
            </w:pPr>
            <w:r w:rsidRPr="0008054C">
              <w:rPr>
                <w:rFonts w:ascii="Arial" w:eastAsia="Yu Mincho" w:hAnsi="Arial" w:cs="Arial"/>
              </w:rPr>
              <w:t>69.63</w:t>
            </w:r>
          </w:p>
        </w:tc>
        <w:tc>
          <w:tcPr>
            <w:tcW w:w="1401" w:type="pct"/>
          </w:tcPr>
          <w:p w14:paraId="578EBEAA" w14:textId="77777777" w:rsidR="00714E5D" w:rsidRPr="0008054C" w:rsidRDefault="008C5E75" w:rsidP="008C5E75">
            <w:pPr>
              <w:contextualSpacing/>
              <w:rPr>
                <w:rFonts w:ascii="Arial" w:eastAsia="Yu Mincho" w:hAnsi="Arial" w:cs="Arial"/>
              </w:rPr>
            </w:pPr>
            <w:r>
              <w:rPr>
                <w:rFonts w:ascii="Arial" w:eastAsia="Yu Mincho" w:hAnsi="Arial" w:cs="Arial"/>
              </w:rPr>
              <w:t>30</w:t>
            </w:r>
            <w:r w:rsidR="00714E5D" w:rsidRPr="0008054C">
              <w:rPr>
                <w:rFonts w:ascii="Arial" w:eastAsia="Yu Mincho" w:hAnsi="Arial" w:cs="Arial"/>
              </w:rPr>
              <w:t>.37</w:t>
            </w:r>
          </w:p>
        </w:tc>
      </w:tr>
      <w:tr w:rsidR="00714E5D" w:rsidRPr="0008054C" w14:paraId="0948E82E" w14:textId="77777777" w:rsidTr="00914936">
        <w:trPr>
          <w:trHeight w:val="20"/>
          <w:jc w:val="center"/>
        </w:trPr>
        <w:tc>
          <w:tcPr>
            <w:tcW w:w="1417" w:type="pct"/>
          </w:tcPr>
          <w:p w14:paraId="0EA392C3" w14:textId="77777777" w:rsidR="00714E5D" w:rsidRPr="0008054C" w:rsidRDefault="00714E5D" w:rsidP="00914936">
            <w:pPr>
              <w:contextualSpacing/>
              <w:rPr>
                <w:rFonts w:ascii="Arial" w:eastAsia="Yu Mincho" w:hAnsi="Arial" w:cs="Arial"/>
              </w:rPr>
            </w:pPr>
            <w:r w:rsidRPr="0008054C">
              <w:rPr>
                <w:rFonts w:ascii="Arial" w:eastAsia="Yu Mincho" w:hAnsi="Arial" w:cs="Arial"/>
              </w:rPr>
              <w:t>1000</w:t>
            </w:r>
          </w:p>
        </w:tc>
        <w:tc>
          <w:tcPr>
            <w:tcW w:w="2182" w:type="pct"/>
          </w:tcPr>
          <w:p w14:paraId="3441FCAF" w14:textId="77777777" w:rsidR="00714E5D" w:rsidRPr="0008054C" w:rsidRDefault="00714E5D" w:rsidP="00914936">
            <w:pPr>
              <w:contextualSpacing/>
              <w:rPr>
                <w:rFonts w:ascii="Arial" w:eastAsia="Yu Mincho" w:hAnsi="Arial" w:cs="Arial"/>
              </w:rPr>
            </w:pPr>
            <w:r w:rsidRPr="0008054C">
              <w:rPr>
                <w:rFonts w:ascii="Arial" w:eastAsia="Yu Mincho" w:hAnsi="Arial" w:cs="Arial"/>
              </w:rPr>
              <w:t>60.84</w:t>
            </w:r>
          </w:p>
        </w:tc>
        <w:tc>
          <w:tcPr>
            <w:tcW w:w="1401" w:type="pct"/>
          </w:tcPr>
          <w:p w14:paraId="6287A81A" w14:textId="77777777" w:rsidR="00714E5D" w:rsidRPr="0008054C" w:rsidRDefault="008C5E75" w:rsidP="00914936">
            <w:pPr>
              <w:contextualSpacing/>
              <w:rPr>
                <w:rFonts w:ascii="Arial" w:eastAsia="Yu Mincho" w:hAnsi="Arial" w:cs="Arial"/>
              </w:rPr>
            </w:pPr>
            <w:bookmarkStart w:id="4" w:name="_Hlk166572227"/>
            <w:r>
              <w:rPr>
                <w:rFonts w:ascii="Arial" w:eastAsia="Yu Mincho" w:hAnsi="Arial" w:cs="Arial"/>
              </w:rPr>
              <w:t>3</w:t>
            </w:r>
            <w:r w:rsidR="00714E5D" w:rsidRPr="0008054C">
              <w:rPr>
                <w:rFonts w:ascii="Arial" w:eastAsia="Yu Mincho" w:hAnsi="Arial" w:cs="Arial"/>
              </w:rPr>
              <w:t>9.16</w:t>
            </w:r>
            <w:bookmarkEnd w:id="4"/>
          </w:p>
        </w:tc>
      </w:tr>
    </w:tbl>
    <w:p w14:paraId="4CFFF46B" w14:textId="77777777" w:rsidR="005B3FD0" w:rsidRDefault="005B3FD0" w:rsidP="00E43A14">
      <w:pPr>
        <w:jc w:val="both"/>
      </w:pPr>
    </w:p>
    <w:p w14:paraId="12508032" w14:textId="77777777" w:rsidR="00714E5D" w:rsidRDefault="005B3FD0" w:rsidP="00E43A14">
      <w:pPr>
        <w:jc w:val="both"/>
        <w:rPr>
          <w:rFonts w:ascii="Arial" w:hAnsi="Arial" w:cs="Arial"/>
          <w:sz w:val="24"/>
          <w:lang w:val="en-US"/>
        </w:rPr>
      </w:pPr>
      <w:r>
        <w:t>The data presented in Table 1 illustrates the anticancer activity of MEBD, showing a concentration-dependent increase in the percentage of cell inhibition. Figure 1</w:t>
      </w:r>
      <w:r w:rsidR="004F068F">
        <w:t>a</w:t>
      </w:r>
      <w:r>
        <w:t xml:space="preserve"> further visualizes this trend.</w:t>
      </w:r>
    </w:p>
    <w:p w14:paraId="3552B10B" w14:textId="77777777" w:rsidR="00507AA8" w:rsidRDefault="00507AA8" w:rsidP="00507AA8">
      <w:pPr>
        <w:jc w:val="center"/>
        <w:rPr>
          <w:rStyle w:val="Strong"/>
        </w:rPr>
      </w:pPr>
      <w:r w:rsidRPr="005A25DE">
        <w:rPr>
          <w:noProof/>
          <w:lang w:val="en-US" w:bidi="te-IN"/>
        </w:rPr>
        <w:drawing>
          <wp:inline distT="0" distB="0" distL="0" distR="0" wp14:anchorId="21F0C245" wp14:editId="2C5994CE">
            <wp:extent cx="3822589" cy="2599496"/>
            <wp:effectExtent l="0" t="0" r="6985" b="0"/>
            <wp:docPr id="7" name="Picture 7" descr="G:\Dhanda\Navid Rafi\figs\download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Dhanda\Navid Rafi\figs\download (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8770" cy="2610500"/>
                    </a:xfrm>
                    <a:prstGeom prst="rect">
                      <a:avLst/>
                    </a:prstGeom>
                    <a:noFill/>
                    <a:ln>
                      <a:noFill/>
                    </a:ln>
                  </pic:spPr>
                </pic:pic>
              </a:graphicData>
            </a:graphic>
          </wp:inline>
        </w:drawing>
      </w:r>
    </w:p>
    <w:p w14:paraId="405EB349" w14:textId="77777777" w:rsidR="00507AA8" w:rsidRPr="00507AA8" w:rsidRDefault="00507AA8" w:rsidP="00507AA8">
      <w:pPr>
        <w:jc w:val="both"/>
        <w:rPr>
          <w:sz w:val="20"/>
        </w:rPr>
      </w:pPr>
      <w:r w:rsidRPr="00507AA8">
        <w:rPr>
          <w:rStyle w:val="Strong"/>
          <w:b w:val="0"/>
          <w:sz w:val="20"/>
        </w:rPr>
        <w:t xml:space="preserve">Fig. </w:t>
      </w:r>
      <w:r w:rsidR="005B3FD0">
        <w:rPr>
          <w:rStyle w:val="Strong"/>
          <w:b w:val="0"/>
          <w:sz w:val="20"/>
        </w:rPr>
        <w:t>1</w:t>
      </w:r>
      <w:r w:rsidR="004F068F">
        <w:rPr>
          <w:rStyle w:val="Strong"/>
          <w:b w:val="0"/>
          <w:sz w:val="20"/>
        </w:rPr>
        <w:t>a</w:t>
      </w:r>
      <w:r w:rsidRPr="00507AA8">
        <w:rPr>
          <w:b/>
          <w:sz w:val="20"/>
        </w:rPr>
        <w:t>:</w:t>
      </w:r>
      <w:r w:rsidRPr="00507AA8">
        <w:rPr>
          <w:sz w:val="20"/>
        </w:rPr>
        <w:t xml:space="preserve"> Anticancer activity of MEBD at varying concentrations, showing cell survival and inhibition percentages.</w:t>
      </w:r>
    </w:p>
    <w:p w14:paraId="0C10CB85" w14:textId="77777777" w:rsidR="00714E5D" w:rsidRPr="00507AA8" w:rsidRDefault="00507AA8" w:rsidP="00507AA8">
      <w:pPr>
        <w:tabs>
          <w:tab w:val="left" w:pos="916"/>
        </w:tabs>
      </w:pPr>
      <w:r w:rsidRPr="00507AA8">
        <w:rPr>
          <w:rStyle w:val="Strong"/>
          <w:b w:val="0"/>
        </w:rPr>
        <w:t xml:space="preserve">Figure </w:t>
      </w:r>
      <w:r w:rsidR="005B3FD0">
        <w:rPr>
          <w:rStyle w:val="Strong"/>
          <w:b w:val="0"/>
        </w:rPr>
        <w:t>1</w:t>
      </w:r>
      <w:r>
        <w:t xml:space="preserve"> illustrates the anticancer activity of MEBD, showing the percentage of inhibition at varying concentrations. The results indicate a concentration-dependent increase in inhibition, with the highest suppression observed at 1000 µm/</w:t>
      </w:r>
      <w:proofErr w:type="spellStart"/>
      <w:r>
        <w:t>mL.</w:t>
      </w:r>
      <w:proofErr w:type="spellEnd"/>
    </w:p>
    <w:p w14:paraId="7B5C522E" w14:textId="711A802F" w:rsidR="00714E5D" w:rsidRDefault="000158D7" w:rsidP="00714E5D">
      <w:pPr>
        <w:jc w:val="center"/>
        <w:rPr>
          <w:rFonts w:ascii="Arial" w:hAnsi="Arial" w:cs="Arial"/>
          <w:sz w:val="24"/>
          <w:lang w:val="en-US"/>
        </w:rPr>
      </w:pPr>
      <w:r>
        <w:rPr>
          <w:noProof/>
        </w:rPr>
        <w:drawing>
          <wp:inline distT="0" distB="0" distL="0" distR="0" wp14:anchorId="506C2005" wp14:editId="68C748E1">
            <wp:extent cx="5007610" cy="2441113"/>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3319" cy="2443896"/>
                    </a:xfrm>
                    <a:prstGeom prst="rect">
                      <a:avLst/>
                    </a:prstGeom>
                    <a:noFill/>
                    <a:ln>
                      <a:noFill/>
                    </a:ln>
                  </pic:spPr>
                </pic:pic>
              </a:graphicData>
            </a:graphic>
          </wp:inline>
        </w:drawing>
      </w:r>
    </w:p>
    <w:p w14:paraId="1FC996A4" w14:textId="77777777" w:rsidR="00C47EF8" w:rsidRPr="005B3FD0" w:rsidRDefault="00C47EF8" w:rsidP="00714E5D">
      <w:pPr>
        <w:jc w:val="center"/>
        <w:rPr>
          <w:rFonts w:ascii="Arial" w:hAnsi="Arial" w:cs="Arial"/>
          <w:sz w:val="20"/>
          <w:lang w:val="en-US"/>
        </w:rPr>
      </w:pPr>
      <w:r w:rsidRPr="005B3FD0">
        <w:rPr>
          <w:rFonts w:ascii="Arial" w:hAnsi="Arial" w:cs="Arial"/>
          <w:sz w:val="20"/>
          <w:lang w:val="en-US"/>
        </w:rPr>
        <w:t>Figure</w:t>
      </w:r>
      <w:r w:rsidR="005B3FD0">
        <w:rPr>
          <w:rFonts w:ascii="Arial" w:hAnsi="Arial" w:cs="Arial"/>
          <w:sz w:val="20"/>
          <w:lang w:val="en-US"/>
        </w:rPr>
        <w:t>.</w:t>
      </w:r>
      <w:r w:rsidR="004F068F">
        <w:rPr>
          <w:rFonts w:ascii="Arial" w:hAnsi="Arial" w:cs="Arial"/>
          <w:sz w:val="20"/>
          <w:lang w:val="en-US"/>
        </w:rPr>
        <w:t>1b</w:t>
      </w:r>
      <w:r w:rsidRPr="005B3FD0">
        <w:rPr>
          <w:rFonts w:ascii="Arial" w:hAnsi="Arial" w:cs="Arial"/>
          <w:sz w:val="20"/>
          <w:lang w:val="en-US"/>
        </w:rPr>
        <w:t xml:space="preserve">. Morphological changes at </w:t>
      </w:r>
      <w:r w:rsidR="008A606C">
        <w:rPr>
          <w:rFonts w:ascii="Arial" w:hAnsi="Arial" w:cs="Arial"/>
          <w:sz w:val="20"/>
          <w:lang w:val="en-US"/>
        </w:rPr>
        <w:t xml:space="preserve">MEBD concentrations (125–1000 </w:t>
      </w:r>
      <w:proofErr w:type="spellStart"/>
      <w:r w:rsidR="008A606C">
        <w:rPr>
          <w:rFonts w:ascii="Arial" w:hAnsi="Arial" w:cs="Arial"/>
          <w:sz w:val="20"/>
          <w:lang w:val="en-US"/>
        </w:rPr>
        <w:t>μm</w:t>
      </w:r>
      <w:proofErr w:type="spellEnd"/>
      <w:r w:rsidRPr="005B3FD0">
        <w:rPr>
          <w:rFonts w:ascii="Arial" w:hAnsi="Arial" w:cs="Arial"/>
          <w:sz w:val="20"/>
          <w:lang w:val="en-US"/>
        </w:rPr>
        <w:t>/mL).</w:t>
      </w:r>
    </w:p>
    <w:p w14:paraId="13A4C2A9" w14:textId="77777777" w:rsidR="00714E5D" w:rsidRDefault="00714E5D" w:rsidP="00E43A14">
      <w:pPr>
        <w:jc w:val="both"/>
        <w:rPr>
          <w:rFonts w:ascii="Arial" w:hAnsi="Arial" w:cs="Arial"/>
          <w:sz w:val="24"/>
          <w:lang w:val="en-US"/>
        </w:rPr>
      </w:pPr>
      <w:r w:rsidRPr="00714E5D">
        <w:rPr>
          <w:rFonts w:ascii="Arial" w:hAnsi="Arial" w:cs="Arial"/>
          <w:sz w:val="24"/>
          <w:lang w:val="en-US"/>
        </w:rPr>
        <w:t xml:space="preserve">Figure </w:t>
      </w:r>
      <w:r w:rsidR="004F068F" w:rsidRPr="004F068F">
        <w:rPr>
          <w:rFonts w:ascii="Arial" w:hAnsi="Arial" w:cs="Arial"/>
          <w:sz w:val="24"/>
          <w:lang w:val="en-US"/>
        </w:rPr>
        <w:t>1b</w:t>
      </w:r>
      <w:r w:rsidRPr="00714E5D">
        <w:rPr>
          <w:rFonts w:ascii="Arial" w:hAnsi="Arial" w:cs="Arial"/>
          <w:sz w:val="24"/>
          <w:lang w:val="en-US"/>
        </w:rPr>
        <w:t xml:space="preserve"> presents a phase contrast image that illustrates significant and clear morphological changes. The serial numbers 1, 2, 3, and 4 denote the concentrations of MEBD, which vary from 125</w:t>
      </w:r>
      <w:r w:rsidR="008A606C">
        <w:rPr>
          <w:rFonts w:ascii="Arial" w:hAnsi="Arial" w:cs="Arial"/>
          <w:sz w:val="24"/>
          <w:lang w:val="en-US"/>
        </w:rPr>
        <w:t xml:space="preserve"> to 1000 </w:t>
      </w:r>
      <w:proofErr w:type="spellStart"/>
      <w:r w:rsidR="008A606C">
        <w:rPr>
          <w:rFonts w:ascii="Arial" w:hAnsi="Arial" w:cs="Arial"/>
          <w:sz w:val="24"/>
          <w:lang w:val="en-US"/>
        </w:rPr>
        <w:t>μm</w:t>
      </w:r>
      <w:proofErr w:type="spellEnd"/>
      <w:r w:rsidRPr="00714E5D">
        <w:rPr>
          <w:rFonts w:ascii="Arial" w:hAnsi="Arial" w:cs="Arial"/>
          <w:sz w:val="24"/>
          <w:lang w:val="en-US"/>
        </w:rPr>
        <w:t>/mL, as outlined in Table 1.</w:t>
      </w:r>
    </w:p>
    <w:p w14:paraId="32CC7FE6" w14:textId="77777777" w:rsidR="00714E5D" w:rsidRDefault="00714E5D" w:rsidP="00E43A14">
      <w:pPr>
        <w:jc w:val="both"/>
        <w:rPr>
          <w:rFonts w:ascii="Arial" w:hAnsi="Arial" w:cs="Arial"/>
          <w:sz w:val="24"/>
          <w:lang w:val="en-US"/>
        </w:rPr>
      </w:pPr>
    </w:p>
    <w:p w14:paraId="6A535E5D" w14:textId="77777777" w:rsidR="00714E5D" w:rsidRPr="00714E5D" w:rsidRDefault="00714E5D" w:rsidP="00E43A14">
      <w:pPr>
        <w:jc w:val="both"/>
        <w:rPr>
          <w:rFonts w:ascii="Arial" w:hAnsi="Arial" w:cs="Arial"/>
          <w:b/>
          <w:bCs/>
          <w:sz w:val="24"/>
          <w:lang w:val="en-US"/>
        </w:rPr>
      </w:pPr>
      <w:r w:rsidRPr="00714E5D">
        <w:rPr>
          <w:rFonts w:ascii="Arial" w:hAnsi="Arial" w:cs="Arial"/>
          <w:b/>
          <w:bCs/>
          <w:sz w:val="24"/>
          <w:lang w:val="en-US"/>
        </w:rPr>
        <w:t>5.2 Antidiabetic Test</w:t>
      </w:r>
    </w:p>
    <w:p w14:paraId="1B57FE63" w14:textId="77777777" w:rsidR="00714E5D" w:rsidRDefault="00714E5D" w:rsidP="00E43A14">
      <w:pPr>
        <w:jc w:val="both"/>
        <w:rPr>
          <w:rFonts w:ascii="Arial" w:hAnsi="Arial" w:cs="Arial"/>
          <w:sz w:val="24"/>
          <w:lang w:val="en-US"/>
        </w:rPr>
      </w:pPr>
      <w:r w:rsidRPr="00714E5D">
        <w:rPr>
          <w:rFonts w:ascii="Arial" w:hAnsi="Arial" w:cs="Arial"/>
          <w:sz w:val="24"/>
          <w:lang w:val="en-US"/>
        </w:rPr>
        <w:t>The study presents strong findings indicating that MEBD, especially at dosages of 150 mg/kg and 300 mg/kg, markedly reduces blood glucose concentrations in diabetic murine model</w:t>
      </w:r>
      <w:r w:rsidR="006D7EA1">
        <w:rPr>
          <w:rFonts w:ascii="Arial" w:hAnsi="Arial" w:cs="Arial"/>
          <w:sz w:val="24"/>
          <w:lang w:val="en-US"/>
        </w:rPr>
        <w:t>s. The data presented in Table 2</w:t>
      </w:r>
      <w:r w:rsidRPr="00714E5D">
        <w:rPr>
          <w:rFonts w:ascii="Arial" w:hAnsi="Arial" w:cs="Arial"/>
          <w:sz w:val="24"/>
          <w:lang w:val="en-US"/>
        </w:rPr>
        <w:t xml:space="preserve"> indicate strong evidence that MEBD may function as a viable therapeutic agent for the management of diabetes. A higher dosage of MEBD appears to exert a more significant impact on the condition.</w:t>
      </w:r>
    </w:p>
    <w:p w14:paraId="19C6E553" w14:textId="77777777" w:rsidR="00BD500A" w:rsidRPr="00BD500A" w:rsidRDefault="006D7EA1" w:rsidP="00BD500A">
      <w:pPr>
        <w:jc w:val="center"/>
        <w:rPr>
          <w:rFonts w:ascii="Arial" w:eastAsia="Yu Mincho" w:hAnsi="Arial" w:cs="Arial"/>
          <w:kern w:val="2"/>
          <w:lang w:val="en-US" w:eastAsia="ja-JP"/>
        </w:rPr>
      </w:pPr>
      <w:r>
        <w:rPr>
          <w:rFonts w:ascii="Arial" w:eastAsia="Yu Mincho" w:hAnsi="Arial" w:cs="Arial"/>
          <w:b/>
          <w:bCs/>
          <w:kern w:val="2"/>
          <w:lang w:val="en-US" w:eastAsia="ja-JP"/>
        </w:rPr>
        <w:t>Table 2</w:t>
      </w:r>
      <w:r w:rsidR="00D4780D">
        <w:rPr>
          <w:rFonts w:ascii="Arial" w:eastAsia="Yu Mincho" w:hAnsi="Arial" w:cs="Arial"/>
          <w:b/>
          <w:bCs/>
          <w:kern w:val="2"/>
          <w:lang w:val="en-US" w:eastAsia="ja-JP"/>
        </w:rPr>
        <w:t>. Effect of MEBD</w:t>
      </w:r>
      <w:r w:rsidR="00BD500A" w:rsidRPr="00BD500A">
        <w:rPr>
          <w:rFonts w:ascii="Arial" w:eastAsia="Yu Mincho" w:hAnsi="Arial" w:cs="Arial"/>
          <w:b/>
          <w:bCs/>
          <w:kern w:val="2"/>
          <w:lang w:val="en-US" w:eastAsia="ja-JP"/>
        </w:rPr>
        <w:t xml:space="preserve"> on Rats Blood Glucose for Antidiabetic Activity</w:t>
      </w:r>
    </w:p>
    <w:tbl>
      <w:tblPr>
        <w:tblStyle w:val="TableGrid"/>
        <w:tblW w:w="49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839"/>
        <w:gridCol w:w="65"/>
        <w:gridCol w:w="1610"/>
        <w:gridCol w:w="126"/>
        <w:gridCol w:w="1548"/>
        <w:gridCol w:w="186"/>
        <w:gridCol w:w="1488"/>
        <w:gridCol w:w="246"/>
        <w:gridCol w:w="1429"/>
        <w:gridCol w:w="308"/>
      </w:tblGrid>
      <w:tr w:rsidR="00BD500A" w:rsidRPr="00BD500A" w14:paraId="324E0C17" w14:textId="77777777" w:rsidTr="00BD500A">
        <w:trPr>
          <w:trHeight w:val="20"/>
          <w:jc w:val="center"/>
        </w:trPr>
        <w:tc>
          <w:tcPr>
            <w:tcW w:w="1077" w:type="pct"/>
            <w:gridSpan w:val="2"/>
            <w:vMerge w:val="restart"/>
            <w:tcBorders>
              <w:top w:val="single" w:sz="4" w:space="0" w:color="auto"/>
              <w:bottom w:val="single" w:sz="4" w:space="0" w:color="auto"/>
            </w:tcBorders>
          </w:tcPr>
          <w:p w14:paraId="7E584DF5" w14:textId="77777777" w:rsidR="00BD500A" w:rsidRPr="00BD500A" w:rsidRDefault="00BD500A" w:rsidP="00BD500A">
            <w:pPr>
              <w:contextualSpacing/>
              <w:rPr>
                <w:rFonts w:ascii="Arial" w:eastAsia="Yu Mincho" w:hAnsi="Arial" w:cs="Arial"/>
                <w:b/>
                <w:bCs/>
              </w:rPr>
            </w:pPr>
            <w:r w:rsidRPr="00BD500A">
              <w:rPr>
                <w:rFonts w:ascii="Arial" w:eastAsia="Yu Mincho" w:hAnsi="Arial" w:cs="Arial"/>
                <w:b/>
                <w:bCs/>
              </w:rPr>
              <w:t>Test Samples</w:t>
            </w:r>
          </w:p>
        </w:tc>
        <w:tc>
          <w:tcPr>
            <w:tcW w:w="3923" w:type="pct"/>
            <w:gridSpan w:val="8"/>
            <w:tcBorders>
              <w:top w:val="single" w:sz="4" w:space="0" w:color="auto"/>
              <w:bottom w:val="single" w:sz="4" w:space="0" w:color="auto"/>
            </w:tcBorders>
          </w:tcPr>
          <w:p w14:paraId="1CB3A1AC" w14:textId="77777777" w:rsidR="00BD500A" w:rsidRPr="00BD500A" w:rsidRDefault="00BD500A" w:rsidP="00BD500A">
            <w:pPr>
              <w:contextualSpacing/>
              <w:jc w:val="center"/>
              <w:rPr>
                <w:rFonts w:ascii="Arial" w:eastAsia="Yu Mincho" w:hAnsi="Arial" w:cs="Arial"/>
                <w:b/>
                <w:bCs/>
              </w:rPr>
            </w:pPr>
            <w:r w:rsidRPr="00BD500A">
              <w:rPr>
                <w:rFonts w:ascii="Arial" w:eastAsia="Yu Mincho" w:hAnsi="Arial" w:cs="Arial"/>
                <w:b/>
                <w:bCs/>
              </w:rPr>
              <w:t>Blood Glucose Levels at Varying Times (</w:t>
            </w:r>
            <w:proofErr w:type="spellStart"/>
            <w:r w:rsidRPr="00BD500A">
              <w:rPr>
                <w:rFonts w:ascii="Arial" w:eastAsia="Yu Mincho" w:hAnsi="Arial" w:cs="Arial"/>
                <w:b/>
                <w:bCs/>
              </w:rPr>
              <w:t>mmoles</w:t>
            </w:r>
            <w:proofErr w:type="spellEnd"/>
            <w:r w:rsidRPr="00BD500A">
              <w:rPr>
                <w:rFonts w:ascii="Arial" w:eastAsia="Yu Mincho" w:hAnsi="Arial" w:cs="Arial"/>
                <w:b/>
                <w:bCs/>
              </w:rPr>
              <w:t>/L)</w:t>
            </w:r>
          </w:p>
        </w:tc>
      </w:tr>
      <w:tr w:rsidR="00BD500A" w:rsidRPr="00BD500A" w14:paraId="4A574BCA" w14:textId="77777777" w:rsidTr="00BD500A">
        <w:trPr>
          <w:trHeight w:val="20"/>
          <w:jc w:val="center"/>
        </w:trPr>
        <w:tc>
          <w:tcPr>
            <w:tcW w:w="1077" w:type="pct"/>
            <w:gridSpan w:val="2"/>
            <w:vMerge/>
            <w:tcBorders>
              <w:top w:val="single" w:sz="4" w:space="0" w:color="auto"/>
              <w:bottom w:val="single" w:sz="4" w:space="0" w:color="auto"/>
            </w:tcBorders>
          </w:tcPr>
          <w:p w14:paraId="7732A891" w14:textId="77777777" w:rsidR="00BD500A" w:rsidRPr="00BD500A" w:rsidRDefault="00BD500A" w:rsidP="00BD500A">
            <w:pPr>
              <w:contextualSpacing/>
              <w:rPr>
                <w:rFonts w:ascii="Arial" w:eastAsia="Yu Mincho" w:hAnsi="Arial" w:cs="Arial"/>
              </w:rPr>
            </w:pPr>
          </w:p>
        </w:tc>
        <w:tc>
          <w:tcPr>
            <w:tcW w:w="981" w:type="pct"/>
            <w:gridSpan w:val="2"/>
            <w:tcBorders>
              <w:top w:val="single" w:sz="4" w:space="0" w:color="auto"/>
              <w:bottom w:val="single" w:sz="4" w:space="0" w:color="auto"/>
            </w:tcBorders>
          </w:tcPr>
          <w:p w14:paraId="6D79B730" w14:textId="77777777" w:rsidR="00BD500A" w:rsidRPr="00BD500A" w:rsidRDefault="00BD500A" w:rsidP="00BD500A">
            <w:pPr>
              <w:contextualSpacing/>
              <w:rPr>
                <w:rFonts w:ascii="Arial" w:eastAsia="Yu Mincho" w:hAnsi="Arial" w:cs="Arial"/>
                <w:b/>
                <w:bCs/>
              </w:rPr>
            </w:pPr>
            <w:r w:rsidRPr="00BD500A">
              <w:rPr>
                <w:rFonts w:ascii="Arial" w:eastAsia="Yu Mincho" w:hAnsi="Arial" w:cs="Arial"/>
                <w:b/>
                <w:bCs/>
              </w:rPr>
              <w:t>½ hour</w:t>
            </w:r>
          </w:p>
        </w:tc>
        <w:tc>
          <w:tcPr>
            <w:tcW w:w="980" w:type="pct"/>
            <w:gridSpan w:val="2"/>
            <w:tcBorders>
              <w:top w:val="single" w:sz="4" w:space="0" w:color="auto"/>
              <w:bottom w:val="single" w:sz="4" w:space="0" w:color="auto"/>
            </w:tcBorders>
          </w:tcPr>
          <w:p w14:paraId="717597A8" w14:textId="77777777" w:rsidR="00BD500A" w:rsidRPr="00BD500A" w:rsidRDefault="00BD500A" w:rsidP="00BD500A">
            <w:pPr>
              <w:contextualSpacing/>
              <w:rPr>
                <w:rFonts w:ascii="Arial" w:eastAsia="Yu Mincho" w:hAnsi="Arial" w:cs="Arial"/>
                <w:b/>
                <w:bCs/>
              </w:rPr>
            </w:pPr>
            <w:r w:rsidRPr="00BD500A">
              <w:rPr>
                <w:rFonts w:ascii="Arial" w:eastAsia="Yu Mincho" w:hAnsi="Arial" w:cs="Arial"/>
                <w:b/>
                <w:bCs/>
              </w:rPr>
              <w:t>1 hour</w:t>
            </w:r>
          </w:p>
        </w:tc>
        <w:tc>
          <w:tcPr>
            <w:tcW w:w="980" w:type="pct"/>
            <w:gridSpan w:val="2"/>
            <w:tcBorders>
              <w:top w:val="single" w:sz="4" w:space="0" w:color="auto"/>
              <w:bottom w:val="single" w:sz="4" w:space="0" w:color="auto"/>
            </w:tcBorders>
          </w:tcPr>
          <w:p w14:paraId="47480589" w14:textId="77777777" w:rsidR="00BD500A" w:rsidRPr="00BD500A" w:rsidRDefault="00BD500A" w:rsidP="00BD500A">
            <w:pPr>
              <w:contextualSpacing/>
              <w:rPr>
                <w:rFonts w:ascii="Arial" w:eastAsia="Yu Mincho" w:hAnsi="Arial" w:cs="Arial"/>
                <w:b/>
                <w:bCs/>
              </w:rPr>
            </w:pPr>
            <w:r w:rsidRPr="00BD500A">
              <w:rPr>
                <w:rFonts w:ascii="Arial" w:eastAsia="Yu Mincho" w:hAnsi="Arial" w:cs="Arial"/>
                <w:b/>
                <w:bCs/>
              </w:rPr>
              <w:t>2 hours</w:t>
            </w:r>
          </w:p>
        </w:tc>
        <w:tc>
          <w:tcPr>
            <w:tcW w:w="981" w:type="pct"/>
            <w:gridSpan w:val="2"/>
            <w:tcBorders>
              <w:top w:val="single" w:sz="4" w:space="0" w:color="auto"/>
              <w:bottom w:val="single" w:sz="4" w:space="0" w:color="auto"/>
            </w:tcBorders>
          </w:tcPr>
          <w:p w14:paraId="31093C33" w14:textId="77777777" w:rsidR="00BD500A" w:rsidRPr="00BD500A" w:rsidRDefault="00BD500A" w:rsidP="00BD500A">
            <w:pPr>
              <w:contextualSpacing/>
              <w:rPr>
                <w:rFonts w:ascii="Arial" w:eastAsia="Yu Mincho" w:hAnsi="Arial" w:cs="Arial"/>
                <w:b/>
                <w:bCs/>
              </w:rPr>
            </w:pPr>
            <w:r w:rsidRPr="00BD500A">
              <w:rPr>
                <w:rFonts w:ascii="Arial" w:eastAsia="Yu Mincho" w:hAnsi="Arial" w:cs="Arial"/>
                <w:b/>
                <w:bCs/>
              </w:rPr>
              <w:t>3 hours</w:t>
            </w:r>
          </w:p>
        </w:tc>
      </w:tr>
      <w:tr w:rsidR="00BD500A" w:rsidRPr="00BD500A" w14:paraId="082BAE1B" w14:textId="77777777" w:rsidTr="00BD500A">
        <w:trPr>
          <w:trHeight w:val="20"/>
          <w:jc w:val="center"/>
        </w:trPr>
        <w:tc>
          <w:tcPr>
            <w:tcW w:w="1077" w:type="pct"/>
            <w:gridSpan w:val="2"/>
            <w:tcBorders>
              <w:top w:val="single" w:sz="4" w:space="0" w:color="auto"/>
              <w:bottom w:val="nil"/>
            </w:tcBorders>
          </w:tcPr>
          <w:p w14:paraId="1203675E" w14:textId="77777777" w:rsidR="00BD500A" w:rsidRPr="00BD500A" w:rsidRDefault="00BD500A" w:rsidP="00BD500A">
            <w:pPr>
              <w:contextualSpacing/>
              <w:rPr>
                <w:rFonts w:ascii="Arial" w:eastAsia="Yu Mincho" w:hAnsi="Arial" w:cs="Arial"/>
              </w:rPr>
            </w:pPr>
            <w:r w:rsidRPr="00BD500A">
              <w:rPr>
                <w:rFonts w:ascii="Arial" w:eastAsia="Yu Mincho" w:hAnsi="Arial" w:cs="Arial"/>
              </w:rPr>
              <w:t>Control</w:t>
            </w:r>
          </w:p>
        </w:tc>
        <w:tc>
          <w:tcPr>
            <w:tcW w:w="981" w:type="pct"/>
            <w:gridSpan w:val="2"/>
            <w:tcBorders>
              <w:top w:val="single" w:sz="4" w:space="0" w:color="auto"/>
              <w:bottom w:val="nil"/>
            </w:tcBorders>
          </w:tcPr>
          <w:p w14:paraId="27A1329A" w14:textId="77777777" w:rsidR="00BD500A" w:rsidRPr="00BD500A" w:rsidRDefault="00BD500A" w:rsidP="00BD500A">
            <w:pPr>
              <w:contextualSpacing/>
              <w:rPr>
                <w:rFonts w:ascii="Arial" w:eastAsia="Yu Mincho" w:hAnsi="Arial" w:cs="Arial"/>
              </w:rPr>
            </w:pPr>
            <w:r w:rsidRPr="00BD500A">
              <w:rPr>
                <w:rFonts w:ascii="Arial" w:eastAsia="Yu Mincho" w:hAnsi="Arial" w:cs="Arial"/>
              </w:rPr>
              <w:t>5.21±0.05</w:t>
            </w:r>
          </w:p>
        </w:tc>
        <w:tc>
          <w:tcPr>
            <w:tcW w:w="980" w:type="pct"/>
            <w:gridSpan w:val="2"/>
            <w:tcBorders>
              <w:top w:val="single" w:sz="4" w:space="0" w:color="auto"/>
              <w:bottom w:val="nil"/>
            </w:tcBorders>
          </w:tcPr>
          <w:p w14:paraId="6E1F1349" w14:textId="77777777" w:rsidR="00BD500A" w:rsidRPr="00BD500A" w:rsidRDefault="00BD500A" w:rsidP="00BD500A">
            <w:pPr>
              <w:contextualSpacing/>
              <w:rPr>
                <w:rFonts w:ascii="Arial" w:eastAsia="Yu Mincho" w:hAnsi="Arial" w:cs="Arial"/>
              </w:rPr>
            </w:pPr>
            <w:r w:rsidRPr="00BD500A">
              <w:rPr>
                <w:rFonts w:ascii="Arial" w:eastAsia="Yu Mincho" w:hAnsi="Arial" w:cs="Arial"/>
              </w:rPr>
              <w:t>5.31±0.11</w:t>
            </w:r>
          </w:p>
        </w:tc>
        <w:tc>
          <w:tcPr>
            <w:tcW w:w="980" w:type="pct"/>
            <w:gridSpan w:val="2"/>
            <w:tcBorders>
              <w:top w:val="single" w:sz="4" w:space="0" w:color="auto"/>
              <w:bottom w:val="nil"/>
            </w:tcBorders>
          </w:tcPr>
          <w:p w14:paraId="3933D374" w14:textId="77777777" w:rsidR="00BD500A" w:rsidRPr="00BD500A" w:rsidRDefault="00BD500A" w:rsidP="00BD500A">
            <w:pPr>
              <w:contextualSpacing/>
              <w:rPr>
                <w:rFonts w:ascii="Arial" w:eastAsia="Yu Mincho" w:hAnsi="Arial" w:cs="Arial"/>
              </w:rPr>
            </w:pPr>
            <w:r w:rsidRPr="00BD500A">
              <w:rPr>
                <w:rFonts w:ascii="Arial" w:eastAsia="Yu Mincho" w:hAnsi="Arial" w:cs="Arial"/>
              </w:rPr>
              <w:t>5.33±0.03</w:t>
            </w:r>
          </w:p>
        </w:tc>
        <w:tc>
          <w:tcPr>
            <w:tcW w:w="981" w:type="pct"/>
            <w:gridSpan w:val="2"/>
            <w:tcBorders>
              <w:top w:val="single" w:sz="4" w:space="0" w:color="auto"/>
              <w:bottom w:val="nil"/>
            </w:tcBorders>
          </w:tcPr>
          <w:p w14:paraId="1443CD67" w14:textId="77777777" w:rsidR="00BD500A" w:rsidRPr="00BD500A" w:rsidRDefault="00BD500A" w:rsidP="00BD500A">
            <w:pPr>
              <w:contextualSpacing/>
              <w:rPr>
                <w:rFonts w:ascii="Arial" w:eastAsia="Yu Mincho" w:hAnsi="Arial" w:cs="Arial"/>
              </w:rPr>
            </w:pPr>
            <w:r w:rsidRPr="00BD500A">
              <w:rPr>
                <w:rFonts w:ascii="Arial" w:eastAsia="Yu Mincho" w:hAnsi="Arial" w:cs="Arial"/>
              </w:rPr>
              <w:t>5.28±0.07</w:t>
            </w:r>
          </w:p>
        </w:tc>
      </w:tr>
      <w:tr w:rsidR="00BD500A" w:rsidRPr="00BD500A" w14:paraId="368D9A4A" w14:textId="77777777" w:rsidTr="00BD500A">
        <w:trPr>
          <w:trHeight w:val="20"/>
          <w:jc w:val="center"/>
        </w:trPr>
        <w:tc>
          <w:tcPr>
            <w:tcW w:w="1077" w:type="pct"/>
            <w:gridSpan w:val="2"/>
            <w:tcBorders>
              <w:top w:val="single" w:sz="4" w:space="0" w:color="auto"/>
              <w:bottom w:val="nil"/>
            </w:tcBorders>
          </w:tcPr>
          <w:p w14:paraId="0EC2F271" w14:textId="77777777" w:rsidR="00A2239A" w:rsidRDefault="00BD500A" w:rsidP="00BD500A">
            <w:pPr>
              <w:contextualSpacing/>
              <w:rPr>
                <w:rFonts w:ascii="Arial" w:eastAsia="Yu Mincho" w:hAnsi="Arial" w:cs="Arial"/>
              </w:rPr>
            </w:pPr>
            <w:bookmarkStart w:id="5" w:name="_Hlk166527468"/>
            <w:r w:rsidRPr="00BD500A">
              <w:rPr>
                <w:rFonts w:ascii="Arial" w:eastAsia="Yu Mincho" w:hAnsi="Arial" w:cs="Arial"/>
              </w:rPr>
              <w:t>ME</w:t>
            </w:r>
            <w:r w:rsidR="00A2239A">
              <w:rPr>
                <w:rFonts w:ascii="Arial" w:eastAsia="Yu Mincho" w:hAnsi="Arial" w:cs="Arial"/>
              </w:rPr>
              <w:t>BD</w:t>
            </w:r>
          </w:p>
          <w:p w14:paraId="67DB881B" w14:textId="77777777" w:rsidR="00BD500A" w:rsidRPr="00BD500A" w:rsidRDefault="00BD500A" w:rsidP="00BD500A">
            <w:pPr>
              <w:contextualSpacing/>
              <w:rPr>
                <w:rFonts w:ascii="Arial" w:eastAsia="Yu Mincho" w:hAnsi="Arial" w:cs="Arial"/>
              </w:rPr>
            </w:pPr>
            <w:r w:rsidRPr="00BD500A">
              <w:rPr>
                <w:rFonts w:ascii="Arial" w:eastAsia="Yu Mincho" w:hAnsi="Arial" w:cs="Arial"/>
              </w:rPr>
              <w:t>(200 mg/kg)</w:t>
            </w:r>
          </w:p>
        </w:tc>
        <w:tc>
          <w:tcPr>
            <w:tcW w:w="981" w:type="pct"/>
            <w:gridSpan w:val="2"/>
            <w:tcBorders>
              <w:top w:val="single" w:sz="4" w:space="0" w:color="auto"/>
              <w:bottom w:val="nil"/>
            </w:tcBorders>
          </w:tcPr>
          <w:p w14:paraId="6C015058" w14:textId="77777777" w:rsidR="00BD500A" w:rsidRPr="00BD500A" w:rsidRDefault="00BD500A" w:rsidP="00BD500A">
            <w:pPr>
              <w:contextualSpacing/>
              <w:rPr>
                <w:rFonts w:ascii="Arial" w:eastAsia="Yu Mincho" w:hAnsi="Arial" w:cs="Arial"/>
              </w:rPr>
            </w:pPr>
            <w:r w:rsidRPr="00BD500A">
              <w:rPr>
                <w:rFonts w:ascii="Arial" w:eastAsia="Yu Mincho" w:hAnsi="Arial" w:cs="Arial"/>
              </w:rPr>
              <w:t>11.5</w:t>
            </w:r>
            <w:r w:rsidR="00A2239A">
              <w:rPr>
                <w:rFonts w:ascii="Arial" w:eastAsia="Yu Mincho" w:hAnsi="Arial" w:cs="Arial"/>
              </w:rPr>
              <w:t>5</w:t>
            </w:r>
            <w:r w:rsidRPr="00BD500A">
              <w:rPr>
                <w:rFonts w:ascii="Arial" w:eastAsia="Yu Mincho" w:hAnsi="Arial" w:cs="Arial"/>
              </w:rPr>
              <w:t>±0.2</w:t>
            </w:r>
            <w:r w:rsidR="00A2239A">
              <w:rPr>
                <w:rFonts w:ascii="Arial" w:eastAsia="Yu Mincho" w:hAnsi="Arial" w:cs="Arial"/>
              </w:rPr>
              <w:t>0</w:t>
            </w:r>
          </w:p>
        </w:tc>
        <w:tc>
          <w:tcPr>
            <w:tcW w:w="980" w:type="pct"/>
            <w:gridSpan w:val="2"/>
            <w:tcBorders>
              <w:top w:val="single" w:sz="4" w:space="0" w:color="auto"/>
              <w:bottom w:val="nil"/>
            </w:tcBorders>
          </w:tcPr>
          <w:p w14:paraId="09742653" w14:textId="77777777" w:rsidR="00BD500A" w:rsidRPr="00BD500A" w:rsidRDefault="00BD500A" w:rsidP="00BD500A">
            <w:pPr>
              <w:contextualSpacing/>
              <w:rPr>
                <w:rFonts w:ascii="Arial" w:eastAsia="Yu Mincho" w:hAnsi="Arial" w:cs="Arial"/>
              </w:rPr>
            </w:pPr>
            <w:r w:rsidRPr="00BD500A">
              <w:rPr>
                <w:rFonts w:ascii="Arial" w:eastAsia="Yu Mincho" w:hAnsi="Arial" w:cs="Arial"/>
              </w:rPr>
              <w:t>9.</w:t>
            </w:r>
            <w:r w:rsidR="00A2239A">
              <w:rPr>
                <w:rFonts w:ascii="Arial" w:eastAsia="Yu Mincho" w:hAnsi="Arial" w:cs="Arial"/>
              </w:rPr>
              <w:t>1</w:t>
            </w:r>
            <w:r w:rsidRPr="00BD500A">
              <w:rPr>
                <w:rFonts w:ascii="Arial" w:eastAsia="Yu Mincho" w:hAnsi="Arial" w:cs="Arial"/>
              </w:rPr>
              <w:t>1±0.02</w:t>
            </w:r>
          </w:p>
        </w:tc>
        <w:tc>
          <w:tcPr>
            <w:tcW w:w="980" w:type="pct"/>
            <w:gridSpan w:val="2"/>
            <w:tcBorders>
              <w:top w:val="single" w:sz="4" w:space="0" w:color="auto"/>
              <w:bottom w:val="nil"/>
            </w:tcBorders>
          </w:tcPr>
          <w:p w14:paraId="47EEF66C" w14:textId="77777777" w:rsidR="00BD500A" w:rsidRPr="00BD500A" w:rsidRDefault="00BD500A" w:rsidP="00BD500A">
            <w:pPr>
              <w:contextualSpacing/>
              <w:rPr>
                <w:rFonts w:ascii="Arial" w:eastAsia="Yu Mincho" w:hAnsi="Arial" w:cs="Arial"/>
              </w:rPr>
            </w:pPr>
            <w:r w:rsidRPr="00BD500A">
              <w:rPr>
                <w:rFonts w:ascii="Arial" w:eastAsia="Yu Mincho" w:hAnsi="Arial" w:cs="Arial"/>
              </w:rPr>
              <w:t>7.</w:t>
            </w:r>
            <w:r w:rsidR="00A2239A">
              <w:rPr>
                <w:rFonts w:ascii="Arial" w:eastAsia="Yu Mincho" w:hAnsi="Arial" w:cs="Arial"/>
              </w:rPr>
              <w:t>46</w:t>
            </w:r>
            <w:r w:rsidRPr="00BD500A">
              <w:rPr>
                <w:rFonts w:ascii="Arial" w:eastAsia="Yu Mincho" w:hAnsi="Arial" w:cs="Arial"/>
              </w:rPr>
              <w:t>±0.3</w:t>
            </w:r>
            <w:r w:rsidR="00A2239A">
              <w:rPr>
                <w:rFonts w:ascii="Arial" w:eastAsia="Yu Mincho" w:hAnsi="Arial" w:cs="Arial"/>
              </w:rPr>
              <w:t>1</w:t>
            </w:r>
          </w:p>
        </w:tc>
        <w:tc>
          <w:tcPr>
            <w:tcW w:w="981" w:type="pct"/>
            <w:gridSpan w:val="2"/>
            <w:tcBorders>
              <w:top w:val="single" w:sz="4" w:space="0" w:color="auto"/>
              <w:bottom w:val="nil"/>
            </w:tcBorders>
          </w:tcPr>
          <w:p w14:paraId="357076E2" w14:textId="77777777" w:rsidR="00BD500A" w:rsidRPr="00BD500A" w:rsidRDefault="00BD500A" w:rsidP="00BD500A">
            <w:pPr>
              <w:contextualSpacing/>
              <w:rPr>
                <w:rFonts w:ascii="Arial" w:eastAsia="Yu Mincho" w:hAnsi="Arial" w:cs="Arial"/>
              </w:rPr>
            </w:pPr>
            <w:r w:rsidRPr="00BD500A">
              <w:rPr>
                <w:rFonts w:ascii="Arial" w:eastAsia="Yu Mincho" w:hAnsi="Arial" w:cs="Arial"/>
              </w:rPr>
              <w:t>6.0</w:t>
            </w:r>
            <w:r w:rsidR="00A2239A">
              <w:rPr>
                <w:rFonts w:ascii="Arial" w:eastAsia="Yu Mincho" w:hAnsi="Arial" w:cs="Arial"/>
              </w:rPr>
              <w:t>4</w:t>
            </w:r>
            <w:r w:rsidRPr="00BD500A">
              <w:rPr>
                <w:rFonts w:ascii="Arial" w:eastAsia="Yu Mincho" w:hAnsi="Arial" w:cs="Arial"/>
              </w:rPr>
              <w:t>±0.3</w:t>
            </w:r>
            <w:r w:rsidR="00A2239A">
              <w:rPr>
                <w:rFonts w:ascii="Arial" w:eastAsia="Yu Mincho" w:hAnsi="Arial" w:cs="Arial"/>
              </w:rPr>
              <w:t>3</w:t>
            </w:r>
          </w:p>
        </w:tc>
      </w:tr>
      <w:tr w:rsidR="00BD500A" w:rsidRPr="00BD500A" w14:paraId="61AF5604" w14:textId="77777777" w:rsidTr="00BD500A">
        <w:trPr>
          <w:trHeight w:val="20"/>
          <w:jc w:val="center"/>
        </w:trPr>
        <w:tc>
          <w:tcPr>
            <w:tcW w:w="1077" w:type="pct"/>
            <w:gridSpan w:val="2"/>
            <w:tcBorders>
              <w:top w:val="nil"/>
              <w:bottom w:val="single" w:sz="4" w:space="0" w:color="auto"/>
            </w:tcBorders>
          </w:tcPr>
          <w:p w14:paraId="7164C8B8" w14:textId="77777777" w:rsidR="00BD500A" w:rsidRPr="00BD500A" w:rsidRDefault="00BD500A" w:rsidP="00BD500A">
            <w:pPr>
              <w:contextualSpacing/>
              <w:rPr>
                <w:rFonts w:ascii="Arial" w:eastAsia="Yu Mincho" w:hAnsi="Arial" w:cs="Arial"/>
              </w:rPr>
            </w:pPr>
            <w:r w:rsidRPr="00BD500A">
              <w:rPr>
                <w:rFonts w:ascii="Arial" w:eastAsia="Yu Mincho" w:hAnsi="Arial" w:cs="Arial"/>
              </w:rPr>
              <w:t>ME</w:t>
            </w:r>
            <w:r w:rsidR="00A2239A">
              <w:rPr>
                <w:rFonts w:ascii="Arial" w:eastAsia="Yu Mincho" w:hAnsi="Arial" w:cs="Arial"/>
              </w:rPr>
              <w:t>BD</w:t>
            </w:r>
            <w:r w:rsidRPr="00BD500A">
              <w:rPr>
                <w:rFonts w:ascii="Arial" w:eastAsia="Yu Mincho" w:hAnsi="Arial" w:cs="Arial"/>
              </w:rPr>
              <w:t xml:space="preserve"> (400/mg/kg)</w:t>
            </w:r>
          </w:p>
        </w:tc>
        <w:tc>
          <w:tcPr>
            <w:tcW w:w="981" w:type="pct"/>
            <w:gridSpan w:val="2"/>
            <w:tcBorders>
              <w:top w:val="nil"/>
              <w:bottom w:val="single" w:sz="4" w:space="0" w:color="auto"/>
            </w:tcBorders>
          </w:tcPr>
          <w:p w14:paraId="427531C1" w14:textId="77777777" w:rsidR="00BD500A" w:rsidRPr="00BD500A" w:rsidRDefault="00BD500A" w:rsidP="00BD500A">
            <w:pPr>
              <w:contextualSpacing/>
              <w:rPr>
                <w:rFonts w:ascii="Arial" w:eastAsia="Yu Mincho" w:hAnsi="Arial" w:cs="Arial"/>
              </w:rPr>
            </w:pPr>
            <w:r w:rsidRPr="00BD500A">
              <w:rPr>
                <w:rFonts w:ascii="Arial" w:eastAsia="Yu Mincho" w:hAnsi="Arial" w:cs="Arial"/>
              </w:rPr>
              <w:t>12.</w:t>
            </w:r>
            <w:r w:rsidR="00A2239A">
              <w:rPr>
                <w:rFonts w:ascii="Arial" w:eastAsia="Yu Mincho" w:hAnsi="Arial" w:cs="Arial"/>
              </w:rPr>
              <w:t>17</w:t>
            </w:r>
            <w:r w:rsidRPr="00BD500A">
              <w:rPr>
                <w:rFonts w:ascii="Arial" w:eastAsia="Yu Mincho" w:hAnsi="Arial" w:cs="Arial"/>
              </w:rPr>
              <w:t>±0.</w:t>
            </w:r>
            <w:r w:rsidR="00A2239A">
              <w:rPr>
                <w:rFonts w:ascii="Arial" w:eastAsia="Yu Mincho" w:hAnsi="Arial" w:cs="Arial"/>
              </w:rPr>
              <w:t>29</w:t>
            </w:r>
          </w:p>
        </w:tc>
        <w:tc>
          <w:tcPr>
            <w:tcW w:w="980" w:type="pct"/>
            <w:gridSpan w:val="2"/>
            <w:tcBorders>
              <w:top w:val="nil"/>
              <w:bottom w:val="single" w:sz="4" w:space="0" w:color="auto"/>
            </w:tcBorders>
          </w:tcPr>
          <w:p w14:paraId="25029D25" w14:textId="77777777" w:rsidR="00BD500A" w:rsidRPr="00BD500A" w:rsidRDefault="00BD500A" w:rsidP="00BD500A">
            <w:pPr>
              <w:contextualSpacing/>
              <w:rPr>
                <w:rFonts w:ascii="Arial" w:eastAsia="Yu Mincho" w:hAnsi="Arial" w:cs="Arial"/>
              </w:rPr>
            </w:pPr>
            <w:r w:rsidRPr="00BD500A">
              <w:rPr>
                <w:rFonts w:ascii="Arial" w:eastAsia="Yu Mincho" w:hAnsi="Arial" w:cs="Arial"/>
              </w:rPr>
              <w:t>7.3</w:t>
            </w:r>
            <w:r w:rsidR="00A2239A">
              <w:rPr>
                <w:rFonts w:ascii="Arial" w:eastAsia="Yu Mincho" w:hAnsi="Arial" w:cs="Arial"/>
              </w:rPr>
              <w:t>1</w:t>
            </w:r>
            <w:r w:rsidRPr="00BD500A">
              <w:rPr>
                <w:rFonts w:ascii="Arial" w:eastAsia="Yu Mincho" w:hAnsi="Arial" w:cs="Arial"/>
              </w:rPr>
              <w:t>±0.1</w:t>
            </w:r>
            <w:r w:rsidR="00A2239A">
              <w:rPr>
                <w:rFonts w:ascii="Arial" w:eastAsia="Yu Mincho" w:hAnsi="Arial" w:cs="Arial"/>
              </w:rPr>
              <w:t>6</w:t>
            </w:r>
          </w:p>
        </w:tc>
        <w:tc>
          <w:tcPr>
            <w:tcW w:w="980" w:type="pct"/>
            <w:gridSpan w:val="2"/>
            <w:tcBorders>
              <w:top w:val="nil"/>
              <w:bottom w:val="single" w:sz="4" w:space="0" w:color="auto"/>
            </w:tcBorders>
          </w:tcPr>
          <w:p w14:paraId="70535AB9" w14:textId="77777777" w:rsidR="00BD500A" w:rsidRPr="00BD500A" w:rsidRDefault="00BD500A" w:rsidP="00BD500A">
            <w:pPr>
              <w:contextualSpacing/>
              <w:rPr>
                <w:rFonts w:ascii="Arial" w:eastAsia="Yu Mincho" w:hAnsi="Arial" w:cs="Arial"/>
              </w:rPr>
            </w:pPr>
            <w:r w:rsidRPr="00BD500A">
              <w:rPr>
                <w:rFonts w:ascii="Arial" w:eastAsia="Yu Mincho" w:hAnsi="Arial" w:cs="Arial"/>
              </w:rPr>
              <w:t>5.3</w:t>
            </w:r>
            <w:r w:rsidR="00A2239A">
              <w:rPr>
                <w:rFonts w:ascii="Arial" w:eastAsia="Yu Mincho" w:hAnsi="Arial" w:cs="Arial"/>
              </w:rPr>
              <w:t>1</w:t>
            </w:r>
            <w:r w:rsidRPr="00BD500A">
              <w:rPr>
                <w:rFonts w:ascii="Arial" w:eastAsia="Yu Mincho" w:hAnsi="Arial" w:cs="Arial"/>
              </w:rPr>
              <w:t>±1.3</w:t>
            </w:r>
            <w:r w:rsidR="00A2239A">
              <w:rPr>
                <w:rFonts w:ascii="Arial" w:eastAsia="Yu Mincho" w:hAnsi="Arial" w:cs="Arial"/>
              </w:rPr>
              <w:t>1</w:t>
            </w:r>
          </w:p>
        </w:tc>
        <w:tc>
          <w:tcPr>
            <w:tcW w:w="981" w:type="pct"/>
            <w:gridSpan w:val="2"/>
            <w:tcBorders>
              <w:top w:val="nil"/>
              <w:bottom w:val="single" w:sz="4" w:space="0" w:color="auto"/>
            </w:tcBorders>
          </w:tcPr>
          <w:p w14:paraId="48CC5395" w14:textId="77777777" w:rsidR="00BD500A" w:rsidRPr="00BD500A" w:rsidRDefault="00BD500A" w:rsidP="00BD500A">
            <w:pPr>
              <w:contextualSpacing/>
              <w:rPr>
                <w:rFonts w:ascii="Arial" w:eastAsia="Yu Mincho" w:hAnsi="Arial" w:cs="Arial"/>
              </w:rPr>
            </w:pPr>
            <w:r w:rsidRPr="00BD500A">
              <w:rPr>
                <w:rFonts w:ascii="Arial" w:eastAsia="Yu Mincho" w:hAnsi="Arial" w:cs="Arial"/>
              </w:rPr>
              <w:t>4.</w:t>
            </w:r>
            <w:r w:rsidR="00A2239A">
              <w:rPr>
                <w:rFonts w:ascii="Arial" w:eastAsia="Yu Mincho" w:hAnsi="Arial" w:cs="Arial"/>
              </w:rPr>
              <w:t>21</w:t>
            </w:r>
            <w:r w:rsidRPr="00BD500A">
              <w:rPr>
                <w:rFonts w:ascii="Arial" w:eastAsia="Yu Mincho" w:hAnsi="Arial" w:cs="Arial"/>
              </w:rPr>
              <w:t>±0.</w:t>
            </w:r>
            <w:r w:rsidR="00A2239A">
              <w:rPr>
                <w:rFonts w:ascii="Arial" w:eastAsia="Yu Mincho" w:hAnsi="Arial" w:cs="Arial"/>
              </w:rPr>
              <w:t>17</w:t>
            </w:r>
          </w:p>
        </w:tc>
      </w:tr>
      <w:bookmarkEnd w:id="5"/>
      <w:tr w:rsidR="00BD500A" w:rsidRPr="00BD500A" w14:paraId="476622AC" w14:textId="77777777" w:rsidTr="00914936">
        <w:trPr>
          <w:gridAfter w:val="1"/>
          <w:wAfter w:w="174" w:type="pct"/>
          <w:trHeight w:val="20"/>
          <w:jc w:val="center"/>
        </w:trPr>
        <w:tc>
          <w:tcPr>
            <w:tcW w:w="1040" w:type="pct"/>
            <w:tcBorders>
              <w:top w:val="single" w:sz="4" w:space="0" w:color="auto"/>
              <w:bottom w:val="single" w:sz="4" w:space="0" w:color="auto"/>
            </w:tcBorders>
          </w:tcPr>
          <w:p w14:paraId="1E83BDF5" w14:textId="77777777" w:rsidR="00BD500A" w:rsidRPr="00BD500A" w:rsidRDefault="00BD500A" w:rsidP="00BD500A">
            <w:pPr>
              <w:contextualSpacing/>
              <w:rPr>
                <w:rFonts w:ascii="Arial" w:eastAsia="Yu Mincho" w:hAnsi="Arial" w:cs="Arial"/>
                <w:kern w:val="2"/>
                <w:lang w:eastAsia="ja-JP"/>
              </w:rPr>
            </w:pPr>
            <w:r w:rsidRPr="00BD500A">
              <w:rPr>
                <w:rFonts w:ascii="Arial" w:eastAsia="Yu Mincho" w:hAnsi="Arial" w:cs="Arial"/>
                <w:kern w:val="2"/>
                <w:lang w:eastAsia="ja-JP"/>
              </w:rPr>
              <w:t>Standard</w:t>
            </w:r>
          </w:p>
          <w:p w14:paraId="3F1B2610" w14:textId="77777777" w:rsidR="00BD500A" w:rsidRPr="00BD500A" w:rsidRDefault="00BD500A" w:rsidP="00BD500A">
            <w:pPr>
              <w:contextualSpacing/>
              <w:rPr>
                <w:rFonts w:ascii="Arial" w:eastAsia="Yu Mincho" w:hAnsi="Arial" w:cs="Arial"/>
                <w:kern w:val="2"/>
                <w:lang w:eastAsia="ja-JP"/>
              </w:rPr>
            </w:pPr>
            <w:bookmarkStart w:id="6" w:name="_Hlk166572683"/>
            <w:proofErr w:type="spellStart"/>
            <w:r w:rsidRPr="00BD500A">
              <w:rPr>
                <w:rFonts w:ascii="Arial" w:eastAsia="Yu Mincho" w:hAnsi="Arial" w:cs="Arial"/>
                <w:kern w:val="2"/>
                <w:lang w:eastAsia="ja-JP"/>
              </w:rPr>
              <w:t>Glibenclamide</w:t>
            </w:r>
            <w:bookmarkEnd w:id="6"/>
            <w:proofErr w:type="spellEnd"/>
          </w:p>
        </w:tc>
        <w:tc>
          <w:tcPr>
            <w:tcW w:w="947" w:type="pct"/>
            <w:gridSpan w:val="2"/>
            <w:tcBorders>
              <w:top w:val="single" w:sz="4" w:space="0" w:color="auto"/>
              <w:bottom w:val="single" w:sz="4" w:space="0" w:color="auto"/>
            </w:tcBorders>
          </w:tcPr>
          <w:p w14:paraId="0F900749" w14:textId="77777777" w:rsidR="00BD500A" w:rsidRPr="00BD500A" w:rsidRDefault="00BD500A" w:rsidP="00BD500A">
            <w:pPr>
              <w:contextualSpacing/>
              <w:rPr>
                <w:rFonts w:ascii="Arial" w:eastAsia="Yu Mincho" w:hAnsi="Arial" w:cs="Arial"/>
                <w:kern w:val="2"/>
                <w:lang w:eastAsia="ja-JP"/>
              </w:rPr>
            </w:pPr>
            <w:r w:rsidRPr="00BD500A">
              <w:rPr>
                <w:rFonts w:ascii="Arial" w:eastAsia="Yu Mincho" w:hAnsi="Arial" w:cs="Arial"/>
                <w:kern w:val="2"/>
                <w:lang w:eastAsia="ja-JP"/>
              </w:rPr>
              <w:t>17.43±1.30</w:t>
            </w:r>
          </w:p>
        </w:tc>
        <w:tc>
          <w:tcPr>
            <w:tcW w:w="946" w:type="pct"/>
            <w:gridSpan w:val="2"/>
            <w:tcBorders>
              <w:top w:val="single" w:sz="4" w:space="0" w:color="auto"/>
              <w:bottom w:val="single" w:sz="4" w:space="0" w:color="auto"/>
            </w:tcBorders>
          </w:tcPr>
          <w:p w14:paraId="23743C56" w14:textId="77777777" w:rsidR="00BD500A" w:rsidRPr="00BD500A" w:rsidRDefault="00BD500A" w:rsidP="00BD500A">
            <w:pPr>
              <w:contextualSpacing/>
              <w:rPr>
                <w:rFonts w:ascii="Arial" w:eastAsia="Yu Mincho" w:hAnsi="Arial" w:cs="Arial"/>
                <w:kern w:val="2"/>
                <w:lang w:eastAsia="ja-JP"/>
              </w:rPr>
            </w:pPr>
            <w:r w:rsidRPr="00BD500A">
              <w:rPr>
                <w:rFonts w:ascii="Arial" w:eastAsia="Yu Mincho" w:hAnsi="Arial" w:cs="Arial"/>
                <w:kern w:val="2"/>
                <w:lang w:eastAsia="ja-JP"/>
              </w:rPr>
              <w:t>8.51±0.07</w:t>
            </w:r>
          </w:p>
        </w:tc>
        <w:tc>
          <w:tcPr>
            <w:tcW w:w="946" w:type="pct"/>
            <w:gridSpan w:val="2"/>
            <w:tcBorders>
              <w:top w:val="single" w:sz="4" w:space="0" w:color="auto"/>
              <w:bottom w:val="single" w:sz="4" w:space="0" w:color="auto"/>
            </w:tcBorders>
          </w:tcPr>
          <w:p w14:paraId="3D3B674A" w14:textId="77777777" w:rsidR="00BD500A" w:rsidRPr="00BD500A" w:rsidRDefault="00BD500A" w:rsidP="00BD500A">
            <w:pPr>
              <w:contextualSpacing/>
              <w:rPr>
                <w:rFonts w:ascii="Arial" w:eastAsia="Yu Mincho" w:hAnsi="Arial" w:cs="Arial"/>
                <w:kern w:val="2"/>
                <w:lang w:eastAsia="ja-JP"/>
              </w:rPr>
            </w:pPr>
            <w:r w:rsidRPr="00BD500A">
              <w:rPr>
                <w:rFonts w:ascii="Arial" w:eastAsia="Yu Mincho" w:hAnsi="Arial" w:cs="Arial"/>
                <w:kern w:val="2"/>
                <w:lang w:eastAsia="ja-JP"/>
              </w:rPr>
              <w:t>6.21±0.42</w:t>
            </w:r>
          </w:p>
        </w:tc>
        <w:tc>
          <w:tcPr>
            <w:tcW w:w="947" w:type="pct"/>
            <w:gridSpan w:val="2"/>
            <w:tcBorders>
              <w:top w:val="single" w:sz="4" w:space="0" w:color="auto"/>
              <w:bottom w:val="single" w:sz="4" w:space="0" w:color="auto"/>
            </w:tcBorders>
          </w:tcPr>
          <w:p w14:paraId="2AF656A1" w14:textId="77777777" w:rsidR="00BD500A" w:rsidRPr="00BD500A" w:rsidRDefault="00BD500A" w:rsidP="00BD500A">
            <w:pPr>
              <w:contextualSpacing/>
              <w:rPr>
                <w:rFonts w:ascii="Arial" w:eastAsia="Yu Mincho" w:hAnsi="Arial" w:cs="Arial"/>
                <w:kern w:val="2"/>
                <w:lang w:eastAsia="ja-JP"/>
              </w:rPr>
            </w:pPr>
            <w:r w:rsidRPr="00BD500A">
              <w:rPr>
                <w:rFonts w:ascii="Arial" w:eastAsia="Yu Mincho" w:hAnsi="Arial" w:cs="Arial"/>
                <w:kern w:val="2"/>
                <w:lang w:eastAsia="ja-JP"/>
              </w:rPr>
              <w:t>4.96±0.11</w:t>
            </w:r>
          </w:p>
        </w:tc>
      </w:tr>
    </w:tbl>
    <w:p w14:paraId="344D0590" w14:textId="77777777" w:rsidR="00BD500A" w:rsidRDefault="00BD500A" w:rsidP="00E43A14">
      <w:pPr>
        <w:jc w:val="both"/>
        <w:rPr>
          <w:rFonts w:ascii="Arial" w:hAnsi="Arial" w:cs="Arial"/>
          <w:sz w:val="24"/>
          <w:lang w:val="en-US"/>
        </w:rPr>
      </w:pPr>
    </w:p>
    <w:p w14:paraId="09DB406E" w14:textId="77777777" w:rsidR="005B3FD0" w:rsidRDefault="005B3FD0" w:rsidP="00E43A14">
      <w:pPr>
        <w:jc w:val="both"/>
        <w:rPr>
          <w:rFonts w:ascii="Arial" w:hAnsi="Arial" w:cs="Arial"/>
          <w:sz w:val="24"/>
          <w:lang w:val="en-US"/>
        </w:rPr>
      </w:pPr>
      <w:r w:rsidRPr="005B3FD0">
        <w:rPr>
          <w:rFonts w:ascii="Arial" w:hAnsi="Arial" w:cs="Arial"/>
          <w:sz w:val="24"/>
          <w:lang w:val="en-US"/>
        </w:rPr>
        <w:t xml:space="preserve">The data from Table 2 is </w:t>
      </w:r>
      <w:r>
        <w:rPr>
          <w:rFonts w:ascii="Arial" w:hAnsi="Arial" w:cs="Arial"/>
          <w:sz w:val="24"/>
          <w:lang w:val="en-US"/>
        </w:rPr>
        <w:t>visually represented in Figure 2</w:t>
      </w:r>
      <w:r w:rsidRPr="005B3FD0">
        <w:rPr>
          <w:rFonts w:ascii="Arial" w:hAnsi="Arial" w:cs="Arial"/>
          <w:sz w:val="24"/>
          <w:lang w:val="en-US"/>
        </w:rPr>
        <w:t>, highlighting the reduction in blood glucose levels over time with different treatments</w:t>
      </w:r>
      <w:r>
        <w:rPr>
          <w:rFonts w:ascii="Arial" w:hAnsi="Arial" w:cs="Arial"/>
          <w:sz w:val="24"/>
          <w:lang w:val="en-US"/>
        </w:rPr>
        <w:t>.</w:t>
      </w:r>
    </w:p>
    <w:p w14:paraId="3B436AA4" w14:textId="77777777" w:rsidR="005B3FD0" w:rsidRDefault="005B3FD0" w:rsidP="005B3FD0">
      <w:pPr>
        <w:jc w:val="center"/>
        <w:rPr>
          <w:rFonts w:ascii="Arial" w:hAnsi="Arial" w:cs="Arial"/>
          <w:sz w:val="24"/>
          <w:lang w:val="en-US"/>
        </w:rPr>
      </w:pPr>
      <w:r w:rsidRPr="00F2464C">
        <w:rPr>
          <w:noProof/>
          <w:lang w:val="en-US" w:bidi="te-IN"/>
        </w:rPr>
        <w:drawing>
          <wp:inline distT="0" distB="0" distL="0" distR="0" wp14:anchorId="31BA6651" wp14:editId="56F40040">
            <wp:extent cx="3926564" cy="2797231"/>
            <wp:effectExtent l="0" t="0" r="0" b="3175"/>
            <wp:docPr id="2" name="Picture 2" descr="G:\Dhanda\Navid Rafi\figs\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Dhanda\Navid Rafi\figs\downloa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47627" cy="2812236"/>
                    </a:xfrm>
                    <a:prstGeom prst="rect">
                      <a:avLst/>
                    </a:prstGeom>
                    <a:noFill/>
                    <a:ln>
                      <a:noFill/>
                    </a:ln>
                  </pic:spPr>
                </pic:pic>
              </a:graphicData>
            </a:graphic>
          </wp:inline>
        </w:drawing>
      </w:r>
    </w:p>
    <w:p w14:paraId="245EF5A3" w14:textId="77777777" w:rsidR="005B3FD0" w:rsidRDefault="005B3FD0" w:rsidP="005B3FD0">
      <w:pPr>
        <w:jc w:val="center"/>
        <w:rPr>
          <w:sz w:val="20"/>
        </w:rPr>
      </w:pPr>
      <w:r w:rsidRPr="005B3FD0">
        <w:rPr>
          <w:rStyle w:val="Strong"/>
          <w:b w:val="0"/>
          <w:sz w:val="20"/>
        </w:rPr>
        <w:t>Fig.</w:t>
      </w:r>
      <w:r w:rsidR="004F068F">
        <w:rPr>
          <w:rStyle w:val="Strong"/>
          <w:b w:val="0"/>
          <w:sz w:val="20"/>
        </w:rPr>
        <w:t>2</w:t>
      </w:r>
      <w:r w:rsidRPr="005B3FD0">
        <w:rPr>
          <w:rStyle w:val="Strong"/>
          <w:b w:val="0"/>
          <w:sz w:val="20"/>
        </w:rPr>
        <w:t>:</w:t>
      </w:r>
      <w:r w:rsidRPr="005B3FD0">
        <w:rPr>
          <w:sz w:val="20"/>
        </w:rPr>
        <w:t xml:space="preserve"> Blood glucose levels in diabetic rats treated with MEBD, control, and </w:t>
      </w:r>
      <w:proofErr w:type="spellStart"/>
      <w:r w:rsidRPr="005B3FD0">
        <w:rPr>
          <w:sz w:val="20"/>
        </w:rPr>
        <w:t>glibenclamide</w:t>
      </w:r>
      <w:proofErr w:type="spellEnd"/>
      <w:r w:rsidRPr="005B3FD0">
        <w:rPr>
          <w:sz w:val="20"/>
        </w:rPr>
        <w:t xml:space="preserve"> over time</w:t>
      </w:r>
    </w:p>
    <w:p w14:paraId="6A0242CF" w14:textId="77777777" w:rsidR="005B3FD0" w:rsidRPr="005B3FD0" w:rsidRDefault="005B3FD0" w:rsidP="005B3FD0">
      <w:pPr>
        <w:rPr>
          <w:sz w:val="24"/>
        </w:rPr>
      </w:pPr>
      <w:r w:rsidRPr="005B3FD0">
        <w:rPr>
          <w:sz w:val="24"/>
        </w:rPr>
        <w:t xml:space="preserve">Figure </w:t>
      </w:r>
      <w:r>
        <w:rPr>
          <w:sz w:val="24"/>
        </w:rPr>
        <w:t>2</w:t>
      </w:r>
      <w:r w:rsidRPr="005B3FD0">
        <w:rPr>
          <w:sz w:val="24"/>
        </w:rPr>
        <w:t xml:space="preserve"> illustrates the effect of MEBD on blood glucose levels in diabetic rats over time. The data reveal a significant reduction in glucose levels, with higher MEBD dosages (400 mg/kg) showing a comparable effect to the standard drug, </w:t>
      </w:r>
      <w:proofErr w:type="spellStart"/>
      <w:r w:rsidRPr="005B3FD0">
        <w:rPr>
          <w:sz w:val="24"/>
        </w:rPr>
        <w:t>glibenclamide</w:t>
      </w:r>
      <w:proofErr w:type="spellEnd"/>
      <w:r w:rsidRPr="005B3FD0">
        <w:rPr>
          <w:sz w:val="24"/>
        </w:rPr>
        <w:t>.</w:t>
      </w:r>
    </w:p>
    <w:p w14:paraId="73C9DBCF" w14:textId="77777777" w:rsidR="00BD500A" w:rsidRPr="00BD500A" w:rsidRDefault="00BD500A" w:rsidP="00E43A14">
      <w:pPr>
        <w:jc w:val="both"/>
        <w:rPr>
          <w:rFonts w:ascii="Arial" w:hAnsi="Arial" w:cs="Arial"/>
          <w:b/>
          <w:bCs/>
          <w:sz w:val="24"/>
          <w:lang w:val="en-US"/>
        </w:rPr>
      </w:pPr>
      <w:r w:rsidRPr="00BD500A">
        <w:rPr>
          <w:rFonts w:ascii="Arial" w:hAnsi="Arial" w:cs="Arial"/>
          <w:b/>
          <w:bCs/>
          <w:sz w:val="24"/>
          <w:lang w:val="en-US"/>
        </w:rPr>
        <w:t>5.3 Neuropharmacological Activity</w:t>
      </w:r>
    </w:p>
    <w:p w14:paraId="22028186" w14:textId="77777777" w:rsidR="00BD500A" w:rsidRPr="00BD500A" w:rsidRDefault="00BD500A" w:rsidP="00E43A14">
      <w:pPr>
        <w:jc w:val="both"/>
        <w:rPr>
          <w:rFonts w:ascii="Arial" w:hAnsi="Arial" w:cs="Arial"/>
          <w:b/>
          <w:bCs/>
          <w:sz w:val="24"/>
          <w:lang w:val="en-US"/>
        </w:rPr>
      </w:pPr>
      <w:r w:rsidRPr="00BD500A">
        <w:rPr>
          <w:rFonts w:ascii="Arial" w:hAnsi="Arial" w:cs="Arial"/>
          <w:b/>
          <w:bCs/>
          <w:sz w:val="24"/>
          <w:lang w:val="en-US"/>
        </w:rPr>
        <w:t>5.3.1 Thiopental sodium induced sleeping time test</w:t>
      </w:r>
    </w:p>
    <w:p w14:paraId="552FA5C1" w14:textId="77777777" w:rsidR="00BD500A" w:rsidRDefault="00BD500A" w:rsidP="00BD500A">
      <w:pPr>
        <w:jc w:val="both"/>
        <w:rPr>
          <w:rFonts w:ascii="Arial" w:hAnsi="Arial" w:cs="Arial"/>
          <w:sz w:val="24"/>
          <w:lang w:val="en-US"/>
        </w:rPr>
      </w:pPr>
      <w:r w:rsidRPr="00BD500A">
        <w:rPr>
          <w:rFonts w:ascii="Arial" w:hAnsi="Arial" w:cs="Arial"/>
          <w:sz w:val="24"/>
          <w:lang w:val="en-US"/>
        </w:rPr>
        <w:t xml:space="preserve">The MEBD administered at dosages of 200 and 400 mg/kg exhibited a notable effect on sleep as assessed by the thiopental sodium-induced hypnosis test. Furthermore, </w:t>
      </w:r>
      <w:r w:rsidRPr="00BD500A">
        <w:rPr>
          <w:rFonts w:ascii="Arial" w:hAnsi="Arial" w:cs="Arial"/>
          <w:sz w:val="24"/>
          <w:lang w:val="en-US"/>
        </w:rPr>
        <w:lastRenderedPageBreak/>
        <w:t>the extract demonstrated a dose-dependent influence on the duration of sleep induced by thiopental sodium at dosages of 200 and 400 mg/kg. Furthermore, a comparison with the control group indicated that both administered doses led to an enhancement in the duration of sleep observed in the test subjects,</w:t>
      </w:r>
      <w:r w:rsidR="002D2F59">
        <w:rPr>
          <w:rFonts w:ascii="Arial" w:hAnsi="Arial" w:cs="Arial"/>
          <w:sz w:val="24"/>
          <w:lang w:val="en-US"/>
        </w:rPr>
        <w:t xml:space="preserve"> as illustrated in Table </w:t>
      </w:r>
      <w:r w:rsidR="005B3FD0">
        <w:rPr>
          <w:rFonts w:ascii="Arial" w:hAnsi="Arial" w:cs="Arial"/>
          <w:sz w:val="24"/>
          <w:lang w:val="en-US"/>
        </w:rPr>
        <w:t>3</w:t>
      </w:r>
      <w:r w:rsidRPr="00BD500A">
        <w:rPr>
          <w:rFonts w:ascii="Arial" w:hAnsi="Arial" w:cs="Arial"/>
          <w:sz w:val="24"/>
          <w:lang w:val="en-US"/>
        </w:rPr>
        <w:t>.</w:t>
      </w:r>
    </w:p>
    <w:p w14:paraId="1FF6C02C" w14:textId="77777777" w:rsidR="00BD500A" w:rsidRPr="00BD500A" w:rsidRDefault="002D2F59" w:rsidP="00BD500A">
      <w:pPr>
        <w:jc w:val="center"/>
        <w:rPr>
          <w:rFonts w:ascii="Arial" w:eastAsia="Yu Mincho" w:hAnsi="Arial" w:cs="Arial"/>
          <w:b/>
          <w:bCs/>
          <w:kern w:val="2"/>
          <w:sz w:val="24"/>
          <w:szCs w:val="24"/>
          <w:lang w:val="en-US" w:eastAsia="ja-JP"/>
        </w:rPr>
      </w:pPr>
      <w:r>
        <w:rPr>
          <w:rFonts w:ascii="Arial" w:eastAsia="Yu Mincho" w:hAnsi="Arial" w:cs="Arial"/>
          <w:b/>
          <w:bCs/>
          <w:kern w:val="2"/>
          <w:sz w:val="24"/>
          <w:szCs w:val="24"/>
          <w:lang w:val="en-US" w:eastAsia="ja-JP"/>
        </w:rPr>
        <w:t>Table 3</w:t>
      </w:r>
      <w:r w:rsidR="00D4780D">
        <w:rPr>
          <w:rFonts w:ascii="Arial" w:eastAsia="Yu Mincho" w:hAnsi="Arial" w:cs="Arial"/>
          <w:b/>
          <w:bCs/>
          <w:kern w:val="2"/>
          <w:sz w:val="24"/>
          <w:szCs w:val="24"/>
          <w:lang w:val="en-US" w:eastAsia="ja-JP"/>
        </w:rPr>
        <w:t>. Effect of MEBD</w:t>
      </w:r>
      <w:r w:rsidR="00BD500A" w:rsidRPr="00BD500A">
        <w:rPr>
          <w:rFonts w:ascii="Arial" w:eastAsia="Yu Mincho" w:hAnsi="Arial" w:cs="Arial"/>
          <w:b/>
          <w:bCs/>
          <w:kern w:val="2"/>
          <w:sz w:val="24"/>
          <w:szCs w:val="24"/>
          <w:lang w:val="en-US" w:eastAsia="ja-JP"/>
        </w:rPr>
        <w:t xml:space="preserve"> on Thiopental Sodium Induced Sleeping Time Test</w:t>
      </w:r>
    </w:p>
    <w:tbl>
      <w:tblPr>
        <w:tblStyle w:val="TableGrid"/>
        <w:tblW w:w="0" w:type="auto"/>
        <w:tblLook w:val="04A0" w:firstRow="1" w:lastRow="0" w:firstColumn="1" w:lastColumn="0" w:noHBand="0" w:noVBand="1"/>
      </w:tblPr>
      <w:tblGrid>
        <w:gridCol w:w="2251"/>
        <w:gridCol w:w="2256"/>
        <w:gridCol w:w="2246"/>
        <w:gridCol w:w="2263"/>
      </w:tblGrid>
      <w:tr w:rsidR="00BD500A" w:rsidRPr="00BD500A" w14:paraId="64235249" w14:textId="77777777" w:rsidTr="00914936">
        <w:trPr>
          <w:trHeight w:val="470"/>
        </w:trPr>
        <w:tc>
          <w:tcPr>
            <w:tcW w:w="2337" w:type="dxa"/>
            <w:vMerge w:val="restart"/>
          </w:tcPr>
          <w:p w14:paraId="58371067" w14:textId="77777777" w:rsidR="00BD500A" w:rsidRPr="00A2239A" w:rsidRDefault="00BD500A" w:rsidP="00BD500A">
            <w:pPr>
              <w:jc w:val="center"/>
              <w:rPr>
                <w:rFonts w:ascii="Arial" w:hAnsi="Arial" w:cs="Arial"/>
                <w:b/>
                <w:bCs/>
              </w:rPr>
            </w:pPr>
            <w:r w:rsidRPr="00A2239A">
              <w:rPr>
                <w:rFonts w:ascii="Arial" w:hAnsi="Arial" w:cs="Arial"/>
                <w:b/>
                <w:bCs/>
              </w:rPr>
              <w:t>Treatment</w:t>
            </w:r>
          </w:p>
        </w:tc>
        <w:tc>
          <w:tcPr>
            <w:tcW w:w="2337" w:type="dxa"/>
            <w:vMerge w:val="restart"/>
          </w:tcPr>
          <w:p w14:paraId="537D3701" w14:textId="77777777" w:rsidR="00BD500A" w:rsidRPr="00A2239A" w:rsidRDefault="00BD500A" w:rsidP="00BD500A">
            <w:pPr>
              <w:jc w:val="center"/>
              <w:rPr>
                <w:rFonts w:ascii="Arial" w:hAnsi="Arial" w:cs="Arial"/>
                <w:b/>
                <w:bCs/>
              </w:rPr>
            </w:pPr>
            <w:r w:rsidRPr="00A2239A">
              <w:rPr>
                <w:rFonts w:ascii="Arial" w:hAnsi="Arial" w:cs="Arial"/>
                <w:b/>
                <w:bCs/>
              </w:rPr>
              <w:t>Dose</w:t>
            </w:r>
          </w:p>
        </w:tc>
        <w:tc>
          <w:tcPr>
            <w:tcW w:w="4676" w:type="dxa"/>
            <w:gridSpan w:val="2"/>
          </w:tcPr>
          <w:p w14:paraId="05B3F74F" w14:textId="77777777" w:rsidR="00BD500A" w:rsidRPr="00A2239A" w:rsidRDefault="00BD500A" w:rsidP="00BD500A">
            <w:pPr>
              <w:jc w:val="center"/>
              <w:rPr>
                <w:rFonts w:ascii="Arial" w:hAnsi="Arial" w:cs="Arial"/>
                <w:b/>
                <w:bCs/>
              </w:rPr>
            </w:pPr>
            <w:r w:rsidRPr="00A2239A">
              <w:rPr>
                <w:rFonts w:ascii="Arial" w:hAnsi="Arial" w:cs="Arial"/>
                <w:b/>
                <w:bCs/>
              </w:rPr>
              <w:t>Thiopental Sodium induced sleeping time</w:t>
            </w:r>
          </w:p>
        </w:tc>
      </w:tr>
      <w:tr w:rsidR="00BD500A" w:rsidRPr="00BD500A" w14:paraId="684DC84A" w14:textId="77777777" w:rsidTr="00914936">
        <w:tc>
          <w:tcPr>
            <w:tcW w:w="2337" w:type="dxa"/>
            <w:vMerge/>
          </w:tcPr>
          <w:p w14:paraId="3A18AA63" w14:textId="77777777" w:rsidR="00BD500A" w:rsidRPr="00BD500A" w:rsidRDefault="00BD500A" w:rsidP="00BD500A">
            <w:pPr>
              <w:jc w:val="center"/>
              <w:rPr>
                <w:rFonts w:ascii="Arial" w:hAnsi="Arial" w:cs="Arial"/>
              </w:rPr>
            </w:pPr>
          </w:p>
        </w:tc>
        <w:tc>
          <w:tcPr>
            <w:tcW w:w="2337" w:type="dxa"/>
            <w:vMerge/>
          </w:tcPr>
          <w:p w14:paraId="5F4D7912" w14:textId="77777777" w:rsidR="00BD500A" w:rsidRPr="00BD500A" w:rsidRDefault="00BD500A" w:rsidP="00BD500A">
            <w:pPr>
              <w:jc w:val="center"/>
              <w:rPr>
                <w:rFonts w:ascii="Arial" w:hAnsi="Arial" w:cs="Arial"/>
              </w:rPr>
            </w:pPr>
          </w:p>
        </w:tc>
        <w:tc>
          <w:tcPr>
            <w:tcW w:w="2338" w:type="dxa"/>
          </w:tcPr>
          <w:p w14:paraId="3A2A90F7" w14:textId="77777777" w:rsidR="00BD500A" w:rsidRPr="00A2239A" w:rsidRDefault="00BD500A" w:rsidP="00BD500A">
            <w:pPr>
              <w:jc w:val="center"/>
              <w:rPr>
                <w:rFonts w:ascii="Arial" w:hAnsi="Arial" w:cs="Arial"/>
                <w:b/>
                <w:bCs/>
              </w:rPr>
            </w:pPr>
            <w:r w:rsidRPr="00A2239A">
              <w:rPr>
                <w:rFonts w:ascii="Arial" w:hAnsi="Arial" w:cs="Arial"/>
                <w:b/>
                <w:bCs/>
              </w:rPr>
              <w:t>Onset of action (min)</w:t>
            </w:r>
          </w:p>
        </w:tc>
        <w:tc>
          <w:tcPr>
            <w:tcW w:w="2338" w:type="dxa"/>
          </w:tcPr>
          <w:p w14:paraId="0E081D04" w14:textId="77777777" w:rsidR="00BD500A" w:rsidRPr="00A2239A" w:rsidRDefault="00BD500A" w:rsidP="00BD500A">
            <w:pPr>
              <w:jc w:val="center"/>
              <w:rPr>
                <w:rFonts w:ascii="Arial" w:hAnsi="Arial" w:cs="Arial"/>
                <w:b/>
                <w:bCs/>
              </w:rPr>
            </w:pPr>
            <w:r w:rsidRPr="00A2239A">
              <w:rPr>
                <w:rFonts w:ascii="Arial" w:hAnsi="Arial" w:cs="Arial"/>
                <w:b/>
                <w:bCs/>
              </w:rPr>
              <w:t>Duration in total (min)</w:t>
            </w:r>
          </w:p>
        </w:tc>
      </w:tr>
      <w:tr w:rsidR="00BD500A" w:rsidRPr="00BD500A" w14:paraId="7396395E" w14:textId="77777777" w:rsidTr="00914936">
        <w:tc>
          <w:tcPr>
            <w:tcW w:w="2337" w:type="dxa"/>
          </w:tcPr>
          <w:p w14:paraId="0B09B4AC" w14:textId="77777777" w:rsidR="00BD500A" w:rsidRPr="00BD500A" w:rsidRDefault="00BD500A" w:rsidP="00BD500A">
            <w:pPr>
              <w:jc w:val="center"/>
              <w:rPr>
                <w:rFonts w:ascii="Arial" w:hAnsi="Arial" w:cs="Arial"/>
              </w:rPr>
            </w:pPr>
            <w:r w:rsidRPr="00BD500A">
              <w:rPr>
                <w:rFonts w:ascii="Arial" w:hAnsi="Arial" w:cs="Arial"/>
              </w:rPr>
              <w:t>Control</w:t>
            </w:r>
          </w:p>
        </w:tc>
        <w:tc>
          <w:tcPr>
            <w:tcW w:w="2337" w:type="dxa"/>
          </w:tcPr>
          <w:p w14:paraId="0E64F2A5" w14:textId="77777777" w:rsidR="00BD500A" w:rsidRPr="00BD500A" w:rsidRDefault="00BD500A" w:rsidP="00BD500A">
            <w:pPr>
              <w:jc w:val="center"/>
              <w:rPr>
                <w:rFonts w:ascii="Arial" w:hAnsi="Arial" w:cs="Arial"/>
              </w:rPr>
            </w:pPr>
            <w:r w:rsidRPr="00BD500A">
              <w:rPr>
                <w:rFonts w:ascii="Arial" w:hAnsi="Arial" w:cs="Arial"/>
              </w:rPr>
              <w:t>0.1mL/mice</w:t>
            </w:r>
          </w:p>
        </w:tc>
        <w:tc>
          <w:tcPr>
            <w:tcW w:w="2338" w:type="dxa"/>
          </w:tcPr>
          <w:p w14:paraId="51BD5458" w14:textId="77777777" w:rsidR="00BD500A" w:rsidRPr="00BD500A" w:rsidRDefault="00BD500A" w:rsidP="00BD500A">
            <w:pPr>
              <w:jc w:val="center"/>
              <w:rPr>
                <w:rFonts w:ascii="Arial" w:hAnsi="Arial" w:cs="Arial"/>
              </w:rPr>
            </w:pPr>
            <w:r w:rsidRPr="00BD500A">
              <w:rPr>
                <w:rFonts w:ascii="Arial" w:hAnsi="Arial" w:cs="Arial"/>
              </w:rPr>
              <w:t>5.65±1.06</w:t>
            </w:r>
          </w:p>
        </w:tc>
        <w:tc>
          <w:tcPr>
            <w:tcW w:w="2338" w:type="dxa"/>
          </w:tcPr>
          <w:p w14:paraId="67599AD8" w14:textId="77777777" w:rsidR="00BD500A" w:rsidRPr="00BD500A" w:rsidRDefault="00BD500A" w:rsidP="00BD500A">
            <w:pPr>
              <w:jc w:val="center"/>
              <w:rPr>
                <w:rFonts w:ascii="Arial" w:hAnsi="Arial" w:cs="Arial"/>
              </w:rPr>
            </w:pPr>
            <w:r w:rsidRPr="00BD500A">
              <w:rPr>
                <w:rFonts w:ascii="Arial" w:hAnsi="Arial" w:cs="Arial"/>
              </w:rPr>
              <w:t>59.0±1.67</w:t>
            </w:r>
          </w:p>
        </w:tc>
      </w:tr>
      <w:tr w:rsidR="00BD500A" w:rsidRPr="00BD500A" w14:paraId="52BBFC8A" w14:textId="77777777" w:rsidTr="00914936">
        <w:tc>
          <w:tcPr>
            <w:tcW w:w="2337" w:type="dxa"/>
          </w:tcPr>
          <w:p w14:paraId="6523B060" w14:textId="77777777" w:rsidR="00BD500A" w:rsidRPr="00BD500A" w:rsidRDefault="00BD500A" w:rsidP="00BD500A">
            <w:pPr>
              <w:jc w:val="center"/>
              <w:rPr>
                <w:rFonts w:ascii="Arial" w:hAnsi="Arial" w:cs="Arial"/>
              </w:rPr>
            </w:pPr>
            <w:r w:rsidRPr="00BD500A">
              <w:rPr>
                <w:rFonts w:ascii="Arial" w:hAnsi="Arial" w:cs="Arial"/>
              </w:rPr>
              <w:t>Diazepam</w:t>
            </w:r>
          </w:p>
        </w:tc>
        <w:tc>
          <w:tcPr>
            <w:tcW w:w="2337" w:type="dxa"/>
          </w:tcPr>
          <w:p w14:paraId="25323C00" w14:textId="77777777" w:rsidR="00BD500A" w:rsidRPr="00BD500A" w:rsidRDefault="00BD500A" w:rsidP="00BD500A">
            <w:pPr>
              <w:jc w:val="center"/>
              <w:rPr>
                <w:rFonts w:ascii="Arial" w:hAnsi="Arial" w:cs="Arial"/>
              </w:rPr>
            </w:pPr>
            <w:r w:rsidRPr="00BD500A">
              <w:rPr>
                <w:rFonts w:ascii="Arial" w:hAnsi="Arial" w:cs="Arial"/>
              </w:rPr>
              <w:t>1</w:t>
            </w:r>
          </w:p>
        </w:tc>
        <w:tc>
          <w:tcPr>
            <w:tcW w:w="2338" w:type="dxa"/>
          </w:tcPr>
          <w:p w14:paraId="13349FC6" w14:textId="77777777" w:rsidR="00BD500A" w:rsidRPr="00BD500A" w:rsidRDefault="00BD500A" w:rsidP="00BD500A">
            <w:pPr>
              <w:jc w:val="center"/>
              <w:rPr>
                <w:rFonts w:ascii="Arial" w:hAnsi="Arial" w:cs="Arial"/>
              </w:rPr>
            </w:pPr>
            <w:r w:rsidRPr="00BD500A">
              <w:rPr>
                <w:rFonts w:ascii="Arial" w:hAnsi="Arial" w:cs="Arial"/>
              </w:rPr>
              <w:t>2.77±0.24</w:t>
            </w:r>
          </w:p>
        </w:tc>
        <w:tc>
          <w:tcPr>
            <w:tcW w:w="2338" w:type="dxa"/>
          </w:tcPr>
          <w:p w14:paraId="64E22540" w14:textId="77777777" w:rsidR="00BD500A" w:rsidRPr="00BD500A" w:rsidRDefault="00BD500A" w:rsidP="00BD500A">
            <w:pPr>
              <w:jc w:val="center"/>
              <w:rPr>
                <w:rFonts w:ascii="Arial" w:hAnsi="Arial" w:cs="Arial"/>
              </w:rPr>
            </w:pPr>
            <w:r w:rsidRPr="00BD500A">
              <w:rPr>
                <w:rFonts w:ascii="Arial" w:hAnsi="Arial" w:cs="Arial"/>
              </w:rPr>
              <w:t>13</w:t>
            </w:r>
            <w:r w:rsidR="00A2239A">
              <w:rPr>
                <w:rFonts w:ascii="Arial" w:hAnsi="Arial" w:cs="Arial"/>
              </w:rPr>
              <w:t>3</w:t>
            </w:r>
            <w:r w:rsidRPr="00BD500A">
              <w:rPr>
                <w:rFonts w:ascii="Arial" w:hAnsi="Arial" w:cs="Arial"/>
              </w:rPr>
              <w:t>.</w:t>
            </w:r>
            <w:r w:rsidR="00A2239A">
              <w:rPr>
                <w:rFonts w:ascii="Arial" w:hAnsi="Arial" w:cs="Arial"/>
              </w:rPr>
              <w:t>70</w:t>
            </w:r>
            <w:r w:rsidRPr="00BD500A">
              <w:rPr>
                <w:rFonts w:ascii="Arial" w:hAnsi="Arial" w:cs="Arial"/>
              </w:rPr>
              <w:t>±1.3</w:t>
            </w:r>
            <w:r w:rsidR="00A2239A">
              <w:rPr>
                <w:rFonts w:ascii="Arial" w:hAnsi="Arial" w:cs="Arial"/>
              </w:rPr>
              <w:t>5</w:t>
            </w:r>
          </w:p>
        </w:tc>
      </w:tr>
      <w:tr w:rsidR="00BD500A" w:rsidRPr="00BD500A" w14:paraId="46F96A45" w14:textId="77777777" w:rsidTr="00914936">
        <w:tc>
          <w:tcPr>
            <w:tcW w:w="2337" w:type="dxa"/>
          </w:tcPr>
          <w:p w14:paraId="10D41061" w14:textId="77777777" w:rsidR="00BD500A" w:rsidRPr="00BD500A" w:rsidRDefault="00BD500A" w:rsidP="00BD500A">
            <w:pPr>
              <w:jc w:val="center"/>
              <w:rPr>
                <w:rFonts w:ascii="Arial" w:hAnsi="Arial" w:cs="Arial"/>
              </w:rPr>
            </w:pPr>
            <w:r w:rsidRPr="00BD500A">
              <w:rPr>
                <w:rFonts w:ascii="Arial" w:hAnsi="Arial" w:cs="Arial"/>
              </w:rPr>
              <w:t>ME</w:t>
            </w:r>
            <w:r w:rsidR="00A2239A">
              <w:rPr>
                <w:rFonts w:ascii="Arial" w:hAnsi="Arial" w:cs="Arial"/>
              </w:rPr>
              <w:t>BD</w:t>
            </w:r>
          </w:p>
        </w:tc>
        <w:tc>
          <w:tcPr>
            <w:tcW w:w="2337" w:type="dxa"/>
          </w:tcPr>
          <w:p w14:paraId="32850F56" w14:textId="77777777" w:rsidR="00BD500A" w:rsidRPr="00BD500A" w:rsidRDefault="00BD500A" w:rsidP="00BD500A">
            <w:pPr>
              <w:jc w:val="center"/>
              <w:rPr>
                <w:rFonts w:ascii="Arial" w:hAnsi="Arial" w:cs="Arial"/>
              </w:rPr>
            </w:pPr>
            <w:r w:rsidRPr="00BD500A">
              <w:rPr>
                <w:rFonts w:ascii="Arial" w:hAnsi="Arial" w:cs="Arial"/>
              </w:rPr>
              <w:t>200</w:t>
            </w:r>
          </w:p>
        </w:tc>
        <w:tc>
          <w:tcPr>
            <w:tcW w:w="2338" w:type="dxa"/>
          </w:tcPr>
          <w:p w14:paraId="35AA35A0" w14:textId="77777777" w:rsidR="00BD500A" w:rsidRPr="00BD500A" w:rsidRDefault="00BD500A" w:rsidP="00BD500A">
            <w:pPr>
              <w:jc w:val="center"/>
              <w:rPr>
                <w:rFonts w:ascii="Arial" w:hAnsi="Arial" w:cs="Arial"/>
              </w:rPr>
            </w:pPr>
            <w:r w:rsidRPr="00BD500A">
              <w:rPr>
                <w:rFonts w:ascii="Arial" w:hAnsi="Arial" w:cs="Arial"/>
              </w:rPr>
              <w:t>4.9</w:t>
            </w:r>
            <w:r w:rsidR="00A2239A">
              <w:rPr>
                <w:rFonts w:ascii="Arial" w:hAnsi="Arial" w:cs="Arial"/>
              </w:rPr>
              <w:t>1</w:t>
            </w:r>
            <w:r w:rsidRPr="00BD500A">
              <w:rPr>
                <w:rFonts w:ascii="Arial" w:hAnsi="Arial" w:cs="Arial"/>
              </w:rPr>
              <w:t>±0.</w:t>
            </w:r>
            <w:r w:rsidR="00A2239A">
              <w:rPr>
                <w:rFonts w:ascii="Arial" w:hAnsi="Arial" w:cs="Arial"/>
              </w:rPr>
              <w:t>49</w:t>
            </w:r>
          </w:p>
        </w:tc>
        <w:tc>
          <w:tcPr>
            <w:tcW w:w="2338" w:type="dxa"/>
          </w:tcPr>
          <w:p w14:paraId="5DD81DBB" w14:textId="77777777" w:rsidR="00BD500A" w:rsidRPr="00BD500A" w:rsidRDefault="00BD500A" w:rsidP="00BD500A">
            <w:pPr>
              <w:jc w:val="center"/>
              <w:rPr>
                <w:rFonts w:ascii="Arial" w:hAnsi="Arial" w:cs="Arial"/>
              </w:rPr>
            </w:pPr>
            <w:r w:rsidRPr="00BD500A">
              <w:rPr>
                <w:rFonts w:ascii="Arial" w:hAnsi="Arial" w:cs="Arial"/>
              </w:rPr>
              <w:t>11</w:t>
            </w:r>
            <w:r w:rsidR="00A2239A">
              <w:rPr>
                <w:rFonts w:ascii="Arial" w:hAnsi="Arial" w:cs="Arial"/>
              </w:rPr>
              <w:t>5</w:t>
            </w:r>
            <w:r w:rsidRPr="00BD500A">
              <w:rPr>
                <w:rFonts w:ascii="Arial" w:hAnsi="Arial" w:cs="Arial"/>
              </w:rPr>
              <w:t>.2±15.</w:t>
            </w:r>
            <w:r w:rsidR="00A2239A">
              <w:rPr>
                <w:rFonts w:ascii="Arial" w:hAnsi="Arial" w:cs="Arial"/>
              </w:rPr>
              <w:t>21</w:t>
            </w:r>
          </w:p>
        </w:tc>
      </w:tr>
      <w:tr w:rsidR="00BD500A" w:rsidRPr="00BD500A" w14:paraId="5FC49683" w14:textId="77777777" w:rsidTr="00914936">
        <w:tc>
          <w:tcPr>
            <w:tcW w:w="2337" w:type="dxa"/>
          </w:tcPr>
          <w:p w14:paraId="696EC303" w14:textId="77777777" w:rsidR="00BD500A" w:rsidRPr="00BD500A" w:rsidRDefault="00BD500A" w:rsidP="00BD500A">
            <w:pPr>
              <w:jc w:val="center"/>
              <w:rPr>
                <w:rFonts w:ascii="Arial" w:hAnsi="Arial" w:cs="Arial"/>
              </w:rPr>
            </w:pPr>
            <w:r w:rsidRPr="00BD500A">
              <w:rPr>
                <w:rFonts w:ascii="Arial" w:hAnsi="Arial" w:cs="Arial"/>
              </w:rPr>
              <w:t>ME</w:t>
            </w:r>
            <w:r w:rsidR="00A2239A">
              <w:rPr>
                <w:rFonts w:ascii="Arial" w:hAnsi="Arial" w:cs="Arial"/>
              </w:rPr>
              <w:t>BD</w:t>
            </w:r>
          </w:p>
        </w:tc>
        <w:tc>
          <w:tcPr>
            <w:tcW w:w="2337" w:type="dxa"/>
          </w:tcPr>
          <w:p w14:paraId="593C4426" w14:textId="77777777" w:rsidR="00BD500A" w:rsidRPr="00BD500A" w:rsidRDefault="00BD500A" w:rsidP="00BD500A">
            <w:pPr>
              <w:jc w:val="center"/>
              <w:rPr>
                <w:rFonts w:ascii="Arial" w:hAnsi="Arial" w:cs="Arial"/>
              </w:rPr>
            </w:pPr>
            <w:r w:rsidRPr="00BD500A">
              <w:rPr>
                <w:rFonts w:ascii="Arial" w:hAnsi="Arial" w:cs="Arial"/>
              </w:rPr>
              <w:t>400</w:t>
            </w:r>
          </w:p>
        </w:tc>
        <w:tc>
          <w:tcPr>
            <w:tcW w:w="2338" w:type="dxa"/>
          </w:tcPr>
          <w:p w14:paraId="780F3B85" w14:textId="77777777" w:rsidR="00BD500A" w:rsidRPr="00BD500A" w:rsidRDefault="00BD500A" w:rsidP="00BD500A">
            <w:pPr>
              <w:jc w:val="center"/>
              <w:rPr>
                <w:rFonts w:ascii="Arial" w:hAnsi="Arial" w:cs="Arial"/>
              </w:rPr>
            </w:pPr>
            <w:r w:rsidRPr="00BD500A">
              <w:rPr>
                <w:rFonts w:ascii="Arial" w:hAnsi="Arial" w:cs="Arial"/>
              </w:rPr>
              <w:t>3.3</w:t>
            </w:r>
            <w:r w:rsidR="00A2239A">
              <w:rPr>
                <w:rFonts w:ascii="Arial" w:hAnsi="Arial" w:cs="Arial"/>
              </w:rPr>
              <w:t>6</w:t>
            </w:r>
            <w:r w:rsidRPr="00BD500A">
              <w:rPr>
                <w:rFonts w:ascii="Arial" w:hAnsi="Arial" w:cs="Arial"/>
              </w:rPr>
              <w:t>±0.</w:t>
            </w:r>
            <w:r w:rsidR="00A2239A">
              <w:rPr>
                <w:rFonts w:ascii="Arial" w:hAnsi="Arial" w:cs="Arial"/>
              </w:rPr>
              <w:t>31</w:t>
            </w:r>
          </w:p>
        </w:tc>
        <w:tc>
          <w:tcPr>
            <w:tcW w:w="2338" w:type="dxa"/>
          </w:tcPr>
          <w:p w14:paraId="7B6B55B9" w14:textId="77777777" w:rsidR="00BD500A" w:rsidRPr="00BD500A" w:rsidRDefault="00BD500A" w:rsidP="00BD500A">
            <w:pPr>
              <w:jc w:val="center"/>
              <w:rPr>
                <w:rFonts w:ascii="Arial" w:hAnsi="Arial" w:cs="Arial"/>
              </w:rPr>
            </w:pPr>
            <w:r w:rsidRPr="00BD500A">
              <w:rPr>
                <w:rFonts w:ascii="Arial" w:hAnsi="Arial" w:cs="Arial"/>
              </w:rPr>
              <w:t>13</w:t>
            </w:r>
            <w:r w:rsidR="00A2239A">
              <w:rPr>
                <w:rFonts w:ascii="Arial" w:hAnsi="Arial" w:cs="Arial"/>
              </w:rPr>
              <w:t>2</w:t>
            </w:r>
            <w:r w:rsidRPr="00BD500A">
              <w:rPr>
                <w:rFonts w:ascii="Arial" w:hAnsi="Arial" w:cs="Arial"/>
              </w:rPr>
              <w:t>.</w:t>
            </w:r>
            <w:r w:rsidR="00A2239A">
              <w:rPr>
                <w:rFonts w:ascii="Arial" w:hAnsi="Arial" w:cs="Arial"/>
              </w:rPr>
              <w:t>2</w:t>
            </w:r>
            <w:r w:rsidRPr="00BD500A">
              <w:rPr>
                <w:rFonts w:ascii="Arial" w:hAnsi="Arial" w:cs="Arial"/>
              </w:rPr>
              <w:t>±6.0</w:t>
            </w:r>
            <w:r w:rsidR="00A2239A">
              <w:rPr>
                <w:rFonts w:ascii="Arial" w:hAnsi="Arial" w:cs="Arial"/>
              </w:rPr>
              <w:t>2</w:t>
            </w:r>
          </w:p>
        </w:tc>
      </w:tr>
    </w:tbl>
    <w:p w14:paraId="13CF069F" w14:textId="77777777" w:rsidR="00BD500A" w:rsidRDefault="00BD500A" w:rsidP="00BD500A">
      <w:pPr>
        <w:jc w:val="both"/>
        <w:rPr>
          <w:rFonts w:ascii="Arial" w:hAnsi="Arial" w:cs="Arial"/>
          <w:sz w:val="24"/>
          <w:lang w:val="en-US"/>
        </w:rPr>
      </w:pPr>
    </w:p>
    <w:p w14:paraId="083DABE0" w14:textId="77777777" w:rsidR="005B3FD0" w:rsidRDefault="005B3FD0" w:rsidP="00BD500A">
      <w:pPr>
        <w:jc w:val="both"/>
        <w:rPr>
          <w:rFonts w:ascii="Arial" w:hAnsi="Arial" w:cs="Arial"/>
          <w:sz w:val="24"/>
        </w:rPr>
      </w:pPr>
      <w:r w:rsidRPr="005B3FD0">
        <w:rPr>
          <w:rFonts w:ascii="Arial" w:hAnsi="Arial" w:cs="Arial"/>
          <w:sz w:val="24"/>
        </w:rPr>
        <w:t>The data presented in Table 3 is gra</w:t>
      </w:r>
      <w:r>
        <w:rPr>
          <w:rFonts w:ascii="Arial" w:hAnsi="Arial" w:cs="Arial"/>
          <w:sz w:val="24"/>
        </w:rPr>
        <w:t>phically illustrated in Figure 3</w:t>
      </w:r>
      <w:r w:rsidRPr="005B3FD0">
        <w:rPr>
          <w:rFonts w:ascii="Arial" w:hAnsi="Arial" w:cs="Arial"/>
          <w:sz w:val="24"/>
        </w:rPr>
        <w:t>, demonstrating the effect of MEBD on thiopental sodium-induced sleeping time.</w:t>
      </w:r>
    </w:p>
    <w:p w14:paraId="40F766FF" w14:textId="77777777" w:rsidR="005B3FD0" w:rsidRDefault="005B3FD0" w:rsidP="005B3FD0">
      <w:pPr>
        <w:jc w:val="center"/>
        <w:rPr>
          <w:rFonts w:ascii="Arial" w:hAnsi="Arial" w:cs="Arial"/>
          <w:sz w:val="28"/>
          <w:lang w:val="en-US"/>
        </w:rPr>
      </w:pPr>
      <w:r w:rsidRPr="000236F1">
        <w:rPr>
          <w:b/>
          <w:noProof/>
          <w:lang w:val="en-US" w:bidi="te-IN"/>
        </w:rPr>
        <w:drawing>
          <wp:inline distT="0" distB="0" distL="0" distR="0" wp14:anchorId="69BA7462" wp14:editId="310FCB57">
            <wp:extent cx="3155287" cy="2494236"/>
            <wp:effectExtent l="0" t="0" r="7620" b="1905"/>
            <wp:docPr id="3" name="Picture 3" descr="G:\Dhanda\Navid Rafi\figs\downloa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Dhanda\Navid Rafi\figs\download (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8994" cy="2505072"/>
                    </a:xfrm>
                    <a:prstGeom prst="rect">
                      <a:avLst/>
                    </a:prstGeom>
                    <a:noFill/>
                    <a:ln>
                      <a:noFill/>
                    </a:ln>
                  </pic:spPr>
                </pic:pic>
              </a:graphicData>
            </a:graphic>
          </wp:inline>
        </w:drawing>
      </w:r>
    </w:p>
    <w:p w14:paraId="6E372E6F" w14:textId="77777777" w:rsidR="005B3FD0" w:rsidRPr="005B3FD0" w:rsidRDefault="005B3FD0" w:rsidP="005B3FD0">
      <w:pPr>
        <w:jc w:val="center"/>
        <w:rPr>
          <w:rFonts w:ascii="Arial" w:hAnsi="Arial" w:cs="Arial"/>
          <w:sz w:val="20"/>
        </w:rPr>
      </w:pPr>
      <w:r>
        <w:rPr>
          <w:rStyle w:val="Strong"/>
          <w:rFonts w:ascii="Arial" w:hAnsi="Arial" w:cs="Arial"/>
          <w:b w:val="0"/>
          <w:sz w:val="20"/>
        </w:rPr>
        <w:t>Fig. 3</w:t>
      </w:r>
      <w:r w:rsidRPr="005B3FD0">
        <w:rPr>
          <w:rStyle w:val="Strong"/>
          <w:rFonts w:ascii="Arial" w:hAnsi="Arial" w:cs="Arial"/>
          <w:b w:val="0"/>
          <w:sz w:val="20"/>
        </w:rPr>
        <w:t>:</w:t>
      </w:r>
      <w:r w:rsidRPr="005B3FD0">
        <w:rPr>
          <w:rFonts w:ascii="Arial" w:hAnsi="Arial" w:cs="Arial"/>
          <w:sz w:val="20"/>
        </w:rPr>
        <w:t xml:space="preserve"> Effect of MEBD on thiopental sodium-induced sleep onset and duration in mice.</w:t>
      </w:r>
    </w:p>
    <w:p w14:paraId="55FD4472" w14:textId="77777777" w:rsidR="005B3FD0" w:rsidRPr="005B3FD0" w:rsidRDefault="005B3FD0" w:rsidP="005B3FD0">
      <w:r>
        <w:t>Figure 3 illustrates the effect of MEBD on thiopental sodium-induced sleep in mice. The extract significantly reduced the onset time and increased the total sleep duration in a dose-dependent manner, comparable to the standard drug, diazepam.</w:t>
      </w:r>
    </w:p>
    <w:p w14:paraId="7037A772" w14:textId="77777777" w:rsidR="00BD500A" w:rsidRPr="00BD500A" w:rsidRDefault="00BD500A" w:rsidP="00E43A14">
      <w:pPr>
        <w:jc w:val="both"/>
        <w:rPr>
          <w:rFonts w:ascii="Arial" w:hAnsi="Arial" w:cs="Arial"/>
          <w:b/>
          <w:bCs/>
          <w:sz w:val="24"/>
          <w:lang w:val="en-US"/>
        </w:rPr>
      </w:pPr>
      <w:r w:rsidRPr="00BD500A">
        <w:rPr>
          <w:rFonts w:ascii="Arial" w:hAnsi="Arial" w:cs="Arial"/>
          <w:b/>
          <w:bCs/>
          <w:sz w:val="24"/>
          <w:lang w:val="en-US"/>
        </w:rPr>
        <w:t>5.3.2 Forced swimming test</w:t>
      </w:r>
    </w:p>
    <w:p w14:paraId="221FBF0C" w14:textId="2BE5DF72" w:rsidR="00BD500A" w:rsidRPr="00BD500A" w:rsidRDefault="00BD500A" w:rsidP="00BD500A">
      <w:pPr>
        <w:jc w:val="both"/>
        <w:rPr>
          <w:rFonts w:ascii="Arial" w:hAnsi="Arial" w:cs="Arial"/>
          <w:sz w:val="24"/>
          <w:lang w:val="en-US"/>
        </w:rPr>
      </w:pPr>
      <w:r w:rsidRPr="00BD500A">
        <w:rPr>
          <w:rFonts w:ascii="Arial" w:hAnsi="Arial" w:cs="Arial"/>
          <w:sz w:val="24"/>
          <w:lang w:val="en-US"/>
        </w:rPr>
        <w:t xml:space="preserve">The administration of MEBD at doses of 200 and 400 mg/kg resulted in a significant prolongation of immobility time when compared to the control group. In the murine model, administration of the standard pharmacological agent diazepam (1 mg/kg, </w:t>
      </w:r>
      <w:proofErr w:type="spellStart"/>
      <w:r w:rsidRPr="00BD500A">
        <w:rPr>
          <w:rFonts w:ascii="Arial" w:hAnsi="Arial" w:cs="Arial"/>
          <w:sz w:val="24"/>
          <w:lang w:val="en-US"/>
        </w:rPr>
        <w:t>i.p.</w:t>
      </w:r>
      <w:proofErr w:type="spellEnd"/>
      <w:r w:rsidRPr="00BD500A">
        <w:rPr>
          <w:rFonts w:ascii="Arial" w:hAnsi="Arial" w:cs="Arial"/>
          <w:sz w:val="24"/>
          <w:lang w:val="en-US"/>
        </w:rPr>
        <w:t xml:space="preserve">) significantly enhanced the duration of immobility observed. The most pronounced depressive effect of </w:t>
      </w:r>
      <w:proofErr w:type="spellStart"/>
      <w:r w:rsidR="00A2239A" w:rsidRPr="00A2239A">
        <w:rPr>
          <w:rFonts w:ascii="Arial" w:hAnsi="Arial" w:cs="Arial"/>
          <w:i/>
          <w:sz w:val="24"/>
        </w:rPr>
        <w:t>Boerhavia</w:t>
      </w:r>
      <w:proofErr w:type="spellEnd"/>
      <w:r w:rsidR="00AB56EE">
        <w:rPr>
          <w:rFonts w:ascii="Arial" w:hAnsi="Arial" w:cs="Arial"/>
          <w:i/>
          <w:sz w:val="24"/>
        </w:rPr>
        <w:t xml:space="preserve"> </w:t>
      </w:r>
      <w:proofErr w:type="spellStart"/>
      <w:r w:rsidR="00A2239A" w:rsidRPr="00A2239A">
        <w:rPr>
          <w:rFonts w:ascii="Arial" w:hAnsi="Arial" w:cs="Arial"/>
          <w:i/>
          <w:sz w:val="24"/>
        </w:rPr>
        <w:t>diffusa</w:t>
      </w:r>
      <w:proofErr w:type="spellEnd"/>
      <w:r w:rsidR="00484EC2">
        <w:rPr>
          <w:rFonts w:ascii="Arial" w:hAnsi="Arial" w:cs="Arial"/>
          <w:i/>
          <w:sz w:val="24"/>
        </w:rPr>
        <w:t xml:space="preserve"> </w:t>
      </w:r>
      <w:r w:rsidRPr="00BD500A">
        <w:rPr>
          <w:rFonts w:ascii="Arial" w:hAnsi="Arial" w:cs="Arial"/>
          <w:sz w:val="24"/>
          <w:lang w:val="en-US"/>
        </w:rPr>
        <w:t>was noted at a dosage of 200</w:t>
      </w:r>
      <w:r w:rsidR="00C82BE7">
        <w:rPr>
          <w:rFonts w:ascii="Arial" w:hAnsi="Arial" w:cs="Arial"/>
          <w:sz w:val="24"/>
          <w:lang w:val="en-US"/>
        </w:rPr>
        <w:t xml:space="preserve"> mg/kg (Table 4</w:t>
      </w:r>
      <w:r w:rsidRPr="00BD500A">
        <w:rPr>
          <w:rFonts w:ascii="Arial" w:hAnsi="Arial" w:cs="Arial"/>
          <w:sz w:val="24"/>
          <w:lang w:val="en-US"/>
        </w:rPr>
        <w:t>).</w:t>
      </w:r>
    </w:p>
    <w:p w14:paraId="36F0E1F0" w14:textId="77777777" w:rsidR="00BD500A" w:rsidRPr="00BD500A" w:rsidRDefault="00C82BE7" w:rsidP="00BD500A">
      <w:pPr>
        <w:jc w:val="center"/>
        <w:rPr>
          <w:rFonts w:ascii="Arial" w:eastAsia="Yu Mincho" w:hAnsi="Arial" w:cs="Arial"/>
          <w:b/>
          <w:bCs/>
          <w:kern w:val="2"/>
          <w:sz w:val="24"/>
          <w:szCs w:val="24"/>
          <w:lang w:val="en-US" w:eastAsia="ja-JP"/>
        </w:rPr>
      </w:pPr>
      <w:bookmarkStart w:id="7" w:name="_Hlk169012823"/>
      <w:r>
        <w:rPr>
          <w:rFonts w:ascii="Arial" w:eastAsia="Yu Mincho" w:hAnsi="Arial" w:cs="Arial"/>
          <w:b/>
          <w:bCs/>
          <w:kern w:val="2"/>
          <w:sz w:val="24"/>
          <w:szCs w:val="24"/>
          <w:lang w:val="en-US" w:eastAsia="ja-JP"/>
        </w:rPr>
        <w:t>Table 4</w:t>
      </w:r>
      <w:r w:rsidR="00D4780D">
        <w:rPr>
          <w:rFonts w:ascii="Arial" w:eastAsia="Yu Mincho" w:hAnsi="Arial" w:cs="Arial"/>
          <w:b/>
          <w:bCs/>
          <w:kern w:val="2"/>
          <w:sz w:val="24"/>
          <w:szCs w:val="24"/>
          <w:lang w:val="en-US" w:eastAsia="ja-JP"/>
        </w:rPr>
        <w:t>. Effect of MEBD</w:t>
      </w:r>
      <w:r w:rsidR="00BD500A" w:rsidRPr="00BD500A">
        <w:rPr>
          <w:rFonts w:ascii="Arial" w:eastAsia="Yu Mincho" w:hAnsi="Arial" w:cs="Arial"/>
          <w:b/>
          <w:bCs/>
          <w:kern w:val="2"/>
          <w:sz w:val="24"/>
          <w:szCs w:val="24"/>
          <w:lang w:val="en-US" w:eastAsia="ja-JP"/>
        </w:rPr>
        <w:t xml:space="preserve"> on Forced Swimming Test</w:t>
      </w:r>
      <w:bookmarkEnd w:id="7"/>
    </w:p>
    <w:tbl>
      <w:tblPr>
        <w:tblStyle w:val="TableGrid"/>
        <w:tblW w:w="0" w:type="auto"/>
        <w:tblLook w:val="04A0" w:firstRow="1" w:lastRow="0" w:firstColumn="1" w:lastColumn="0" w:noHBand="0" w:noVBand="1"/>
      </w:tblPr>
      <w:tblGrid>
        <w:gridCol w:w="2999"/>
        <w:gridCol w:w="3010"/>
        <w:gridCol w:w="3007"/>
      </w:tblGrid>
      <w:tr w:rsidR="00BD500A" w:rsidRPr="00BD500A" w14:paraId="6C7780FA" w14:textId="77777777" w:rsidTr="00914936">
        <w:tc>
          <w:tcPr>
            <w:tcW w:w="3116" w:type="dxa"/>
          </w:tcPr>
          <w:p w14:paraId="52187EF7" w14:textId="77777777" w:rsidR="00BD500A" w:rsidRPr="00BD500A" w:rsidRDefault="00BD500A" w:rsidP="00BD500A">
            <w:pPr>
              <w:jc w:val="center"/>
              <w:rPr>
                <w:rFonts w:ascii="Arial" w:hAnsi="Arial" w:cs="Arial"/>
                <w:sz w:val="24"/>
                <w:szCs w:val="24"/>
              </w:rPr>
            </w:pPr>
            <w:r w:rsidRPr="00BD500A">
              <w:rPr>
                <w:rFonts w:ascii="Arial" w:hAnsi="Arial" w:cs="Arial"/>
                <w:sz w:val="24"/>
                <w:szCs w:val="24"/>
              </w:rPr>
              <w:t>Treatment</w:t>
            </w:r>
          </w:p>
        </w:tc>
        <w:tc>
          <w:tcPr>
            <w:tcW w:w="3117" w:type="dxa"/>
          </w:tcPr>
          <w:p w14:paraId="10CBAE36" w14:textId="77777777" w:rsidR="00BD500A" w:rsidRPr="00BD500A" w:rsidRDefault="00BD500A" w:rsidP="00BD500A">
            <w:pPr>
              <w:jc w:val="center"/>
              <w:rPr>
                <w:rFonts w:ascii="Arial" w:hAnsi="Arial" w:cs="Arial"/>
                <w:sz w:val="24"/>
                <w:szCs w:val="24"/>
              </w:rPr>
            </w:pPr>
            <w:r w:rsidRPr="00BD500A">
              <w:rPr>
                <w:rFonts w:ascii="Arial" w:hAnsi="Arial" w:cs="Arial"/>
                <w:sz w:val="24"/>
                <w:szCs w:val="24"/>
              </w:rPr>
              <w:t>Dose (mg/kg)</w:t>
            </w:r>
          </w:p>
        </w:tc>
        <w:tc>
          <w:tcPr>
            <w:tcW w:w="3117" w:type="dxa"/>
          </w:tcPr>
          <w:p w14:paraId="70E71758" w14:textId="77777777" w:rsidR="00BD500A" w:rsidRPr="00BD500A" w:rsidRDefault="00BD500A" w:rsidP="00BD500A">
            <w:pPr>
              <w:jc w:val="center"/>
              <w:rPr>
                <w:rFonts w:ascii="Arial" w:hAnsi="Arial" w:cs="Arial"/>
                <w:sz w:val="24"/>
                <w:szCs w:val="24"/>
              </w:rPr>
            </w:pPr>
            <w:r w:rsidRPr="00BD500A">
              <w:rPr>
                <w:rFonts w:ascii="Arial" w:hAnsi="Arial" w:cs="Arial"/>
                <w:sz w:val="24"/>
                <w:szCs w:val="24"/>
              </w:rPr>
              <w:t>mobility time (s)</w:t>
            </w:r>
          </w:p>
        </w:tc>
      </w:tr>
      <w:tr w:rsidR="00BD500A" w:rsidRPr="00BD500A" w14:paraId="4E8BF187" w14:textId="77777777" w:rsidTr="00914936">
        <w:tc>
          <w:tcPr>
            <w:tcW w:w="3116" w:type="dxa"/>
          </w:tcPr>
          <w:p w14:paraId="3F9BFA52" w14:textId="77777777" w:rsidR="00BD500A" w:rsidRPr="00BD500A" w:rsidRDefault="00BD500A" w:rsidP="00BD500A">
            <w:pPr>
              <w:jc w:val="center"/>
              <w:rPr>
                <w:rFonts w:ascii="Arial" w:hAnsi="Arial" w:cs="Arial"/>
                <w:sz w:val="24"/>
                <w:szCs w:val="24"/>
              </w:rPr>
            </w:pPr>
            <w:r w:rsidRPr="00BD500A">
              <w:rPr>
                <w:rFonts w:ascii="Arial" w:hAnsi="Arial" w:cs="Arial"/>
                <w:sz w:val="24"/>
                <w:szCs w:val="24"/>
              </w:rPr>
              <w:t>Control</w:t>
            </w:r>
          </w:p>
        </w:tc>
        <w:tc>
          <w:tcPr>
            <w:tcW w:w="3117" w:type="dxa"/>
          </w:tcPr>
          <w:p w14:paraId="5DDEED3C" w14:textId="77777777" w:rsidR="00BD500A" w:rsidRPr="00BD500A" w:rsidRDefault="00BD500A" w:rsidP="00BD500A">
            <w:pPr>
              <w:jc w:val="center"/>
              <w:rPr>
                <w:rFonts w:ascii="Arial" w:hAnsi="Arial" w:cs="Arial"/>
                <w:sz w:val="24"/>
                <w:szCs w:val="24"/>
              </w:rPr>
            </w:pPr>
            <w:r w:rsidRPr="00BD500A">
              <w:rPr>
                <w:rFonts w:ascii="Arial" w:hAnsi="Arial" w:cs="Arial"/>
                <w:sz w:val="24"/>
                <w:szCs w:val="24"/>
              </w:rPr>
              <w:t>0.1mL/mice</w:t>
            </w:r>
          </w:p>
        </w:tc>
        <w:tc>
          <w:tcPr>
            <w:tcW w:w="3117" w:type="dxa"/>
          </w:tcPr>
          <w:p w14:paraId="4C4001A5" w14:textId="77777777" w:rsidR="00BD500A" w:rsidRPr="00BD500A" w:rsidRDefault="00BD500A" w:rsidP="00BD500A">
            <w:pPr>
              <w:jc w:val="center"/>
              <w:rPr>
                <w:rFonts w:ascii="Arial" w:hAnsi="Arial" w:cs="Arial"/>
                <w:sz w:val="24"/>
                <w:szCs w:val="24"/>
              </w:rPr>
            </w:pPr>
            <w:r w:rsidRPr="00BD500A">
              <w:rPr>
                <w:rFonts w:ascii="Arial" w:hAnsi="Arial" w:cs="Arial"/>
                <w:sz w:val="24"/>
                <w:szCs w:val="24"/>
              </w:rPr>
              <w:t>2</w:t>
            </w:r>
            <w:r w:rsidR="00A2239A">
              <w:rPr>
                <w:rFonts w:ascii="Arial" w:hAnsi="Arial" w:cs="Arial"/>
                <w:sz w:val="24"/>
                <w:szCs w:val="24"/>
              </w:rPr>
              <w:t>5</w:t>
            </w:r>
            <w:r w:rsidRPr="00BD500A">
              <w:rPr>
                <w:rFonts w:ascii="Arial" w:hAnsi="Arial" w:cs="Arial"/>
                <w:sz w:val="24"/>
                <w:szCs w:val="24"/>
              </w:rPr>
              <w:t>.60±1.23</w:t>
            </w:r>
          </w:p>
        </w:tc>
      </w:tr>
      <w:tr w:rsidR="00BD500A" w:rsidRPr="00BD500A" w14:paraId="0DBCC3AC" w14:textId="77777777" w:rsidTr="00914936">
        <w:tc>
          <w:tcPr>
            <w:tcW w:w="3116" w:type="dxa"/>
          </w:tcPr>
          <w:p w14:paraId="69BDB908" w14:textId="77777777" w:rsidR="00BD500A" w:rsidRPr="00BD500A" w:rsidRDefault="00BD500A" w:rsidP="00BD500A">
            <w:pPr>
              <w:jc w:val="center"/>
              <w:rPr>
                <w:rFonts w:ascii="Arial" w:hAnsi="Arial" w:cs="Arial"/>
                <w:sz w:val="24"/>
                <w:szCs w:val="24"/>
              </w:rPr>
            </w:pPr>
            <w:r w:rsidRPr="00BD500A">
              <w:rPr>
                <w:rFonts w:ascii="Arial" w:hAnsi="Arial" w:cs="Arial"/>
                <w:sz w:val="24"/>
                <w:szCs w:val="24"/>
              </w:rPr>
              <w:t>Diazepam</w:t>
            </w:r>
          </w:p>
        </w:tc>
        <w:tc>
          <w:tcPr>
            <w:tcW w:w="3117" w:type="dxa"/>
          </w:tcPr>
          <w:p w14:paraId="2E7064D0" w14:textId="77777777" w:rsidR="00BD500A" w:rsidRPr="00BD500A" w:rsidRDefault="00BD500A" w:rsidP="00BD500A">
            <w:pPr>
              <w:jc w:val="center"/>
              <w:rPr>
                <w:rFonts w:ascii="Arial" w:hAnsi="Arial" w:cs="Arial"/>
                <w:sz w:val="24"/>
                <w:szCs w:val="24"/>
              </w:rPr>
            </w:pPr>
            <w:r w:rsidRPr="00BD500A">
              <w:rPr>
                <w:rFonts w:ascii="Arial" w:hAnsi="Arial" w:cs="Arial"/>
                <w:sz w:val="24"/>
                <w:szCs w:val="24"/>
              </w:rPr>
              <w:t>1</w:t>
            </w:r>
          </w:p>
        </w:tc>
        <w:tc>
          <w:tcPr>
            <w:tcW w:w="3117" w:type="dxa"/>
          </w:tcPr>
          <w:p w14:paraId="28D85189" w14:textId="77777777" w:rsidR="00BD500A" w:rsidRPr="00BD500A" w:rsidRDefault="00BD500A" w:rsidP="00BD500A">
            <w:pPr>
              <w:jc w:val="center"/>
              <w:rPr>
                <w:rFonts w:ascii="Arial" w:hAnsi="Arial" w:cs="Arial"/>
                <w:sz w:val="24"/>
                <w:szCs w:val="24"/>
              </w:rPr>
            </w:pPr>
            <w:r w:rsidRPr="00BD500A">
              <w:rPr>
                <w:rFonts w:ascii="Arial" w:hAnsi="Arial" w:cs="Arial"/>
                <w:sz w:val="24"/>
                <w:szCs w:val="24"/>
              </w:rPr>
              <w:t>92.6</w:t>
            </w:r>
            <w:r w:rsidR="00A2239A">
              <w:rPr>
                <w:rFonts w:ascii="Arial" w:hAnsi="Arial" w:cs="Arial"/>
                <w:sz w:val="24"/>
                <w:szCs w:val="24"/>
              </w:rPr>
              <w:t>3</w:t>
            </w:r>
            <w:r w:rsidRPr="00BD500A">
              <w:rPr>
                <w:rFonts w:ascii="Arial" w:hAnsi="Arial" w:cs="Arial"/>
                <w:sz w:val="24"/>
                <w:szCs w:val="24"/>
              </w:rPr>
              <w:t>±1.</w:t>
            </w:r>
            <w:r w:rsidR="00A2239A">
              <w:rPr>
                <w:rFonts w:ascii="Arial" w:hAnsi="Arial" w:cs="Arial"/>
                <w:sz w:val="24"/>
                <w:szCs w:val="24"/>
              </w:rPr>
              <w:t>11</w:t>
            </w:r>
          </w:p>
        </w:tc>
      </w:tr>
      <w:tr w:rsidR="00BD500A" w:rsidRPr="00BD500A" w14:paraId="485EEC2F" w14:textId="77777777" w:rsidTr="00914936">
        <w:tc>
          <w:tcPr>
            <w:tcW w:w="3116" w:type="dxa"/>
          </w:tcPr>
          <w:p w14:paraId="1DAB5B3A" w14:textId="77777777" w:rsidR="00BD500A" w:rsidRPr="00BD500A" w:rsidRDefault="00BD500A" w:rsidP="00BD500A">
            <w:pPr>
              <w:jc w:val="center"/>
              <w:rPr>
                <w:rFonts w:ascii="Arial" w:hAnsi="Arial" w:cs="Arial"/>
                <w:sz w:val="24"/>
                <w:szCs w:val="24"/>
              </w:rPr>
            </w:pPr>
            <w:r w:rsidRPr="00BD500A">
              <w:rPr>
                <w:rFonts w:ascii="Arial" w:hAnsi="Arial" w:cs="Arial"/>
                <w:sz w:val="24"/>
                <w:szCs w:val="24"/>
              </w:rPr>
              <w:lastRenderedPageBreak/>
              <w:t>ME</w:t>
            </w:r>
            <w:r w:rsidR="00A2239A">
              <w:rPr>
                <w:rFonts w:ascii="Arial" w:hAnsi="Arial" w:cs="Arial"/>
                <w:sz w:val="24"/>
                <w:szCs w:val="24"/>
              </w:rPr>
              <w:t>BD</w:t>
            </w:r>
          </w:p>
        </w:tc>
        <w:tc>
          <w:tcPr>
            <w:tcW w:w="3117" w:type="dxa"/>
          </w:tcPr>
          <w:p w14:paraId="51D78D52" w14:textId="77777777" w:rsidR="00BD500A" w:rsidRPr="00BD500A" w:rsidRDefault="00BD500A" w:rsidP="00BD500A">
            <w:pPr>
              <w:jc w:val="center"/>
              <w:rPr>
                <w:rFonts w:ascii="Arial" w:hAnsi="Arial" w:cs="Arial"/>
                <w:sz w:val="24"/>
                <w:szCs w:val="24"/>
              </w:rPr>
            </w:pPr>
            <w:r w:rsidRPr="00BD500A">
              <w:rPr>
                <w:rFonts w:ascii="Arial" w:hAnsi="Arial" w:cs="Arial"/>
                <w:sz w:val="24"/>
                <w:szCs w:val="24"/>
              </w:rPr>
              <w:t>200</w:t>
            </w:r>
          </w:p>
        </w:tc>
        <w:tc>
          <w:tcPr>
            <w:tcW w:w="3117" w:type="dxa"/>
          </w:tcPr>
          <w:p w14:paraId="5555670B" w14:textId="77777777" w:rsidR="00BD500A" w:rsidRPr="00BD500A" w:rsidRDefault="00BD500A" w:rsidP="00BD500A">
            <w:pPr>
              <w:jc w:val="center"/>
              <w:rPr>
                <w:rFonts w:ascii="Arial" w:hAnsi="Arial" w:cs="Arial"/>
                <w:sz w:val="24"/>
                <w:szCs w:val="24"/>
              </w:rPr>
            </w:pPr>
            <w:r w:rsidRPr="00BD500A">
              <w:rPr>
                <w:rFonts w:ascii="Arial" w:hAnsi="Arial" w:cs="Arial"/>
                <w:sz w:val="24"/>
                <w:szCs w:val="24"/>
              </w:rPr>
              <w:t>6</w:t>
            </w:r>
            <w:r w:rsidR="00A2239A">
              <w:rPr>
                <w:rFonts w:ascii="Arial" w:hAnsi="Arial" w:cs="Arial"/>
                <w:sz w:val="24"/>
                <w:szCs w:val="24"/>
              </w:rPr>
              <w:t>1</w:t>
            </w:r>
            <w:r w:rsidRPr="00BD500A">
              <w:rPr>
                <w:rFonts w:ascii="Arial" w:hAnsi="Arial" w:cs="Arial"/>
                <w:sz w:val="24"/>
                <w:szCs w:val="24"/>
              </w:rPr>
              <w:t>.00±1.0</w:t>
            </w:r>
            <w:r w:rsidR="00A2239A">
              <w:rPr>
                <w:rFonts w:ascii="Arial" w:hAnsi="Arial" w:cs="Arial"/>
                <w:sz w:val="24"/>
                <w:szCs w:val="24"/>
              </w:rPr>
              <w:t>1</w:t>
            </w:r>
          </w:p>
        </w:tc>
      </w:tr>
      <w:tr w:rsidR="00BD500A" w:rsidRPr="00BD500A" w14:paraId="336025EC" w14:textId="77777777" w:rsidTr="00914936">
        <w:tc>
          <w:tcPr>
            <w:tcW w:w="3116" w:type="dxa"/>
          </w:tcPr>
          <w:p w14:paraId="7C97A315" w14:textId="77777777" w:rsidR="00BD500A" w:rsidRPr="00BD500A" w:rsidRDefault="00BD500A" w:rsidP="00BD500A">
            <w:pPr>
              <w:jc w:val="center"/>
              <w:rPr>
                <w:rFonts w:ascii="Arial" w:hAnsi="Arial" w:cs="Arial"/>
                <w:sz w:val="24"/>
                <w:szCs w:val="24"/>
              </w:rPr>
            </w:pPr>
            <w:r w:rsidRPr="00BD500A">
              <w:rPr>
                <w:rFonts w:ascii="Arial" w:hAnsi="Arial" w:cs="Arial"/>
                <w:sz w:val="24"/>
                <w:szCs w:val="24"/>
              </w:rPr>
              <w:t>ME</w:t>
            </w:r>
            <w:r w:rsidR="00A2239A">
              <w:rPr>
                <w:rFonts w:ascii="Arial" w:hAnsi="Arial" w:cs="Arial"/>
                <w:sz w:val="24"/>
                <w:szCs w:val="24"/>
              </w:rPr>
              <w:t>BD</w:t>
            </w:r>
          </w:p>
        </w:tc>
        <w:tc>
          <w:tcPr>
            <w:tcW w:w="3117" w:type="dxa"/>
          </w:tcPr>
          <w:p w14:paraId="60585EED" w14:textId="77777777" w:rsidR="00BD500A" w:rsidRPr="00BD500A" w:rsidRDefault="00BD500A" w:rsidP="00BD500A">
            <w:pPr>
              <w:jc w:val="center"/>
              <w:rPr>
                <w:rFonts w:ascii="Arial" w:hAnsi="Arial" w:cs="Arial"/>
                <w:sz w:val="24"/>
                <w:szCs w:val="24"/>
              </w:rPr>
            </w:pPr>
            <w:r w:rsidRPr="00BD500A">
              <w:rPr>
                <w:rFonts w:ascii="Arial" w:hAnsi="Arial" w:cs="Arial"/>
                <w:sz w:val="24"/>
                <w:szCs w:val="24"/>
              </w:rPr>
              <w:t>400</w:t>
            </w:r>
          </w:p>
        </w:tc>
        <w:tc>
          <w:tcPr>
            <w:tcW w:w="3117" w:type="dxa"/>
          </w:tcPr>
          <w:p w14:paraId="393EA581" w14:textId="77777777" w:rsidR="00BD500A" w:rsidRPr="00BD500A" w:rsidRDefault="00BD500A" w:rsidP="00BD500A">
            <w:pPr>
              <w:jc w:val="center"/>
              <w:rPr>
                <w:rFonts w:ascii="Arial" w:hAnsi="Arial" w:cs="Arial"/>
                <w:sz w:val="24"/>
                <w:szCs w:val="24"/>
              </w:rPr>
            </w:pPr>
            <w:r w:rsidRPr="00BD500A">
              <w:rPr>
                <w:rFonts w:ascii="Arial" w:hAnsi="Arial" w:cs="Arial"/>
                <w:sz w:val="24"/>
                <w:szCs w:val="24"/>
              </w:rPr>
              <w:t>76.4</w:t>
            </w:r>
            <w:r w:rsidR="00A2239A">
              <w:rPr>
                <w:rFonts w:ascii="Arial" w:hAnsi="Arial" w:cs="Arial"/>
                <w:sz w:val="24"/>
                <w:szCs w:val="24"/>
              </w:rPr>
              <w:t>6</w:t>
            </w:r>
            <w:r w:rsidRPr="00BD500A">
              <w:rPr>
                <w:rFonts w:ascii="Arial" w:hAnsi="Arial" w:cs="Arial"/>
                <w:sz w:val="24"/>
                <w:szCs w:val="24"/>
              </w:rPr>
              <w:t>±0.</w:t>
            </w:r>
            <w:r w:rsidR="00A2239A">
              <w:rPr>
                <w:rFonts w:ascii="Arial" w:hAnsi="Arial" w:cs="Arial"/>
                <w:sz w:val="24"/>
                <w:szCs w:val="24"/>
              </w:rPr>
              <w:t>5</w:t>
            </w:r>
          </w:p>
        </w:tc>
      </w:tr>
    </w:tbl>
    <w:p w14:paraId="0A9BA355" w14:textId="77777777" w:rsidR="00BD500A" w:rsidRDefault="00BD500A" w:rsidP="00E43A14">
      <w:pPr>
        <w:jc w:val="both"/>
        <w:rPr>
          <w:rFonts w:ascii="Arial" w:hAnsi="Arial" w:cs="Arial"/>
          <w:sz w:val="24"/>
          <w:lang w:val="en-US"/>
        </w:rPr>
      </w:pPr>
    </w:p>
    <w:p w14:paraId="0FD5AA21" w14:textId="77777777" w:rsidR="000E7559" w:rsidRDefault="000E7559" w:rsidP="00E43A14">
      <w:pPr>
        <w:jc w:val="both"/>
        <w:rPr>
          <w:rFonts w:ascii="Arial" w:hAnsi="Arial" w:cs="Arial"/>
          <w:sz w:val="24"/>
          <w:lang w:val="en-US"/>
        </w:rPr>
      </w:pPr>
      <w:r w:rsidRPr="000E7559">
        <w:rPr>
          <w:rFonts w:ascii="Arial" w:hAnsi="Arial" w:cs="Arial"/>
          <w:sz w:val="24"/>
          <w:lang w:val="en-US"/>
        </w:rPr>
        <w:t xml:space="preserve">The findings from Table 4 are visually represented in Figure </w:t>
      </w:r>
      <w:r w:rsidR="00B76379">
        <w:rPr>
          <w:rFonts w:ascii="Arial" w:hAnsi="Arial" w:cs="Arial"/>
          <w:sz w:val="24"/>
          <w:lang w:val="en-US"/>
        </w:rPr>
        <w:t>4</w:t>
      </w:r>
      <w:r w:rsidRPr="000E7559">
        <w:rPr>
          <w:rFonts w:ascii="Arial" w:hAnsi="Arial" w:cs="Arial"/>
          <w:sz w:val="24"/>
          <w:lang w:val="en-US"/>
        </w:rPr>
        <w:t>, illustrating the impact of MEBD on mobility time in the forced swimming test.</w:t>
      </w:r>
    </w:p>
    <w:p w14:paraId="12EC7AF3" w14:textId="77777777" w:rsidR="000E7559" w:rsidRDefault="000E7559" w:rsidP="000E7559">
      <w:pPr>
        <w:jc w:val="center"/>
        <w:rPr>
          <w:rStyle w:val="Strong"/>
        </w:rPr>
      </w:pPr>
      <w:r w:rsidRPr="0087082E">
        <w:rPr>
          <w:b/>
          <w:noProof/>
          <w:lang w:val="en-US" w:bidi="te-IN"/>
        </w:rPr>
        <w:drawing>
          <wp:inline distT="0" distB="0" distL="0" distR="0" wp14:anchorId="45F8861F" wp14:editId="6A3E31F8">
            <wp:extent cx="3521047" cy="2668677"/>
            <wp:effectExtent l="0" t="0" r="3810" b="0"/>
            <wp:docPr id="4" name="Picture 4" descr="G:\Dhanda\Navid Rafi\figs\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Dhanda\Navid Rafi\figs\download (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9402" cy="2675010"/>
                    </a:xfrm>
                    <a:prstGeom prst="rect">
                      <a:avLst/>
                    </a:prstGeom>
                    <a:noFill/>
                    <a:ln>
                      <a:noFill/>
                    </a:ln>
                  </pic:spPr>
                </pic:pic>
              </a:graphicData>
            </a:graphic>
          </wp:inline>
        </w:drawing>
      </w:r>
    </w:p>
    <w:p w14:paraId="15357048" w14:textId="77777777" w:rsidR="000E7559" w:rsidRPr="000E7559" w:rsidRDefault="000E7559" w:rsidP="000E7559">
      <w:pPr>
        <w:jc w:val="center"/>
        <w:rPr>
          <w:sz w:val="20"/>
        </w:rPr>
      </w:pPr>
      <w:r>
        <w:rPr>
          <w:rStyle w:val="Strong"/>
          <w:sz w:val="20"/>
        </w:rPr>
        <w:t>Fig. 4:</w:t>
      </w:r>
      <w:r w:rsidRPr="000E7559">
        <w:rPr>
          <w:sz w:val="20"/>
        </w:rPr>
        <w:t xml:space="preserve"> Effect of MEBD on immobility time in the forced swimming test.</w:t>
      </w:r>
    </w:p>
    <w:p w14:paraId="3E212FE1" w14:textId="77777777" w:rsidR="000E7559" w:rsidRPr="000E7559" w:rsidRDefault="000E7559" w:rsidP="000E7559">
      <w:r>
        <w:t>Figure 4 illustrates the effect of MEBD on mobility time in the forced swimming test. The extract significantly reduced mobility time in a dose-dependent manner, indicating potential depressant-like activity.</w:t>
      </w:r>
    </w:p>
    <w:p w14:paraId="1A36ADA5" w14:textId="77777777" w:rsidR="00BD500A" w:rsidRPr="007350FE" w:rsidRDefault="00BD500A" w:rsidP="00E43A14">
      <w:pPr>
        <w:jc w:val="both"/>
        <w:rPr>
          <w:rFonts w:ascii="Arial" w:hAnsi="Arial" w:cs="Arial"/>
          <w:b/>
          <w:bCs/>
          <w:sz w:val="24"/>
          <w:lang w:val="en-US"/>
        </w:rPr>
      </w:pPr>
      <w:r w:rsidRPr="007350FE">
        <w:rPr>
          <w:rFonts w:ascii="Arial" w:hAnsi="Arial" w:cs="Arial"/>
          <w:b/>
          <w:bCs/>
          <w:sz w:val="24"/>
          <w:lang w:val="en-US"/>
        </w:rPr>
        <w:t>6. Antinociceptive Activity</w:t>
      </w:r>
    </w:p>
    <w:p w14:paraId="3EB063CA" w14:textId="77777777" w:rsidR="00BD500A" w:rsidRPr="007350FE" w:rsidRDefault="0088186F" w:rsidP="00E43A14">
      <w:pPr>
        <w:jc w:val="both"/>
        <w:rPr>
          <w:rFonts w:ascii="Arial" w:hAnsi="Arial" w:cs="Arial"/>
          <w:b/>
          <w:bCs/>
          <w:sz w:val="24"/>
          <w:lang w:val="en-US"/>
        </w:rPr>
      </w:pPr>
      <w:r w:rsidRPr="007350FE">
        <w:rPr>
          <w:rFonts w:ascii="Arial" w:hAnsi="Arial" w:cs="Arial"/>
          <w:b/>
          <w:bCs/>
          <w:sz w:val="24"/>
          <w:lang w:val="en-US"/>
        </w:rPr>
        <w:t>6.1 Hot plate test</w:t>
      </w:r>
    </w:p>
    <w:p w14:paraId="0FF115DA" w14:textId="77777777" w:rsidR="007350FE" w:rsidRDefault="007350FE" w:rsidP="00E43A14">
      <w:pPr>
        <w:jc w:val="both"/>
        <w:rPr>
          <w:rFonts w:ascii="Arial" w:hAnsi="Arial" w:cs="Arial"/>
          <w:sz w:val="24"/>
          <w:lang w:val="en-US"/>
        </w:rPr>
      </w:pPr>
      <w:r w:rsidRPr="007350FE">
        <w:rPr>
          <w:rFonts w:ascii="Arial" w:hAnsi="Arial" w:cs="Arial"/>
          <w:sz w:val="24"/>
          <w:lang w:val="en-US"/>
        </w:rPr>
        <w:t>The outcomes of the experiments performed using the ho</w:t>
      </w:r>
      <w:r w:rsidR="00C82BE7">
        <w:rPr>
          <w:rFonts w:ascii="Arial" w:hAnsi="Arial" w:cs="Arial"/>
          <w:sz w:val="24"/>
          <w:lang w:val="en-US"/>
        </w:rPr>
        <w:t>t plate are presented in Table 5</w:t>
      </w:r>
      <w:r w:rsidRPr="007350FE">
        <w:rPr>
          <w:rFonts w:ascii="Arial" w:hAnsi="Arial" w:cs="Arial"/>
          <w:sz w:val="24"/>
          <w:lang w:val="en-US"/>
        </w:rPr>
        <w:t>. When compared to the control group, the latency time (measured in seconds) exhibited a significant increase following the oral administration of MEBD at dosages of 250 and 500 mg/kg. A dose-dependent extension of the delay period was observed in both study cohorts. The administration of morphine at a dosage of 10 mg/kg resulted in the most significant prolongation of latency time. At the 90 and 120-minute marks, the extracts exhibited their maximum efficacy regarding their effects.</w:t>
      </w:r>
    </w:p>
    <w:p w14:paraId="2EDFFB07" w14:textId="77777777" w:rsidR="007350FE" w:rsidRPr="00507AA8" w:rsidRDefault="00C82BE7" w:rsidP="00E43A14">
      <w:pPr>
        <w:jc w:val="both"/>
        <w:rPr>
          <w:rFonts w:ascii="Arial" w:eastAsia="Yu Mincho" w:hAnsi="Arial" w:cs="Arial"/>
          <w:b/>
          <w:bCs/>
          <w:kern w:val="2"/>
          <w:sz w:val="24"/>
          <w:szCs w:val="24"/>
          <w:lang w:val="en-IN" w:eastAsia="ja-JP"/>
        </w:rPr>
      </w:pPr>
      <w:r w:rsidRPr="00507AA8">
        <w:rPr>
          <w:rFonts w:ascii="Arial" w:eastAsia="Yu Mincho" w:hAnsi="Arial" w:cs="Arial"/>
          <w:b/>
          <w:bCs/>
          <w:kern w:val="2"/>
          <w:sz w:val="24"/>
          <w:szCs w:val="24"/>
          <w:lang w:val="en-IN" w:eastAsia="ja-JP"/>
        </w:rPr>
        <w:t xml:space="preserve">Table </w:t>
      </w:r>
      <w:proofErr w:type="gramStart"/>
      <w:r w:rsidRPr="00507AA8">
        <w:rPr>
          <w:rFonts w:ascii="Arial" w:eastAsia="Yu Mincho" w:hAnsi="Arial" w:cs="Arial"/>
          <w:b/>
          <w:bCs/>
          <w:kern w:val="2"/>
          <w:sz w:val="24"/>
          <w:szCs w:val="24"/>
          <w:lang w:val="en-IN" w:eastAsia="ja-JP"/>
        </w:rPr>
        <w:t>5</w:t>
      </w:r>
      <w:r w:rsidR="007350FE" w:rsidRPr="00507AA8">
        <w:rPr>
          <w:rFonts w:ascii="Arial" w:eastAsia="Yu Mincho" w:hAnsi="Arial" w:cs="Arial"/>
          <w:b/>
          <w:bCs/>
          <w:kern w:val="2"/>
          <w:sz w:val="24"/>
          <w:szCs w:val="24"/>
          <w:lang w:val="en-IN" w:eastAsia="ja-JP"/>
        </w:rPr>
        <w:t>.Primary</w:t>
      </w:r>
      <w:proofErr w:type="gramEnd"/>
      <w:r w:rsidR="007350FE" w:rsidRPr="00507AA8">
        <w:rPr>
          <w:rFonts w:ascii="Arial" w:eastAsia="Yu Mincho" w:hAnsi="Arial" w:cs="Arial"/>
          <w:b/>
          <w:bCs/>
          <w:kern w:val="2"/>
          <w:sz w:val="24"/>
          <w:szCs w:val="24"/>
          <w:lang w:val="en-IN" w:eastAsia="ja-JP"/>
        </w:rPr>
        <w:t xml:space="preserve"> data table for hot plate test for plant extract of MEBD</w:t>
      </w:r>
    </w:p>
    <w:tbl>
      <w:tblPr>
        <w:tblStyle w:val="TableGrid1"/>
        <w:tblW w:w="4893"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8"/>
        <w:gridCol w:w="2696"/>
        <w:gridCol w:w="970"/>
        <w:gridCol w:w="970"/>
        <w:gridCol w:w="970"/>
        <w:gridCol w:w="1099"/>
      </w:tblGrid>
      <w:tr w:rsidR="007350FE" w:rsidRPr="009B1439" w14:paraId="6BBCA1B2" w14:textId="77777777" w:rsidTr="00914936">
        <w:trPr>
          <w:jc w:val="center"/>
        </w:trPr>
        <w:tc>
          <w:tcPr>
            <w:tcW w:w="5000" w:type="pct"/>
            <w:gridSpan w:val="6"/>
            <w:tcBorders>
              <w:bottom w:val="single" w:sz="4" w:space="0" w:color="auto"/>
            </w:tcBorders>
          </w:tcPr>
          <w:p w14:paraId="61AE032C" w14:textId="77777777" w:rsidR="007350FE" w:rsidRPr="009B1439" w:rsidRDefault="007350FE" w:rsidP="00914936">
            <w:pPr>
              <w:spacing w:beforeLines="20" w:before="48"/>
              <w:rPr>
                <w:rFonts w:ascii="Arial" w:eastAsia="Times New Roman" w:hAnsi="Arial" w:cs="Arial"/>
                <w:b/>
                <w:sz w:val="20"/>
                <w:szCs w:val="20"/>
              </w:rPr>
            </w:pPr>
            <w:bookmarkStart w:id="8" w:name="_Hlk117202325"/>
            <w:r w:rsidRPr="009B1439">
              <w:rPr>
                <w:rFonts w:ascii="Arial" w:eastAsia="Times New Roman" w:hAnsi="Arial" w:cs="Arial"/>
                <w:b/>
                <w:sz w:val="20"/>
                <w:szCs w:val="20"/>
              </w:rPr>
              <w:t>Reaction time at different time intervals (in sec)</w:t>
            </w:r>
          </w:p>
        </w:tc>
      </w:tr>
      <w:tr w:rsidR="007350FE" w:rsidRPr="009B1439" w14:paraId="7C414BFF" w14:textId="77777777" w:rsidTr="00914936">
        <w:trPr>
          <w:jc w:val="center"/>
        </w:trPr>
        <w:tc>
          <w:tcPr>
            <w:tcW w:w="1205" w:type="pct"/>
            <w:tcBorders>
              <w:top w:val="single" w:sz="4" w:space="0" w:color="auto"/>
              <w:bottom w:val="single" w:sz="4" w:space="0" w:color="auto"/>
            </w:tcBorders>
          </w:tcPr>
          <w:p w14:paraId="3E942D63" w14:textId="77777777" w:rsidR="007350FE" w:rsidRPr="009B1439" w:rsidRDefault="007350FE" w:rsidP="00914936">
            <w:pPr>
              <w:spacing w:beforeLines="20" w:before="48"/>
              <w:rPr>
                <w:rFonts w:ascii="Arial" w:eastAsia="Times New Roman" w:hAnsi="Arial" w:cs="Arial"/>
                <w:b/>
                <w:sz w:val="20"/>
                <w:szCs w:val="20"/>
              </w:rPr>
            </w:pPr>
            <w:r w:rsidRPr="009B1439">
              <w:rPr>
                <w:rFonts w:ascii="Arial" w:eastAsia="Times New Roman" w:hAnsi="Arial" w:cs="Arial"/>
                <w:b/>
                <w:sz w:val="20"/>
                <w:szCs w:val="20"/>
              </w:rPr>
              <w:t>Group</w:t>
            </w:r>
          </w:p>
        </w:tc>
        <w:tc>
          <w:tcPr>
            <w:tcW w:w="1526" w:type="pct"/>
            <w:tcBorders>
              <w:top w:val="single" w:sz="4" w:space="0" w:color="auto"/>
              <w:bottom w:val="single" w:sz="4" w:space="0" w:color="auto"/>
            </w:tcBorders>
          </w:tcPr>
          <w:p w14:paraId="559E1564" w14:textId="77777777" w:rsidR="007350FE" w:rsidRPr="009B1439" w:rsidRDefault="007350FE" w:rsidP="00914936">
            <w:pPr>
              <w:spacing w:beforeLines="20" w:before="48"/>
              <w:rPr>
                <w:rFonts w:ascii="Arial" w:eastAsia="Times New Roman" w:hAnsi="Arial" w:cs="Arial"/>
                <w:b/>
                <w:sz w:val="20"/>
                <w:szCs w:val="20"/>
              </w:rPr>
            </w:pPr>
            <w:r w:rsidRPr="009B1439">
              <w:rPr>
                <w:rFonts w:ascii="Arial" w:eastAsia="Times New Roman" w:hAnsi="Arial" w:cs="Arial"/>
                <w:b/>
                <w:sz w:val="20"/>
                <w:szCs w:val="20"/>
              </w:rPr>
              <w:t>Average wt. of mice (g)</w:t>
            </w:r>
          </w:p>
        </w:tc>
        <w:tc>
          <w:tcPr>
            <w:tcW w:w="549" w:type="pct"/>
            <w:tcBorders>
              <w:top w:val="single" w:sz="4" w:space="0" w:color="auto"/>
              <w:bottom w:val="single" w:sz="4" w:space="0" w:color="auto"/>
            </w:tcBorders>
          </w:tcPr>
          <w:p w14:paraId="2CA782C8" w14:textId="77777777" w:rsidR="007350FE" w:rsidRPr="009B1439" w:rsidRDefault="007350FE" w:rsidP="00914936">
            <w:pPr>
              <w:spacing w:beforeLines="20" w:before="48"/>
              <w:rPr>
                <w:rFonts w:ascii="Arial" w:eastAsia="Times New Roman" w:hAnsi="Arial" w:cs="Arial"/>
                <w:b/>
                <w:sz w:val="20"/>
                <w:szCs w:val="20"/>
              </w:rPr>
            </w:pPr>
            <w:r w:rsidRPr="009B1439">
              <w:rPr>
                <w:rFonts w:ascii="Arial" w:eastAsia="Times New Roman" w:hAnsi="Arial" w:cs="Arial"/>
                <w:b/>
                <w:sz w:val="20"/>
                <w:szCs w:val="20"/>
              </w:rPr>
              <w:t>30 min</w:t>
            </w:r>
          </w:p>
        </w:tc>
        <w:tc>
          <w:tcPr>
            <w:tcW w:w="549" w:type="pct"/>
            <w:tcBorders>
              <w:top w:val="single" w:sz="4" w:space="0" w:color="auto"/>
              <w:bottom w:val="single" w:sz="4" w:space="0" w:color="auto"/>
            </w:tcBorders>
          </w:tcPr>
          <w:p w14:paraId="31510A40" w14:textId="77777777" w:rsidR="007350FE" w:rsidRPr="009B1439" w:rsidRDefault="007350FE" w:rsidP="00914936">
            <w:pPr>
              <w:spacing w:beforeLines="20" w:before="48"/>
              <w:rPr>
                <w:rFonts w:ascii="Arial" w:eastAsia="Times New Roman" w:hAnsi="Arial" w:cs="Arial"/>
                <w:b/>
                <w:sz w:val="20"/>
                <w:szCs w:val="20"/>
              </w:rPr>
            </w:pPr>
            <w:r w:rsidRPr="009B1439">
              <w:rPr>
                <w:rFonts w:ascii="Arial" w:eastAsia="Times New Roman" w:hAnsi="Arial" w:cs="Arial"/>
                <w:b/>
                <w:sz w:val="20"/>
                <w:szCs w:val="20"/>
              </w:rPr>
              <w:t>60 min</w:t>
            </w:r>
          </w:p>
        </w:tc>
        <w:tc>
          <w:tcPr>
            <w:tcW w:w="549" w:type="pct"/>
            <w:tcBorders>
              <w:top w:val="single" w:sz="4" w:space="0" w:color="auto"/>
              <w:bottom w:val="single" w:sz="4" w:space="0" w:color="auto"/>
            </w:tcBorders>
          </w:tcPr>
          <w:p w14:paraId="0D02F9B1" w14:textId="77777777" w:rsidR="007350FE" w:rsidRPr="009B1439" w:rsidRDefault="007350FE" w:rsidP="00914936">
            <w:pPr>
              <w:spacing w:beforeLines="20" w:before="48"/>
              <w:rPr>
                <w:rFonts w:ascii="Arial" w:eastAsia="Times New Roman" w:hAnsi="Arial" w:cs="Arial"/>
                <w:b/>
                <w:sz w:val="20"/>
                <w:szCs w:val="20"/>
              </w:rPr>
            </w:pPr>
            <w:r w:rsidRPr="009B1439">
              <w:rPr>
                <w:rFonts w:ascii="Arial" w:eastAsia="Times New Roman" w:hAnsi="Arial" w:cs="Arial"/>
                <w:b/>
                <w:sz w:val="20"/>
                <w:szCs w:val="20"/>
              </w:rPr>
              <w:t>90 min</w:t>
            </w:r>
          </w:p>
        </w:tc>
        <w:tc>
          <w:tcPr>
            <w:tcW w:w="622" w:type="pct"/>
            <w:tcBorders>
              <w:top w:val="single" w:sz="4" w:space="0" w:color="auto"/>
              <w:bottom w:val="single" w:sz="4" w:space="0" w:color="auto"/>
            </w:tcBorders>
          </w:tcPr>
          <w:p w14:paraId="4631B6DE" w14:textId="77777777" w:rsidR="007350FE" w:rsidRPr="009B1439" w:rsidRDefault="007350FE" w:rsidP="00914936">
            <w:pPr>
              <w:spacing w:beforeLines="20" w:before="48"/>
              <w:rPr>
                <w:rFonts w:ascii="Arial" w:eastAsia="Times New Roman" w:hAnsi="Arial" w:cs="Arial"/>
                <w:b/>
                <w:sz w:val="20"/>
                <w:szCs w:val="20"/>
              </w:rPr>
            </w:pPr>
            <w:r w:rsidRPr="009B1439">
              <w:rPr>
                <w:rFonts w:ascii="Arial" w:eastAsia="Times New Roman" w:hAnsi="Arial" w:cs="Arial"/>
                <w:b/>
                <w:sz w:val="20"/>
                <w:szCs w:val="20"/>
              </w:rPr>
              <w:t>120 min</w:t>
            </w:r>
          </w:p>
        </w:tc>
      </w:tr>
      <w:tr w:rsidR="007350FE" w:rsidRPr="009B1439" w14:paraId="1AF94C1A" w14:textId="77777777" w:rsidTr="00914936">
        <w:trPr>
          <w:jc w:val="center"/>
        </w:trPr>
        <w:tc>
          <w:tcPr>
            <w:tcW w:w="1205" w:type="pct"/>
            <w:tcBorders>
              <w:top w:val="single" w:sz="4" w:space="0" w:color="auto"/>
              <w:bottom w:val="nil"/>
            </w:tcBorders>
          </w:tcPr>
          <w:p w14:paraId="700D5E4F" w14:textId="77777777" w:rsidR="007350FE" w:rsidRPr="009B1439" w:rsidRDefault="007350FE" w:rsidP="00914936">
            <w:pPr>
              <w:spacing w:beforeLines="20" w:before="48"/>
              <w:rPr>
                <w:rFonts w:ascii="Arial" w:eastAsia="Times New Roman" w:hAnsi="Arial" w:cs="Arial"/>
                <w:sz w:val="20"/>
                <w:szCs w:val="20"/>
              </w:rPr>
            </w:pPr>
            <w:r w:rsidRPr="009B1439">
              <w:rPr>
                <w:rFonts w:ascii="Arial" w:eastAsia="Times New Roman" w:hAnsi="Arial" w:cs="Arial"/>
                <w:sz w:val="20"/>
                <w:szCs w:val="20"/>
              </w:rPr>
              <w:t>Control</w:t>
            </w:r>
          </w:p>
        </w:tc>
        <w:tc>
          <w:tcPr>
            <w:tcW w:w="1526" w:type="pct"/>
            <w:vMerge w:val="restart"/>
            <w:tcBorders>
              <w:top w:val="single" w:sz="4" w:space="0" w:color="auto"/>
              <w:bottom w:val="nil"/>
            </w:tcBorders>
          </w:tcPr>
          <w:p w14:paraId="4BE7F376" w14:textId="77777777" w:rsidR="007350FE" w:rsidRPr="009B1439" w:rsidRDefault="007350FE" w:rsidP="00914936">
            <w:pPr>
              <w:spacing w:beforeLines="20" w:before="48"/>
              <w:rPr>
                <w:rFonts w:ascii="Arial" w:eastAsia="Times New Roman" w:hAnsi="Arial" w:cs="Arial"/>
                <w:sz w:val="20"/>
                <w:szCs w:val="20"/>
              </w:rPr>
            </w:pPr>
          </w:p>
          <w:p w14:paraId="1C73CBF6" w14:textId="77777777" w:rsidR="007350FE" w:rsidRPr="009B1439" w:rsidRDefault="007350FE" w:rsidP="00914936">
            <w:pPr>
              <w:spacing w:beforeLines="20" w:before="48"/>
              <w:rPr>
                <w:rFonts w:ascii="Arial" w:eastAsia="Times New Roman" w:hAnsi="Arial" w:cs="Arial"/>
                <w:sz w:val="20"/>
                <w:szCs w:val="20"/>
              </w:rPr>
            </w:pPr>
          </w:p>
          <w:p w14:paraId="21646AE5" w14:textId="77777777" w:rsidR="007350FE" w:rsidRPr="009B1439" w:rsidRDefault="007350FE" w:rsidP="00914936">
            <w:pPr>
              <w:spacing w:beforeLines="20" w:before="48"/>
              <w:rPr>
                <w:rFonts w:ascii="Arial" w:eastAsia="Times New Roman" w:hAnsi="Arial" w:cs="Arial"/>
                <w:sz w:val="20"/>
                <w:szCs w:val="20"/>
              </w:rPr>
            </w:pPr>
          </w:p>
          <w:p w14:paraId="24659475" w14:textId="77777777" w:rsidR="007350FE" w:rsidRPr="009B1439" w:rsidRDefault="007350FE" w:rsidP="00914936">
            <w:pPr>
              <w:spacing w:beforeLines="20" w:before="48"/>
              <w:rPr>
                <w:rFonts w:ascii="Arial" w:eastAsia="Times New Roman" w:hAnsi="Arial" w:cs="Arial"/>
                <w:sz w:val="20"/>
                <w:szCs w:val="20"/>
              </w:rPr>
            </w:pPr>
            <w:r w:rsidRPr="009B1439">
              <w:rPr>
                <w:rFonts w:ascii="Arial" w:eastAsia="Times New Roman" w:hAnsi="Arial" w:cs="Arial"/>
                <w:sz w:val="20"/>
                <w:szCs w:val="20"/>
              </w:rPr>
              <w:t>2</w:t>
            </w:r>
            <w:r>
              <w:rPr>
                <w:rFonts w:ascii="Arial" w:eastAsia="Times New Roman" w:hAnsi="Arial" w:cs="Arial"/>
                <w:sz w:val="20"/>
                <w:szCs w:val="20"/>
              </w:rPr>
              <w:t>2</w:t>
            </w:r>
            <w:r w:rsidRPr="009B1439">
              <w:rPr>
                <w:rFonts w:ascii="Arial" w:eastAsia="Times New Roman" w:hAnsi="Arial" w:cs="Arial"/>
                <w:sz w:val="20"/>
                <w:szCs w:val="20"/>
              </w:rPr>
              <w:t xml:space="preserve"> to 2</w:t>
            </w:r>
            <w:r w:rsidR="00A2239A">
              <w:rPr>
                <w:rFonts w:ascii="Arial" w:eastAsia="Times New Roman" w:hAnsi="Arial" w:cs="Arial"/>
                <w:sz w:val="20"/>
                <w:szCs w:val="20"/>
              </w:rPr>
              <w:t>7</w:t>
            </w:r>
          </w:p>
        </w:tc>
        <w:tc>
          <w:tcPr>
            <w:tcW w:w="549" w:type="pct"/>
            <w:tcBorders>
              <w:top w:val="single" w:sz="4" w:space="0" w:color="auto"/>
              <w:bottom w:val="nil"/>
            </w:tcBorders>
          </w:tcPr>
          <w:p w14:paraId="67FD07FF" w14:textId="77777777" w:rsidR="007350FE" w:rsidRPr="009B1439" w:rsidRDefault="007350FE" w:rsidP="00914936">
            <w:pPr>
              <w:spacing w:beforeLines="20" w:before="48"/>
              <w:rPr>
                <w:rFonts w:ascii="Arial" w:eastAsia="Times New Roman" w:hAnsi="Arial" w:cs="Arial"/>
                <w:sz w:val="20"/>
                <w:szCs w:val="20"/>
              </w:rPr>
            </w:pPr>
            <w:r w:rsidRPr="009B1439">
              <w:rPr>
                <w:rFonts w:ascii="Arial" w:eastAsia="Times New Roman" w:hAnsi="Arial" w:cs="Arial"/>
                <w:sz w:val="20"/>
                <w:szCs w:val="20"/>
              </w:rPr>
              <w:t>6.4</w:t>
            </w:r>
          </w:p>
        </w:tc>
        <w:tc>
          <w:tcPr>
            <w:tcW w:w="549" w:type="pct"/>
            <w:tcBorders>
              <w:top w:val="single" w:sz="4" w:space="0" w:color="auto"/>
              <w:bottom w:val="nil"/>
            </w:tcBorders>
          </w:tcPr>
          <w:p w14:paraId="7128A404" w14:textId="77777777" w:rsidR="007350FE" w:rsidRPr="009B1439" w:rsidRDefault="00552C43" w:rsidP="00914936">
            <w:pPr>
              <w:spacing w:beforeLines="20" w:before="48"/>
              <w:rPr>
                <w:rFonts w:ascii="Arial" w:eastAsia="Times New Roman" w:hAnsi="Arial" w:cs="Arial"/>
                <w:sz w:val="20"/>
                <w:szCs w:val="20"/>
              </w:rPr>
            </w:pPr>
            <w:r>
              <w:rPr>
                <w:rFonts w:ascii="Arial" w:eastAsia="Times New Roman" w:hAnsi="Arial" w:cs="Arial"/>
                <w:sz w:val="20"/>
                <w:szCs w:val="20"/>
              </w:rPr>
              <w:t>7.0</w:t>
            </w:r>
          </w:p>
        </w:tc>
        <w:tc>
          <w:tcPr>
            <w:tcW w:w="549" w:type="pct"/>
            <w:tcBorders>
              <w:top w:val="single" w:sz="4" w:space="0" w:color="auto"/>
              <w:bottom w:val="nil"/>
            </w:tcBorders>
          </w:tcPr>
          <w:p w14:paraId="3F291A40" w14:textId="77777777" w:rsidR="007350FE" w:rsidRPr="009B1439" w:rsidRDefault="007350FE" w:rsidP="00914936">
            <w:pPr>
              <w:spacing w:beforeLines="20" w:before="48"/>
              <w:rPr>
                <w:rFonts w:ascii="Arial" w:eastAsia="Times New Roman" w:hAnsi="Arial" w:cs="Arial"/>
                <w:sz w:val="20"/>
                <w:szCs w:val="20"/>
              </w:rPr>
            </w:pPr>
            <w:r w:rsidRPr="009B1439">
              <w:rPr>
                <w:rFonts w:ascii="Arial" w:eastAsia="Times New Roman" w:hAnsi="Arial" w:cs="Arial"/>
                <w:sz w:val="20"/>
                <w:szCs w:val="20"/>
              </w:rPr>
              <w:t>6.0</w:t>
            </w:r>
          </w:p>
        </w:tc>
        <w:tc>
          <w:tcPr>
            <w:tcW w:w="622" w:type="pct"/>
            <w:tcBorders>
              <w:top w:val="single" w:sz="4" w:space="0" w:color="auto"/>
              <w:bottom w:val="nil"/>
            </w:tcBorders>
          </w:tcPr>
          <w:p w14:paraId="26E0D933" w14:textId="77777777" w:rsidR="007350FE" w:rsidRPr="009B1439" w:rsidRDefault="00552C43" w:rsidP="00914936">
            <w:pPr>
              <w:spacing w:beforeLines="20" w:before="48"/>
              <w:rPr>
                <w:rFonts w:ascii="Arial" w:eastAsia="Times New Roman" w:hAnsi="Arial" w:cs="Arial"/>
                <w:sz w:val="20"/>
                <w:szCs w:val="20"/>
              </w:rPr>
            </w:pPr>
            <w:r>
              <w:rPr>
                <w:rFonts w:ascii="Arial" w:eastAsia="Times New Roman" w:hAnsi="Arial" w:cs="Arial"/>
                <w:sz w:val="20"/>
                <w:szCs w:val="20"/>
              </w:rPr>
              <w:t>5.9</w:t>
            </w:r>
          </w:p>
        </w:tc>
      </w:tr>
      <w:tr w:rsidR="007350FE" w:rsidRPr="009B1439" w14:paraId="65AA703A" w14:textId="77777777" w:rsidTr="00914936">
        <w:trPr>
          <w:jc w:val="center"/>
        </w:trPr>
        <w:tc>
          <w:tcPr>
            <w:tcW w:w="1205" w:type="pct"/>
            <w:tcBorders>
              <w:top w:val="nil"/>
            </w:tcBorders>
          </w:tcPr>
          <w:p w14:paraId="68E93B5D" w14:textId="77777777" w:rsidR="007350FE" w:rsidRPr="009B1439" w:rsidRDefault="007350FE" w:rsidP="00914936">
            <w:pPr>
              <w:spacing w:beforeLines="20" w:before="48"/>
              <w:rPr>
                <w:rFonts w:ascii="Arial" w:eastAsia="Times New Roman" w:hAnsi="Arial" w:cs="Arial"/>
                <w:sz w:val="20"/>
                <w:szCs w:val="20"/>
              </w:rPr>
            </w:pPr>
            <w:r w:rsidRPr="009B1439">
              <w:rPr>
                <w:rFonts w:ascii="Arial" w:eastAsia="Times New Roman" w:hAnsi="Arial" w:cs="Arial"/>
                <w:sz w:val="20"/>
                <w:szCs w:val="20"/>
              </w:rPr>
              <w:t>Morphine</w:t>
            </w:r>
          </w:p>
          <w:p w14:paraId="56974848" w14:textId="77777777" w:rsidR="007350FE" w:rsidRPr="009B1439" w:rsidRDefault="007350FE" w:rsidP="00914936">
            <w:pPr>
              <w:spacing w:beforeLines="20" w:before="48"/>
              <w:rPr>
                <w:rFonts w:ascii="Arial" w:eastAsia="Times New Roman" w:hAnsi="Arial" w:cs="Arial"/>
                <w:sz w:val="20"/>
                <w:szCs w:val="20"/>
              </w:rPr>
            </w:pPr>
            <w:r w:rsidRPr="009B1439">
              <w:rPr>
                <w:rFonts w:ascii="Arial" w:eastAsia="Times New Roman" w:hAnsi="Arial" w:cs="Arial"/>
                <w:sz w:val="20"/>
                <w:szCs w:val="20"/>
              </w:rPr>
              <w:t>(5mg/kg)</w:t>
            </w:r>
          </w:p>
        </w:tc>
        <w:tc>
          <w:tcPr>
            <w:tcW w:w="1526" w:type="pct"/>
            <w:vMerge/>
            <w:tcBorders>
              <w:top w:val="nil"/>
            </w:tcBorders>
          </w:tcPr>
          <w:p w14:paraId="04BCE8C6" w14:textId="77777777" w:rsidR="007350FE" w:rsidRPr="009B1439" w:rsidRDefault="007350FE" w:rsidP="00914936">
            <w:pPr>
              <w:spacing w:beforeLines="20" w:before="48"/>
              <w:rPr>
                <w:rFonts w:ascii="Arial" w:eastAsia="Times New Roman" w:hAnsi="Arial" w:cs="Arial"/>
                <w:sz w:val="20"/>
                <w:szCs w:val="20"/>
              </w:rPr>
            </w:pPr>
          </w:p>
        </w:tc>
        <w:tc>
          <w:tcPr>
            <w:tcW w:w="549" w:type="pct"/>
            <w:tcBorders>
              <w:top w:val="nil"/>
            </w:tcBorders>
          </w:tcPr>
          <w:p w14:paraId="5E3A95A5" w14:textId="77777777" w:rsidR="007350FE" w:rsidRPr="009B1439" w:rsidRDefault="007350FE" w:rsidP="00914936">
            <w:pPr>
              <w:spacing w:beforeLines="20" w:before="48"/>
              <w:rPr>
                <w:rFonts w:ascii="Arial" w:eastAsia="Times New Roman" w:hAnsi="Arial" w:cs="Arial"/>
                <w:sz w:val="20"/>
                <w:szCs w:val="20"/>
              </w:rPr>
            </w:pPr>
            <w:r w:rsidRPr="009B1439">
              <w:rPr>
                <w:rFonts w:ascii="Arial" w:eastAsia="Times New Roman" w:hAnsi="Arial" w:cs="Arial"/>
                <w:sz w:val="20"/>
                <w:szCs w:val="20"/>
              </w:rPr>
              <w:t>8.6</w:t>
            </w:r>
          </w:p>
        </w:tc>
        <w:tc>
          <w:tcPr>
            <w:tcW w:w="549" w:type="pct"/>
            <w:tcBorders>
              <w:top w:val="nil"/>
            </w:tcBorders>
          </w:tcPr>
          <w:p w14:paraId="088BD11B" w14:textId="77777777" w:rsidR="007350FE" w:rsidRPr="009B1439" w:rsidRDefault="007350FE" w:rsidP="00914936">
            <w:pPr>
              <w:spacing w:beforeLines="20" w:before="48"/>
              <w:rPr>
                <w:rFonts w:ascii="Arial" w:eastAsia="Times New Roman" w:hAnsi="Arial" w:cs="Arial"/>
                <w:sz w:val="20"/>
                <w:szCs w:val="20"/>
              </w:rPr>
            </w:pPr>
            <w:r w:rsidRPr="009B1439">
              <w:rPr>
                <w:rFonts w:ascii="Arial" w:eastAsia="Times New Roman" w:hAnsi="Arial" w:cs="Arial"/>
                <w:sz w:val="20"/>
                <w:szCs w:val="20"/>
              </w:rPr>
              <w:t>9.4</w:t>
            </w:r>
          </w:p>
        </w:tc>
        <w:tc>
          <w:tcPr>
            <w:tcW w:w="549" w:type="pct"/>
            <w:tcBorders>
              <w:top w:val="nil"/>
            </w:tcBorders>
          </w:tcPr>
          <w:p w14:paraId="76E1BD71" w14:textId="77777777" w:rsidR="007350FE" w:rsidRPr="009B1439" w:rsidRDefault="007350FE" w:rsidP="00914936">
            <w:pPr>
              <w:spacing w:beforeLines="20" w:before="48"/>
              <w:rPr>
                <w:rFonts w:ascii="Arial" w:eastAsia="Times New Roman" w:hAnsi="Arial" w:cs="Arial"/>
                <w:sz w:val="20"/>
                <w:szCs w:val="20"/>
              </w:rPr>
            </w:pPr>
            <w:r w:rsidRPr="009B1439">
              <w:rPr>
                <w:rFonts w:ascii="Arial" w:eastAsia="Times New Roman" w:hAnsi="Arial" w:cs="Arial"/>
                <w:sz w:val="20"/>
                <w:szCs w:val="20"/>
              </w:rPr>
              <w:t>11.0</w:t>
            </w:r>
          </w:p>
        </w:tc>
        <w:tc>
          <w:tcPr>
            <w:tcW w:w="622" w:type="pct"/>
            <w:tcBorders>
              <w:top w:val="nil"/>
            </w:tcBorders>
          </w:tcPr>
          <w:p w14:paraId="4D2D8093" w14:textId="77777777" w:rsidR="007350FE" w:rsidRPr="009B1439" w:rsidRDefault="00552C43" w:rsidP="00914936">
            <w:pPr>
              <w:spacing w:beforeLines="20" w:before="48"/>
              <w:rPr>
                <w:rFonts w:ascii="Arial" w:eastAsia="Times New Roman" w:hAnsi="Arial" w:cs="Arial"/>
                <w:sz w:val="20"/>
                <w:szCs w:val="20"/>
              </w:rPr>
            </w:pPr>
            <w:r>
              <w:rPr>
                <w:rFonts w:ascii="Arial" w:eastAsia="Times New Roman" w:hAnsi="Arial" w:cs="Arial"/>
                <w:sz w:val="20"/>
                <w:szCs w:val="20"/>
              </w:rPr>
              <w:t>1</w:t>
            </w:r>
            <w:r w:rsidR="007350FE" w:rsidRPr="009B1439">
              <w:rPr>
                <w:rFonts w:ascii="Arial" w:eastAsia="Times New Roman" w:hAnsi="Arial" w:cs="Arial"/>
                <w:sz w:val="20"/>
                <w:szCs w:val="20"/>
              </w:rPr>
              <w:t>6.6</w:t>
            </w:r>
          </w:p>
        </w:tc>
      </w:tr>
      <w:tr w:rsidR="007350FE" w:rsidRPr="009B1439" w14:paraId="763121DA" w14:textId="77777777" w:rsidTr="00914936">
        <w:trPr>
          <w:jc w:val="center"/>
        </w:trPr>
        <w:tc>
          <w:tcPr>
            <w:tcW w:w="1205" w:type="pct"/>
          </w:tcPr>
          <w:p w14:paraId="56A03F54" w14:textId="77777777" w:rsidR="007350FE" w:rsidRPr="009B1439" w:rsidRDefault="007350FE" w:rsidP="00914936">
            <w:pPr>
              <w:spacing w:beforeLines="20" w:before="48"/>
              <w:rPr>
                <w:rFonts w:ascii="Arial" w:eastAsia="Times New Roman" w:hAnsi="Arial" w:cs="Arial"/>
                <w:sz w:val="20"/>
                <w:szCs w:val="20"/>
              </w:rPr>
            </w:pPr>
            <w:r w:rsidRPr="009B1439">
              <w:rPr>
                <w:rFonts w:ascii="Arial" w:eastAsia="Times New Roman" w:hAnsi="Arial" w:cs="Arial"/>
                <w:sz w:val="20"/>
                <w:szCs w:val="20"/>
              </w:rPr>
              <w:t>ME</w:t>
            </w:r>
            <w:r w:rsidR="00A2239A">
              <w:rPr>
                <w:rFonts w:ascii="Arial" w:eastAsia="Times New Roman" w:hAnsi="Arial" w:cs="Arial"/>
                <w:sz w:val="20"/>
                <w:szCs w:val="20"/>
              </w:rPr>
              <w:t>BD</w:t>
            </w:r>
            <w:r w:rsidRPr="009B1439">
              <w:rPr>
                <w:rFonts w:ascii="Arial" w:eastAsia="Times New Roman" w:hAnsi="Arial" w:cs="Arial"/>
                <w:sz w:val="20"/>
                <w:szCs w:val="20"/>
              </w:rPr>
              <w:t xml:space="preserve"> (2</w:t>
            </w:r>
            <w:r>
              <w:rPr>
                <w:rFonts w:ascii="Arial" w:eastAsia="Times New Roman" w:hAnsi="Arial" w:cs="Arial"/>
                <w:sz w:val="20"/>
                <w:szCs w:val="20"/>
              </w:rPr>
              <w:t>5</w:t>
            </w:r>
            <w:r w:rsidRPr="009B1439">
              <w:rPr>
                <w:rFonts w:ascii="Arial" w:eastAsia="Times New Roman" w:hAnsi="Arial" w:cs="Arial"/>
                <w:sz w:val="20"/>
                <w:szCs w:val="20"/>
              </w:rPr>
              <w:t>0mg/kg)</w:t>
            </w:r>
          </w:p>
        </w:tc>
        <w:tc>
          <w:tcPr>
            <w:tcW w:w="1526" w:type="pct"/>
            <w:vMerge/>
          </w:tcPr>
          <w:p w14:paraId="5CAA66AF" w14:textId="77777777" w:rsidR="007350FE" w:rsidRPr="009B1439" w:rsidRDefault="007350FE" w:rsidP="00914936">
            <w:pPr>
              <w:spacing w:beforeLines="20" w:before="48"/>
              <w:rPr>
                <w:rFonts w:ascii="Arial" w:eastAsia="Times New Roman" w:hAnsi="Arial" w:cs="Arial"/>
                <w:sz w:val="20"/>
                <w:szCs w:val="20"/>
              </w:rPr>
            </w:pPr>
          </w:p>
        </w:tc>
        <w:tc>
          <w:tcPr>
            <w:tcW w:w="549" w:type="pct"/>
          </w:tcPr>
          <w:p w14:paraId="10323A5E" w14:textId="77777777" w:rsidR="007350FE" w:rsidRPr="009B1439" w:rsidRDefault="007350FE" w:rsidP="00914936">
            <w:pPr>
              <w:spacing w:beforeLines="20" w:before="48"/>
              <w:rPr>
                <w:rFonts w:ascii="Arial" w:eastAsia="Times New Roman" w:hAnsi="Arial" w:cs="Arial"/>
                <w:sz w:val="20"/>
                <w:szCs w:val="20"/>
              </w:rPr>
            </w:pPr>
            <w:r>
              <w:rPr>
                <w:rFonts w:ascii="Arial" w:eastAsia="Times New Roman" w:hAnsi="Arial" w:cs="Arial"/>
                <w:sz w:val="20"/>
                <w:szCs w:val="20"/>
              </w:rPr>
              <w:t>9.</w:t>
            </w:r>
            <w:r w:rsidR="00A2239A">
              <w:rPr>
                <w:rFonts w:ascii="Arial" w:eastAsia="Times New Roman" w:hAnsi="Arial" w:cs="Arial"/>
                <w:sz w:val="20"/>
                <w:szCs w:val="20"/>
              </w:rPr>
              <w:t>1</w:t>
            </w:r>
          </w:p>
        </w:tc>
        <w:tc>
          <w:tcPr>
            <w:tcW w:w="549" w:type="pct"/>
          </w:tcPr>
          <w:p w14:paraId="71F5E61D" w14:textId="77777777" w:rsidR="007350FE" w:rsidRPr="009B1439" w:rsidRDefault="007350FE" w:rsidP="00914936">
            <w:pPr>
              <w:spacing w:beforeLines="20" w:before="48"/>
              <w:rPr>
                <w:rFonts w:ascii="Arial" w:eastAsia="Times New Roman" w:hAnsi="Arial" w:cs="Arial"/>
                <w:sz w:val="20"/>
                <w:szCs w:val="20"/>
              </w:rPr>
            </w:pPr>
            <w:r>
              <w:rPr>
                <w:rFonts w:ascii="Arial" w:eastAsia="Times New Roman" w:hAnsi="Arial" w:cs="Arial"/>
                <w:sz w:val="20"/>
                <w:szCs w:val="20"/>
              </w:rPr>
              <w:t>9.</w:t>
            </w:r>
            <w:r w:rsidR="00A2239A">
              <w:rPr>
                <w:rFonts w:ascii="Arial" w:eastAsia="Times New Roman" w:hAnsi="Arial" w:cs="Arial"/>
                <w:sz w:val="20"/>
                <w:szCs w:val="20"/>
              </w:rPr>
              <w:t>3</w:t>
            </w:r>
          </w:p>
        </w:tc>
        <w:tc>
          <w:tcPr>
            <w:tcW w:w="549" w:type="pct"/>
          </w:tcPr>
          <w:p w14:paraId="0189C8B2" w14:textId="77777777" w:rsidR="007350FE" w:rsidRPr="009B1439" w:rsidRDefault="007350FE" w:rsidP="00914936">
            <w:pPr>
              <w:spacing w:beforeLines="20" w:before="48"/>
              <w:rPr>
                <w:rFonts w:ascii="Arial" w:eastAsia="Times New Roman" w:hAnsi="Arial" w:cs="Arial"/>
                <w:sz w:val="20"/>
                <w:szCs w:val="20"/>
              </w:rPr>
            </w:pPr>
            <w:r>
              <w:rPr>
                <w:rFonts w:ascii="Arial" w:eastAsia="Times New Roman" w:hAnsi="Arial" w:cs="Arial"/>
                <w:sz w:val="20"/>
                <w:szCs w:val="20"/>
              </w:rPr>
              <w:t>11.</w:t>
            </w:r>
            <w:r w:rsidR="00A2239A">
              <w:rPr>
                <w:rFonts w:ascii="Arial" w:eastAsia="Times New Roman" w:hAnsi="Arial" w:cs="Arial"/>
                <w:sz w:val="20"/>
                <w:szCs w:val="20"/>
              </w:rPr>
              <w:t>5</w:t>
            </w:r>
          </w:p>
        </w:tc>
        <w:tc>
          <w:tcPr>
            <w:tcW w:w="622" w:type="pct"/>
          </w:tcPr>
          <w:p w14:paraId="1DE50658" w14:textId="77777777" w:rsidR="007350FE" w:rsidRPr="009B1439" w:rsidRDefault="007350FE" w:rsidP="00914936">
            <w:pPr>
              <w:spacing w:beforeLines="20" w:before="48"/>
              <w:rPr>
                <w:rFonts w:ascii="Arial" w:eastAsia="Times New Roman" w:hAnsi="Arial" w:cs="Arial"/>
                <w:sz w:val="20"/>
                <w:szCs w:val="20"/>
              </w:rPr>
            </w:pPr>
            <w:r>
              <w:rPr>
                <w:rFonts w:ascii="Arial" w:eastAsia="Times New Roman" w:hAnsi="Arial" w:cs="Arial"/>
                <w:sz w:val="20"/>
                <w:szCs w:val="20"/>
              </w:rPr>
              <w:t>1</w:t>
            </w:r>
            <w:r w:rsidR="00A2239A">
              <w:rPr>
                <w:rFonts w:ascii="Arial" w:eastAsia="Times New Roman" w:hAnsi="Arial" w:cs="Arial"/>
                <w:sz w:val="20"/>
                <w:szCs w:val="20"/>
              </w:rPr>
              <w:t>1.8</w:t>
            </w:r>
          </w:p>
        </w:tc>
      </w:tr>
      <w:tr w:rsidR="007350FE" w:rsidRPr="009B1439" w14:paraId="36CBA68E" w14:textId="77777777" w:rsidTr="00914936">
        <w:trPr>
          <w:jc w:val="center"/>
        </w:trPr>
        <w:tc>
          <w:tcPr>
            <w:tcW w:w="1205" w:type="pct"/>
          </w:tcPr>
          <w:p w14:paraId="55ECA344" w14:textId="77777777" w:rsidR="007350FE" w:rsidRPr="009B1439" w:rsidRDefault="007350FE" w:rsidP="00914936">
            <w:pPr>
              <w:spacing w:beforeLines="20" w:before="48"/>
              <w:rPr>
                <w:rFonts w:ascii="Arial" w:eastAsia="Times New Roman" w:hAnsi="Arial" w:cs="Arial"/>
                <w:sz w:val="20"/>
                <w:szCs w:val="20"/>
              </w:rPr>
            </w:pPr>
            <w:r w:rsidRPr="009B1439">
              <w:rPr>
                <w:rFonts w:ascii="Arial" w:eastAsia="Times New Roman" w:hAnsi="Arial" w:cs="Arial"/>
                <w:sz w:val="20"/>
                <w:szCs w:val="20"/>
              </w:rPr>
              <w:t>ME</w:t>
            </w:r>
            <w:r w:rsidR="00A2239A">
              <w:rPr>
                <w:rFonts w:ascii="Arial" w:eastAsia="Times New Roman" w:hAnsi="Arial" w:cs="Arial"/>
                <w:sz w:val="20"/>
                <w:szCs w:val="20"/>
              </w:rPr>
              <w:t>BD</w:t>
            </w:r>
            <w:r w:rsidRPr="009B1439">
              <w:rPr>
                <w:rFonts w:ascii="Arial" w:eastAsia="Times New Roman" w:hAnsi="Arial" w:cs="Arial"/>
                <w:sz w:val="20"/>
                <w:szCs w:val="20"/>
              </w:rPr>
              <w:t xml:space="preserve"> (</w:t>
            </w:r>
            <w:r>
              <w:rPr>
                <w:rFonts w:ascii="Arial" w:eastAsia="Times New Roman" w:hAnsi="Arial" w:cs="Arial"/>
                <w:sz w:val="20"/>
                <w:szCs w:val="20"/>
              </w:rPr>
              <w:t>5</w:t>
            </w:r>
            <w:r w:rsidRPr="009B1439">
              <w:rPr>
                <w:rFonts w:ascii="Arial" w:eastAsia="Times New Roman" w:hAnsi="Arial" w:cs="Arial"/>
                <w:sz w:val="20"/>
                <w:szCs w:val="20"/>
              </w:rPr>
              <w:t>00mg/kg)</w:t>
            </w:r>
          </w:p>
        </w:tc>
        <w:tc>
          <w:tcPr>
            <w:tcW w:w="1526" w:type="pct"/>
            <w:vMerge/>
          </w:tcPr>
          <w:p w14:paraId="72403BB2" w14:textId="77777777" w:rsidR="007350FE" w:rsidRPr="009B1439" w:rsidRDefault="007350FE" w:rsidP="00914936">
            <w:pPr>
              <w:spacing w:beforeLines="20" w:before="48"/>
              <w:rPr>
                <w:rFonts w:ascii="Arial" w:eastAsia="Times New Roman" w:hAnsi="Arial" w:cs="Arial"/>
                <w:sz w:val="20"/>
                <w:szCs w:val="20"/>
              </w:rPr>
            </w:pPr>
          </w:p>
        </w:tc>
        <w:tc>
          <w:tcPr>
            <w:tcW w:w="549" w:type="pct"/>
          </w:tcPr>
          <w:p w14:paraId="253F0D42" w14:textId="77777777" w:rsidR="007350FE" w:rsidRPr="009B1439" w:rsidRDefault="007350FE" w:rsidP="00914936">
            <w:pPr>
              <w:spacing w:beforeLines="20" w:before="48"/>
              <w:rPr>
                <w:rFonts w:ascii="Arial" w:eastAsia="Times New Roman" w:hAnsi="Arial" w:cs="Arial"/>
                <w:sz w:val="20"/>
                <w:szCs w:val="20"/>
              </w:rPr>
            </w:pPr>
            <w:r>
              <w:rPr>
                <w:rFonts w:ascii="Arial" w:eastAsia="Times New Roman" w:hAnsi="Arial" w:cs="Arial"/>
                <w:sz w:val="20"/>
                <w:szCs w:val="20"/>
              </w:rPr>
              <w:t>8.</w:t>
            </w:r>
            <w:r w:rsidR="00A2239A">
              <w:rPr>
                <w:rFonts w:ascii="Arial" w:eastAsia="Times New Roman" w:hAnsi="Arial" w:cs="Arial"/>
                <w:sz w:val="20"/>
                <w:szCs w:val="20"/>
              </w:rPr>
              <w:t>3</w:t>
            </w:r>
          </w:p>
        </w:tc>
        <w:tc>
          <w:tcPr>
            <w:tcW w:w="549" w:type="pct"/>
          </w:tcPr>
          <w:p w14:paraId="7EEC5E89" w14:textId="77777777" w:rsidR="007350FE" w:rsidRPr="009B1439" w:rsidRDefault="007350FE" w:rsidP="00914936">
            <w:pPr>
              <w:spacing w:beforeLines="20" w:before="48"/>
              <w:rPr>
                <w:rFonts w:ascii="Arial" w:eastAsia="Times New Roman" w:hAnsi="Arial" w:cs="Arial"/>
                <w:sz w:val="20"/>
                <w:szCs w:val="20"/>
              </w:rPr>
            </w:pPr>
            <w:r w:rsidRPr="009B1439">
              <w:rPr>
                <w:rFonts w:ascii="Arial" w:eastAsia="Times New Roman" w:hAnsi="Arial" w:cs="Arial"/>
                <w:sz w:val="20"/>
                <w:szCs w:val="20"/>
              </w:rPr>
              <w:t>8.</w:t>
            </w:r>
            <w:r w:rsidR="00A2239A">
              <w:rPr>
                <w:rFonts w:ascii="Arial" w:eastAsia="Times New Roman" w:hAnsi="Arial" w:cs="Arial"/>
                <w:sz w:val="20"/>
                <w:szCs w:val="20"/>
              </w:rPr>
              <w:t>4</w:t>
            </w:r>
          </w:p>
          <w:p w14:paraId="4CF3AB80" w14:textId="77777777" w:rsidR="007350FE" w:rsidRPr="009B1439" w:rsidRDefault="007350FE" w:rsidP="00914936">
            <w:pPr>
              <w:spacing w:beforeLines="20" w:before="48"/>
              <w:rPr>
                <w:rFonts w:ascii="Arial" w:eastAsia="Times New Roman" w:hAnsi="Arial" w:cs="Arial"/>
                <w:sz w:val="20"/>
                <w:szCs w:val="20"/>
              </w:rPr>
            </w:pPr>
          </w:p>
        </w:tc>
        <w:tc>
          <w:tcPr>
            <w:tcW w:w="549" w:type="pct"/>
          </w:tcPr>
          <w:p w14:paraId="3B071F8C" w14:textId="77777777" w:rsidR="007350FE" w:rsidRPr="009B1439" w:rsidRDefault="007350FE" w:rsidP="00914936">
            <w:pPr>
              <w:spacing w:beforeLines="20" w:before="48"/>
              <w:rPr>
                <w:rFonts w:ascii="Arial" w:eastAsia="Times New Roman" w:hAnsi="Arial" w:cs="Arial"/>
                <w:sz w:val="20"/>
                <w:szCs w:val="20"/>
              </w:rPr>
            </w:pPr>
            <w:r>
              <w:rPr>
                <w:rFonts w:ascii="Arial" w:eastAsia="Times New Roman" w:hAnsi="Arial" w:cs="Arial"/>
                <w:sz w:val="20"/>
                <w:szCs w:val="20"/>
              </w:rPr>
              <w:t>9.</w:t>
            </w:r>
            <w:r w:rsidR="00A2239A">
              <w:rPr>
                <w:rFonts w:ascii="Arial" w:eastAsia="Times New Roman" w:hAnsi="Arial" w:cs="Arial"/>
                <w:sz w:val="20"/>
                <w:szCs w:val="20"/>
              </w:rPr>
              <w:t>0</w:t>
            </w:r>
          </w:p>
        </w:tc>
        <w:tc>
          <w:tcPr>
            <w:tcW w:w="622" w:type="pct"/>
          </w:tcPr>
          <w:p w14:paraId="1B5213BB" w14:textId="77777777" w:rsidR="007350FE" w:rsidRPr="009B1439" w:rsidRDefault="007350FE" w:rsidP="00914936">
            <w:pPr>
              <w:spacing w:beforeLines="20" w:before="48"/>
              <w:rPr>
                <w:rFonts w:ascii="Arial" w:eastAsia="Times New Roman" w:hAnsi="Arial" w:cs="Arial"/>
                <w:sz w:val="20"/>
                <w:szCs w:val="20"/>
              </w:rPr>
            </w:pPr>
            <w:r>
              <w:rPr>
                <w:rFonts w:ascii="Arial" w:eastAsia="Times New Roman" w:hAnsi="Arial" w:cs="Arial"/>
                <w:sz w:val="20"/>
                <w:szCs w:val="20"/>
              </w:rPr>
              <w:t>14.</w:t>
            </w:r>
            <w:r w:rsidR="00A2239A">
              <w:rPr>
                <w:rFonts w:ascii="Arial" w:eastAsia="Times New Roman" w:hAnsi="Arial" w:cs="Arial"/>
                <w:sz w:val="20"/>
                <w:szCs w:val="20"/>
              </w:rPr>
              <w:t>7</w:t>
            </w:r>
          </w:p>
        </w:tc>
      </w:tr>
      <w:tr w:rsidR="007350FE" w:rsidRPr="009B1439" w14:paraId="3FAA37B6" w14:textId="77777777" w:rsidTr="000E7559">
        <w:trPr>
          <w:trHeight w:val="70"/>
          <w:jc w:val="center"/>
        </w:trPr>
        <w:tc>
          <w:tcPr>
            <w:tcW w:w="1205" w:type="pct"/>
          </w:tcPr>
          <w:p w14:paraId="3DC16336" w14:textId="77777777" w:rsidR="007350FE" w:rsidRPr="009B1439" w:rsidRDefault="007350FE" w:rsidP="00914936">
            <w:pPr>
              <w:spacing w:beforeLines="20" w:before="48"/>
              <w:rPr>
                <w:rFonts w:ascii="Arial" w:eastAsia="Times New Roman" w:hAnsi="Arial" w:cs="Arial"/>
                <w:sz w:val="20"/>
                <w:szCs w:val="20"/>
              </w:rPr>
            </w:pPr>
          </w:p>
        </w:tc>
        <w:tc>
          <w:tcPr>
            <w:tcW w:w="1526" w:type="pct"/>
          </w:tcPr>
          <w:p w14:paraId="3F07EF5A" w14:textId="77777777" w:rsidR="007350FE" w:rsidRPr="009B1439" w:rsidRDefault="007350FE" w:rsidP="00914936">
            <w:pPr>
              <w:spacing w:beforeLines="20" w:before="48"/>
              <w:rPr>
                <w:rFonts w:ascii="Arial" w:eastAsia="Times New Roman" w:hAnsi="Arial" w:cs="Arial"/>
                <w:sz w:val="20"/>
                <w:szCs w:val="20"/>
              </w:rPr>
            </w:pPr>
          </w:p>
        </w:tc>
        <w:tc>
          <w:tcPr>
            <w:tcW w:w="549" w:type="pct"/>
          </w:tcPr>
          <w:p w14:paraId="2E761647" w14:textId="77777777" w:rsidR="007350FE" w:rsidRPr="009B1439" w:rsidRDefault="007350FE" w:rsidP="00914936">
            <w:pPr>
              <w:spacing w:beforeLines="20" w:before="48"/>
              <w:rPr>
                <w:rFonts w:ascii="Arial" w:eastAsia="Times New Roman" w:hAnsi="Arial" w:cs="Arial"/>
                <w:sz w:val="20"/>
                <w:szCs w:val="20"/>
              </w:rPr>
            </w:pPr>
          </w:p>
        </w:tc>
        <w:tc>
          <w:tcPr>
            <w:tcW w:w="549" w:type="pct"/>
          </w:tcPr>
          <w:p w14:paraId="03417FAF" w14:textId="77777777" w:rsidR="007350FE" w:rsidRPr="009B1439" w:rsidRDefault="007350FE" w:rsidP="00914936">
            <w:pPr>
              <w:spacing w:beforeLines="20" w:before="48"/>
              <w:rPr>
                <w:rFonts w:ascii="Arial" w:eastAsia="Times New Roman" w:hAnsi="Arial" w:cs="Arial"/>
                <w:sz w:val="20"/>
                <w:szCs w:val="20"/>
              </w:rPr>
            </w:pPr>
          </w:p>
        </w:tc>
        <w:tc>
          <w:tcPr>
            <w:tcW w:w="549" w:type="pct"/>
          </w:tcPr>
          <w:p w14:paraId="02CC008B" w14:textId="77777777" w:rsidR="007350FE" w:rsidRPr="009B1439" w:rsidRDefault="007350FE" w:rsidP="00914936">
            <w:pPr>
              <w:spacing w:beforeLines="20" w:before="48"/>
              <w:rPr>
                <w:rFonts w:ascii="Arial" w:eastAsia="Times New Roman" w:hAnsi="Arial" w:cs="Arial"/>
                <w:sz w:val="20"/>
                <w:szCs w:val="20"/>
              </w:rPr>
            </w:pPr>
          </w:p>
        </w:tc>
        <w:tc>
          <w:tcPr>
            <w:tcW w:w="622" w:type="pct"/>
          </w:tcPr>
          <w:p w14:paraId="673D8F2A" w14:textId="77777777" w:rsidR="007350FE" w:rsidRPr="009B1439" w:rsidRDefault="007350FE" w:rsidP="00914936">
            <w:pPr>
              <w:spacing w:beforeLines="20" w:before="48"/>
              <w:rPr>
                <w:rFonts w:ascii="Arial" w:eastAsia="Times New Roman" w:hAnsi="Arial" w:cs="Arial"/>
                <w:sz w:val="20"/>
                <w:szCs w:val="20"/>
              </w:rPr>
            </w:pPr>
          </w:p>
        </w:tc>
      </w:tr>
    </w:tbl>
    <w:bookmarkEnd w:id="8"/>
    <w:p w14:paraId="0028242D" w14:textId="77777777" w:rsidR="00A63F7F" w:rsidRDefault="00A63F7F" w:rsidP="00A63F7F">
      <w:r>
        <w:lastRenderedPageBreak/>
        <w:t>The findings from Table 5 are visualized in figure 5 through a bar chart.</w:t>
      </w:r>
    </w:p>
    <w:p w14:paraId="1F008AC5" w14:textId="77777777" w:rsidR="000E7559" w:rsidRDefault="000E7559" w:rsidP="000E7559">
      <w:pPr>
        <w:jc w:val="center"/>
      </w:pPr>
      <w:r w:rsidRPr="00DD5717">
        <w:rPr>
          <w:b/>
          <w:noProof/>
          <w:lang w:val="en-US" w:bidi="te-IN"/>
        </w:rPr>
        <w:drawing>
          <wp:inline distT="0" distB="0" distL="0" distR="0" wp14:anchorId="6F0FE7B5" wp14:editId="1DCCF058">
            <wp:extent cx="3178731" cy="2072198"/>
            <wp:effectExtent l="0" t="0" r="3175" b="4445"/>
            <wp:docPr id="6" name="Picture 6" descr="G:\Dhanda\Navid Rafi\figs\download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Dhanda\Navid Rafi\figs\download (5).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89952" cy="2079513"/>
                    </a:xfrm>
                    <a:prstGeom prst="rect">
                      <a:avLst/>
                    </a:prstGeom>
                    <a:noFill/>
                    <a:ln>
                      <a:noFill/>
                    </a:ln>
                  </pic:spPr>
                </pic:pic>
              </a:graphicData>
            </a:graphic>
          </wp:inline>
        </w:drawing>
      </w:r>
    </w:p>
    <w:p w14:paraId="72D878CA" w14:textId="77777777" w:rsidR="000E7559" w:rsidRDefault="000E7559" w:rsidP="000E7559">
      <w:pPr>
        <w:jc w:val="center"/>
        <w:rPr>
          <w:rFonts w:ascii="Arial" w:hAnsi="Arial" w:cs="Arial"/>
          <w:sz w:val="20"/>
        </w:rPr>
      </w:pPr>
      <w:r>
        <w:rPr>
          <w:rFonts w:ascii="Arial" w:hAnsi="Arial" w:cs="Arial"/>
          <w:sz w:val="20"/>
        </w:rPr>
        <w:t>Fig.</w:t>
      </w:r>
      <w:r w:rsidRPr="000E7559">
        <w:rPr>
          <w:rFonts w:ascii="Arial" w:hAnsi="Arial" w:cs="Arial"/>
          <w:sz w:val="20"/>
        </w:rPr>
        <w:t xml:space="preserve"> 5: Dose-dependent reaction time in the Hot Plate Test for MEBD, control, and morphine.</w:t>
      </w:r>
    </w:p>
    <w:p w14:paraId="759EC1B5" w14:textId="77777777" w:rsidR="000E7559" w:rsidRPr="000E7559" w:rsidRDefault="000E7559" w:rsidP="000E7559">
      <w:pPr>
        <w:tabs>
          <w:tab w:val="left" w:pos="956"/>
        </w:tabs>
        <w:jc w:val="both"/>
      </w:pPr>
      <w:r w:rsidRPr="001A2710">
        <w:t xml:space="preserve">Figure 5 illustrates the </w:t>
      </w:r>
      <w:r w:rsidRPr="000E7559">
        <w:rPr>
          <w:rStyle w:val="Strong"/>
          <w:b w:val="0"/>
        </w:rPr>
        <w:t>reaction time</w:t>
      </w:r>
      <w:r w:rsidRPr="001A2710">
        <w:t xml:space="preserve"> for different groups in the </w:t>
      </w:r>
      <w:r w:rsidRPr="000E7559">
        <w:rPr>
          <w:rStyle w:val="Strong"/>
          <w:b w:val="0"/>
        </w:rPr>
        <w:t>Hot Plate Test</w:t>
      </w:r>
      <w:r w:rsidRPr="001A2710">
        <w:t xml:space="preserve"> across various time intervals. It highlights the dose-dependent increase in latency time for </w:t>
      </w:r>
      <w:proofErr w:type="spellStart"/>
      <w:r w:rsidRPr="000E7559">
        <w:rPr>
          <w:rStyle w:val="Strong"/>
          <w:b w:val="0"/>
        </w:rPr>
        <w:t>MEBD</w:t>
      </w:r>
      <w:r w:rsidRPr="001A2710">
        <w:t>at</w:t>
      </w:r>
      <w:proofErr w:type="spellEnd"/>
      <w:r w:rsidRPr="001A2710">
        <w:t xml:space="preserve"> 250 and 500 mg/kg, compared to the </w:t>
      </w:r>
      <w:proofErr w:type="spellStart"/>
      <w:r w:rsidRPr="000E7559">
        <w:rPr>
          <w:rStyle w:val="Strong"/>
          <w:b w:val="0"/>
        </w:rPr>
        <w:t>control</w:t>
      </w:r>
      <w:r w:rsidRPr="001A2710">
        <w:t>and</w:t>
      </w:r>
      <w:proofErr w:type="spellEnd"/>
      <w:r w:rsidRPr="001A2710">
        <w:t xml:space="preserve"> </w:t>
      </w:r>
      <w:proofErr w:type="spellStart"/>
      <w:r w:rsidRPr="000E7559">
        <w:rPr>
          <w:rStyle w:val="Strong"/>
          <w:b w:val="0"/>
        </w:rPr>
        <w:t>morphine</w:t>
      </w:r>
      <w:r w:rsidRPr="001A2710">
        <w:t>groups</w:t>
      </w:r>
      <w:proofErr w:type="spellEnd"/>
      <w:r w:rsidRPr="001A2710">
        <w:t>.</w:t>
      </w:r>
    </w:p>
    <w:p w14:paraId="667A4559" w14:textId="77777777" w:rsidR="007350FE" w:rsidRPr="000D61AE" w:rsidRDefault="007350FE" w:rsidP="00E43A14">
      <w:pPr>
        <w:jc w:val="both"/>
        <w:rPr>
          <w:rFonts w:ascii="Arial" w:hAnsi="Arial" w:cs="Arial"/>
          <w:b/>
          <w:bCs/>
          <w:sz w:val="24"/>
          <w:lang w:val="en-US"/>
        </w:rPr>
      </w:pPr>
      <w:r w:rsidRPr="000D61AE">
        <w:rPr>
          <w:rFonts w:ascii="Arial" w:hAnsi="Arial" w:cs="Arial"/>
          <w:b/>
          <w:bCs/>
          <w:sz w:val="24"/>
          <w:lang w:val="en-US"/>
        </w:rPr>
        <w:t>6.2</w:t>
      </w:r>
      <w:r w:rsidR="000D61AE" w:rsidRPr="000D61AE">
        <w:rPr>
          <w:rFonts w:ascii="Arial" w:hAnsi="Arial" w:cs="Arial"/>
          <w:b/>
          <w:bCs/>
          <w:sz w:val="24"/>
          <w:lang w:val="en-US"/>
        </w:rPr>
        <w:t xml:space="preserve"> Formalin Induced Nociceptive activity</w:t>
      </w:r>
    </w:p>
    <w:p w14:paraId="7BC34643" w14:textId="77777777" w:rsidR="00507AA8" w:rsidRDefault="000D61AE" w:rsidP="000D61AE">
      <w:pPr>
        <w:jc w:val="both"/>
        <w:rPr>
          <w:rFonts w:ascii="Arial" w:hAnsi="Arial" w:cs="Arial"/>
          <w:sz w:val="24"/>
          <w:lang w:val="en-US"/>
        </w:rPr>
      </w:pPr>
      <w:r w:rsidRPr="000D61AE">
        <w:rPr>
          <w:rFonts w:ascii="Arial" w:hAnsi="Arial" w:cs="Arial"/>
          <w:sz w:val="24"/>
          <w:lang w:val="en-US"/>
        </w:rPr>
        <w:t xml:space="preserve">The findings illustrated in Table 5 indicate that in the nociceptive phase (early phase), the administration of </w:t>
      </w:r>
      <w:r w:rsidR="00D4780D">
        <w:rPr>
          <w:rFonts w:ascii="Arial" w:hAnsi="Arial" w:cs="Arial"/>
          <w:sz w:val="24"/>
          <w:lang w:val="en-US"/>
        </w:rPr>
        <w:t>MEBD</w:t>
      </w:r>
      <w:r w:rsidRPr="000D61AE">
        <w:rPr>
          <w:rFonts w:ascii="Arial" w:hAnsi="Arial" w:cs="Arial"/>
          <w:sz w:val="24"/>
          <w:lang w:val="en-US"/>
        </w:rPr>
        <w:t xml:space="preserve"> (250 mg/kg) led to a notable enhancement in nociceptive response when contrasted with the control </w:t>
      </w:r>
      <w:proofErr w:type="spellStart"/>
      <w:proofErr w:type="gramStart"/>
      <w:r w:rsidRPr="000D61AE">
        <w:rPr>
          <w:rFonts w:ascii="Arial" w:hAnsi="Arial" w:cs="Arial"/>
          <w:sz w:val="24"/>
          <w:lang w:val="en-US"/>
        </w:rPr>
        <w:t>group.In</w:t>
      </w:r>
      <w:proofErr w:type="spellEnd"/>
      <w:proofErr w:type="gramEnd"/>
      <w:r w:rsidRPr="000D61AE">
        <w:rPr>
          <w:rFonts w:ascii="Arial" w:hAnsi="Arial" w:cs="Arial"/>
          <w:sz w:val="24"/>
          <w:lang w:val="en-US"/>
        </w:rPr>
        <w:t xml:space="preserve"> the late phase (phase II), MEBD at dosages of 250 and 500 mg/kg exhibited a sig</w:t>
      </w:r>
      <w:r w:rsidR="00507AA8">
        <w:rPr>
          <w:rFonts w:ascii="Arial" w:hAnsi="Arial" w:cs="Arial"/>
          <w:sz w:val="24"/>
          <w:lang w:val="en-US"/>
        </w:rPr>
        <w:t>nificant antinociceptive effect.</w:t>
      </w:r>
    </w:p>
    <w:tbl>
      <w:tblPr>
        <w:tblStyle w:val="TableGrid"/>
        <w:tblpPr w:leftFromText="180" w:rightFromText="180" w:vertAnchor="text" w:horzAnchor="margin" w:tblpY="419"/>
        <w:tblW w:w="9476" w:type="dxa"/>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Look w:val="04A0" w:firstRow="1" w:lastRow="0" w:firstColumn="1" w:lastColumn="0" w:noHBand="0" w:noVBand="1"/>
      </w:tblPr>
      <w:tblGrid>
        <w:gridCol w:w="1578"/>
        <w:gridCol w:w="1578"/>
        <w:gridCol w:w="1580"/>
        <w:gridCol w:w="1580"/>
        <w:gridCol w:w="1580"/>
        <w:gridCol w:w="1580"/>
      </w:tblGrid>
      <w:tr w:rsidR="00507AA8" w:rsidRPr="001801C6" w14:paraId="34BB40A5" w14:textId="77777777" w:rsidTr="00507AA8">
        <w:trPr>
          <w:trHeight w:val="352"/>
        </w:trPr>
        <w:tc>
          <w:tcPr>
            <w:tcW w:w="1578" w:type="dxa"/>
            <w:vMerge w:val="restart"/>
            <w:tcBorders>
              <w:left w:val="nil"/>
            </w:tcBorders>
          </w:tcPr>
          <w:p w14:paraId="0D6B7DDE" w14:textId="77777777" w:rsidR="00507AA8" w:rsidRPr="001801C6" w:rsidRDefault="00507AA8" w:rsidP="00507AA8">
            <w:pPr>
              <w:widowControl w:val="0"/>
              <w:autoSpaceDE w:val="0"/>
              <w:autoSpaceDN w:val="0"/>
              <w:adjustRightInd w:val="0"/>
              <w:jc w:val="center"/>
              <w:rPr>
                <w:rFonts w:ascii="Arial" w:hAnsi="Arial" w:cs="Arial"/>
                <w:b/>
              </w:rPr>
            </w:pPr>
            <w:r w:rsidRPr="001801C6">
              <w:rPr>
                <w:rFonts w:ascii="Arial" w:hAnsi="Arial" w:cs="Arial"/>
                <w:b/>
              </w:rPr>
              <w:t>Treatment</w:t>
            </w:r>
          </w:p>
        </w:tc>
        <w:tc>
          <w:tcPr>
            <w:tcW w:w="1578" w:type="dxa"/>
            <w:vMerge w:val="restart"/>
          </w:tcPr>
          <w:p w14:paraId="6FC85522" w14:textId="77777777" w:rsidR="00507AA8" w:rsidRPr="001801C6" w:rsidRDefault="00507AA8" w:rsidP="00507AA8">
            <w:pPr>
              <w:widowControl w:val="0"/>
              <w:autoSpaceDE w:val="0"/>
              <w:autoSpaceDN w:val="0"/>
              <w:adjustRightInd w:val="0"/>
              <w:jc w:val="center"/>
              <w:rPr>
                <w:rFonts w:ascii="Arial" w:hAnsi="Arial" w:cs="Arial"/>
                <w:b/>
              </w:rPr>
            </w:pPr>
            <w:r w:rsidRPr="001801C6">
              <w:rPr>
                <w:rFonts w:ascii="Arial" w:hAnsi="Arial" w:cs="Arial"/>
                <w:b/>
              </w:rPr>
              <w:t>Dose (mg/kg)</w:t>
            </w:r>
          </w:p>
        </w:tc>
        <w:tc>
          <w:tcPr>
            <w:tcW w:w="6320" w:type="dxa"/>
            <w:gridSpan w:val="4"/>
            <w:tcBorders>
              <w:right w:val="nil"/>
            </w:tcBorders>
          </w:tcPr>
          <w:p w14:paraId="7376EEFC" w14:textId="77777777" w:rsidR="00507AA8" w:rsidRPr="001801C6" w:rsidRDefault="00507AA8" w:rsidP="00507AA8">
            <w:pPr>
              <w:widowControl w:val="0"/>
              <w:autoSpaceDE w:val="0"/>
              <w:autoSpaceDN w:val="0"/>
              <w:adjustRightInd w:val="0"/>
              <w:jc w:val="center"/>
              <w:rPr>
                <w:rFonts w:ascii="Arial" w:hAnsi="Arial" w:cs="Arial"/>
                <w:b/>
              </w:rPr>
            </w:pPr>
            <w:r w:rsidRPr="001801C6">
              <w:rPr>
                <w:rFonts w:ascii="Arial" w:hAnsi="Arial" w:cs="Arial"/>
                <w:b/>
              </w:rPr>
              <w:t>Licking of the hind paw</w:t>
            </w:r>
          </w:p>
        </w:tc>
      </w:tr>
      <w:tr w:rsidR="00507AA8" w:rsidRPr="001801C6" w14:paraId="0C215F71" w14:textId="77777777" w:rsidTr="00507AA8">
        <w:trPr>
          <w:trHeight w:val="706"/>
        </w:trPr>
        <w:tc>
          <w:tcPr>
            <w:tcW w:w="1578" w:type="dxa"/>
            <w:vMerge/>
            <w:tcBorders>
              <w:left w:val="nil"/>
            </w:tcBorders>
          </w:tcPr>
          <w:p w14:paraId="0EABC09A" w14:textId="77777777" w:rsidR="00507AA8" w:rsidRPr="001801C6" w:rsidRDefault="00507AA8" w:rsidP="00507AA8">
            <w:pPr>
              <w:widowControl w:val="0"/>
              <w:autoSpaceDE w:val="0"/>
              <w:autoSpaceDN w:val="0"/>
              <w:adjustRightInd w:val="0"/>
              <w:rPr>
                <w:rFonts w:ascii="Arial" w:hAnsi="Arial" w:cs="Arial"/>
                <w:b/>
              </w:rPr>
            </w:pPr>
          </w:p>
        </w:tc>
        <w:tc>
          <w:tcPr>
            <w:tcW w:w="1578" w:type="dxa"/>
            <w:vMerge/>
          </w:tcPr>
          <w:p w14:paraId="6E08926F" w14:textId="77777777" w:rsidR="00507AA8" w:rsidRPr="001801C6" w:rsidRDefault="00507AA8" w:rsidP="00507AA8">
            <w:pPr>
              <w:widowControl w:val="0"/>
              <w:autoSpaceDE w:val="0"/>
              <w:autoSpaceDN w:val="0"/>
              <w:adjustRightInd w:val="0"/>
              <w:rPr>
                <w:rFonts w:ascii="Arial" w:hAnsi="Arial" w:cs="Arial"/>
                <w:b/>
              </w:rPr>
            </w:pPr>
          </w:p>
        </w:tc>
        <w:tc>
          <w:tcPr>
            <w:tcW w:w="1580" w:type="dxa"/>
          </w:tcPr>
          <w:p w14:paraId="59E698E5" w14:textId="77777777" w:rsidR="00507AA8" w:rsidRPr="001801C6" w:rsidRDefault="00507AA8" w:rsidP="00507AA8">
            <w:pPr>
              <w:widowControl w:val="0"/>
              <w:autoSpaceDE w:val="0"/>
              <w:autoSpaceDN w:val="0"/>
              <w:adjustRightInd w:val="0"/>
              <w:jc w:val="center"/>
              <w:rPr>
                <w:rFonts w:ascii="Arial" w:hAnsi="Arial" w:cs="Arial"/>
                <w:b/>
              </w:rPr>
            </w:pPr>
            <w:r w:rsidRPr="001801C6">
              <w:rPr>
                <w:rFonts w:ascii="Arial" w:hAnsi="Arial" w:cs="Arial"/>
                <w:b/>
              </w:rPr>
              <w:t>Early Phase</w:t>
            </w:r>
          </w:p>
        </w:tc>
        <w:tc>
          <w:tcPr>
            <w:tcW w:w="1580" w:type="dxa"/>
          </w:tcPr>
          <w:p w14:paraId="7E846AAB" w14:textId="77777777" w:rsidR="00507AA8" w:rsidRPr="001801C6" w:rsidRDefault="00507AA8" w:rsidP="00507AA8">
            <w:pPr>
              <w:widowControl w:val="0"/>
              <w:autoSpaceDE w:val="0"/>
              <w:autoSpaceDN w:val="0"/>
              <w:adjustRightInd w:val="0"/>
              <w:jc w:val="center"/>
              <w:rPr>
                <w:rFonts w:ascii="Arial" w:hAnsi="Arial" w:cs="Arial"/>
                <w:b/>
              </w:rPr>
            </w:pPr>
            <w:r w:rsidRPr="001801C6">
              <w:rPr>
                <w:rFonts w:ascii="Arial" w:hAnsi="Arial" w:cs="Arial"/>
                <w:b/>
              </w:rPr>
              <w:t>% of inhibition early phase</w:t>
            </w:r>
          </w:p>
        </w:tc>
        <w:tc>
          <w:tcPr>
            <w:tcW w:w="1580" w:type="dxa"/>
          </w:tcPr>
          <w:p w14:paraId="38FD2E63" w14:textId="77777777" w:rsidR="00507AA8" w:rsidRPr="001801C6" w:rsidRDefault="00507AA8" w:rsidP="00507AA8">
            <w:pPr>
              <w:widowControl w:val="0"/>
              <w:autoSpaceDE w:val="0"/>
              <w:autoSpaceDN w:val="0"/>
              <w:adjustRightInd w:val="0"/>
              <w:jc w:val="center"/>
              <w:rPr>
                <w:rFonts w:ascii="Arial" w:hAnsi="Arial" w:cs="Arial"/>
                <w:b/>
              </w:rPr>
            </w:pPr>
            <w:r w:rsidRPr="001801C6">
              <w:rPr>
                <w:rFonts w:ascii="Arial" w:hAnsi="Arial" w:cs="Arial"/>
                <w:b/>
              </w:rPr>
              <w:t>Late Phase</w:t>
            </w:r>
          </w:p>
        </w:tc>
        <w:tc>
          <w:tcPr>
            <w:tcW w:w="1580" w:type="dxa"/>
            <w:tcBorders>
              <w:right w:val="nil"/>
            </w:tcBorders>
          </w:tcPr>
          <w:p w14:paraId="63E96700" w14:textId="77777777" w:rsidR="00507AA8" w:rsidRPr="001801C6" w:rsidRDefault="00507AA8" w:rsidP="00507AA8">
            <w:pPr>
              <w:widowControl w:val="0"/>
              <w:autoSpaceDE w:val="0"/>
              <w:autoSpaceDN w:val="0"/>
              <w:adjustRightInd w:val="0"/>
              <w:jc w:val="center"/>
              <w:rPr>
                <w:rFonts w:ascii="Arial" w:hAnsi="Arial" w:cs="Arial"/>
                <w:b/>
              </w:rPr>
            </w:pPr>
            <w:r w:rsidRPr="001801C6">
              <w:rPr>
                <w:rFonts w:ascii="Arial" w:hAnsi="Arial" w:cs="Arial"/>
                <w:b/>
              </w:rPr>
              <w:t>% of inhibition late phase</w:t>
            </w:r>
          </w:p>
        </w:tc>
      </w:tr>
      <w:tr w:rsidR="00507AA8" w:rsidRPr="001801C6" w14:paraId="56C9344A" w14:textId="77777777" w:rsidTr="00507AA8">
        <w:trPr>
          <w:trHeight w:val="2024"/>
        </w:trPr>
        <w:tc>
          <w:tcPr>
            <w:tcW w:w="1578" w:type="dxa"/>
            <w:tcBorders>
              <w:left w:val="nil"/>
            </w:tcBorders>
          </w:tcPr>
          <w:p w14:paraId="77572FDD" w14:textId="77777777"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Control</w:t>
            </w:r>
          </w:p>
          <w:p w14:paraId="66D42BDE" w14:textId="77777777" w:rsidR="00507AA8" w:rsidRPr="001801C6" w:rsidRDefault="00507AA8" w:rsidP="00507AA8">
            <w:pPr>
              <w:widowControl w:val="0"/>
              <w:autoSpaceDE w:val="0"/>
              <w:autoSpaceDN w:val="0"/>
              <w:adjustRightInd w:val="0"/>
              <w:rPr>
                <w:rFonts w:ascii="Arial" w:hAnsi="Arial" w:cs="Arial"/>
              </w:rPr>
            </w:pPr>
          </w:p>
          <w:p w14:paraId="74A3C3C7" w14:textId="77777777"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Diclofenac sodium</w:t>
            </w:r>
          </w:p>
          <w:p w14:paraId="499AAB38" w14:textId="77777777" w:rsidR="00507AA8" w:rsidRPr="001801C6" w:rsidRDefault="00507AA8" w:rsidP="00507AA8">
            <w:pPr>
              <w:widowControl w:val="0"/>
              <w:autoSpaceDE w:val="0"/>
              <w:autoSpaceDN w:val="0"/>
              <w:adjustRightInd w:val="0"/>
              <w:rPr>
                <w:rFonts w:ascii="Arial" w:hAnsi="Arial" w:cs="Arial"/>
              </w:rPr>
            </w:pPr>
          </w:p>
          <w:p w14:paraId="4DA75BFC" w14:textId="77777777"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MEBD</w:t>
            </w:r>
          </w:p>
          <w:p w14:paraId="2880A7D1" w14:textId="77777777" w:rsidR="00507AA8" w:rsidRPr="001801C6" w:rsidRDefault="00507AA8" w:rsidP="00507AA8">
            <w:pPr>
              <w:widowControl w:val="0"/>
              <w:autoSpaceDE w:val="0"/>
              <w:autoSpaceDN w:val="0"/>
              <w:adjustRightInd w:val="0"/>
              <w:rPr>
                <w:rFonts w:ascii="Arial" w:hAnsi="Arial" w:cs="Arial"/>
              </w:rPr>
            </w:pPr>
          </w:p>
          <w:p w14:paraId="6AB2CB86" w14:textId="77777777"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MEBD</w:t>
            </w:r>
          </w:p>
        </w:tc>
        <w:tc>
          <w:tcPr>
            <w:tcW w:w="1578" w:type="dxa"/>
          </w:tcPr>
          <w:p w14:paraId="6836C246" w14:textId="77777777"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0.1 mL/mice</w:t>
            </w:r>
          </w:p>
          <w:p w14:paraId="17C7D52B" w14:textId="77777777" w:rsidR="00507AA8" w:rsidRPr="001801C6" w:rsidRDefault="00507AA8" w:rsidP="00507AA8">
            <w:pPr>
              <w:widowControl w:val="0"/>
              <w:autoSpaceDE w:val="0"/>
              <w:autoSpaceDN w:val="0"/>
              <w:adjustRightInd w:val="0"/>
              <w:rPr>
                <w:rFonts w:ascii="Arial" w:hAnsi="Arial" w:cs="Arial"/>
              </w:rPr>
            </w:pPr>
          </w:p>
          <w:p w14:paraId="68498F03" w14:textId="77777777"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10</w:t>
            </w:r>
          </w:p>
          <w:p w14:paraId="69004F5D" w14:textId="77777777" w:rsidR="00507AA8" w:rsidRPr="001801C6" w:rsidRDefault="00507AA8" w:rsidP="00507AA8">
            <w:pPr>
              <w:widowControl w:val="0"/>
              <w:autoSpaceDE w:val="0"/>
              <w:autoSpaceDN w:val="0"/>
              <w:adjustRightInd w:val="0"/>
              <w:rPr>
                <w:rFonts w:ascii="Arial" w:hAnsi="Arial" w:cs="Arial"/>
              </w:rPr>
            </w:pPr>
          </w:p>
          <w:p w14:paraId="4BF1847E" w14:textId="77777777" w:rsidR="00507AA8" w:rsidRPr="001801C6" w:rsidRDefault="00507AA8" w:rsidP="00507AA8">
            <w:pPr>
              <w:widowControl w:val="0"/>
              <w:autoSpaceDE w:val="0"/>
              <w:autoSpaceDN w:val="0"/>
              <w:adjustRightInd w:val="0"/>
              <w:rPr>
                <w:rFonts w:ascii="Arial" w:hAnsi="Arial" w:cs="Arial"/>
              </w:rPr>
            </w:pPr>
          </w:p>
          <w:p w14:paraId="0B74AA39" w14:textId="77777777"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250</w:t>
            </w:r>
          </w:p>
          <w:p w14:paraId="15B2F505" w14:textId="77777777" w:rsidR="00507AA8" w:rsidRPr="001801C6" w:rsidRDefault="00507AA8" w:rsidP="00507AA8">
            <w:pPr>
              <w:widowControl w:val="0"/>
              <w:autoSpaceDE w:val="0"/>
              <w:autoSpaceDN w:val="0"/>
              <w:adjustRightInd w:val="0"/>
              <w:rPr>
                <w:rFonts w:ascii="Arial" w:hAnsi="Arial" w:cs="Arial"/>
              </w:rPr>
            </w:pPr>
          </w:p>
          <w:p w14:paraId="0D6E9005" w14:textId="77777777"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500</w:t>
            </w:r>
          </w:p>
        </w:tc>
        <w:tc>
          <w:tcPr>
            <w:tcW w:w="1580" w:type="dxa"/>
          </w:tcPr>
          <w:p w14:paraId="6597C311" w14:textId="77777777"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24.50</w:t>
            </w:r>
          </w:p>
          <w:p w14:paraId="0A23464F" w14:textId="77777777" w:rsidR="00507AA8" w:rsidRPr="001801C6" w:rsidRDefault="00507AA8" w:rsidP="00507AA8">
            <w:pPr>
              <w:widowControl w:val="0"/>
              <w:autoSpaceDE w:val="0"/>
              <w:autoSpaceDN w:val="0"/>
              <w:adjustRightInd w:val="0"/>
              <w:rPr>
                <w:rFonts w:ascii="Arial" w:hAnsi="Arial" w:cs="Arial"/>
              </w:rPr>
            </w:pPr>
          </w:p>
          <w:p w14:paraId="064D0418" w14:textId="77777777"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10.30</w:t>
            </w:r>
          </w:p>
          <w:p w14:paraId="53A2B375" w14:textId="77777777" w:rsidR="00507AA8" w:rsidRPr="001801C6" w:rsidRDefault="00507AA8" w:rsidP="00507AA8">
            <w:pPr>
              <w:widowControl w:val="0"/>
              <w:autoSpaceDE w:val="0"/>
              <w:autoSpaceDN w:val="0"/>
              <w:adjustRightInd w:val="0"/>
              <w:rPr>
                <w:rFonts w:ascii="Arial" w:hAnsi="Arial" w:cs="Arial"/>
              </w:rPr>
            </w:pPr>
          </w:p>
          <w:p w14:paraId="23CB65D3" w14:textId="77777777" w:rsidR="00507AA8" w:rsidRPr="001801C6" w:rsidRDefault="00507AA8" w:rsidP="00507AA8">
            <w:pPr>
              <w:widowControl w:val="0"/>
              <w:autoSpaceDE w:val="0"/>
              <w:autoSpaceDN w:val="0"/>
              <w:adjustRightInd w:val="0"/>
              <w:rPr>
                <w:rFonts w:ascii="Arial" w:hAnsi="Arial" w:cs="Arial"/>
              </w:rPr>
            </w:pPr>
          </w:p>
          <w:p w14:paraId="4D0E0CB8" w14:textId="77777777"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22.0</w:t>
            </w:r>
          </w:p>
          <w:p w14:paraId="2F0ACA1C" w14:textId="77777777" w:rsidR="00507AA8" w:rsidRPr="001801C6" w:rsidRDefault="00507AA8" w:rsidP="00507AA8">
            <w:pPr>
              <w:widowControl w:val="0"/>
              <w:autoSpaceDE w:val="0"/>
              <w:autoSpaceDN w:val="0"/>
              <w:adjustRightInd w:val="0"/>
              <w:rPr>
                <w:rFonts w:ascii="Arial" w:hAnsi="Arial" w:cs="Arial"/>
              </w:rPr>
            </w:pPr>
          </w:p>
          <w:p w14:paraId="4BF850CA" w14:textId="77777777"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13.50</w:t>
            </w:r>
          </w:p>
        </w:tc>
        <w:tc>
          <w:tcPr>
            <w:tcW w:w="1580" w:type="dxa"/>
          </w:tcPr>
          <w:p w14:paraId="10402D34" w14:textId="77777777"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0</w:t>
            </w:r>
          </w:p>
          <w:p w14:paraId="0912D2E0" w14:textId="77777777" w:rsidR="00507AA8" w:rsidRPr="001801C6" w:rsidRDefault="00507AA8" w:rsidP="00507AA8">
            <w:pPr>
              <w:widowControl w:val="0"/>
              <w:autoSpaceDE w:val="0"/>
              <w:autoSpaceDN w:val="0"/>
              <w:adjustRightInd w:val="0"/>
              <w:rPr>
                <w:rFonts w:ascii="Arial" w:hAnsi="Arial" w:cs="Arial"/>
              </w:rPr>
            </w:pPr>
          </w:p>
          <w:p w14:paraId="32308A95" w14:textId="77777777"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64.398</w:t>
            </w:r>
          </w:p>
          <w:p w14:paraId="0B413A3E" w14:textId="77777777" w:rsidR="00507AA8" w:rsidRPr="001801C6" w:rsidRDefault="00507AA8" w:rsidP="00507AA8">
            <w:pPr>
              <w:widowControl w:val="0"/>
              <w:autoSpaceDE w:val="0"/>
              <w:autoSpaceDN w:val="0"/>
              <w:adjustRightInd w:val="0"/>
              <w:rPr>
                <w:rFonts w:ascii="Arial" w:hAnsi="Arial" w:cs="Arial"/>
              </w:rPr>
            </w:pPr>
          </w:p>
          <w:p w14:paraId="60641445" w14:textId="77777777" w:rsidR="00507AA8" w:rsidRPr="001801C6" w:rsidRDefault="00507AA8" w:rsidP="00507AA8">
            <w:pPr>
              <w:widowControl w:val="0"/>
              <w:autoSpaceDE w:val="0"/>
              <w:autoSpaceDN w:val="0"/>
              <w:adjustRightInd w:val="0"/>
              <w:rPr>
                <w:rFonts w:ascii="Arial" w:hAnsi="Arial" w:cs="Arial"/>
              </w:rPr>
            </w:pPr>
          </w:p>
          <w:p w14:paraId="7A6A7A4C" w14:textId="77777777"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17.785</w:t>
            </w:r>
          </w:p>
          <w:p w14:paraId="61E2B0A4" w14:textId="77777777" w:rsidR="00507AA8" w:rsidRPr="001801C6" w:rsidRDefault="00507AA8" w:rsidP="00507AA8">
            <w:pPr>
              <w:widowControl w:val="0"/>
              <w:autoSpaceDE w:val="0"/>
              <w:autoSpaceDN w:val="0"/>
              <w:adjustRightInd w:val="0"/>
              <w:rPr>
                <w:rFonts w:ascii="Arial" w:hAnsi="Arial" w:cs="Arial"/>
              </w:rPr>
            </w:pPr>
          </w:p>
          <w:p w14:paraId="509F674F" w14:textId="77777777"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45.675</w:t>
            </w:r>
          </w:p>
        </w:tc>
        <w:tc>
          <w:tcPr>
            <w:tcW w:w="1580" w:type="dxa"/>
          </w:tcPr>
          <w:p w14:paraId="0E4B127A" w14:textId="77777777"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14.70</w:t>
            </w:r>
          </w:p>
          <w:p w14:paraId="71107E73" w14:textId="77777777" w:rsidR="00507AA8" w:rsidRPr="001801C6" w:rsidRDefault="00507AA8" w:rsidP="00507AA8">
            <w:pPr>
              <w:widowControl w:val="0"/>
              <w:autoSpaceDE w:val="0"/>
              <w:autoSpaceDN w:val="0"/>
              <w:adjustRightInd w:val="0"/>
              <w:rPr>
                <w:rFonts w:ascii="Arial" w:hAnsi="Arial" w:cs="Arial"/>
              </w:rPr>
            </w:pPr>
          </w:p>
          <w:p w14:paraId="20D00175" w14:textId="77777777"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4.80</w:t>
            </w:r>
          </w:p>
          <w:p w14:paraId="66D4ACC2" w14:textId="77777777" w:rsidR="00507AA8" w:rsidRPr="001801C6" w:rsidRDefault="00507AA8" w:rsidP="00507AA8">
            <w:pPr>
              <w:widowControl w:val="0"/>
              <w:autoSpaceDE w:val="0"/>
              <w:autoSpaceDN w:val="0"/>
              <w:adjustRightInd w:val="0"/>
              <w:rPr>
                <w:rFonts w:ascii="Arial" w:hAnsi="Arial" w:cs="Arial"/>
              </w:rPr>
            </w:pPr>
          </w:p>
          <w:p w14:paraId="07F484B8" w14:textId="77777777" w:rsidR="00507AA8" w:rsidRPr="001801C6" w:rsidRDefault="00507AA8" w:rsidP="00507AA8">
            <w:pPr>
              <w:widowControl w:val="0"/>
              <w:autoSpaceDE w:val="0"/>
              <w:autoSpaceDN w:val="0"/>
              <w:adjustRightInd w:val="0"/>
              <w:rPr>
                <w:rFonts w:ascii="Arial" w:hAnsi="Arial" w:cs="Arial"/>
              </w:rPr>
            </w:pPr>
          </w:p>
          <w:p w14:paraId="4A942C15" w14:textId="77777777"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10.10</w:t>
            </w:r>
          </w:p>
          <w:p w14:paraId="316C0609" w14:textId="77777777" w:rsidR="00507AA8" w:rsidRPr="001801C6" w:rsidRDefault="00507AA8" w:rsidP="00507AA8">
            <w:pPr>
              <w:widowControl w:val="0"/>
              <w:autoSpaceDE w:val="0"/>
              <w:autoSpaceDN w:val="0"/>
              <w:adjustRightInd w:val="0"/>
              <w:rPr>
                <w:rFonts w:ascii="Arial" w:hAnsi="Arial" w:cs="Arial"/>
              </w:rPr>
            </w:pPr>
          </w:p>
          <w:p w14:paraId="18304A09" w14:textId="77777777"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7.35</w:t>
            </w:r>
          </w:p>
        </w:tc>
        <w:tc>
          <w:tcPr>
            <w:tcW w:w="1580" w:type="dxa"/>
            <w:tcBorders>
              <w:right w:val="nil"/>
            </w:tcBorders>
          </w:tcPr>
          <w:p w14:paraId="0F94E8AE" w14:textId="77777777"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0</w:t>
            </w:r>
          </w:p>
          <w:p w14:paraId="5EAF1188" w14:textId="77777777" w:rsidR="00507AA8" w:rsidRPr="001801C6" w:rsidRDefault="00507AA8" w:rsidP="00507AA8">
            <w:pPr>
              <w:widowControl w:val="0"/>
              <w:autoSpaceDE w:val="0"/>
              <w:autoSpaceDN w:val="0"/>
              <w:adjustRightInd w:val="0"/>
              <w:rPr>
                <w:rFonts w:ascii="Arial" w:hAnsi="Arial" w:cs="Arial"/>
              </w:rPr>
            </w:pPr>
          </w:p>
          <w:p w14:paraId="7D4082B1" w14:textId="77777777"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75.683</w:t>
            </w:r>
          </w:p>
          <w:p w14:paraId="2EE2BCE8" w14:textId="77777777" w:rsidR="00507AA8" w:rsidRPr="001801C6" w:rsidRDefault="00507AA8" w:rsidP="00507AA8">
            <w:pPr>
              <w:widowControl w:val="0"/>
              <w:autoSpaceDE w:val="0"/>
              <w:autoSpaceDN w:val="0"/>
              <w:adjustRightInd w:val="0"/>
              <w:rPr>
                <w:rFonts w:ascii="Arial" w:hAnsi="Arial" w:cs="Arial"/>
              </w:rPr>
            </w:pPr>
          </w:p>
          <w:p w14:paraId="4B75ECD1" w14:textId="77777777" w:rsidR="00507AA8" w:rsidRPr="001801C6" w:rsidRDefault="00507AA8" w:rsidP="00507AA8">
            <w:pPr>
              <w:widowControl w:val="0"/>
              <w:autoSpaceDE w:val="0"/>
              <w:autoSpaceDN w:val="0"/>
              <w:adjustRightInd w:val="0"/>
              <w:rPr>
                <w:rFonts w:ascii="Arial" w:hAnsi="Arial" w:cs="Arial"/>
              </w:rPr>
            </w:pPr>
          </w:p>
          <w:p w14:paraId="060AF448" w14:textId="77777777"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69.56</w:t>
            </w:r>
          </w:p>
          <w:p w14:paraId="6D4A2646" w14:textId="77777777" w:rsidR="00507AA8" w:rsidRPr="001801C6" w:rsidRDefault="00507AA8" w:rsidP="00507AA8">
            <w:pPr>
              <w:widowControl w:val="0"/>
              <w:autoSpaceDE w:val="0"/>
              <w:autoSpaceDN w:val="0"/>
              <w:adjustRightInd w:val="0"/>
              <w:rPr>
                <w:rFonts w:ascii="Arial" w:hAnsi="Arial" w:cs="Arial"/>
              </w:rPr>
            </w:pPr>
          </w:p>
          <w:p w14:paraId="50AB4D81" w14:textId="77777777" w:rsidR="00507AA8" w:rsidRPr="001801C6" w:rsidRDefault="00507AA8" w:rsidP="00507AA8">
            <w:pPr>
              <w:widowControl w:val="0"/>
              <w:autoSpaceDE w:val="0"/>
              <w:autoSpaceDN w:val="0"/>
              <w:adjustRightInd w:val="0"/>
              <w:rPr>
                <w:rFonts w:ascii="Arial" w:hAnsi="Arial" w:cs="Arial"/>
              </w:rPr>
            </w:pPr>
            <w:r w:rsidRPr="001801C6">
              <w:rPr>
                <w:rFonts w:ascii="Arial" w:hAnsi="Arial" w:cs="Arial"/>
              </w:rPr>
              <w:t>80.15</w:t>
            </w:r>
          </w:p>
        </w:tc>
      </w:tr>
    </w:tbl>
    <w:p w14:paraId="7FE7E055" w14:textId="77777777" w:rsidR="000D61AE" w:rsidRPr="00507AA8" w:rsidRDefault="00507AA8" w:rsidP="00E43A14">
      <w:pPr>
        <w:jc w:val="both"/>
        <w:rPr>
          <w:rFonts w:ascii="Arial" w:hAnsi="Arial" w:cs="Arial"/>
          <w:b/>
          <w:sz w:val="24"/>
          <w:lang w:val="en-US"/>
        </w:rPr>
      </w:pPr>
      <w:r>
        <w:rPr>
          <w:rFonts w:ascii="Arial" w:hAnsi="Arial" w:cs="Arial"/>
          <w:b/>
          <w:sz w:val="24"/>
          <w:lang w:val="en-US"/>
        </w:rPr>
        <w:t>Table 6.</w:t>
      </w:r>
      <w:r w:rsidRPr="00507AA8">
        <w:rPr>
          <w:rFonts w:ascii="Arial" w:hAnsi="Arial" w:cs="Arial"/>
          <w:b/>
          <w:sz w:val="24"/>
          <w:lang w:val="en-US"/>
        </w:rPr>
        <w:t xml:space="preserve"> Effect of MEBD on Formalin-Induced Nociceptive Activity in Mice.</w:t>
      </w:r>
    </w:p>
    <w:p w14:paraId="7D961AD4" w14:textId="77777777" w:rsidR="00507AA8" w:rsidRDefault="00507AA8" w:rsidP="00E43A14">
      <w:pPr>
        <w:jc w:val="both"/>
        <w:rPr>
          <w:rFonts w:ascii="Arial" w:hAnsi="Arial" w:cs="Arial"/>
          <w:b/>
          <w:bCs/>
          <w:sz w:val="24"/>
          <w:lang w:val="en-US"/>
        </w:rPr>
      </w:pPr>
    </w:p>
    <w:p w14:paraId="02904442" w14:textId="77777777" w:rsidR="00F24ECA" w:rsidRDefault="00F24ECA" w:rsidP="00E43A14">
      <w:pPr>
        <w:jc w:val="both"/>
        <w:rPr>
          <w:rFonts w:ascii="Arial" w:hAnsi="Arial" w:cs="Arial"/>
          <w:b/>
          <w:bCs/>
          <w:sz w:val="24"/>
          <w:lang w:val="en-US"/>
        </w:rPr>
      </w:pPr>
      <w:r>
        <w:rPr>
          <w:rFonts w:ascii="Arial" w:hAnsi="Arial" w:cs="Arial"/>
          <w:sz w:val="24"/>
          <w:lang w:val="en-US"/>
        </w:rPr>
        <w:t>The findings from Table 6</w:t>
      </w:r>
      <w:r w:rsidRPr="000E7559">
        <w:rPr>
          <w:rFonts w:ascii="Arial" w:hAnsi="Arial" w:cs="Arial"/>
          <w:sz w:val="24"/>
          <w:lang w:val="en-US"/>
        </w:rPr>
        <w:t xml:space="preserve"> are </w:t>
      </w:r>
      <w:r>
        <w:rPr>
          <w:rFonts w:ascii="Arial" w:hAnsi="Arial" w:cs="Arial"/>
          <w:sz w:val="24"/>
          <w:lang w:val="en-US"/>
        </w:rPr>
        <w:t>visually represented in Figure 6</w:t>
      </w:r>
      <w:r w:rsidRPr="000E7559">
        <w:rPr>
          <w:rFonts w:ascii="Arial" w:hAnsi="Arial" w:cs="Arial"/>
          <w:sz w:val="24"/>
          <w:lang w:val="en-US"/>
        </w:rPr>
        <w:t xml:space="preserve">, illustrating the impact of MEBD on </w:t>
      </w:r>
      <w:r>
        <w:rPr>
          <w:rFonts w:ascii="Arial" w:hAnsi="Arial" w:cs="Arial"/>
          <w:sz w:val="24"/>
          <w:lang w:val="en-US"/>
        </w:rPr>
        <w:t>formalin-induced nociceptive activity in m</w:t>
      </w:r>
      <w:r w:rsidRPr="00F24ECA">
        <w:rPr>
          <w:rFonts w:ascii="Arial" w:hAnsi="Arial" w:cs="Arial"/>
          <w:sz w:val="24"/>
          <w:lang w:val="en-US"/>
        </w:rPr>
        <w:t>ice.</w:t>
      </w:r>
    </w:p>
    <w:p w14:paraId="73975A96" w14:textId="77777777" w:rsidR="00507AA8" w:rsidRDefault="00F24ECA" w:rsidP="00325E28">
      <w:pPr>
        <w:jc w:val="center"/>
        <w:rPr>
          <w:rFonts w:ascii="Arial" w:hAnsi="Arial" w:cs="Arial"/>
          <w:b/>
          <w:bCs/>
          <w:sz w:val="24"/>
          <w:lang w:val="en-US"/>
        </w:rPr>
      </w:pPr>
      <w:r w:rsidRPr="00F24ECA">
        <w:rPr>
          <w:rFonts w:ascii="Arial" w:hAnsi="Arial" w:cs="Arial"/>
          <w:b/>
          <w:bCs/>
          <w:noProof/>
          <w:sz w:val="24"/>
          <w:lang w:val="en-US" w:bidi="te-IN"/>
        </w:rPr>
        <w:lastRenderedPageBreak/>
        <w:drawing>
          <wp:inline distT="0" distB="0" distL="0" distR="0" wp14:anchorId="376ECA70" wp14:editId="305905A7">
            <wp:extent cx="3703779" cy="2507686"/>
            <wp:effectExtent l="0" t="0" r="0" b="6985"/>
            <wp:docPr id="5" name="Picture 5" descr="G:\Dhanda\Navid Rafi\figs\download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handa\Navid Rafi\figs\download (7).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12836" cy="2513818"/>
                    </a:xfrm>
                    <a:prstGeom prst="rect">
                      <a:avLst/>
                    </a:prstGeom>
                    <a:noFill/>
                    <a:ln>
                      <a:noFill/>
                    </a:ln>
                  </pic:spPr>
                </pic:pic>
              </a:graphicData>
            </a:graphic>
          </wp:inline>
        </w:drawing>
      </w:r>
    </w:p>
    <w:p w14:paraId="107B18B2" w14:textId="77777777" w:rsidR="00F24ECA" w:rsidRDefault="00F24ECA" w:rsidP="00F24ECA">
      <w:pPr>
        <w:jc w:val="center"/>
        <w:rPr>
          <w:rFonts w:ascii="Arial" w:hAnsi="Arial" w:cs="Arial"/>
          <w:sz w:val="20"/>
        </w:rPr>
      </w:pPr>
      <w:r w:rsidRPr="00F24ECA">
        <w:rPr>
          <w:rFonts w:ascii="Arial" w:hAnsi="Arial" w:cs="Arial"/>
          <w:sz w:val="20"/>
        </w:rPr>
        <w:t>Fig. 6: Effect of MEBD on Formalin-Induced Nociceptive Activity in Mice</w:t>
      </w:r>
    </w:p>
    <w:p w14:paraId="5D6F13F1" w14:textId="77777777" w:rsidR="00F24ECA" w:rsidRPr="00F24ECA" w:rsidRDefault="00F24ECA" w:rsidP="00F24ECA">
      <w:pPr>
        <w:jc w:val="both"/>
        <w:rPr>
          <w:rFonts w:ascii="Arial" w:hAnsi="Arial" w:cs="Arial"/>
          <w:b/>
          <w:bCs/>
          <w:sz w:val="28"/>
          <w:lang w:val="en-US"/>
        </w:rPr>
      </w:pPr>
      <w:r w:rsidRPr="00F24ECA">
        <w:rPr>
          <w:rFonts w:ascii="Arial" w:hAnsi="Arial" w:cs="Arial"/>
          <w:sz w:val="24"/>
        </w:rPr>
        <w:t xml:space="preserve">The bar graph shows that </w:t>
      </w:r>
      <w:r w:rsidR="00D4780D">
        <w:rPr>
          <w:rFonts w:ascii="Arial" w:hAnsi="Arial" w:cs="Arial"/>
          <w:sz w:val="24"/>
        </w:rPr>
        <w:t>MEBD</w:t>
      </w:r>
      <w:r w:rsidRPr="00F24ECA">
        <w:rPr>
          <w:rFonts w:ascii="Arial" w:hAnsi="Arial" w:cs="Arial"/>
          <w:sz w:val="24"/>
        </w:rPr>
        <w:t xml:space="preserve"> (250 mg/kg) increased nociceptive response in the early phase, while MEBD (250 and 500 mg/kg) significantly reduced nociceptive activity in the late phase. Higher doses of MEBD exhibited greater inhibition of nociceptive behaviour.</w:t>
      </w:r>
    </w:p>
    <w:p w14:paraId="095CF5FF" w14:textId="77777777" w:rsidR="00132799" w:rsidRPr="00A2239A" w:rsidRDefault="00132799" w:rsidP="00E43A14">
      <w:pPr>
        <w:jc w:val="both"/>
        <w:rPr>
          <w:rFonts w:ascii="Arial" w:hAnsi="Arial" w:cs="Arial"/>
          <w:b/>
          <w:bCs/>
          <w:sz w:val="24"/>
          <w:lang w:val="en-US"/>
        </w:rPr>
      </w:pPr>
      <w:r w:rsidRPr="00A2239A">
        <w:rPr>
          <w:rFonts w:ascii="Arial" w:hAnsi="Arial" w:cs="Arial"/>
          <w:b/>
          <w:bCs/>
          <w:sz w:val="24"/>
          <w:lang w:val="en-US"/>
        </w:rPr>
        <w:t>7. DISCUSSION</w:t>
      </w:r>
    </w:p>
    <w:p w14:paraId="4E55EB43" w14:textId="7F0B40B1" w:rsidR="00A2239A" w:rsidRDefault="00A2239A" w:rsidP="00A2239A">
      <w:pPr>
        <w:jc w:val="both"/>
        <w:rPr>
          <w:rFonts w:ascii="Arial" w:hAnsi="Arial" w:cs="Arial"/>
          <w:sz w:val="24"/>
          <w:lang w:val="en-US"/>
        </w:rPr>
      </w:pPr>
      <w:proofErr w:type="spellStart"/>
      <w:r w:rsidRPr="00A2239A">
        <w:rPr>
          <w:rFonts w:ascii="Arial" w:hAnsi="Arial" w:cs="Arial"/>
          <w:i/>
          <w:iCs/>
          <w:sz w:val="24"/>
          <w:lang w:val="en-US"/>
        </w:rPr>
        <w:t>Boerhavia</w:t>
      </w:r>
      <w:proofErr w:type="spellEnd"/>
      <w:r w:rsidR="00FE1CF5">
        <w:rPr>
          <w:rFonts w:ascii="Arial" w:hAnsi="Arial" w:cs="Arial"/>
          <w:i/>
          <w:iCs/>
          <w:sz w:val="24"/>
          <w:lang w:val="en-US"/>
        </w:rPr>
        <w:t xml:space="preserve"> </w:t>
      </w:r>
      <w:proofErr w:type="spellStart"/>
      <w:r w:rsidRPr="00A2239A">
        <w:rPr>
          <w:rFonts w:ascii="Arial" w:hAnsi="Arial" w:cs="Arial"/>
          <w:i/>
          <w:iCs/>
          <w:sz w:val="24"/>
          <w:lang w:val="en-US"/>
        </w:rPr>
        <w:t>diffusa</w:t>
      </w:r>
      <w:proofErr w:type="spellEnd"/>
      <w:r w:rsidRPr="00A2239A">
        <w:rPr>
          <w:rFonts w:ascii="Arial" w:hAnsi="Arial" w:cs="Arial"/>
          <w:sz w:val="24"/>
          <w:lang w:val="en-US"/>
        </w:rPr>
        <w:t xml:space="preserve"> (</w:t>
      </w:r>
      <w:proofErr w:type="spellStart"/>
      <w:r w:rsidRPr="00A2239A">
        <w:rPr>
          <w:rFonts w:ascii="Arial" w:hAnsi="Arial" w:cs="Arial"/>
          <w:sz w:val="24"/>
          <w:lang w:val="en-US"/>
        </w:rPr>
        <w:t>Punarnava</w:t>
      </w:r>
      <w:proofErr w:type="spellEnd"/>
      <w:r w:rsidRPr="00A2239A">
        <w:rPr>
          <w:rFonts w:ascii="Arial" w:hAnsi="Arial" w:cs="Arial"/>
          <w:sz w:val="24"/>
          <w:lang w:val="en-US"/>
        </w:rPr>
        <w:t xml:space="preserve">) has rich phytochemical composition including alkaloids, flavonoids, glycosides, tannins, steroids, terpenoids, and phenolic compounds, which mostly explains its pharmacological features </w:t>
      </w:r>
      <w:r w:rsidR="00F726D7">
        <w:rPr>
          <w:rFonts w:ascii="Arial" w:hAnsi="Arial" w:cs="Arial"/>
          <w:sz w:val="24"/>
          <w:lang w:val="en-US"/>
        </w:rPr>
        <w:fldChar w:fldCharType="begin" w:fldLock="1"/>
      </w:r>
      <w:r w:rsidR="003B5DB6">
        <w:rPr>
          <w:rFonts w:ascii="Arial" w:hAnsi="Arial" w:cs="Arial"/>
          <w:sz w:val="24"/>
          <w:lang w:val="en-US"/>
        </w:rPr>
        <w:instrText>ADDIN CSL_CITATION {"citationItems":[{"id":"ITEM-1","itemData":{"DOI":"10.9734/jpri/2021/v33i36a31928","abstract":"Background: To identify bioactive phytoconstituents and evaluate antimicrobial and antimycobacterial potential of Boerhaavia diffusa leaves against selective human pathogens.\r Methods: The extract of Boerhaavia diffusa leaves was carried out by using methanol. Bioactive compounds was identified by GC-MS. Antimicrobial and antimycobacterial activity of methanolic extract Boerhaavia diffusa leaves was tested in vitro by Kirby-Bauer well diffusion method and rapid culture - MGITTM DST method against Escherichia coli, Klebsiella pneumoniae, Staphylococcus aureus &amp; Pseudomonas aeruginosa and Candida, Aspergillus and M. tuberculosis (H37RV ) and Mycobacterium tuberculosis bacteria resistant to Isoniazid &amp; Rifampicine.\r Results: The obtained results of the GC-MS of Boerhavia diffusa led to the identity of 16 bioactive compounds. The crude extract showed antimicrobial activity against E.coli (Sensitive), Pseudomonas aeruginosa Sensitive and Staphylococcus aureus (MRSA) and Pseudomonas aeruginosa (Sensitive) but extract did not show antimicrobial effect against, E.coli (ESBL), Klebsiella pneumonia (Sensitive), Klebsiella pneumonia (ESBL), Pseudomonas aeruginosa (Resistant), Candida albicans and Aspergillus fumigates. The result of anti-mycobacterial activity showed that extract not showed antimycobacterial activity against M. tuberculosis (H37RV) and Mycobacterium tuberculosis bacteria resistant to Isoniazid &amp; Rifampicine.\r Conclusion: The study result proved that methanolic extract of Boerhavia diffusa leaves has antimicrobial potential due to the presence of the bioactive compounds.","author":[{"dropping-particle":"","family":"Sharma","given":"Rahul Kumar","non-dropping-particle":"","parse-names":false,"suffix":""},{"dropping-particle":"","family":"Singh","given":"Veer Inder","non-dropping-particle":"","parse-names":false,"suffix":""}],"container-title":"Journal of Pharmaceutical Research International","id":"ITEM-1","issued":{"date-parts":[["2021"]]},"page":"71-86","title":"Identification of Phytoconstituents using GC-MS and Determination of Antimicrobial and Antimycobacterial Activity of Boerhaavia diffusa L. Leaves","type":"article-journal","volume":"33"},"uris":["http://www.mendeley.com/documents/?uuid=30e55d9e-36ca-4b2a-b1f2-a3a7cb0f23e4"]}],"mendeley":{"formattedCitation":"(Sharma &amp; Singh, 2021)","plainTextFormattedCitation":"(Sharma &amp; Singh, 2021)","previouslyFormattedCitation":"(Sharma &amp; Singh, 2021)"},"properties":{"noteIndex":0},"schema":"https://github.com/citation-style-language/schema/raw/master/csl-citation.json"}</w:instrText>
      </w:r>
      <w:r w:rsidR="00F726D7">
        <w:rPr>
          <w:rFonts w:ascii="Arial" w:hAnsi="Arial" w:cs="Arial"/>
          <w:sz w:val="24"/>
          <w:lang w:val="en-US"/>
        </w:rPr>
        <w:fldChar w:fldCharType="separate"/>
      </w:r>
      <w:r w:rsidR="00677993" w:rsidRPr="00677993">
        <w:rPr>
          <w:rFonts w:ascii="Arial" w:hAnsi="Arial" w:cs="Arial"/>
          <w:noProof/>
          <w:sz w:val="24"/>
          <w:lang w:val="en-US"/>
        </w:rPr>
        <w:t>(Sharma &amp; Singh, 2021)</w:t>
      </w:r>
      <w:r w:rsidR="00F726D7">
        <w:rPr>
          <w:rFonts w:ascii="Arial" w:hAnsi="Arial" w:cs="Arial"/>
          <w:sz w:val="24"/>
          <w:lang w:val="en-US"/>
        </w:rPr>
        <w:fldChar w:fldCharType="end"/>
      </w:r>
      <w:r w:rsidRPr="00A2239A">
        <w:rPr>
          <w:rFonts w:ascii="Arial" w:hAnsi="Arial" w:cs="Arial"/>
          <w:sz w:val="24"/>
          <w:lang w:val="en-US"/>
        </w:rPr>
        <w:t>. The many medicinal properties of the plant are attributed to these bioactive compounds: anticancer, antidiabetic, analgesic, and neuropharmacological actions. The function of these phytochemicals in mediating the noted pharmacological effects is discussed below</w:t>
      </w:r>
      <w:r w:rsidR="00AB56EE">
        <w:rPr>
          <w:rFonts w:ascii="Arial" w:hAnsi="Arial" w:cs="Arial"/>
          <w:sz w:val="24"/>
          <w:lang w:val="en-US"/>
        </w:rPr>
        <w:t xml:space="preserve"> </w:t>
      </w:r>
      <w:r w:rsidRPr="00171730">
        <w:rPr>
          <w:rFonts w:ascii="Arial" w:hAnsi="Arial" w:cs="Arial"/>
          <w:i/>
          <w:iCs/>
          <w:sz w:val="24"/>
          <w:lang w:val="en-US"/>
        </w:rPr>
        <w:t xml:space="preserve">B. </w:t>
      </w:r>
      <w:proofErr w:type="spellStart"/>
      <w:r w:rsidRPr="00171730">
        <w:rPr>
          <w:rFonts w:ascii="Arial" w:hAnsi="Arial" w:cs="Arial"/>
          <w:i/>
          <w:iCs/>
          <w:sz w:val="24"/>
          <w:lang w:val="en-US"/>
        </w:rPr>
        <w:t>diffusa's</w:t>
      </w:r>
      <w:proofErr w:type="spellEnd"/>
      <w:r w:rsidRPr="00171730">
        <w:rPr>
          <w:rFonts w:ascii="Arial" w:hAnsi="Arial" w:cs="Arial"/>
          <w:sz w:val="24"/>
          <w:lang w:val="en-US"/>
        </w:rPr>
        <w:t xml:space="preserve"> flavonoids, alkaloids, and phenolic chemicals most certainly help to explain its anticancer actions. By altering important biochemical pathways involved in cell proliferation and survival, flavonoids like quercetin and kaempferol are well-known for causing programmed cell death—that is, death in cancer cells (</w:t>
      </w:r>
      <w:r w:rsidR="00171730" w:rsidRPr="00171730">
        <w:rPr>
          <w:rFonts w:ascii="Arial" w:hAnsi="Arial" w:cs="Arial"/>
          <w:sz w:val="24"/>
          <w:lang w:val="en-US"/>
        </w:rPr>
        <w:t>Shomudro et al., 2023</w:t>
      </w:r>
      <w:r w:rsidRPr="00171730">
        <w:rPr>
          <w:rFonts w:ascii="Arial" w:hAnsi="Arial" w:cs="Arial"/>
          <w:sz w:val="24"/>
          <w:lang w:val="en-US"/>
        </w:rPr>
        <w:t xml:space="preserve">). With a dose-dependent lowering in cell survival, the methanolic extract of </w:t>
      </w:r>
      <w:r w:rsidRPr="00171730">
        <w:rPr>
          <w:rFonts w:ascii="Arial" w:hAnsi="Arial" w:cs="Arial"/>
          <w:i/>
          <w:iCs/>
          <w:sz w:val="24"/>
          <w:lang w:val="en-US"/>
        </w:rPr>
        <w:t xml:space="preserve">B. </w:t>
      </w:r>
      <w:proofErr w:type="spellStart"/>
      <w:r w:rsidRPr="00171730">
        <w:rPr>
          <w:rFonts w:ascii="Arial" w:hAnsi="Arial" w:cs="Arial"/>
          <w:i/>
          <w:iCs/>
          <w:sz w:val="24"/>
          <w:lang w:val="en-US"/>
        </w:rPr>
        <w:t>diffusa</w:t>
      </w:r>
      <w:proofErr w:type="spellEnd"/>
      <w:r w:rsidRPr="00171730">
        <w:rPr>
          <w:rFonts w:ascii="Arial" w:hAnsi="Arial" w:cs="Arial"/>
          <w:sz w:val="24"/>
          <w:lang w:val="en-US"/>
        </w:rPr>
        <w:t xml:space="preserve"> (MEBD) showed significant suppression of HeLa cell viability (Table 1). Flavonoids and phenolic compounds, which have been demonstrated to induce oxidative stress and DNA damage and so stop cancer cell growth, help to explain this effect (</w:t>
      </w:r>
      <w:r w:rsidR="00171730" w:rsidRPr="00171730">
        <w:rPr>
          <w:rFonts w:ascii="Arial" w:hAnsi="Arial" w:cs="Arial"/>
          <w:sz w:val="24"/>
          <w:lang w:val="en-US"/>
        </w:rPr>
        <w:t>Akter et al., 2024</w:t>
      </w:r>
      <w:r w:rsidRPr="00171730">
        <w:rPr>
          <w:rFonts w:ascii="Arial" w:hAnsi="Arial" w:cs="Arial"/>
          <w:sz w:val="24"/>
          <w:lang w:val="en-US"/>
        </w:rPr>
        <w:t xml:space="preserve">). </w:t>
      </w:r>
      <w:r w:rsidR="00677993" w:rsidRPr="00171730">
        <w:rPr>
          <w:rFonts w:ascii="Arial" w:hAnsi="Arial" w:cs="Arial"/>
          <w:sz w:val="24"/>
          <w:lang w:val="en-US"/>
        </w:rPr>
        <w:t>Furthermore,</w:t>
      </w:r>
      <w:r w:rsidRPr="00171730">
        <w:rPr>
          <w:rFonts w:ascii="Arial" w:hAnsi="Arial" w:cs="Arial"/>
          <w:sz w:val="24"/>
          <w:lang w:val="en-US"/>
        </w:rPr>
        <w:t xml:space="preserve"> supporting the lethal properties of these phytochemicals are the morphological alterations seen in cancer cells treated with MEBD (Figure 2).</w:t>
      </w:r>
      <w:r w:rsidR="00AB56EE">
        <w:rPr>
          <w:rFonts w:ascii="Arial" w:hAnsi="Arial" w:cs="Arial"/>
          <w:sz w:val="24"/>
          <w:lang w:val="en-US"/>
        </w:rPr>
        <w:t xml:space="preserve"> </w:t>
      </w:r>
      <w:r w:rsidRPr="00A2239A">
        <w:rPr>
          <w:rFonts w:ascii="Arial" w:hAnsi="Arial" w:cs="Arial"/>
          <w:i/>
          <w:iCs/>
          <w:sz w:val="24"/>
          <w:lang w:val="en-US"/>
        </w:rPr>
        <w:t xml:space="preserve">B. </w:t>
      </w:r>
      <w:proofErr w:type="spellStart"/>
      <w:r w:rsidRPr="00A2239A">
        <w:rPr>
          <w:rFonts w:ascii="Arial" w:hAnsi="Arial" w:cs="Arial"/>
          <w:i/>
          <w:iCs/>
          <w:sz w:val="24"/>
          <w:lang w:val="en-US"/>
        </w:rPr>
        <w:t>diffusa's</w:t>
      </w:r>
      <w:proofErr w:type="spellEnd"/>
      <w:r w:rsidRPr="00A2239A">
        <w:rPr>
          <w:rFonts w:ascii="Arial" w:hAnsi="Arial" w:cs="Arial"/>
          <w:sz w:val="24"/>
          <w:lang w:val="en-US"/>
        </w:rPr>
        <w:t xml:space="preserve"> flavonoids, glycosides, and alkaloids—shown to increase insulin secretion, improve glucose absorption, and block carbohydrate-digesting enzymes—probably have antidiabetic actions </w:t>
      </w:r>
      <w:r w:rsidR="00F726D7">
        <w:rPr>
          <w:rFonts w:ascii="Arial" w:hAnsi="Arial" w:cs="Arial"/>
          <w:sz w:val="24"/>
          <w:lang w:val="en-US"/>
        </w:rPr>
        <w:fldChar w:fldCharType="begin" w:fldLock="1"/>
      </w:r>
      <w:r w:rsidR="00E50103">
        <w:rPr>
          <w:rFonts w:ascii="Arial" w:hAnsi="Arial" w:cs="Arial"/>
          <w:sz w:val="24"/>
          <w:lang w:val="en-US"/>
        </w:rPr>
        <w:instrText>ADDIN CSL_CITATION {"citationItems":[{"id":"ITEM-1","itemData":{"DOI":"10.1089/jmf.2004.7.472","ISSN":"1096620X","PMID":"15671692","abstract":"The present study was designed to investigate the antihyperlipidemic activity of an aqueous extract of Boerhavia diffusa leaves in alloxan diabetic rats. Hyperlipidemia is an associated complication of diabetes mellitus. Many herbs and spices are known to be antihyperglycemic. Oral administration of B. diffusa leaf extract (BLEt) at 200 mg/kg of body weight for 4 weeks resulted in significant reduction in serum and tissue cholesterol free fatty acids, phospholipids, and triglycerides. Moreover, BLEt supplementation was found to be more effective than glibenclamide in the treatment of diabetic rats.","author":[{"dropping-particle":"","family":"Pari","given":"L.","non-dropping-particle":"","parse-names":false,"suffix":""},{"dropping-particle":"","family":"Amarnath Satheesh","given":"M.","non-dropping-particle":"","parse-names":false,"suffix":""}],"container-title":"Journal of Medicinal Food","id":"ITEM-1","issue":"4","issued":{"date-parts":[["2004"]]},"page":"472-476","title":"Antidiabetic effect of Boerhavia diffusa: Effect on serum and tissue lipids in experimental diabetes","type":"article-journal","volume":"7"},"uris":["http://www.mendeley.com/documents/?uuid=ea18c15e-3054-456a-bd0d-4bc74447e131"]}],"mendeley":{"formattedCitation":"(Pari &amp; Amarnath Satheesh, 2004)","plainTextFormattedCitation":"(Pari &amp; Amarnath Satheesh, 2004)","previouslyFormattedCitation":"(Pari &amp; Amarnath Satheesh, 2004)"},"properties":{"noteIndex":0},"schema":"https://github.com/citation-style-language/schema/raw/master/csl-citation.json"}</w:instrText>
      </w:r>
      <w:r w:rsidR="00F726D7">
        <w:rPr>
          <w:rFonts w:ascii="Arial" w:hAnsi="Arial" w:cs="Arial"/>
          <w:sz w:val="24"/>
          <w:lang w:val="en-US"/>
        </w:rPr>
        <w:fldChar w:fldCharType="separate"/>
      </w:r>
      <w:r w:rsidR="00E50103" w:rsidRPr="00E50103">
        <w:rPr>
          <w:rFonts w:ascii="Arial" w:hAnsi="Arial" w:cs="Arial"/>
          <w:noProof/>
          <w:sz w:val="24"/>
          <w:lang w:val="en-US"/>
        </w:rPr>
        <w:t>(Pari &amp; Amarnath Satheesh, 2004)</w:t>
      </w:r>
      <w:r w:rsidR="00F726D7">
        <w:rPr>
          <w:rFonts w:ascii="Arial" w:hAnsi="Arial" w:cs="Arial"/>
          <w:sz w:val="24"/>
          <w:lang w:val="en-US"/>
        </w:rPr>
        <w:fldChar w:fldCharType="end"/>
      </w:r>
      <w:r w:rsidRPr="00A2239A">
        <w:rPr>
          <w:rFonts w:ascii="Arial" w:hAnsi="Arial" w:cs="Arial"/>
          <w:sz w:val="24"/>
          <w:lang w:val="en-US"/>
        </w:rPr>
        <w:t xml:space="preserve">. In this work, especially at higher dosages, MEBD greatly lowered blood glucose levels in diabetic rats (Table 3). Important in the etiology of diabetes, oxidative stress and insulin sensitivity may be improved by the flavonoids in </w:t>
      </w:r>
      <w:r w:rsidRPr="00A2239A">
        <w:rPr>
          <w:rFonts w:ascii="Arial" w:hAnsi="Arial" w:cs="Arial"/>
          <w:i/>
          <w:iCs/>
          <w:sz w:val="24"/>
          <w:lang w:val="en-US"/>
        </w:rPr>
        <w:t xml:space="preserve">B. </w:t>
      </w:r>
      <w:proofErr w:type="spellStart"/>
      <w:r w:rsidRPr="00A2239A">
        <w:rPr>
          <w:rFonts w:ascii="Arial" w:hAnsi="Arial" w:cs="Arial"/>
          <w:i/>
          <w:iCs/>
          <w:sz w:val="24"/>
          <w:lang w:val="en-US"/>
        </w:rPr>
        <w:t>diffusa</w:t>
      </w:r>
      <w:proofErr w:type="spellEnd"/>
      <w:r w:rsidR="00FE1CF5">
        <w:rPr>
          <w:rFonts w:ascii="Arial" w:hAnsi="Arial" w:cs="Arial"/>
          <w:i/>
          <w:iCs/>
          <w:sz w:val="24"/>
          <w:lang w:val="en-US"/>
        </w:rPr>
        <w:t xml:space="preserve"> </w:t>
      </w:r>
      <w:r w:rsidR="00F726D7">
        <w:rPr>
          <w:rFonts w:ascii="Arial" w:hAnsi="Arial" w:cs="Arial"/>
          <w:sz w:val="24"/>
          <w:lang w:val="en-US"/>
        </w:rPr>
        <w:fldChar w:fldCharType="begin" w:fldLock="1"/>
      </w:r>
      <w:r w:rsidR="00E50103">
        <w:rPr>
          <w:rFonts w:ascii="Arial" w:hAnsi="Arial" w:cs="Arial"/>
          <w:sz w:val="24"/>
          <w:lang w:val="en-US"/>
        </w:rPr>
        <w:instrText>ADDIN CSL_CITATION {"citationItems":[{"id":"ITEM-1","itemData":{"DOI":"10.9734/ajmah/2024/v22i71043","abstract":"The current study was set out to look into the anti-inflammatory, anti-fungal, cytotoxic, thrombolytic and membrane stabilizing activities of the methanolic extract from the leaf of Camellia chrysantha (Hu) Tuyama (MECCL). Primary evaluation of MECCL was performed via phytochemical screening.  Phytochemical analysis of the leaf extract revealed the presence of reducing sugar, flavonoids, alkaloids, and steroids. Anti-inflammatory activity test was done using egg albumin denaturation assay. In the result of MECCL’s anti-inflammatory test showed 88.88% compared to the standard acetyl salicylic acid 98.56%. The anti-fungal activity test was performed by Disc Diffusion method using zone of inhibition against four fungi. MECCL showed moderate antifungal activity compared to standard Griseofulvin against Aspergillus niger, Saccharomyces cerevisiae (yeast), Penicillium notatum. Zones of inhibition of the fungi Aspergillus niger, Saccharomyces cerevisiae (yeast), Penicillium notatum is 11mm, 14mm and 14mm at the concentration of 700 µg/disc, which is close to the standard Griseofulvin 19mm, 20mm, and 21mm respectively at 50 µg/disc concentration. Mucor hiemalis showed mild zone of inhibition in 300, 500, and 700 µg/disc (7mm). Brine Shrimp lethality bioassay method was used to test the lethality of the methanolic leaf extract. The extract showed significant cytotoxic activity against brine shrimp nauplii with LC50 value of 0.843 µg/mL when compared with the standard Vincristine sulphate (LC50 value: 0.608 µg/mL). Comparison with positive control Vincristine sulphate signifies that cytotoxicity exhibited by MECCL and further bioactivity guided investigation can be done to find potent antitumor compounds. In thrombolytic activity test, MECCL demonstrated 95.69% thrombolysis which was significant compared to standard Streptokinase (SK) which demonstrated 91.304 % thrombolysis. While doing membrane stabilizing activity test, Heat induced hemolysis assay was performed and the percent of protection was 85.35 compared to the standard DS 73.63 which was very significant. The results highlight the potential of Camellia chrysantha (Hu) Tuyama as a valuable source of phytochemicals that possess notable anti-inflammatory, thrombolytic, and membrane-stabilizing properties. The methanolic leaf extract also shows moderate antifungal and cytotoxic effects, suggesting potential for future therapeutic advancements.","author":[{"dropping-particle":"","family":"Takey","given":"Irfanul Islam","non-dropping-particle":"","parse-names":false,"suffix":""},{"dropping-particle":"","family":"Shomudro","given":"Hasib Khan","non-dropping-particle":"","parse-names":false,"suffix":""},{"dropping-particle":"","family":"Chowdhury","given":"Sadia Afreen","non-dropping-particle":"","parse-names":false,"suffix":""}],"container-title":"Asian Journal of Medicine and Health","id":"ITEM-1","issue":"7","issued":{"date-parts":[["2024"]]},"page":"36-44","title":"Evaluation of In-vitro Anti-Inflammatory, Anti-Fungal, Thrombolytic, Membrane Stabilizing and Cytotoxic Properties of (Camellia chrysantha Hu Tuyama)","type":"article-journal","volume":"22"},"uris":["http://www.mendeley.com/documents/?uuid=25501855-8d72-4adf-921d-b2a94fbd3588"]}],"mendeley":{"formattedCitation":"(Takey et al., 2024)","plainTextFormattedCitation":"(Takey et al., 2024)","previouslyFormattedCitation":"(Takey et al., 2024)"},"properties":{"noteIndex":0},"schema":"https://github.com/citation-style-language/schema/raw/master/csl-citation.json"}</w:instrText>
      </w:r>
      <w:r w:rsidR="00F726D7">
        <w:rPr>
          <w:rFonts w:ascii="Arial" w:hAnsi="Arial" w:cs="Arial"/>
          <w:sz w:val="24"/>
          <w:lang w:val="en-US"/>
        </w:rPr>
        <w:fldChar w:fldCharType="separate"/>
      </w:r>
      <w:r w:rsidR="00E50103" w:rsidRPr="00E50103">
        <w:rPr>
          <w:rFonts w:ascii="Arial" w:hAnsi="Arial" w:cs="Arial"/>
          <w:noProof/>
          <w:sz w:val="24"/>
          <w:lang w:val="en-US"/>
        </w:rPr>
        <w:t>(Takey et al., 2024)</w:t>
      </w:r>
      <w:r w:rsidR="00F726D7">
        <w:rPr>
          <w:rFonts w:ascii="Arial" w:hAnsi="Arial" w:cs="Arial"/>
          <w:sz w:val="24"/>
          <w:lang w:val="en-US"/>
        </w:rPr>
        <w:fldChar w:fldCharType="end"/>
      </w:r>
      <w:r w:rsidRPr="00A2239A">
        <w:rPr>
          <w:rFonts w:ascii="Arial" w:hAnsi="Arial" w:cs="Arial"/>
          <w:sz w:val="24"/>
          <w:lang w:val="en-US"/>
        </w:rPr>
        <w:t xml:space="preserve">. Moreover, the glycosides in the plant might block alpha-amylase and alpha-glucosidase enzymes, thereby lowering post-prandial glucose levels </w:t>
      </w:r>
      <w:r w:rsidR="00F726D7">
        <w:rPr>
          <w:rFonts w:ascii="Arial" w:hAnsi="Arial" w:cs="Arial"/>
          <w:sz w:val="24"/>
          <w:lang w:val="en-US"/>
        </w:rPr>
        <w:fldChar w:fldCharType="begin" w:fldLock="1"/>
      </w:r>
      <w:r w:rsidR="00E50103">
        <w:rPr>
          <w:rFonts w:ascii="Arial" w:hAnsi="Arial" w:cs="Arial"/>
          <w:sz w:val="24"/>
          <w:lang w:val="en-US"/>
        </w:rPr>
        <w:instrText>ADDIN CSL_CITATION {"citationItems":[{"id":"ITEM-1","itemData":{"DOI":"10.9734/ajrb/2024/v14i1274","abstract":"The objective of this investigations was to evaluate in Vitro anti-arthritic, anti-inflammatory, thrombolytic, membrane stabilizing, antifungal and cytotoxic activities from the methanolic leaf extract of Polyscias scutellaria. Primary evaluation of methanolic extract of Polyscias scutellaria leaf (MEPSL) was performed via phytochemical screening. Presence of Alkaloids, flavonoids, saponins, glycosides, carbohydrates and reducing sugars were observed by phytochemical screening, among other secondary compounds. Using in vitro methods of protein denaturation, the anti-arthritic and anti-inflammatory properties of MEPSL was investigated. The results showed that the extracts significantly slowed down arthritis and inflammation with the percent inhibition of 94.59% and 86.33% at the conc. of 1000 µg/mL compared to the standard diclofenac sodium (98.19%) and acetyle salicylic acid (98.56%) at same concentration respectively. The thrombolytic activity of the extracts was additionally examined by clotlysis method, and the results showed that the ability to break up blood clots increased with the amount of extract used with the value of 97.32% which is very significant compared to the standard streptokinase which showed clotlysis of 91.304%. MEPSL was also showed action that stabilized membranes by using heat induced hemolysis method, which could be helpful in treating conditions like bleeding and swelling with the percent of protection value of 58.87% when compared to standard diclofenac sodium with the percent of protection value 73.63%. Antifungal action was also seen, which shows that it could be used to treat diseases caused by fungi with the zone of inhibition 7-36 mm varying on the type of fungi. Lastly, in vitro method was used to investigate the extracts' damaging effect on Artemia salina by using shrimp lethality assay. The results showed significant cytotoxicity with the LC50 value of 1.057 µg/mL compared to the standard vincristine sulphate (LC50 value of 0.608 µg/mL). To sum up, it is clear that the phytochemical found in this plant can be used for wide range of drug discovery field due to its potent pharmacological actions.","author":[{"dropping-particle":"","family":"Akter","given":"Jakiya","non-dropping-particle":"","parse-names":false,"suffix":""},{"dropping-particle":"","family":"Shomudro","given":"Hasib K.","non-dropping-particle":"","parse-names":false,"suffix":""},{"dropping-particle":"","family":"Chowdhury","given":"Sadia A.","non-dropping-particle":"","parse-names":false,"suffix":""}],"container-title":"Asian Journal of Research in Biochemistry","id":"ITEM-1","issue":"1","issued":{"date-parts":[["2024"]]},"page":"19-29","title":"Anti-Arthritic, Anti-Inflammatory, Thrombolytic, Membrane Stabilizing, Antifungal and Cytotoxic Activity of Polyscias scutellaria Leaf Extract: An In-vitro Analysis","type":"article-journal","volume":"14"},"uris":["http://www.mendeley.com/documents/?uuid=dd27bdfa-dbee-46d5-84ed-91655a081826"]}],"mendeley":{"formattedCitation":"(Akter, Shomudro, et al., 2024)","manualFormatting":"(Akter et al., 2024)","plainTextFormattedCitation":"(Akter, Shomudro, et al., 2024)"},"properties":{"noteIndex":0},"schema":"https://github.com/citation-style-language/schema/raw/master/csl-citation.json"}</w:instrText>
      </w:r>
      <w:r w:rsidR="00F726D7">
        <w:rPr>
          <w:rFonts w:ascii="Arial" w:hAnsi="Arial" w:cs="Arial"/>
          <w:sz w:val="24"/>
          <w:lang w:val="en-US"/>
        </w:rPr>
        <w:fldChar w:fldCharType="separate"/>
      </w:r>
      <w:r w:rsidR="00E50103" w:rsidRPr="00E50103">
        <w:rPr>
          <w:rFonts w:ascii="Arial" w:hAnsi="Arial" w:cs="Arial"/>
          <w:noProof/>
          <w:sz w:val="24"/>
          <w:lang w:val="en-US"/>
        </w:rPr>
        <w:t>(Akteret al., 2024)</w:t>
      </w:r>
      <w:r w:rsidR="00F726D7">
        <w:rPr>
          <w:rFonts w:ascii="Arial" w:hAnsi="Arial" w:cs="Arial"/>
          <w:sz w:val="24"/>
          <w:lang w:val="en-US"/>
        </w:rPr>
        <w:fldChar w:fldCharType="end"/>
      </w:r>
      <w:r w:rsidRPr="00A2239A">
        <w:rPr>
          <w:rFonts w:ascii="Arial" w:hAnsi="Arial" w:cs="Arial"/>
          <w:sz w:val="24"/>
          <w:lang w:val="en-US"/>
        </w:rPr>
        <w:t>.</w:t>
      </w:r>
      <w:r w:rsidR="00FE1CF5">
        <w:rPr>
          <w:rFonts w:ascii="Arial" w:hAnsi="Arial" w:cs="Arial"/>
          <w:sz w:val="24"/>
          <w:lang w:val="en-US"/>
        </w:rPr>
        <w:t xml:space="preserve"> </w:t>
      </w:r>
      <w:r w:rsidRPr="00A2239A">
        <w:rPr>
          <w:rFonts w:ascii="Arial" w:hAnsi="Arial" w:cs="Arial"/>
          <w:i/>
          <w:iCs/>
          <w:sz w:val="24"/>
          <w:lang w:val="en-US"/>
        </w:rPr>
        <w:t xml:space="preserve">B. </w:t>
      </w:r>
      <w:proofErr w:type="spellStart"/>
      <w:r w:rsidRPr="00A2239A">
        <w:rPr>
          <w:rFonts w:ascii="Arial" w:hAnsi="Arial" w:cs="Arial"/>
          <w:i/>
          <w:iCs/>
          <w:sz w:val="24"/>
          <w:lang w:val="en-US"/>
        </w:rPr>
        <w:t>diffusa's</w:t>
      </w:r>
      <w:proofErr w:type="spellEnd"/>
      <w:r w:rsidRPr="00A2239A">
        <w:rPr>
          <w:rFonts w:ascii="Arial" w:hAnsi="Arial" w:cs="Arial"/>
          <w:sz w:val="24"/>
          <w:lang w:val="en-US"/>
        </w:rPr>
        <w:t xml:space="preserve"> alkaloids and flavonoids most certainly mediate </w:t>
      </w:r>
      <w:r w:rsidRPr="00A2239A">
        <w:rPr>
          <w:rFonts w:ascii="Arial" w:hAnsi="Arial" w:cs="Arial"/>
          <w:sz w:val="24"/>
          <w:lang w:val="en-US"/>
        </w:rPr>
        <w:lastRenderedPageBreak/>
        <w:t xml:space="preserve">its neuropharmacological actions; they have been demonstrated to alter neurotransmitter activity and provide neuroprotection </w:t>
      </w:r>
      <w:r w:rsidR="00F726D7">
        <w:rPr>
          <w:rFonts w:ascii="Arial" w:hAnsi="Arial" w:cs="Arial"/>
          <w:sz w:val="24"/>
          <w:lang w:val="en-US"/>
        </w:rPr>
        <w:fldChar w:fldCharType="begin" w:fldLock="1"/>
      </w:r>
      <w:r w:rsidR="00E50103">
        <w:rPr>
          <w:rFonts w:ascii="Arial" w:hAnsi="Arial" w:cs="Arial"/>
          <w:sz w:val="24"/>
          <w:lang w:val="en-US"/>
        </w:rPr>
        <w:instrText>ADDIN CSL_CITATION {"citationItems":[{"id":"ITEM-1","itemData":{"abstract":"Boerhaavia diffusa is one of the renowned medicinal plants used to treat large number of human ailments as mentioned in Ayurveda, Charaka Samhita, and Sushrita Samhita. The Plant in whole or its peculiar parts (Aerial parts and Roots) have a numerous medicinal properties and are used by endemic and tribal people in India and Unani medicine in Arab countries to show Anti-bacterial, Anti-nociceptive, hepato-protective, hypo-glycemic, anti-proliferative, anti-estrogenic, anti-inflammatory, anti-convulsant, anti-stress and anti-metastatic activities and also in treatment of stress, dyspepsia, abdominal pain, inflammation, jaundice. Various phytochemical, pharmacological, experimental and clinical investigations are done on Boerhaavia diffusa by many scientist, researchers etc., to clearly understand the ancient Ayurvedic, Endemic and tribal usage of Boerhaavia diffusa. This paper includes the evidence-based overview of pharmacological and phytochemical properties of the aerial parts and the roots of Boerhaavia diffusa, which may be helpful to establish a standard natural drug for further research.","author":[{"dropping-particle":"","family":"Mahesh","given":"Ar","non-dropping-particle":"","parse-names":false,"suffix":""},{"dropping-particle":"","family":"Kumar","given":"Harish","non-dropping-particle":"","parse-names":false,"suffix":""},{"dropping-particle":"","family":"Mk","given":"Ranganath","non-dropping-particle":"","parse-names":false,"suffix":""},{"dropping-particle":"","family":"Devkar","given":"Raviraj Anand","non-dropping-particle":"","parse-names":false,"suffix":""}],"container-title":"Research Journal of Pharmaceutical Sciences_______________________________Res. J. Pharmaceutical Sci","id":"ITEM-1","issue":"1","issued":{"date-parts":[["2012"]]},"page":"28-36","title":"Detail Study on Boerhaavia Diffusa Plant for its Medicinal Importance-A Review","type":"article-journal","volume":"1"},"uris":["http://www.mendeley.com/documents/?uuid=d9585b78-117a-4a58-80a3-9bd3e9d64b34"]}],"mendeley":{"formattedCitation":"(Mahesh et al., 2012)","plainTextFormattedCitation":"(Mahesh et al., 2012)","previouslyFormattedCitation":"(Mahesh et al., 2012)"},"properties":{"noteIndex":0},"schema":"https://github.com/citation-style-language/schema/raw/master/csl-citation.json"}</w:instrText>
      </w:r>
      <w:r w:rsidR="00F726D7">
        <w:rPr>
          <w:rFonts w:ascii="Arial" w:hAnsi="Arial" w:cs="Arial"/>
          <w:sz w:val="24"/>
          <w:lang w:val="en-US"/>
        </w:rPr>
        <w:fldChar w:fldCharType="separate"/>
      </w:r>
      <w:r w:rsidR="00E50103" w:rsidRPr="00E50103">
        <w:rPr>
          <w:rFonts w:ascii="Arial" w:hAnsi="Arial" w:cs="Arial"/>
          <w:noProof/>
          <w:sz w:val="24"/>
          <w:lang w:val="en-US"/>
        </w:rPr>
        <w:t>(Mahesh et al., 2012)</w:t>
      </w:r>
      <w:r w:rsidR="00F726D7">
        <w:rPr>
          <w:rFonts w:ascii="Arial" w:hAnsi="Arial" w:cs="Arial"/>
          <w:sz w:val="24"/>
          <w:lang w:val="en-US"/>
        </w:rPr>
        <w:fldChar w:fldCharType="end"/>
      </w:r>
      <w:r w:rsidRPr="00A2239A">
        <w:rPr>
          <w:rFonts w:ascii="Arial" w:hAnsi="Arial" w:cs="Arial"/>
          <w:sz w:val="24"/>
          <w:lang w:val="en-US"/>
        </w:rPr>
        <w:t xml:space="preserve">. MEBD enhanced immobility time in the forced swimming test (Tables 4 and 5) and extended the length of sleep caused by thiopental sodium. These findings imply that </w:t>
      </w:r>
      <w:r w:rsidRPr="00A2239A">
        <w:rPr>
          <w:rFonts w:ascii="Arial" w:hAnsi="Arial" w:cs="Arial"/>
          <w:i/>
          <w:iCs/>
          <w:sz w:val="24"/>
          <w:lang w:val="en-US"/>
        </w:rPr>
        <w:t xml:space="preserve">B. </w:t>
      </w:r>
      <w:proofErr w:type="spellStart"/>
      <w:r w:rsidRPr="00A2239A">
        <w:rPr>
          <w:rFonts w:ascii="Arial" w:hAnsi="Arial" w:cs="Arial"/>
          <w:i/>
          <w:iCs/>
          <w:sz w:val="24"/>
          <w:lang w:val="en-US"/>
        </w:rPr>
        <w:t>diffusa</w:t>
      </w:r>
      <w:proofErr w:type="spellEnd"/>
      <w:r w:rsidRPr="00A2239A">
        <w:rPr>
          <w:rFonts w:ascii="Arial" w:hAnsi="Arial" w:cs="Arial"/>
          <w:sz w:val="24"/>
          <w:lang w:val="en-US"/>
        </w:rPr>
        <w:t xml:space="preserve"> may have anxiolytic and antidepressant qualities, maybe owing to its capacity to increase GABAergic </w:t>
      </w:r>
      <w:proofErr w:type="spellStart"/>
      <w:r w:rsidRPr="00A2239A">
        <w:rPr>
          <w:rFonts w:ascii="Arial" w:hAnsi="Arial" w:cs="Arial"/>
          <w:sz w:val="24"/>
          <w:lang w:val="en-US"/>
        </w:rPr>
        <w:t>neuromission</w:t>
      </w:r>
      <w:proofErr w:type="spellEnd"/>
      <w:r w:rsidRPr="00A2239A">
        <w:rPr>
          <w:rFonts w:ascii="Arial" w:hAnsi="Arial" w:cs="Arial"/>
          <w:sz w:val="24"/>
          <w:lang w:val="en-US"/>
        </w:rPr>
        <w:t>, which is known to induce relaxation and lower anxiety</w:t>
      </w:r>
      <w:r w:rsidR="00F726D7">
        <w:rPr>
          <w:rFonts w:ascii="Arial" w:hAnsi="Arial" w:cs="Arial"/>
          <w:sz w:val="24"/>
          <w:lang w:val="en-US"/>
        </w:rPr>
        <w:fldChar w:fldCharType="begin" w:fldLock="1"/>
      </w:r>
      <w:r w:rsidR="00E50103">
        <w:rPr>
          <w:rFonts w:ascii="Arial" w:hAnsi="Arial" w:cs="Arial"/>
          <w:sz w:val="24"/>
          <w:lang w:val="en-US"/>
        </w:rPr>
        <w:instrText>ADDIN CSL_CITATION {"citationItems":[{"id":"ITEM-1","itemData":{"DOI":"10.9734/aprj/2023/v11i6229","abstract":"Aims: This research objective was to investigate some in-vitro properties of methanol-extracted plant extracts of Ludwigia adscendens (the water primrose). The primary method of assessment for the methanolic extract of Ludwigia adscendens (MELA) was investigated for phytochemical screening. It was determined to look into the plant's potential for in vitro activities, such as antioxidant, antimicrobial, anti-inflammatory anti-arthritis, cytotoxic, thrombolytic and membrane stabilizing activity due to the pharmaceutical interest in its component parts.\r Methodology: Phytochemical screening was performed utilizing a battery of test reagents. Antioxidant, antimicrobial, anti-inflammatory, anti-arthritic, cytotoxic, thrombolytic and membrane stabilizing activities were measured at various doses using the DPPH Free Radical Scavenging Assay, the Disk Diffusion Method, Egg Albumin Protein Denaturation Assay, the Inhibition of Protein Denaturation Assay, the Brine Shrimp Lethality Bioassay, Clot lysis assay and heat induced and hypotonic induced haemolysis method.\r Results: The findings of research on MELA's phytochemical screening showed the presence of a wide range of various phytochemical components. The higher antioxidant activity of MELA is shown by its IC50 value of 85.76 µg/mL. Significant antibacterial action was shown by MELA. As compared to the standard ascorbic acid, this extract showed significantly greater anti-arthritic and anti-inflammatory effects. MELA exhibited much higher LC50 value which is 1.147 µg/mL than the typical vincristine-sulphate in a lethality test with brine shrimp. Comparatively speaking, this herb has quite powerful thrombolytic action. Significant membrane stabilizing action has also been shown by MELA.\r Conclusion: To wrap it up, it is clear that this plants phytochemical can be used for wide range of drug discovery field due to its potent pharmacological actions.","author":[{"dropping-particle":"","family":"Bhuiyan","given":"Md. Anik","non-dropping-particle":"","parse-names":false,"suffix":""},{"dropping-particle":"","family":"Shomudro","given":"Hasib Khan","non-dropping-particle":"","parse-names":false,"suffix":""},{"dropping-particle":"","family":"Chowdhury","given":"Sadia Afreen","non-dropping-particle":"","parse-names":false,"suffix":""}],"container-title":"Asian Plant Research Journal","id":"ITEM-1","issue":"6","issued":{"date-parts":[["2023"]]},"page":"44-55","title":"In-vitro Pharmacological Investigation of Ludwigia adscendens","type":"article-journal","volume":"11"},"uris":["http://www.mendeley.com/documents/?uuid=086badc7-5177-45b7-a819-5f97c05d3662"]}],"mendeley":{"formattedCitation":"(Bhuiyan et al., 2023)","plainTextFormattedCitation":"(Bhuiyan et al., 2023)","previouslyFormattedCitation":"(Bhuiyan et al., 2023)"},"properties":{"noteIndex":0},"schema":"https://github.com/citation-style-language/schema/raw/master/csl-citation.json"}</w:instrText>
      </w:r>
      <w:r w:rsidR="00F726D7">
        <w:rPr>
          <w:rFonts w:ascii="Arial" w:hAnsi="Arial" w:cs="Arial"/>
          <w:sz w:val="24"/>
          <w:lang w:val="en-US"/>
        </w:rPr>
        <w:fldChar w:fldCharType="separate"/>
      </w:r>
      <w:r w:rsidR="00E50103" w:rsidRPr="00E50103">
        <w:rPr>
          <w:rFonts w:ascii="Arial" w:hAnsi="Arial" w:cs="Arial"/>
          <w:noProof/>
          <w:sz w:val="24"/>
          <w:lang w:val="en-US"/>
        </w:rPr>
        <w:t>(Bhuiyan et al., 2023)</w:t>
      </w:r>
      <w:r w:rsidR="00F726D7">
        <w:rPr>
          <w:rFonts w:ascii="Arial" w:hAnsi="Arial" w:cs="Arial"/>
          <w:sz w:val="24"/>
          <w:lang w:val="en-US"/>
        </w:rPr>
        <w:fldChar w:fldCharType="end"/>
      </w:r>
      <w:r w:rsidRPr="00A2239A">
        <w:rPr>
          <w:rFonts w:ascii="Arial" w:hAnsi="Arial" w:cs="Arial"/>
          <w:sz w:val="24"/>
          <w:lang w:val="en-US"/>
        </w:rPr>
        <w:t xml:space="preserve">. Reducing oxidative stress and inflammation in the brain, which are linked with neurodegenerative illnesses, the flavonoids in </w:t>
      </w:r>
      <w:r w:rsidRPr="00A2239A">
        <w:rPr>
          <w:rFonts w:ascii="Arial" w:hAnsi="Arial" w:cs="Arial"/>
          <w:i/>
          <w:iCs/>
          <w:sz w:val="24"/>
          <w:lang w:val="en-US"/>
        </w:rPr>
        <w:t xml:space="preserve">B. </w:t>
      </w:r>
      <w:proofErr w:type="spellStart"/>
      <w:r w:rsidRPr="00A2239A">
        <w:rPr>
          <w:rFonts w:ascii="Arial" w:hAnsi="Arial" w:cs="Arial"/>
          <w:i/>
          <w:iCs/>
          <w:sz w:val="24"/>
          <w:lang w:val="en-US"/>
        </w:rPr>
        <w:t>diffusa</w:t>
      </w:r>
      <w:proofErr w:type="spellEnd"/>
      <w:r w:rsidRPr="00A2239A">
        <w:rPr>
          <w:rFonts w:ascii="Arial" w:hAnsi="Arial" w:cs="Arial"/>
          <w:sz w:val="24"/>
          <w:lang w:val="en-US"/>
        </w:rPr>
        <w:t xml:space="preserve"> may also have neuroprotective benefits </w:t>
      </w:r>
      <w:r w:rsidR="00F726D7">
        <w:rPr>
          <w:rFonts w:ascii="Arial" w:hAnsi="Arial" w:cs="Arial"/>
          <w:sz w:val="24"/>
          <w:lang w:val="en-US"/>
        </w:rPr>
        <w:fldChar w:fldCharType="begin" w:fldLock="1"/>
      </w:r>
      <w:r w:rsidR="00E50103">
        <w:rPr>
          <w:rFonts w:ascii="Arial" w:hAnsi="Arial" w:cs="Arial"/>
          <w:sz w:val="24"/>
          <w:lang w:val="en-US"/>
        </w:rPr>
        <w:instrText>ADDIN CSL_CITATION {"citationItems":[{"id":"ITEM-1","itemData":{"DOI":"10.56042/ijnpr.v14i2.4209","ISSN":"09760512","abstract":"Stress and anxiety are common psychiatric manifestations seen because of modern-day living especially expressed during demanding situations. Boerhaavia diffusa is an important medicinal plant widely used in the northeastern part of India. This study aimed to investigate the antioxidant and anti-anxiety activities of the hydro-methanolic extract of B. diffusa roots. The antioxidant property of the hydromethanolic extract of B.diffusa was determined by in vitro antioxidant assays such as DPPH scavenging activity. The cytotoxicity of the extract was investigated using SH-SY5Y cell lines and the anxiolytic activity was evaluated using the elevated plus maze test and open field tests. The results imply that the hydromethanolic extract of B. diffusa showed excellent antioxidant activity. The extract did not show any significant toxic effect on SH-SY5Y cells. The hydro-methanolic extract of B. diffusa also demonstrated significant anxiolytic activity at 100 and 200 mg/kg doses. Thus, it can be concluded that the hydromethanolic extract of B. diffusa possesses anxiolytic activity and antioxidant properties, proving its therapeutic usefulness in the treatment of anxiety disorders.","author":[{"dropping-particle":"","family":"Kumari","given":"Manisha","non-dropping-particle":"","parse-names":false,"suffix":""},{"dropping-particle":"","family":"Sharma","given":"Prasanti","non-dropping-particle":"","parse-names":false,"suffix":""},{"dropping-particle":"","family":"Sharma","given":"Neelima","non-dropping-particle":"","parse-names":false,"suffix":""}],"container-title":"Indian Journal of Natural Products and Resources","id":"ITEM-1","issue":"2","issued":{"date-parts":[["2023"]]},"page":"249-254","title":"Evaluation of anti-anxiety effects of the hydromethanolic extract of Boerhaavia diffusa L. roots in mice exposed to unpredictable chronic mild stress","type":"article-journal","volume":"14"},"uris":["http://www.mendeley.com/documents/?uuid=944b9cbe-46ca-4717-ad10-a7ec9cd5b320"]}],"mendeley":{"formattedCitation":"(Kumari et al., 2023)","plainTextFormattedCitation":"(Kumari et al., 2023)","previouslyFormattedCitation":"(Kumari et al., 2023)"},"properties":{"noteIndex":0},"schema":"https://github.com/citation-style-language/schema/raw/master/csl-citation.json"}</w:instrText>
      </w:r>
      <w:r w:rsidR="00F726D7">
        <w:rPr>
          <w:rFonts w:ascii="Arial" w:hAnsi="Arial" w:cs="Arial"/>
          <w:sz w:val="24"/>
          <w:lang w:val="en-US"/>
        </w:rPr>
        <w:fldChar w:fldCharType="separate"/>
      </w:r>
      <w:r w:rsidR="00E50103" w:rsidRPr="00E50103">
        <w:rPr>
          <w:rFonts w:ascii="Arial" w:hAnsi="Arial" w:cs="Arial"/>
          <w:noProof/>
          <w:sz w:val="24"/>
          <w:lang w:val="en-US"/>
        </w:rPr>
        <w:t>(Kumari et al., 2023)</w:t>
      </w:r>
      <w:r w:rsidR="00F726D7">
        <w:rPr>
          <w:rFonts w:ascii="Arial" w:hAnsi="Arial" w:cs="Arial"/>
          <w:sz w:val="24"/>
          <w:lang w:val="en-US"/>
        </w:rPr>
        <w:fldChar w:fldCharType="end"/>
      </w:r>
      <w:r w:rsidRPr="00A2239A">
        <w:rPr>
          <w:rFonts w:ascii="Arial" w:hAnsi="Arial" w:cs="Arial"/>
          <w:sz w:val="24"/>
          <w:lang w:val="en-US"/>
        </w:rPr>
        <w:t>.</w:t>
      </w:r>
      <w:r w:rsidR="00FE1CF5">
        <w:rPr>
          <w:rFonts w:ascii="Arial" w:hAnsi="Arial" w:cs="Arial"/>
          <w:sz w:val="24"/>
          <w:lang w:val="en-US"/>
        </w:rPr>
        <w:t xml:space="preserve"> </w:t>
      </w:r>
      <w:r w:rsidRPr="00A2239A">
        <w:rPr>
          <w:rFonts w:ascii="Arial" w:hAnsi="Arial" w:cs="Arial"/>
          <w:i/>
          <w:iCs/>
          <w:sz w:val="24"/>
          <w:lang w:val="en-US"/>
        </w:rPr>
        <w:t>B.</w:t>
      </w:r>
      <w:r w:rsidR="00FE1CF5">
        <w:rPr>
          <w:rFonts w:ascii="Arial" w:hAnsi="Arial" w:cs="Arial"/>
          <w:i/>
          <w:iCs/>
          <w:sz w:val="24"/>
          <w:lang w:val="en-US"/>
        </w:rPr>
        <w:t xml:space="preserve"> </w:t>
      </w:r>
      <w:proofErr w:type="spellStart"/>
      <w:r w:rsidRPr="00A2239A">
        <w:rPr>
          <w:rFonts w:ascii="Arial" w:hAnsi="Arial" w:cs="Arial"/>
          <w:i/>
          <w:iCs/>
          <w:sz w:val="24"/>
          <w:lang w:val="en-US"/>
        </w:rPr>
        <w:t>diffusa's</w:t>
      </w:r>
      <w:proofErr w:type="spellEnd"/>
      <w:r w:rsidRPr="00A2239A">
        <w:rPr>
          <w:rFonts w:ascii="Arial" w:hAnsi="Arial" w:cs="Arial"/>
          <w:sz w:val="24"/>
          <w:lang w:val="en-US"/>
        </w:rPr>
        <w:t xml:space="preserve"> alkaloids, flavonoids, and phenolic compounds most certainly contribute to its analgesic effects as they have been found to block lipoxygenase (LOX) and cyclooxygenase (COX), hence lowering the synthesis of pro-inflammatory mediators </w:t>
      </w:r>
      <w:r w:rsidR="00F726D7">
        <w:rPr>
          <w:rFonts w:ascii="Arial" w:hAnsi="Arial" w:cs="Arial"/>
          <w:sz w:val="24"/>
          <w:lang w:val="en-US"/>
        </w:rPr>
        <w:fldChar w:fldCharType="begin" w:fldLock="1"/>
      </w:r>
      <w:r w:rsidR="003B5DB6">
        <w:rPr>
          <w:rFonts w:ascii="Arial" w:hAnsi="Arial" w:cs="Arial"/>
          <w:sz w:val="24"/>
          <w:lang w:val="en-US"/>
        </w:rPr>
        <w:instrText>ADDIN CSL_CITATION {"citationItems":[{"id":"ITEM-1","itemData":{"author":[{"dropping-particle":"","family":"Shomudro","given":"Hasib Khan","non-dropping-particle":"","parse-names":false,"suffix":""},{"dropping-particle":"","family":"Shaira","given":"Humaira Anzoom","non-dropping-particle":"","parse-names":false,"suffix":""},{"dropping-particle":"","family":"Afreen","given":"Sadia","non-dropping-particle":"","parse-names":false,"suffix":""}],"id":"ITEM-1","issue":"1","issued":{"date-parts":[["2023"]]},"page":"316-323","title":"Evaluation of in vitro antioxidant , anti-bacterial , cytotoxic and in vivo analgesic and neuro- pharmacological investigation of alysicarpus vaginalis available in Bangladesh","type":"article-journal","volume":"12"},"uris":["http://www.mendeley.com/documents/?uuid=75ac9c05-bee1-4916-a8d3-e6bbd15c0e78"]}],"mendeley":{"formattedCitation":"(Shomudro, Shaira, et al., 2023)","manualFormatting":"(Shomudro et al., 2023)","plainTextFormattedCitation":"(Shomudro, Shaira, et al., 2023)","previouslyFormattedCitation":"(Shomudro, Shaira, et al., 2023)"},"properties":{"noteIndex":0},"schema":"https://github.com/citation-style-language/schema/raw/master/csl-citation.json"}</w:instrText>
      </w:r>
      <w:r w:rsidR="00F726D7">
        <w:rPr>
          <w:rFonts w:ascii="Arial" w:hAnsi="Arial" w:cs="Arial"/>
          <w:sz w:val="24"/>
          <w:lang w:val="en-US"/>
        </w:rPr>
        <w:fldChar w:fldCharType="separate"/>
      </w:r>
      <w:r w:rsidR="003B5DB6" w:rsidRPr="003B5DB6">
        <w:rPr>
          <w:rFonts w:ascii="Arial" w:hAnsi="Arial" w:cs="Arial"/>
          <w:noProof/>
          <w:sz w:val="24"/>
          <w:lang w:val="en-US"/>
        </w:rPr>
        <w:t>(Shomudroet al., 2023)</w:t>
      </w:r>
      <w:r w:rsidR="00F726D7">
        <w:rPr>
          <w:rFonts w:ascii="Arial" w:hAnsi="Arial" w:cs="Arial"/>
          <w:sz w:val="24"/>
          <w:lang w:val="en-US"/>
        </w:rPr>
        <w:fldChar w:fldCharType="end"/>
      </w:r>
      <w:r w:rsidRPr="00A2239A">
        <w:rPr>
          <w:rFonts w:ascii="Arial" w:hAnsi="Arial" w:cs="Arial"/>
          <w:sz w:val="24"/>
          <w:lang w:val="en-US"/>
        </w:rPr>
        <w:t xml:space="preserve">. In the formalin-induced pain model (Tables 4 and 5), MEBD dramatically shortened nociceptive behavior and greatly raised the latency time in the hot plate test. The anti-inflammatory and pain-relieving qualities of the plant's phytochemicals help to explain these benefits; they could inhibit pain signaling pathways and thus lower inflammation </w:t>
      </w:r>
      <w:r w:rsidR="00F726D7">
        <w:rPr>
          <w:rFonts w:ascii="Arial" w:hAnsi="Arial" w:cs="Arial"/>
          <w:sz w:val="24"/>
          <w:lang w:val="en-US"/>
        </w:rPr>
        <w:fldChar w:fldCharType="begin" w:fldLock="1"/>
      </w:r>
      <w:r w:rsidR="003B5DB6">
        <w:rPr>
          <w:rFonts w:ascii="Arial" w:hAnsi="Arial" w:cs="Arial"/>
          <w:sz w:val="24"/>
          <w:lang w:val="en-US"/>
        </w:rPr>
        <w:instrText>ADDIN CSL_CITATION {"citationItems":[{"id":"ITEM-1","itemData":{"DOI":"10.9734/jsrr/2023/v29i31733","abstract":"Purpose: The purpose of this research was to examine the effects of Persicaria lapathifolia (Pale smartweed) leaf and bark extracts prepared with methanol on in vitro activities like antioxidant, antimicrobial, anti-arthritis, anti-inflammatory, and cytotoxic, as well as on some in vivo activities like analgesic and neuropharmacological properties in animal model.\r Methodology: The primary method for the methanolic extract of Persicaria lapathifolia leaf (MEPLL) and methanolic extract of Persicaria lapathifolia bark (MEPLB) were investigated for phytochemical screening. It was determined to look into the plant's potential for in vitro activities, such as phytochemical screening, antioxidant, anti-arthritis, anti-inflammatory, anti-bacterial, and cytotoxic, due to the pharmaceutical interest in its component parts. Its described effects on its in vivo analgesic and neuropharmacological activities in animal models are significant compared to the standard. This research was conducted between July 2022 and November 2022 in the Stamford University Bangladesh, Dhaka, Laboratory of Physiology and Pharmacology, Department of Pharmacy, and Laboratory of Microbiology. Antioxidant, anti-arthritic, anti-inflammatory, antibacterial, cytotoxic, analgesic, and neuropharmacological activities of MEPLL and MEPLB were investigated. Phytochemical screening was performed utilizing a variety of test reagents. Antioxidant, total phenolic content, anti-arthritic, anti-inflammatory, antibacterial, and cytotoxic activities were measured at various doses using the DPPH Free Radical Scavenging Assay, the Folin-Ciocalteu technique, the Inhibition of Protein Denaturation Assay, Egg Albumin Protein Denaturation Assay, the Disk Diffusion Method, and the Brine Shrimp Lethality Bioassay. The analgesic effectiveness was evaluated by using acetic acid to elicit writhing in Swiss albino mice and then testing the animals on a hot plate. Locomotor activity was measured by open field and hole cross tests as part of the neuropharmacological investigation.\r Results: Research performed on MEPLL and MEPLB's phytochemical screening yielded results that revealed the presence of a variety of different phytochemical components. In comparison to MEPLL's IC50 value of 1.49 µg/mL, MEPLB's value of 30.45 µg/mL indicates its superior antioxidant activity. Both extracts demonstrated significant anti-arthritic and anti-inflammatory effectiveness in comparison to the standard drug. When compared to MEPLB, M…","author":[{"dropping-particle":"","family":"Shaira","given":"Humaira Anzoom","non-dropping-particle":"","parse-names":false,"suffix":""},{"dropping-particle":"","family":"Shomudro","given":"Hasib Khan","non-dropping-particle":"","parse-names":false,"suffix":""},{"dropping-particle":"","family":"Chowdhury","given":"Sadia Afreen","non-dropping-particle":"","parse-names":false,"suffix":""}],"container-title":"Journal of Scientific Research and Reports","id":"ITEM-1","issue":"3","issued":{"date-parts":[["2023"]]},"page":"12-26","title":"In-vitro and In-vivo Pharmacological Evaluation of Persicaria lapathifolia Available in Bangladesh","type":"article-journal","volume":"29"},"uris":["http://www.mendeley.com/documents/?uuid=c144beb3-7cb7-4e17-9108-78874c52a5e9"]}],"mendeley":{"formattedCitation":"(Shaira et al., 2023)","plainTextFormattedCitation":"(Shaira et al., 2023)","previouslyFormattedCitation":"(Shaira et al., 2023)"},"properties":{"noteIndex":0},"schema":"https://github.com/citation-style-language/schema/raw/master/csl-citation.json"}</w:instrText>
      </w:r>
      <w:r w:rsidR="00F726D7">
        <w:rPr>
          <w:rFonts w:ascii="Arial" w:hAnsi="Arial" w:cs="Arial"/>
          <w:sz w:val="24"/>
          <w:lang w:val="en-US"/>
        </w:rPr>
        <w:fldChar w:fldCharType="separate"/>
      </w:r>
      <w:r w:rsidR="003B5DB6" w:rsidRPr="003B5DB6">
        <w:rPr>
          <w:rFonts w:ascii="Arial" w:hAnsi="Arial" w:cs="Arial"/>
          <w:noProof/>
          <w:sz w:val="24"/>
          <w:lang w:val="en-US"/>
        </w:rPr>
        <w:t>(Shaira et al., 2023)</w:t>
      </w:r>
      <w:r w:rsidR="00F726D7">
        <w:rPr>
          <w:rFonts w:ascii="Arial" w:hAnsi="Arial" w:cs="Arial"/>
          <w:sz w:val="24"/>
          <w:lang w:val="en-US"/>
        </w:rPr>
        <w:fldChar w:fldCharType="end"/>
      </w:r>
      <w:r w:rsidRPr="00A2239A">
        <w:rPr>
          <w:rFonts w:ascii="Arial" w:hAnsi="Arial" w:cs="Arial"/>
          <w:sz w:val="24"/>
          <w:lang w:val="en-US"/>
        </w:rPr>
        <w:t xml:space="preserve">. The flavonoids and phenolic chemicals in </w:t>
      </w:r>
      <w:r w:rsidRPr="00A2239A">
        <w:rPr>
          <w:rFonts w:ascii="Arial" w:hAnsi="Arial" w:cs="Arial"/>
          <w:i/>
          <w:iCs/>
          <w:sz w:val="24"/>
          <w:lang w:val="en-US"/>
        </w:rPr>
        <w:t xml:space="preserve">B. </w:t>
      </w:r>
      <w:proofErr w:type="spellStart"/>
      <w:r w:rsidRPr="00A2239A">
        <w:rPr>
          <w:rFonts w:ascii="Arial" w:hAnsi="Arial" w:cs="Arial"/>
          <w:i/>
          <w:iCs/>
          <w:sz w:val="24"/>
          <w:lang w:val="en-US"/>
        </w:rPr>
        <w:t>diffusa</w:t>
      </w:r>
      <w:proofErr w:type="spellEnd"/>
      <w:r w:rsidRPr="00A2239A">
        <w:rPr>
          <w:rFonts w:ascii="Arial" w:hAnsi="Arial" w:cs="Arial"/>
          <w:sz w:val="24"/>
          <w:lang w:val="en-US"/>
        </w:rPr>
        <w:t xml:space="preserve"> may also scavenge free radicals, therefore lowering oxidative stress and inflammation, which are major contributors to pain</w:t>
      </w:r>
      <w:r w:rsidR="00F726D7">
        <w:rPr>
          <w:rFonts w:ascii="Arial" w:hAnsi="Arial" w:cs="Arial"/>
          <w:sz w:val="24"/>
          <w:lang w:val="en-US"/>
        </w:rPr>
        <w:fldChar w:fldCharType="begin" w:fldLock="1"/>
      </w:r>
      <w:r w:rsidR="00E50103">
        <w:rPr>
          <w:rFonts w:ascii="Arial" w:hAnsi="Arial" w:cs="Arial"/>
          <w:sz w:val="24"/>
          <w:lang w:val="en-US"/>
        </w:rPr>
        <w:instrText>ADDIN CSL_CITATION {"citationItems":[{"id":"ITEM-1","itemData":{"DOI":"10.1016/j.etap.2019.02.005","ISSN":"18727077","PMID":"30852303","abstract":"Alternate forms of drug crystals display different physicochemical properties. These include stability, dissolution rate, bioavailability and solubility, which can affect pharmacokinetics and pharmacodynamics. It is therefore important to compare the crystal forms of cedrol to obtain optimal anti-inflammatory and analgesic effects. This study, for the first time, obtained and reports three novel forms (I-III) of cedrol polymorphs. The three forms of cedrol were recrystallized from seven organic solvents by slow cooling or volatilization and identified by thermal analysis, fourier transform infrared spectroscopy, scanning electron microscopy and powder X-ray diffraction analysis. Form I originated from acetone and cyclohexane. Form II was obtained from ethanol, ethyl acetate, acetonitrile and n-hexane. Form III was recrystallized from methanol. The anti-inflammatory and analgesic activities of the three crystalline forms were evaluated by acetic acid induced writhing in mice, the hot plate method, carrageenan induced mouse paw edema models, Xylene-induced mouse ear edema models and cotton pellet-induced mouse granuloma models. Experimental results revealed that the highest performance was achieved from Form I. These findings are of great significance during the early research study of cedrol polymorphs.","author":[{"dropping-particle":"","family":"Wang","given":"Jie wen","non-dropping-particle":"","parse-names":false,"suffix":""},{"dropping-particle":"","family":"Chen","given":"Shan shan","non-dropping-particle":"","parse-names":false,"suffix":""},{"dropping-particle":"","family":"Zhang","given":"Yu meng","non-dropping-particle":"","parse-names":false,"suffix":""},{"dropping-particle":"","family":"Guan","given":"Jian","non-dropping-particle":"","parse-names":false,"suffix":""},{"dropping-particle":"","family":"Su","given":"Guang Yue","non-dropping-particle":"","parse-names":false,"suffix":""},{"dropping-particle":"","family":"Ding","given":"Meng","non-dropping-particle":"","parse-names":false,"suffix":""},{"dropping-particle":"","family":"Li","given":"Wei","non-dropping-particle":"","parse-names":false,"suffix":""},{"dropping-particle":"","family":"Zhao","given":"Yu Qing","non-dropping-particle":"","parse-names":false,"suffix":""}],"container-title":"Environmental Toxicology and Pharmacology","id":"ITEM-1","issue":"September 2018","issued":{"date-parts":[["2019"]]},"page":"13-18","publisher":"Elsevier","title":"Anti-inflammatory and analgesic activity based on polymorphism of cedrol in mice","type":"article-journal","volume":"68"},"uris":["http://www.mendeley.com/documents/?uuid=3c5a5db6-13cf-4707-9ae5-9a80df35e3a7"]}],"mendeley":{"formattedCitation":"(Wang et al., 2019)","plainTextFormattedCitation":"(Wang et al., 2019)","previouslyFormattedCitation":"(Wang et al., 2019)"},"properties":{"noteIndex":0},"schema":"https://github.com/citation-style-language/schema/raw/master/csl-citation.json"}</w:instrText>
      </w:r>
      <w:r w:rsidR="00F726D7">
        <w:rPr>
          <w:rFonts w:ascii="Arial" w:hAnsi="Arial" w:cs="Arial"/>
          <w:sz w:val="24"/>
          <w:lang w:val="en-US"/>
        </w:rPr>
        <w:fldChar w:fldCharType="separate"/>
      </w:r>
      <w:r w:rsidR="003B5DB6" w:rsidRPr="003B5DB6">
        <w:rPr>
          <w:rFonts w:ascii="Arial" w:hAnsi="Arial" w:cs="Arial"/>
          <w:noProof/>
          <w:sz w:val="24"/>
          <w:lang w:val="en-US"/>
        </w:rPr>
        <w:t>(Wang et al., 2019)</w:t>
      </w:r>
      <w:r w:rsidR="00F726D7">
        <w:rPr>
          <w:rFonts w:ascii="Arial" w:hAnsi="Arial" w:cs="Arial"/>
          <w:sz w:val="24"/>
          <w:lang w:val="en-US"/>
        </w:rPr>
        <w:fldChar w:fldCharType="end"/>
      </w:r>
      <w:r w:rsidRPr="00A2239A">
        <w:rPr>
          <w:rFonts w:ascii="Arial" w:hAnsi="Arial" w:cs="Arial"/>
          <w:sz w:val="24"/>
          <w:lang w:val="en-US"/>
        </w:rPr>
        <w:t xml:space="preserve">. </w:t>
      </w:r>
    </w:p>
    <w:p w14:paraId="512F48F3" w14:textId="77777777" w:rsidR="009603AC" w:rsidRPr="009603AC" w:rsidRDefault="009603AC" w:rsidP="00A2239A">
      <w:pPr>
        <w:jc w:val="both"/>
        <w:rPr>
          <w:rFonts w:ascii="Arial" w:hAnsi="Arial" w:cs="Arial"/>
          <w:b/>
          <w:bCs/>
          <w:sz w:val="24"/>
          <w:lang w:val="en-US"/>
        </w:rPr>
      </w:pPr>
      <w:r>
        <w:rPr>
          <w:rFonts w:ascii="Arial" w:hAnsi="Arial" w:cs="Arial"/>
          <w:b/>
          <w:bCs/>
          <w:sz w:val="24"/>
          <w:lang w:val="en-US"/>
        </w:rPr>
        <w:t>8</w:t>
      </w:r>
      <w:r w:rsidRPr="009603AC">
        <w:rPr>
          <w:rFonts w:ascii="Arial" w:hAnsi="Arial" w:cs="Arial"/>
          <w:b/>
          <w:bCs/>
          <w:sz w:val="24"/>
          <w:lang w:val="en-US"/>
        </w:rPr>
        <w:t>. Conclusion</w:t>
      </w:r>
    </w:p>
    <w:p w14:paraId="1E0E636D" w14:textId="25554A86" w:rsidR="00132799" w:rsidRDefault="004A58A0" w:rsidP="00E43A14">
      <w:pPr>
        <w:jc w:val="both"/>
        <w:rPr>
          <w:rFonts w:ascii="Arial" w:hAnsi="Arial" w:cs="Arial"/>
          <w:sz w:val="24"/>
          <w:lang w:val="en-US"/>
        </w:rPr>
      </w:pPr>
      <w:r w:rsidRPr="004A58A0">
        <w:rPr>
          <w:rFonts w:ascii="Arial" w:hAnsi="Arial" w:cs="Arial"/>
          <w:sz w:val="24"/>
          <w:lang w:val="en-US"/>
        </w:rPr>
        <w:t xml:space="preserve">The complex phytochemical the composition of </w:t>
      </w:r>
      <w:proofErr w:type="spellStart"/>
      <w:r w:rsidRPr="004A58A0">
        <w:rPr>
          <w:rFonts w:ascii="Arial" w:hAnsi="Arial" w:cs="Arial"/>
          <w:i/>
          <w:iCs/>
          <w:sz w:val="24"/>
          <w:lang w:val="en-US"/>
        </w:rPr>
        <w:t>Boerhavia</w:t>
      </w:r>
      <w:proofErr w:type="spellEnd"/>
      <w:r w:rsidR="00AB56EE">
        <w:rPr>
          <w:rFonts w:ascii="Arial" w:hAnsi="Arial" w:cs="Arial"/>
          <w:i/>
          <w:iCs/>
          <w:sz w:val="24"/>
          <w:lang w:val="en-US"/>
        </w:rPr>
        <w:t xml:space="preserve"> </w:t>
      </w:r>
      <w:proofErr w:type="spellStart"/>
      <w:r w:rsidRPr="004A58A0">
        <w:rPr>
          <w:rFonts w:ascii="Arial" w:hAnsi="Arial" w:cs="Arial"/>
          <w:i/>
          <w:iCs/>
          <w:sz w:val="24"/>
          <w:lang w:val="en-US"/>
        </w:rPr>
        <w:t>diffusa</w:t>
      </w:r>
      <w:proofErr w:type="spellEnd"/>
      <w:r w:rsidRPr="004A58A0">
        <w:rPr>
          <w:rFonts w:ascii="Arial" w:hAnsi="Arial" w:cs="Arial"/>
          <w:sz w:val="24"/>
          <w:lang w:val="en-US"/>
        </w:rPr>
        <w:t xml:space="preserve">—which includes flavonoids, alkaloids, glycosides, tannins, and phenolic compounds—mostly controls its pharmacological effects. These bioactive compounds assist the plant to have anticancer, antidiabetic, neuropharmacological, and analgesic properties by changing significant biochemical pathways, reducing oxidative stress, and thus decreasing inflammatory mediators. The findings of this investigation highlight the possibility of </w:t>
      </w:r>
      <w:r w:rsidRPr="00C13D42">
        <w:rPr>
          <w:rFonts w:ascii="Arial" w:hAnsi="Arial" w:cs="Arial"/>
          <w:i/>
          <w:iCs/>
          <w:sz w:val="24"/>
          <w:highlight w:val="yellow"/>
          <w:lang w:val="en-US"/>
        </w:rPr>
        <w:t xml:space="preserve">B. </w:t>
      </w:r>
      <w:proofErr w:type="spellStart"/>
      <w:r w:rsidRPr="00C13D42">
        <w:rPr>
          <w:rFonts w:ascii="Arial" w:hAnsi="Arial" w:cs="Arial"/>
          <w:i/>
          <w:iCs/>
          <w:sz w:val="24"/>
          <w:highlight w:val="yellow"/>
          <w:lang w:val="en-US"/>
        </w:rPr>
        <w:t>diffusa</w:t>
      </w:r>
      <w:proofErr w:type="spellEnd"/>
      <w:r w:rsidRPr="00C13D42">
        <w:rPr>
          <w:rFonts w:ascii="Arial" w:hAnsi="Arial" w:cs="Arial"/>
          <w:sz w:val="24"/>
          <w:highlight w:val="yellow"/>
          <w:lang w:val="en-US"/>
        </w:rPr>
        <w:t xml:space="preserve"> </w:t>
      </w:r>
      <w:r w:rsidRPr="004A58A0">
        <w:rPr>
          <w:rFonts w:ascii="Arial" w:hAnsi="Arial" w:cs="Arial"/>
          <w:sz w:val="24"/>
          <w:lang w:val="en-US"/>
        </w:rPr>
        <w:t xml:space="preserve">as a source of novel medicinal chemicals for the treatment of numerous diseases, including cancer, diabetes, neurological diseases, and pain. </w:t>
      </w:r>
      <w:r w:rsidR="002860F8" w:rsidRPr="004A58A0">
        <w:rPr>
          <w:rFonts w:ascii="Arial" w:hAnsi="Arial" w:cs="Arial"/>
          <w:sz w:val="24"/>
          <w:lang w:val="en-US"/>
        </w:rPr>
        <w:t>Greater</w:t>
      </w:r>
      <w:r w:rsidRPr="004A58A0">
        <w:rPr>
          <w:rFonts w:ascii="Arial" w:hAnsi="Arial" w:cs="Arial"/>
          <w:sz w:val="24"/>
          <w:lang w:val="en-US"/>
        </w:rPr>
        <w:t xml:space="preserve"> research is needed to properly identify and characterize the specific phytochemicals generating these effects as well as to probe their mechanisms of action in greater depth.</w:t>
      </w:r>
    </w:p>
    <w:p w14:paraId="29091B93" w14:textId="77777777" w:rsidR="00987AD6" w:rsidRPr="00987AD6" w:rsidRDefault="00987AD6" w:rsidP="00987AD6">
      <w:pPr>
        <w:jc w:val="both"/>
        <w:rPr>
          <w:rFonts w:ascii="Arial" w:hAnsi="Arial" w:cs="Arial"/>
          <w:b/>
          <w:bCs/>
          <w:sz w:val="24"/>
          <w:lang w:val="en-IN"/>
        </w:rPr>
      </w:pPr>
      <w:r>
        <w:rPr>
          <w:rFonts w:ascii="Arial" w:hAnsi="Arial" w:cs="Arial"/>
          <w:b/>
          <w:bCs/>
          <w:sz w:val="24"/>
          <w:lang w:val="en-IN"/>
        </w:rPr>
        <w:t>10</w:t>
      </w:r>
      <w:r w:rsidRPr="00987AD6">
        <w:rPr>
          <w:rFonts w:ascii="Arial" w:hAnsi="Arial" w:cs="Arial"/>
          <w:b/>
          <w:bCs/>
          <w:sz w:val="24"/>
          <w:lang w:val="en-IN"/>
        </w:rPr>
        <w:t xml:space="preserve"> ETHICAL APPROVALS </w:t>
      </w:r>
    </w:p>
    <w:p w14:paraId="5D739B1C" w14:textId="77777777" w:rsidR="00987AD6" w:rsidRPr="00987AD6" w:rsidRDefault="00987AD6" w:rsidP="00987AD6">
      <w:pPr>
        <w:jc w:val="both"/>
        <w:rPr>
          <w:rFonts w:ascii="Arial" w:hAnsi="Arial" w:cs="Arial"/>
          <w:sz w:val="24"/>
          <w:lang w:val="en-IN"/>
        </w:rPr>
      </w:pPr>
      <w:r w:rsidRPr="00987AD6">
        <w:rPr>
          <w:rFonts w:ascii="Arial" w:hAnsi="Arial" w:cs="Arial"/>
          <w:sz w:val="24"/>
          <w:lang w:val="en-IN"/>
        </w:rPr>
        <w:t>The authors confirm that all experiments were conducted in accordance with ethical guidelines and were reviewed by an appropriate ethics committee.</w:t>
      </w:r>
    </w:p>
    <w:p w14:paraId="371270AB" w14:textId="77777777" w:rsidR="00987AD6" w:rsidRPr="00987AD6" w:rsidRDefault="00987AD6" w:rsidP="00987AD6">
      <w:pPr>
        <w:jc w:val="both"/>
        <w:rPr>
          <w:rFonts w:ascii="Arial" w:hAnsi="Arial" w:cs="Arial"/>
          <w:b/>
          <w:bCs/>
          <w:sz w:val="24"/>
          <w:lang w:val="en-IN"/>
        </w:rPr>
      </w:pPr>
      <w:r>
        <w:rPr>
          <w:rFonts w:ascii="Arial" w:hAnsi="Arial" w:cs="Arial"/>
          <w:b/>
          <w:bCs/>
          <w:sz w:val="24"/>
          <w:lang w:val="en-IN"/>
        </w:rPr>
        <w:t>11.</w:t>
      </w:r>
      <w:r w:rsidRPr="00987AD6">
        <w:rPr>
          <w:rFonts w:ascii="Arial" w:hAnsi="Arial" w:cs="Arial"/>
          <w:b/>
          <w:bCs/>
          <w:sz w:val="24"/>
          <w:lang w:val="en-IN"/>
        </w:rPr>
        <w:t xml:space="preserve"> COMPETING INTERESTS</w:t>
      </w:r>
    </w:p>
    <w:p w14:paraId="59790E63" w14:textId="77777777" w:rsidR="00460FCB" w:rsidRDefault="00987AD6" w:rsidP="00987AD6">
      <w:pPr>
        <w:jc w:val="both"/>
        <w:rPr>
          <w:rFonts w:ascii="Arial" w:hAnsi="Arial" w:cs="Arial"/>
          <w:sz w:val="24"/>
          <w:lang w:val="en-IN"/>
        </w:rPr>
      </w:pPr>
      <w:r w:rsidRPr="00987AD6">
        <w:rPr>
          <w:rFonts w:ascii="Arial" w:hAnsi="Arial" w:cs="Arial"/>
          <w:sz w:val="24"/>
          <w:lang w:val="en-IN"/>
        </w:rPr>
        <w:t>Authors have declared that no competing interests exist</w:t>
      </w:r>
      <w:r w:rsidR="005A13F3">
        <w:rPr>
          <w:rFonts w:ascii="Arial" w:hAnsi="Arial" w:cs="Arial"/>
          <w:sz w:val="24"/>
          <w:lang w:val="en-IN"/>
        </w:rPr>
        <w:t>.</w:t>
      </w:r>
    </w:p>
    <w:p w14:paraId="1429C3A2" w14:textId="64B1BF81" w:rsidR="005A13F3" w:rsidRDefault="005A13F3" w:rsidP="00E43A14">
      <w:pPr>
        <w:jc w:val="both"/>
        <w:rPr>
          <w:rFonts w:ascii="Arial" w:hAnsi="Arial" w:cs="Arial"/>
          <w:b/>
          <w:bCs/>
          <w:sz w:val="24"/>
          <w:lang w:val="en-US"/>
        </w:rPr>
      </w:pPr>
    </w:p>
    <w:p w14:paraId="120CA782" w14:textId="0A82F26F" w:rsidR="00033F05" w:rsidRDefault="00033F05" w:rsidP="00E43A14">
      <w:pPr>
        <w:jc w:val="both"/>
        <w:rPr>
          <w:rFonts w:ascii="Arial" w:hAnsi="Arial" w:cs="Arial"/>
          <w:b/>
          <w:bCs/>
          <w:sz w:val="24"/>
          <w:lang w:val="en-US"/>
        </w:rPr>
      </w:pPr>
    </w:p>
    <w:p w14:paraId="5C9B3562" w14:textId="495BDF1F" w:rsidR="00033F05" w:rsidRDefault="00033F05" w:rsidP="00E43A14">
      <w:pPr>
        <w:jc w:val="both"/>
        <w:rPr>
          <w:rFonts w:ascii="Arial" w:hAnsi="Arial" w:cs="Arial"/>
          <w:b/>
          <w:bCs/>
          <w:sz w:val="24"/>
          <w:lang w:val="en-US"/>
        </w:rPr>
      </w:pPr>
    </w:p>
    <w:p w14:paraId="1F498E3D" w14:textId="77777777" w:rsidR="004D0305" w:rsidRDefault="004D0305" w:rsidP="004D0305">
      <w:pPr>
        <w:rPr>
          <w:highlight w:val="yellow"/>
        </w:rPr>
      </w:pPr>
      <w:r>
        <w:rPr>
          <w:highlight w:val="yellow"/>
        </w:rPr>
        <w:t>Disclaimer (Artificial intelligence)</w:t>
      </w:r>
    </w:p>
    <w:p w14:paraId="63E28C34" w14:textId="77777777" w:rsidR="004D0305" w:rsidRDefault="004D0305" w:rsidP="004D0305">
      <w:pPr>
        <w:rPr>
          <w:highlight w:val="yellow"/>
        </w:rPr>
      </w:pPr>
      <w:r>
        <w:rPr>
          <w:highlight w:val="yellow"/>
        </w:rPr>
        <w:t xml:space="preserve">Option 1: </w:t>
      </w:r>
    </w:p>
    <w:p w14:paraId="0529A320" w14:textId="77777777" w:rsidR="004D0305" w:rsidRDefault="004D0305" w:rsidP="004D0305">
      <w:pPr>
        <w:rPr>
          <w:highlight w:val="yellow"/>
        </w:rPr>
      </w:pPr>
      <w:r>
        <w:rPr>
          <w:highlight w:val="yellow"/>
        </w:rPr>
        <w:lastRenderedPageBreak/>
        <w:t>Author(s) hereby declare that NO generative AI technologies such as Large Language Models (</w:t>
      </w:r>
      <w:proofErr w:type="spellStart"/>
      <w:r>
        <w:rPr>
          <w:highlight w:val="yellow"/>
        </w:rPr>
        <w:t>ChatGPT</w:t>
      </w:r>
      <w:proofErr w:type="spellEnd"/>
      <w:r>
        <w:rPr>
          <w:highlight w:val="yellow"/>
        </w:rPr>
        <w:t xml:space="preserve">, COPILOT, etc.) and text-to-image generators have been used during the writing or editing of this manuscript. </w:t>
      </w:r>
    </w:p>
    <w:p w14:paraId="2963BC3F" w14:textId="77777777" w:rsidR="004D0305" w:rsidRDefault="004D0305" w:rsidP="004D0305">
      <w:pPr>
        <w:rPr>
          <w:highlight w:val="yellow"/>
        </w:rPr>
      </w:pPr>
      <w:r>
        <w:rPr>
          <w:highlight w:val="yellow"/>
        </w:rPr>
        <w:t xml:space="preserve">Option 2: </w:t>
      </w:r>
    </w:p>
    <w:p w14:paraId="72398A82" w14:textId="77777777" w:rsidR="004D0305" w:rsidRDefault="004D0305" w:rsidP="004D0305">
      <w:pPr>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483A453" w14:textId="77777777" w:rsidR="004D0305" w:rsidRDefault="004D0305" w:rsidP="004D0305">
      <w:pPr>
        <w:rPr>
          <w:highlight w:val="yellow"/>
        </w:rPr>
      </w:pPr>
      <w:r>
        <w:rPr>
          <w:highlight w:val="yellow"/>
        </w:rPr>
        <w:t>Details of the AI usage are given below:</w:t>
      </w:r>
    </w:p>
    <w:p w14:paraId="6943CACF" w14:textId="77777777" w:rsidR="004D0305" w:rsidRDefault="004D0305" w:rsidP="004D0305">
      <w:pPr>
        <w:rPr>
          <w:highlight w:val="yellow"/>
        </w:rPr>
      </w:pPr>
      <w:r>
        <w:rPr>
          <w:highlight w:val="yellow"/>
        </w:rPr>
        <w:t>1.</w:t>
      </w:r>
    </w:p>
    <w:p w14:paraId="68C84C0D" w14:textId="77777777" w:rsidR="004D0305" w:rsidRDefault="004D0305" w:rsidP="004D0305">
      <w:pPr>
        <w:rPr>
          <w:highlight w:val="yellow"/>
        </w:rPr>
      </w:pPr>
      <w:r>
        <w:rPr>
          <w:highlight w:val="yellow"/>
        </w:rPr>
        <w:t>2.</w:t>
      </w:r>
    </w:p>
    <w:p w14:paraId="671A7B4B" w14:textId="77777777" w:rsidR="004D0305" w:rsidRDefault="004D0305" w:rsidP="004D0305">
      <w:r>
        <w:rPr>
          <w:highlight w:val="yellow"/>
        </w:rPr>
        <w:t>3.</w:t>
      </w:r>
    </w:p>
    <w:p w14:paraId="648B7F07" w14:textId="5695166B" w:rsidR="00033F05" w:rsidRDefault="00033F05" w:rsidP="00E43A14">
      <w:pPr>
        <w:jc w:val="both"/>
        <w:rPr>
          <w:rFonts w:ascii="Arial" w:hAnsi="Arial" w:cs="Arial"/>
          <w:b/>
          <w:bCs/>
          <w:sz w:val="24"/>
          <w:lang w:val="en-US"/>
        </w:rPr>
      </w:pPr>
    </w:p>
    <w:p w14:paraId="3089EFC6" w14:textId="77777777" w:rsidR="00033F05" w:rsidRDefault="00033F05" w:rsidP="00E43A14">
      <w:pPr>
        <w:jc w:val="both"/>
        <w:rPr>
          <w:rFonts w:ascii="Arial" w:hAnsi="Arial" w:cs="Arial"/>
          <w:b/>
          <w:bCs/>
          <w:sz w:val="24"/>
          <w:lang w:val="en-US"/>
        </w:rPr>
      </w:pPr>
    </w:p>
    <w:p w14:paraId="2142E543" w14:textId="77777777" w:rsidR="004A58A0" w:rsidRPr="004A58A0" w:rsidRDefault="004A58A0" w:rsidP="00E43A14">
      <w:pPr>
        <w:jc w:val="both"/>
        <w:rPr>
          <w:rFonts w:ascii="Arial" w:hAnsi="Arial" w:cs="Arial"/>
          <w:b/>
          <w:bCs/>
          <w:sz w:val="24"/>
          <w:lang w:val="en-US"/>
        </w:rPr>
      </w:pPr>
      <w:r w:rsidRPr="004A58A0">
        <w:rPr>
          <w:rFonts w:ascii="Arial" w:hAnsi="Arial" w:cs="Arial"/>
          <w:b/>
          <w:bCs/>
          <w:sz w:val="24"/>
          <w:lang w:val="en-US"/>
        </w:rPr>
        <w:t>REFERENCES</w:t>
      </w:r>
    </w:p>
    <w:p w14:paraId="1E61F2CA" w14:textId="77777777" w:rsidR="009E7378" w:rsidRPr="006F3748" w:rsidRDefault="009E7378" w:rsidP="009E7378">
      <w:pPr>
        <w:rPr>
          <w:sz w:val="24"/>
          <w:szCs w:val="24"/>
        </w:rPr>
      </w:pPr>
    </w:p>
    <w:p w14:paraId="2EABF2BF" w14:textId="77777777" w:rsidR="00050742" w:rsidRPr="006F3748" w:rsidRDefault="00050742" w:rsidP="00033F05">
      <w:pPr>
        <w:pStyle w:val="ListParagraph"/>
        <w:widowControl w:val="0"/>
        <w:numPr>
          <w:ilvl w:val="0"/>
          <w:numId w:val="1"/>
        </w:numPr>
        <w:autoSpaceDE w:val="0"/>
        <w:autoSpaceDN w:val="0"/>
        <w:adjustRightInd w:val="0"/>
        <w:spacing w:line="240" w:lineRule="auto"/>
        <w:jc w:val="both"/>
        <w:rPr>
          <w:rFonts w:ascii="Arial" w:hAnsi="Arial" w:cs="Arial"/>
          <w:noProof/>
          <w:sz w:val="24"/>
          <w:szCs w:val="24"/>
        </w:rPr>
      </w:pPr>
      <w:r w:rsidRPr="006F3748">
        <w:rPr>
          <w:rFonts w:ascii="Arial" w:hAnsi="Arial" w:cs="Arial"/>
          <w:noProof/>
          <w:sz w:val="24"/>
          <w:szCs w:val="24"/>
        </w:rPr>
        <w:t xml:space="preserve">Akter, J., Nazim, N. B., Uddin, M. S., &amp; Shomudro, H. K. (2024). Phytochemical Characterization and Investigation of Anthelminthic, Antidiabetic, and Toxicological Effects of Polyscias scutellaria. </w:t>
      </w:r>
      <w:r w:rsidRPr="006F3748">
        <w:rPr>
          <w:rFonts w:ascii="Arial" w:hAnsi="Arial" w:cs="Arial"/>
          <w:i/>
          <w:iCs/>
          <w:noProof/>
          <w:sz w:val="24"/>
          <w:szCs w:val="24"/>
        </w:rPr>
        <w:t>Journal of Applied Life Sciences International</w:t>
      </w:r>
      <w:r w:rsidRPr="006F3748">
        <w:rPr>
          <w:rFonts w:ascii="Arial" w:hAnsi="Arial" w:cs="Arial"/>
          <w:noProof/>
          <w:sz w:val="24"/>
          <w:szCs w:val="24"/>
        </w:rPr>
        <w:t xml:space="preserve">, </w:t>
      </w:r>
      <w:r w:rsidRPr="006F3748">
        <w:rPr>
          <w:rFonts w:ascii="Arial" w:hAnsi="Arial" w:cs="Arial"/>
          <w:i/>
          <w:iCs/>
          <w:noProof/>
          <w:sz w:val="24"/>
          <w:szCs w:val="24"/>
        </w:rPr>
        <w:t>27</w:t>
      </w:r>
      <w:r w:rsidRPr="006F3748">
        <w:rPr>
          <w:rFonts w:ascii="Arial" w:hAnsi="Arial" w:cs="Arial"/>
          <w:noProof/>
          <w:sz w:val="24"/>
          <w:szCs w:val="24"/>
        </w:rPr>
        <w:t>(6), 1–9. https://doi.org/10.9734/jalsi/2024/v27i6660</w:t>
      </w:r>
    </w:p>
    <w:p w14:paraId="158C482E" w14:textId="77777777" w:rsidR="00050742" w:rsidRPr="006F3748" w:rsidRDefault="00050742" w:rsidP="00033F05">
      <w:pPr>
        <w:pStyle w:val="ListParagraph"/>
        <w:widowControl w:val="0"/>
        <w:numPr>
          <w:ilvl w:val="0"/>
          <w:numId w:val="1"/>
        </w:numPr>
        <w:autoSpaceDE w:val="0"/>
        <w:autoSpaceDN w:val="0"/>
        <w:adjustRightInd w:val="0"/>
        <w:spacing w:line="240" w:lineRule="auto"/>
        <w:jc w:val="both"/>
        <w:rPr>
          <w:rFonts w:ascii="Arial" w:hAnsi="Arial" w:cs="Arial"/>
          <w:noProof/>
          <w:sz w:val="24"/>
          <w:szCs w:val="24"/>
        </w:rPr>
      </w:pPr>
      <w:r w:rsidRPr="006F3748">
        <w:rPr>
          <w:rFonts w:ascii="Arial" w:hAnsi="Arial" w:cs="Arial"/>
          <w:noProof/>
          <w:sz w:val="24"/>
          <w:szCs w:val="24"/>
        </w:rPr>
        <w:t xml:space="preserve">Akter, J., Shomudro, H. K., &amp; Chowdhury, S. A. (2024). Anti-Arthritic, Anti-Inflammatory, Thrombolytic, Membrane Stabilizing, Antifungal and Cytotoxic Activity of Polyscias scutellaria Leaf Extract: An In-vitro Analysis. </w:t>
      </w:r>
      <w:r w:rsidRPr="006F3748">
        <w:rPr>
          <w:rFonts w:ascii="Arial" w:hAnsi="Arial" w:cs="Arial"/>
          <w:i/>
          <w:iCs/>
          <w:noProof/>
          <w:sz w:val="24"/>
          <w:szCs w:val="24"/>
        </w:rPr>
        <w:t>Asian Journal of Research in Biochemistry</w:t>
      </w:r>
      <w:r w:rsidRPr="006F3748">
        <w:rPr>
          <w:rFonts w:ascii="Arial" w:hAnsi="Arial" w:cs="Arial"/>
          <w:noProof/>
          <w:sz w:val="24"/>
          <w:szCs w:val="24"/>
        </w:rPr>
        <w:t xml:space="preserve">, </w:t>
      </w:r>
      <w:r w:rsidRPr="006F3748">
        <w:rPr>
          <w:rFonts w:ascii="Arial" w:hAnsi="Arial" w:cs="Arial"/>
          <w:i/>
          <w:iCs/>
          <w:noProof/>
          <w:sz w:val="24"/>
          <w:szCs w:val="24"/>
        </w:rPr>
        <w:t>14</w:t>
      </w:r>
      <w:r w:rsidRPr="006F3748">
        <w:rPr>
          <w:rFonts w:ascii="Arial" w:hAnsi="Arial" w:cs="Arial"/>
          <w:noProof/>
          <w:sz w:val="24"/>
          <w:szCs w:val="24"/>
        </w:rPr>
        <w:t>(1), 19–29. https://doi.org/10.9734/ajrb/2024/v14i1274</w:t>
      </w:r>
    </w:p>
    <w:p w14:paraId="41B9C86E" w14:textId="77777777" w:rsidR="00050742" w:rsidRPr="00050742" w:rsidRDefault="00050742" w:rsidP="00033F05">
      <w:pPr>
        <w:pStyle w:val="ListParagraph"/>
        <w:widowControl w:val="0"/>
        <w:numPr>
          <w:ilvl w:val="0"/>
          <w:numId w:val="1"/>
        </w:numPr>
        <w:autoSpaceDE w:val="0"/>
        <w:autoSpaceDN w:val="0"/>
        <w:adjustRightInd w:val="0"/>
        <w:spacing w:line="240" w:lineRule="auto"/>
        <w:jc w:val="both"/>
        <w:rPr>
          <w:rFonts w:ascii="Arial" w:hAnsi="Arial" w:cs="Arial"/>
          <w:noProof/>
          <w:sz w:val="24"/>
          <w:szCs w:val="24"/>
        </w:rPr>
      </w:pPr>
      <w:r w:rsidRPr="00050742">
        <w:rPr>
          <w:rFonts w:ascii="Arial" w:hAnsi="Arial" w:cs="Arial"/>
          <w:color w:val="222222"/>
          <w:sz w:val="24"/>
          <w:szCs w:val="24"/>
          <w:shd w:val="clear" w:color="auto" w:fill="FFFFFF"/>
        </w:rPr>
        <w:t xml:space="preserve">Akter, J., Shomudro, H. K., &amp; Chowdhury, S. A. (2024). Anti-Arthritic, Anti-Inflammatory, Thrombolytic, Membrane Stabilizing, Antifungal and Cytotoxic Activity of </w:t>
      </w:r>
      <w:proofErr w:type="spellStart"/>
      <w:r w:rsidRPr="00050742">
        <w:rPr>
          <w:rFonts w:ascii="Arial" w:hAnsi="Arial" w:cs="Arial"/>
          <w:color w:val="222222"/>
          <w:sz w:val="24"/>
          <w:szCs w:val="24"/>
          <w:shd w:val="clear" w:color="auto" w:fill="FFFFFF"/>
        </w:rPr>
        <w:t>Polysciasscutellaria</w:t>
      </w:r>
      <w:proofErr w:type="spellEnd"/>
      <w:r w:rsidRPr="00050742">
        <w:rPr>
          <w:rFonts w:ascii="Arial" w:hAnsi="Arial" w:cs="Arial"/>
          <w:color w:val="222222"/>
          <w:sz w:val="24"/>
          <w:szCs w:val="24"/>
          <w:shd w:val="clear" w:color="auto" w:fill="FFFFFF"/>
        </w:rPr>
        <w:t xml:space="preserve"> Leaf Extract: An In-vitro Analysis. </w:t>
      </w:r>
      <w:r w:rsidRPr="00050742">
        <w:rPr>
          <w:rFonts w:ascii="Arial" w:hAnsi="Arial" w:cs="Arial"/>
          <w:iCs/>
          <w:color w:val="222222"/>
          <w:sz w:val="24"/>
          <w:szCs w:val="24"/>
          <w:shd w:val="clear" w:color="auto" w:fill="FFFFFF"/>
        </w:rPr>
        <w:t>Asian Journal of Research in Biochemistry</w:t>
      </w:r>
      <w:r w:rsidRPr="00050742">
        <w:rPr>
          <w:rFonts w:ascii="Arial" w:hAnsi="Arial" w:cs="Arial"/>
          <w:color w:val="222222"/>
          <w:sz w:val="24"/>
          <w:szCs w:val="24"/>
          <w:shd w:val="clear" w:color="auto" w:fill="FFFFFF"/>
        </w:rPr>
        <w:t>, </w:t>
      </w:r>
      <w:r w:rsidRPr="00050742">
        <w:rPr>
          <w:rFonts w:ascii="Arial" w:hAnsi="Arial" w:cs="Arial"/>
          <w:iCs/>
          <w:color w:val="222222"/>
          <w:sz w:val="24"/>
          <w:szCs w:val="24"/>
          <w:shd w:val="clear" w:color="auto" w:fill="FFFFFF"/>
        </w:rPr>
        <w:t>14</w:t>
      </w:r>
      <w:r w:rsidRPr="00050742">
        <w:rPr>
          <w:rFonts w:ascii="Arial" w:hAnsi="Arial" w:cs="Arial"/>
          <w:color w:val="222222"/>
          <w:sz w:val="24"/>
          <w:szCs w:val="24"/>
          <w:shd w:val="clear" w:color="auto" w:fill="FFFFFF"/>
        </w:rPr>
        <w:t xml:space="preserve">(1), 19-29. </w:t>
      </w:r>
      <w:r w:rsidRPr="00050742">
        <w:rPr>
          <w:rFonts w:ascii="Arial" w:hAnsi="Arial" w:cs="Arial"/>
          <w:sz w:val="24"/>
          <w:szCs w:val="24"/>
        </w:rPr>
        <w:t>https://doi.org/10.9734/AJRB/2024/v14i1274</w:t>
      </w:r>
    </w:p>
    <w:p w14:paraId="0F4AF4E3" w14:textId="77777777" w:rsidR="00050742" w:rsidRPr="006F3748" w:rsidRDefault="00050742" w:rsidP="00033F05">
      <w:pPr>
        <w:pStyle w:val="ListParagraph"/>
        <w:widowControl w:val="0"/>
        <w:numPr>
          <w:ilvl w:val="0"/>
          <w:numId w:val="1"/>
        </w:numPr>
        <w:autoSpaceDE w:val="0"/>
        <w:autoSpaceDN w:val="0"/>
        <w:adjustRightInd w:val="0"/>
        <w:spacing w:line="240" w:lineRule="auto"/>
        <w:jc w:val="both"/>
        <w:rPr>
          <w:rFonts w:ascii="Arial" w:hAnsi="Arial" w:cs="Arial"/>
          <w:noProof/>
          <w:sz w:val="24"/>
          <w:szCs w:val="24"/>
        </w:rPr>
      </w:pPr>
      <w:r w:rsidRPr="006F3748">
        <w:rPr>
          <w:rFonts w:ascii="Arial" w:hAnsi="Arial" w:cs="Arial"/>
          <w:noProof/>
          <w:sz w:val="24"/>
          <w:szCs w:val="24"/>
        </w:rPr>
        <w:t xml:space="preserve">Bhuiyan, M. A., Shomudro, H. K., &amp; Chowdhury, S. A. (2023). In-vitro Pharmacological Investigation of Ludwigia adscendens. </w:t>
      </w:r>
      <w:r w:rsidRPr="006F3748">
        <w:rPr>
          <w:rFonts w:ascii="Arial" w:hAnsi="Arial" w:cs="Arial"/>
          <w:i/>
          <w:iCs/>
          <w:noProof/>
          <w:sz w:val="24"/>
          <w:szCs w:val="24"/>
        </w:rPr>
        <w:t>Asian Plant Research Journal</w:t>
      </w:r>
      <w:r w:rsidRPr="006F3748">
        <w:rPr>
          <w:rFonts w:ascii="Arial" w:hAnsi="Arial" w:cs="Arial"/>
          <w:noProof/>
          <w:sz w:val="24"/>
          <w:szCs w:val="24"/>
        </w:rPr>
        <w:t xml:space="preserve">, </w:t>
      </w:r>
      <w:r w:rsidRPr="006F3748">
        <w:rPr>
          <w:rFonts w:ascii="Arial" w:hAnsi="Arial" w:cs="Arial"/>
          <w:i/>
          <w:iCs/>
          <w:noProof/>
          <w:sz w:val="24"/>
          <w:szCs w:val="24"/>
        </w:rPr>
        <w:t>11</w:t>
      </w:r>
      <w:r w:rsidRPr="006F3748">
        <w:rPr>
          <w:rFonts w:ascii="Arial" w:hAnsi="Arial" w:cs="Arial"/>
          <w:noProof/>
          <w:sz w:val="24"/>
          <w:szCs w:val="24"/>
        </w:rPr>
        <w:t>(6), 44–55. https://doi.org/10.9734/aprj/2023/v11i6229</w:t>
      </w:r>
    </w:p>
    <w:p w14:paraId="49A16289" w14:textId="77777777" w:rsidR="00050742" w:rsidRPr="006F3748" w:rsidRDefault="00050742" w:rsidP="00033F05">
      <w:pPr>
        <w:pStyle w:val="ListParagraph"/>
        <w:widowControl w:val="0"/>
        <w:numPr>
          <w:ilvl w:val="0"/>
          <w:numId w:val="1"/>
        </w:numPr>
        <w:autoSpaceDE w:val="0"/>
        <w:autoSpaceDN w:val="0"/>
        <w:adjustRightInd w:val="0"/>
        <w:spacing w:line="240" w:lineRule="auto"/>
        <w:jc w:val="both"/>
        <w:rPr>
          <w:rFonts w:ascii="Arial" w:hAnsi="Arial" w:cs="Arial"/>
          <w:noProof/>
          <w:sz w:val="24"/>
          <w:szCs w:val="24"/>
        </w:rPr>
      </w:pPr>
      <w:r w:rsidRPr="006F3748">
        <w:rPr>
          <w:rFonts w:ascii="Arial" w:hAnsi="Arial" w:cs="Arial"/>
          <w:noProof/>
          <w:sz w:val="24"/>
          <w:szCs w:val="24"/>
        </w:rPr>
        <w:t xml:space="preserve">Bravo-Hernández, M., Cervantes-Durán, C., Pineda-Farias, J. B., Barragán-Iglesias, P., López-Sánchez, P., &amp; Granados-Soto, V. (2012). Role of peripheral and spinal 5-HT 3 receptors in development and maintenance of formalin-induced long-term secondary allodynia and hyperalgesia. </w:t>
      </w:r>
      <w:r w:rsidRPr="006F3748">
        <w:rPr>
          <w:rFonts w:ascii="Arial" w:hAnsi="Arial" w:cs="Arial"/>
          <w:i/>
          <w:iCs/>
          <w:noProof/>
          <w:sz w:val="24"/>
          <w:szCs w:val="24"/>
        </w:rPr>
        <w:t>Pharmacology Biochemistry and Behavior</w:t>
      </w:r>
      <w:r w:rsidRPr="006F3748">
        <w:rPr>
          <w:rFonts w:ascii="Arial" w:hAnsi="Arial" w:cs="Arial"/>
          <w:noProof/>
          <w:sz w:val="24"/>
          <w:szCs w:val="24"/>
        </w:rPr>
        <w:t xml:space="preserve">, </w:t>
      </w:r>
      <w:r w:rsidRPr="006F3748">
        <w:rPr>
          <w:rFonts w:ascii="Arial" w:hAnsi="Arial" w:cs="Arial"/>
          <w:i/>
          <w:iCs/>
          <w:noProof/>
          <w:sz w:val="24"/>
          <w:szCs w:val="24"/>
        </w:rPr>
        <w:t>101</w:t>
      </w:r>
      <w:r w:rsidRPr="006F3748">
        <w:rPr>
          <w:rFonts w:ascii="Arial" w:hAnsi="Arial" w:cs="Arial"/>
          <w:noProof/>
          <w:sz w:val="24"/>
          <w:szCs w:val="24"/>
        </w:rPr>
        <w:t>(2), 246–257. https://doi.org/10.1016/j.pbb.2012.01.013</w:t>
      </w:r>
    </w:p>
    <w:p w14:paraId="4F4DF2D7" w14:textId="77777777" w:rsidR="00050742" w:rsidRPr="006F3748" w:rsidRDefault="00050742" w:rsidP="00033F05">
      <w:pPr>
        <w:pStyle w:val="ListParagraph"/>
        <w:widowControl w:val="0"/>
        <w:numPr>
          <w:ilvl w:val="0"/>
          <w:numId w:val="1"/>
        </w:numPr>
        <w:autoSpaceDE w:val="0"/>
        <w:autoSpaceDN w:val="0"/>
        <w:adjustRightInd w:val="0"/>
        <w:spacing w:line="240" w:lineRule="auto"/>
        <w:jc w:val="both"/>
        <w:rPr>
          <w:rFonts w:ascii="Arial" w:hAnsi="Arial" w:cs="Arial"/>
          <w:noProof/>
          <w:sz w:val="24"/>
          <w:szCs w:val="24"/>
        </w:rPr>
      </w:pPr>
      <w:r w:rsidRPr="006F3748">
        <w:rPr>
          <w:rFonts w:ascii="Arial" w:hAnsi="Arial" w:cs="Arial"/>
          <w:noProof/>
          <w:sz w:val="24"/>
          <w:szCs w:val="24"/>
        </w:rPr>
        <w:t xml:space="preserve">Chowdhury, M., Sultana, L. A., Joya, A. C., &amp; Shomudro, H. K. (2023). Pharmacological Investigation of In-vitro Anti-inflammatory, Antimicrobial, Thrombolytic, Cytotoxic and In vivo Analgesic Activities of Ethanolic Leaf Extract of Diospyros malabarica. </w:t>
      </w:r>
      <w:r w:rsidRPr="006F3748">
        <w:rPr>
          <w:rFonts w:ascii="Arial" w:hAnsi="Arial" w:cs="Arial"/>
          <w:i/>
          <w:iCs/>
          <w:noProof/>
          <w:sz w:val="24"/>
          <w:szCs w:val="24"/>
        </w:rPr>
        <w:t xml:space="preserve">Journal of Advances in Medical and </w:t>
      </w:r>
      <w:r w:rsidRPr="006F3748">
        <w:rPr>
          <w:rFonts w:ascii="Arial" w:hAnsi="Arial" w:cs="Arial"/>
          <w:i/>
          <w:iCs/>
          <w:noProof/>
          <w:sz w:val="24"/>
          <w:szCs w:val="24"/>
        </w:rPr>
        <w:lastRenderedPageBreak/>
        <w:t>Pharmaceutical Sciences</w:t>
      </w:r>
      <w:r w:rsidRPr="006F3748">
        <w:rPr>
          <w:rFonts w:ascii="Arial" w:hAnsi="Arial" w:cs="Arial"/>
          <w:noProof/>
          <w:sz w:val="24"/>
          <w:szCs w:val="24"/>
        </w:rPr>
        <w:t xml:space="preserve">, </w:t>
      </w:r>
      <w:r w:rsidRPr="006F3748">
        <w:rPr>
          <w:rFonts w:ascii="Arial" w:hAnsi="Arial" w:cs="Arial"/>
          <w:i/>
          <w:iCs/>
          <w:noProof/>
          <w:sz w:val="24"/>
          <w:szCs w:val="24"/>
        </w:rPr>
        <w:t>25</w:t>
      </w:r>
      <w:r w:rsidRPr="006F3748">
        <w:rPr>
          <w:rFonts w:ascii="Arial" w:hAnsi="Arial" w:cs="Arial"/>
          <w:noProof/>
          <w:sz w:val="24"/>
          <w:szCs w:val="24"/>
        </w:rPr>
        <w:t>(8), 1–11. https://doi.org/10.9734/jamps/2023/v25i8630</w:t>
      </w:r>
    </w:p>
    <w:p w14:paraId="7C6A1079" w14:textId="77777777" w:rsidR="00050742" w:rsidRDefault="00050742" w:rsidP="00033F05">
      <w:pPr>
        <w:pStyle w:val="ListParagraph"/>
        <w:numPr>
          <w:ilvl w:val="0"/>
          <w:numId w:val="1"/>
        </w:numPr>
        <w:jc w:val="both"/>
        <w:rPr>
          <w:rFonts w:ascii="Arial" w:hAnsi="Arial" w:cs="Arial"/>
          <w:color w:val="222222"/>
          <w:sz w:val="24"/>
          <w:szCs w:val="24"/>
          <w:shd w:val="clear" w:color="auto" w:fill="FFFFFF"/>
        </w:rPr>
      </w:pPr>
      <w:r w:rsidRPr="006F3748">
        <w:rPr>
          <w:rFonts w:ascii="Arial" w:hAnsi="Arial" w:cs="Arial"/>
          <w:color w:val="222222"/>
          <w:sz w:val="24"/>
          <w:szCs w:val="24"/>
          <w:shd w:val="clear" w:color="auto" w:fill="FFFFFF"/>
        </w:rPr>
        <w:t>Greenwell, M., &amp; Rahman, P. K. S. M. (2015). Medicinal plants: their use in anticancer treatment. </w:t>
      </w:r>
      <w:r w:rsidRPr="006F3748">
        <w:rPr>
          <w:rFonts w:ascii="Arial" w:hAnsi="Arial" w:cs="Arial"/>
          <w:i/>
          <w:iCs/>
          <w:color w:val="222222"/>
          <w:sz w:val="24"/>
          <w:szCs w:val="24"/>
          <w:shd w:val="clear" w:color="auto" w:fill="FFFFFF"/>
        </w:rPr>
        <w:t>International journal of pharmaceutical sciences and research</w:t>
      </w:r>
      <w:r w:rsidRPr="006F3748">
        <w:rPr>
          <w:rFonts w:ascii="Arial" w:hAnsi="Arial" w:cs="Arial"/>
          <w:color w:val="222222"/>
          <w:sz w:val="24"/>
          <w:szCs w:val="24"/>
          <w:shd w:val="clear" w:color="auto" w:fill="FFFFFF"/>
        </w:rPr>
        <w:t>, </w:t>
      </w:r>
      <w:r w:rsidRPr="006F3748">
        <w:rPr>
          <w:rFonts w:ascii="Arial" w:hAnsi="Arial" w:cs="Arial"/>
          <w:i/>
          <w:iCs/>
          <w:color w:val="222222"/>
          <w:sz w:val="24"/>
          <w:szCs w:val="24"/>
          <w:shd w:val="clear" w:color="auto" w:fill="FFFFFF"/>
        </w:rPr>
        <w:t>6</w:t>
      </w:r>
      <w:r w:rsidRPr="006F3748">
        <w:rPr>
          <w:rFonts w:ascii="Arial" w:hAnsi="Arial" w:cs="Arial"/>
          <w:color w:val="222222"/>
          <w:sz w:val="24"/>
          <w:szCs w:val="24"/>
          <w:shd w:val="clear" w:color="auto" w:fill="FFFFFF"/>
        </w:rPr>
        <w:t>(10), 4103.</w:t>
      </w:r>
    </w:p>
    <w:p w14:paraId="0C06E127" w14:textId="77777777" w:rsidR="00050742" w:rsidRPr="006F3748" w:rsidRDefault="000A2AAA" w:rsidP="00033F05">
      <w:pPr>
        <w:pStyle w:val="ListParagraph"/>
        <w:jc w:val="both"/>
        <w:rPr>
          <w:rFonts w:ascii="Arial" w:hAnsi="Arial" w:cs="Arial"/>
          <w:color w:val="222222"/>
          <w:sz w:val="24"/>
          <w:szCs w:val="24"/>
          <w:shd w:val="clear" w:color="auto" w:fill="FFFFFF"/>
        </w:rPr>
      </w:pPr>
      <w:hyperlink r:id="rId15" w:history="1">
        <w:r w:rsidR="00050742" w:rsidRPr="009E7378">
          <w:rPr>
            <w:rStyle w:val="Hyperlink"/>
            <w:rFonts w:ascii="Arial" w:hAnsi="Arial" w:cs="Arial"/>
            <w:color w:val="auto"/>
            <w:sz w:val="24"/>
            <w:szCs w:val="24"/>
            <w:u w:val="none"/>
            <w:shd w:val="clear" w:color="auto" w:fill="FFFFFF"/>
          </w:rPr>
          <w:t>https://doi.org/10.13040/IJPSR.0975-8232.6</w:t>
        </w:r>
      </w:hyperlink>
      <w:r w:rsidR="00050742" w:rsidRPr="00665B3A">
        <w:rPr>
          <w:rFonts w:ascii="Arial" w:hAnsi="Arial" w:cs="Arial"/>
          <w:color w:val="222222"/>
          <w:sz w:val="24"/>
          <w:szCs w:val="24"/>
          <w:shd w:val="clear" w:color="auto" w:fill="FFFFFF"/>
        </w:rPr>
        <w:t>(10).4103-12</w:t>
      </w:r>
    </w:p>
    <w:p w14:paraId="7EF85DEB" w14:textId="77777777" w:rsidR="00050742" w:rsidRPr="006F3748" w:rsidRDefault="00050742" w:rsidP="00033F05">
      <w:pPr>
        <w:pStyle w:val="ListParagraph"/>
        <w:numPr>
          <w:ilvl w:val="0"/>
          <w:numId w:val="1"/>
        </w:numPr>
        <w:jc w:val="both"/>
        <w:rPr>
          <w:rFonts w:ascii="Arial" w:hAnsi="Arial" w:cs="Arial"/>
          <w:color w:val="222222"/>
          <w:sz w:val="24"/>
          <w:szCs w:val="24"/>
          <w:shd w:val="clear" w:color="auto" w:fill="FFFFFF"/>
        </w:rPr>
      </w:pPr>
      <w:r w:rsidRPr="006F3748">
        <w:rPr>
          <w:rFonts w:ascii="Arial" w:hAnsi="Arial" w:cs="Arial"/>
          <w:color w:val="222222"/>
          <w:sz w:val="24"/>
          <w:szCs w:val="24"/>
          <w:shd w:val="clear" w:color="auto" w:fill="FFFFFF"/>
        </w:rPr>
        <w:t xml:space="preserve">Jamshidi-Kia, F., </w:t>
      </w:r>
      <w:proofErr w:type="spellStart"/>
      <w:r w:rsidRPr="006F3748">
        <w:rPr>
          <w:rFonts w:ascii="Arial" w:hAnsi="Arial" w:cs="Arial"/>
          <w:color w:val="222222"/>
          <w:sz w:val="24"/>
          <w:szCs w:val="24"/>
          <w:shd w:val="clear" w:color="auto" w:fill="FFFFFF"/>
        </w:rPr>
        <w:t>Lorigooini</w:t>
      </w:r>
      <w:proofErr w:type="spellEnd"/>
      <w:r w:rsidRPr="006F3748">
        <w:rPr>
          <w:rFonts w:ascii="Arial" w:hAnsi="Arial" w:cs="Arial"/>
          <w:color w:val="222222"/>
          <w:sz w:val="24"/>
          <w:szCs w:val="24"/>
          <w:shd w:val="clear" w:color="auto" w:fill="FFFFFF"/>
        </w:rPr>
        <w:t>, Z., &amp;Amini-Khoei, H. (2017). Medicinal plants: Past history and future perspective. </w:t>
      </w:r>
      <w:r w:rsidRPr="006F3748">
        <w:rPr>
          <w:rFonts w:ascii="Arial" w:hAnsi="Arial" w:cs="Arial"/>
          <w:i/>
          <w:iCs/>
          <w:color w:val="222222"/>
          <w:sz w:val="24"/>
          <w:szCs w:val="24"/>
          <w:shd w:val="clear" w:color="auto" w:fill="FFFFFF"/>
        </w:rPr>
        <w:t xml:space="preserve">Journal of </w:t>
      </w:r>
      <w:proofErr w:type="spellStart"/>
      <w:r w:rsidRPr="006F3748">
        <w:rPr>
          <w:rFonts w:ascii="Arial" w:hAnsi="Arial" w:cs="Arial"/>
          <w:i/>
          <w:iCs/>
          <w:color w:val="222222"/>
          <w:sz w:val="24"/>
          <w:szCs w:val="24"/>
          <w:shd w:val="clear" w:color="auto" w:fill="FFFFFF"/>
        </w:rPr>
        <w:t>herbmed</w:t>
      </w:r>
      <w:proofErr w:type="spellEnd"/>
      <w:r w:rsidRPr="006F3748">
        <w:rPr>
          <w:rFonts w:ascii="Arial" w:hAnsi="Arial" w:cs="Arial"/>
          <w:i/>
          <w:iCs/>
          <w:color w:val="222222"/>
          <w:sz w:val="24"/>
          <w:szCs w:val="24"/>
          <w:shd w:val="clear" w:color="auto" w:fill="FFFFFF"/>
        </w:rPr>
        <w:t xml:space="preserve"> pharmacology</w:t>
      </w:r>
      <w:r w:rsidRPr="006F3748">
        <w:rPr>
          <w:rFonts w:ascii="Arial" w:hAnsi="Arial" w:cs="Arial"/>
          <w:color w:val="222222"/>
          <w:sz w:val="24"/>
          <w:szCs w:val="24"/>
          <w:shd w:val="clear" w:color="auto" w:fill="FFFFFF"/>
        </w:rPr>
        <w:t>, </w:t>
      </w:r>
      <w:r w:rsidRPr="006F3748">
        <w:rPr>
          <w:rFonts w:ascii="Arial" w:hAnsi="Arial" w:cs="Arial"/>
          <w:i/>
          <w:iCs/>
          <w:color w:val="222222"/>
          <w:sz w:val="24"/>
          <w:szCs w:val="24"/>
          <w:shd w:val="clear" w:color="auto" w:fill="FFFFFF"/>
        </w:rPr>
        <w:t>7</w:t>
      </w:r>
      <w:r w:rsidRPr="006F3748">
        <w:rPr>
          <w:rFonts w:ascii="Arial" w:hAnsi="Arial" w:cs="Arial"/>
          <w:color w:val="222222"/>
          <w:sz w:val="24"/>
          <w:szCs w:val="24"/>
          <w:shd w:val="clear" w:color="auto" w:fill="FFFFFF"/>
        </w:rPr>
        <w:t xml:space="preserve">(1), 1-7. </w:t>
      </w:r>
      <w:r w:rsidRPr="00665B3A">
        <w:rPr>
          <w:rFonts w:ascii="Arial" w:hAnsi="Arial" w:cs="Arial"/>
          <w:color w:val="222222"/>
          <w:sz w:val="24"/>
          <w:szCs w:val="24"/>
          <w:shd w:val="clear" w:color="auto" w:fill="FFFFFF"/>
        </w:rPr>
        <w:t>https://doi.org/10.15171/jhp.2018.01</w:t>
      </w:r>
    </w:p>
    <w:p w14:paraId="19380EE3" w14:textId="5418C893" w:rsidR="00050742" w:rsidRPr="006F3748" w:rsidRDefault="00050742" w:rsidP="00033F05">
      <w:pPr>
        <w:pStyle w:val="ListParagraph"/>
        <w:numPr>
          <w:ilvl w:val="0"/>
          <w:numId w:val="1"/>
        </w:numPr>
        <w:jc w:val="both"/>
        <w:rPr>
          <w:rFonts w:ascii="Arial" w:hAnsi="Arial" w:cs="Arial"/>
          <w:color w:val="222222"/>
          <w:sz w:val="24"/>
          <w:szCs w:val="24"/>
          <w:shd w:val="clear" w:color="auto" w:fill="FFFFFF"/>
        </w:rPr>
      </w:pPr>
      <w:r w:rsidRPr="006F3748">
        <w:rPr>
          <w:rFonts w:ascii="Arial" w:hAnsi="Arial" w:cs="Arial"/>
          <w:color w:val="222222"/>
          <w:sz w:val="24"/>
          <w:szCs w:val="24"/>
          <w:shd w:val="clear" w:color="auto" w:fill="FFFFFF"/>
        </w:rPr>
        <w:t xml:space="preserve">Kaur, H. (2019). </w:t>
      </w:r>
      <w:proofErr w:type="spellStart"/>
      <w:r w:rsidRPr="00C04809">
        <w:rPr>
          <w:rFonts w:ascii="Arial" w:hAnsi="Arial" w:cs="Arial"/>
          <w:i/>
          <w:color w:val="222222"/>
          <w:sz w:val="24"/>
          <w:szCs w:val="24"/>
          <w:shd w:val="clear" w:color="auto" w:fill="FFFFFF"/>
        </w:rPr>
        <w:t>Boerhaavia</w:t>
      </w:r>
      <w:proofErr w:type="spellEnd"/>
      <w:r w:rsidR="00AB56EE">
        <w:rPr>
          <w:rFonts w:ascii="Arial" w:hAnsi="Arial" w:cs="Arial"/>
          <w:i/>
          <w:color w:val="222222"/>
          <w:sz w:val="24"/>
          <w:szCs w:val="24"/>
          <w:shd w:val="clear" w:color="auto" w:fill="FFFFFF"/>
        </w:rPr>
        <w:t xml:space="preserve"> </w:t>
      </w:r>
      <w:proofErr w:type="spellStart"/>
      <w:r w:rsidRPr="00C04809">
        <w:rPr>
          <w:rFonts w:ascii="Arial" w:hAnsi="Arial" w:cs="Arial"/>
          <w:i/>
          <w:color w:val="222222"/>
          <w:sz w:val="24"/>
          <w:szCs w:val="24"/>
          <w:shd w:val="clear" w:color="auto" w:fill="FFFFFF"/>
        </w:rPr>
        <w:t>diffusa</w:t>
      </w:r>
      <w:proofErr w:type="spellEnd"/>
      <w:r w:rsidRPr="006F3748">
        <w:rPr>
          <w:rFonts w:ascii="Arial" w:hAnsi="Arial" w:cs="Arial"/>
          <w:color w:val="222222"/>
          <w:sz w:val="24"/>
          <w:szCs w:val="24"/>
          <w:shd w:val="clear" w:color="auto" w:fill="FFFFFF"/>
        </w:rPr>
        <w:t>: bioactive compounds and pharmacological activities. </w:t>
      </w:r>
      <w:r w:rsidRPr="006F3748">
        <w:rPr>
          <w:rFonts w:ascii="Arial" w:hAnsi="Arial" w:cs="Arial"/>
          <w:i/>
          <w:iCs/>
          <w:color w:val="222222"/>
          <w:sz w:val="24"/>
          <w:szCs w:val="24"/>
          <w:shd w:val="clear" w:color="auto" w:fill="FFFFFF"/>
        </w:rPr>
        <w:t>Biomedical and Pharmacology Journal</w:t>
      </w:r>
      <w:r w:rsidRPr="006F3748">
        <w:rPr>
          <w:rFonts w:ascii="Arial" w:hAnsi="Arial" w:cs="Arial"/>
          <w:color w:val="222222"/>
          <w:sz w:val="24"/>
          <w:szCs w:val="24"/>
          <w:shd w:val="clear" w:color="auto" w:fill="FFFFFF"/>
        </w:rPr>
        <w:t>, </w:t>
      </w:r>
      <w:r w:rsidRPr="006F3748">
        <w:rPr>
          <w:rFonts w:ascii="Arial" w:hAnsi="Arial" w:cs="Arial"/>
          <w:i/>
          <w:iCs/>
          <w:color w:val="222222"/>
          <w:sz w:val="24"/>
          <w:szCs w:val="24"/>
          <w:shd w:val="clear" w:color="auto" w:fill="FFFFFF"/>
        </w:rPr>
        <w:t>12</w:t>
      </w:r>
      <w:r w:rsidRPr="006F3748">
        <w:rPr>
          <w:rFonts w:ascii="Arial" w:hAnsi="Arial" w:cs="Arial"/>
          <w:color w:val="222222"/>
          <w:sz w:val="24"/>
          <w:szCs w:val="24"/>
          <w:shd w:val="clear" w:color="auto" w:fill="FFFFFF"/>
        </w:rPr>
        <w:t>(4), 1675-1682.</w:t>
      </w:r>
      <w:r w:rsidRPr="00665B3A">
        <w:rPr>
          <w:rFonts w:ascii="Arial" w:hAnsi="Arial" w:cs="Arial"/>
          <w:color w:val="222222"/>
          <w:sz w:val="24"/>
          <w:szCs w:val="24"/>
          <w:shd w:val="clear" w:color="auto" w:fill="FFFFFF"/>
        </w:rPr>
        <w:t>https://dx.doi.org/10.13005/</w:t>
      </w:r>
      <w:proofErr w:type="spellStart"/>
      <w:r w:rsidRPr="00665B3A">
        <w:rPr>
          <w:rFonts w:ascii="Arial" w:hAnsi="Arial" w:cs="Arial"/>
          <w:color w:val="222222"/>
          <w:sz w:val="24"/>
          <w:szCs w:val="24"/>
          <w:shd w:val="clear" w:color="auto" w:fill="FFFFFF"/>
        </w:rPr>
        <w:t>bpj</w:t>
      </w:r>
      <w:proofErr w:type="spellEnd"/>
      <w:r w:rsidRPr="00665B3A">
        <w:rPr>
          <w:rFonts w:ascii="Arial" w:hAnsi="Arial" w:cs="Arial"/>
          <w:color w:val="222222"/>
          <w:sz w:val="24"/>
          <w:szCs w:val="24"/>
          <w:shd w:val="clear" w:color="auto" w:fill="FFFFFF"/>
        </w:rPr>
        <w:t>/1797</w:t>
      </w:r>
    </w:p>
    <w:p w14:paraId="169FE087" w14:textId="77777777" w:rsidR="00050742" w:rsidRPr="006F3748" w:rsidRDefault="00050742" w:rsidP="00033F05">
      <w:pPr>
        <w:pStyle w:val="ListParagraph"/>
        <w:widowControl w:val="0"/>
        <w:numPr>
          <w:ilvl w:val="0"/>
          <w:numId w:val="1"/>
        </w:numPr>
        <w:autoSpaceDE w:val="0"/>
        <w:autoSpaceDN w:val="0"/>
        <w:adjustRightInd w:val="0"/>
        <w:spacing w:line="240" w:lineRule="auto"/>
        <w:jc w:val="both"/>
        <w:rPr>
          <w:rFonts w:ascii="Arial" w:hAnsi="Arial" w:cs="Arial"/>
          <w:noProof/>
          <w:sz w:val="24"/>
          <w:szCs w:val="24"/>
        </w:rPr>
      </w:pPr>
      <w:r w:rsidRPr="006F3748">
        <w:rPr>
          <w:rFonts w:ascii="Arial" w:hAnsi="Arial" w:cs="Arial"/>
          <w:noProof/>
          <w:sz w:val="24"/>
          <w:szCs w:val="24"/>
        </w:rPr>
        <w:t xml:space="preserve">Kumari, M., Sharma, P., &amp; Sharma, N. (2023). Evaluation of anti-anxiety effects of the hydromethanolic extract of </w:t>
      </w:r>
      <w:r w:rsidRPr="00C04809">
        <w:rPr>
          <w:rFonts w:ascii="Arial" w:hAnsi="Arial" w:cs="Arial"/>
          <w:i/>
          <w:noProof/>
          <w:sz w:val="24"/>
          <w:szCs w:val="24"/>
        </w:rPr>
        <w:t>Boerhaavia diffusa</w:t>
      </w:r>
      <w:r w:rsidRPr="006F3748">
        <w:rPr>
          <w:rFonts w:ascii="Arial" w:hAnsi="Arial" w:cs="Arial"/>
          <w:noProof/>
          <w:sz w:val="24"/>
          <w:szCs w:val="24"/>
        </w:rPr>
        <w:t xml:space="preserve"> L. roots in mice exposed to unpredictable chronic mild stress. </w:t>
      </w:r>
      <w:r w:rsidRPr="006F3748">
        <w:rPr>
          <w:rFonts w:ascii="Arial" w:hAnsi="Arial" w:cs="Arial"/>
          <w:i/>
          <w:iCs/>
          <w:noProof/>
          <w:sz w:val="24"/>
          <w:szCs w:val="24"/>
        </w:rPr>
        <w:t>Indian Journal of Natural Products and Resources</w:t>
      </w:r>
      <w:r w:rsidRPr="006F3748">
        <w:rPr>
          <w:rFonts w:ascii="Arial" w:hAnsi="Arial" w:cs="Arial"/>
          <w:noProof/>
          <w:sz w:val="24"/>
          <w:szCs w:val="24"/>
        </w:rPr>
        <w:t xml:space="preserve">, </w:t>
      </w:r>
      <w:r w:rsidRPr="006F3748">
        <w:rPr>
          <w:rFonts w:ascii="Arial" w:hAnsi="Arial" w:cs="Arial"/>
          <w:i/>
          <w:iCs/>
          <w:noProof/>
          <w:sz w:val="24"/>
          <w:szCs w:val="24"/>
        </w:rPr>
        <w:t>14</w:t>
      </w:r>
      <w:r w:rsidRPr="006F3748">
        <w:rPr>
          <w:rFonts w:ascii="Arial" w:hAnsi="Arial" w:cs="Arial"/>
          <w:noProof/>
          <w:sz w:val="24"/>
          <w:szCs w:val="24"/>
        </w:rPr>
        <w:t>(2), 249–254. https://doi.org/10.56042/ijnpr.v14i2.4209</w:t>
      </w:r>
    </w:p>
    <w:p w14:paraId="0E754827" w14:textId="77777777" w:rsidR="00050742" w:rsidRPr="006F3748" w:rsidRDefault="00050742" w:rsidP="00033F05">
      <w:pPr>
        <w:pStyle w:val="ListParagraph"/>
        <w:numPr>
          <w:ilvl w:val="0"/>
          <w:numId w:val="1"/>
        </w:numPr>
        <w:jc w:val="both"/>
        <w:rPr>
          <w:rFonts w:ascii="Arial" w:hAnsi="Arial" w:cs="Arial"/>
          <w:color w:val="222222"/>
          <w:sz w:val="24"/>
          <w:szCs w:val="24"/>
          <w:shd w:val="clear" w:color="auto" w:fill="FFFFFF"/>
        </w:rPr>
      </w:pPr>
      <w:r w:rsidRPr="006F3748">
        <w:rPr>
          <w:rFonts w:ascii="Arial" w:hAnsi="Arial" w:cs="Arial"/>
          <w:color w:val="222222"/>
          <w:sz w:val="24"/>
          <w:szCs w:val="24"/>
          <w:shd w:val="clear" w:color="auto" w:fill="FFFFFF"/>
        </w:rPr>
        <w:t>Lende, A. B., Kshirsagar, A. D., Deshpande, A. D., Muley, M. M., Patil, R. R., Bafna, P. A., &amp; Naik, S. R. (2011). Anti-inflammatory and analgesic activity of protocatechuic acid in rats and mice. </w:t>
      </w:r>
      <w:proofErr w:type="spellStart"/>
      <w:r w:rsidRPr="006F3748">
        <w:rPr>
          <w:rFonts w:ascii="Arial" w:hAnsi="Arial" w:cs="Arial"/>
          <w:i/>
          <w:iCs/>
          <w:color w:val="222222"/>
          <w:sz w:val="24"/>
          <w:szCs w:val="24"/>
          <w:shd w:val="clear" w:color="auto" w:fill="FFFFFF"/>
        </w:rPr>
        <w:t>Inflammopharmacology</w:t>
      </w:r>
      <w:proofErr w:type="spellEnd"/>
      <w:r w:rsidRPr="006F3748">
        <w:rPr>
          <w:rFonts w:ascii="Arial" w:hAnsi="Arial" w:cs="Arial"/>
          <w:color w:val="222222"/>
          <w:sz w:val="24"/>
          <w:szCs w:val="24"/>
          <w:shd w:val="clear" w:color="auto" w:fill="FFFFFF"/>
        </w:rPr>
        <w:t>, </w:t>
      </w:r>
      <w:r w:rsidRPr="006F3748">
        <w:rPr>
          <w:rFonts w:ascii="Arial" w:hAnsi="Arial" w:cs="Arial"/>
          <w:i/>
          <w:iCs/>
          <w:color w:val="222222"/>
          <w:sz w:val="24"/>
          <w:szCs w:val="24"/>
          <w:shd w:val="clear" w:color="auto" w:fill="FFFFFF"/>
        </w:rPr>
        <w:t>19</w:t>
      </w:r>
      <w:r w:rsidRPr="006F3748">
        <w:rPr>
          <w:rFonts w:ascii="Arial" w:hAnsi="Arial" w:cs="Arial"/>
          <w:color w:val="222222"/>
          <w:sz w:val="24"/>
          <w:szCs w:val="24"/>
          <w:shd w:val="clear" w:color="auto" w:fill="FFFFFF"/>
        </w:rPr>
        <w:t>(5), 255-263.</w:t>
      </w:r>
      <w:r w:rsidRPr="00422D0E">
        <w:rPr>
          <w:rFonts w:ascii="Arial" w:hAnsi="Arial" w:cs="Arial"/>
          <w:color w:val="222222"/>
          <w:sz w:val="24"/>
          <w:szCs w:val="24"/>
          <w:shd w:val="clear" w:color="auto" w:fill="FFFFFF"/>
        </w:rPr>
        <w:t>https://doi.org/10.1007/s10787-011-0086-4</w:t>
      </w:r>
    </w:p>
    <w:p w14:paraId="445DC0FB" w14:textId="77777777" w:rsidR="00050742" w:rsidRPr="006F3748" w:rsidRDefault="00050742" w:rsidP="00033F05">
      <w:pPr>
        <w:pStyle w:val="ListParagraph"/>
        <w:widowControl w:val="0"/>
        <w:numPr>
          <w:ilvl w:val="0"/>
          <w:numId w:val="1"/>
        </w:numPr>
        <w:autoSpaceDE w:val="0"/>
        <w:autoSpaceDN w:val="0"/>
        <w:adjustRightInd w:val="0"/>
        <w:spacing w:line="240" w:lineRule="auto"/>
        <w:jc w:val="both"/>
        <w:rPr>
          <w:rFonts w:ascii="Arial" w:hAnsi="Arial" w:cs="Arial"/>
          <w:noProof/>
          <w:sz w:val="24"/>
          <w:szCs w:val="24"/>
        </w:rPr>
      </w:pPr>
      <w:r w:rsidRPr="006F3748">
        <w:rPr>
          <w:rFonts w:ascii="Arial" w:hAnsi="Arial" w:cs="Arial"/>
          <w:noProof/>
          <w:sz w:val="24"/>
          <w:szCs w:val="24"/>
        </w:rPr>
        <w:t>Mahesh, A., Kumar, H., Mk, R., &amp; Devkar, R. A. (201</w:t>
      </w:r>
      <w:r w:rsidR="00C04809">
        <w:rPr>
          <w:rFonts w:ascii="Arial" w:hAnsi="Arial" w:cs="Arial"/>
          <w:noProof/>
          <w:sz w:val="24"/>
          <w:szCs w:val="24"/>
        </w:rPr>
        <w:t xml:space="preserve">2). Detail Study on </w:t>
      </w:r>
      <w:r w:rsidR="00C04809" w:rsidRPr="00C04809">
        <w:rPr>
          <w:rFonts w:ascii="Arial" w:hAnsi="Arial" w:cs="Arial"/>
          <w:i/>
          <w:noProof/>
          <w:sz w:val="24"/>
          <w:szCs w:val="24"/>
        </w:rPr>
        <w:t>Boerhaavia d</w:t>
      </w:r>
      <w:r w:rsidRPr="00C04809">
        <w:rPr>
          <w:rFonts w:ascii="Arial" w:hAnsi="Arial" w:cs="Arial"/>
          <w:i/>
          <w:noProof/>
          <w:sz w:val="24"/>
          <w:szCs w:val="24"/>
        </w:rPr>
        <w:t>iffusa</w:t>
      </w:r>
      <w:r w:rsidRPr="006F3748">
        <w:rPr>
          <w:rFonts w:ascii="Arial" w:hAnsi="Arial" w:cs="Arial"/>
          <w:noProof/>
          <w:sz w:val="24"/>
          <w:szCs w:val="24"/>
        </w:rPr>
        <w:t xml:space="preserve"> Plant for its Medicinal Importance-A Review. </w:t>
      </w:r>
      <w:r w:rsidRPr="006F3748">
        <w:rPr>
          <w:rFonts w:ascii="Arial" w:hAnsi="Arial" w:cs="Arial"/>
          <w:i/>
          <w:iCs/>
          <w:noProof/>
          <w:sz w:val="24"/>
          <w:szCs w:val="24"/>
        </w:rPr>
        <w:t>Research Journal of Pharmaceutical Sciences. Res. J. Pharmaceutical Sci</w:t>
      </w:r>
      <w:r w:rsidRPr="006F3748">
        <w:rPr>
          <w:rFonts w:ascii="Arial" w:hAnsi="Arial" w:cs="Arial"/>
          <w:noProof/>
          <w:sz w:val="24"/>
          <w:szCs w:val="24"/>
        </w:rPr>
        <w:t xml:space="preserve">, </w:t>
      </w:r>
      <w:r w:rsidRPr="006F3748">
        <w:rPr>
          <w:rFonts w:ascii="Arial" w:hAnsi="Arial" w:cs="Arial"/>
          <w:i/>
          <w:iCs/>
          <w:noProof/>
          <w:sz w:val="24"/>
          <w:szCs w:val="24"/>
        </w:rPr>
        <w:t>1</w:t>
      </w:r>
      <w:r w:rsidRPr="006F3748">
        <w:rPr>
          <w:rFonts w:ascii="Arial" w:hAnsi="Arial" w:cs="Arial"/>
          <w:noProof/>
          <w:sz w:val="24"/>
          <w:szCs w:val="24"/>
        </w:rPr>
        <w:t>(1), 28–36.</w:t>
      </w:r>
    </w:p>
    <w:p w14:paraId="5BC13B98" w14:textId="77777777" w:rsidR="00050742" w:rsidRPr="006F3748" w:rsidRDefault="00050742" w:rsidP="00033F05">
      <w:pPr>
        <w:pStyle w:val="ListParagraph"/>
        <w:numPr>
          <w:ilvl w:val="0"/>
          <w:numId w:val="1"/>
        </w:numPr>
        <w:jc w:val="both"/>
        <w:rPr>
          <w:rFonts w:ascii="Arial" w:hAnsi="Arial" w:cs="Arial"/>
          <w:color w:val="222222"/>
          <w:sz w:val="24"/>
          <w:szCs w:val="24"/>
          <w:shd w:val="clear" w:color="auto" w:fill="FFFFFF"/>
        </w:rPr>
      </w:pPr>
      <w:r w:rsidRPr="006F3748">
        <w:rPr>
          <w:rFonts w:ascii="Arial" w:hAnsi="Arial" w:cs="Arial"/>
          <w:color w:val="222222"/>
          <w:sz w:val="24"/>
          <w:szCs w:val="24"/>
          <w:shd w:val="clear" w:color="auto" w:fill="FFFFFF"/>
        </w:rPr>
        <w:t>Mamun-or-Rashid, A. N. M., Hossain, M. S., Hassan, N., Dash, B. K., Sapon, M. A., &amp; Sen, M. K. (2014). A review on medicinal plants with antidiabetic activity. </w:t>
      </w:r>
      <w:r w:rsidRPr="006F3748">
        <w:rPr>
          <w:rFonts w:ascii="Arial" w:hAnsi="Arial" w:cs="Arial"/>
          <w:i/>
          <w:iCs/>
          <w:color w:val="222222"/>
          <w:sz w:val="24"/>
          <w:szCs w:val="24"/>
          <w:shd w:val="clear" w:color="auto" w:fill="FFFFFF"/>
        </w:rPr>
        <w:t>Journal of Pharmacognosy and Phytochemistry</w:t>
      </w:r>
      <w:r w:rsidRPr="006F3748">
        <w:rPr>
          <w:rFonts w:ascii="Arial" w:hAnsi="Arial" w:cs="Arial"/>
          <w:color w:val="222222"/>
          <w:sz w:val="24"/>
          <w:szCs w:val="24"/>
          <w:shd w:val="clear" w:color="auto" w:fill="FFFFFF"/>
        </w:rPr>
        <w:t>, </w:t>
      </w:r>
      <w:r w:rsidRPr="006F3748">
        <w:rPr>
          <w:rFonts w:ascii="Arial" w:hAnsi="Arial" w:cs="Arial"/>
          <w:i/>
          <w:iCs/>
          <w:color w:val="222222"/>
          <w:sz w:val="24"/>
          <w:szCs w:val="24"/>
          <w:shd w:val="clear" w:color="auto" w:fill="FFFFFF"/>
        </w:rPr>
        <w:t>3</w:t>
      </w:r>
      <w:r w:rsidRPr="006F3748">
        <w:rPr>
          <w:rFonts w:ascii="Arial" w:hAnsi="Arial" w:cs="Arial"/>
          <w:color w:val="222222"/>
          <w:sz w:val="24"/>
          <w:szCs w:val="24"/>
          <w:shd w:val="clear" w:color="auto" w:fill="FFFFFF"/>
        </w:rPr>
        <w:t>(4), 149-159.</w:t>
      </w:r>
    </w:p>
    <w:p w14:paraId="1F180AF7" w14:textId="77777777" w:rsidR="00050742" w:rsidRPr="006F3748" w:rsidRDefault="00050742" w:rsidP="00033F05">
      <w:pPr>
        <w:pStyle w:val="ListParagraph"/>
        <w:numPr>
          <w:ilvl w:val="0"/>
          <w:numId w:val="1"/>
        </w:numPr>
        <w:jc w:val="both"/>
        <w:rPr>
          <w:rFonts w:ascii="Arial" w:hAnsi="Arial" w:cs="Arial"/>
          <w:color w:val="222222"/>
          <w:sz w:val="24"/>
          <w:szCs w:val="24"/>
          <w:shd w:val="clear" w:color="auto" w:fill="FFFFFF"/>
        </w:rPr>
      </w:pPr>
      <w:proofErr w:type="spellStart"/>
      <w:r w:rsidRPr="006F3748">
        <w:rPr>
          <w:rFonts w:ascii="Arial" w:hAnsi="Arial" w:cs="Arial"/>
          <w:color w:val="222222"/>
          <w:sz w:val="24"/>
          <w:szCs w:val="24"/>
          <w:shd w:val="clear" w:color="auto" w:fill="FFFFFF"/>
        </w:rPr>
        <w:t>Mgbeahuruike</w:t>
      </w:r>
      <w:proofErr w:type="spellEnd"/>
      <w:r w:rsidRPr="006F3748">
        <w:rPr>
          <w:rFonts w:ascii="Arial" w:hAnsi="Arial" w:cs="Arial"/>
          <w:color w:val="222222"/>
          <w:sz w:val="24"/>
          <w:szCs w:val="24"/>
          <w:shd w:val="clear" w:color="auto" w:fill="FFFFFF"/>
        </w:rPr>
        <w:t xml:space="preserve">, E. E., </w:t>
      </w:r>
      <w:proofErr w:type="spellStart"/>
      <w:r w:rsidRPr="006F3748">
        <w:rPr>
          <w:rFonts w:ascii="Arial" w:hAnsi="Arial" w:cs="Arial"/>
          <w:color w:val="222222"/>
          <w:sz w:val="24"/>
          <w:szCs w:val="24"/>
          <w:shd w:val="clear" w:color="auto" w:fill="FFFFFF"/>
        </w:rPr>
        <w:t>Yrjönen</w:t>
      </w:r>
      <w:proofErr w:type="spellEnd"/>
      <w:r w:rsidRPr="006F3748">
        <w:rPr>
          <w:rFonts w:ascii="Arial" w:hAnsi="Arial" w:cs="Arial"/>
          <w:color w:val="222222"/>
          <w:sz w:val="24"/>
          <w:szCs w:val="24"/>
          <w:shd w:val="clear" w:color="auto" w:fill="FFFFFF"/>
        </w:rPr>
        <w:t>, T., Vuorela, H., &amp; Holm, Y. (2017). Bioactive compounds from medicinal plants: Focus on Piper species. </w:t>
      </w:r>
      <w:r w:rsidRPr="006F3748">
        <w:rPr>
          <w:rFonts w:ascii="Arial" w:hAnsi="Arial" w:cs="Arial"/>
          <w:i/>
          <w:iCs/>
          <w:color w:val="222222"/>
          <w:sz w:val="24"/>
          <w:szCs w:val="24"/>
          <w:shd w:val="clear" w:color="auto" w:fill="FFFFFF"/>
        </w:rPr>
        <w:t>South African Journal of Botany</w:t>
      </w:r>
      <w:r w:rsidRPr="006F3748">
        <w:rPr>
          <w:rFonts w:ascii="Arial" w:hAnsi="Arial" w:cs="Arial"/>
          <w:color w:val="222222"/>
          <w:sz w:val="24"/>
          <w:szCs w:val="24"/>
          <w:shd w:val="clear" w:color="auto" w:fill="FFFFFF"/>
        </w:rPr>
        <w:t>, </w:t>
      </w:r>
      <w:r w:rsidRPr="006F3748">
        <w:rPr>
          <w:rFonts w:ascii="Arial" w:hAnsi="Arial" w:cs="Arial"/>
          <w:i/>
          <w:iCs/>
          <w:color w:val="222222"/>
          <w:sz w:val="24"/>
          <w:szCs w:val="24"/>
          <w:shd w:val="clear" w:color="auto" w:fill="FFFFFF"/>
        </w:rPr>
        <w:t>112</w:t>
      </w:r>
      <w:r w:rsidRPr="006F3748">
        <w:rPr>
          <w:rFonts w:ascii="Arial" w:hAnsi="Arial" w:cs="Arial"/>
          <w:color w:val="222222"/>
          <w:sz w:val="24"/>
          <w:szCs w:val="24"/>
          <w:shd w:val="clear" w:color="auto" w:fill="FFFFFF"/>
        </w:rPr>
        <w:t>, 54-</w:t>
      </w:r>
      <w:proofErr w:type="gramStart"/>
      <w:r w:rsidRPr="006F3748">
        <w:rPr>
          <w:rFonts w:ascii="Arial" w:hAnsi="Arial" w:cs="Arial"/>
          <w:color w:val="222222"/>
          <w:sz w:val="24"/>
          <w:szCs w:val="24"/>
          <w:shd w:val="clear" w:color="auto" w:fill="FFFFFF"/>
        </w:rPr>
        <w:t>69.</w:t>
      </w:r>
      <w:r w:rsidRPr="00665B3A">
        <w:rPr>
          <w:rFonts w:ascii="Arial" w:hAnsi="Arial" w:cs="Arial"/>
          <w:color w:val="222222"/>
          <w:sz w:val="24"/>
          <w:szCs w:val="24"/>
          <w:shd w:val="clear" w:color="auto" w:fill="FFFFFF"/>
        </w:rPr>
        <w:t>https://doi.org/10.1016/j.sajb.2017.05.007</w:t>
      </w:r>
      <w:proofErr w:type="gramEnd"/>
    </w:p>
    <w:p w14:paraId="786969E9" w14:textId="77777777" w:rsidR="00050742" w:rsidRPr="006F3748" w:rsidRDefault="00050742" w:rsidP="00033F05">
      <w:pPr>
        <w:pStyle w:val="ListParagraph"/>
        <w:numPr>
          <w:ilvl w:val="0"/>
          <w:numId w:val="1"/>
        </w:numPr>
        <w:jc w:val="both"/>
        <w:rPr>
          <w:rFonts w:ascii="Arial" w:hAnsi="Arial" w:cs="Arial"/>
          <w:color w:val="222222"/>
          <w:sz w:val="24"/>
          <w:szCs w:val="24"/>
          <w:shd w:val="clear" w:color="auto" w:fill="FFFFFF"/>
        </w:rPr>
      </w:pPr>
      <w:r w:rsidRPr="006F3748">
        <w:rPr>
          <w:rFonts w:ascii="Arial" w:hAnsi="Arial" w:cs="Arial"/>
          <w:color w:val="222222"/>
          <w:sz w:val="24"/>
          <w:szCs w:val="24"/>
          <w:shd w:val="clear" w:color="auto" w:fill="FFFFFF"/>
        </w:rPr>
        <w:t>Nayak, P., &amp;</w:t>
      </w:r>
      <w:proofErr w:type="spellStart"/>
      <w:r w:rsidRPr="006F3748">
        <w:rPr>
          <w:rFonts w:ascii="Arial" w:hAnsi="Arial" w:cs="Arial"/>
          <w:color w:val="222222"/>
          <w:sz w:val="24"/>
          <w:szCs w:val="24"/>
          <w:shd w:val="clear" w:color="auto" w:fill="FFFFFF"/>
        </w:rPr>
        <w:t>Thirunavoukkarasu</w:t>
      </w:r>
      <w:proofErr w:type="spellEnd"/>
      <w:r w:rsidRPr="006F3748">
        <w:rPr>
          <w:rFonts w:ascii="Arial" w:hAnsi="Arial" w:cs="Arial"/>
          <w:color w:val="222222"/>
          <w:sz w:val="24"/>
          <w:szCs w:val="24"/>
          <w:shd w:val="clear" w:color="auto" w:fill="FFFFFF"/>
        </w:rPr>
        <w:t xml:space="preserve">, M. (2016). A review of the plant </w:t>
      </w:r>
      <w:proofErr w:type="spellStart"/>
      <w:r w:rsidRPr="00C04809">
        <w:rPr>
          <w:rFonts w:ascii="Arial" w:hAnsi="Arial" w:cs="Arial"/>
          <w:i/>
          <w:color w:val="222222"/>
          <w:sz w:val="24"/>
          <w:szCs w:val="24"/>
          <w:shd w:val="clear" w:color="auto" w:fill="FFFFFF"/>
        </w:rPr>
        <w:t>Boerhaaviadiffusa</w:t>
      </w:r>
      <w:proofErr w:type="spellEnd"/>
      <w:r w:rsidRPr="006F3748">
        <w:rPr>
          <w:rFonts w:ascii="Arial" w:hAnsi="Arial" w:cs="Arial"/>
          <w:color w:val="222222"/>
          <w:sz w:val="24"/>
          <w:szCs w:val="24"/>
          <w:shd w:val="clear" w:color="auto" w:fill="FFFFFF"/>
        </w:rPr>
        <w:t>: its chemistry, pharmacology and therapeutical potential. </w:t>
      </w:r>
      <w:r w:rsidRPr="006F3748">
        <w:rPr>
          <w:rFonts w:ascii="Arial" w:hAnsi="Arial" w:cs="Arial"/>
          <w:i/>
          <w:iCs/>
          <w:color w:val="222222"/>
          <w:sz w:val="24"/>
          <w:szCs w:val="24"/>
          <w:shd w:val="clear" w:color="auto" w:fill="FFFFFF"/>
        </w:rPr>
        <w:t xml:space="preserve">J. </w:t>
      </w:r>
      <w:proofErr w:type="spellStart"/>
      <w:r w:rsidRPr="006F3748">
        <w:rPr>
          <w:rFonts w:ascii="Arial" w:hAnsi="Arial" w:cs="Arial"/>
          <w:i/>
          <w:iCs/>
          <w:color w:val="222222"/>
          <w:sz w:val="24"/>
          <w:szCs w:val="24"/>
          <w:shd w:val="clear" w:color="auto" w:fill="FFFFFF"/>
        </w:rPr>
        <w:t>Phytopharmacol</w:t>
      </w:r>
      <w:proofErr w:type="spellEnd"/>
      <w:r w:rsidRPr="006F3748">
        <w:rPr>
          <w:rFonts w:ascii="Arial" w:hAnsi="Arial" w:cs="Arial"/>
          <w:color w:val="222222"/>
          <w:sz w:val="24"/>
          <w:szCs w:val="24"/>
          <w:shd w:val="clear" w:color="auto" w:fill="FFFFFF"/>
        </w:rPr>
        <w:t>, </w:t>
      </w:r>
      <w:r w:rsidRPr="006F3748">
        <w:rPr>
          <w:rFonts w:ascii="Arial" w:hAnsi="Arial" w:cs="Arial"/>
          <w:i/>
          <w:iCs/>
          <w:color w:val="222222"/>
          <w:sz w:val="24"/>
          <w:szCs w:val="24"/>
          <w:shd w:val="clear" w:color="auto" w:fill="FFFFFF"/>
        </w:rPr>
        <w:t>5</w:t>
      </w:r>
      <w:r w:rsidRPr="006F3748">
        <w:rPr>
          <w:rFonts w:ascii="Arial" w:hAnsi="Arial" w:cs="Arial"/>
          <w:color w:val="222222"/>
          <w:sz w:val="24"/>
          <w:szCs w:val="24"/>
          <w:shd w:val="clear" w:color="auto" w:fill="FFFFFF"/>
        </w:rPr>
        <w:t>(2), 83-</w:t>
      </w:r>
      <w:proofErr w:type="gramStart"/>
      <w:r w:rsidRPr="006F3748">
        <w:rPr>
          <w:rFonts w:ascii="Arial" w:hAnsi="Arial" w:cs="Arial"/>
          <w:color w:val="222222"/>
          <w:sz w:val="24"/>
          <w:szCs w:val="24"/>
          <w:shd w:val="clear" w:color="auto" w:fill="FFFFFF"/>
        </w:rPr>
        <w:t>92.</w:t>
      </w:r>
      <w:r w:rsidRPr="00665B3A">
        <w:rPr>
          <w:rFonts w:ascii="Arial" w:hAnsi="Arial" w:cs="Arial"/>
          <w:color w:val="222222"/>
          <w:sz w:val="24"/>
          <w:szCs w:val="24"/>
          <w:shd w:val="clear" w:color="auto" w:fill="FFFFFF"/>
        </w:rPr>
        <w:t>https://doi.org/10.31254/phyto.2016.5208</w:t>
      </w:r>
      <w:proofErr w:type="gramEnd"/>
    </w:p>
    <w:p w14:paraId="7F111B15" w14:textId="77777777" w:rsidR="00050742" w:rsidRPr="006F3748" w:rsidRDefault="00050742" w:rsidP="00033F05">
      <w:pPr>
        <w:pStyle w:val="ListParagraph"/>
        <w:widowControl w:val="0"/>
        <w:numPr>
          <w:ilvl w:val="0"/>
          <w:numId w:val="1"/>
        </w:numPr>
        <w:autoSpaceDE w:val="0"/>
        <w:autoSpaceDN w:val="0"/>
        <w:adjustRightInd w:val="0"/>
        <w:spacing w:line="240" w:lineRule="auto"/>
        <w:jc w:val="both"/>
        <w:rPr>
          <w:rFonts w:ascii="Arial" w:hAnsi="Arial" w:cs="Arial"/>
          <w:noProof/>
          <w:sz w:val="24"/>
          <w:szCs w:val="24"/>
        </w:rPr>
      </w:pPr>
      <w:r w:rsidRPr="006F3748">
        <w:rPr>
          <w:rFonts w:ascii="Arial" w:hAnsi="Arial" w:cs="Arial"/>
          <w:noProof/>
          <w:sz w:val="24"/>
          <w:szCs w:val="24"/>
        </w:rPr>
        <w:t xml:space="preserve">Pari, L., &amp; Amarnath Satheesh, M. (2004). Antidiabetic effect of </w:t>
      </w:r>
      <w:r w:rsidRPr="00C04809">
        <w:rPr>
          <w:rFonts w:ascii="Arial" w:hAnsi="Arial" w:cs="Arial"/>
          <w:i/>
          <w:noProof/>
          <w:sz w:val="24"/>
          <w:szCs w:val="24"/>
        </w:rPr>
        <w:t>Boerhavia diffusa</w:t>
      </w:r>
      <w:r w:rsidRPr="006F3748">
        <w:rPr>
          <w:rFonts w:ascii="Arial" w:hAnsi="Arial" w:cs="Arial"/>
          <w:noProof/>
          <w:sz w:val="24"/>
          <w:szCs w:val="24"/>
        </w:rPr>
        <w:t xml:space="preserve">: Effect on serum and tissue lipids in experimental diabetes. </w:t>
      </w:r>
      <w:r w:rsidRPr="006F3748">
        <w:rPr>
          <w:rFonts w:ascii="Arial" w:hAnsi="Arial" w:cs="Arial"/>
          <w:i/>
          <w:iCs/>
          <w:noProof/>
          <w:sz w:val="24"/>
          <w:szCs w:val="24"/>
        </w:rPr>
        <w:t>Journal of Medicinal Food</w:t>
      </w:r>
      <w:r w:rsidRPr="006F3748">
        <w:rPr>
          <w:rFonts w:ascii="Arial" w:hAnsi="Arial" w:cs="Arial"/>
          <w:noProof/>
          <w:sz w:val="24"/>
          <w:szCs w:val="24"/>
        </w:rPr>
        <w:t xml:space="preserve">, </w:t>
      </w:r>
      <w:r w:rsidRPr="006F3748">
        <w:rPr>
          <w:rFonts w:ascii="Arial" w:hAnsi="Arial" w:cs="Arial"/>
          <w:i/>
          <w:iCs/>
          <w:noProof/>
          <w:sz w:val="24"/>
          <w:szCs w:val="24"/>
        </w:rPr>
        <w:t>7</w:t>
      </w:r>
      <w:r w:rsidRPr="006F3748">
        <w:rPr>
          <w:rFonts w:ascii="Arial" w:hAnsi="Arial" w:cs="Arial"/>
          <w:noProof/>
          <w:sz w:val="24"/>
          <w:szCs w:val="24"/>
        </w:rPr>
        <w:t>(4), 472–476. https://doi.org/10.1089/jmf.2004.7.472</w:t>
      </w:r>
    </w:p>
    <w:p w14:paraId="4E48F62E" w14:textId="77777777" w:rsidR="00050742" w:rsidRPr="006F3748" w:rsidRDefault="00050742" w:rsidP="00033F05">
      <w:pPr>
        <w:pStyle w:val="ListParagraph"/>
        <w:widowControl w:val="0"/>
        <w:numPr>
          <w:ilvl w:val="0"/>
          <w:numId w:val="1"/>
        </w:numPr>
        <w:autoSpaceDE w:val="0"/>
        <w:autoSpaceDN w:val="0"/>
        <w:adjustRightInd w:val="0"/>
        <w:spacing w:line="240" w:lineRule="auto"/>
        <w:jc w:val="both"/>
        <w:rPr>
          <w:rFonts w:ascii="Arial" w:hAnsi="Arial" w:cs="Arial"/>
          <w:noProof/>
          <w:sz w:val="24"/>
          <w:szCs w:val="24"/>
        </w:rPr>
      </w:pPr>
      <w:r w:rsidRPr="006F3748">
        <w:rPr>
          <w:rFonts w:ascii="Arial" w:hAnsi="Arial" w:cs="Arial"/>
          <w:noProof/>
          <w:sz w:val="24"/>
          <w:szCs w:val="24"/>
        </w:rPr>
        <w:t xml:space="preserve">Rahman, S. M. M., Rana, S., Islam, M. N., Kumer, A., Hassan, M. M., Biswas, T. K., &amp; Atikullah, M. (2019). Evaluation of Anxiolytic and Sedative-Like Activities of Methanolic Extract of &amp;lt;i&amp;gt;Euphorbia hirta&amp;lt;/i&amp;gt; Leaves in Mice. </w:t>
      </w:r>
      <w:r w:rsidRPr="006F3748">
        <w:rPr>
          <w:rFonts w:ascii="Arial" w:hAnsi="Arial" w:cs="Arial"/>
          <w:i/>
          <w:iCs/>
          <w:noProof/>
          <w:sz w:val="24"/>
          <w:szCs w:val="24"/>
        </w:rPr>
        <w:t>Pharmacology &amp;amp; Pharmacy</w:t>
      </w:r>
      <w:r w:rsidRPr="006F3748">
        <w:rPr>
          <w:rFonts w:ascii="Arial" w:hAnsi="Arial" w:cs="Arial"/>
          <w:noProof/>
          <w:sz w:val="24"/>
          <w:szCs w:val="24"/>
        </w:rPr>
        <w:t xml:space="preserve">, </w:t>
      </w:r>
      <w:r w:rsidRPr="006F3748">
        <w:rPr>
          <w:rFonts w:ascii="Arial" w:hAnsi="Arial" w:cs="Arial"/>
          <w:i/>
          <w:iCs/>
          <w:noProof/>
          <w:sz w:val="24"/>
          <w:szCs w:val="24"/>
        </w:rPr>
        <w:t>10</w:t>
      </w:r>
      <w:r w:rsidRPr="006F3748">
        <w:rPr>
          <w:rFonts w:ascii="Arial" w:hAnsi="Arial" w:cs="Arial"/>
          <w:noProof/>
          <w:sz w:val="24"/>
          <w:szCs w:val="24"/>
        </w:rPr>
        <w:t>(06), 283–297. https://doi.org/10.4236/pp.2019.106023</w:t>
      </w:r>
    </w:p>
    <w:p w14:paraId="60191ECC" w14:textId="77777777" w:rsidR="00050742" w:rsidRPr="006F3748" w:rsidRDefault="00050742" w:rsidP="00033F05">
      <w:pPr>
        <w:pStyle w:val="ListParagraph"/>
        <w:widowControl w:val="0"/>
        <w:numPr>
          <w:ilvl w:val="0"/>
          <w:numId w:val="1"/>
        </w:numPr>
        <w:autoSpaceDE w:val="0"/>
        <w:autoSpaceDN w:val="0"/>
        <w:adjustRightInd w:val="0"/>
        <w:spacing w:line="240" w:lineRule="auto"/>
        <w:jc w:val="both"/>
        <w:rPr>
          <w:rFonts w:ascii="Arial" w:hAnsi="Arial" w:cs="Arial"/>
          <w:noProof/>
          <w:sz w:val="24"/>
          <w:szCs w:val="24"/>
        </w:rPr>
      </w:pPr>
      <w:r w:rsidRPr="006F3748">
        <w:rPr>
          <w:rFonts w:ascii="Arial" w:hAnsi="Arial" w:cs="Arial"/>
          <w:noProof/>
          <w:sz w:val="24"/>
          <w:szCs w:val="24"/>
        </w:rPr>
        <w:t xml:space="preserve">Ritu, T. J., Shomudro, H. K., Noor, S., Tahsin, H., &amp; Uddin, M. S. (2024). Evaluation of Anticancer, Anthelminthic, Anti-Nociceptive, Antidiabetic and Toxicological Investigation of Ludwigia adscendens. </w:t>
      </w:r>
      <w:r w:rsidRPr="006F3748">
        <w:rPr>
          <w:rFonts w:ascii="Arial" w:hAnsi="Arial" w:cs="Arial"/>
          <w:i/>
          <w:iCs/>
          <w:noProof/>
          <w:sz w:val="24"/>
          <w:szCs w:val="24"/>
        </w:rPr>
        <w:t>Journal of Advances in Biology &amp; Biotechnology</w:t>
      </w:r>
      <w:r w:rsidRPr="006F3748">
        <w:rPr>
          <w:rFonts w:ascii="Arial" w:hAnsi="Arial" w:cs="Arial"/>
          <w:noProof/>
          <w:sz w:val="24"/>
          <w:szCs w:val="24"/>
        </w:rPr>
        <w:t xml:space="preserve">, </w:t>
      </w:r>
      <w:r w:rsidRPr="006F3748">
        <w:rPr>
          <w:rFonts w:ascii="Arial" w:hAnsi="Arial" w:cs="Arial"/>
          <w:i/>
          <w:iCs/>
          <w:noProof/>
          <w:sz w:val="24"/>
          <w:szCs w:val="24"/>
        </w:rPr>
        <w:t>27</w:t>
      </w:r>
      <w:r w:rsidRPr="006F3748">
        <w:rPr>
          <w:rFonts w:ascii="Arial" w:hAnsi="Arial" w:cs="Arial"/>
          <w:noProof/>
          <w:sz w:val="24"/>
          <w:szCs w:val="24"/>
        </w:rPr>
        <w:t>(7), 140–155. https://doi.org/10.9734/jabb/2024/v27i7974</w:t>
      </w:r>
    </w:p>
    <w:p w14:paraId="3EBF5B04" w14:textId="77777777" w:rsidR="00050742" w:rsidRPr="006F3748" w:rsidRDefault="00050742" w:rsidP="00033F05">
      <w:pPr>
        <w:pStyle w:val="ListParagraph"/>
        <w:numPr>
          <w:ilvl w:val="0"/>
          <w:numId w:val="1"/>
        </w:numPr>
        <w:jc w:val="both"/>
        <w:rPr>
          <w:rFonts w:ascii="Arial" w:hAnsi="Arial" w:cs="Arial"/>
          <w:color w:val="222222"/>
          <w:sz w:val="24"/>
          <w:szCs w:val="24"/>
          <w:shd w:val="clear" w:color="auto" w:fill="FFFFFF"/>
        </w:rPr>
      </w:pPr>
      <w:proofErr w:type="spellStart"/>
      <w:r w:rsidRPr="006F3748">
        <w:rPr>
          <w:rFonts w:ascii="Arial" w:hAnsi="Arial" w:cs="Arial"/>
          <w:color w:val="222222"/>
          <w:sz w:val="24"/>
          <w:szCs w:val="24"/>
          <w:shd w:val="clear" w:color="auto" w:fill="FFFFFF"/>
        </w:rPr>
        <w:t>Roohbakhsh</w:t>
      </w:r>
      <w:proofErr w:type="spellEnd"/>
      <w:r w:rsidRPr="006F3748">
        <w:rPr>
          <w:rFonts w:ascii="Arial" w:hAnsi="Arial" w:cs="Arial"/>
          <w:color w:val="222222"/>
          <w:sz w:val="24"/>
          <w:szCs w:val="24"/>
          <w:shd w:val="clear" w:color="auto" w:fill="FFFFFF"/>
        </w:rPr>
        <w:t xml:space="preserve">, A., </w:t>
      </w:r>
      <w:proofErr w:type="spellStart"/>
      <w:r w:rsidRPr="006F3748">
        <w:rPr>
          <w:rFonts w:ascii="Arial" w:hAnsi="Arial" w:cs="Arial"/>
          <w:color w:val="222222"/>
          <w:sz w:val="24"/>
          <w:szCs w:val="24"/>
          <w:shd w:val="clear" w:color="auto" w:fill="FFFFFF"/>
        </w:rPr>
        <w:t>Parhiz</w:t>
      </w:r>
      <w:proofErr w:type="spellEnd"/>
      <w:r w:rsidRPr="006F3748">
        <w:rPr>
          <w:rFonts w:ascii="Arial" w:hAnsi="Arial" w:cs="Arial"/>
          <w:color w:val="222222"/>
          <w:sz w:val="24"/>
          <w:szCs w:val="24"/>
          <w:shd w:val="clear" w:color="auto" w:fill="FFFFFF"/>
        </w:rPr>
        <w:t>, H., Soltani, F., Rezaee, R., &amp;</w:t>
      </w:r>
      <w:proofErr w:type="spellStart"/>
      <w:r w:rsidRPr="006F3748">
        <w:rPr>
          <w:rFonts w:ascii="Arial" w:hAnsi="Arial" w:cs="Arial"/>
          <w:color w:val="222222"/>
          <w:sz w:val="24"/>
          <w:szCs w:val="24"/>
          <w:shd w:val="clear" w:color="auto" w:fill="FFFFFF"/>
        </w:rPr>
        <w:t>Iranshahi</w:t>
      </w:r>
      <w:proofErr w:type="spellEnd"/>
      <w:r w:rsidRPr="006F3748">
        <w:rPr>
          <w:rFonts w:ascii="Arial" w:hAnsi="Arial" w:cs="Arial"/>
          <w:color w:val="222222"/>
          <w:sz w:val="24"/>
          <w:szCs w:val="24"/>
          <w:shd w:val="clear" w:color="auto" w:fill="FFFFFF"/>
        </w:rPr>
        <w:t xml:space="preserve">, M. (2014). Neuropharmacological properties and pharmacokinetics of the citrus </w:t>
      </w:r>
      <w:proofErr w:type="gramStart"/>
      <w:r w:rsidRPr="006F3748">
        <w:rPr>
          <w:rFonts w:ascii="Arial" w:hAnsi="Arial" w:cs="Arial"/>
          <w:color w:val="222222"/>
          <w:sz w:val="24"/>
          <w:szCs w:val="24"/>
          <w:shd w:val="clear" w:color="auto" w:fill="FFFFFF"/>
        </w:rPr>
        <w:t>flavonoids</w:t>
      </w:r>
      <w:proofErr w:type="gramEnd"/>
      <w:r w:rsidRPr="006F3748">
        <w:rPr>
          <w:rFonts w:ascii="Arial" w:hAnsi="Arial" w:cs="Arial"/>
          <w:color w:val="222222"/>
          <w:sz w:val="24"/>
          <w:szCs w:val="24"/>
          <w:shd w:val="clear" w:color="auto" w:fill="FFFFFF"/>
        </w:rPr>
        <w:t xml:space="preserve"> </w:t>
      </w:r>
      <w:r w:rsidRPr="006F3748">
        <w:rPr>
          <w:rFonts w:ascii="Arial" w:hAnsi="Arial" w:cs="Arial"/>
          <w:color w:val="222222"/>
          <w:sz w:val="24"/>
          <w:szCs w:val="24"/>
          <w:shd w:val="clear" w:color="auto" w:fill="FFFFFF"/>
        </w:rPr>
        <w:lastRenderedPageBreak/>
        <w:t xml:space="preserve">hesperidin and </w:t>
      </w:r>
      <w:proofErr w:type="spellStart"/>
      <w:r w:rsidRPr="006F3748">
        <w:rPr>
          <w:rFonts w:ascii="Arial" w:hAnsi="Arial" w:cs="Arial"/>
          <w:color w:val="222222"/>
          <w:sz w:val="24"/>
          <w:szCs w:val="24"/>
          <w:shd w:val="clear" w:color="auto" w:fill="FFFFFF"/>
        </w:rPr>
        <w:t>hesperetin</w:t>
      </w:r>
      <w:proofErr w:type="spellEnd"/>
      <w:r w:rsidRPr="006F3748">
        <w:rPr>
          <w:rFonts w:ascii="Arial" w:hAnsi="Arial" w:cs="Arial"/>
          <w:color w:val="222222"/>
          <w:sz w:val="24"/>
          <w:szCs w:val="24"/>
          <w:shd w:val="clear" w:color="auto" w:fill="FFFFFF"/>
        </w:rPr>
        <w:t>—A mini-review. </w:t>
      </w:r>
      <w:r w:rsidRPr="006F3748">
        <w:rPr>
          <w:rFonts w:ascii="Arial" w:hAnsi="Arial" w:cs="Arial"/>
          <w:i/>
          <w:iCs/>
          <w:color w:val="222222"/>
          <w:sz w:val="24"/>
          <w:szCs w:val="24"/>
          <w:shd w:val="clear" w:color="auto" w:fill="FFFFFF"/>
        </w:rPr>
        <w:t>Life sciences</w:t>
      </w:r>
      <w:r w:rsidRPr="006F3748">
        <w:rPr>
          <w:rFonts w:ascii="Arial" w:hAnsi="Arial" w:cs="Arial"/>
          <w:color w:val="222222"/>
          <w:sz w:val="24"/>
          <w:szCs w:val="24"/>
          <w:shd w:val="clear" w:color="auto" w:fill="FFFFFF"/>
        </w:rPr>
        <w:t>, </w:t>
      </w:r>
      <w:r w:rsidRPr="006F3748">
        <w:rPr>
          <w:rFonts w:ascii="Arial" w:hAnsi="Arial" w:cs="Arial"/>
          <w:i/>
          <w:iCs/>
          <w:color w:val="222222"/>
          <w:sz w:val="24"/>
          <w:szCs w:val="24"/>
          <w:shd w:val="clear" w:color="auto" w:fill="FFFFFF"/>
        </w:rPr>
        <w:t>113</w:t>
      </w:r>
      <w:r w:rsidRPr="006F3748">
        <w:rPr>
          <w:rFonts w:ascii="Arial" w:hAnsi="Arial" w:cs="Arial"/>
          <w:color w:val="222222"/>
          <w:sz w:val="24"/>
          <w:szCs w:val="24"/>
          <w:shd w:val="clear" w:color="auto" w:fill="FFFFFF"/>
        </w:rPr>
        <w:t>(1-2), 1-</w:t>
      </w:r>
      <w:proofErr w:type="gramStart"/>
      <w:r w:rsidRPr="006F3748">
        <w:rPr>
          <w:rFonts w:ascii="Arial" w:hAnsi="Arial" w:cs="Arial"/>
          <w:color w:val="222222"/>
          <w:sz w:val="24"/>
          <w:szCs w:val="24"/>
          <w:shd w:val="clear" w:color="auto" w:fill="FFFFFF"/>
        </w:rPr>
        <w:t>6.</w:t>
      </w:r>
      <w:r w:rsidRPr="00422D0E">
        <w:rPr>
          <w:rFonts w:ascii="Arial" w:hAnsi="Arial" w:cs="Arial"/>
          <w:color w:val="222222"/>
          <w:sz w:val="24"/>
          <w:szCs w:val="24"/>
          <w:shd w:val="clear" w:color="auto" w:fill="FFFFFF"/>
        </w:rPr>
        <w:t>https://doi.org/10.1016/j.lfs.2014.07.029</w:t>
      </w:r>
      <w:proofErr w:type="gramEnd"/>
    </w:p>
    <w:p w14:paraId="4E13794D" w14:textId="77777777" w:rsidR="00050742" w:rsidRPr="006F3748" w:rsidRDefault="00050742" w:rsidP="00033F05">
      <w:pPr>
        <w:pStyle w:val="ListParagraph"/>
        <w:numPr>
          <w:ilvl w:val="0"/>
          <w:numId w:val="1"/>
        </w:numPr>
        <w:jc w:val="both"/>
        <w:rPr>
          <w:rFonts w:ascii="Arial" w:hAnsi="Arial" w:cs="Arial"/>
          <w:color w:val="222222"/>
          <w:sz w:val="24"/>
          <w:szCs w:val="24"/>
          <w:shd w:val="clear" w:color="auto" w:fill="FFFFFF"/>
        </w:rPr>
      </w:pPr>
      <w:r w:rsidRPr="006F3748">
        <w:rPr>
          <w:rFonts w:ascii="Arial" w:hAnsi="Arial" w:cs="Arial"/>
          <w:color w:val="222222"/>
          <w:sz w:val="24"/>
          <w:szCs w:val="24"/>
          <w:shd w:val="clear" w:color="auto" w:fill="FFFFFF"/>
        </w:rPr>
        <w:t>Rupani, R., &amp; Chavez, A. (2018). Medicinal plants with traditional use: Ethnobotany in the Indian subcontinent. </w:t>
      </w:r>
      <w:r w:rsidRPr="006F3748">
        <w:rPr>
          <w:rFonts w:ascii="Arial" w:hAnsi="Arial" w:cs="Arial"/>
          <w:i/>
          <w:iCs/>
          <w:color w:val="222222"/>
          <w:sz w:val="24"/>
          <w:szCs w:val="24"/>
          <w:shd w:val="clear" w:color="auto" w:fill="FFFFFF"/>
        </w:rPr>
        <w:t>Clinics in dermatology</w:t>
      </w:r>
      <w:r w:rsidRPr="006F3748">
        <w:rPr>
          <w:rFonts w:ascii="Arial" w:hAnsi="Arial" w:cs="Arial"/>
          <w:color w:val="222222"/>
          <w:sz w:val="24"/>
          <w:szCs w:val="24"/>
          <w:shd w:val="clear" w:color="auto" w:fill="FFFFFF"/>
        </w:rPr>
        <w:t>, </w:t>
      </w:r>
      <w:r w:rsidRPr="006F3748">
        <w:rPr>
          <w:rFonts w:ascii="Arial" w:hAnsi="Arial" w:cs="Arial"/>
          <w:i/>
          <w:iCs/>
          <w:color w:val="222222"/>
          <w:sz w:val="24"/>
          <w:szCs w:val="24"/>
          <w:shd w:val="clear" w:color="auto" w:fill="FFFFFF"/>
        </w:rPr>
        <w:t>36</w:t>
      </w:r>
      <w:r w:rsidRPr="006F3748">
        <w:rPr>
          <w:rFonts w:ascii="Arial" w:hAnsi="Arial" w:cs="Arial"/>
          <w:color w:val="222222"/>
          <w:sz w:val="24"/>
          <w:szCs w:val="24"/>
          <w:shd w:val="clear" w:color="auto" w:fill="FFFFFF"/>
        </w:rPr>
        <w:t>(3), 306-309.</w:t>
      </w:r>
      <w:r w:rsidRPr="00665B3A">
        <w:rPr>
          <w:rFonts w:ascii="Arial" w:hAnsi="Arial" w:cs="Arial"/>
          <w:color w:val="222222"/>
          <w:sz w:val="24"/>
          <w:szCs w:val="24"/>
          <w:shd w:val="clear" w:color="auto" w:fill="FFFFFF"/>
        </w:rPr>
        <w:t>https://doi.org/10.1016/j.clindermatol.2018.03.005</w:t>
      </w:r>
    </w:p>
    <w:p w14:paraId="5C215870" w14:textId="77777777" w:rsidR="00050742" w:rsidRPr="006F3748" w:rsidRDefault="00050742" w:rsidP="00033F05">
      <w:pPr>
        <w:pStyle w:val="ListParagraph"/>
        <w:numPr>
          <w:ilvl w:val="0"/>
          <w:numId w:val="1"/>
        </w:numPr>
        <w:jc w:val="both"/>
        <w:rPr>
          <w:rFonts w:ascii="Arial" w:hAnsi="Arial" w:cs="Arial"/>
          <w:color w:val="222222"/>
          <w:sz w:val="24"/>
          <w:szCs w:val="24"/>
          <w:shd w:val="clear" w:color="auto" w:fill="FFFFFF"/>
        </w:rPr>
      </w:pPr>
      <w:proofErr w:type="spellStart"/>
      <w:r w:rsidRPr="006F3748">
        <w:rPr>
          <w:rFonts w:ascii="Arial" w:hAnsi="Arial" w:cs="Arial"/>
          <w:color w:val="222222"/>
          <w:sz w:val="24"/>
          <w:szCs w:val="24"/>
          <w:shd w:val="clear" w:color="auto" w:fill="FFFFFF"/>
        </w:rPr>
        <w:t>Sa’adatu</w:t>
      </w:r>
      <w:proofErr w:type="spellEnd"/>
      <w:r w:rsidRPr="006F3748">
        <w:rPr>
          <w:rFonts w:ascii="Arial" w:hAnsi="Arial" w:cs="Arial"/>
          <w:color w:val="222222"/>
          <w:sz w:val="24"/>
          <w:szCs w:val="24"/>
          <w:shd w:val="clear" w:color="auto" w:fill="FFFFFF"/>
        </w:rPr>
        <w:t>, M. I., Ali, M., Aminu, F., &amp;</w:t>
      </w:r>
      <w:proofErr w:type="spellStart"/>
      <w:r w:rsidRPr="006F3748">
        <w:rPr>
          <w:rFonts w:ascii="Arial" w:hAnsi="Arial" w:cs="Arial"/>
          <w:color w:val="222222"/>
          <w:sz w:val="24"/>
          <w:szCs w:val="24"/>
          <w:shd w:val="clear" w:color="auto" w:fill="FFFFFF"/>
        </w:rPr>
        <w:t>Mu’azu</w:t>
      </w:r>
      <w:proofErr w:type="spellEnd"/>
      <w:r w:rsidRPr="006F3748">
        <w:rPr>
          <w:rFonts w:ascii="Arial" w:hAnsi="Arial" w:cs="Arial"/>
          <w:color w:val="222222"/>
          <w:sz w:val="24"/>
          <w:szCs w:val="24"/>
          <w:shd w:val="clear" w:color="auto" w:fill="FFFFFF"/>
        </w:rPr>
        <w:t>, L. (2022). Potential Phytochemicals for Cancer Treatment: A Review. </w:t>
      </w:r>
      <w:r w:rsidRPr="006F3748">
        <w:rPr>
          <w:rFonts w:ascii="Arial" w:hAnsi="Arial" w:cs="Arial"/>
          <w:i/>
          <w:iCs/>
          <w:color w:val="222222"/>
          <w:sz w:val="24"/>
          <w:szCs w:val="24"/>
          <w:shd w:val="clear" w:color="auto" w:fill="FFFFFF"/>
        </w:rPr>
        <w:t>Journal of Oncology Research</w:t>
      </w:r>
      <w:r w:rsidRPr="006F3748">
        <w:rPr>
          <w:rFonts w:ascii="Arial" w:hAnsi="Arial" w:cs="Arial"/>
          <w:color w:val="222222"/>
          <w:sz w:val="24"/>
          <w:szCs w:val="24"/>
          <w:shd w:val="clear" w:color="auto" w:fill="FFFFFF"/>
        </w:rPr>
        <w:t>, </w:t>
      </w:r>
      <w:r w:rsidRPr="006F3748">
        <w:rPr>
          <w:rFonts w:ascii="Arial" w:hAnsi="Arial" w:cs="Arial"/>
          <w:i/>
          <w:iCs/>
          <w:color w:val="222222"/>
          <w:sz w:val="24"/>
          <w:szCs w:val="24"/>
          <w:shd w:val="clear" w:color="auto" w:fill="FFFFFF"/>
        </w:rPr>
        <w:t>4</w:t>
      </w:r>
      <w:r w:rsidRPr="006F3748">
        <w:rPr>
          <w:rFonts w:ascii="Arial" w:hAnsi="Arial" w:cs="Arial"/>
          <w:color w:val="222222"/>
          <w:sz w:val="24"/>
          <w:szCs w:val="24"/>
          <w:shd w:val="clear" w:color="auto" w:fill="FFFFFF"/>
        </w:rPr>
        <w:t>(1), 9-</w:t>
      </w:r>
      <w:proofErr w:type="gramStart"/>
      <w:r w:rsidRPr="006F3748">
        <w:rPr>
          <w:rFonts w:ascii="Arial" w:hAnsi="Arial" w:cs="Arial"/>
          <w:color w:val="222222"/>
          <w:sz w:val="24"/>
          <w:szCs w:val="24"/>
          <w:shd w:val="clear" w:color="auto" w:fill="FFFFFF"/>
        </w:rPr>
        <w:t>15.</w:t>
      </w:r>
      <w:r w:rsidRPr="00665B3A">
        <w:rPr>
          <w:rFonts w:ascii="Arial" w:hAnsi="Arial" w:cs="Arial"/>
          <w:color w:val="222222"/>
          <w:sz w:val="24"/>
          <w:szCs w:val="24"/>
          <w:shd w:val="clear" w:color="auto" w:fill="FFFFFF"/>
        </w:rPr>
        <w:t>https://doi.org/10.30564/jor.v4i1.3656</w:t>
      </w:r>
      <w:proofErr w:type="gramEnd"/>
    </w:p>
    <w:p w14:paraId="064A95E3" w14:textId="77777777" w:rsidR="00050742" w:rsidRPr="006F3748" w:rsidRDefault="00050742" w:rsidP="00033F05">
      <w:pPr>
        <w:pStyle w:val="ListParagraph"/>
        <w:numPr>
          <w:ilvl w:val="0"/>
          <w:numId w:val="1"/>
        </w:numPr>
        <w:jc w:val="both"/>
        <w:rPr>
          <w:rFonts w:ascii="Arial" w:hAnsi="Arial" w:cs="Arial"/>
          <w:color w:val="222222"/>
          <w:sz w:val="24"/>
          <w:szCs w:val="24"/>
          <w:shd w:val="clear" w:color="auto" w:fill="FFFFFF"/>
        </w:rPr>
      </w:pPr>
      <w:proofErr w:type="spellStart"/>
      <w:r w:rsidRPr="006F3748">
        <w:rPr>
          <w:rFonts w:ascii="Arial" w:hAnsi="Arial" w:cs="Arial"/>
          <w:color w:val="222222"/>
          <w:sz w:val="24"/>
          <w:szCs w:val="24"/>
          <w:shd w:val="clear" w:color="auto" w:fill="FFFFFF"/>
        </w:rPr>
        <w:t>Salmerón</w:t>
      </w:r>
      <w:proofErr w:type="spellEnd"/>
      <w:r w:rsidRPr="006F3748">
        <w:rPr>
          <w:rFonts w:ascii="Arial" w:hAnsi="Arial" w:cs="Arial"/>
          <w:color w:val="222222"/>
          <w:sz w:val="24"/>
          <w:szCs w:val="24"/>
          <w:shd w:val="clear" w:color="auto" w:fill="FFFFFF"/>
        </w:rPr>
        <w:t>-Manzano, E., Garrido-Cardenas, J. A., &amp; Manzano-Agugliaro, F. (2020). Worldwide research trends on medicinal plants. </w:t>
      </w:r>
      <w:r w:rsidRPr="006F3748">
        <w:rPr>
          <w:rFonts w:ascii="Arial" w:hAnsi="Arial" w:cs="Arial"/>
          <w:i/>
          <w:iCs/>
          <w:color w:val="222222"/>
          <w:sz w:val="24"/>
          <w:szCs w:val="24"/>
          <w:shd w:val="clear" w:color="auto" w:fill="FFFFFF"/>
        </w:rPr>
        <w:t>International journal of environmental research and public health</w:t>
      </w:r>
      <w:r w:rsidRPr="006F3748">
        <w:rPr>
          <w:rFonts w:ascii="Arial" w:hAnsi="Arial" w:cs="Arial"/>
          <w:color w:val="222222"/>
          <w:sz w:val="24"/>
          <w:szCs w:val="24"/>
          <w:shd w:val="clear" w:color="auto" w:fill="FFFFFF"/>
        </w:rPr>
        <w:t>, </w:t>
      </w:r>
      <w:r w:rsidRPr="006F3748">
        <w:rPr>
          <w:rFonts w:ascii="Arial" w:hAnsi="Arial" w:cs="Arial"/>
          <w:i/>
          <w:iCs/>
          <w:color w:val="222222"/>
          <w:sz w:val="24"/>
          <w:szCs w:val="24"/>
          <w:shd w:val="clear" w:color="auto" w:fill="FFFFFF"/>
        </w:rPr>
        <w:t>17</w:t>
      </w:r>
      <w:r w:rsidRPr="006F3748">
        <w:rPr>
          <w:rFonts w:ascii="Arial" w:hAnsi="Arial" w:cs="Arial"/>
          <w:color w:val="222222"/>
          <w:sz w:val="24"/>
          <w:szCs w:val="24"/>
          <w:shd w:val="clear" w:color="auto" w:fill="FFFFFF"/>
        </w:rPr>
        <w:t>(10), 3376.</w:t>
      </w:r>
      <w:r w:rsidRPr="00665B3A">
        <w:rPr>
          <w:rFonts w:ascii="Arial" w:hAnsi="Arial" w:cs="Arial"/>
          <w:color w:val="222222"/>
          <w:sz w:val="24"/>
          <w:szCs w:val="24"/>
          <w:shd w:val="clear" w:color="auto" w:fill="FFFFFF"/>
        </w:rPr>
        <w:t xml:space="preserve"> https://doi.org/10.3390/ijerph17103376</w:t>
      </w:r>
    </w:p>
    <w:p w14:paraId="7664C6BB" w14:textId="77777777" w:rsidR="00050742" w:rsidRPr="006F3748" w:rsidRDefault="00050742" w:rsidP="00033F05">
      <w:pPr>
        <w:pStyle w:val="ListParagraph"/>
        <w:widowControl w:val="0"/>
        <w:numPr>
          <w:ilvl w:val="0"/>
          <w:numId w:val="1"/>
        </w:numPr>
        <w:autoSpaceDE w:val="0"/>
        <w:autoSpaceDN w:val="0"/>
        <w:adjustRightInd w:val="0"/>
        <w:spacing w:line="240" w:lineRule="auto"/>
        <w:jc w:val="both"/>
        <w:rPr>
          <w:rFonts w:ascii="Arial" w:hAnsi="Arial" w:cs="Arial"/>
          <w:noProof/>
          <w:sz w:val="24"/>
          <w:szCs w:val="24"/>
        </w:rPr>
      </w:pPr>
      <w:r w:rsidRPr="006F3748">
        <w:rPr>
          <w:rFonts w:ascii="Arial" w:hAnsi="Arial" w:cs="Arial"/>
          <w:noProof/>
          <w:sz w:val="24"/>
          <w:szCs w:val="24"/>
        </w:rPr>
        <w:t xml:space="preserve">Shaira, H. A., Shomudro, H. K., &amp; Chowdhury, S. A. (2023). In-vitro and In-vivo Pharmacological Evaluation of Persicaria lapathifolia Available in Bangladesh. </w:t>
      </w:r>
      <w:r w:rsidRPr="006F3748">
        <w:rPr>
          <w:rFonts w:ascii="Arial" w:hAnsi="Arial" w:cs="Arial"/>
          <w:i/>
          <w:iCs/>
          <w:noProof/>
          <w:sz w:val="24"/>
          <w:szCs w:val="24"/>
        </w:rPr>
        <w:t>Journal of Scientific Research and Reports</w:t>
      </w:r>
      <w:r w:rsidRPr="006F3748">
        <w:rPr>
          <w:rFonts w:ascii="Arial" w:hAnsi="Arial" w:cs="Arial"/>
          <w:noProof/>
          <w:sz w:val="24"/>
          <w:szCs w:val="24"/>
        </w:rPr>
        <w:t xml:space="preserve">, </w:t>
      </w:r>
      <w:r w:rsidRPr="006F3748">
        <w:rPr>
          <w:rFonts w:ascii="Arial" w:hAnsi="Arial" w:cs="Arial"/>
          <w:i/>
          <w:iCs/>
          <w:noProof/>
          <w:sz w:val="24"/>
          <w:szCs w:val="24"/>
        </w:rPr>
        <w:t>29</w:t>
      </w:r>
      <w:r w:rsidRPr="006F3748">
        <w:rPr>
          <w:rFonts w:ascii="Arial" w:hAnsi="Arial" w:cs="Arial"/>
          <w:noProof/>
          <w:sz w:val="24"/>
          <w:szCs w:val="24"/>
        </w:rPr>
        <w:t>(3), 12–26. https://doi.org/10.9734/jsrr/2023/v29i31733</w:t>
      </w:r>
    </w:p>
    <w:p w14:paraId="1328E6A7" w14:textId="77777777" w:rsidR="00050742" w:rsidRPr="006F3748" w:rsidRDefault="00050742" w:rsidP="00033F05">
      <w:pPr>
        <w:pStyle w:val="ListParagraph"/>
        <w:widowControl w:val="0"/>
        <w:numPr>
          <w:ilvl w:val="0"/>
          <w:numId w:val="1"/>
        </w:numPr>
        <w:autoSpaceDE w:val="0"/>
        <w:autoSpaceDN w:val="0"/>
        <w:adjustRightInd w:val="0"/>
        <w:spacing w:line="240" w:lineRule="auto"/>
        <w:jc w:val="both"/>
        <w:rPr>
          <w:rFonts w:ascii="Arial" w:hAnsi="Arial" w:cs="Arial"/>
          <w:noProof/>
          <w:sz w:val="24"/>
          <w:szCs w:val="24"/>
        </w:rPr>
      </w:pPr>
      <w:r w:rsidRPr="006F3748">
        <w:rPr>
          <w:rFonts w:ascii="Arial" w:hAnsi="Arial" w:cs="Arial"/>
          <w:noProof/>
          <w:sz w:val="24"/>
          <w:szCs w:val="24"/>
        </w:rPr>
        <w:t xml:space="preserve">Sharma, R. K., &amp; Singh, V. I. (2021). Identification of Phytoconstituents using GC-MS and Determination of Antimicrobial and Antimycobacterial Activity of </w:t>
      </w:r>
      <w:r w:rsidRPr="00C04809">
        <w:rPr>
          <w:rFonts w:ascii="Arial" w:hAnsi="Arial" w:cs="Arial"/>
          <w:i/>
          <w:noProof/>
          <w:sz w:val="24"/>
          <w:szCs w:val="24"/>
        </w:rPr>
        <w:t>Boerhaavia diffusa</w:t>
      </w:r>
      <w:r w:rsidRPr="006F3748">
        <w:rPr>
          <w:rFonts w:ascii="Arial" w:hAnsi="Arial" w:cs="Arial"/>
          <w:noProof/>
          <w:sz w:val="24"/>
          <w:szCs w:val="24"/>
        </w:rPr>
        <w:t xml:space="preserve"> L. Leaves. </w:t>
      </w:r>
      <w:r w:rsidRPr="006F3748">
        <w:rPr>
          <w:rFonts w:ascii="Arial" w:hAnsi="Arial" w:cs="Arial"/>
          <w:i/>
          <w:iCs/>
          <w:noProof/>
          <w:sz w:val="24"/>
          <w:szCs w:val="24"/>
        </w:rPr>
        <w:t>Journal of Pharmaceutical Research International</w:t>
      </w:r>
      <w:r w:rsidRPr="006F3748">
        <w:rPr>
          <w:rFonts w:ascii="Arial" w:hAnsi="Arial" w:cs="Arial"/>
          <w:noProof/>
          <w:sz w:val="24"/>
          <w:szCs w:val="24"/>
        </w:rPr>
        <w:t xml:space="preserve">, </w:t>
      </w:r>
      <w:r w:rsidRPr="006F3748">
        <w:rPr>
          <w:rFonts w:ascii="Arial" w:hAnsi="Arial" w:cs="Arial"/>
          <w:i/>
          <w:iCs/>
          <w:noProof/>
          <w:sz w:val="24"/>
          <w:szCs w:val="24"/>
        </w:rPr>
        <w:t>33</w:t>
      </w:r>
      <w:r w:rsidRPr="006F3748">
        <w:rPr>
          <w:rFonts w:ascii="Arial" w:hAnsi="Arial" w:cs="Arial"/>
          <w:noProof/>
          <w:sz w:val="24"/>
          <w:szCs w:val="24"/>
        </w:rPr>
        <w:t>, 71–86. https://doi.org/10.9734/jpri/2021/v33i36a31928</w:t>
      </w:r>
    </w:p>
    <w:p w14:paraId="23254BBE" w14:textId="77777777" w:rsidR="00050742" w:rsidRPr="006F3748" w:rsidRDefault="00050742" w:rsidP="00033F05">
      <w:pPr>
        <w:pStyle w:val="ListParagraph"/>
        <w:widowControl w:val="0"/>
        <w:numPr>
          <w:ilvl w:val="0"/>
          <w:numId w:val="1"/>
        </w:numPr>
        <w:autoSpaceDE w:val="0"/>
        <w:autoSpaceDN w:val="0"/>
        <w:adjustRightInd w:val="0"/>
        <w:spacing w:line="240" w:lineRule="auto"/>
        <w:jc w:val="both"/>
        <w:rPr>
          <w:rFonts w:ascii="Arial" w:hAnsi="Arial" w:cs="Arial"/>
          <w:noProof/>
          <w:sz w:val="24"/>
          <w:szCs w:val="24"/>
        </w:rPr>
      </w:pPr>
      <w:r w:rsidRPr="006F3748">
        <w:rPr>
          <w:rFonts w:ascii="Arial" w:hAnsi="Arial" w:cs="Arial"/>
          <w:noProof/>
          <w:sz w:val="24"/>
          <w:szCs w:val="24"/>
        </w:rPr>
        <w:t xml:space="preserve">Shomudro, H. K., Aboni, A. M., Jasmeen, T., &amp; Sanam, S. (2023). In-Vitro Antioxidant, Anti-Arthritis, Anti-inflammatory, Thrombolysis, Anti-bacterial, and in-Vivo Neuropharmacological Activities of Bioactive Metabolites of Solanum americanum Mill. </w:t>
      </w:r>
      <w:r w:rsidRPr="006F3748">
        <w:rPr>
          <w:rFonts w:ascii="Arial" w:hAnsi="Arial" w:cs="Arial"/>
          <w:i/>
          <w:iCs/>
          <w:noProof/>
          <w:sz w:val="24"/>
          <w:szCs w:val="24"/>
        </w:rPr>
        <w:t>Journal of Pharmaceutical Research International</w:t>
      </w:r>
      <w:r w:rsidRPr="006F3748">
        <w:rPr>
          <w:rFonts w:ascii="Arial" w:hAnsi="Arial" w:cs="Arial"/>
          <w:noProof/>
          <w:sz w:val="24"/>
          <w:szCs w:val="24"/>
        </w:rPr>
        <w:t xml:space="preserve">, </w:t>
      </w:r>
      <w:r w:rsidRPr="006F3748">
        <w:rPr>
          <w:rFonts w:ascii="Arial" w:hAnsi="Arial" w:cs="Arial"/>
          <w:i/>
          <w:iCs/>
          <w:noProof/>
          <w:sz w:val="24"/>
          <w:szCs w:val="24"/>
        </w:rPr>
        <w:t>35</w:t>
      </w:r>
      <w:r w:rsidRPr="006F3748">
        <w:rPr>
          <w:rFonts w:ascii="Arial" w:hAnsi="Arial" w:cs="Arial"/>
          <w:noProof/>
          <w:sz w:val="24"/>
          <w:szCs w:val="24"/>
        </w:rPr>
        <w:t>(7), 29–39. https://doi.org/10.9734/jpri/2023/v35i77338</w:t>
      </w:r>
    </w:p>
    <w:p w14:paraId="68D77EE7" w14:textId="77777777" w:rsidR="00050742" w:rsidRPr="00050742" w:rsidRDefault="00050742" w:rsidP="00033F05">
      <w:pPr>
        <w:pStyle w:val="ListParagraph"/>
        <w:widowControl w:val="0"/>
        <w:numPr>
          <w:ilvl w:val="0"/>
          <w:numId w:val="1"/>
        </w:numPr>
        <w:autoSpaceDE w:val="0"/>
        <w:autoSpaceDN w:val="0"/>
        <w:adjustRightInd w:val="0"/>
        <w:spacing w:line="240" w:lineRule="auto"/>
        <w:jc w:val="both"/>
        <w:rPr>
          <w:rFonts w:ascii="Arial" w:hAnsi="Arial" w:cs="Arial"/>
          <w:noProof/>
          <w:sz w:val="24"/>
          <w:szCs w:val="24"/>
        </w:rPr>
      </w:pPr>
      <w:r w:rsidRPr="00050742">
        <w:rPr>
          <w:rFonts w:ascii="Arial" w:hAnsi="Arial" w:cs="Arial"/>
          <w:color w:val="222222"/>
          <w:sz w:val="24"/>
          <w:szCs w:val="24"/>
          <w:shd w:val="clear" w:color="auto" w:fill="FFFFFF"/>
        </w:rPr>
        <w:t xml:space="preserve">Shomudro, H. K., Akter, U., Moni, F., &amp; Bonna, K. A. (2023). Biological Investigation of In-vitro Anti-Inflammatory, Antifungal, Anti-Arthritic, Thrombolytic, Membrane Stabilizing an In-vivo Acute Toxicological Activity of </w:t>
      </w:r>
      <w:proofErr w:type="spellStart"/>
      <w:r w:rsidRPr="00050742">
        <w:rPr>
          <w:rFonts w:ascii="Arial" w:hAnsi="Arial" w:cs="Arial"/>
          <w:color w:val="222222"/>
          <w:sz w:val="24"/>
          <w:szCs w:val="24"/>
          <w:shd w:val="clear" w:color="auto" w:fill="FFFFFF"/>
        </w:rPr>
        <w:t>Launaeaasplenifolia</w:t>
      </w:r>
      <w:proofErr w:type="spellEnd"/>
      <w:r w:rsidRPr="00050742">
        <w:rPr>
          <w:rFonts w:ascii="Arial" w:hAnsi="Arial" w:cs="Arial"/>
          <w:color w:val="222222"/>
          <w:sz w:val="24"/>
          <w:szCs w:val="24"/>
          <w:shd w:val="clear" w:color="auto" w:fill="FFFFFF"/>
        </w:rPr>
        <w:t>. </w:t>
      </w:r>
      <w:r w:rsidRPr="00050742">
        <w:rPr>
          <w:rFonts w:ascii="Arial" w:hAnsi="Arial" w:cs="Arial"/>
          <w:iCs/>
          <w:color w:val="222222"/>
          <w:sz w:val="24"/>
          <w:szCs w:val="24"/>
          <w:shd w:val="clear" w:color="auto" w:fill="FFFFFF"/>
        </w:rPr>
        <w:t>South Asian Research Journal of Natural Products</w:t>
      </w:r>
      <w:r w:rsidRPr="00050742">
        <w:rPr>
          <w:rFonts w:ascii="Arial" w:hAnsi="Arial" w:cs="Arial"/>
          <w:color w:val="222222"/>
          <w:sz w:val="24"/>
          <w:szCs w:val="24"/>
          <w:shd w:val="clear" w:color="auto" w:fill="FFFFFF"/>
        </w:rPr>
        <w:t>, </w:t>
      </w:r>
      <w:r w:rsidRPr="00050742">
        <w:rPr>
          <w:rFonts w:ascii="Arial" w:hAnsi="Arial" w:cs="Arial"/>
          <w:iCs/>
          <w:color w:val="222222"/>
          <w:sz w:val="24"/>
          <w:szCs w:val="24"/>
          <w:shd w:val="clear" w:color="auto" w:fill="FFFFFF"/>
        </w:rPr>
        <w:t>6</w:t>
      </w:r>
      <w:r w:rsidRPr="00050742">
        <w:rPr>
          <w:rFonts w:ascii="Arial" w:hAnsi="Arial" w:cs="Arial"/>
          <w:color w:val="222222"/>
          <w:sz w:val="24"/>
          <w:szCs w:val="24"/>
          <w:shd w:val="clear" w:color="auto" w:fill="FFFFFF"/>
        </w:rPr>
        <w:t>(3), 271-282.</w:t>
      </w:r>
    </w:p>
    <w:p w14:paraId="2E2C5DAE" w14:textId="77777777" w:rsidR="00050742" w:rsidRPr="006F3748" w:rsidRDefault="00050742" w:rsidP="00033F05">
      <w:pPr>
        <w:pStyle w:val="ListParagraph"/>
        <w:widowControl w:val="0"/>
        <w:numPr>
          <w:ilvl w:val="0"/>
          <w:numId w:val="1"/>
        </w:numPr>
        <w:autoSpaceDE w:val="0"/>
        <w:autoSpaceDN w:val="0"/>
        <w:adjustRightInd w:val="0"/>
        <w:spacing w:line="240" w:lineRule="auto"/>
        <w:jc w:val="both"/>
        <w:rPr>
          <w:rFonts w:ascii="Arial" w:hAnsi="Arial" w:cs="Arial"/>
          <w:noProof/>
          <w:sz w:val="24"/>
          <w:szCs w:val="24"/>
        </w:rPr>
      </w:pPr>
      <w:r w:rsidRPr="006F3748">
        <w:rPr>
          <w:rFonts w:ascii="Arial" w:hAnsi="Arial" w:cs="Arial"/>
          <w:noProof/>
          <w:sz w:val="24"/>
          <w:szCs w:val="24"/>
        </w:rPr>
        <w:t xml:space="preserve">Shomudro, H. K., Shaira, H. A., &amp; Afreen, S. (2023). </w:t>
      </w:r>
      <w:r w:rsidRPr="006F3748">
        <w:rPr>
          <w:rFonts w:ascii="Arial" w:hAnsi="Arial" w:cs="Arial"/>
          <w:i/>
          <w:iCs/>
          <w:noProof/>
          <w:sz w:val="24"/>
          <w:szCs w:val="24"/>
        </w:rPr>
        <w:t>Evaluation of in vitro antioxidant , anti-bacterial , cytotoxic and in vivo analgesic and neuro- pharmacological investigation of alysicarpus vaginalis available in Bangladesh</w:t>
      </w:r>
      <w:r w:rsidRPr="006F3748">
        <w:rPr>
          <w:rFonts w:ascii="Arial" w:hAnsi="Arial" w:cs="Arial"/>
          <w:noProof/>
          <w:sz w:val="24"/>
          <w:szCs w:val="24"/>
        </w:rPr>
        <w:t xml:space="preserve">. </w:t>
      </w:r>
      <w:r w:rsidRPr="006F3748">
        <w:rPr>
          <w:rFonts w:ascii="Arial" w:hAnsi="Arial" w:cs="Arial"/>
          <w:i/>
          <w:iCs/>
          <w:noProof/>
          <w:sz w:val="24"/>
          <w:szCs w:val="24"/>
        </w:rPr>
        <w:t>12</w:t>
      </w:r>
      <w:r w:rsidRPr="006F3748">
        <w:rPr>
          <w:rFonts w:ascii="Arial" w:hAnsi="Arial" w:cs="Arial"/>
          <w:noProof/>
          <w:sz w:val="24"/>
          <w:szCs w:val="24"/>
        </w:rPr>
        <w:t>(1), 316–323.</w:t>
      </w:r>
    </w:p>
    <w:p w14:paraId="7712960D" w14:textId="77777777" w:rsidR="00050742" w:rsidRPr="006F3748" w:rsidRDefault="00050742" w:rsidP="00033F05">
      <w:pPr>
        <w:pStyle w:val="ListParagraph"/>
        <w:widowControl w:val="0"/>
        <w:numPr>
          <w:ilvl w:val="0"/>
          <w:numId w:val="1"/>
        </w:numPr>
        <w:autoSpaceDE w:val="0"/>
        <w:autoSpaceDN w:val="0"/>
        <w:adjustRightInd w:val="0"/>
        <w:spacing w:line="240" w:lineRule="auto"/>
        <w:jc w:val="both"/>
        <w:rPr>
          <w:rFonts w:ascii="Arial" w:hAnsi="Arial" w:cs="Arial"/>
          <w:noProof/>
          <w:sz w:val="24"/>
          <w:szCs w:val="24"/>
        </w:rPr>
      </w:pPr>
      <w:r w:rsidRPr="006F3748">
        <w:rPr>
          <w:rFonts w:ascii="Arial" w:hAnsi="Arial" w:cs="Arial"/>
          <w:noProof/>
          <w:sz w:val="24"/>
          <w:szCs w:val="24"/>
        </w:rPr>
        <w:t xml:space="preserve">Takey, I. I., Shomudro, H. K., &amp; Chowdhury, S. A. (2024). Evaluation of In-vitro Anti-Inflammatory, Anti-Fungal, Thrombolytic, Membrane Stabilizing and Cytotoxic Properties of (Camellia chrysantha Hu Tuyama). </w:t>
      </w:r>
      <w:r w:rsidRPr="006F3748">
        <w:rPr>
          <w:rFonts w:ascii="Arial" w:hAnsi="Arial" w:cs="Arial"/>
          <w:i/>
          <w:iCs/>
          <w:noProof/>
          <w:sz w:val="24"/>
          <w:szCs w:val="24"/>
        </w:rPr>
        <w:t>Asian Journal of Medicine and Health</w:t>
      </w:r>
      <w:r w:rsidRPr="006F3748">
        <w:rPr>
          <w:rFonts w:ascii="Arial" w:hAnsi="Arial" w:cs="Arial"/>
          <w:noProof/>
          <w:sz w:val="24"/>
          <w:szCs w:val="24"/>
        </w:rPr>
        <w:t xml:space="preserve">, </w:t>
      </w:r>
      <w:r w:rsidRPr="006F3748">
        <w:rPr>
          <w:rFonts w:ascii="Arial" w:hAnsi="Arial" w:cs="Arial"/>
          <w:i/>
          <w:iCs/>
          <w:noProof/>
          <w:sz w:val="24"/>
          <w:szCs w:val="24"/>
        </w:rPr>
        <w:t>22</w:t>
      </w:r>
      <w:r w:rsidRPr="006F3748">
        <w:rPr>
          <w:rFonts w:ascii="Arial" w:hAnsi="Arial" w:cs="Arial"/>
          <w:noProof/>
          <w:sz w:val="24"/>
          <w:szCs w:val="24"/>
        </w:rPr>
        <w:t>(7), 36–44. https://doi.org/10.9734/ajmah/2024/v22i71043</w:t>
      </w:r>
    </w:p>
    <w:p w14:paraId="1F13799E" w14:textId="77777777" w:rsidR="00050742" w:rsidRPr="006F3748" w:rsidRDefault="00050742" w:rsidP="00033F05">
      <w:pPr>
        <w:pStyle w:val="ListParagraph"/>
        <w:numPr>
          <w:ilvl w:val="0"/>
          <w:numId w:val="1"/>
        </w:numPr>
        <w:jc w:val="both"/>
        <w:rPr>
          <w:rFonts w:ascii="Arial" w:hAnsi="Arial" w:cs="Arial"/>
          <w:color w:val="222222"/>
          <w:sz w:val="24"/>
          <w:szCs w:val="24"/>
          <w:shd w:val="clear" w:color="auto" w:fill="FFFFFF"/>
        </w:rPr>
      </w:pPr>
      <w:proofErr w:type="spellStart"/>
      <w:r w:rsidRPr="006F3748">
        <w:rPr>
          <w:rFonts w:ascii="Arial" w:hAnsi="Arial" w:cs="Arial"/>
          <w:color w:val="222222"/>
          <w:sz w:val="24"/>
          <w:szCs w:val="24"/>
          <w:shd w:val="clear" w:color="auto" w:fill="FFFFFF"/>
        </w:rPr>
        <w:t>Vallianou</w:t>
      </w:r>
      <w:proofErr w:type="spellEnd"/>
      <w:r w:rsidRPr="006F3748">
        <w:rPr>
          <w:rFonts w:ascii="Arial" w:hAnsi="Arial" w:cs="Arial"/>
          <w:color w:val="222222"/>
          <w:sz w:val="24"/>
          <w:szCs w:val="24"/>
          <w:shd w:val="clear" w:color="auto" w:fill="FFFFFF"/>
        </w:rPr>
        <w:t>, N. G., Evangelopoulos, A., Schizas, N., &amp;</w:t>
      </w:r>
      <w:proofErr w:type="spellStart"/>
      <w:r w:rsidRPr="006F3748">
        <w:rPr>
          <w:rFonts w:ascii="Arial" w:hAnsi="Arial" w:cs="Arial"/>
          <w:color w:val="222222"/>
          <w:sz w:val="24"/>
          <w:szCs w:val="24"/>
          <w:shd w:val="clear" w:color="auto" w:fill="FFFFFF"/>
        </w:rPr>
        <w:t>Kazazis</w:t>
      </w:r>
      <w:proofErr w:type="spellEnd"/>
      <w:r w:rsidRPr="006F3748">
        <w:rPr>
          <w:rFonts w:ascii="Arial" w:hAnsi="Arial" w:cs="Arial"/>
          <w:color w:val="222222"/>
          <w:sz w:val="24"/>
          <w:szCs w:val="24"/>
          <w:shd w:val="clear" w:color="auto" w:fill="FFFFFF"/>
        </w:rPr>
        <w:t>, C. (2015). Potential anticancer properties and mechanisms of action of curcumin. </w:t>
      </w:r>
      <w:r w:rsidRPr="006F3748">
        <w:rPr>
          <w:rFonts w:ascii="Arial" w:hAnsi="Arial" w:cs="Arial"/>
          <w:i/>
          <w:iCs/>
          <w:color w:val="222222"/>
          <w:sz w:val="24"/>
          <w:szCs w:val="24"/>
          <w:shd w:val="clear" w:color="auto" w:fill="FFFFFF"/>
        </w:rPr>
        <w:t>Anticancer research</w:t>
      </w:r>
      <w:r w:rsidRPr="006F3748">
        <w:rPr>
          <w:rFonts w:ascii="Arial" w:hAnsi="Arial" w:cs="Arial"/>
          <w:color w:val="222222"/>
          <w:sz w:val="24"/>
          <w:szCs w:val="24"/>
          <w:shd w:val="clear" w:color="auto" w:fill="FFFFFF"/>
        </w:rPr>
        <w:t>, </w:t>
      </w:r>
      <w:r w:rsidRPr="006F3748">
        <w:rPr>
          <w:rFonts w:ascii="Arial" w:hAnsi="Arial" w:cs="Arial"/>
          <w:i/>
          <w:iCs/>
          <w:color w:val="222222"/>
          <w:sz w:val="24"/>
          <w:szCs w:val="24"/>
          <w:shd w:val="clear" w:color="auto" w:fill="FFFFFF"/>
        </w:rPr>
        <w:t>35</w:t>
      </w:r>
      <w:r w:rsidRPr="006F3748">
        <w:rPr>
          <w:rFonts w:ascii="Arial" w:hAnsi="Arial" w:cs="Arial"/>
          <w:color w:val="222222"/>
          <w:sz w:val="24"/>
          <w:szCs w:val="24"/>
          <w:shd w:val="clear" w:color="auto" w:fill="FFFFFF"/>
        </w:rPr>
        <w:t>(2), 645-651.</w:t>
      </w:r>
    </w:p>
    <w:p w14:paraId="492D76D8" w14:textId="77777777" w:rsidR="00050742" w:rsidRDefault="00050742" w:rsidP="00033F05">
      <w:pPr>
        <w:pStyle w:val="ListParagraph"/>
        <w:widowControl w:val="0"/>
        <w:numPr>
          <w:ilvl w:val="0"/>
          <w:numId w:val="1"/>
        </w:numPr>
        <w:autoSpaceDE w:val="0"/>
        <w:autoSpaceDN w:val="0"/>
        <w:adjustRightInd w:val="0"/>
        <w:spacing w:line="240" w:lineRule="auto"/>
        <w:jc w:val="both"/>
        <w:rPr>
          <w:rFonts w:ascii="Arial" w:hAnsi="Arial" w:cs="Arial"/>
          <w:noProof/>
          <w:sz w:val="24"/>
          <w:szCs w:val="24"/>
        </w:rPr>
      </w:pPr>
      <w:r w:rsidRPr="006F3748">
        <w:rPr>
          <w:rFonts w:ascii="Arial" w:hAnsi="Arial" w:cs="Arial"/>
          <w:noProof/>
          <w:sz w:val="24"/>
          <w:szCs w:val="24"/>
        </w:rPr>
        <w:t xml:space="preserve">Wang, J. wen, Chen, S. shan, Zhang, Y. meng, Guan, J., Su, G. Y., Ding, M., Li, W., &amp; Zhao, Y. Q. (2019). Anti-inflammatory and analgesic activity based on polymorphism of cedrol in mice. </w:t>
      </w:r>
      <w:r w:rsidRPr="006F3748">
        <w:rPr>
          <w:rFonts w:ascii="Arial" w:hAnsi="Arial" w:cs="Arial"/>
          <w:i/>
          <w:iCs/>
          <w:noProof/>
          <w:sz w:val="24"/>
          <w:szCs w:val="24"/>
        </w:rPr>
        <w:t>Environmental Toxicology and Pharmacology</w:t>
      </w:r>
      <w:r w:rsidRPr="006F3748">
        <w:rPr>
          <w:rFonts w:ascii="Arial" w:hAnsi="Arial" w:cs="Arial"/>
          <w:noProof/>
          <w:sz w:val="24"/>
          <w:szCs w:val="24"/>
        </w:rPr>
        <w:t xml:space="preserve">, </w:t>
      </w:r>
      <w:r w:rsidRPr="006F3748">
        <w:rPr>
          <w:rFonts w:ascii="Arial" w:hAnsi="Arial" w:cs="Arial"/>
          <w:i/>
          <w:iCs/>
          <w:noProof/>
          <w:sz w:val="24"/>
          <w:szCs w:val="24"/>
        </w:rPr>
        <w:t>68</w:t>
      </w:r>
      <w:r w:rsidRPr="006F3748">
        <w:rPr>
          <w:rFonts w:ascii="Arial" w:hAnsi="Arial" w:cs="Arial"/>
          <w:noProof/>
          <w:sz w:val="24"/>
          <w:szCs w:val="24"/>
        </w:rPr>
        <w:t xml:space="preserve">(September 2018), 13–18. </w:t>
      </w:r>
      <w:hyperlink r:id="rId16" w:history="1">
        <w:r w:rsidRPr="009E7378">
          <w:rPr>
            <w:rStyle w:val="Hyperlink"/>
            <w:rFonts w:ascii="Arial" w:hAnsi="Arial" w:cs="Arial"/>
            <w:noProof/>
            <w:color w:val="auto"/>
            <w:sz w:val="24"/>
            <w:szCs w:val="24"/>
            <w:u w:val="none"/>
          </w:rPr>
          <w:t>https://doi.org/10.1016/j.etap.2019.02.005</w:t>
        </w:r>
      </w:hyperlink>
    </w:p>
    <w:p w14:paraId="70350B24" w14:textId="77777777" w:rsidR="004A58A0" w:rsidRDefault="004A58A0" w:rsidP="009E7378">
      <w:pPr>
        <w:widowControl w:val="0"/>
        <w:autoSpaceDE w:val="0"/>
        <w:autoSpaceDN w:val="0"/>
        <w:adjustRightInd w:val="0"/>
        <w:spacing w:line="240" w:lineRule="auto"/>
        <w:ind w:left="480" w:hanging="480"/>
        <w:rPr>
          <w:rFonts w:ascii="Arial" w:hAnsi="Arial" w:cs="Arial"/>
          <w:sz w:val="24"/>
          <w:lang w:val="en-US"/>
        </w:rPr>
      </w:pPr>
    </w:p>
    <w:p w14:paraId="3DF959A4" w14:textId="77777777" w:rsidR="001115DF" w:rsidRDefault="001115DF" w:rsidP="00325E28">
      <w:pPr>
        <w:widowControl w:val="0"/>
        <w:autoSpaceDE w:val="0"/>
        <w:autoSpaceDN w:val="0"/>
        <w:adjustRightInd w:val="0"/>
        <w:spacing w:line="240" w:lineRule="auto"/>
        <w:rPr>
          <w:rFonts w:ascii="Arial" w:hAnsi="Arial" w:cs="Arial"/>
          <w:sz w:val="24"/>
          <w:lang w:val="en-US"/>
        </w:rPr>
      </w:pPr>
    </w:p>
    <w:sectPr w:rsidR="001115DF" w:rsidSect="00F726D7">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B1DF49D" w16cex:dateUtc="2025-04-01T18:4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47F3A" w14:textId="77777777" w:rsidR="009B7ABB" w:rsidRDefault="009B7ABB" w:rsidP="00A63F7F">
      <w:pPr>
        <w:spacing w:after="0" w:line="240" w:lineRule="auto"/>
      </w:pPr>
      <w:r>
        <w:separator/>
      </w:r>
    </w:p>
  </w:endnote>
  <w:endnote w:type="continuationSeparator" w:id="0">
    <w:p w14:paraId="2B931F09" w14:textId="77777777" w:rsidR="009B7ABB" w:rsidRDefault="009B7ABB" w:rsidP="00A63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Gautami">
    <w:altName w:val="Gautami"/>
    <w:panose1 w:val="02000500000000000000"/>
    <w:charset w:val="00"/>
    <w:family w:val="swiss"/>
    <w:pitch w:val="variable"/>
    <w:sig w:usb0="002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12ADE" w14:textId="77777777" w:rsidR="006A25F1" w:rsidRDefault="006A25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32799" w14:textId="77777777" w:rsidR="006A25F1" w:rsidRDefault="006A25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1810F" w14:textId="77777777" w:rsidR="006A25F1" w:rsidRDefault="006A25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EE75E" w14:textId="77777777" w:rsidR="009B7ABB" w:rsidRDefault="009B7ABB" w:rsidP="00A63F7F">
      <w:pPr>
        <w:spacing w:after="0" w:line="240" w:lineRule="auto"/>
      </w:pPr>
      <w:r>
        <w:separator/>
      </w:r>
    </w:p>
  </w:footnote>
  <w:footnote w:type="continuationSeparator" w:id="0">
    <w:p w14:paraId="2E0631DE" w14:textId="77777777" w:rsidR="009B7ABB" w:rsidRDefault="009B7ABB" w:rsidP="00A63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69E0F" w14:textId="77777777" w:rsidR="006A25F1" w:rsidRDefault="000A2AAA">
    <w:pPr>
      <w:pStyle w:val="Header"/>
    </w:pPr>
    <w:r>
      <w:rPr>
        <w:noProof/>
      </w:rPr>
      <w:pict w14:anchorId="23A086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421262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733F5" w14:textId="77777777" w:rsidR="006A25F1" w:rsidRDefault="000A2AAA">
    <w:pPr>
      <w:pStyle w:val="Header"/>
    </w:pPr>
    <w:r>
      <w:rPr>
        <w:noProof/>
      </w:rPr>
      <w:pict w14:anchorId="60667A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421262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98C79" w14:textId="77777777" w:rsidR="006A25F1" w:rsidRDefault="000A2AAA">
    <w:pPr>
      <w:pStyle w:val="Header"/>
    </w:pPr>
    <w:r>
      <w:rPr>
        <w:noProof/>
      </w:rPr>
      <w:pict w14:anchorId="56842E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421262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1855CA"/>
    <w:multiLevelType w:val="hybridMultilevel"/>
    <w:tmpl w:val="E8A472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5D7"/>
    <w:rsid w:val="000158D7"/>
    <w:rsid w:val="00033F05"/>
    <w:rsid w:val="00040FB5"/>
    <w:rsid w:val="000455E9"/>
    <w:rsid w:val="00050742"/>
    <w:rsid w:val="00050D34"/>
    <w:rsid w:val="0005390A"/>
    <w:rsid w:val="000760BB"/>
    <w:rsid w:val="00087A59"/>
    <w:rsid w:val="000A2AAA"/>
    <w:rsid w:val="000C4218"/>
    <w:rsid w:val="000D61AE"/>
    <w:rsid w:val="000E7559"/>
    <w:rsid w:val="0010603F"/>
    <w:rsid w:val="00107103"/>
    <w:rsid w:val="001115DF"/>
    <w:rsid w:val="00132799"/>
    <w:rsid w:val="001524BF"/>
    <w:rsid w:val="00171730"/>
    <w:rsid w:val="001801C6"/>
    <w:rsid w:val="00194FE6"/>
    <w:rsid w:val="00212D1D"/>
    <w:rsid w:val="002657E4"/>
    <w:rsid w:val="002860F8"/>
    <w:rsid w:val="002D0FD7"/>
    <w:rsid w:val="002D2F59"/>
    <w:rsid w:val="002E3C1A"/>
    <w:rsid w:val="002F15DF"/>
    <w:rsid w:val="002F6968"/>
    <w:rsid w:val="00311B43"/>
    <w:rsid w:val="00325E28"/>
    <w:rsid w:val="00325F69"/>
    <w:rsid w:val="003B5DB6"/>
    <w:rsid w:val="003C6DEF"/>
    <w:rsid w:val="00404D82"/>
    <w:rsid w:val="00411E5A"/>
    <w:rsid w:val="004520FC"/>
    <w:rsid w:val="00460FCB"/>
    <w:rsid w:val="00484EC2"/>
    <w:rsid w:val="00494954"/>
    <w:rsid w:val="00495550"/>
    <w:rsid w:val="004A58A0"/>
    <w:rsid w:val="004D0305"/>
    <w:rsid w:val="004E26AD"/>
    <w:rsid w:val="004F068F"/>
    <w:rsid w:val="0050579C"/>
    <w:rsid w:val="00507AA8"/>
    <w:rsid w:val="00507D56"/>
    <w:rsid w:val="00511293"/>
    <w:rsid w:val="00521115"/>
    <w:rsid w:val="00524537"/>
    <w:rsid w:val="00527618"/>
    <w:rsid w:val="00552C43"/>
    <w:rsid w:val="0055612F"/>
    <w:rsid w:val="005768DC"/>
    <w:rsid w:val="00586C10"/>
    <w:rsid w:val="005A13F3"/>
    <w:rsid w:val="005B3FD0"/>
    <w:rsid w:val="005D4374"/>
    <w:rsid w:val="005E5DC8"/>
    <w:rsid w:val="00605557"/>
    <w:rsid w:val="006576C5"/>
    <w:rsid w:val="00667D5D"/>
    <w:rsid w:val="00677993"/>
    <w:rsid w:val="00684566"/>
    <w:rsid w:val="006A25F1"/>
    <w:rsid w:val="006D7EA1"/>
    <w:rsid w:val="006E0879"/>
    <w:rsid w:val="00714E5D"/>
    <w:rsid w:val="007350FE"/>
    <w:rsid w:val="00737C71"/>
    <w:rsid w:val="00773C75"/>
    <w:rsid w:val="00787361"/>
    <w:rsid w:val="007F0BAB"/>
    <w:rsid w:val="0080672F"/>
    <w:rsid w:val="00810B5F"/>
    <w:rsid w:val="00841D44"/>
    <w:rsid w:val="00880B7E"/>
    <w:rsid w:val="0088186F"/>
    <w:rsid w:val="008A031E"/>
    <w:rsid w:val="008A606C"/>
    <w:rsid w:val="008C205B"/>
    <w:rsid w:val="008C5E75"/>
    <w:rsid w:val="008F5942"/>
    <w:rsid w:val="008F7D3F"/>
    <w:rsid w:val="009113AF"/>
    <w:rsid w:val="00944E5A"/>
    <w:rsid w:val="009603AC"/>
    <w:rsid w:val="00987AD6"/>
    <w:rsid w:val="00991A41"/>
    <w:rsid w:val="00994190"/>
    <w:rsid w:val="00994851"/>
    <w:rsid w:val="009B7ABB"/>
    <w:rsid w:val="009C6DC4"/>
    <w:rsid w:val="009D259A"/>
    <w:rsid w:val="009E1DA7"/>
    <w:rsid w:val="009E7378"/>
    <w:rsid w:val="009F4248"/>
    <w:rsid w:val="00A0340B"/>
    <w:rsid w:val="00A05E0B"/>
    <w:rsid w:val="00A165D7"/>
    <w:rsid w:val="00A2239A"/>
    <w:rsid w:val="00A42A56"/>
    <w:rsid w:val="00A45730"/>
    <w:rsid w:val="00A63F7F"/>
    <w:rsid w:val="00A73F88"/>
    <w:rsid w:val="00AB56EE"/>
    <w:rsid w:val="00AB7A90"/>
    <w:rsid w:val="00B10D76"/>
    <w:rsid w:val="00B431C9"/>
    <w:rsid w:val="00B76379"/>
    <w:rsid w:val="00BA001B"/>
    <w:rsid w:val="00BA7B06"/>
    <w:rsid w:val="00BC5912"/>
    <w:rsid w:val="00BD500A"/>
    <w:rsid w:val="00C03759"/>
    <w:rsid w:val="00C04809"/>
    <w:rsid w:val="00C13D42"/>
    <w:rsid w:val="00C17F63"/>
    <w:rsid w:val="00C43550"/>
    <w:rsid w:val="00C47EF8"/>
    <w:rsid w:val="00C61EB7"/>
    <w:rsid w:val="00C82BE7"/>
    <w:rsid w:val="00C85C08"/>
    <w:rsid w:val="00CB744B"/>
    <w:rsid w:val="00CD2367"/>
    <w:rsid w:val="00CE52BA"/>
    <w:rsid w:val="00D01DF2"/>
    <w:rsid w:val="00D242AA"/>
    <w:rsid w:val="00D4780D"/>
    <w:rsid w:val="00DC5795"/>
    <w:rsid w:val="00E13EC5"/>
    <w:rsid w:val="00E14F63"/>
    <w:rsid w:val="00E22046"/>
    <w:rsid w:val="00E43A14"/>
    <w:rsid w:val="00E50103"/>
    <w:rsid w:val="00E61152"/>
    <w:rsid w:val="00EB1B62"/>
    <w:rsid w:val="00F24ECA"/>
    <w:rsid w:val="00F726D7"/>
    <w:rsid w:val="00F868BB"/>
    <w:rsid w:val="00F96A25"/>
    <w:rsid w:val="00FA468E"/>
    <w:rsid w:val="00FD5AFE"/>
    <w:rsid w:val="00FE1CF5"/>
  </w:rsids>
  <m:mathPr>
    <m:mathFont m:val="Cambria Math"/>
    <m:brkBin m:val="before"/>
    <m:brkBinSub m:val="--"/>
    <m:smallFrac/>
    <m:dispDef/>
    <m:lMargin m:val="0"/>
    <m:rMargin m:val="0"/>
    <m:defJc m:val="centerGroup"/>
    <m:wrapIndent m:val="1440"/>
    <m:intLim m:val="subSup"/>
    <m:naryLim m:val="undOvr"/>
  </m:mathPr>
  <w:themeFontLang w:val="en-US" w:eastAsia="ja-JP" w:bidi="te-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714283C"/>
  <w15:docId w15:val="{2171017F-6884-4760-BEA3-0D93127AC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26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868BB"/>
    <w:rPr>
      <w:i/>
      <w:iCs/>
    </w:rPr>
  </w:style>
  <w:style w:type="table" w:styleId="TableGrid">
    <w:name w:val="Table Grid"/>
    <w:basedOn w:val="TableNormal"/>
    <w:uiPriority w:val="59"/>
    <w:rsid w:val="00714E5D"/>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39"/>
    <w:rsid w:val="007350FE"/>
    <w:pPr>
      <w:spacing w:after="0" w:line="240" w:lineRule="auto"/>
    </w:pPr>
    <w:rPr>
      <w:rFonts w:eastAsiaTheme="minorEastAsia"/>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378"/>
    <w:pPr>
      <w:ind w:left="720"/>
      <w:contextualSpacing/>
    </w:pPr>
  </w:style>
  <w:style w:type="character" w:styleId="Hyperlink">
    <w:name w:val="Hyperlink"/>
    <w:basedOn w:val="DefaultParagraphFont"/>
    <w:uiPriority w:val="99"/>
    <w:unhideWhenUsed/>
    <w:rsid w:val="009E7378"/>
    <w:rPr>
      <w:color w:val="0563C1" w:themeColor="hyperlink"/>
      <w:u w:val="single"/>
    </w:rPr>
  </w:style>
  <w:style w:type="character" w:styleId="Strong">
    <w:name w:val="Strong"/>
    <w:basedOn w:val="DefaultParagraphFont"/>
    <w:uiPriority w:val="22"/>
    <w:qFormat/>
    <w:rsid w:val="00507AA8"/>
    <w:rPr>
      <w:b/>
      <w:bCs/>
    </w:rPr>
  </w:style>
  <w:style w:type="paragraph" w:styleId="Header">
    <w:name w:val="header"/>
    <w:basedOn w:val="Normal"/>
    <w:link w:val="HeaderChar"/>
    <w:uiPriority w:val="99"/>
    <w:unhideWhenUsed/>
    <w:rsid w:val="00A63F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3F7F"/>
  </w:style>
  <w:style w:type="paragraph" w:styleId="Footer">
    <w:name w:val="footer"/>
    <w:basedOn w:val="Normal"/>
    <w:link w:val="FooterChar"/>
    <w:uiPriority w:val="99"/>
    <w:unhideWhenUsed/>
    <w:rsid w:val="00A63F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3F7F"/>
  </w:style>
  <w:style w:type="character" w:customStyle="1" w:styleId="UnresolvedMention1">
    <w:name w:val="Unresolved Mention1"/>
    <w:basedOn w:val="DefaultParagraphFont"/>
    <w:uiPriority w:val="99"/>
    <w:semiHidden/>
    <w:unhideWhenUsed/>
    <w:rsid w:val="00787361"/>
    <w:rPr>
      <w:color w:val="605E5C"/>
      <w:shd w:val="clear" w:color="auto" w:fill="E1DFDD"/>
    </w:rPr>
  </w:style>
  <w:style w:type="paragraph" w:styleId="BalloonText">
    <w:name w:val="Balloon Text"/>
    <w:basedOn w:val="Normal"/>
    <w:link w:val="BalloonTextChar"/>
    <w:uiPriority w:val="99"/>
    <w:semiHidden/>
    <w:unhideWhenUsed/>
    <w:rsid w:val="008A03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31E"/>
    <w:rPr>
      <w:rFonts w:ascii="Tahoma" w:hAnsi="Tahoma" w:cs="Tahoma"/>
      <w:sz w:val="16"/>
      <w:szCs w:val="16"/>
    </w:rPr>
  </w:style>
  <w:style w:type="character" w:styleId="CommentReference">
    <w:name w:val="annotation reference"/>
    <w:basedOn w:val="DefaultParagraphFont"/>
    <w:uiPriority w:val="99"/>
    <w:semiHidden/>
    <w:unhideWhenUsed/>
    <w:rsid w:val="008A031E"/>
    <w:rPr>
      <w:sz w:val="16"/>
      <w:szCs w:val="16"/>
    </w:rPr>
  </w:style>
  <w:style w:type="paragraph" w:styleId="CommentText">
    <w:name w:val="annotation text"/>
    <w:basedOn w:val="Normal"/>
    <w:link w:val="CommentTextChar"/>
    <w:uiPriority w:val="99"/>
    <w:unhideWhenUsed/>
    <w:rsid w:val="008A031E"/>
    <w:pPr>
      <w:spacing w:line="240" w:lineRule="auto"/>
    </w:pPr>
    <w:rPr>
      <w:sz w:val="20"/>
      <w:szCs w:val="20"/>
    </w:rPr>
  </w:style>
  <w:style w:type="character" w:customStyle="1" w:styleId="CommentTextChar">
    <w:name w:val="Comment Text Char"/>
    <w:basedOn w:val="DefaultParagraphFont"/>
    <w:link w:val="CommentText"/>
    <w:uiPriority w:val="99"/>
    <w:rsid w:val="008A031E"/>
    <w:rPr>
      <w:sz w:val="20"/>
      <w:szCs w:val="20"/>
    </w:rPr>
  </w:style>
  <w:style w:type="paragraph" w:styleId="CommentSubject">
    <w:name w:val="annotation subject"/>
    <w:basedOn w:val="CommentText"/>
    <w:next w:val="CommentText"/>
    <w:link w:val="CommentSubjectChar"/>
    <w:uiPriority w:val="99"/>
    <w:semiHidden/>
    <w:unhideWhenUsed/>
    <w:rsid w:val="008A031E"/>
    <w:rPr>
      <w:b/>
      <w:bCs/>
    </w:rPr>
  </w:style>
  <w:style w:type="character" w:customStyle="1" w:styleId="CommentSubjectChar">
    <w:name w:val="Comment Subject Char"/>
    <w:basedOn w:val="CommentTextChar"/>
    <w:link w:val="CommentSubject"/>
    <w:uiPriority w:val="99"/>
    <w:semiHidden/>
    <w:rsid w:val="008A03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88026">
      <w:bodyDiv w:val="1"/>
      <w:marLeft w:val="0"/>
      <w:marRight w:val="0"/>
      <w:marTop w:val="0"/>
      <w:marBottom w:val="0"/>
      <w:divBdr>
        <w:top w:val="none" w:sz="0" w:space="0" w:color="auto"/>
        <w:left w:val="none" w:sz="0" w:space="0" w:color="auto"/>
        <w:bottom w:val="none" w:sz="0" w:space="0" w:color="auto"/>
        <w:right w:val="none" w:sz="0" w:space="0" w:color="auto"/>
      </w:divBdr>
    </w:div>
    <w:div w:id="485708820">
      <w:bodyDiv w:val="1"/>
      <w:marLeft w:val="0"/>
      <w:marRight w:val="0"/>
      <w:marTop w:val="0"/>
      <w:marBottom w:val="0"/>
      <w:divBdr>
        <w:top w:val="none" w:sz="0" w:space="0" w:color="auto"/>
        <w:left w:val="none" w:sz="0" w:space="0" w:color="auto"/>
        <w:bottom w:val="none" w:sz="0" w:space="0" w:color="auto"/>
        <w:right w:val="none" w:sz="0" w:space="0" w:color="auto"/>
      </w:divBdr>
    </w:div>
    <w:div w:id="489977844">
      <w:bodyDiv w:val="1"/>
      <w:marLeft w:val="0"/>
      <w:marRight w:val="0"/>
      <w:marTop w:val="0"/>
      <w:marBottom w:val="0"/>
      <w:divBdr>
        <w:top w:val="none" w:sz="0" w:space="0" w:color="auto"/>
        <w:left w:val="none" w:sz="0" w:space="0" w:color="auto"/>
        <w:bottom w:val="none" w:sz="0" w:space="0" w:color="auto"/>
        <w:right w:val="none" w:sz="0" w:space="0" w:color="auto"/>
      </w:divBdr>
      <w:divsChild>
        <w:div w:id="209999548">
          <w:marLeft w:val="0"/>
          <w:marRight w:val="0"/>
          <w:marTop w:val="100"/>
          <w:marBottom w:val="100"/>
          <w:divBdr>
            <w:top w:val="none" w:sz="0" w:space="0" w:color="auto"/>
            <w:left w:val="none" w:sz="0" w:space="0" w:color="auto"/>
            <w:bottom w:val="none" w:sz="0" w:space="0" w:color="auto"/>
            <w:right w:val="none" w:sz="0" w:space="0" w:color="auto"/>
          </w:divBdr>
          <w:divsChild>
            <w:div w:id="1729642961">
              <w:marLeft w:val="0"/>
              <w:marRight w:val="0"/>
              <w:marTop w:val="0"/>
              <w:marBottom w:val="0"/>
              <w:divBdr>
                <w:top w:val="none" w:sz="0" w:space="0" w:color="auto"/>
                <w:left w:val="none" w:sz="0" w:space="0" w:color="auto"/>
                <w:bottom w:val="none" w:sz="0" w:space="0" w:color="auto"/>
                <w:right w:val="none" w:sz="0" w:space="0" w:color="auto"/>
              </w:divBdr>
              <w:divsChild>
                <w:div w:id="149664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820497">
      <w:bodyDiv w:val="1"/>
      <w:marLeft w:val="0"/>
      <w:marRight w:val="0"/>
      <w:marTop w:val="0"/>
      <w:marBottom w:val="0"/>
      <w:divBdr>
        <w:top w:val="none" w:sz="0" w:space="0" w:color="auto"/>
        <w:left w:val="none" w:sz="0" w:space="0" w:color="auto"/>
        <w:bottom w:val="none" w:sz="0" w:space="0" w:color="auto"/>
        <w:right w:val="none" w:sz="0" w:space="0" w:color="auto"/>
      </w:divBdr>
    </w:div>
    <w:div w:id="929895403">
      <w:bodyDiv w:val="1"/>
      <w:marLeft w:val="0"/>
      <w:marRight w:val="0"/>
      <w:marTop w:val="0"/>
      <w:marBottom w:val="0"/>
      <w:divBdr>
        <w:top w:val="none" w:sz="0" w:space="0" w:color="auto"/>
        <w:left w:val="none" w:sz="0" w:space="0" w:color="auto"/>
        <w:bottom w:val="none" w:sz="0" w:space="0" w:color="auto"/>
        <w:right w:val="none" w:sz="0" w:space="0" w:color="auto"/>
      </w:divBdr>
    </w:div>
    <w:div w:id="1002585487">
      <w:bodyDiv w:val="1"/>
      <w:marLeft w:val="0"/>
      <w:marRight w:val="0"/>
      <w:marTop w:val="0"/>
      <w:marBottom w:val="0"/>
      <w:divBdr>
        <w:top w:val="none" w:sz="0" w:space="0" w:color="auto"/>
        <w:left w:val="none" w:sz="0" w:space="0" w:color="auto"/>
        <w:bottom w:val="none" w:sz="0" w:space="0" w:color="auto"/>
        <w:right w:val="none" w:sz="0" w:space="0" w:color="auto"/>
      </w:divBdr>
    </w:div>
    <w:div w:id="1034505576">
      <w:bodyDiv w:val="1"/>
      <w:marLeft w:val="0"/>
      <w:marRight w:val="0"/>
      <w:marTop w:val="0"/>
      <w:marBottom w:val="0"/>
      <w:divBdr>
        <w:top w:val="none" w:sz="0" w:space="0" w:color="auto"/>
        <w:left w:val="none" w:sz="0" w:space="0" w:color="auto"/>
        <w:bottom w:val="none" w:sz="0" w:space="0" w:color="auto"/>
        <w:right w:val="none" w:sz="0" w:space="0" w:color="auto"/>
      </w:divBdr>
    </w:div>
    <w:div w:id="1142582283">
      <w:bodyDiv w:val="1"/>
      <w:marLeft w:val="0"/>
      <w:marRight w:val="0"/>
      <w:marTop w:val="0"/>
      <w:marBottom w:val="0"/>
      <w:divBdr>
        <w:top w:val="none" w:sz="0" w:space="0" w:color="auto"/>
        <w:left w:val="none" w:sz="0" w:space="0" w:color="auto"/>
        <w:bottom w:val="none" w:sz="0" w:space="0" w:color="auto"/>
        <w:right w:val="none" w:sz="0" w:space="0" w:color="auto"/>
      </w:divBdr>
    </w:div>
    <w:div w:id="1216426358">
      <w:bodyDiv w:val="1"/>
      <w:marLeft w:val="0"/>
      <w:marRight w:val="0"/>
      <w:marTop w:val="0"/>
      <w:marBottom w:val="0"/>
      <w:divBdr>
        <w:top w:val="none" w:sz="0" w:space="0" w:color="auto"/>
        <w:left w:val="none" w:sz="0" w:space="0" w:color="auto"/>
        <w:bottom w:val="none" w:sz="0" w:space="0" w:color="auto"/>
        <w:right w:val="none" w:sz="0" w:space="0" w:color="auto"/>
      </w:divBdr>
    </w:div>
    <w:div w:id="1294751381">
      <w:bodyDiv w:val="1"/>
      <w:marLeft w:val="0"/>
      <w:marRight w:val="0"/>
      <w:marTop w:val="0"/>
      <w:marBottom w:val="0"/>
      <w:divBdr>
        <w:top w:val="none" w:sz="0" w:space="0" w:color="auto"/>
        <w:left w:val="none" w:sz="0" w:space="0" w:color="auto"/>
        <w:bottom w:val="none" w:sz="0" w:space="0" w:color="auto"/>
        <w:right w:val="none" w:sz="0" w:space="0" w:color="auto"/>
      </w:divBdr>
    </w:div>
    <w:div w:id="1631134658">
      <w:bodyDiv w:val="1"/>
      <w:marLeft w:val="0"/>
      <w:marRight w:val="0"/>
      <w:marTop w:val="0"/>
      <w:marBottom w:val="0"/>
      <w:divBdr>
        <w:top w:val="none" w:sz="0" w:space="0" w:color="auto"/>
        <w:left w:val="none" w:sz="0" w:space="0" w:color="auto"/>
        <w:bottom w:val="none" w:sz="0" w:space="0" w:color="auto"/>
        <w:right w:val="none" w:sz="0" w:space="0" w:color="auto"/>
      </w:divBdr>
    </w:div>
    <w:div w:id="1674532677">
      <w:bodyDiv w:val="1"/>
      <w:marLeft w:val="0"/>
      <w:marRight w:val="0"/>
      <w:marTop w:val="0"/>
      <w:marBottom w:val="0"/>
      <w:divBdr>
        <w:top w:val="none" w:sz="0" w:space="0" w:color="auto"/>
        <w:left w:val="none" w:sz="0" w:space="0" w:color="auto"/>
        <w:bottom w:val="none" w:sz="0" w:space="0" w:color="auto"/>
        <w:right w:val="none" w:sz="0" w:space="0" w:color="auto"/>
      </w:divBdr>
    </w:div>
    <w:div w:id="1761951623">
      <w:bodyDiv w:val="1"/>
      <w:marLeft w:val="0"/>
      <w:marRight w:val="0"/>
      <w:marTop w:val="0"/>
      <w:marBottom w:val="0"/>
      <w:divBdr>
        <w:top w:val="none" w:sz="0" w:space="0" w:color="auto"/>
        <w:left w:val="none" w:sz="0" w:space="0" w:color="auto"/>
        <w:bottom w:val="none" w:sz="0" w:space="0" w:color="auto"/>
        <w:right w:val="none" w:sz="0" w:space="0" w:color="auto"/>
      </w:divBdr>
    </w:div>
    <w:div w:id="193601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doi.org/10.1016/j.etap.2019.02.00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3040/IJPSR.0975-8232.6"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564C9-3056-4F1A-A159-F4946C11C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15</Pages>
  <Words>13034</Words>
  <Characters>74300</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SDI PC New 16</cp:lastModifiedBy>
  <cp:revision>19</cp:revision>
  <cp:lastPrinted>2025-02-21T15:43:00Z</cp:lastPrinted>
  <dcterms:created xsi:type="dcterms:W3CDTF">2025-04-01T18:48:00Z</dcterms:created>
  <dcterms:modified xsi:type="dcterms:W3CDTF">2025-04-10T10:20:00Z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http://www.zotero.org/styles/chicago-note-bibliography</vt:lpwstr>
  </property>
  <property fmtid="{D5CDD505-2E9C-101B-9397-08002B2CF9AE}" pid="9" name="Mendeley Recent Style Name 3_1">
    <vt:lpwstr>Chicago Manual of Style 17th edition (note)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11th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http://www.zotero.org/styles/national-library-of-medicine</vt:lpwstr>
  </property>
  <property fmtid="{D5CDD505-2E9C-101B-9397-08002B2CF9AE}" pid="19" name="Mendeley Recent Style Name 8_1">
    <vt:lpwstr>National Library of Medicine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fce35074-09b3-3a33-9db2-88195b0516a2</vt:lpwstr>
  </property>
  <property fmtid="{D5CDD505-2E9C-101B-9397-08002B2CF9AE}" pid="24" name="Mendeley Citation Style_1">
    <vt:lpwstr>http://www.zotero.org/styles/apa</vt:lpwstr>
  </property>
</Properties>
</file>