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26746">
      <w:pPr>
        <w:pStyle w:val="21"/>
        <w:spacing w:after="0"/>
        <w:jc w:val="both"/>
        <w:rPr>
          <w:rFonts w:ascii="Arial" w:hAnsi="Arial" w:cs="Arial"/>
        </w:rPr>
      </w:pPr>
    </w:p>
    <w:p w14:paraId="57477051">
      <w:pPr>
        <w:jc w:val="both"/>
        <w:rPr>
          <w:rFonts w:ascii="Arial" w:hAnsi="Arial" w:cs="Arial"/>
          <w:b/>
          <w:bCs/>
          <w:i/>
          <w:iCs/>
          <w:sz w:val="36"/>
          <w:szCs w:val="36"/>
          <w:u w:val="single"/>
        </w:rPr>
      </w:pPr>
      <w:r>
        <w:rPr>
          <w:rFonts w:ascii="Arial" w:hAnsi="Arial" w:cs="Arial"/>
          <w:b/>
          <w:bCs/>
          <w:i/>
          <w:iCs/>
          <w:sz w:val="36"/>
          <w:szCs w:val="36"/>
          <w:u w:val="single"/>
        </w:rPr>
        <w:t>Original Research Article</w:t>
      </w:r>
    </w:p>
    <w:p w14:paraId="0B54FE74">
      <w:pPr>
        <w:jc w:val="both"/>
        <w:rPr>
          <w:rFonts w:ascii="Arial" w:hAnsi="Arial" w:cs="Arial"/>
          <w:b/>
          <w:bCs/>
          <w:i/>
          <w:iCs/>
          <w:sz w:val="36"/>
          <w:szCs w:val="36"/>
          <w:u w:val="single"/>
        </w:rPr>
      </w:pPr>
    </w:p>
    <w:p w14:paraId="2280C112">
      <w:pPr>
        <w:jc w:val="both"/>
        <w:rPr>
          <w:rFonts w:ascii="Arial" w:hAnsi="Arial" w:cs="Arial"/>
          <w:b/>
          <w:bCs/>
          <w:sz w:val="36"/>
          <w:szCs w:val="36"/>
        </w:rPr>
      </w:pPr>
      <w:r>
        <w:rPr>
          <w:rFonts w:ascii="Arial" w:hAnsi="Arial" w:cs="Arial"/>
          <w:b/>
          <w:bCs/>
          <w:sz w:val="36"/>
          <w:szCs w:val="36"/>
        </w:rPr>
        <w:t xml:space="preserve">AMELIORATING EFFECT OF AQUEOUS EXTRACT OF </w:t>
      </w:r>
      <w:r>
        <w:rPr>
          <w:rFonts w:ascii="Arial" w:hAnsi="Arial" w:cs="Arial"/>
          <w:b/>
          <w:bCs/>
          <w:i/>
          <w:iCs/>
          <w:sz w:val="36"/>
          <w:szCs w:val="36"/>
        </w:rPr>
        <w:t>Cymbopogon citratus</w:t>
      </w:r>
      <w:r>
        <w:rPr>
          <w:rFonts w:ascii="Arial" w:hAnsi="Arial" w:cs="Arial"/>
          <w:b/>
          <w:bCs/>
          <w:sz w:val="36"/>
          <w:szCs w:val="36"/>
        </w:rPr>
        <w:t xml:space="preserve"> ON CARBON TETRACHLORIDE– INDUCED LIVER INJURY IN WISTAR ALBINO RATS</w:t>
      </w:r>
    </w:p>
    <w:p w14:paraId="407BA4CF">
      <w:pPr>
        <w:pStyle w:val="22"/>
        <w:spacing w:line="240" w:lineRule="auto"/>
        <w:jc w:val="both"/>
        <w:rPr>
          <w:rFonts w:ascii="Arial" w:hAnsi="Arial" w:cs="Arial"/>
          <w:bCs/>
          <w:iCs/>
          <w:kern w:val="28"/>
          <w:sz w:val="36"/>
        </w:rPr>
      </w:pPr>
      <w:r>
        <w:rPr>
          <w:rFonts w:ascii="Arial" w:hAnsi="Arial" w:cs="Arial"/>
          <w:bCs/>
          <w:iCs/>
          <w:kern w:val="28"/>
          <w:sz w:val="36"/>
        </w:rPr>
        <w:t xml:space="preserve"> </w:t>
      </w:r>
    </w:p>
    <w:p w14:paraId="626E67CC">
      <w:pPr>
        <w:pStyle w:val="22"/>
        <w:spacing w:line="240" w:lineRule="auto"/>
        <w:jc w:val="both"/>
        <w:rPr>
          <w:rFonts w:ascii="Arial" w:hAnsi="Arial" w:cs="Arial"/>
          <w:sz w:val="36"/>
        </w:rPr>
      </w:pPr>
    </w:p>
    <w:p w14:paraId="749CE809">
      <w:pPr>
        <w:pStyle w:val="23"/>
        <w:spacing w:after="0" w:line="240" w:lineRule="auto"/>
        <w:jc w:val="both"/>
        <w:rPr>
          <w:rFonts w:ascii="Arial" w:hAnsi="Arial" w:cs="Arial"/>
        </w:rPr>
      </w:pPr>
    </w:p>
    <w:p w14:paraId="427EA13F">
      <w:pPr>
        <w:pStyle w:val="34"/>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0EFCD105">
      <w:pPr>
        <w:pStyle w:val="25"/>
        <w:spacing w:after="0"/>
        <w:jc w:val="both"/>
        <w:rPr>
          <w:rFonts w:ascii="Arial" w:hAnsi="Arial" w:cs="Arial"/>
          <w:sz w:val="24"/>
          <w:szCs w:val="24"/>
        </w:rPr>
      </w:pPr>
      <w:r>
        <w:rPr>
          <w:rFonts w:ascii="Arial" w:hAnsi="Arial" w:cs="Arial"/>
          <w:sz w:val="24"/>
          <w:szCs w:val="24"/>
        </w:rPr>
        <w:t xml:space="preserve">ABSTRACT </w:t>
      </w:r>
    </w:p>
    <w:p w14:paraId="13EB6C35">
      <w:pPr>
        <w:pStyle w:val="3"/>
        <w:shd w:val="clear" w:color="auto" w:fill="FFFFFF"/>
        <w:spacing w:beforeAutospacing="0" w:afterAutospacing="0"/>
        <w:rPr>
          <w:rFonts w:hint="default" w:ascii="Arial" w:hAnsi="Arial" w:eastAsia="sans-serif" w:cs="Arial"/>
          <w:sz w:val="24"/>
          <w:szCs w:val="24"/>
        </w:rPr>
      </w:pPr>
    </w:p>
    <w:p w14:paraId="49A2FA5B">
      <w:pPr>
        <w:pStyle w:val="17"/>
        <w:spacing w:beforeAutospacing="0" w:afterAutospacing="0"/>
        <w:jc w:val="both"/>
        <w:rPr>
          <w:rFonts w:ascii="Arial" w:hAnsi="Arial" w:cs="Arial"/>
        </w:rPr>
      </w:pPr>
      <w:r>
        <w:rPr>
          <w:rStyle w:val="19"/>
          <w:rFonts w:ascii="Arial" w:hAnsi="Arial" w:eastAsia="sans-serif" w:cs="Arial"/>
          <w:shd w:val="clear" w:color="auto" w:fill="FFFFFF"/>
        </w:rPr>
        <w:t>Aims:</w:t>
      </w:r>
      <w:r>
        <w:rPr>
          <w:rFonts w:ascii="Arial" w:hAnsi="Arial" w:eastAsia="sans-serif" w:cs="Arial"/>
          <w:shd w:val="clear" w:color="auto" w:fill="FFFFFF"/>
        </w:rPr>
        <w:t xml:space="preserve"> The aim of this study is to evaluate the ameliorating effect of aqueous extract of </w:t>
      </w:r>
      <w:r>
        <w:rPr>
          <w:rFonts w:ascii="Arial" w:hAnsi="Arial" w:cs="Arial"/>
          <w:i/>
          <w:iCs/>
        </w:rPr>
        <w:t>Cymbopogon citratus</w:t>
      </w:r>
      <w:r>
        <w:rPr>
          <w:rFonts w:ascii="Arial" w:hAnsi="Arial" w:eastAsia="sans-serif" w:cs="Arial"/>
          <w:shd w:val="clear" w:color="auto" w:fill="FFFFFF"/>
        </w:rPr>
        <w:t xml:space="preserve"> after carbon tetrachloride–induced liver damage in Wistar albino rats </w:t>
      </w:r>
    </w:p>
    <w:p w14:paraId="0C6B4B61">
      <w:pPr>
        <w:pStyle w:val="17"/>
        <w:spacing w:beforeAutospacing="0" w:afterAutospacing="0"/>
        <w:jc w:val="both"/>
        <w:rPr>
          <w:rStyle w:val="19"/>
          <w:rFonts w:ascii="Arial" w:hAnsi="Arial" w:eastAsia="sans-serif" w:cs="Arial"/>
          <w:shd w:val="clear" w:color="auto" w:fill="FFFFFF"/>
        </w:rPr>
      </w:pPr>
    </w:p>
    <w:p w14:paraId="0B37854F">
      <w:pPr>
        <w:pStyle w:val="17"/>
        <w:spacing w:beforeAutospacing="0" w:afterAutospacing="0"/>
        <w:jc w:val="both"/>
        <w:rPr>
          <w:rFonts w:ascii="Arial" w:hAnsi="Arial" w:eastAsia="sans-serif" w:cs="Arial"/>
          <w:shd w:val="clear" w:color="auto" w:fill="FFFFFF"/>
        </w:rPr>
      </w:pPr>
      <w:r>
        <w:rPr>
          <w:rStyle w:val="19"/>
          <w:rFonts w:ascii="Arial" w:hAnsi="Arial" w:eastAsia="sans-serif" w:cs="Arial"/>
          <w:shd w:val="clear" w:color="auto" w:fill="FFFFFF"/>
        </w:rPr>
        <w:t>Methodology:</w:t>
      </w:r>
      <w:r>
        <w:rPr>
          <w:rFonts w:ascii="Arial" w:hAnsi="Arial" w:eastAsia="sans-serif" w:cs="Arial"/>
          <w:shd w:val="clear" w:color="auto" w:fill="FFFFFF"/>
        </w:rPr>
        <w:t xml:space="preserve"> Healthy wistar albino rats weighing 140 – 200 assigned into </w:t>
      </w:r>
      <w:r>
        <w:rPr>
          <w:rFonts w:ascii="Arial" w:hAnsi="Arial" w:cs="Arial"/>
        </w:rPr>
        <w:t xml:space="preserve">grouped into six groups of five rats per group. Group one served as the control. Groups two to six were injected intraperitoneally with a single dose of 0.3% CCl4 (per body weight) in 1:1 olive oil. Animals in group two were sacrificed 24 hours after CCl4 injection while animals in groups three to six were treated with 240, 480 and 720mg/kg of </w:t>
      </w:r>
      <w:r>
        <w:rPr>
          <w:rFonts w:ascii="Arial" w:hAnsi="Arial" w:cs="Arial"/>
          <w:i/>
          <w:iCs/>
        </w:rPr>
        <w:t>C. citratus</w:t>
      </w:r>
      <w:r>
        <w:rPr>
          <w:rFonts w:ascii="Arial" w:hAnsi="Arial" w:cs="Arial"/>
        </w:rPr>
        <w:t xml:space="preserve"> extract daily respectively for 28 days. B</w:t>
      </w:r>
      <w:r>
        <w:rPr>
          <w:rFonts w:ascii="Arial" w:hAnsi="Arial" w:eastAsia="sans-serif" w:cs="Arial"/>
          <w:shd w:val="clear" w:color="auto" w:fill="FFFFFF"/>
        </w:rPr>
        <w:t xml:space="preserve">iochemical markers such as </w:t>
      </w:r>
      <w:r>
        <w:rPr>
          <w:rFonts w:ascii="Arial" w:hAnsi="Arial" w:cs="Arial"/>
        </w:rPr>
        <w:t>Aspartate transaminase (AST), Alanine transaminase (ALT), Alkaline phosphatase (ALP), serum albumin (SA), total protein (TP) and liver malondialdehyde (liver MDA) were measured. H</w:t>
      </w:r>
      <w:r>
        <w:rPr>
          <w:rFonts w:ascii="Arial" w:hAnsi="Arial" w:eastAsia="sans-serif" w:cs="Arial"/>
          <w:shd w:val="clear" w:color="auto" w:fill="FFFFFF"/>
        </w:rPr>
        <w:t xml:space="preserve">ematological parameters including Packed cell volume (PCV), </w:t>
      </w:r>
      <w:r>
        <w:rPr>
          <w:rFonts w:ascii="Arial" w:hAnsi="Arial" w:cs="Arial"/>
        </w:rPr>
        <w:t xml:space="preserve">haemoglobin concentration (Hb), white blood cell (WBC) count and Mean corpuscular volume (MCV) were evaluated. </w:t>
      </w:r>
    </w:p>
    <w:p w14:paraId="6C01DC99">
      <w:pPr>
        <w:pStyle w:val="17"/>
        <w:spacing w:beforeAutospacing="0" w:afterAutospacing="0"/>
        <w:jc w:val="both"/>
        <w:rPr>
          <w:rFonts w:ascii="Arial" w:hAnsi="Arial" w:eastAsia="sans-serif" w:cs="Arial"/>
          <w:shd w:val="clear" w:color="auto" w:fill="FFFFFF"/>
        </w:rPr>
      </w:pPr>
    </w:p>
    <w:p w14:paraId="1E78BC91">
      <w:pPr>
        <w:jc w:val="both"/>
        <w:rPr>
          <w:rFonts w:ascii="Arial" w:hAnsi="Arial" w:cs="Arial"/>
          <w:sz w:val="24"/>
          <w:szCs w:val="24"/>
        </w:rPr>
      </w:pPr>
      <w:r>
        <w:rPr>
          <w:rStyle w:val="19"/>
          <w:rFonts w:ascii="Arial" w:hAnsi="Arial" w:eastAsia="sans-serif" w:cs="Arial"/>
          <w:sz w:val="24"/>
          <w:szCs w:val="24"/>
          <w:shd w:val="clear" w:color="auto" w:fill="FFFFFF"/>
        </w:rPr>
        <w:t>Results:</w:t>
      </w:r>
      <w:r>
        <w:rPr>
          <w:rFonts w:ascii="Arial" w:hAnsi="Arial" w:eastAsia="sans-serif" w:cs="Arial"/>
          <w:sz w:val="24"/>
          <w:szCs w:val="24"/>
          <w:shd w:val="clear" w:color="auto" w:fill="FFFFFF"/>
        </w:rPr>
        <w:t xml:space="preserve"> CCl4-induced liver injury resulted in a significant </w:t>
      </w:r>
      <w:r>
        <w:rPr>
          <w:rFonts w:ascii="Arial" w:hAnsi="Arial" w:cs="Arial"/>
          <w:sz w:val="24"/>
          <w:szCs w:val="24"/>
        </w:rPr>
        <w:t xml:space="preserve">(p&lt;0.05) </w:t>
      </w:r>
      <w:r>
        <w:rPr>
          <w:rFonts w:ascii="Arial" w:hAnsi="Arial" w:eastAsia="sans-serif" w:cs="Arial"/>
          <w:sz w:val="24"/>
          <w:szCs w:val="24"/>
          <w:shd w:val="clear" w:color="auto" w:fill="FFFFFF"/>
        </w:rPr>
        <w:t xml:space="preserve">increase in serum ALP, ALT, AST and liver MDA with a significant </w:t>
      </w:r>
      <w:r>
        <w:rPr>
          <w:rFonts w:ascii="Arial" w:hAnsi="Arial" w:cs="Arial"/>
          <w:sz w:val="24"/>
          <w:szCs w:val="24"/>
        </w:rPr>
        <w:t>(p&lt;0.05)</w:t>
      </w:r>
      <w:r>
        <w:rPr>
          <w:rFonts w:ascii="Arial" w:hAnsi="Arial" w:eastAsia="sans-serif" w:cs="Arial"/>
          <w:sz w:val="24"/>
          <w:szCs w:val="24"/>
          <w:shd w:val="clear" w:color="auto" w:fill="FFFFFF"/>
        </w:rPr>
        <w:t xml:space="preserve"> decrease in SA, TP, PCV, Hb, WBC and MCV. </w:t>
      </w:r>
      <w:r>
        <w:rPr>
          <w:rFonts w:ascii="Arial" w:hAnsi="Arial" w:cs="Arial"/>
          <w:sz w:val="24"/>
          <w:szCs w:val="24"/>
        </w:rPr>
        <w:t xml:space="preserve">Treatment with 240, 480 and 720mg/kg of </w:t>
      </w:r>
      <w:r>
        <w:rPr>
          <w:rFonts w:ascii="Arial" w:hAnsi="Arial" w:cs="Arial"/>
          <w:i/>
          <w:iCs/>
          <w:sz w:val="24"/>
          <w:szCs w:val="24"/>
        </w:rPr>
        <w:t>C. citratus</w:t>
      </w:r>
      <w:r>
        <w:rPr>
          <w:rFonts w:ascii="Arial" w:hAnsi="Arial" w:cs="Arial"/>
          <w:sz w:val="24"/>
          <w:szCs w:val="24"/>
        </w:rPr>
        <w:t xml:space="preserve"> extract for twenty eight days after CCl4 – induced liver damage resulted in a </w:t>
      </w:r>
      <w:r>
        <w:rPr>
          <w:rFonts w:ascii="Arial" w:hAnsi="Arial" w:eastAsia="sans-serif" w:cs="Arial"/>
          <w:sz w:val="24"/>
          <w:szCs w:val="24"/>
          <w:shd w:val="clear" w:color="auto" w:fill="FFFFFF"/>
        </w:rPr>
        <w:t xml:space="preserve">dose dependent </w:t>
      </w:r>
      <w:r>
        <w:rPr>
          <w:rFonts w:ascii="Arial" w:hAnsi="Arial" w:cs="Arial"/>
          <w:sz w:val="24"/>
          <w:szCs w:val="24"/>
        </w:rPr>
        <w:t xml:space="preserve">significant (p&lt;0.05) decrease in serum </w:t>
      </w:r>
      <w:r>
        <w:rPr>
          <w:rFonts w:ascii="Arial" w:hAnsi="Arial" w:eastAsia="sans-serif" w:cs="Arial"/>
          <w:sz w:val="24"/>
          <w:szCs w:val="24"/>
          <w:shd w:val="clear" w:color="auto" w:fill="FFFFFF"/>
        </w:rPr>
        <w:t xml:space="preserve">ALP, ALT, AST and liver MDA with a dose dependent significant </w:t>
      </w:r>
      <w:r>
        <w:rPr>
          <w:rFonts w:ascii="Arial" w:hAnsi="Arial" w:cs="Arial"/>
          <w:sz w:val="24"/>
          <w:szCs w:val="24"/>
        </w:rPr>
        <w:t>(p&lt;0.05)</w:t>
      </w:r>
      <w:r>
        <w:rPr>
          <w:rFonts w:ascii="Arial" w:hAnsi="Arial" w:eastAsia="sans-serif" w:cs="Arial"/>
          <w:sz w:val="24"/>
          <w:szCs w:val="24"/>
          <w:shd w:val="clear" w:color="auto" w:fill="FFFFFF"/>
        </w:rPr>
        <w:t xml:space="preserve"> increase in SA, TP, PCV, Hb, WBC and MCV. </w:t>
      </w:r>
      <w:r>
        <w:rPr>
          <w:rFonts w:ascii="Arial" w:hAnsi="Arial" w:cs="Arial"/>
          <w:sz w:val="24"/>
          <w:szCs w:val="24"/>
        </w:rPr>
        <w:t xml:space="preserve">Treatment with 720mg/kg of </w:t>
      </w:r>
      <w:r>
        <w:rPr>
          <w:rFonts w:ascii="Arial" w:hAnsi="Arial" w:cs="Arial"/>
          <w:i/>
          <w:iCs/>
          <w:sz w:val="24"/>
          <w:szCs w:val="24"/>
        </w:rPr>
        <w:t>C. citratus</w:t>
      </w:r>
      <w:r>
        <w:rPr>
          <w:rFonts w:ascii="Arial" w:hAnsi="Arial" w:cs="Arial"/>
          <w:sz w:val="24"/>
          <w:szCs w:val="24"/>
        </w:rPr>
        <w:t xml:space="preserve"> extract for twenty eight days resulted in ALT, ALP, SA, Liver MDA, Hb, WBC, MCV and Liver MDA levels which were not significantly (</w:t>
      </w:r>
      <w:r>
        <w:rPr>
          <w:rFonts w:ascii="Arial" w:hAnsi="Arial" w:eastAsia="sans-serif" w:cs="Arial"/>
          <w:sz w:val="24"/>
          <w:szCs w:val="24"/>
          <w:shd w:val="clear" w:color="auto" w:fill="FFFFFF"/>
        </w:rPr>
        <w:t xml:space="preserve">p&lt;0.05) </w:t>
      </w:r>
      <w:r>
        <w:rPr>
          <w:rFonts w:ascii="Arial" w:hAnsi="Arial" w:cs="Arial"/>
          <w:sz w:val="24"/>
          <w:szCs w:val="24"/>
        </w:rPr>
        <w:t xml:space="preserve">different from control. The result of this study revealed that </w:t>
      </w:r>
      <w:r>
        <w:rPr>
          <w:rFonts w:ascii="Arial" w:hAnsi="Arial" w:cs="Arial"/>
          <w:i/>
          <w:iCs/>
          <w:sz w:val="24"/>
          <w:szCs w:val="24"/>
        </w:rPr>
        <w:t xml:space="preserve">C. citratus </w:t>
      </w:r>
      <w:r>
        <w:rPr>
          <w:rFonts w:ascii="Arial" w:hAnsi="Arial" w:cs="Arial"/>
          <w:sz w:val="24"/>
          <w:szCs w:val="24"/>
        </w:rPr>
        <w:t>extract at high dose was able to restore both biochemical and hematological  parameters in treated groups.</w:t>
      </w:r>
    </w:p>
    <w:p w14:paraId="18E6B835">
      <w:pPr>
        <w:pStyle w:val="17"/>
        <w:spacing w:beforeAutospacing="0" w:afterAutospacing="0"/>
        <w:jc w:val="both"/>
        <w:rPr>
          <w:rStyle w:val="19"/>
          <w:rFonts w:ascii="Arial" w:hAnsi="Arial" w:eastAsia="sans-serif" w:cs="Arial"/>
          <w:shd w:val="clear" w:color="auto" w:fill="FFFFFF"/>
        </w:rPr>
      </w:pPr>
    </w:p>
    <w:p w14:paraId="66357F33">
      <w:pPr>
        <w:pStyle w:val="17"/>
        <w:spacing w:beforeAutospacing="0" w:afterAutospacing="0"/>
        <w:jc w:val="both"/>
        <w:rPr>
          <w:rFonts w:ascii="Arial" w:hAnsi="Arial" w:cs="Arial"/>
        </w:rPr>
      </w:pPr>
      <w:r>
        <w:rPr>
          <w:rStyle w:val="19"/>
          <w:rFonts w:ascii="Arial" w:hAnsi="Arial" w:eastAsia="sans-serif" w:cs="Arial"/>
          <w:shd w:val="clear" w:color="auto" w:fill="FFFFFF"/>
        </w:rPr>
        <w:t>Conclusion:</w:t>
      </w:r>
      <w:r>
        <w:rPr>
          <w:rFonts w:ascii="Arial" w:hAnsi="Arial" w:eastAsia="sans-serif" w:cs="Arial"/>
          <w:shd w:val="clear" w:color="auto" w:fill="FFFFFF"/>
        </w:rPr>
        <w:t> </w:t>
      </w:r>
      <w:r>
        <w:rPr>
          <w:rFonts w:ascii="Arial" w:hAnsi="Arial" w:cs="Arial"/>
        </w:rPr>
        <w:t xml:space="preserve">Aqueous extract of </w:t>
      </w:r>
      <w:r>
        <w:rPr>
          <w:rFonts w:ascii="Arial" w:hAnsi="Arial" w:cs="Arial"/>
          <w:i/>
          <w:iCs/>
        </w:rPr>
        <w:t>C. citratus</w:t>
      </w:r>
      <w:r>
        <w:rPr>
          <w:rFonts w:ascii="Arial" w:hAnsi="Arial" w:cs="Arial"/>
        </w:rPr>
        <w:t xml:space="preserve"> demonstrated the ability to ameliorate  CCl4 – induced liver damage in Wistar rats as evident by its ability to restore hepatocyte membrane integrity, </w:t>
      </w:r>
      <w:r>
        <w:rPr>
          <w:rFonts w:ascii="Arial" w:hAnsi="Arial" w:eastAsia="Helvetica" w:cs="Arial"/>
          <w:shd w:val="clear" w:color="auto" w:fill="FFFFFF"/>
        </w:rPr>
        <w:t xml:space="preserve">hepatic synthetic function, impede lipid peroxidation, reduce cholestasis and the immunosuppressive effect of CCl4. </w:t>
      </w:r>
      <w:r>
        <w:rPr>
          <w:rFonts w:ascii="Arial" w:hAnsi="Arial" w:cs="Arial"/>
        </w:rPr>
        <w:t>This is suggestive of the ability of the extract to to restore liver health after hepatocellular and c</w:t>
      </w:r>
      <w:r>
        <w:rPr>
          <w:rStyle w:val="19"/>
          <w:rFonts w:ascii="Arial" w:hAnsi="Arial" w:eastAsia="Arial" w:cs="Arial"/>
          <w:b w:val="0"/>
          <w:bCs w:val="0"/>
          <w:shd w:val="clear" w:color="auto" w:fill="FFFFFF"/>
        </w:rPr>
        <w:t xml:space="preserve">holestatic injury, making it </w:t>
      </w:r>
      <w:r>
        <w:rPr>
          <w:rFonts w:ascii="Arial" w:hAnsi="Arial" w:cs="Arial"/>
        </w:rPr>
        <w:t xml:space="preserve">a potential dietary intervention for liver damage. </w:t>
      </w:r>
    </w:p>
    <w:p w14:paraId="2D5DBF57">
      <w:pPr>
        <w:pStyle w:val="17"/>
        <w:spacing w:beforeAutospacing="0" w:afterAutospacing="0"/>
        <w:jc w:val="both"/>
        <w:rPr>
          <w:rFonts w:ascii="Arial" w:hAnsi="Arial" w:cs="Arial"/>
        </w:rPr>
      </w:pPr>
    </w:p>
    <w:p w14:paraId="00823118">
      <w:pPr>
        <w:pStyle w:val="17"/>
        <w:shd w:val="clear" w:color="auto" w:fill="FFFFFF"/>
        <w:spacing w:beforeAutospacing="0" w:afterAutospacing="0"/>
        <w:rPr>
          <w:rFonts w:ascii="Arial" w:hAnsi="Arial" w:eastAsia="sans-serif" w:cs="Arial"/>
          <w:sz w:val="20"/>
          <w:szCs w:val="20"/>
        </w:rPr>
      </w:pPr>
      <w:r>
        <w:rPr>
          <w:rFonts w:ascii="Arial" w:hAnsi="Arial" w:eastAsia="sans-serif" w:cs="Arial"/>
          <w:b/>
          <w:bCs/>
          <w:sz w:val="20"/>
          <w:szCs w:val="20"/>
          <w:shd w:val="clear" w:color="auto" w:fill="FFFFFF"/>
        </w:rPr>
        <w:t>Keywords: </w:t>
      </w:r>
      <w:r>
        <w:rPr>
          <w:rFonts w:ascii="Arial" w:hAnsi="Arial" w:cs="Arial"/>
          <w:i/>
          <w:iCs/>
          <w:sz w:val="20"/>
          <w:szCs w:val="20"/>
        </w:rPr>
        <w:t>Cymbopogon citratus</w:t>
      </w:r>
      <w:r>
        <w:rPr>
          <w:rFonts w:ascii="Arial" w:hAnsi="Arial" w:eastAsia="sans-serif" w:cs="Arial"/>
          <w:sz w:val="20"/>
          <w:szCs w:val="20"/>
          <w:shd w:val="clear" w:color="auto" w:fill="FFFFFF"/>
        </w:rPr>
        <w:t xml:space="preserve">, liver, </w:t>
      </w:r>
      <w:r>
        <w:rPr>
          <w:rFonts w:ascii="Arial" w:hAnsi="Arial" w:cs="Arial"/>
          <w:sz w:val="20"/>
          <w:szCs w:val="20"/>
        </w:rPr>
        <w:t>carbon tetrachloride, Wistar albino rats,</w:t>
      </w:r>
      <w:r>
        <w:rPr>
          <w:rFonts w:ascii="Arial" w:hAnsi="Arial" w:cs="Arial"/>
          <w:b/>
          <w:bCs/>
          <w:sz w:val="20"/>
          <w:szCs w:val="20"/>
        </w:rPr>
        <w:t xml:space="preserve"> </w:t>
      </w:r>
      <w:r>
        <w:rPr>
          <w:rFonts w:ascii="Arial" w:hAnsi="Arial" w:cs="Arial"/>
          <w:sz w:val="20"/>
          <w:szCs w:val="20"/>
        </w:rPr>
        <w:t>aspartate transaminase, Alanine transaminase, malondialdehyde, Hepatocellular injury.</w:t>
      </w:r>
    </w:p>
    <w:p w14:paraId="1DA219F2">
      <w:pPr>
        <w:pStyle w:val="25"/>
        <w:spacing w:after="0"/>
        <w:jc w:val="both"/>
        <w:rPr>
          <w:rFonts w:ascii="Arial" w:hAnsi="Arial" w:cs="Arial"/>
        </w:rPr>
      </w:pPr>
    </w:p>
    <w:p w14:paraId="6ECA238B">
      <w:pPr>
        <w:pStyle w:val="25"/>
        <w:spacing w:after="0"/>
        <w:jc w:val="both"/>
        <w:rPr>
          <w:rFonts w:ascii="Arial" w:hAnsi="Arial" w:cs="Arial"/>
        </w:rPr>
      </w:pPr>
    </w:p>
    <w:p w14:paraId="5BC26D8A">
      <w:pPr>
        <w:pStyle w:val="24"/>
        <w:spacing w:after="0"/>
        <w:rPr>
          <w:rFonts w:ascii="Arial" w:hAnsi="Arial" w:cs="Arial"/>
          <w:i/>
          <w:sz w:val="18"/>
        </w:rPr>
      </w:pPr>
    </w:p>
    <w:p w14:paraId="4CF127DD">
      <w:pPr>
        <w:pStyle w:val="24"/>
        <w:spacing w:after="0"/>
        <w:rPr>
          <w:rFonts w:ascii="Arial" w:hAnsi="Arial" w:cs="Arial"/>
          <w:i/>
        </w:rPr>
      </w:pPr>
    </w:p>
    <w:p w14:paraId="5A93363B">
      <w:pPr>
        <w:pStyle w:val="25"/>
        <w:spacing w:after="0"/>
        <w:jc w:val="both"/>
        <w:rPr>
          <w:rFonts w:ascii="Arial" w:hAnsi="Arial" w:cs="Arial"/>
        </w:rPr>
      </w:pPr>
      <w:r>
        <w:rPr>
          <w:rFonts w:ascii="Arial" w:hAnsi="Arial" w:cs="Arial"/>
        </w:rPr>
        <w:t xml:space="preserve">1. INTRODUCTION </w:t>
      </w:r>
    </w:p>
    <w:p w14:paraId="5C945351">
      <w:pPr>
        <w:pStyle w:val="25"/>
        <w:spacing w:after="0"/>
        <w:jc w:val="both"/>
        <w:rPr>
          <w:rFonts w:ascii="Arial" w:hAnsi="Arial" w:cs="Arial"/>
        </w:rPr>
      </w:pPr>
    </w:p>
    <w:p w14:paraId="414D3B1E">
      <w:pPr>
        <w:jc w:val="both"/>
        <w:rPr>
          <w:rFonts w:ascii="Arial" w:hAnsi="Arial" w:cs="Arial"/>
        </w:rPr>
      </w:pPr>
      <w:r>
        <w:rPr>
          <w:rFonts w:ascii="Arial" w:hAnsi="Arial" w:cs="Arial"/>
        </w:rPr>
        <w:t>Several researchers have identified the liver as one of the most important organ in the human system due to its metabolic activities, role in detoxification and excretion (</w:t>
      </w:r>
      <w:r>
        <w:rPr>
          <w:rFonts w:hint="default" w:ascii="Arial" w:hAnsi="Arial" w:cs="Arial"/>
          <w:lang w:val="en-US"/>
        </w:rPr>
        <w:t>B</w:t>
      </w:r>
      <w:r>
        <w:rPr>
          <w:rFonts w:ascii="Arial" w:hAnsi="Arial" w:cs="Arial"/>
        </w:rPr>
        <w:t xml:space="preserve">alaguer-trias </w:t>
      </w:r>
      <w:r>
        <w:rPr>
          <w:rFonts w:ascii="Arial" w:hAnsi="Arial" w:cs="Arial"/>
          <w:i/>
          <w:iCs/>
          <w:lang w:val="en-US"/>
        </w:rPr>
        <w:t>et al</w:t>
      </w:r>
      <w:r>
        <w:rPr>
          <w:rFonts w:ascii="Arial" w:hAnsi="Arial" w:cs="Arial"/>
        </w:rPr>
        <w:t xml:space="preserve">., 2022; </w:t>
      </w:r>
      <w:r>
        <w:rPr>
          <w:rFonts w:ascii="Arial" w:hAnsi="Arial" w:eastAsia="SimSun" w:cs="Arial"/>
          <w:sz w:val="19"/>
          <w:szCs w:val="19"/>
          <w:shd w:val="clear" w:color="auto" w:fill="FFFFFF"/>
        </w:rPr>
        <w:t>Ayenew and Wasihun, 2023</w:t>
      </w:r>
      <w:r>
        <w:rPr>
          <w:rFonts w:ascii="Arial" w:hAnsi="Arial" w:cs="Arial"/>
        </w:rPr>
        <w:t xml:space="preserve">). The liver is the primary site for the biotransformation of exogenous and endogenous chemicals including xenobiotics as well as ingested chemicals, medications and microorganisms (balaguer-trias </w:t>
      </w:r>
      <w:r>
        <w:rPr>
          <w:rFonts w:ascii="Arial" w:hAnsi="Arial" w:cs="Arial"/>
          <w:i/>
          <w:iCs/>
          <w:lang w:val="en-US"/>
        </w:rPr>
        <w:t>et a</w:t>
      </w:r>
      <w:r>
        <w:rPr>
          <w:rFonts w:ascii="Arial" w:hAnsi="Arial" w:cs="Arial"/>
          <w:lang w:val="en-US"/>
        </w:rPr>
        <w:t>l</w:t>
      </w:r>
      <w:r>
        <w:rPr>
          <w:rFonts w:ascii="Arial" w:hAnsi="Arial" w:cs="Arial"/>
        </w:rPr>
        <w:t>., 2022). Hence, it is vulnerable to the action of toxic metabolites and free radicals produce during detoxification and biotransformation. The detoxification and metabolic activities of the liver makes it a major site for the production of reactive oxygen species (ROS) (</w:t>
      </w:r>
      <w:r>
        <w:rPr>
          <w:rFonts w:ascii="Arial" w:hAnsi="Arial" w:eastAsia="SimSun" w:cs="Arial"/>
          <w:sz w:val="19"/>
          <w:szCs w:val="19"/>
          <w:shd w:val="clear" w:color="auto" w:fill="FFFFFF"/>
        </w:rPr>
        <w:t xml:space="preserve">Thakur </w:t>
      </w:r>
      <w:r>
        <w:rPr>
          <w:rFonts w:ascii="Arial" w:hAnsi="Arial" w:eastAsia="SimSun" w:cs="Arial"/>
          <w:i/>
          <w:iCs/>
          <w:sz w:val="19"/>
          <w:szCs w:val="19"/>
          <w:shd w:val="clear" w:color="auto" w:fill="FFFFFF"/>
          <w:lang w:val="en-US"/>
        </w:rPr>
        <w:t>et a</w:t>
      </w:r>
      <w:r>
        <w:rPr>
          <w:rFonts w:ascii="Arial" w:hAnsi="Arial" w:eastAsia="SimSun" w:cs="Arial"/>
          <w:sz w:val="19"/>
          <w:szCs w:val="19"/>
          <w:shd w:val="clear" w:color="auto" w:fill="FFFFFF"/>
          <w:lang w:val="en-US"/>
        </w:rPr>
        <w:t>l</w:t>
      </w:r>
      <w:r>
        <w:rPr>
          <w:rFonts w:ascii="Arial" w:hAnsi="Arial" w:eastAsia="SimSun" w:cs="Arial"/>
          <w:sz w:val="19"/>
          <w:szCs w:val="19"/>
          <w:shd w:val="clear" w:color="auto" w:fill="FFFFFF"/>
        </w:rPr>
        <w:t>., 2024</w:t>
      </w:r>
      <w:r>
        <w:rPr>
          <w:rFonts w:ascii="Arial" w:hAnsi="Arial" w:cs="Arial"/>
        </w:rPr>
        <w:t xml:space="preserve">). A disruption in the redox balance of liver results in oxidative stress and lipid peroxidation in the liver causing hepatocellular injury characterized by a disruption of the hepatocyte cell membrane with a loss of liver functions and </w:t>
      </w:r>
      <w:r>
        <w:rPr>
          <w:rFonts w:ascii="Arial" w:hAnsi="Arial" w:eastAsia="Calibri" w:cs="Arial"/>
          <w:szCs w:val="22"/>
        </w:rPr>
        <w:t>the release and the presence of elevated levels of Alanine aminotransferase (ALT) and Aspartate aminotransferase (AST) in the serum (</w:t>
      </w:r>
      <w:r>
        <w:rPr>
          <w:rFonts w:ascii="Arial" w:hAnsi="Arial" w:eastAsia="SimSun" w:cs="Arial"/>
          <w:sz w:val="19"/>
          <w:szCs w:val="19"/>
          <w:shd w:val="clear" w:color="auto" w:fill="FFFFFF"/>
        </w:rPr>
        <w:t xml:space="preserve">Thakur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2024</w:t>
      </w:r>
      <w:r>
        <w:rPr>
          <w:rFonts w:ascii="Arial" w:hAnsi="Arial" w:eastAsia="Calibri" w:cs="Arial"/>
          <w:szCs w:val="22"/>
        </w:rPr>
        <w:t>). A</w:t>
      </w:r>
      <w:r>
        <w:rPr>
          <w:rFonts w:ascii="Arial" w:hAnsi="Arial" w:cs="Arial"/>
        </w:rPr>
        <w:t xml:space="preserve"> distortion of the liver architect</w:t>
      </w:r>
      <w:r>
        <w:rPr>
          <w:rStyle w:val="19"/>
          <w:rFonts w:ascii="Arial" w:hAnsi="Arial" w:eastAsia="Arial" w:cs="Arial"/>
          <w:b w:val="0"/>
          <w:bCs w:val="0"/>
          <w:shd w:val="clear" w:color="auto" w:fill="FFFFFF"/>
        </w:rPr>
        <w:t xml:space="preserve"> by oxidative stress and lipid peroxidation </w:t>
      </w:r>
      <w:r>
        <w:rPr>
          <w:rFonts w:ascii="Arial" w:hAnsi="Arial" w:cs="Arial"/>
        </w:rPr>
        <w:t>leads to c</w:t>
      </w:r>
      <w:r>
        <w:rPr>
          <w:rStyle w:val="19"/>
          <w:rFonts w:ascii="Arial" w:hAnsi="Arial" w:eastAsia="Arial" w:cs="Arial"/>
          <w:b w:val="0"/>
          <w:bCs w:val="0"/>
          <w:shd w:val="clear" w:color="auto" w:fill="FFFFFF"/>
        </w:rPr>
        <w:t xml:space="preserve">holestatic injury characterized </w:t>
      </w:r>
      <w:r>
        <w:rPr>
          <w:rFonts w:ascii="Arial" w:hAnsi="Arial" w:cs="Arial"/>
        </w:rPr>
        <w:t xml:space="preserve">by the accumulation of fat in the hepatocytes and elevated level of serum Alkaline phosphatase </w:t>
      </w:r>
      <w:r>
        <w:rPr>
          <w:rFonts w:ascii="Arial" w:hAnsi="Arial" w:cs="Arial"/>
          <w:sz w:val="24"/>
          <w:szCs w:val="24"/>
        </w:rPr>
        <w:t>(</w:t>
      </w:r>
      <w:r>
        <w:rPr>
          <w:rFonts w:ascii="Arial" w:hAnsi="Arial" w:cs="Arial"/>
        </w:rPr>
        <w:t>ALP) (</w:t>
      </w:r>
      <w:r>
        <w:rPr>
          <w:rFonts w:ascii="Arial" w:hAnsi="Arial" w:eastAsia="SimSun" w:cs="Arial"/>
          <w:sz w:val="19"/>
          <w:szCs w:val="19"/>
          <w:shd w:val="clear" w:color="auto" w:fill="FFFFFF"/>
        </w:rPr>
        <w:t xml:space="preserve">Ayenew and Wasihun, 2023; Allameh </w:t>
      </w:r>
      <w:r>
        <w:rPr>
          <w:rFonts w:ascii="Arial" w:hAnsi="Arial" w:eastAsia="SimSun" w:cs="Arial"/>
          <w:i/>
          <w:iCs/>
          <w:sz w:val="19"/>
          <w:szCs w:val="19"/>
          <w:shd w:val="clear" w:color="auto" w:fill="FFFFFF"/>
          <w:lang w:val="en-US"/>
        </w:rPr>
        <w:t>et a</w:t>
      </w:r>
      <w:r>
        <w:rPr>
          <w:rFonts w:ascii="Arial" w:hAnsi="Arial" w:eastAsia="SimSun" w:cs="Arial"/>
          <w:sz w:val="19"/>
          <w:szCs w:val="19"/>
          <w:shd w:val="clear" w:color="auto" w:fill="FFFFFF"/>
          <w:lang w:val="en-US"/>
        </w:rPr>
        <w:t>l</w:t>
      </w:r>
      <w:r>
        <w:rPr>
          <w:rFonts w:ascii="Arial" w:hAnsi="Arial" w:eastAsia="SimSun" w:cs="Arial"/>
          <w:sz w:val="19"/>
          <w:szCs w:val="19"/>
          <w:shd w:val="clear" w:color="auto" w:fill="FFFFFF"/>
        </w:rPr>
        <w:t>. 2023</w:t>
      </w:r>
      <w:r>
        <w:rPr>
          <w:rFonts w:ascii="Arial" w:hAnsi="Arial" w:cs="Arial"/>
        </w:rPr>
        <w:t>). Oxidative stress and lipid peroxidation has been implicated in the pathophysiology of  acute liver injury as well as in the pathogenesis of metabolic and infectious liver diseases such as non-alcoholic steatohepatitis, alcoholic and non-alcoholic fatty liver and viral hepatitis (</w:t>
      </w:r>
      <w:r>
        <w:rPr>
          <w:rFonts w:ascii="Arial" w:hAnsi="Arial" w:eastAsia="SimSun" w:cs="Arial"/>
          <w:sz w:val="19"/>
          <w:szCs w:val="19"/>
          <w:shd w:val="clear" w:color="auto" w:fill="FFFFFF"/>
        </w:rPr>
        <w:t xml:space="preserve">Gonzalez </w:t>
      </w:r>
      <w:r>
        <w:rPr>
          <w:rFonts w:ascii="Arial" w:hAnsi="Arial" w:eastAsia="SimSun" w:cs="Arial"/>
          <w:sz w:val="19"/>
          <w:szCs w:val="19"/>
          <w:shd w:val="clear" w:color="auto" w:fill="FFFFFF"/>
          <w:lang w:val="en-US"/>
        </w:rPr>
        <w:t>et al</w:t>
      </w:r>
      <w:r>
        <w:rPr>
          <w:rFonts w:ascii="Arial" w:hAnsi="Arial" w:eastAsia="SimSun" w:cs="Arial"/>
          <w:sz w:val="19"/>
          <w:szCs w:val="19"/>
          <w:shd w:val="clear" w:color="auto" w:fill="FFFFFF"/>
        </w:rPr>
        <w:t xml:space="preserve">., 2020; Arroyave-Ospina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2021</w:t>
      </w:r>
      <w:r>
        <w:rPr>
          <w:rFonts w:ascii="Arial" w:hAnsi="Arial" w:cs="Arial"/>
        </w:rPr>
        <w:t>). In addition, oxidative stress has also been implicated in the progression of liver disease such as hepatocellular carcinoma, liver cirrhosis and liver fibrosis (</w:t>
      </w:r>
      <w:r>
        <w:rPr>
          <w:rFonts w:ascii="Arial" w:hAnsi="Arial" w:eastAsia="SimSun" w:cs="Arial"/>
          <w:sz w:val="19"/>
          <w:szCs w:val="19"/>
          <w:shd w:val="clear" w:color="auto" w:fill="FFFFFF"/>
        </w:rPr>
        <w:t xml:space="preserve">Conde de la Rosa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2022</w:t>
      </w:r>
      <w:r>
        <w:rPr>
          <w:rFonts w:ascii="Arial" w:hAnsi="Arial" w:cs="Arial"/>
        </w:rPr>
        <w:t>)</w:t>
      </w:r>
    </w:p>
    <w:p w14:paraId="4AE1CEEE">
      <w:pPr>
        <w:jc w:val="both"/>
        <w:rPr>
          <w:rFonts w:ascii="Arial" w:hAnsi="Arial" w:cs="Arial"/>
        </w:rPr>
      </w:pPr>
    </w:p>
    <w:p w14:paraId="53CC62EA">
      <w:pPr>
        <w:pStyle w:val="24"/>
        <w:spacing w:after="0"/>
        <w:rPr>
          <w:rFonts w:ascii="Arial" w:hAnsi="Arial" w:eastAsia="Calibri" w:cs="Arial"/>
          <w:szCs w:val="22"/>
        </w:rPr>
      </w:pPr>
    </w:p>
    <w:p w14:paraId="62FB9EC5">
      <w:pPr>
        <w:jc w:val="both"/>
        <w:rPr>
          <w:rFonts w:ascii="Arial" w:hAnsi="Arial" w:eastAsia="Georgia" w:cs="Arial"/>
        </w:rPr>
      </w:pPr>
      <w:r>
        <w:rPr>
          <w:rFonts w:ascii="Arial" w:hAnsi="Arial" w:cs="Arial"/>
        </w:rPr>
        <w:t xml:space="preserve">Liver disease which range from </w:t>
      </w:r>
      <w:r>
        <w:rPr>
          <w:rFonts w:ascii="Arial" w:hAnsi="Arial" w:eastAsia="SimSun" w:cs="Arial"/>
          <w:shd w:val="clear" w:color="auto" w:fill="FFFFFF"/>
        </w:rPr>
        <w:t xml:space="preserve">Alcohol fatty liver disease (ALD), viral hepatitis, non-alcohol fatty diseases (NAFLD) to hepatocellular carcinoma and liver cirrhosis </w:t>
      </w:r>
      <w:r>
        <w:rPr>
          <w:rFonts w:ascii="Arial" w:hAnsi="Arial" w:cs="Arial"/>
        </w:rPr>
        <w:t xml:space="preserve"> has been identified as a global health challenge, with the global burden of disease study rating cirrhosis as number five of the leading cause of death in people within the age of 50 - 69 years (</w:t>
      </w:r>
      <w:r>
        <w:rPr>
          <w:rFonts w:ascii="Arial" w:hAnsi="Arial" w:eastAsia="SimSun" w:cs="Arial"/>
          <w:shd w:val="clear" w:color="auto" w:fill="FFFFFF"/>
        </w:rPr>
        <w:t xml:space="preserve">Fortea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xml:space="preserve">., 2022; Wazir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xml:space="preserve">., 2023). Alcohol fatty liver disease (ALD), viral hepatitis and non-alcohol fatty diseases (NAFLD) and their associated complications remains the most common drivers of chronic liver diseases such as liver cirrhosis and hepatocellular carcinoma </w:t>
      </w:r>
      <w:r>
        <w:rPr>
          <w:rFonts w:ascii="Arial" w:hAnsi="Arial" w:cs="Arial"/>
        </w:rPr>
        <w:t>(</w:t>
      </w:r>
      <w:r>
        <w:rPr>
          <w:rFonts w:ascii="Arial" w:hAnsi="Arial" w:eastAsia="SimSun" w:cs="Arial"/>
          <w:shd w:val="clear" w:color="auto" w:fill="FFFFFF"/>
        </w:rPr>
        <w:t xml:space="preserve">Younossi and Henry, 2021; Malnick </w:t>
      </w:r>
      <w:r>
        <w:rPr>
          <w:rFonts w:ascii="Arial" w:hAnsi="Arial" w:eastAsia="SimSun" w:cs="Arial"/>
          <w:shd w:val="clear" w:color="auto" w:fill="FFFFFF"/>
          <w:lang w:val="en-US"/>
        </w:rPr>
        <w:t>et al</w:t>
      </w:r>
      <w:r>
        <w:rPr>
          <w:rFonts w:ascii="Arial" w:hAnsi="Arial" w:eastAsia="SimSun" w:cs="Arial"/>
          <w:shd w:val="clear" w:color="auto" w:fill="FFFFFF"/>
        </w:rPr>
        <w:t xml:space="preserve">., 2022; Devarbhavi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2023)</w:t>
      </w:r>
      <w:r>
        <w:rPr>
          <w:rFonts w:ascii="Arial" w:hAnsi="Arial" w:cs="Arial"/>
        </w:rPr>
        <w:t>. The g</w:t>
      </w:r>
      <w:r>
        <w:rPr>
          <w:rFonts w:ascii="Arial" w:hAnsi="Arial" w:eastAsia="Georgia" w:cs="Arial"/>
        </w:rPr>
        <w:t xml:space="preserve">lobally increase in the misuse of alcohol, drug addiction, obesity, diabetes, organ transplants, immune system dysregulation, sexual activities and genetic disposition has increased the </w:t>
      </w:r>
      <w:r>
        <w:rPr>
          <w:rFonts w:ascii="Arial" w:hAnsi="Arial" w:cs="Arial"/>
        </w:rPr>
        <w:t xml:space="preserve">incidence of liver </w:t>
      </w:r>
      <w:r>
        <w:rPr>
          <w:rFonts w:ascii="Arial" w:hAnsi="Arial" w:eastAsia="SimSun" w:cs="Arial"/>
        </w:rPr>
        <w:t xml:space="preserve">cirrhosis </w:t>
      </w:r>
      <w:r>
        <w:rPr>
          <w:rFonts w:ascii="Arial" w:hAnsi="Arial" w:cs="Arial"/>
        </w:rPr>
        <w:t xml:space="preserve">due </w:t>
      </w:r>
      <w:r>
        <w:rPr>
          <w:rFonts w:ascii="Arial" w:hAnsi="Arial" w:eastAsia="SimSun" w:cs="Arial"/>
        </w:rPr>
        <w:t>to HCV</w:t>
      </w:r>
      <w:r>
        <w:rPr>
          <w:rFonts w:ascii="Arial" w:hAnsi="Arial" w:cs="Arial"/>
        </w:rPr>
        <w:t xml:space="preserve">, </w:t>
      </w:r>
      <w:r>
        <w:rPr>
          <w:rFonts w:ascii="Arial" w:hAnsi="Arial" w:eastAsia="SimSun" w:cs="Arial"/>
        </w:rPr>
        <w:t>HBV</w:t>
      </w:r>
      <w:r>
        <w:rPr>
          <w:rFonts w:ascii="Arial" w:hAnsi="Arial" w:cs="Arial"/>
        </w:rPr>
        <w:t>, ALD and</w:t>
      </w:r>
      <w:r>
        <w:rPr>
          <w:rFonts w:ascii="Arial" w:hAnsi="Arial" w:eastAsia="SimSun" w:cs="Arial"/>
        </w:rPr>
        <w:t xml:space="preserve"> NAFLD </w:t>
      </w:r>
      <w:r>
        <w:rPr>
          <w:rFonts w:ascii="Arial" w:hAnsi="Arial" w:eastAsia="Georgia" w:cs="Arial"/>
        </w:rPr>
        <w:t>(</w:t>
      </w:r>
      <w:r>
        <w:rPr>
          <w:rFonts w:ascii="Arial" w:hAnsi="Arial" w:eastAsia="SimSun" w:cs="Arial"/>
          <w:shd w:val="clear" w:color="auto" w:fill="FFFFFF"/>
        </w:rPr>
        <w:t xml:space="preserve">Devarbhavi </w:t>
      </w:r>
      <w:r>
        <w:rPr>
          <w:rFonts w:ascii="Arial" w:hAnsi="Arial" w:eastAsia="SimSun" w:cs="Arial"/>
          <w:i/>
          <w:iCs/>
          <w:shd w:val="clear" w:color="auto" w:fill="FFFFFF"/>
          <w:lang w:val="en-US"/>
        </w:rPr>
        <w:t>et al</w:t>
      </w:r>
      <w:r>
        <w:rPr>
          <w:rFonts w:ascii="Arial" w:hAnsi="Arial" w:eastAsia="SimSun" w:cs="Arial"/>
          <w:shd w:val="clear" w:color="auto" w:fill="FFFFFF"/>
        </w:rPr>
        <w:t>., 2023; Mohajan and Mohajan, 2023</w:t>
      </w:r>
      <w:r>
        <w:rPr>
          <w:rFonts w:ascii="Arial" w:hAnsi="Arial" w:eastAsia="Georgia" w:cs="Arial"/>
        </w:rPr>
        <w:t>). With the pandemic of obesity, NAFLD is on the increase as the increase in the rate of obesity around the world corresponds with the global burden for NAFLD (</w:t>
      </w:r>
      <w:r>
        <w:rPr>
          <w:rFonts w:ascii="Arial" w:hAnsi="Arial" w:eastAsia="SimSun" w:cs="Arial"/>
          <w:shd w:val="clear" w:color="auto" w:fill="FFFFFF"/>
        </w:rPr>
        <w:t xml:space="preserve">Quek </w:t>
      </w:r>
      <w:r>
        <w:rPr>
          <w:rFonts w:ascii="Arial" w:hAnsi="Arial" w:eastAsia="SimSun" w:cs="Arial"/>
          <w:i/>
          <w:iCs/>
          <w:shd w:val="clear" w:color="auto" w:fill="FFFFFF"/>
          <w:lang w:val="en-US"/>
        </w:rPr>
        <w:t>et al</w:t>
      </w:r>
      <w:r>
        <w:rPr>
          <w:rFonts w:ascii="Arial" w:hAnsi="Arial" w:eastAsia="SimSun" w:cs="Arial"/>
          <w:shd w:val="clear" w:color="auto" w:fill="FFFFFF"/>
        </w:rPr>
        <w:t>., 2023)</w:t>
      </w:r>
      <w:r>
        <w:rPr>
          <w:rFonts w:ascii="Arial" w:hAnsi="Arial" w:eastAsia="Georgia" w:cs="Arial"/>
        </w:rPr>
        <w:t xml:space="preserve">. </w:t>
      </w:r>
    </w:p>
    <w:p w14:paraId="6A06DDC1">
      <w:pPr>
        <w:jc w:val="both"/>
        <w:rPr>
          <w:rFonts w:ascii="Arial" w:hAnsi="Arial" w:cs="Arial"/>
        </w:rPr>
      </w:pPr>
    </w:p>
    <w:p w14:paraId="24762E6D">
      <w:pPr>
        <w:jc w:val="both"/>
        <w:rPr>
          <w:rFonts w:ascii="Arial" w:hAnsi="Arial" w:cs="Arial"/>
        </w:rPr>
      </w:pPr>
    </w:p>
    <w:p w14:paraId="64DFC1FE">
      <w:pPr>
        <w:jc w:val="both"/>
        <w:rPr>
          <w:rFonts w:ascii="Arial" w:hAnsi="Arial" w:eastAsia="Georgia" w:cs="Arial"/>
          <w:shd w:val="clear" w:color="auto" w:fill="FFFFFF"/>
        </w:rPr>
      </w:pPr>
      <w:r>
        <w:rPr>
          <w:rFonts w:ascii="Arial" w:hAnsi="Arial" w:cs="Arial"/>
        </w:rPr>
        <w:t xml:space="preserve">Globally, </w:t>
      </w:r>
      <w:r>
        <w:rPr>
          <w:rFonts w:ascii="Arial" w:hAnsi="Arial" w:eastAsia="Georgia" w:cs="Arial"/>
          <w:shd w:val="clear" w:color="auto" w:fill="FFFFFF"/>
        </w:rPr>
        <w:t>10% of the population suffers from liver disease and</w:t>
      </w:r>
      <w:r>
        <w:rPr>
          <w:rFonts w:ascii="Arial" w:hAnsi="Arial" w:cs="Arial"/>
        </w:rPr>
        <w:t xml:space="preserve"> an estimated annual deaths of </w:t>
      </w:r>
      <w:r>
        <w:rPr>
          <w:rFonts w:ascii="Arial" w:hAnsi="Arial" w:eastAsia="Georgia" w:cs="Arial"/>
        </w:rPr>
        <w:t xml:space="preserve">two million </w:t>
      </w:r>
      <w:r>
        <w:rPr>
          <w:rFonts w:ascii="Arial" w:hAnsi="Arial" w:cs="Arial"/>
        </w:rPr>
        <w:t>has been attributed to liver disease, making liver disease responsible for one out of every twenty five deaths globally (4% of deaths globally) (</w:t>
      </w:r>
      <w:r>
        <w:rPr>
          <w:rFonts w:ascii="Arial" w:hAnsi="Arial" w:eastAsia="SimSun" w:cs="Arial"/>
          <w:shd w:val="clear" w:color="auto" w:fill="FFFFFF"/>
        </w:rPr>
        <w:t xml:space="preserve">Devarbhavi </w:t>
      </w:r>
      <w:r>
        <w:rPr>
          <w:rFonts w:ascii="Arial" w:hAnsi="Arial" w:eastAsia="SimSun" w:cs="Arial"/>
          <w:shd w:val="clear" w:color="auto" w:fill="FFFFFF"/>
          <w:lang w:val="en-US"/>
        </w:rPr>
        <w:t>et al</w:t>
      </w:r>
      <w:r>
        <w:rPr>
          <w:rFonts w:ascii="Arial" w:hAnsi="Arial" w:eastAsia="SimSun" w:cs="Arial"/>
          <w:shd w:val="clear" w:color="auto" w:fill="FFFFFF"/>
        </w:rPr>
        <w:t>., 2023; Ayenew and Wasihun, 2023)</w:t>
      </w:r>
      <w:r>
        <w:rPr>
          <w:rFonts w:ascii="Arial" w:hAnsi="Arial" w:cs="Arial"/>
        </w:rPr>
        <w:t>.</w:t>
      </w:r>
      <w:r>
        <w:rPr>
          <w:rFonts w:ascii="Arial" w:hAnsi="Arial" w:eastAsia="SimSun" w:cs="Arial"/>
          <w:shd w:val="clear" w:color="auto" w:fill="FFFFFF"/>
        </w:rPr>
        <w:t xml:space="preserve"> </w:t>
      </w:r>
      <w:r>
        <w:rPr>
          <w:rFonts w:ascii="Arial" w:hAnsi="Arial" w:cs="Arial"/>
        </w:rPr>
        <w:t>Most of the deaths due to liver disease have been attributed to h</w:t>
      </w:r>
      <w:r>
        <w:rPr>
          <w:rFonts w:ascii="Arial" w:hAnsi="Arial" w:eastAsia="Georgia" w:cs="Arial"/>
        </w:rPr>
        <w:t>epatocellular carcinoma and l</w:t>
      </w:r>
      <w:r>
        <w:rPr>
          <w:rFonts w:ascii="Arial" w:hAnsi="Arial" w:cs="Arial"/>
        </w:rPr>
        <w:t>iver cirrhosis</w:t>
      </w:r>
      <w:r>
        <w:rPr>
          <w:rFonts w:ascii="Arial" w:hAnsi="Arial" w:eastAsia="SimSun" w:cs="Arial"/>
          <w:shd w:val="clear" w:color="auto" w:fill="FFFFFF"/>
        </w:rPr>
        <w:t xml:space="preserve"> with cirrhosis on the list of the ten most common causes of global death and a predisposing factor for </w:t>
      </w:r>
      <w:r>
        <w:rPr>
          <w:rFonts w:ascii="Arial" w:hAnsi="Arial" w:cs="Arial"/>
        </w:rPr>
        <w:t>h</w:t>
      </w:r>
      <w:r>
        <w:rPr>
          <w:rFonts w:ascii="Arial" w:hAnsi="Arial" w:eastAsia="Georgia" w:cs="Arial"/>
        </w:rPr>
        <w:t>epatocellular carcinoma</w:t>
      </w:r>
      <w:r>
        <w:rPr>
          <w:rFonts w:ascii="Arial" w:hAnsi="Arial" w:eastAsia="SimSun" w:cs="Arial"/>
          <w:shd w:val="clear" w:color="auto" w:fill="FFFFFF"/>
        </w:rPr>
        <w:t xml:space="preserve"> (Younossi and Henry, 2021; Fortea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xml:space="preserve">., 2022, Devarbhavi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xml:space="preserve">., 2023). </w:t>
      </w:r>
      <w:r>
        <w:rPr>
          <w:rFonts w:ascii="Arial" w:hAnsi="Arial" w:cs="Arial"/>
          <w:shd w:val="clear" w:color="auto" w:fill="FFFFFF"/>
        </w:rPr>
        <w:t>The m</w:t>
      </w:r>
      <w:r>
        <w:rPr>
          <w:rFonts w:ascii="Arial" w:hAnsi="Arial" w:cs="Arial"/>
        </w:rPr>
        <w:t xml:space="preserve">orbidity and mortality due to liver diseases has become a significant global public health issue, which </w:t>
      </w:r>
      <w:r>
        <w:rPr>
          <w:rFonts w:ascii="Arial" w:hAnsi="Arial" w:eastAsia="Georgia" w:cs="Arial"/>
        </w:rPr>
        <w:t>warrant investigations to enhance the clinical management and develop novel therapeutic strategies (</w:t>
      </w:r>
      <w:r>
        <w:rPr>
          <w:rFonts w:ascii="Arial" w:hAnsi="Arial" w:eastAsia="SimSun" w:cs="Arial"/>
          <w:shd w:val="clear" w:color="auto" w:fill="FFFFFF"/>
        </w:rPr>
        <w:t xml:space="preserve">Georgieva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2023)</w:t>
      </w:r>
      <w:r>
        <w:rPr>
          <w:rFonts w:ascii="Arial" w:hAnsi="Arial" w:eastAsia="Georgia" w:cs="Arial"/>
        </w:rPr>
        <w:t xml:space="preserve">. </w:t>
      </w:r>
      <w:r>
        <w:rPr>
          <w:rFonts w:ascii="Arial" w:hAnsi="Arial" w:eastAsia="Georgia" w:cs="Arial"/>
          <w:shd w:val="clear" w:color="auto" w:fill="FFFFFF"/>
        </w:rPr>
        <w:t>With corticosteroids which is used for the treatment of alcohol induced hepatitis being associated with the risk of flaring hepatitis at high doses and no specific drug for NAFLD, modern medicine still faces difficulties in treating liver diseases (</w:t>
      </w:r>
      <w:r>
        <w:rPr>
          <w:rFonts w:ascii="Arial" w:hAnsi="Arial" w:eastAsia="SimSun" w:cs="Arial"/>
          <w:sz w:val="19"/>
          <w:szCs w:val="19"/>
          <w:shd w:val="clear" w:color="auto" w:fill="FFFFFF"/>
        </w:rPr>
        <w:t>Chen</w:t>
      </w:r>
      <w:r>
        <w:rPr>
          <w:rFonts w:ascii="Arial" w:hAnsi="Arial" w:cs="Arial"/>
          <w:sz w:val="19"/>
          <w:szCs w:val="19"/>
          <w:shd w:val="clear" w:color="auto" w:fill="FFFFFF"/>
        </w:rPr>
        <w:t xml:space="preserve"> </w:t>
      </w:r>
      <w:r>
        <w:rPr>
          <w:rFonts w:ascii="Arial" w:hAnsi="Arial" w:cs="Arial"/>
          <w:i/>
          <w:iCs/>
          <w:sz w:val="19"/>
          <w:szCs w:val="19"/>
          <w:shd w:val="clear" w:color="auto" w:fill="FFFFFF"/>
          <w:lang w:val="en-US"/>
        </w:rPr>
        <w:t>et a</w:t>
      </w:r>
      <w:r>
        <w:rPr>
          <w:rFonts w:ascii="Arial" w:hAnsi="Arial" w:cs="Arial"/>
          <w:sz w:val="19"/>
          <w:szCs w:val="19"/>
          <w:shd w:val="clear" w:color="auto" w:fill="FFFFFF"/>
          <w:lang w:val="en-US"/>
        </w:rPr>
        <w:t>l</w:t>
      </w:r>
      <w:r>
        <w:rPr>
          <w:rFonts w:ascii="Arial" w:hAnsi="Arial" w:cs="Arial"/>
          <w:sz w:val="19"/>
          <w:szCs w:val="19"/>
          <w:shd w:val="clear" w:color="auto" w:fill="FFFFFF"/>
        </w:rPr>
        <w:t xml:space="preserve">., 2020; </w:t>
      </w:r>
      <w:r>
        <w:rPr>
          <w:rFonts w:ascii="Arial" w:hAnsi="Arial" w:eastAsia="SimSun" w:cs="Arial"/>
          <w:sz w:val="19"/>
          <w:szCs w:val="19"/>
          <w:shd w:val="clear" w:color="auto" w:fill="FFFFFF"/>
        </w:rPr>
        <w:t>Wong</w:t>
      </w:r>
      <w:r>
        <w:rPr>
          <w:rFonts w:ascii="Arial" w:hAnsi="Arial" w:cs="Arial"/>
          <w:sz w:val="19"/>
          <w:szCs w:val="19"/>
          <w:shd w:val="clear" w:color="auto" w:fill="FFFFFF"/>
        </w:rPr>
        <w:t xml:space="preserve"> </w:t>
      </w:r>
      <w:r>
        <w:rPr>
          <w:rFonts w:ascii="Arial" w:hAnsi="Arial" w:cs="Arial"/>
          <w:i/>
          <w:iCs/>
          <w:sz w:val="19"/>
          <w:szCs w:val="19"/>
          <w:shd w:val="clear" w:color="auto" w:fill="FFFFFF"/>
          <w:lang w:val="en-US"/>
        </w:rPr>
        <w:t>et al</w:t>
      </w:r>
      <w:r>
        <w:rPr>
          <w:rFonts w:ascii="Arial" w:hAnsi="Arial" w:cs="Arial"/>
          <w:sz w:val="19"/>
          <w:szCs w:val="19"/>
          <w:shd w:val="clear" w:color="auto" w:fill="FFFFFF"/>
        </w:rPr>
        <w:t xml:space="preserve">., 2020; </w:t>
      </w:r>
      <w:r>
        <w:rPr>
          <w:rFonts w:ascii="Arial" w:hAnsi="Arial" w:eastAsia="SimSun" w:cs="Arial"/>
          <w:sz w:val="19"/>
          <w:szCs w:val="19"/>
          <w:shd w:val="clear" w:color="auto" w:fill="FFFFFF"/>
        </w:rPr>
        <w:t>Arab</w:t>
      </w:r>
      <w:r>
        <w:rPr>
          <w:rFonts w:ascii="Arial" w:hAnsi="Arial" w:cs="Arial"/>
          <w:sz w:val="19"/>
          <w:szCs w:val="19"/>
          <w:shd w:val="clear" w:color="auto" w:fill="FFFFFF"/>
        </w:rPr>
        <w:t xml:space="preserve"> </w:t>
      </w:r>
      <w:r>
        <w:rPr>
          <w:rFonts w:ascii="Arial" w:hAnsi="Arial" w:cs="Arial"/>
          <w:i/>
          <w:iCs/>
          <w:sz w:val="19"/>
          <w:szCs w:val="19"/>
          <w:shd w:val="clear" w:color="auto" w:fill="FFFFFF"/>
          <w:lang w:val="en-US"/>
        </w:rPr>
        <w:t>et al</w:t>
      </w:r>
      <w:r>
        <w:rPr>
          <w:rFonts w:ascii="Arial" w:hAnsi="Arial" w:cs="Arial"/>
          <w:sz w:val="19"/>
          <w:szCs w:val="19"/>
          <w:shd w:val="clear" w:color="auto" w:fill="FFFFFF"/>
        </w:rPr>
        <w:t xml:space="preserve">., 2021). </w:t>
      </w:r>
      <w:r>
        <w:rPr>
          <w:rFonts w:ascii="Arial" w:hAnsi="Arial" w:eastAsia="Georgia" w:cs="Arial"/>
          <w:shd w:val="clear" w:color="auto" w:fill="FFFFFF"/>
        </w:rPr>
        <w:t xml:space="preserve">Hence the need for therapies which can ameliorate liver damage with minimal side effects. </w:t>
      </w:r>
    </w:p>
    <w:p w14:paraId="77222887">
      <w:pPr>
        <w:pStyle w:val="17"/>
        <w:shd w:val="clear" w:color="auto" w:fill="FFFFFF"/>
        <w:spacing w:beforeAutospacing="0" w:afterAutospacing="0"/>
        <w:jc w:val="both"/>
        <w:rPr>
          <w:rFonts w:ascii="Arial" w:hAnsi="Arial" w:cs="Arial"/>
          <w:sz w:val="20"/>
          <w:szCs w:val="20"/>
          <w:shd w:val="clear" w:color="auto" w:fill="FFFFFF"/>
        </w:rPr>
      </w:pPr>
    </w:p>
    <w:p w14:paraId="7479BB86">
      <w:pPr>
        <w:pStyle w:val="17"/>
        <w:shd w:val="clear" w:color="auto" w:fill="FFFFFF"/>
        <w:spacing w:beforeAutospacing="0" w:afterAutospacing="0"/>
        <w:jc w:val="both"/>
        <w:rPr>
          <w:rFonts w:ascii="Arial" w:hAnsi="Arial" w:cs="Arial"/>
          <w:sz w:val="20"/>
          <w:szCs w:val="20"/>
        </w:rPr>
      </w:pPr>
      <w:r>
        <w:rPr>
          <w:rFonts w:ascii="Arial" w:hAnsi="Arial" w:cs="Arial"/>
          <w:sz w:val="20"/>
          <w:szCs w:val="20"/>
          <w:shd w:val="clear" w:color="auto" w:fill="FFFFFF"/>
        </w:rPr>
        <w:t xml:space="preserve">Plant based remedies has been used in the treatment of liver diseases as the interaction of the bioactive components of plant in synergistic manner may tackle biochemical processes like oxidative damage (Cheema and Singh, 2021; Eruotor </w:t>
      </w:r>
      <w:r>
        <w:rPr>
          <w:rFonts w:ascii="Arial" w:hAnsi="Arial" w:cs="Arial"/>
          <w:i/>
          <w:iCs/>
          <w:sz w:val="20"/>
          <w:szCs w:val="20"/>
          <w:shd w:val="clear" w:color="auto" w:fill="FFFFFF"/>
          <w:lang w:val="en-US"/>
        </w:rPr>
        <w:t>et al</w:t>
      </w:r>
      <w:r>
        <w:rPr>
          <w:rFonts w:ascii="Arial" w:hAnsi="Arial" w:cs="Arial"/>
          <w:i/>
          <w:iCs/>
          <w:sz w:val="20"/>
          <w:szCs w:val="20"/>
          <w:shd w:val="clear" w:color="auto" w:fill="FFFFFF"/>
        </w:rPr>
        <w:t>.</w:t>
      </w:r>
      <w:r>
        <w:rPr>
          <w:rFonts w:ascii="Arial" w:hAnsi="Arial" w:cs="Arial"/>
          <w:sz w:val="20"/>
          <w:szCs w:val="20"/>
          <w:shd w:val="clear" w:color="auto" w:fill="FFFFFF"/>
        </w:rPr>
        <w:t xml:space="preserve">, 2023). Hepatic biomarkers such as </w:t>
      </w:r>
      <w:r>
        <w:rPr>
          <w:rFonts w:ascii="Arial" w:hAnsi="Arial" w:cs="Arial"/>
          <w:sz w:val="20"/>
          <w:szCs w:val="20"/>
        </w:rPr>
        <w:t>Alanine transaminase (ALT),</w:t>
      </w:r>
      <w:r>
        <w:rPr>
          <w:rFonts w:ascii="Arial" w:hAnsi="Arial" w:eastAsia="Georgia" w:cs="Arial"/>
          <w:sz w:val="20"/>
          <w:szCs w:val="20"/>
        </w:rPr>
        <w:t> </w:t>
      </w:r>
      <w:r>
        <w:rPr>
          <w:rFonts w:ascii="Arial" w:hAnsi="Arial" w:cs="Arial"/>
          <w:sz w:val="20"/>
          <w:szCs w:val="20"/>
        </w:rPr>
        <w:t xml:space="preserve">aspartate transaminase (AST), alkaline phosphatase (AP), </w:t>
      </w:r>
      <w:r>
        <w:rPr>
          <w:rFonts w:ascii="Arial" w:hAnsi="Arial" w:eastAsia="Georgia" w:cs="Arial"/>
          <w:sz w:val="20"/>
          <w:szCs w:val="20"/>
        </w:rPr>
        <w:t xml:space="preserve">mean corpuscular volume (MCV), </w:t>
      </w:r>
      <w:r>
        <w:rPr>
          <w:rFonts w:ascii="Arial" w:hAnsi="Arial" w:cs="Arial"/>
          <w:sz w:val="20"/>
          <w:szCs w:val="20"/>
        </w:rPr>
        <w:t>white blood cell count (WBC), liver malondialdehyde, serum albumin, total protein and haemoglobin concentration</w:t>
      </w:r>
      <w:r>
        <w:rPr>
          <w:rFonts w:ascii="Arial" w:hAnsi="Arial" w:cs="Arial"/>
          <w:sz w:val="20"/>
          <w:szCs w:val="20"/>
          <w:shd w:val="clear" w:color="auto" w:fill="FFFFFF"/>
        </w:rPr>
        <w:t xml:space="preserve"> has is used to evaluate liver injury and monitor the recovery of the liver as well as evaluate drug performance (Mao and Wu, 2020; Thakur </w:t>
      </w:r>
      <w:r>
        <w:rPr>
          <w:rFonts w:ascii="Arial" w:hAnsi="Arial" w:cs="Arial"/>
          <w:i/>
          <w:iCs/>
          <w:sz w:val="20"/>
          <w:szCs w:val="20"/>
          <w:shd w:val="clear" w:color="auto" w:fill="FFFFFF"/>
          <w:lang w:val="en-US"/>
        </w:rPr>
        <w:t>et al</w:t>
      </w:r>
      <w:r>
        <w:rPr>
          <w:rFonts w:ascii="Arial" w:hAnsi="Arial" w:cs="Arial"/>
          <w:sz w:val="20"/>
          <w:szCs w:val="20"/>
          <w:shd w:val="clear" w:color="auto" w:fill="FFFFFF"/>
        </w:rPr>
        <w:t xml:space="preserve">., 2024). </w:t>
      </w:r>
      <w:r>
        <w:rPr>
          <w:rFonts w:ascii="Arial" w:hAnsi="Arial" w:cs="Arial"/>
          <w:i/>
          <w:iCs/>
          <w:sz w:val="20"/>
          <w:szCs w:val="20"/>
        </w:rPr>
        <w:t>Cymbopogon citratus</w:t>
      </w:r>
      <w:r>
        <w:rPr>
          <w:rFonts w:ascii="Arial" w:hAnsi="Arial" w:cs="Arial"/>
          <w:sz w:val="20"/>
          <w:szCs w:val="20"/>
        </w:rPr>
        <w:t xml:space="preserve"> which is commonly known as lemon grass has been identified in folkores for its use as a liver tonic to cleanse the liver (oladeji </w:t>
      </w:r>
      <w:r>
        <w:rPr>
          <w:rFonts w:ascii="Arial" w:hAnsi="Arial" w:cs="Arial"/>
          <w:i/>
          <w:iCs/>
          <w:sz w:val="20"/>
          <w:szCs w:val="20"/>
          <w:lang w:val="en-US"/>
        </w:rPr>
        <w:t>et a</w:t>
      </w:r>
      <w:r>
        <w:rPr>
          <w:rFonts w:ascii="Arial" w:hAnsi="Arial" w:cs="Arial"/>
          <w:sz w:val="20"/>
          <w:szCs w:val="20"/>
          <w:lang w:val="en-US"/>
        </w:rPr>
        <w:t>l</w:t>
      </w:r>
      <w:r>
        <w:rPr>
          <w:rFonts w:ascii="Arial" w:hAnsi="Arial" w:cs="Arial"/>
          <w:sz w:val="20"/>
          <w:szCs w:val="20"/>
        </w:rPr>
        <w:t xml:space="preserve">., 2019). The leaves of </w:t>
      </w:r>
      <w:r>
        <w:rPr>
          <w:rFonts w:ascii="Arial" w:hAnsi="Arial" w:cs="Arial"/>
          <w:i/>
          <w:iCs/>
          <w:sz w:val="20"/>
          <w:szCs w:val="20"/>
        </w:rPr>
        <w:t xml:space="preserve">C. citratus </w:t>
      </w:r>
      <w:r>
        <w:rPr>
          <w:rFonts w:ascii="Arial" w:hAnsi="Arial" w:cs="Arial"/>
          <w:sz w:val="20"/>
          <w:szCs w:val="20"/>
        </w:rPr>
        <w:t xml:space="preserve">contain phytochemicals which have antioxidant, anti-inflammatory, anti-obesity, anti-fungal and anti-microbial abilities (oladeji </w:t>
      </w:r>
      <w:r>
        <w:rPr>
          <w:rFonts w:ascii="Arial" w:hAnsi="Arial" w:cs="Arial"/>
          <w:i/>
          <w:iCs/>
          <w:sz w:val="20"/>
          <w:szCs w:val="20"/>
          <w:lang w:val="en-US"/>
        </w:rPr>
        <w:t>et al</w:t>
      </w:r>
      <w:r>
        <w:rPr>
          <w:rFonts w:ascii="Arial" w:hAnsi="Arial" w:cs="Arial"/>
          <w:sz w:val="20"/>
          <w:szCs w:val="20"/>
        </w:rPr>
        <w:t xml:space="preserve">., 2019; </w:t>
      </w:r>
      <w:r>
        <w:rPr>
          <w:rFonts w:ascii="Arial" w:hAnsi="Arial" w:cs="Arial"/>
          <w:sz w:val="20"/>
          <w:szCs w:val="20"/>
          <w:shd w:val="clear" w:color="auto" w:fill="FFFFFF"/>
        </w:rPr>
        <w:t xml:space="preserve">Guleria and Sehgal, 2020; Shendurse </w:t>
      </w:r>
      <w:r>
        <w:rPr>
          <w:rFonts w:ascii="Arial" w:hAnsi="Arial" w:cs="Arial"/>
          <w:i/>
          <w:iCs/>
          <w:sz w:val="20"/>
          <w:szCs w:val="20"/>
          <w:shd w:val="clear" w:color="auto" w:fill="FFFFFF"/>
          <w:lang w:val="en-US"/>
        </w:rPr>
        <w:t>et al</w:t>
      </w:r>
      <w:r>
        <w:rPr>
          <w:rFonts w:ascii="Arial" w:hAnsi="Arial" w:cs="Arial"/>
          <w:sz w:val="20"/>
          <w:szCs w:val="20"/>
          <w:shd w:val="clear" w:color="auto" w:fill="FFFFFF"/>
        </w:rPr>
        <w:t xml:space="preserve">., 2021; Rakib-Uz-Zaman </w:t>
      </w:r>
      <w:r>
        <w:rPr>
          <w:rFonts w:ascii="Arial" w:hAnsi="Arial" w:cs="Arial"/>
          <w:i/>
          <w:iCs/>
          <w:sz w:val="20"/>
          <w:szCs w:val="20"/>
          <w:shd w:val="clear" w:color="auto" w:fill="FFFFFF"/>
          <w:lang w:val="en-US"/>
        </w:rPr>
        <w:t>et al</w:t>
      </w:r>
      <w:r>
        <w:rPr>
          <w:rFonts w:ascii="Arial" w:hAnsi="Arial" w:cs="Arial"/>
          <w:sz w:val="20"/>
          <w:szCs w:val="20"/>
          <w:shd w:val="clear" w:color="auto" w:fill="FFFFFF"/>
        </w:rPr>
        <w:t xml:space="preserve">., 2022; Eruotor </w:t>
      </w:r>
      <w:r>
        <w:rPr>
          <w:rFonts w:ascii="Arial" w:hAnsi="Arial" w:cs="Arial"/>
          <w:i/>
          <w:iCs/>
          <w:sz w:val="20"/>
          <w:szCs w:val="20"/>
          <w:shd w:val="clear" w:color="auto" w:fill="FFFFFF"/>
          <w:lang w:val="en-US"/>
        </w:rPr>
        <w:t>et al</w:t>
      </w:r>
      <w:r>
        <w:rPr>
          <w:rFonts w:ascii="Arial" w:hAnsi="Arial" w:cs="Arial"/>
          <w:sz w:val="20"/>
          <w:szCs w:val="20"/>
          <w:shd w:val="clear" w:color="auto" w:fill="FFFFFF"/>
        </w:rPr>
        <w:t>., 2023)</w:t>
      </w:r>
      <w:r>
        <w:rPr>
          <w:rFonts w:ascii="Arial" w:hAnsi="Arial" w:cs="Arial"/>
          <w:i/>
          <w:iCs/>
          <w:sz w:val="20"/>
          <w:szCs w:val="20"/>
        </w:rPr>
        <w:t xml:space="preserve">. </w:t>
      </w:r>
      <w:r>
        <w:rPr>
          <w:rFonts w:ascii="Arial" w:hAnsi="Arial" w:cs="Arial"/>
          <w:sz w:val="20"/>
          <w:szCs w:val="20"/>
        </w:rPr>
        <w:t xml:space="preserve">Hence, this research is aimed at evaluating the ameliorating effect of </w:t>
      </w:r>
      <w:r>
        <w:rPr>
          <w:rFonts w:ascii="Arial" w:hAnsi="Arial" w:eastAsia="sans-serif" w:cs="Arial"/>
          <w:sz w:val="20"/>
          <w:szCs w:val="20"/>
          <w:shd w:val="clear" w:color="auto" w:fill="FFFFFF"/>
        </w:rPr>
        <w:t xml:space="preserve">aqueous extract of </w:t>
      </w:r>
      <w:r>
        <w:rPr>
          <w:rFonts w:ascii="Arial" w:hAnsi="Arial" w:cs="Arial"/>
          <w:i/>
          <w:iCs/>
          <w:sz w:val="20"/>
          <w:szCs w:val="20"/>
        </w:rPr>
        <w:t>Cymbopogon citratus</w:t>
      </w:r>
      <w:r>
        <w:rPr>
          <w:rFonts w:ascii="Arial" w:hAnsi="Arial" w:eastAsia="sans-serif" w:cs="Arial"/>
          <w:sz w:val="20"/>
          <w:szCs w:val="20"/>
          <w:shd w:val="clear" w:color="auto" w:fill="FFFFFF"/>
        </w:rPr>
        <w:t xml:space="preserve"> on carbon tetrachloride–induced liver injury in Wistar albino rats</w:t>
      </w:r>
    </w:p>
    <w:p w14:paraId="7D1C06E0">
      <w:pPr>
        <w:pStyle w:val="17"/>
        <w:shd w:val="clear" w:color="auto" w:fill="FFFFFF"/>
        <w:spacing w:beforeAutospacing="0" w:afterAutospacing="0"/>
        <w:jc w:val="both"/>
        <w:rPr>
          <w:rFonts w:ascii="Arial" w:hAnsi="Arial" w:cs="Arial"/>
          <w:sz w:val="20"/>
          <w:szCs w:val="20"/>
          <w:shd w:val="clear" w:color="auto" w:fill="FFFFFF"/>
        </w:rPr>
      </w:pPr>
    </w:p>
    <w:p w14:paraId="3740C1AD">
      <w:pPr>
        <w:pStyle w:val="25"/>
        <w:spacing w:after="0"/>
        <w:jc w:val="both"/>
        <w:rPr>
          <w:rFonts w:ascii="Arial" w:hAnsi="Arial" w:cs="Arial"/>
        </w:rPr>
      </w:pPr>
    </w:p>
    <w:p w14:paraId="4A52DEE4">
      <w:pPr>
        <w:rPr>
          <w:rFonts w:ascii="Arial" w:hAnsi="Arial" w:cs="Arial"/>
        </w:rPr>
      </w:pPr>
    </w:p>
    <w:p w14:paraId="683DB0E2">
      <w:pPr>
        <w:rPr>
          <w:rFonts w:ascii="Arial" w:hAnsi="Arial" w:eastAsia="SimSun" w:cs="Arial"/>
          <w:b/>
          <w:bCs/>
          <w:sz w:val="22"/>
          <w:szCs w:val="22"/>
        </w:rPr>
      </w:pPr>
      <w:r>
        <w:rPr>
          <w:rFonts w:ascii="Arial" w:hAnsi="Arial" w:eastAsia="SimSun" w:cs="Arial"/>
          <w:b/>
          <w:bCs/>
          <w:sz w:val="22"/>
          <w:szCs w:val="22"/>
        </w:rPr>
        <w:t xml:space="preserve">2. MATERIALS AND METHODS </w:t>
      </w:r>
    </w:p>
    <w:p w14:paraId="21B7C910">
      <w:pPr>
        <w:rPr>
          <w:rFonts w:ascii="Arial" w:hAnsi="Arial" w:eastAsia="SimSun" w:cs="Arial"/>
        </w:rPr>
      </w:pPr>
    </w:p>
    <w:p w14:paraId="22A92110">
      <w:pPr>
        <w:rPr>
          <w:rFonts w:ascii="Arial" w:hAnsi="Arial" w:eastAsia="SimSun" w:cs="Arial"/>
          <w:b/>
          <w:bCs/>
          <w:sz w:val="22"/>
          <w:szCs w:val="22"/>
        </w:rPr>
      </w:pPr>
      <w:r>
        <w:rPr>
          <w:rFonts w:ascii="Arial" w:hAnsi="Arial" w:eastAsia="SimSun" w:cs="Arial"/>
          <w:b/>
          <w:bCs/>
          <w:sz w:val="22"/>
          <w:szCs w:val="22"/>
        </w:rPr>
        <w:t xml:space="preserve">2.1. Reagents and Chemicals </w:t>
      </w:r>
    </w:p>
    <w:p w14:paraId="4D6629C5">
      <w:pPr>
        <w:jc w:val="both"/>
        <w:rPr>
          <w:rFonts w:ascii="Arial" w:hAnsi="Arial" w:eastAsia="SimSun" w:cs="Arial"/>
        </w:rPr>
      </w:pPr>
      <w:r>
        <w:rPr>
          <w:rFonts w:ascii="Arial" w:hAnsi="Arial" w:eastAsia="SimSun" w:cs="Arial"/>
          <w:lang w:eastAsia="zh-CN" w:bidi="ar"/>
        </w:rPr>
        <w:t xml:space="preserve">The Randox Laboratory Ltd. Aspartate aminotransferase (AST), </w:t>
      </w:r>
      <w:r>
        <w:fldChar w:fldCharType="begin"/>
      </w:r>
      <w:r>
        <w:instrText xml:space="preserve"> HYPERLINK "https://www.sciencedirect.com/topics/pharmacology-toxicology-and-pharmaceutical-science/alkaline-phosphatase" \o "Learn more about Alkaline phosphatase from ScienceDirect's AI-generated Topic Pages" </w:instrText>
      </w:r>
      <w:r>
        <w:fldChar w:fldCharType="separate"/>
      </w:r>
      <w:r>
        <w:rPr>
          <w:rStyle w:val="15"/>
          <w:rFonts w:ascii="Arial" w:hAnsi="Arial" w:eastAsia="SimSun" w:cs="Arial"/>
          <w:color w:val="auto"/>
          <w:u w:val="none"/>
        </w:rPr>
        <w:t>Alkaline phosphatase</w:t>
      </w:r>
      <w:r>
        <w:rPr>
          <w:rStyle w:val="15"/>
          <w:rFonts w:ascii="Arial" w:hAnsi="Arial" w:eastAsia="SimSun" w:cs="Arial"/>
          <w:color w:val="auto"/>
          <w:u w:val="none"/>
        </w:rPr>
        <w:fldChar w:fldCharType="end"/>
      </w:r>
      <w:r>
        <w:rPr>
          <w:rFonts w:ascii="Arial" w:hAnsi="Arial" w:eastAsia="SimSun" w:cs="Arial"/>
          <w:lang w:eastAsia="zh-CN" w:bidi="ar"/>
        </w:rPr>
        <w:t xml:space="preserve"> (ALP) and </w:t>
      </w:r>
      <w:r>
        <w:fldChar w:fldCharType="begin"/>
      </w:r>
      <w:r>
        <w:instrText xml:space="preserve"> HYPERLINK "https://www.sciencedirect.com/topics/pharmacology-toxicology-and-pharmaceutical-science/alanine-aminotransferase" \o "Learn more about Alanine aminotransferase from ScienceDirect's AI-generated Topic Pages" </w:instrText>
      </w:r>
      <w:r>
        <w:fldChar w:fldCharType="separate"/>
      </w:r>
      <w:r>
        <w:rPr>
          <w:rStyle w:val="15"/>
          <w:rFonts w:ascii="Arial" w:hAnsi="Arial" w:eastAsia="SimSun" w:cs="Arial"/>
          <w:color w:val="auto"/>
          <w:u w:val="none"/>
        </w:rPr>
        <w:t>Alanine aminotransferase</w:t>
      </w:r>
      <w:r>
        <w:rPr>
          <w:rStyle w:val="15"/>
          <w:rFonts w:ascii="Arial" w:hAnsi="Arial" w:eastAsia="SimSun" w:cs="Arial"/>
          <w:color w:val="auto"/>
          <w:u w:val="none"/>
        </w:rPr>
        <w:fldChar w:fldCharType="end"/>
      </w:r>
      <w:r>
        <w:rPr>
          <w:rFonts w:ascii="Arial" w:hAnsi="Arial" w:eastAsia="SimSun" w:cs="Arial"/>
          <w:lang w:eastAsia="zh-CN" w:bidi="ar"/>
        </w:rPr>
        <w:t xml:space="preserve"> (ALT) kits were used. All other chemicals and reagents used in this study were of </w:t>
      </w:r>
      <w:r>
        <w:rPr>
          <w:rFonts w:ascii="Arial" w:hAnsi="Arial" w:eastAsia="SimSun" w:cs="Arial"/>
        </w:rPr>
        <w:t>analytical grade.</w:t>
      </w:r>
    </w:p>
    <w:p w14:paraId="635D44EE">
      <w:pPr>
        <w:jc w:val="both"/>
        <w:rPr>
          <w:rFonts w:ascii="Arial" w:hAnsi="Arial" w:eastAsia="SimSun" w:cs="Arial"/>
        </w:rPr>
      </w:pPr>
    </w:p>
    <w:p w14:paraId="0C2A3A8D">
      <w:pPr>
        <w:rPr>
          <w:rFonts w:ascii="Arial" w:hAnsi="Arial" w:eastAsia="SimSun" w:cs="Arial"/>
          <w:b/>
          <w:bCs/>
          <w:sz w:val="22"/>
          <w:szCs w:val="22"/>
        </w:rPr>
      </w:pPr>
      <w:r>
        <w:rPr>
          <w:rFonts w:ascii="Arial" w:hAnsi="Arial" w:eastAsia="SimSun" w:cs="Arial"/>
          <w:b/>
          <w:bCs/>
          <w:sz w:val="22"/>
          <w:szCs w:val="22"/>
        </w:rPr>
        <w:t xml:space="preserve">2.2. Collection and Identification of Plant material </w:t>
      </w:r>
    </w:p>
    <w:p w14:paraId="4B14EFC4">
      <w:pPr>
        <w:jc w:val="both"/>
        <w:rPr>
          <w:rStyle w:val="11"/>
          <w:rFonts w:ascii="Arial" w:hAnsi="Arial" w:eastAsia="Georgia" w:cs="Arial"/>
          <w:lang w:eastAsia="zh-CN" w:bidi="ar"/>
        </w:rPr>
      </w:pPr>
      <w:r>
        <w:rPr>
          <w:rFonts w:ascii="Arial" w:hAnsi="Arial" w:eastAsia="SimSun" w:cs="Arial"/>
        </w:rPr>
        <w:t xml:space="preserve">Fresh leaves of </w:t>
      </w:r>
      <w:r>
        <w:fldChar w:fldCharType="begin"/>
      </w:r>
      <w:r>
        <w:instrText xml:space="preserve"> HYPERLINK "https://www.sciencedirect.com/topics/pharmacology-toxicology-and-pharmaceutical-science/cymbopogon-citratus" \o "Learn more about Cymbopogon citratus from ScienceDirect's AI-generated Topic Pages" </w:instrText>
      </w:r>
      <w:r>
        <w:fldChar w:fldCharType="separate"/>
      </w:r>
      <w:r>
        <w:rPr>
          <w:rStyle w:val="15"/>
          <w:rFonts w:ascii="Arial" w:hAnsi="Arial" w:eastAsia="Georgia" w:cs="Arial"/>
          <w:i/>
          <w:iCs/>
          <w:color w:val="auto"/>
          <w:u w:val="none"/>
        </w:rPr>
        <w:t>C. citratus</w:t>
      </w:r>
      <w:r>
        <w:rPr>
          <w:rStyle w:val="15"/>
          <w:rFonts w:ascii="Arial" w:hAnsi="Arial" w:eastAsia="Georgia" w:cs="Arial"/>
          <w:i/>
          <w:iCs/>
          <w:color w:val="auto"/>
          <w:u w:val="none"/>
        </w:rPr>
        <w:fldChar w:fldCharType="end"/>
      </w:r>
      <w:r>
        <w:rPr>
          <w:rFonts w:ascii="Arial" w:hAnsi="Arial" w:eastAsia="SimSun" w:cs="Arial"/>
        </w:rPr>
        <w:t xml:space="preserve"> were obtained from Sapele in Delta State of Nigeria. The leaves were identified as </w:t>
      </w:r>
      <w:r>
        <w:fldChar w:fldCharType="begin"/>
      </w:r>
      <w:r>
        <w:instrText xml:space="preserve"> HYPERLINK "https://www.sciencedirect.com/topics/pharmacology-toxicology-and-pharmaceutical-science/cymbopogon-citratus" \o "Learn more about Cymbopogon citratus from ScienceDirect's AI-generated Topic Pages" </w:instrText>
      </w:r>
      <w:r>
        <w:fldChar w:fldCharType="separate"/>
      </w:r>
      <w:r>
        <w:rPr>
          <w:rStyle w:val="15"/>
          <w:rFonts w:ascii="Arial" w:hAnsi="Arial" w:eastAsia="Georgia" w:cs="Arial"/>
          <w:i/>
          <w:iCs/>
          <w:color w:val="auto"/>
          <w:u w:val="none"/>
        </w:rPr>
        <w:t>C. citratus</w:t>
      </w:r>
      <w:r>
        <w:rPr>
          <w:rStyle w:val="15"/>
          <w:rFonts w:ascii="Arial" w:hAnsi="Arial" w:eastAsia="Georgia" w:cs="Arial"/>
          <w:i/>
          <w:iCs/>
          <w:color w:val="auto"/>
          <w:u w:val="none"/>
        </w:rPr>
        <w:fldChar w:fldCharType="end"/>
      </w:r>
      <w:r>
        <w:rPr>
          <w:rStyle w:val="11"/>
          <w:rFonts w:ascii="Arial" w:hAnsi="Arial" w:eastAsia="Georgia" w:cs="Arial"/>
          <w:lang w:eastAsia="zh-CN" w:bidi="ar"/>
        </w:rPr>
        <w:t xml:space="preserve"> and given </w:t>
      </w:r>
      <w:r>
        <w:rPr>
          <w:rFonts w:ascii="Arial" w:hAnsi="Arial" w:eastAsia="Georgia" w:cs="Arial"/>
          <w:lang w:eastAsia="zh-CN" w:bidi="ar"/>
        </w:rPr>
        <w:t>herbarium number</w:t>
      </w:r>
      <w:r>
        <w:rPr>
          <w:rStyle w:val="11"/>
          <w:rFonts w:ascii="Arial" w:hAnsi="Arial" w:eastAsia="Georgia" w:cs="Arial"/>
          <w:lang w:eastAsia="zh-CN" w:bidi="ar"/>
        </w:rPr>
        <w:t xml:space="preserve"> </w:t>
      </w:r>
      <w:r>
        <w:rPr>
          <w:rFonts w:ascii="Arial" w:hAnsi="Arial" w:eastAsia="SimSun" w:cs="Arial"/>
        </w:rPr>
        <w:t xml:space="preserve">UPH.NO.V.1259 at the herbarium in University of Port Harcourt, River State, Nigeria </w:t>
      </w:r>
    </w:p>
    <w:p w14:paraId="7D3F030C">
      <w:pPr>
        <w:rPr>
          <w:rStyle w:val="11"/>
          <w:rFonts w:ascii="Arial" w:hAnsi="Arial" w:eastAsia="Georgia" w:cs="Arial"/>
          <w:sz w:val="22"/>
          <w:szCs w:val="22"/>
          <w:lang w:eastAsia="zh-CN" w:bidi="ar"/>
        </w:rPr>
      </w:pPr>
    </w:p>
    <w:p w14:paraId="7564E32F">
      <w:pPr>
        <w:jc w:val="both"/>
        <w:rPr>
          <w:rFonts w:ascii="Arial" w:hAnsi="Arial" w:eastAsia="SimSun" w:cs="Arial"/>
          <w:b/>
          <w:bCs/>
          <w:sz w:val="22"/>
          <w:szCs w:val="22"/>
        </w:rPr>
      </w:pPr>
      <w:r>
        <w:rPr>
          <w:rFonts w:ascii="Arial" w:hAnsi="Arial" w:eastAsia="SimSun" w:cs="Arial"/>
          <w:b/>
          <w:bCs/>
          <w:sz w:val="22"/>
          <w:szCs w:val="22"/>
        </w:rPr>
        <w:t xml:space="preserve">2.3. Extraction process </w:t>
      </w:r>
    </w:p>
    <w:p w14:paraId="3A6C7DC8">
      <w:pPr>
        <w:jc w:val="both"/>
        <w:rPr>
          <w:rFonts w:ascii="Arial" w:hAnsi="Arial" w:eastAsia="SimSun" w:cs="Arial"/>
        </w:rPr>
      </w:pPr>
      <w:r>
        <w:rPr>
          <w:rFonts w:ascii="Arial" w:hAnsi="Arial" w:eastAsia="SimSun" w:cs="Arial"/>
        </w:rPr>
        <w:t xml:space="preserve">The fresh leaves of </w:t>
      </w:r>
      <w:r>
        <w:fldChar w:fldCharType="begin"/>
      </w:r>
      <w:r>
        <w:instrText xml:space="preserve"> HYPERLINK "https://www.sciencedirect.com/topics/pharmacology-toxicology-and-pharmaceutical-science/cymbopogon-citratus" \o "Learn more about Cymbopogon citratus from ScienceDirect's AI-generated Topic Pages" </w:instrText>
      </w:r>
      <w:r>
        <w:fldChar w:fldCharType="separate"/>
      </w:r>
      <w:r>
        <w:rPr>
          <w:rStyle w:val="15"/>
          <w:rFonts w:ascii="Arial" w:hAnsi="Arial" w:eastAsia="Georgia" w:cs="Arial"/>
          <w:i/>
          <w:iCs/>
          <w:color w:val="auto"/>
          <w:u w:val="none"/>
        </w:rPr>
        <w:t>C. citratus</w:t>
      </w:r>
      <w:r>
        <w:rPr>
          <w:rStyle w:val="15"/>
          <w:rFonts w:ascii="Arial" w:hAnsi="Arial" w:eastAsia="Georgia" w:cs="Arial"/>
          <w:i/>
          <w:iCs/>
          <w:color w:val="auto"/>
          <w:u w:val="none"/>
        </w:rPr>
        <w:fldChar w:fldCharType="end"/>
      </w:r>
      <w:r>
        <w:rPr>
          <w:rStyle w:val="11"/>
          <w:rFonts w:ascii="Arial" w:hAnsi="Arial" w:eastAsia="Georgia" w:cs="Arial"/>
          <w:lang w:eastAsia="zh-CN" w:bidi="ar"/>
        </w:rPr>
        <w:t xml:space="preserve"> </w:t>
      </w:r>
      <w:r>
        <w:rPr>
          <w:rFonts w:ascii="Arial" w:hAnsi="Arial" w:eastAsia="SimSun" w:cs="Arial"/>
        </w:rPr>
        <w:t xml:space="preserve">were shredded, rinsed with distilled water, air dried and converted into powder form with the aid of a Kenwood electric blender. Then, 200 g of the powdered </w:t>
      </w:r>
      <w:r>
        <w:fldChar w:fldCharType="begin"/>
      </w:r>
      <w:r>
        <w:instrText xml:space="preserve"> HYPERLINK "https://www.sciencedirect.com/topics/pharmacology-toxicology-and-pharmaceutical-science/cymbopogon-citratus" \o "Learn more about Cymbopogon citratus from ScienceDirect's AI-generated Topic Pages" </w:instrText>
      </w:r>
      <w:r>
        <w:fldChar w:fldCharType="separate"/>
      </w:r>
      <w:r>
        <w:rPr>
          <w:rStyle w:val="15"/>
          <w:rFonts w:ascii="Arial" w:hAnsi="Arial" w:eastAsia="Georgia" w:cs="Arial"/>
          <w:i/>
          <w:iCs/>
          <w:color w:val="auto"/>
          <w:u w:val="none"/>
        </w:rPr>
        <w:t>C. citratus</w:t>
      </w:r>
      <w:r>
        <w:rPr>
          <w:rStyle w:val="15"/>
          <w:rFonts w:ascii="Arial" w:hAnsi="Arial" w:eastAsia="Georgia" w:cs="Arial"/>
          <w:i/>
          <w:iCs/>
          <w:color w:val="auto"/>
          <w:u w:val="none"/>
        </w:rPr>
        <w:fldChar w:fldCharType="end"/>
      </w:r>
      <w:r>
        <w:rPr>
          <w:rStyle w:val="11"/>
          <w:rFonts w:ascii="Arial" w:hAnsi="Arial" w:eastAsia="Georgia" w:cs="Arial"/>
          <w:lang w:eastAsia="zh-CN" w:bidi="ar"/>
        </w:rPr>
        <w:t xml:space="preserve"> </w:t>
      </w:r>
      <w:r>
        <w:rPr>
          <w:rStyle w:val="11"/>
          <w:rFonts w:ascii="Arial" w:hAnsi="Arial" w:eastAsia="Georgia" w:cs="Arial"/>
          <w:i w:val="0"/>
          <w:iCs w:val="0"/>
          <w:lang w:eastAsia="zh-CN" w:bidi="ar"/>
        </w:rPr>
        <w:t>leaves</w:t>
      </w:r>
      <w:r>
        <w:rPr>
          <w:rStyle w:val="11"/>
          <w:rFonts w:ascii="Arial" w:hAnsi="Arial" w:eastAsia="Georgia" w:cs="Arial"/>
          <w:lang w:eastAsia="zh-CN" w:bidi="ar"/>
        </w:rPr>
        <w:t xml:space="preserve"> </w:t>
      </w:r>
      <w:r>
        <w:rPr>
          <w:rFonts w:ascii="Arial" w:hAnsi="Arial" w:eastAsia="SimSun" w:cs="Arial"/>
        </w:rPr>
        <w:t>was soaked in distilled water (1:5 weight per volume), stirred vigorously for 5 minutes and left on the bench. After for 24 hours, the mixture was filtered with a muslin cloth. The filtrate was then passed through a Whatman No. 1 filter paper, concentrated with a rotary evaporator at 50oC and evaporated to form a paste with a water bath at 50</w:t>
      </w:r>
      <w:r>
        <w:rPr>
          <w:rFonts w:ascii="Arial" w:hAnsi="Arial" w:eastAsia="SimSun" w:cs="Arial"/>
          <w:vertAlign w:val="superscript"/>
        </w:rPr>
        <w:t>o</w:t>
      </w:r>
      <w:r>
        <w:rPr>
          <w:rFonts w:ascii="Arial" w:hAnsi="Arial" w:eastAsia="SimSun" w:cs="Arial"/>
        </w:rPr>
        <w:t>C. The extract was weighed, put in sterile sample bottles and stored in a refrigerator.</w:t>
      </w:r>
    </w:p>
    <w:p w14:paraId="6F22374C">
      <w:pPr>
        <w:rPr>
          <w:rFonts w:ascii="Arial" w:hAnsi="Arial" w:eastAsia="SimSun" w:cs="Arial"/>
        </w:rPr>
      </w:pPr>
    </w:p>
    <w:p w14:paraId="0EB0500E">
      <w:pPr>
        <w:rPr>
          <w:rFonts w:ascii="Arial" w:hAnsi="Arial" w:eastAsia="SimSun" w:cs="Arial"/>
          <w:b/>
          <w:bCs/>
          <w:sz w:val="22"/>
          <w:szCs w:val="22"/>
        </w:rPr>
      </w:pPr>
      <w:r>
        <w:rPr>
          <w:rFonts w:ascii="Arial" w:hAnsi="Arial" w:eastAsia="SimSun" w:cs="Arial"/>
          <w:b/>
          <w:bCs/>
          <w:sz w:val="22"/>
          <w:szCs w:val="22"/>
        </w:rPr>
        <w:t xml:space="preserve">2.4. Experimental Animals </w:t>
      </w:r>
    </w:p>
    <w:p w14:paraId="1CFBDCDD">
      <w:pPr>
        <w:jc w:val="both"/>
        <w:rPr>
          <w:rFonts w:ascii="Arial" w:hAnsi="Arial" w:eastAsia="SimSun" w:cs="Arial"/>
        </w:rPr>
      </w:pPr>
      <w:r>
        <w:rPr>
          <w:rFonts w:ascii="Arial" w:hAnsi="Arial" w:eastAsia="SimSun" w:cs="Arial"/>
        </w:rPr>
        <w:t>In this study, twenty four wistar albino rats about three months old of both sex weighing between 150-200 g which were bred in the Animal House of the Department of Biochemistry, University of Port Harcourt were used. The rats were given unrestricted access to food and water.</w:t>
      </w:r>
    </w:p>
    <w:p w14:paraId="0554D179">
      <w:pPr>
        <w:rPr>
          <w:rFonts w:ascii="Arial" w:hAnsi="Arial" w:eastAsia="SimSun" w:cs="Arial"/>
        </w:rPr>
      </w:pPr>
    </w:p>
    <w:p w14:paraId="21F4B180">
      <w:pPr>
        <w:rPr>
          <w:rFonts w:ascii="Arial" w:hAnsi="Arial" w:eastAsia="SimSun" w:cs="Arial"/>
          <w:b/>
          <w:bCs/>
          <w:sz w:val="22"/>
          <w:szCs w:val="22"/>
        </w:rPr>
      </w:pPr>
      <w:r>
        <w:rPr>
          <w:rFonts w:ascii="Arial" w:hAnsi="Arial" w:eastAsia="SimSun" w:cs="Arial"/>
          <w:b/>
          <w:bCs/>
          <w:sz w:val="22"/>
          <w:szCs w:val="22"/>
        </w:rPr>
        <w:t xml:space="preserve">2.5. Experimental Setup </w:t>
      </w:r>
    </w:p>
    <w:p w14:paraId="434A4B39">
      <w:pPr>
        <w:jc w:val="both"/>
        <w:rPr>
          <w:rFonts w:ascii="Arial" w:hAnsi="Arial" w:eastAsia="SimSun" w:cs="Arial"/>
        </w:rPr>
      </w:pPr>
      <w:r>
        <w:rPr>
          <w:rFonts w:ascii="Arial" w:hAnsi="Arial" w:eastAsia="SimSun" w:cs="Arial"/>
        </w:rPr>
        <w:t xml:space="preserve">The rats were assigned randomly into six groups with each group consisting of four rats each. </w:t>
      </w:r>
    </w:p>
    <w:p w14:paraId="1434ADBD">
      <w:pPr>
        <w:jc w:val="both"/>
        <w:rPr>
          <w:rFonts w:ascii="Arial" w:hAnsi="Arial" w:eastAsia="SimSun" w:cs="Arial"/>
        </w:rPr>
      </w:pPr>
    </w:p>
    <w:p w14:paraId="43F9F1F1">
      <w:pPr>
        <w:numPr>
          <w:ilvl w:val="0"/>
          <w:numId w:val="2"/>
        </w:numPr>
        <w:tabs>
          <w:tab w:val="clear" w:pos="420"/>
        </w:tabs>
        <w:jc w:val="both"/>
        <w:rPr>
          <w:rFonts w:ascii="Arial" w:hAnsi="Arial" w:eastAsia="SimSun" w:cs="Arial"/>
        </w:rPr>
      </w:pPr>
      <w:r>
        <w:rPr>
          <w:rFonts w:ascii="Arial" w:hAnsi="Arial" w:eastAsia="SimSun" w:cs="Arial"/>
        </w:rPr>
        <w:t>Group 1 served as the control group and were given food and water for 28 days. Rats in group 1 were sacrificed on day 29</w:t>
      </w:r>
    </w:p>
    <w:p w14:paraId="66C392ED">
      <w:pPr>
        <w:numPr>
          <w:ilvl w:val="0"/>
          <w:numId w:val="2"/>
        </w:numPr>
        <w:tabs>
          <w:tab w:val="clear" w:pos="420"/>
        </w:tabs>
        <w:jc w:val="both"/>
        <w:rPr>
          <w:rFonts w:ascii="Arial" w:hAnsi="Arial" w:eastAsia="SimSun" w:cs="Arial"/>
        </w:rPr>
      </w:pPr>
      <w:r>
        <w:rPr>
          <w:rFonts w:ascii="Arial" w:hAnsi="Arial" w:eastAsia="SimSun" w:cs="Arial"/>
        </w:rPr>
        <w:t xml:space="preserve">Group 2 served as the </w:t>
      </w:r>
      <w:r>
        <w:rPr>
          <w:rFonts w:ascii="Arial" w:hAnsi="Arial" w:cs="Arial"/>
        </w:rPr>
        <w:t>CCl</w:t>
      </w:r>
      <w:r>
        <w:rPr>
          <w:rFonts w:ascii="Arial" w:hAnsi="Arial" w:cs="Arial"/>
          <w:vertAlign w:val="subscript"/>
        </w:rPr>
        <w:t>4</w:t>
      </w:r>
      <w:r>
        <w:rPr>
          <w:rFonts w:ascii="Arial" w:hAnsi="Arial" w:cs="Arial"/>
        </w:rPr>
        <w:t> control group and were injected intraperitoneally with a single dose of CCl</w:t>
      </w:r>
      <w:r>
        <w:rPr>
          <w:rFonts w:ascii="Arial" w:hAnsi="Arial" w:cs="Arial"/>
          <w:vertAlign w:val="subscript"/>
        </w:rPr>
        <w:t>4</w:t>
      </w:r>
      <w:r>
        <w:rPr>
          <w:rFonts w:ascii="Arial" w:hAnsi="Arial" w:cs="Arial"/>
        </w:rPr>
        <w:t xml:space="preserve"> at 0.3% per body </w:t>
      </w:r>
      <w:r>
        <w:rPr>
          <w:rFonts w:ascii="Arial" w:hAnsi="Arial" w:eastAsia="SimSun" w:cs="Arial"/>
        </w:rPr>
        <w:t xml:space="preserve">in a 1:1 ratio with olive oil on day one. Rats in group 2 were sacrificed 24 hrs after injection. </w:t>
      </w:r>
    </w:p>
    <w:p w14:paraId="77E868E8">
      <w:pPr>
        <w:numPr>
          <w:ilvl w:val="0"/>
          <w:numId w:val="2"/>
        </w:numPr>
        <w:tabs>
          <w:tab w:val="clear" w:pos="420"/>
        </w:tabs>
        <w:jc w:val="both"/>
        <w:rPr>
          <w:rFonts w:ascii="Arial" w:hAnsi="Arial" w:eastAsia="SimSun" w:cs="Arial"/>
        </w:rPr>
      </w:pPr>
      <w:r>
        <w:rPr>
          <w:rFonts w:ascii="Arial" w:hAnsi="Arial" w:eastAsia="SimSun" w:cs="Arial"/>
        </w:rPr>
        <w:t>Group 3 served as the CCl</w:t>
      </w:r>
      <w:r>
        <w:rPr>
          <w:rFonts w:ascii="Arial" w:hAnsi="Arial" w:eastAsia="SimSun" w:cs="Arial"/>
          <w:vertAlign w:val="subscript"/>
        </w:rPr>
        <w:t>4</w:t>
      </w:r>
      <w:r>
        <w:rPr>
          <w:rFonts w:ascii="Arial" w:hAnsi="Arial" w:eastAsia="SimSun" w:cs="Arial"/>
        </w:rPr>
        <w:t xml:space="preserve"> group, were injected </w:t>
      </w:r>
      <w:r>
        <w:rPr>
          <w:rFonts w:ascii="Arial" w:hAnsi="Arial" w:cs="Arial"/>
        </w:rPr>
        <w:t>intraperitoneally with a single dose of CCl</w:t>
      </w:r>
      <w:r>
        <w:rPr>
          <w:rFonts w:ascii="Arial" w:hAnsi="Arial" w:cs="Arial"/>
          <w:vertAlign w:val="subscript"/>
        </w:rPr>
        <w:t>4</w:t>
      </w:r>
      <w:r>
        <w:rPr>
          <w:rFonts w:ascii="Arial" w:hAnsi="Arial" w:cs="Arial"/>
        </w:rPr>
        <w:t xml:space="preserve"> at 0.3% per body </w:t>
      </w:r>
      <w:r>
        <w:rPr>
          <w:rFonts w:ascii="Arial" w:hAnsi="Arial" w:eastAsia="SimSun" w:cs="Arial"/>
        </w:rPr>
        <w:t>in a 1:1 ratio with olive oil on day one. Rats in group 3 were sacrificed on day 29</w:t>
      </w:r>
    </w:p>
    <w:p w14:paraId="2A0D922E">
      <w:pPr>
        <w:numPr>
          <w:ilvl w:val="0"/>
          <w:numId w:val="2"/>
        </w:numPr>
        <w:tabs>
          <w:tab w:val="clear" w:pos="420"/>
        </w:tabs>
        <w:jc w:val="both"/>
        <w:rPr>
          <w:rFonts w:ascii="Arial" w:hAnsi="Arial" w:eastAsia="SimSun" w:cs="Arial"/>
        </w:rPr>
      </w:pPr>
      <w:r>
        <w:rPr>
          <w:rFonts w:ascii="Arial" w:hAnsi="Arial" w:eastAsia="SimSun" w:cs="Arial"/>
        </w:rPr>
        <w:t xml:space="preserve">Groups 4-6 served as </w:t>
      </w:r>
      <w:r>
        <w:fldChar w:fldCharType="begin"/>
      </w:r>
      <w:r>
        <w:instrText xml:space="preserve"> HYPERLINK "https://www.sciencedirect.com/topics/pharmacology-toxicology-and-pharmaceutical-science/cymbopogon-citratus" \o "Learn more about Cymbopogon citratus from ScienceDirect's AI-generated Topic Pages" </w:instrText>
      </w:r>
      <w:r>
        <w:fldChar w:fldCharType="separate"/>
      </w:r>
      <w:r>
        <w:rPr>
          <w:rStyle w:val="15"/>
          <w:rFonts w:ascii="Arial" w:hAnsi="Arial" w:eastAsia="Georgia" w:cs="Arial"/>
          <w:i/>
          <w:iCs/>
          <w:color w:val="auto"/>
          <w:u w:val="none"/>
        </w:rPr>
        <w:t>C. citratus</w:t>
      </w:r>
      <w:r>
        <w:rPr>
          <w:rStyle w:val="15"/>
          <w:rFonts w:ascii="Arial" w:hAnsi="Arial" w:eastAsia="Georgia" w:cs="Arial"/>
          <w:i/>
          <w:iCs/>
          <w:color w:val="auto"/>
          <w:u w:val="none"/>
        </w:rPr>
        <w:fldChar w:fldCharType="end"/>
      </w:r>
      <w:r>
        <w:rPr>
          <w:rStyle w:val="11"/>
          <w:rFonts w:ascii="Arial" w:hAnsi="Arial" w:eastAsia="Georgia" w:cs="Arial"/>
          <w:lang w:eastAsia="zh-CN" w:bidi="ar"/>
        </w:rPr>
        <w:t xml:space="preserve"> groups, </w:t>
      </w:r>
      <w:r>
        <w:rPr>
          <w:rFonts w:ascii="Arial" w:hAnsi="Arial" w:eastAsia="SimSun" w:cs="Arial"/>
        </w:rPr>
        <w:t xml:space="preserve">were injected </w:t>
      </w:r>
      <w:r>
        <w:rPr>
          <w:rFonts w:ascii="Arial" w:hAnsi="Arial" w:cs="Arial"/>
        </w:rPr>
        <w:t>intraperitoneally with a single dose of CCl</w:t>
      </w:r>
      <w:r>
        <w:rPr>
          <w:rFonts w:ascii="Arial" w:hAnsi="Arial" w:cs="Arial"/>
          <w:vertAlign w:val="subscript"/>
        </w:rPr>
        <w:t>4</w:t>
      </w:r>
      <w:r>
        <w:rPr>
          <w:rFonts w:ascii="Arial" w:hAnsi="Arial" w:cs="Arial"/>
        </w:rPr>
        <w:t xml:space="preserve"> at 0.3% per body </w:t>
      </w:r>
      <w:r>
        <w:rPr>
          <w:rFonts w:ascii="Arial" w:hAnsi="Arial" w:eastAsia="SimSun" w:cs="Arial"/>
        </w:rPr>
        <w:t xml:space="preserve">in a 1:1 ratio with olive oil on day one and treated with 240, 480 and 720 mg/kg of </w:t>
      </w:r>
      <w:r>
        <w:rPr>
          <w:rFonts w:ascii="Arial" w:hAnsi="Arial" w:eastAsia="SimSun" w:cs="Arial"/>
          <w:i/>
          <w:iCs/>
        </w:rPr>
        <w:t>C. citratus</w:t>
      </w:r>
      <w:r>
        <w:rPr>
          <w:rFonts w:ascii="Arial" w:hAnsi="Arial" w:eastAsia="SimSun" w:cs="Arial"/>
        </w:rPr>
        <w:t xml:space="preserve"> extract respectively for 28 days. Rats in groups 4-6 were sacrificed on day 29</w:t>
      </w:r>
    </w:p>
    <w:p w14:paraId="65ADB8F7">
      <w:pPr>
        <w:rPr>
          <w:rFonts w:ascii="Arial" w:hAnsi="Arial" w:eastAsia="SimSun" w:cs="Arial"/>
        </w:rPr>
      </w:pPr>
    </w:p>
    <w:p w14:paraId="549DB5CB">
      <w:pPr>
        <w:rPr>
          <w:rFonts w:ascii="Arial" w:hAnsi="Arial" w:eastAsia="SimSun" w:cs="Arial"/>
          <w:b/>
          <w:bCs/>
          <w:sz w:val="22"/>
          <w:szCs w:val="22"/>
        </w:rPr>
      </w:pPr>
      <w:r>
        <w:rPr>
          <w:rFonts w:ascii="Arial" w:hAnsi="Arial" w:eastAsia="SimSun" w:cs="Arial"/>
          <w:b/>
          <w:bCs/>
          <w:sz w:val="22"/>
          <w:szCs w:val="22"/>
        </w:rPr>
        <w:t>2.6. Collection of Sample</w:t>
      </w:r>
    </w:p>
    <w:p w14:paraId="41541353">
      <w:pPr>
        <w:jc w:val="both"/>
        <w:rPr>
          <w:rFonts w:ascii="Arial" w:hAnsi="Arial" w:eastAsia="SimSun" w:cs="Arial"/>
        </w:rPr>
      </w:pPr>
      <w:r>
        <w:rPr>
          <w:rFonts w:ascii="Arial" w:hAnsi="Arial" w:eastAsia="SimSun" w:cs="Arial"/>
        </w:rPr>
        <w:t>Rats were sedated and blood was collected via direct cardiac puncture into ice cold ethylenediaminetetraacetic acid (EDTA) bottles for haematological and biochemical assay.The rats were dissected and the largest lobe of the liver was put in sterile bottles containing ice-cold normal saline for biochemical assay.</w:t>
      </w:r>
    </w:p>
    <w:p w14:paraId="5176242E">
      <w:pPr>
        <w:rPr>
          <w:rFonts w:ascii="Arial" w:hAnsi="Arial" w:eastAsia="SimSun" w:cs="Arial"/>
        </w:rPr>
      </w:pPr>
    </w:p>
    <w:p w14:paraId="3C56C810">
      <w:pPr>
        <w:rPr>
          <w:rFonts w:ascii="Arial" w:hAnsi="Arial" w:eastAsia="SimSun" w:cs="Arial"/>
          <w:b/>
          <w:bCs/>
          <w:sz w:val="22"/>
          <w:szCs w:val="22"/>
        </w:rPr>
      </w:pPr>
      <w:r>
        <w:rPr>
          <w:rFonts w:ascii="Arial" w:hAnsi="Arial" w:eastAsia="SimSun" w:cs="Arial"/>
          <w:b/>
          <w:bCs/>
          <w:sz w:val="22"/>
          <w:szCs w:val="22"/>
        </w:rPr>
        <w:t>2.7. Biochemical analysis of Sample</w:t>
      </w:r>
    </w:p>
    <w:p w14:paraId="6845CEFF">
      <w:pPr>
        <w:jc w:val="both"/>
        <w:rPr>
          <w:rFonts w:ascii="Arial" w:hAnsi="Arial" w:cs="Arial"/>
        </w:rPr>
      </w:pPr>
    </w:p>
    <w:p w14:paraId="59230DE3">
      <w:pPr>
        <w:jc w:val="both"/>
        <w:rPr>
          <w:rFonts w:ascii="Arial" w:hAnsi="Arial" w:eastAsia="Georgia" w:cs="Arial"/>
        </w:rPr>
      </w:pPr>
      <w:r>
        <w:rPr>
          <w:rFonts w:ascii="Arial" w:hAnsi="Arial" w:cs="Arial"/>
        </w:rPr>
        <w:t xml:space="preserve">Serum Alanine transaminase (ALP), aspartate transaminase (AST) and Alkaline phosphatase (ALP) was estimated via the standard procedure provided by their respective </w:t>
      </w:r>
      <w:r>
        <w:rPr>
          <w:rFonts w:ascii="Arial" w:hAnsi="Arial" w:cs="Arial"/>
          <w:lang w:eastAsia="zh-CN"/>
        </w:rPr>
        <w:t xml:space="preserve">Randox Laboratory Ltd kits. </w:t>
      </w:r>
      <w:r>
        <w:rPr>
          <w:rFonts w:ascii="Arial" w:hAnsi="Arial" w:cs="Arial"/>
        </w:rPr>
        <w:t>Total serum protein (TP) was determined via using Randox Biuret kits. Serum albumin concentration was assayed using the dye binding technique method and absorbance was read on a  spectrophotometer at  630 nm (</w:t>
      </w:r>
      <w:r>
        <w:rPr>
          <w:rFonts w:ascii="Arial" w:hAnsi="Arial" w:eastAsia="SimSun" w:cs="Arial"/>
          <w:shd w:val="clear" w:color="auto" w:fill="FFFFFF"/>
        </w:rPr>
        <w:t xml:space="preserve">Chukwudoruo </w:t>
      </w:r>
      <w:r>
        <w:rPr>
          <w:rFonts w:ascii="Arial" w:hAnsi="Arial" w:eastAsia="SimSun" w:cs="Arial"/>
          <w:i/>
          <w:iCs/>
          <w:shd w:val="clear" w:color="auto" w:fill="FFFFFF"/>
          <w:lang w:val="en-US"/>
        </w:rPr>
        <w:t>et al</w:t>
      </w:r>
      <w:r>
        <w:rPr>
          <w:rFonts w:ascii="Arial" w:hAnsi="Arial" w:eastAsia="SimSun" w:cs="Arial"/>
          <w:shd w:val="clear" w:color="auto" w:fill="FFFFFF"/>
        </w:rPr>
        <w:t>., 2021)</w:t>
      </w:r>
      <w:r>
        <w:rPr>
          <w:rFonts w:ascii="Arial" w:hAnsi="Arial" w:cs="Arial"/>
        </w:rPr>
        <w:t xml:space="preserve">. The level of lipid peroxidation in the liver was assayed, using </w:t>
      </w:r>
      <w:r>
        <w:fldChar w:fldCharType="begin"/>
      </w:r>
      <w:r>
        <w:instrText xml:space="preserve"> HYPERLINK "https://www.sciencedirect.com/topics/pharmacology-toxicology-and-pharmaceutical-science/malonaldehyde" \o "Learn more about malondialdehyde from ScienceDirect's AI-generated Topic Pages" </w:instrText>
      </w:r>
      <w:r>
        <w:fldChar w:fldCharType="separate"/>
      </w:r>
      <w:r>
        <w:rPr>
          <w:rStyle w:val="15"/>
          <w:rFonts w:ascii="Arial" w:hAnsi="Arial" w:eastAsia="Georgia" w:cs="Arial"/>
          <w:color w:val="auto"/>
          <w:u w:val="none"/>
        </w:rPr>
        <w:t>malondialdehyde</w:t>
      </w:r>
      <w:r>
        <w:rPr>
          <w:rStyle w:val="15"/>
          <w:rFonts w:ascii="Arial" w:hAnsi="Arial" w:eastAsia="Georgia" w:cs="Arial"/>
          <w:color w:val="auto"/>
          <w:u w:val="none"/>
        </w:rPr>
        <w:fldChar w:fldCharType="end"/>
      </w:r>
      <w:r>
        <w:rPr>
          <w:rFonts w:ascii="Arial" w:hAnsi="Arial" w:eastAsia="Georgia" w:cs="Arial"/>
        </w:rPr>
        <w:t xml:space="preserve"> (MDA) as a marker, via assay for the formation of </w:t>
      </w:r>
      <w:r>
        <w:fldChar w:fldCharType="begin"/>
      </w:r>
      <w:r>
        <w:instrText xml:space="preserve"> HYPERLINK "https://www.sciencedirect.com/topics/pharmacology-toxicology-and-pharmaceutical-science/tbars" \o "Learn more about thiobarbituric acid reactive substances from ScienceDirect's AI-generated Topic Pages" </w:instrText>
      </w:r>
      <w:r>
        <w:fldChar w:fldCharType="separate"/>
      </w:r>
      <w:r>
        <w:rPr>
          <w:rStyle w:val="15"/>
          <w:rFonts w:ascii="Arial" w:hAnsi="Arial" w:eastAsia="Georgia" w:cs="Arial"/>
          <w:color w:val="auto"/>
          <w:u w:val="none"/>
        </w:rPr>
        <w:t>thiobarbituric acid reactive substances</w:t>
      </w:r>
      <w:r>
        <w:rPr>
          <w:rStyle w:val="15"/>
          <w:rFonts w:ascii="Arial" w:hAnsi="Arial" w:eastAsia="Georgia" w:cs="Arial"/>
          <w:color w:val="auto"/>
          <w:u w:val="none"/>
        </w:rPr>
        <w:fldChar w:fldCharType="end"/>
      </w:r>
      <w:r>
        <w:rPr>
          <w:rFonts w:ascii="Arial" w:hAnsi="Arial" w:eastAsia="Georgia" w:cs="Arial"/>
        </w:rPr>
        <w:t> (TBARS) formation  (</w:t>
      </w:r>
      <w:r>
        <w:rPr>
          <w:rFonts w:ascii="Arial" w:hAnsi="Arial" w:eastAsia="SimSun" w:cs="Arial"/>
          <w:shd w:val="clear" w:color="auto" w:fill="FFFFFF"/>
        </w:rPr>
        <w:t xml:space="preserve">Abbas </w:t>
      </w:r>
      <w:r>
        <w:rPr>
          <w:rFonts w:ascii="Arial" w:hAnsi="Arial" w:eastAsia="SimSun" w:cs="Arial"/>
          <w:i/>
          <w:iCs/>
          <w:shd w:val="clear" w:color="auto" w:fill="FFFFFF"/>
          <w:lang w:val="en-US"/>
        </w:rPr>
        <w:t>et al</w:t>
      </w:r>
      <w:r>
        <w:rPr>
          <w:rFonts w:ascii="Arial" w:hAnsi="Arial" w:eastAsia="SimSun" w:cs="Arial"/>
          <w:shd w:val="clear" w:color="auto" w:fill="FFFFFF"/>
        </w:rPr>
        <w:t>., 2021</w:t>
      </w:r>
      <w:r>
        <w:rPr>
          <w:rFonts w:ascii="Arial" w:hAnsi="Arial" w:eastAsia="Georgia" w:cs="Arial"/>
        </w:rPr>
        <w:t xml:space="preserve">). Absorbance TBARS-MDA complex was read </w:t>
      </w:r>
      <w:r>
        <w:rPr>
          <w:rFonts w:ascii="Arial" w:hAnsi="Arial" w:cs="Arial"/>
        </w:rPr>
        <w:t>on a  spectrophotometer at  532 nm</w:t>
      </w:r>
    </w:p>
    <w:p w14:paraId="30D8A3F8">
      <w:pPr>
        <w:rPr>
          <w:rFonts w:ascii="Arial" w:hAnsi="Arial" w:eastAsia="SimSun" w:cs="Arial"/>
        </w:rPr>
      </w:pPr>
    </w:p>
    <w:p w14:paraId="02172728">
      <w:pPr>
        <w:rPr>
          <w:rFonts w:ascii="Arial" w:hAnsi="Arial" w:eastAsia="SimSun" w:cs="Arial"/>
          <w:b/>
          <w:bCs/>
        </w:rPr>
      </w:pPr>
      <w:r>
        <w:rPr>
          <w:rFonts w:ascii="Arial" w:hAnsi="Arial" w:eastAsia="SimSun" w:cs="Arial"/>
          <w:b/>
          <w:bCs/>
          <w:sz w:val="22"/>
          <w:szCs w:val="22"/>
        </w:rPr>
        <w:t>2.8. Haematological analysis</w:t>
      </w:r>
      <w:r>
        <w:rPr>
          <w:rFonts w:ascii="Arial" w:hAnsi="Arial" w:eastAsia="SimSun" w:cs="Arial"/>
          <w:b/>
          <w:bCs/>
        </w:rPr>
        <w:t xml:space="preserve"> </w:t>
      </w:r>
    </w:p>
    <w:p w14:paraId="4D45D6A3">
      <w:pPr>
        <w:jc w:val="both"/>
        <w:rPr>
          <w:rFonts w:ascii="Arial" w:hAnsi="Arial" w:eastAsia="SimSun" w:cs="Arial"/>
        </w:rPr>
      </w:pPr>
      <w:r>
        <w:rPr>
          <w:rFonts w:ascii="Arial" w:hAnsi="Arial" w:eastAsia="SimSun" w:cs="Arial"/>
          <w:shd w:val="clear" w:color="auto" w:fill="FFFFFF"/>
        </w:rPr>
        <w:t xml:space="preserve">Haematology parameters such as </w:t>
      </w:r>
      <w:r>
        <w:rPr>
          <w:rFonts w:ascii="Arial" w:hAnsi="Arial" w:eastAsia="SimSun" w:cs="Arial"/>
        </w:rPr>
        <w:t xml:space="preserve">white blood cell (WBC) count, haemoglobin concenteration (Hb), Packed cell volume (PCV), Mean corpuscular volume (MCV) and red blood cells (RBC) count were evaluated with a </w:t>
      </w:r>
      <w:r>
        <w:rPr>
          <w:rFonts w:ascii="Arial" w:hAnsi="Arial" w:eastAsia="SimSun" w:cs="Arial"/>
          <w:shd w:val="clear" w:color="auto" w:fill="FFFFFF"/>
        </w:rPr>
        <w:t>haematology analyser (ABC Vet®, ABX Diagnostics, Montpellier, France).</w:t>
      </w:r>
    </w:p>
    <w:p w14:paraId="0B481266">
      <w:pPr>
        <w:rPr>
          <w:rFonts w:ascii="Arial" w:hAnsi="Arial" w:eastAsia="SimSun" w:cs="Arial"/>
        </w:rPr>
      </w:pPr>
    </w:p>
    <w:p w14:paraId="66F67BBD">
      <w:pPr>
        <w:jc w:val="both"/>
        <w:rPr>
          <w:rFonts w:ascii="Arial" w:hAnsi="Arial" w:eastAsia="SimSun" w:cs="Arial"/>
          <w:b/>
          <w:bCs/>
          <w:sz w:val="22"/>
          <w:szCs w:val="22"/>
        </w:rPr>
      </w:pPr>
      <w:r>
        <w:rPr>
          <w:rFonts w:ascii="Arial" w:hAnsi="Arial" w:eastAsia="SimSun" w:cs="Arial"/>
          <w:b/>
          <w:bCs/>
          <w:sz w:val="22"/>
          <w:szCs w:val="22"/>
        </w:rPr>
        <w:t xml:space="preserve">2.9. Statistical analysis </w:t>
      </w:r>
    </w:p>
    <w:p w14:paraId="18F5F3B4">
      <w:pPr>
        <w:jc w:val="both"/>
        <w:rPr>
          <w:rFonts w:ascii="Arial" w:hAnsi="Arial" w:eastAsia="SimSun" w:cs="Arial"/>
        </w:rPr>
      </w:pPr>
      <w:r>
        <w:rPr>
          <w:rFonts w:ascii="Arial" w:hAnsi="Arial" w:eastAsia="SimSun" w:cs="Arial"/>
        </w:rPr>
        <w:t xml:space="preserve">The data collect were subjected to inferential statistical analysis using the one way analysis of variance (ANOVA) and as mean ± standard deviation (n = 4). </w:t>
      </w:r>
      <w:r>
        <w:rPr>
          <w:rFonts w:ascii="Arial" w:hAnsi="Arial" w:eastAsia="Georgia" w:cs="Arial"/>
          <w:lang w:eastAsia="zh-CN" w:bidi="ar"/>
        </w:rPr>
        <w:t xml:space="preserve">The significance of the result was assessed with P-value of less than 0.05 </w:t>
      </w:r>
      <w:r>
        <w:rPr>
          <w:rFonts w:ascii="Arial" w:hAnsi="Arial" w:eastAsia="SimSun" w:cs="Arial"/>
        </w:rPr>
        <w:t>(P&lt;0.05).</w:t>
      </w:r>
    </w:p>
    <w:p w14:paraId="2E930567">
      <w:pPr>
        <w:rPr>
          <w:rFonts w:ascii="Arial" w:hAnsi="Arial" w:eastAsia="SimSun" w:cs="Arial"/>
        </w:rPr>
      </w:pPr>
    </w:p>
    <w:p w14:paraId="5942FF0F">
      <w:pPr>
        <w:rPr>
          <w:rFonts w:ascii="Arial" w:hAnsi="Arial" w:eastAsia="SimSun" w:cs="Arial"/>
        </w:rPr>
      </w:pPr>
    </w:p>
    <w:p w14:paraId="7A3FB697">
      <w:pPr>
        <w:pStyle w:val="24"/>
        <w:spacing w:after="0"/>
        <w:rPr>
          <w:rFonts w:ascii="Arial" w:hAnsi="Arial" w:cs="Arial"/>
        </w:rPr>
      </w:pPr>
    </w:p>
    <w:p w14:paraId="794CBE61">
      <w:pPr>
        <w:pStyle w:val="36"/>
        <w:spacing w:after="0"/>
        <w:jc w:val="both"/>
        <w:rPr>
          <w:rFonts w:ascii="Arial" w:hAnsi="Arial" w:cs="Arial"/>
        </w:rPr>
      </w:pPr>
      <w:r>
        <w:rPr>
          <w:rFonts w:ascii="Arial" w:hAnsi="Arial" w:cs="Arial"/>
        </w:rPr>
        <w:t>3. results and discussion</w:t>
      </w:r>
    </w:p>
    <w:p w14:paraId="10309570">
      <w:pPr>
        <w:pStyle w:val="24"/>
        <w:spacing w:after="0"/>
        <w:rPr>
          <w:rFonts w:ascii="Arial" w:hAnsi="Arial" w:cs="Arial"/>
        </w:rPr>
      </w:pPr>
    </w:p>
    <w:p w14:paraId="32E1A974">
      <w:pPr>
        <w:pStyle w:val="24"/>
        <w:spacing w:after="0"/>
        <w:jc w:val="left"/>
        <w:rPr>
          <w:rFonts w:ascii="Arial" w:hAnsi="Arial" w:cs="Arial"/>
          <w:b/>
          <w:bCs/>
          <w:sz w:val="22"/>
          <w:szCs w:val="22"/>
        </w:rPr>
      </w:pPr>
      <w:r>
        <w:rPr>
          <w:rFonts w:ascii="Arial" w:hAnsi="Arial" w:cs="Arial"/>
          <w:b/>
          <w:bCs/>
          <w:sz w:val="22"/>
          <w:szCs w:val="22"/>
        </w:rPr>
        <w:t>3.1. Result</w:t>
      </w:r>
    </w:p>
    <w:p w14:paraId="162E90B9">
      <w:pPr>
        <w:pStyle w:val="24"/>
        <w:spacing w:after="0"/>
        <w:rPr>
          <w:rFonts w:ascii="Arial" w:hAnsi="Arial" w:cs="Arial"/>
        </w:rPr>
      </w:pPr>
    </w:p>
    <w:p w14:paraId="1372CAEC">
      <w:pPr>
        <w:pStyle w:val="24"/>
        <w:spacing w:after="0"/>
        <w:rPr>
          <w:rFonts w:ascii="Arial" w:hAnsi="Arial" w:cs="Arial"/>
          <w:b/>
          <w:bCs/>
        </w:rPr>
      </w:pPr>
      <w:r>
        <w:rPr>
          <w:rFonts w:ascii="Arial" w:hAnsi="Arial" w:cs="Arial"/>
          <w:b/>
          <w:bCs/>
        </w:rPr>
        <w:t>3.1.1. Liver function enzyme parameters</w:t>
      </w:r>
    </w:p>
    <w:p w14:paraId="35DF7EAD">
      <w:pPr>
        <w:pStyle w:val="24"/>
        <w:spacing w:after="0"/>
        <w:rPr>
          <w:rFonts w:ascii="Arial" w:hAnsi="Arial" w:cs="Arial"/>
        </w:rPr>
      </w:pPr>
    </w:p>
    <w:p w14:paraId="5A0B7C80">
      <w:pPr>
        <w:pStyle w:val="24"/>
        <w:spacing w:after="0"/>
        <w:rPr>
          <w:rFonts w:ascii="Arial" w:hAnsi="Arial" w:cs="Arial"/>
        </w:rPr>
      </w:pPr>
      <w:r>
        <w:rPr>
          <w:rFonts w:ascii="Arial" w:hAnsi="Arial" w:cs="Arial"/>
        </w:rPr>
        <w:t xml:space="preserve">The result obtained from an evaluation of the liver function enzymes ALP, ALT and AST in the serum is presented in figures 1-3 below. From figure 1 below, a significant increase in the activity of serum ALP was observed within 24hrs after injection with CCl4 (G2) when compared with control animals (G1). A significant decrease in ALP was observed in animals left without any form of treatment for 28 days (G3) when compared with G2. Treatment with </w:t>
      </w:r>
      <w:r>
        <w:rPr>
          <w:rFonts w:ascii="Arial" w:hAnsi="Arial" w:cs="Arial"/>
          <w:i/>
          <w:iCs/>
        </w:rPr>
        <w:t>C. citratus</w:t>
      </w:r>
      <w:r>
        <w:rPr>
          <w:rFonts w:ascii="Arial" w:hAnsi="Arial" w:cs="Arial"/>
        </w:rPr>
        <w:t xml:space="preserve"> at 240,480 and 720 mg/kg body weight respectively, resulted in a significant decrease in serum ALP when compared to animals in G2 and G3. The serum ALP activity observed in animals which received 480 (G5) and 720mg/kg (G6) body weight respectively, was not significantly from that obtained control animals (G1).</w:t>
      </w:r>
    </w:p>
    <w:p w14:paraId="05B4298C">
      <w:pPr>
        <w:pStyle w:val="24"/>
        <w:spacing w:after="0"/>
        <w:rPr>
          <w:rFonts w:ascii="Arial" w:hAnsi="Arial" w:cs="Arial"/>
        </w:rPr>
      </w:pPr>
    </w:p>
    <w:p w14:paraId="6BAA9AAD">
      <w:pPr>
        <w:pStyle w:val="24"/>
        <w:spacing w:after="0"/>
        <w:rPr>
          <w:rFonts w:ascii="Arial" w:hAnsi="Arial" w:cs="Arial"/>
        </w:rPr>
      </w:pPr>
      <w:r>
        <w:rPr>
          <w:rFonts w:ascii="Arial" w:hAnsi="Arial" w:cs="Arial"/>
        </w:rPr>
        <w:drawing>
          <wp:inline distT="0" distB="0" distL="114300" distR="114300">
            <wp:extent cx="4714240" cy="2466340"/>
            <wp:effectExtent l="0" t="0" r="10160" b="10160"/>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4"/>
                    <pic:cNvPicPr>
                      <a:picLocks noChangeAspect="1"/>
                    </pic:cNvPicPr>
                  </pic:nvPicPr>
                  <pic:blipFill>
                    <a:blip r:embed="rId14"/>
                    <a:srcRect l="759" t="10538" r="9795" b="9048"/>
                    <a:stretch>
                      <a:fillRect/>
                    </a:stretch>
                  </pic:blipFill>
                  <pic:spPr>
                    <a:xfrm>
                      <a:off x="0" y="0"/>
                      <a:ext cx="4714240" cy="2466340"/>
                    </a:xfrm>
                    <a:prstGeom prst="rect">
                      <a:avLst/>
                    </a:prstGeom>
                    <a:noFill/>
                    <a:ln>
                      <a:noFill/>
                    </a:ln>
                  </pic:spPr>
                </pic:pic>
              </a:graphicData>
            </a:graphic>
          </wp:inline>
        </w:drawing>
      </w:r>
    </w:p>
    <w:p w14:paraId="0AFCCF3E">
      <w:pPr>
        <w:pStyle w:val="24"/>
        <w:spacing w:after="0"/>
        <w:rPr>
          <w:rFonts w:ascii="Arial" w:hAnsi="Arial" w:cs="Arial"/>
        </w:rPr>
      </w:pPr>
    </w:p>
    <w:p w14:paraId="1FA742AF">
      <w:pPr>
        <w:pStyle w:val="24"/>
        <w:spacing w:after="0"/>
        <w:rPr>
          <w:rFonts w:ascii="Arial" w:hAnsi="Arial" w:cs="Arial"/>
          <w:sz w:val="18"/>
          <w:szCs w:val="18"/>
        </w:rPr>
      </w:pPr>
      <w:r>
        <w:rPr>
          <w:rFonts w:ascii="Arial" w:hAnsi="Arial" w:cs="Arial"/>
          <w:b/>
          <w:bCs/>
        </w:rPr>
        <w:t>Figure 1.</w:t>
      </w:r>
      <w:r>
        <w:rPr>
          <w:rFonts w:ascii="Arial" w:hAnsi="Arial" w:cs="Arial"/>
        </w:rPr>
        <w:t xml:space="preserve"> Ameliorating effect of </w:t>
      </w:r>
      <w:r>
        <w:rPr>
          <w:rFonts w:ascii="Arial" w:hAnsi="Arial" w:cs="Arial"/>
          <w:i/>
          <w:iCs/>
        </w:rPr>
        <w:t>C. citratus</w:t>
      </w:r>
      <w:r>
        <w:rPr>
          <w:rFonts w:ascii="Arial" w:hAnsi="Arial" w:cs="Arial"/>
        </w:rPr>
        <w:t xml:space="preserve"> on serum ALP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6EB60026">
      <w:pPr>
        <w:pStyle w:val="24"/>
        <w:spacing w:after="0"/>
        <w:rPr>
          <w:rFonts w:ascii="Arial" w:hAnsi="Arial" w:cs="Arial"/>
        </w:rPr>
      </w:pPr>
    </w:p>
    <w:p w14:paraId="5730A412">
      <w:pPr>
        <w:pStyle w:val="24"/>
        <w:spacing w:after="0"/>
        <w:rPr>
          <w:rFonts w:ascii="Arial" w:hAnsi="Arial" w:cs="Arial"/>
        </w:rPr>
      </w:pPr>
    </w:p>
    <w:p w14:paraId="00132088">
      <w:pPr>
        <w:pStyle w:val="24"/>
        <w:spacing w:after="0"/>
        <w:rPr>
          <w:rFonts w:ascii="Arial" w:hAnsi="Arial" w:cs="Arial"/>
        </w:rPr>
      </w:pPr>
    </w:p>
    <w:p w14:paraId="78D3BAA6">
      <w:pPr>
        <w:pStyle w:val="24"/>
        <w:spacing w:after="0"/>
        <w:rPr>
          <w:rFonts w:ascii="Arial" w:hAnsi="Arial" w:cs="Arial"/>
        </w:rPr>
      </w:pPr>
    </w:p>
    <w:p w14:paraId="6DAC69D0">
      <w:pPr>
        <w:pStyle w:val="24"/>
        <w:spacing w:after="0"/>
        <w:rPr>
          <w:rFonts w:ascii="Arial" w:hAnsi="Arial" w:cs="Arial"/>
        </w:rPr>
      </w:pPr>
      <w:r>
        <w:rPr>
          <w:rFonts w:ascii="Arial" w:hAnsi="Arial" w:cs="Arial"/>
        </w:rPr>
        <w:t>Figure 2 below shows that a significant increased was observed in serum ALT after 24hrs of CCl</w:t>
      </w:r>
      <w:r>
        <w:rPr>
          <w:rFonts w:ascii="Arial" w:hAnsi="Arial" w:cs="Arial"/>
          <w:vertAlign w:val="subscript"/>
        </w:rPr>
        <w:t>4</w:t>
      </w:r>
      <w:r>
        <w:rPr>
          <w:rFonts w:ascii="Arial" w:hAnsi="Arial" w:cs="Arial"/>
        </w:rPr>
        <w:t xml:space="preserve"> injection (G2) when compared with control animals (G1). Serum ALT activity of animals in G2 was not significantly different from that in animals which were left without treatment for 28 days (G3). A significant decrease in serum ALT was observed at all doses of </w:t>
      </w:r>
      <w:r>
        <w:rPr>
          <w:rFonts w:ascii="Arial" w:hAnsi="Arial" w:cs="Arial"/>
          <w:i/>
          <w:iCs/>
        </w:rPr>
        <w:t>C. citratus</w:t>
      </w:r>
      <w:r>
        <w:rPr>
          <w:rFonts w:ascii="Arial" w:hAnsi="Arial" w:cs="Arial"/>
        </w:rPr>
        <w:t xml:space="preserve"> (G4, G5 and G6) when compared with G2 and G3. At 480 (G5) and 720 mg/kg (G6) </w:t>
      </w:r>
      <w:r>
        <w:rPr>
          <w:rFonts w:ascii="Arial" w:hAnsi="Arial" w:cs="Arial"/>
          <w:i/>
          <w:iCs/>
        </w:rPr>
        <w:t xml:space="preserve">C. citratus </w:t>
      </w:r>
      <w:r>
        <w:rPr>
          <w:rFonts w:ascii="Arial" w:hAnsi="Arial" w:cs="Arial"/>
        </w:rPr>
        <w:t>respectively, serum ALT was not significantly different from control (Figure 2).</w:t>
      </w:r>
    </w:p>
    <w:p w14:paraId="0A64539E">
      <w:pPr>
        <w:pStyle w:val="24"/>
        <w:spacing w:after="0"/>
        <w:rPr>
          <w:rFonts w:ascii="Arial" w:hAnsi="Arial" w:cs="Arial"/>
        </w:rPr>
      </w:pPr>
    </w:p>
    <w:p w14:paraId="45E87C09">
      <w:pPr>
        <w:pStyle w:val="24"/>
        <w:spacing w:after="0"/>
        <w:rPr>
          <w:rFonts w:ascii="Arial" w:hAnsi="Arial" w:cs="Arial"/>
        </w:rPr>
      </w:pPr>
      <w:r>
        <w:rPr>
          <w:rFonts w:ascii="Arial" w:hAnsi="Arial" w:cs="Arial"/>
        </w:rPr>
        <w:drawing>
          <wp:inline distT="0" distB="0" distL="114300" distR="114300">
            <wp:extent cx="4700905" cy="2646045"/>
            <wp:effectExtent l="0" t="0" r="4445" b="190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5"/>
                    <a:srcRect l="1253" t="10669" r="9554" b="11063"/>
                    <a:stretch>
                      <a:fillRect/>
                    </a:stretch>
                  </pic:blipFill>
                  <pic:spPr>
                    <a:xfrm>
                      <a:off x="0" y="0"/>
                      <a:ext cx="4700905" cy="2646045"/>
                    </a:xfrm>
                    <a:prstGeom prst="rect">
                      <a:avLst/>
                    </a:prstGeom>
                    <a:noFill/>
                    <a:ln>
                      <a:noFill/>
                    </a:ln>
                  </pic:spPr>
                </pic:pic>
              </a:graphicData>
            </a:graphic>
          </wp:inline>
        </w:drawing>
      </w:r>
    </w:p>
    <w:p w14:paraId="02EB427C">
      <w:pPr>
        <w:pStyle w:val="24"/>
        <w:spacing w:after="0"/>
        <w:rPr>
          <w:rFonts w:ascii="Arial" w:hAnsi="Arial" w:cs="Arial"/>
        </w:rPr>
      </w:pPr>
    </w:p>
    <w:p w14:paraId="16624107">
      <w:pPr>
        <w:pStyle w:val="24"/>
        <w:spacing w:after="0"/>
        <w:rPr>
          <w:rFonts w:ascii="Arial" w:hAnsi="Arial" w:cs="Arial"/>
        </w:rPr>
      </w:pPr>
      <w:r>
        <w:rPr>
          <w:rFonts w:ascii="Arial" w:hAnsi="Arial" w:cs="Arial"/>
          <w:b/>
          <w:bCs/>
        </w:rPr>
        <w:t>Figure 2</w:t>
      </w:r>
      <w:r>
        <w:rPr>
          <w:rFonts w:ascii="Arial" w:hAnsi="Arial" w:cs="Arial"/>
        </w:rPr>
        <w:t xml:space="preserve">. Ameliorating effect of </w:t>
      </w:r>
      <w:r>
        <w:rPr>
          <w:rFonts w:ascii="Arial" w:hAnsi="Arial" w:cs="Arial"/>
          <w:i/>
          <w:iCs/>
        </w:rPr>
        <w:t>C. citratus</w:t>
      </w:r>
      <w:r>
        <w:rPr>
          <w:rFonts w:ascii="Arial" w:hAnsi="Arial" w:cs="Arial"/>
        </w:rPr>
        <w:t xml:space="preserve"> on serum ALT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526562F1">
      <w:pPr>
        <w:pStyle w:val="24"/>
        <w:spacing w:after="0"/>
        <w:rPr>
          <w:rFonts w:ascii="Arial" w:hAnsi="Arial" w:cs="Arial"/>
        </w:rPr>
      </w:pPr>
    </w:p>
    <w:p w14:paraId="16918747">
      <w:pPr>
        <w:pStyle w:val="24"/>
        <w:spacing w:after="0"/>
        <w:rPr>
          <w:rFonts w:ascii="Arial" w:hAnsi="Arial" w:cs="Arial"/>
        </w:rPr>
      </w:pPr>
    </w:p>
    <w:p w14:paraId="67FF6C75">
      <w:pPr>
        <w:pStyle w:val="24"/>
        <w:spacing w:after="0"/>
        <w:rPr>
          <w:rFonts w:ascii="Arial" w:hAnsi="Arial" w:cs="Arial"/>
        </w:rPr>
      </w:pPr>
      <w:r>
        <w:rPr>
          <w:rFonts w:ascii="Arial" w:hAnsi="Arial" w:cs="Arial"/>
        </w:rPr>
        <w:t xml:space="preserve">Figure 3 below shows that serum AST increased within 24 hrs of injection with CCl4 (G2). When animals were left without treatment for 28 days (G3), no significant change was observed in serum AST when compared with G2. Upon treatment with 240mg/k </w:t>
      </w:r>
      <w:r>
        <w:rPr>
          <w:rFonts w:ascii="Arial" w:hAnsi="Arial" w:cs="Arial"/>
          <w:i/>
          <w:iCs/>
        </w:rPr>
        <w:t>C. citratus</w:t>
      </w:r>
      <w:r>
        <w:rPr>
          <w:rFonts w:ascii="Arial" w:hAnsi="Arial" w:cs="Arial"/>
        </w:rPr>
        <w:t xml:space="preserve">, serum AST was not significantly different from that of animals in G3. Treatment with 480 (G5) and 720 mg/kg (G6) </w:t>
      </w:r>
      <w:r>
        <w:rPr>
          <w:rFonts w:ascii="Arial" w:hAnsi="Arial" w:cs="Arial"/>
          <w:i/>
          <w:iCs/>
        </w:rPr>
        <w:t>C. citratus</w:t>
      </w:r>
      <w:r>
        <w:rPr>
          <w:rFonts w:ascii="Arial" w:hAnsi="Arial" w:cs="Arial"/>
        </w:rPr>
        <w:t xml:space="preserve"> respectively, resulted in a decrease in serum AST which was significantly different from G2 and G3.</w:t>
      </w:r>
    </w:p>
    <w:p w14:paraId="4CF0B126">
      <w:pPr>
        <w:pStyle w:val="24"/>
        <w:spacing w:after="0"/>
        <w:rPr>
          <w:rFonts w:ascii="Arial" w:hAnsi="Arial" w:cs="Arial"/>
        </w:rPr>
      </w:pPr>
    </w:p>
    <w:p w14:paraId="48C8E72E">
      <w:pPr>
        <w:pStyle w:val="24"/>
        <w:spacing w:after="0"/>
        <w:rPr>
          <w:rFonts w:ascii="Arial" w:hAnsi="Arial" w:cs="Arial"/>
        </w:rPr>
      </w:pPr>
    </w:p>
    <w:p w14:paraId="5E59AA86">
      <w:pPr>
        <w:pStyle w:val="24"/>
        <w:spacing w:after="0"/>
        <w:rPr>
          <w:rFonts w:ascii="Arial" w:hAnsi="Arial" w:cs="Arial"/>
        </w:rPr>
      </w:pPr>
    </w:p>
    <w:p w14:paraId="30EFB637">
      <w:pPr>
        <w:pStyle w:val="24"/>
        <w:spacing w:after="0"/>
        <w:rPr>
          <w:rFonts w:ascii="Arial" w:hAnsi="Arial" w:cs="Arial"/>
        </w:rPr>
      </w:pPr>
    </w:p>
    <w:p w14:paraId="772E2628">
      <w:pPr>
        <w:pStyle w:val="24"/>
        <w:spacing w:after="0"/>
        <w:rPr>
          <w:rFonts w:ascii="Arial" w:hAnsi="Arial" w:cs="Arial"/>
        </w:rPr>
      </w:pPr>
      <w:r>
        <w:rPr>
          <w:rFonts w:ascii="Arial" w:hAnsi="Arial" w:cs="Arial"/>
        </w:rPr>
        <w:drawing>
          <wp:inline distT="0" distB="0" distL="114300" distR="114300">
            <wp:extent cx="4648200" cy="2600960"/>
            <wp:effectExtent l="0" t="0" r="0" b="889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16"/>
                    <a:srcRect l="1422" t="7377" r="10386" b="11834"/>
                    <a:stretch>
                      <a:fillRect/>
                    </a:stretch>
                  </pic:blipFill>
                  <pic:spPr>
                    <a:xfrm>
                      <a:off x="0" y="0"/>
                      <a:ext cx="4648200" cy="2600960"/>
                    </a:xfrm>
                    <a:prstGeom prst="rect">
                      <a:avLst/>
                    </a:prstGeom>
                    <a:noFill/>
                    <a:ln>
                      <a:noFill/>
                    </a:ln>
                  </pic:spPr>
                </pic:pic>
              </a:graphicData>
            </a:graphic>
          </wp:inline>
        </w:drawing>
      </w:r>
    </w:p>
    <w:p w14:paraId="407AC5FE">
      <w:pPr>
        <w:pStyle w:val="24"/>
        <w:spacing w:after="0"/>
        <w:rPr>
          <w:rFonts w:ascii="Arial" w:hAnsi="Arial" w:cs="Arial"/>
        </w:rPr>
      </w:pPr>
    </w:p>
    <w:p w14:paraId="410A65AF">
      <w:pPr>
        <w:pStyle w:val="24"/>
        <w:spacing w:after="0"/>
        <w:rPr>
          <w:rFonts w:ascii="Arial" w:hAnsi="Arial" w:cs="Arial"/>
          <w:sz w:val="18"/>
          <w:szCs w:val="18"/>
        </w:rPr>
      </w:pPr>
      <w:r>
        <w:rPr>
          <w:rFonts w:ascii="Arial" w:hAnsi="Arial" w:cs="Arial"/>
          <w:b/>
          <w:bCs/>
        </w:rPr>
        <w:t>Figure 3.</w:t>
      </w:r>
      <w:r>
        <w:rPr>
          <w:rFonts w:ascii="Arial" w:hAnsi="Arial" w:cs="Arial"/>
        </w:rPr>
        <w:t xml:space="preserve"> Ameliorating effect of </w:t>
      </w:r>
      <w:r>
        <w:rPr>
          <w:rFonts w:ascii="Arial" w:hAnsi="Arial" w:cs="Arial"/>
          <w:i/>
          <w:iCs/>
        </w:rPr>
        <w:t>C. citratus</w:t>
      </w:r>
      <w:r>
        <w:rPr>
          <w:rFonts w:ascii="Arial" w:hAnsi="Arial" w:cs="Arial"/>
        </w:rPr>
        <w:t xml:space="preserve"> on serum AST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46EBBE32">
      <w:pPr>
        <w:pStyle w:val="24"/>
        <w:spacing w:after="0"/>
        <w:rPr>
          <w:rFonts w:ascii="Arial" w:hAnsi="Arial" w:cs="Arial"/>
        </w:rPr>
      </w:pPr>
    </w:p>
    <w:p w14:paraId="5CEC52EA">
      <w:pPr>
        <w:pStyle w:val="24"/>
        <w:spacing w:after="0"/>
        <w:rPr>
          <w:rFonts w:ascii="Arial" w:hAnsi="Arial" w:cs="Arial"/>
        </w:rPr>
      </w:pPr>
    </w:p>
    <w:p w14:paraId="7135B12C">
      <w:pPr>
        <w:pStyle w:val="24"/>
        <w:spacing w:after="0"/>
        <w:rPr>
          <w:rFonts w:ascii="Arial" w:hAnsi="Arial" w:cs="Arial"/>
        </w:rPr>
      </w:pPr>
    </w:p>
    <w:p w14:paraId="33DAE0D8">
      <w:pPr>
        <w:pStyle w:val="24"/>
        <w:spacing w:after="0"/>
        <w:rPr>
          <w:rFonts w:ascii="Arial" w:hAnsi="Arial" w:cs="Arial"/>
        </w:rPr>
      </w:pPr>
    </w:p>
    <w:p w14:paraId="6EF07BAF">
      <w:pPr>
        <w:pStyle w:val="24"/>
        <w:spacing w:after="0"/>
        <w:rPr>
          <w:rFonts w:ascii="Arial" w:hAnsi="Arial" w:cs="Arial"/>
        </w:rPr>
      </w:pPr>
    </w:p>
    <w:p w14:paraId="1AC5D1C7">
      <w:pPr>
        <w:pStyle w:val="24"/>
        <w:spacing w:after="0"/>
        <w:rPr>
          <w:rFonts w:ascii="Arial" w:hAnsi="Arial" w:cs="Arial"/>
        </w:rPr>
      </w:pPr>
    </w:p>
    <w:p w14:paraId="320D73AB">
      <w:pPr>
        <w:pStyle w:val="24"/>
        <w:spacing w:after="0"/>
        <w:rPr>
          <w:rFonts w:ascii="Arial" w:hAnsi="Arial" w:cs="Arial"/>
          <w:b/>
          <w:bCs/>
        </w:rPr>
      </w:pPr>
      <w:r>
        <w:rPr>
          <w:rFonts w:ascii="Arial" w:hAnsi="Arial" w:cs="Arial"/>
          <w:b/>
          <w:bCs/>
        </w:rPr>
        <w:t>3.1.2. Biochemical Parameters</w:t>
      </w:r>
    </w:p>
    <w:p w14:paraId="491B3FB0">
      <w:pPr>
        <w:pStyle w:val="24"/>
        <w:spacing w:after="0"/>
        <w:rPr>
          <w:rFonts w:ascii="Arial" w:hAnsi="Arial" w:cs="Arial"/>
          <w:b/>
          <w:bCs/>
        </w:rPr>
      </w:pPr>
    </w:p>
    <w:p w14:paraId="3567113D">
      <w:pPr>
        <w:pStyle w:val="24"/>
        <w:spacing w:after="0"/>
        <w:rPr>
          <w:rFonts w:ascii="Arial" w:hAnsi="Arial" w:cs="Arial"/>
        </w:rPr>
      </w:pPr>
      <w:r>
        <w:rPr>
          <w:rFonts w:ascii="Arial" w:hAnsi="Arial" w:cs="Arial"/>
        </w:rPr>
        <w:t xml:space="preserve">The results obtained from the evaluation of biochemical parameters including liver MDA, serum albumin and total protein are presented in figures 4, 5 and 6 below. From figure 4 below, an increase in liver MDA was observed after 24hrs of injection with CCl4 (G2). When animals where left without treatment for 28 days (G3), a significant decrease in liver MDA was observed when compared with G2. Upon treatment with 240 and 480 mg/kg of </w:t>
      </w:r>
      <w:r>
        <w:rPr>
          <w:rFonts w:ascii="Arial" w:hAnsi="Arial" w:cs="Arial"/>
          <w:i/>
          <w:iCs/>
        </w:rPr>
        <w:t>C. citratus</w:t>
      </w:r>
      <w:r>
        <w:rPr>
          <w:rFonts w:ascii="Arial" w:hAnsi="Arial" w:cs="Arial"/>
        </w:rPr>
        <w:t xml:space="preserve"> for 28 days, no significant difference in liver MDA was observed when compared with G3. When animals were treated with 720mg/kg </w:t>
      </w:r>
      <w:r>
        <w:rPr>
          <w:rFonts w:ascii="Arial" w:hAnsi="Arial" w:cs="Arial"/>
          <w:i/>
          <w:iCs/>
        </w:rPr>
        <w:t>C. citratus</w:t>
      </w:r>
      <w:r>
        <w:rPr>
          <w:rFonts w:ascii="Arial" w:hAnsi="Arial" w:cs="Arial"/>
        </w:rPr>
        <w:t>, liver MDA was not significantly different from control (G1).</w:t>
      </w:r>
    </w:p>
    <w:p w14:paraId="4E0D23E1">
      <w:pPr>
        <w:pStyle w:val="24"/>
        <w:spacing w:after="0"/>
        <w:rPr>
          <w:rFonts w:ascii="Arial" w:hAnsi="Arial" w:cs="Arial"/>
        </w:rPr>
      </w:pPr>
    </w:p>
    <w:p w14:paraId="69265CF5">
      <w:pPr>
        <w:pStyle w:val="24"/>
        <w:spacing w:after="0"/>
        <w:rPr>
          <w:rFonts w:ascii="Arial" w:hAnsi="Arial" w:cs="Arial"/>
        </w:rPr>
      </w:pPr>
    </w:p>
    <w:p w14:paraId="7FC90442">
      <w:pPr>
        <w:pStyle w:val="24"/>
        <w:spacing w:after="0"/>
        <w:rPr>
          <w:rFonts w:ascii="Arial" w:hAnsi="Arial" w:cs="Arial"/>
        </w:rPr>
      </w:pPr>
    </w:p>
    <w:p w14:paraId="5DB54F56">
      <w:pPr>
        <w:pStyle w:val="24"/>
        <w:spacing w:after="0"/>
        <w:rPr>
          <w:rFonts w:ascii="Arial" w:hAnsi="Arial" w:cs="Arial"/>
        </w:rPr>
      </w:pPr>
      <w:r>
        <w:rPr>
          <w:rFonts w:ascii="Arial" w:hAnsi="Arial" w:cs="Arial"/>
        </w:rPr>
        <w:drawing>
          <wp:inline distT="0" distB="0" distL="114300" distR="114300">
            <wp:extent cx="4612640" cy="2639060"/>
            <wp:effectExtent l="0" t="0" r="16510" b="889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pic:cNvPicPr>
                  </pic:nvPicPr>
                  <pic:blipFill>
                    <a:blip r:embed="rId17"/>
                    <a:srcRect l="1181" t="10300" r="11301" b="14992"/>
                    <a:stretch>
                      <a:fillRect/>
                    </a:stretch>
                  </pic:blipFill>
                  <pic:spPr>
                    <a:xfrm>
                      <a:off x="0" y="0"/>
                      <a:ext cx="4612640" cy="2639060"/>
                    </a:xfrm>
                    <a:prstGeom prst="rect">
                      <a:avLst/>
                    </a:prstGeom>
                    <a:noFill/>
                    <a:ln>
                      <a:noFill/>
                    </a:ln>
                  </pic:spPr>
                </pic:pic>
              </a:graphicData>
            </a:graphic>
          </wp:inline>
        </w:drawing>
      </w:r>
    </w:p>
    <w:p w14:paraId="0FB17DB9">
      <w:pPr>
        <w:pStyle w:val="24"/>
        <w:spacing w:after="0"/>
        <w:rPr>
          <w:rFonts w:ascii="Arial" w:hAnsi="Arial" w:cs="Arial"/>
        </w:rPr>
      </w:pPr>
      <w:r>
        <w:rPr>
          <w:rFonts w:ascii="Arial" w:hAnsi="Arial" w:cs="Arial"/>
          <w:b/>
          <w:bCs/>
        </w:rPr>
        <w:t>Figure 4.</w:t>
      </w:r>
      <w:r>
        <w:rPr>
          <w:rFonts w:ascii="Arial" w:hAnsi="Arial" w:cs="Arial"/>
        </w:rPr>
        <w:t xml:space="preserve"> Ameliorating effect of </w:t>
      </w:r>
      <w:r>
        <w:rPr>
          <w:rFonts w:ascii="Arial" w:hAnsi="Arial" w:cs="Arial"/>
          <w:i/>
          <w:iCs/>
        </w:rPr>
        <w:t>C. citratus</w:t>
      </w:r>
      <w:r>
        <w:rPr>
          <w:rFonts w:ascii="Arial" w:hAnsi="Arial" w:cs="Arial"/>
        </w:rPr>
        <w:t xml:space="preserve"> on Liver MDA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2730CFC4">
      <w:pPr>
        <w:pStyle w:val="24"/>
        <w:spacing w:after="0"/>
        <w:rPr>
          <w:rFonts w:ascii="Arial" w:hAnsi="Arial" w:cs="Arial"/>
        </w:rPr>
      </w:pPr>
    </w:p>
    <w:p w14:paraId="169F5677">
      <w:pPr>
        <w:pStyle w:val="24"/>
        <w:spacing w:after="0"/>
        <w:rPr>
          <w:rFonts w:ascii="Arial" w:hAnsi="Arial" w:cs="Arial"/>
        </w:rPr>
      </w:pPr>
    </w:p>
    <w:p w14:paraId="79C4D8E9">
      <w:pPr>
        <w:pStyle w:val="24"/>
        <w:spacing w:after="0"/>
        <w:rPr>
          <w:rFonts w:ascii="Arial" w:hAnsi="Arial" w:cs="Arial"/>
        </w:rPr>
      </w:pPr>
    </w:p>
    <w:p w14:paraId="0FC26001">
      <w:pPr>
        <w:pStyle w:val="24"/>
        <w:spacing w:after="0"/>
        <w:rPr>
          <w:rFonts w:ascii="Arial" w:hAnsi="Arial" w:cs="Arial"/>
        </w:rPr>
      </w:pPr>
    </w:p>
    <w:p w14:paraId="2EE9B57F">
      <w:pPr>
        <w:pStyle w:val="24"/>
        <w:spacing w:after="0"/>
        <w:rPr>
          <w:rFonts w:ascii="Arial" w:hAnsi="Arial" w:cs="Arial"/>
        </w:rPr>
      </w:pPr>
    </w:p>
    <w:p w14:paraId="56E48647">
      <w:pPr>
        <w:pStyle w:val="24"/>
        <w:spacing w:after="0"/>
        <w:rPr>
          <w:rFonts w:ascii="Arial" w:hAnsi="Arial" w:cs="Arial"/>
        </w:rPr>
      </w:pPr>
      <w:r>
        <w:rPr>
          <w:rFonts w:ascii="Arial" w:hAnsi="Arial" w:cs="Arial"/>
        </w:rPr>
        <w:drawing>
          <wp:inline distT="0" distB="0" distL="114300" distR="114300">
            <wp:extent cx="4705350" cy="2519680"/>
            <wp:effectExtent l="0" t="0" r="0" b="13970"/>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7"/>
                    <pic:cNvPicPr>
                      <a:picLocks noChangeAspect="1"/>
                    </pic:cNvPicPr>
                  </pic:nvPicPr>
                  <pic:blipFill>
                    <a:blip r:embed="rId18"/>
                    <a:srcRect t="15424" r="10723" b="2422"/>
                    <a:stretch>
                      <a:fillRect/>
                    </a:stretch>
                  </pic:blipFill>
                  <pic:spPr>
                    <a:xfrm>
                      <a:off x="0" y="0"/>
                      <a:ext cx="4705350" cy="2519680"/>
                    </a:xfrm>
                    <a:prstGeom prst="rect">
                      <a:avLst/>
                    </a:prstGeom>
                    <a:noFill/>
                    <a:ln>
                      <a:noFill/>
                    </a:ln>
                  </pic:spPr>
                </pic:pic>
              </a:graphicData>
            </a:graphic>
          </wp:inline>
        </w:drawing>
      </w:r>
    </w:p>
    <w:p w14:paraId="18003407">
      <w:pPr>
        <w:pStyle w:val="24"/>
        <w:spacing w:after="0"/>
        <w:rPr>
          <w:rFonts w:ascii="Arial" w:hAnsi="Arial" w:cs="Arial"/>
        </w:rPr>
      </w:pPr>
    </w:p>
    <w:p w14:paraId="5AD8A90A">
      <w:pPr>
        <w:pStyle w:val="24"/>
        <w:spacing w:after="0"/>
        <w:rPr>
          <w:rFonts w:ascii="Arial" w:hAnsi="Arial" w:cs="Arial"/>
        </w:rPr>
      </w:pPr>
      <w:r>
        <w:rPr>
          <w:rFonts w:ascii="Arial" w:hAnsi="Arial" w:cs="Arial"/>
        </w:rPr>
        <w:t xml:space="preserve">Figure 5. Ameliorating effect of </w:t>
      </w:r>
      <w:r>
        <w:rPr>
          <w:rFonts w:ascii="Arial" w:hAnsi="Arial" w:cs="Arial"/>
          <w:i/>
          <w:iCs/>
        </w:rPr>
        <w:t>C. citratus</w:t>
      </w:r>
      <w:r>
        <w:rPr>
          <w:rFonts w:ascii="Arial" w:hAnsi="Arial" w:cs="Arial"/>
        </w:rPr>
        <w:t xml:space="preserve"> on serum Albumin after carbon tetrachloride–induced liver injury. Means with same subscript are not significantly different from each other (p&gt;0.05). Means with different subscripts are significantly different from each other (p&lt;0.05)</w:t>
      </w:r>
    </w:p>
    <w:p w14:paraId="44D9BCD3">
      <w:pPr>
        <w:pStyle w:val="24"/>
        <w:spacing w:after="0"/>
        <w:rPr>
          <w:rFonts w:ascii="Arial" w:hAnsi="Arial" w:cs="Arial"/>
        </w:rPr>
      </w:pPr>
    </w:p>
    <w:p w14:paraId="702DBC79">
      <w:pPr>
        <w:pStyle w:val="24"/>
        <w:spacing w:after="0"/>
        <w:rPr>
          <w:rFonts w:ascii="Arial" w:hAnsi="Arial" w:cs="Arial"/>
        </w:rPr>
      </w:pPr>
    </w:p>
    <w:p w14:paraId="25A45549">
      <w:pPr>
        <w:pStyle w:val="24"/>
        <w:spacing w:after="0"/>
        <w:rPr>
          <w:rFonts w:ascii="Arial" w:hAnsi="Arial" w:cs="Arial"/>
        </w:rPr>
      </w:pPr>
      <w:r>
        <w:rPr>
          <w:rFonts w:ascii="Arial" w:hAnsi="Arial" w:cs="Arial"/>
        </w:rPr>
        <w:t>A significant decrease was observed in serum albumin after 24 hrs of injection with CCl4 (G2) as observed in figure 5 below. No significant different was observed in serum albumin when animals were left for 28 days without treatment (G3) when compared with G2. After treatment with 240, 480 and 720 mg/kg for 28 days, serum albumin was not significantly different from control (figure 5).</w:t>
      </w:r>
    </w:p>
    <w:p w14:paraId="2C689794">
      <w:pPr>
        <w:pStyle w:val="24"/>
        <w:spacing w:after="0"/>
        <w:rPr>
          <w:rFonts w:ascii="Arial" w:hAnsi="Arial" w:cs="Arial"/>
        </w:rPr>
      </w:pPr>
    </w:p>
    <w:p w14:paraId="438BDC3C">
      <w:pPr>
        <w:pStyle w:val="24"/>
        <w:spacing w:after="0"/>
        <w:rPr>
          <w:rFonts w:ascii="Arial" w:hAnsi="Arial" w:cs="Arial"/>
        </w:rPr>
      </w:pPr>
    </w:p>
    <w:p w14:paraId="678CD0F9">
      <w:pPr>
        <w:pStyle w:val="24"/>
        <w:spacing w:after="0"/>
        <w:rPr>
          <w:rFonts w:ascii="Arial" w:hAnsi="Arial" w:cs="Arial"/>
        </w:rPr>
      </w:pPr>
    </w:p>
    <w:p w14:paraId="2039BEDE">
      <w:pPr>
        <w:pStyle w:val="24"/>
        <w:spacing w:after="0"/>
        <w:rPr>
          <w:rFonts w:ascii="Arial" w:hAnsi="Arial" w:cs="Arial"/>
        </w:rPr>
      </w:pPr>
      <w:r>
        <w:rPr>
          <w:rFonts w:ascii="Arial" w:hAnsi="Arial" w:cs="Arial"/>
        </w:rPr>
        <w:t xml:space="preserve">From figure 6 below, a significant decrease in total protein was observed 24hrs after injection with CCl4 (G2) when compared with control (G1). When animals were left without treatment for 28 days (G3), total protein was not significantly different from G2. After treatment with 240, 480 and 720 mg/kg of </w:t>
      </w:r>
      <w:r>
        <w:rPr>
          <w:rFonts w:ascii="Arial" w:hAnsi="Arial" w:cs="Arial"/>
          <w:i/>
          <w:iCs/>
        </w:rPr>
        <w:t>C. citratus</w:t>
      </w:r>
      <w:r>
        <w:rPr>
          <w:rFonts w:ascii="Arial" w:hAnsi="Arial" w:cs="Arial"/>
        </w:rPr>
        <w:t>, there was a significant increase in total protein which was significantly higher than control.</w:t>
      </w:r>
    </w:p>
    <w:p w14:paraId="625C1F64">
      <w:pPr>
        <w:pStyle w:val="24"/>
        <w:spacing w:after="0"/>
        <w:rPr>
          <w:rFonts w:ascii="Arial" w:hAnsi="Arial" w:cs="Arial"/>
        </w:rPr>
      </w:pPr>
    </w:p>
    <w:p w14:paraId="032D29E1">
      <w:pPr>
        <w:pStyle w:val="24"/>
        <w:spacing w:after="0"/>
        <w:rPr>
          <w:rFonts w:ascii="Arial" w:hAnsi="Arial" w:cs="Arial"/>
        </w:rPr>
      </w:pPr>
    </w:p>
    <w:p w14:paraId="76AC5B73">
      <w:pPr>
        <w:pStyle w:val="24"/>
        <w:spacing w:after="0"/>
        <w:rPr>
          <w:rFonts w:ascii="Arial" w:hAnsi="Arial" w:cs="Arial"/>
        </w:rPr>
      </w:pPr>
    </w:p>
    <w:p w14:paraId="4D3D4C41">
      <w:pPr>
        <w:pStyle w:val="24"/>
        <w:spacing w:after="0"/>
        <w:rPr>
          <w:rFonts w:ascii="Arial" w:hAnsi="Arial" w:cs="Arial"/>
        </w:rPr>
      </w:pPr>
    </w:p>
    <w:p w14:paraId="43A345BC">
      <w:pPr>
        <w:pStyle w:val="24"/>
        <w:spacing w:after="0"/>
        <w:rPr>
          <w:rFonts w:ascii="Arial" w:hAnsi="Arial" w:cs="Arial"/>
        </w:rPr>
      </w:pPr>
    </w:p>
    <w:p w14:paraId="69B71B41">
      <w:pPr>
        <w:pStyle w:val="24"/>
        <w:spacing w:after="0"/>
        <w:rPr>
          <w:rFonts w:ascii="Arial" w:hAnsi="Arial" w:cs="Arial"/>
        </w:rPr>
      </w:pPr>
      <w:r>
        <w:rPr>
          <w:rFonts w:ascii="Arial" w:hAnsi="Arial" w:cs="Arial"/>
        </w:rPr>
        <w:drawing>
          <wp:inline distT="0" distB="0" distL="114300" distR="114300">
            <wp:extent cx="4648200" cy="2581275"/>
            <wp:effectExtent l="0" t="0" r="0" b="9525"/>
            <wp:docPr id="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8"/>
                    <pic:cNvPicPr>
                      <a:picLocks noChangeAspect="1"/>
                    </pic:cNvPicPr>
                  </pic:nvPicPr>
                  <pic:blipFill>
                    <a:blip r:embed="rId19"/>
                    <a:srcRect l="1253" t="13126" r="10554" b="2712"/>
                    <a:stretch>
                      <a:fillRect/>
                    </a:stretch>
                  </pic:blipFill>
                  <pic:spPr>
                    <a:xfrm>
                      <a:off x="0" y="0"/>
                      <a:ext cx="4648200" cy="2581275"/>
                    </a:xfrm>
                    <a:prstGeom prst="rect">
                      <a:avLst/>
                    </a:prstGeom>
                    <a:noFill/>
                    <a:ln>
                      <a:noFill/>
                    </a:ln>
                  </pic:spPr>
                </pic:pic>
              </a:graphicData>
            </a:graphic>
          </wp:inline>
        </w:drawing>
      </w:r>
    </w:p>
    <w:p w14:paraId="309D8446">
      <w:pPr>
        <w:pStyle w:val="24"/>
        <w:spacing w:after="0"/>
        <w:rPr>
          <w:rFonts w:ascii="Arial" w:hAnsi="Arial" w:cs="Arial"/>
          <w:b/>
          <w:bCs/>
        </w:rPr>
      </w:pPr>
    </w:p>
    <w:p w14:paraId="25E84E58">
      <w:pPr>
        <w:pStyle w:val="24"/>
        <w:spacing w:after="0"/>
        <w:rPr>
          <w:rFonts w:ascii="Arial" w:hAnsi="Arial" w:cs="Arial"/>
        </w:rPr>
      </w:pPr>
      <w:r>
        <w:rPr>
          <w:rFonts w:ascii="Arial" w:hAnsi="Arial" w:cs="Arial"/>
        </w:rPr>
        <w:t xml:space="preserve">Figure 6. Ameliorating effect of </w:t>
      </w:r>
      <w:r>
        <w:rPr>
          <w:rFonts w:ascii="Arial" w:hAnsi="Arial" w:cs="Arial"/>
          <w:i/>
          <w:iCs/>
        </w:rPr>
        <w:t>C. citratus</w:t>
      </w:r>
      <w:r>
        <w:rPr>
          <w:rFonts w:ascii="Arial" w:hAnsi="Arial" w:cs="Arial"/>
        </w:rPr>
        <w:t xml:space="preserve"> on total protein after carbon tetrachloride–induced liver injury.</w:t>
      </w:r>
      <w:r>
        <w:rPr>
          <w:rFonts w:ascii="Arial" w:hAnsi="Arial" w:cs="Arial"/>
          <w:sz w:val="18"/>
          <w:szCs w:val="18"/>
        </w:rPr>
        <w:t xml:space="preserve"> Means with same subscript are not significantly different from each other (p&gt;0.05). Means with different subscripts are significantly different from each other (p&lt;0.05)</w:t>
      </w:r>
    </w:p>
    <w:p w14:paraId="5C12426F">
      <w:pPr>
        <w:pStyle w:val="24"/>
        <w:spacing w:after="0"/>
        <w:rPr>
          <w:rFonts w:ascii="Arial" w:hAnsi="Arial" w:cs="Arial"/>
          <w:b/>
          <w:bCs/>
        </w:rPr>
      </w:pPr>
    </w:p>
    <w:p w14:paraId="438B8C91">
      <w:pPr>
        <w:pStyle w:val="24"/>
        <w:spacing w:after="0"/>
        <w:rPr>
          <w:rFonts w:ascii="Arial" w:hAnsi="Arial" w:cs="Arial"/>
          <w:b/>
          <w:bCs/>
        </w:rPr>
      </w:pPr>
    </w:p>
    <w:p w14:paraId="5B9C7443">
      <w:pPr>
        <w:pStyle w:val="24"/>
        <w:spacing w:after="0"/>
        <w:rPr>
          <w:rFonts w:ascii="Arial" w:hAnsi="Arial" w:cs="Arial"/>
          <w:b/>
          <w:bCs/>
        </w:rPr>
      </w:pPr>
    </w:p>
    <w:p w14:paraId="1C250329">
      <w:pPr>
        <w:pStyle w:val="24"/>
        <w:spacing w:after="0"/>
        <w:rPr>
          <w:rFonts w:ascii="Arial" w:hAnsi="Arial" w:cs="Arial"/>
          <w:b/>
          <w:bCs/>
        </w:rPr>
      </w:pPr>
    </w:p>
    <w:p w14:paraId="52F7070C">
      <w:pPr>
        <w:pStyle w:val="24"/>
        <w:spacing w:after="0"/>
        <w:rPr>
          <w:rFonts w:ascii="Arial" w:hAnsi="Arial" w:cs="Arial"/>
          <w:b/>
          <w:bCs/>
        </w:rPr>
      </w:pPr>
    </w:p>
    <w:p w14:paraId="69D63850">
      <w:pPr>
        <w:pStyle w:val="24"/>
        <w:spacing w:after="0"/>
        <w:rPr>
          <w:rFonts w:ascii="Arial" w:hAnsi="Arial" w:cs="Arial"/>
          <w:b/>
          <w:bCs/>
        </w:rPr>
      </w:pPr>
    </w:p>
    <w:p w14:paraId="5A3B56E9">
      <w:pPr>
        <w:pStyle w:val="24"/>
        <w:spacing w:after="0"/>
        <w:rPr>
          <w:rFonts w:ascii="Arial" w:hAnsi="Arial" w:cs="Arial"/>
          <w:b/>
          <w:bCs/>
        </w:rPr>
      </w:pPr>
      <w:r>
        <w:rPr>
          <w:rFonts w:ascii="Arial" w:hAnsi="Arial" w:cs="Arial"/>
          <w:b/>
          <w:bCs/>
        </w:rPr>
        <w:t>3.1.3. Haematological Parameters</w:t>
      </w:r>
    </w:p>
    <w:p w14:paraId="31822088">
      <w:pPr>
        <w:pStyle w:val="24"/>
        <w:spacing w:after="0"/>
        <w:rPr>
          <w:rFonts w:ascii="Arial" w:hAnsi="Arial" w:cs="Arial"/>
        </w:rPr>
      </w:pPr>
    </w:p>
    <w:p w14:paraId="6826CCDB">
      <w:pPr>
        <w:pStyle w:val="24"/>
        <w:spacing w:after="0"/>
        <w:rPr>
          <w:rFonts w:ascii="Arial" w:hAnsi="Arial" w:cs="Arial"/>
        </w:rPr>
      </w:pPr>
    </w:p>
    <w:p w14:paraId="338DEA64">
      <w:pPr>
        <w:pStyle w:val="24"/>
        <w:spacing w:after="0"/>
        <w:rPr>
          <w:rFonts w:ascii="Arial" w:hAnsi="Arial" w:cs="Arial"/>
        </w:rPr>
      </w:pPr>
      <w:r>
        <w:rPr>
          <w:rFonts w:ascii="Arial" w:hAnsi="Arial" w:cs="Arial"/>
        </w:rPr>
        <w:t xml:space="preserve">The results obtained from the evaluation of haematological parameters including PCV, Hb, WBC and MCV are presented in figures 7, 8, 9 and 10 below. PCV was observed to significantly decrease after 24hrs of CCl4 injection (G2) (Figure 7). When animals were left without treatment for 28 days (G3), PCV level was not significantly different from G2. After treatment with 240, 480 and 720 mg/kg </w:t>
      </w:r>
      <w:r>
        <w:rPr>
          <w:rFonts w:ascii="Arial" w:hAnsi="Arial" w:cs="Arial"/>
          <w:i/>
          <w:iCs/>
        </w:rPr>
        <w:t>C. citratus</w:t>
      </w:r>
      <w:r>
        <w:rPr>
          <w:rFonts w:ascii="Arial" w:hAnsi="Arial" w:cs="Arial"/>
        </w:rPr>
        <w:t xml:space="preserve"> respectively, PCV level was not significantly different from G2 (Figure 7). </w:t>
      </w:r>
    </w:p>
    <w:p w14:paraId="6665C954">
      <w:pPr>
        <w:pStyle w:val="24"/>
        <w:spacing w:after="0"/>
        <w:rPr>
          <w:rFonts w:ascii="Arial" w:hAnsi="Arial" w:cs="Arial"/>
        </w:rPr>
      </w:pPr>
    </w:p>
    <w:p w14:paraId="69E994E6">
      <w:pPr>
        <w:pStyle w:val="24"/>
        <w:spacing w:after="0"/>
        <w:rPr>
          <w:rFonts w:ascii="Arial" w:hAnsi="Arial" w:cs="Arial"/>
        </w:rPr>
      </w:pPr>
    </w:p>
    <w:p w14:paraId="41021F49">
      <w:pPr>
        <w:pStyle w:val="24"/>
        <w:spacing w:after="0"/>
        <w:rPr>
          <w:rFonts w:ascii="Arial" w:hAnsi="Arial" w:cs="Arial"/>
        </w:rPr>
      </w:pPr>
    </w:p>
    <w:p w14:paraId="0977044C">
      <w:pPr>
        <w:pStyle w:val="24"/>
        <w:spacing w:after="0"/>
        <w:rPr>
          <w:rFonts w:ascii="Arial" w:hAnsi="Arial" w:cs="Arial"/>
        </w:rPr>
      </w:pPr>
    </w:p>
    <w:p w14:paraId="35EC83BE">
      <w:pPr>
        <w:pStyle w:val="24"/>
        <w:spacing w:after="0"/>
        <w:rPr>
          <w:rFonts w:ascii="Arial" w:hAnsi="Arial" w:cs="Arial"/>
        </w:rPr>
      </w:pPr>
    </w:p>
    <w:p w14:paraId="4D86E956">
      <w:pPr>
        <w:pStyle w:val="24"/>
        <w:spacing w:after="0"/>
        <w:rPr>
          <w:rFonts w:ascii="Arial" w:hAnsi="Arial" w:cs="Arial"/>
        </w:rPr>
      </w:pPr>
    </w:p>
    <w:p w14:paraId="4BB275DD">
      <w:pPr>
        <w:pStyle w:val="24"/>
        <w:spacing w:after="0"/>
        <w:rPr>
          <w:rFonts w:ascii="Arial" w:hAnsi="Arial" w:cs="Arial"/>
        </w:rPr>
      </w:pPr>
      <w:r>
        <w:rPr>
          <w:rFonts w:ascii="Arial" w:hAnsi="Arial" w:cs="Arial"/>
        </w:rPr>
        <w:drawing>
          <wp:inline distT="0" distB="0" distL="114300" distR="114300">
            <wp:extent cx="4652645" cy="2599055"/>
            <wp:effectExtent l="0" t="0" r="14605" b="10795"/>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
                    <pic:cNvPicPr>
                      <a:picLocks noChangeAspect="1"/>
                    </pic:cNvPicPr>
                  </pic:nvPicPr>
                  <pic:blipFill>
                    <a:blip r:embed="rId20"/>
                    <a:srcRect l="1096" t="12547" r="10627" b="2712"/>
                    <a:stretch>
                      <a:fillRect/>
                    </a:stretch>
                  </pic:blipFill>
                  <pic:spPr>
                    <a:xfrm>
                      <a:off x="0" y="0"/>
                      <a:ext cx="4652645" cy="2599055"/>
                    </a:xfrm>
                    <a:prstGeom prst="rect">
                      <a:avLst/>
                    </a:prstGeom>
                    <a:noFill/>
                    <a:ln>
                      <a:noFill/>
                    </a:ln>
                  </pic:spPr>
                </pic:pic>
              </a:graphicData>
            </a:graphic>
          </wp:inline>
        </w:drawing>
      </w:r>
    </w:p>
    <w:p w14:paraId="18606F29">
      <w:pPr>
        <w:pStyle w:val="24"/>
        <w:spacing w:after="0"/>
        <w:rPr>
          <w:rFonts w:ascii="Arial" w:hAnsi="Arial" w:cs="Arial"/>
        </w:rPr>
      </w:pPr>
      <w:r>
        <w:rPr>
          <w:rFonts w:ascii="Arial" w:hAnsi="Arial" w:cs="Arial"/>
          <w:b/>
          <w:bCs/>
        </w:rPr>
        <w:t>Figure 7.</w:t>
      </w:r>
      <w:r>
        <w:rPr>
          <w:rFonts w:ascii="Arial" w:hAnsi="Arial" w:cs="Arial"/>
        </w:rPr>
        <w:t xml:space="preserve"> Ameliorating effect of </w:t>
      </w:r>
      <w:r>
        <w:rPr>
          <w:rFonts w:ascii="Arial" w:hAnsi="Arial" w:cs="Arial"/>
          <w:i/>
          <w:iCs/>
        </w:rPr>
        <w:t>C. citratus</w:t>
      </w:r>
      <w:r>
        <w:rPr>
          <w:rFonts w:ascii="Arial" w:hAnsi="Arial" w:cs="Arial"/>
        </w:rPr>
        <w:t xml:space="preserve"> on PCV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4695437F">
      <w:pPr>
        <w:pStyle w:val="24"/>
        <w:spacing w:after="0"/>
        <w:rPr>
          <w:rFonts w:ascii="Arial" w:hAnsi="Arial" w:cs="Arial"/>
        </w:rPr>
      </w:pPr>
    </w:p>
    <w:p w14:paraId="674B438A">
      <w:pPr>
        <w:pStyle w:val="24"/>
        <w:spacing w:after="0"/>
        <w:rPr>
          <w:rFonts w:ascii="Arial" w:hAnsi="Arial" w:cs="Arial"/>
        </w:rPr>
      </w:pPr>
    </w:p>
    <w:p w14:paraId="4D6AEE42">
      <w:pPr>
        <w:pStyle w:val="24"/>
        <w:spacing w:after="0"/>
        <w:rPr>
          <w:rFonts w:ascii="Arial" w:hAnsi="Arial" w:cs="Arial"/>
        </w:rPr>
      </w:pPr>
      <w:r>
        <w:rPr>
          <w:rFonts w:ascii="Arial" w:hAnsi="Arial" w:cs="Arial"/>
        </w:rPr>
        <w:t xml:space="preserve">From figure 8 below, Hb level significantly decreased after 24hrs of CCl4 injection (G2) when compared with control. When animals were left untreated for 28 day (G3), Hb level was not significantly different from G2. Treatment of animals with 240 (G4), 480 (G5) and 720 (G6) mg/kg of </w:t>
      </w:r>
      <w:r>
        <w:rPr>
          <w:rFonts w:ascii="Arial" w:hAnsi="Arial" w:cs="Arial"/>
          <w:i/>
          <w:iCs/>
        </w:rPr>
        <w:t>C. citratus</w:t>
      </w:r>
      <w:r>
        <w:rPr>
          <w:rFonts w:ascii="Arial" w:hAnsi="Arial" w:cs="Arial"/>
        </w:rPr>
        <w:t xml:space="preserve"> respectively for 28 days, resulted in an increase in Hb level (figure 8). At 480 mg/kg of </w:t>
      </w:r>
      <w:r>
        <w:rPr>
          <w:rFonts w:ascii="Arial" w:hAnsi="Arial" w:cs="Arial"/>
          <w:i/>
          <w:iCs/>
        </w:rPr>
        <w:t>C. citratus</w:t>
      </w:r>
      <w:r>
        <w:rPr>
          <w:rFonts w:ascii="Arial" w:hAnsi="Arial" w:cs="Arial"/>
        </w:rPr>
        <w:t xml:space="preserve">, Hb level was not significantly different from G4 and control. While at 720mg/kg of </w:t>
      </w:r>
      <w:r>
        <w:rPr>
          <w:rFonts w:ascii="Arial" w:hAnsi="Arial" w:cs="Arial"/>
          <w:i/>
          <w:iCs/>
        </w:rPr>
        <w:t>C. citratus</w:t>
      </w:r>
      <w:r>
        <w:rPr>
          <w:rFonts w:ascii="Arial" w:hAnsi="Arial" w:cs="Arial"/>
        </w:rPr>
        <w:t xml:space="preserve">, Hb level was significantly higher when compared with control. </w:t>
      </w:r>
    </w:p>
    <w:p w14:paraId="1A432DC0">
      <w:pPr>
        <w:pStyle w:val="24"/>
        <w:spacing w:after="0"/>
        <w:rPr>
          <w:rFonts w:ascii="Arial" w:hAnsi="Arial" w:cs="Arial"/>
        </w:rPr>
      </w:pPr>
    </w:p>
    <w:p w14:paraId="1E3ED513">
      <w:pPr>
        <w:pStyle w:val="24"/>
        <w:spacing w:after="0"/>
        <w:rPr>
          <w:rFonts w:ascii="Arial" w:hAnsi="Arial" w:cs="Arial"/>
        </w:rPr>
      </w:pPr>
    </w:p>
    <w:p w14:paraId="6B8107D3">
      <w:pPr>
        <w:pStyle w:val="24"/>
        <w:spacing w:after="0"/>
        <w:rPr>
          <w:rFonts w:ascii="Arial" w:hAnsi="Arial" w:cs="Arial"/>
        </w:rPr>
      </w:pPr>
    </w:p>
    <w:p w14:paraId="50162642">
      <w:pPr>
        <w:pStyle w:val="24"/>
        <w:spacing w:after="0"/>
        <w:rPr>
          <w:rFonts w:ascii="Arial" w:hAnsi="Arial" w:cs="Arial"/>
        </w:rPr>
      </w:pPr>
      <w:r>
        <w:rPr>
          <w:rFonts w:ascii="Arial" w:hAnsi="Arial" w:cs="Arial"/>
        </w:rPr>
        <w:drawing>
          <wp:inline distT="0" distB="0" distL="114300" distR="114300">
            <wp:extent cx="4678680" cy="2625090"/>
            <wp:effectExtent l="0" t="0" r="7620" b="381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21"/>
                    <a:srcRect l="1590" t="20191" r="9639" b="2379"/>
                    <a:stretch>
                      <a:fillRect/>
                    </a:stretch>
                  </pic:blipFill>
                  <pic:spPr>
                    <a:xfrm>
                      <a:off x="0" y="0"/>
                      <a:ext cx="4678680" cy="2625090"/>
                    </a:xfrm>
                    <a:prstGeom prst="rect">
                      <a:avLst/>
                    </a:prstGeom>
                    <a:noFill/>
                    <a:ln>
                      <a:noFill/>
                    </a:ln>
                  </pic:spPr>
                </pic:pic>
              </a:graphicData>
            </a:graphic>
          </wp:inline>
        </w:drawing>
      </w:r>
    </w:p>
    <w:p w14:paraId="7CC68E82">
      <w:pPr>
        <w:pStyle w:val="24"/>
        <w:spacing w:after="0"/>
        <w:rPr>
          <w:rFonts w:ascii="Arial" w:hAnsi="Arial" w:cs="Arial"/>
        </w:rPr>
      </w:pPr>
    </w:p>
    <w:p w14:paraId="68561DF1">
      <w:pPr>
        <w:pStyle w:val="24"/>
        <w:spacing w:after="0"/>
        <w:rPr>
          <w:rFonts w:ascii="Arial" w:hAnsi="Arial" w:cs="Arial"/>
        </w:rPr>
      </w:pPr>
      <w:r>
        <w:rPr>
          <w:rFonts w:ascii="Arial" w:hAnsi="Arial" w:cs="Arial"/>
          <w:b/>
          <w:bCs/>
        </w:rPr>
        <w:t>Figure 8.</w:t>
      </w:r>
      <w:r>
        <w:rPr>
          <w:rFonts w:ascii="Arial" w:hAnsi="Arial" w:cs="Arial"/>
        </w:rPr>
        <w:t xml:space="preserve"> Ameliorating effect of </w:t>
      </w:r>
      <w:r>
        <w:rPr>
          <w:rFonts w:ascii="Arial" w:hAnsi="Arial" w:cs="Arial"/>
          <w:i/>
          <w:iCs/>
        </w:rPr>
        <w:t>C. citratus</w:t>
      </w:r>
      <w:r>
        <w:rPr>
          <w:rFonts w:ascii="Arial" w:hAnsi="Arial" w:cs="Arial"/>
        </w:rPr>
        <w:t xml:space="preserve"> on Hb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4AC7852F">
      <w:pPr>
        <w:pStyle w:val="24"/>
        <w:spacing w:after="0"/>
        <w:rPr>
          <w:rFonts w:ascii="Arial" w:hAnsi="Arial" w:cs="Arial"/>
        </w:rPr>
      </w:pPr>
    </w:p>
    <w:p w14:paraId="634D45B9">
      <w:pPr>
        <w:pStyle w:val="24"/>
        <w:spacing w:after="0"/>
        <w:rPr>
          <w:rFonts w:ascii="Arial" w:hAnsi="Arial" w:cs="Arial"/>
        </w:rPr>
      </w:pPr>
    </w:p>
    <w:p w14:paraId="2678A865">
      <w:pPr>
        <w:pStyle w:val="24"/>
        <w:spacing w:after="0"/>
        <w:rPr>
          <w:rFonts w:ascii="Arial" w:hAnsi="Arial" w:cs="Arial"/>
        </w:rPr>
      </w:pPr>
    </w:p>
    <w:p w14:paraId="7DE0EA87">
      <w:pPr>
        <w:pStyle w:val="24"/>
        <w:spacing w:after="0"/>
        <w:rPr>
          <w:rFonts w:ascii="Arial" w:hAnsi="Arial" w:cs="Arial"/>
        </w:rPr>
      </w:pPr>
    </w:p>
    <w:p w14:paraId="389233F4">
      <w:pPr>
        <w:pStyle w:val="24"/>
        <w:spacing w:after="0"/>
        <w:rPr>
          <w:rFonts w:ascii="Arial" w:hAnsi="Arial" w:cs="Arial"/>
        </w:rPr>
      </w:pPr>
      <w:r>
        <w:rPr>
          <w:rFonts w:ascii="Arial" w:hAnsi="Arial" w:cs="Arial"/>
        </w:rPr>
        <w:t xml:space="preserve">WBC was observed to increase 24hrs after CCl4 injection (G2) (figure 9). When animals were left untreated for 28 days (G3), WCB significantly decrease when compared with G2. After treatment with 240 mg/kg of </w:t>
      </w:r>
      <w:r>
        <w:rPr>
          <w:rFonts w:ascii="Arial" w:hAnsi="Arial" w:cs="Arial"/>
          <w:i/>
          <w:iCs/>
        </w:rPr>
        <w:t>C. citratus</w:t>
      </w:r>
      <w:r>
        <w:rPr>
          <w:rFonts w:ascii="Arial" w:hAnsi="Arial" w:cs="Arial"/>
        </w:rPr>
        <w:t xml:space="preserve"> for 28 days, WBC was not significantly different from G3. After treatment with 480 and 720 mg/kg of </w:t>
      </w:r>
      <w:r>
        <w:rPr>
          <w:rFonts w:ascii="Arial" w:hAnsi="Arial" w:cs="Arial"/>
          <w:i/>
          <w:iCs/>
        </w:rPr>
        <w:t>C. citratus</w:t>
      </w:r>
      <w:r>
        <w:rPr>
          <w:rFonts w:ascii="Arial" w:hAnsi="Arial" w:cs="Arial"/>
        </w:rPr>
        <w:t xml:space="preserve"> for 28 days (G5 and G6), WBC was not significantly different from control (figure 9).</w:t>
      </w:r>
    </w:p>
    <w:p w14:paraId="5BDFFBAB">
      <w:pPr>
        <w:pStyle w:val="24"/>
        <w:spacing w:after="0"/>
        <w:rPr>
          <w:rFonts w:ascii="Arial" w:hAnsi="Arial" w:cs="Arial"/>
        </w:rPr>
      </w:pPr>
    </w:p>
    <w:p w14:paraId="3AC6BBC5">
      <w:pPr>
        <w:pStyle w:val="24"/>
        <w:spacing w:after="0"/>
        <w:rPr>
          <w:rFonts w:ascii="Arial" w:hAnsi="Arial" w:cs="Arial"/>
        </w:rPr>
      </w:pPr>
      <w:r>
        <w:rPr>
          <w:rFonts w:ascii="Arial" w:hAnsi="Arial" w:cs="Arial"/>
        </w:rPr>
        <w:drawing>
          <wp:inline distT="0" distB="0" distL="114300" distR="114300">
            <wp:extent cx="4594860" cy="2609215"/>
            <wp:effectExtent l="0" t="0" r="15240" b="63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22"/>
                    <a:srcRect l="1928" t="16114" r="10892" b="2840"/>
                    <a:stretch>
                      <a:fillRect/>
                    </a:stretch>
                  </pic:blipFill>
                  <pic:spPr>
                    <a:xfrm>
                      <a:off x="0" y="0"/>
                      <a:ext cx="4594860" cy="2609215"/>
                    </a:xfrm>
                    <a:prstGeom prst="rect">
                      <a:avLst/>
                    </a:prstGeom>
                    <a:noFill/>
                    <a:ln>
                      <a:noFill/>
                    </a:ln>
                  </pic:spPr>
                </pic:pic>
              </a:graphicData>
            </a:graphic>
          </wp:inline>
        </w:drawing>
      </w:r>
    </w:p>
    <w:p w14:paraId="751E3693">
      <w:pPr>
        <w:pStyle w:val="24"/>
        <w:spacing w:after="0"/>
        <w:rPr>
          <w:rFonts w:ascii="Arial" w:hAnsi="Arial" w:cs="Arial"/>
        </w:rPr>
      </w:pPr>
    </w:p>
    <w:p w14:paraId="2320A695">
      <w:pPr>
        <w:pStyle w:val="24"/>
        <w:spacing w:after="0"/>
        <w:rPr>
          <w:rFonts w:ascii="Arial" w:hAnsi="Arial" w:cs="Arial"/>
        </w:rPr>
      </w:pPr>
    </w:p>
    <w:p w14:paraId="36A35B4D">
      <w:pPr>
        <w:pStyle w:val="24"/>
        <w:spacing w:after="0"/>
        <w:rPr>
          <w:rFonts w:ascii="Arial" w:hAnsi="Arial" w:cs="Arial"/>
        </w:rPr>
      </w:pPr>
    </w:p>
    <w:p w14:paraId="33F26327">
      <w:pPr>
        <w:pStyle w:val="24"/>
        <w:spacing w:after="0"/>
        <w:rPr>
          <w:rFonts w:ascii="Arial" w:hAnsi="Arial" w:cs="Arial"/>
        </w:rPr>
      </w:pPr>
      <w:r>
        <w:rPr>
          <w:rFonts w:ascii="Arial" w:hAnsi="Arial" w:cs="Arial"/>
        </w:rPr>
        <w:t xml:space="preserve">Figure 9. Ameliorating effect of C. citratus on WBC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74D2A243">
      <w:pPr>
        <w:pStyle w:val="24"/>
        <w:spacing w:after="0"/>
        <w:rPr>
          <w:rFonts w:ascii="Arial" w:hAnsi="Arial" w:cs="Arial"/>
        </w:rPr>
      </w:pPr>
    </w:p>
    <w:p w14:paraId="4FA7CF09">
      <w:pPr>
        <w:pStyle w:val="24"/>
        <w:spacing w:after="0"/>
        <w:rPr>
          <w:rFonts w:ascii="Arial" w:hAnsi="Arial" w:cs="Arial"/>
        </w:rPr>
      </w:pPr>
    </w:p>
    <w:p w14:paraId="73BE7F48">
      <w:pPr>
        <w:pStyle w:val="24"/>
        <w:spacing w:after="0"/>
        <w:rPr>
          <w:rFonts w:ascii="Arial" w:hAnsi="Arial" w:cs="Arial"/>
        </w:rPr>
      </w:pPr>
    </w:p>
    <w:p w14:paraId="6E25E663">
      <w:pPr>
        <w:pStyle w:val="24"/>
        <w:spacing w:after="0"/>
        <w:rPr>
          <w:rFonts w:ascii="Arial" w:hAnsi="Arial" w:cs="Arial"/>
        </w:rPr>
      </w:pPr>
      <w:r>
        <w:rPr>
          <w:rFonts w:ascii="Arial" w:hAnsi="Arial" w:cs="Arial"/>
        </w:rPr>
        <w:t xml:space="preserve">MCV significantly increased 24hrs after CCl4 injection (G2) (figure 10). When animals were left untreated for 28 days (G3), MCV was not significantly different from G2. Treatment of animals with 240 and 480 mg/kg of </w:t>
      </w:r>
      <w:r>
        <w:rPr>
          <w:rFonts w:ascii="Arial" w:hAnsi="Arial" w:cs="Arial"/>
          <w:i/>
          <w:iCs/>
        </w:rPr>
        <w:t>C. citratus</w:t>
      </w:r>
      <w:r>
        <w:rPr>
          <w:rFonts w:ascii="Arial" w:hAnsi="Arial" w:cs="Arial"/>
        </w:rPr>
        <w:t xml:space="preserve"> (G4 and G5) for 28 day resulted in MCV which was not significantly different when compared with G2 and G3 respectively. Treatment with 720 mg/kg of </w:t>
      </w:r>
      <w:r>
        <w:rPr>
          <w:rFonts w:ascii="Arial" w:hAnsi="Arial" w:cs="Arial"/>
          <w:i/>
          <w:iCs/>
        </w:rPr>
        <w:t>C. citratus</w:t>
      </w:r>
      <w:r>
        <w:rPr>
          <w:rFonts w:ascii="Arial" w:hAnsi="Arial" w:cs="Arial"/>
        </w:rPr>
        <w:t xml:space="preserve"> for 28 days resulted in MCV which was not significantly different from that obtained in control animals (G1) (figure 10).</w:t>
      </w:r>
    </w:p>
    <w:p w14:paraId="3F046045">
      <w:pPr>
        <w:pStyle w:val="24"/>
        <w:spacing w:after="0"/>
        <w:rPr>
          <w:rFonts w:ascii="Arial" w:hAnsi="Arial" w:cs="Arial"/>
        </w:rPr>
      </w:pPr>
    </w:p>
    <w:p w14:paraId="25EE1E18">
      <w:pPr>
        <w:pStyle w:val="24"/>
        <w:spacing w:after="0"/>
        <w:rPr>
          <w:rFonts w:ascii="Arial" w:hAnsi="Arial" w:cs="Arial"/>
        </w:rPr>
      </w:pPr>
    </w:p>
    <w:p w14:paraId="3B054F31">
      <w:pPr>
        <w:pStyle w:val="24"/>
        <w:spacing w:after="0"/>
        <w:rPr>
          <w:rFonts w:ascii="Arial" w:hAnsi="Arial" w:cs="Arial"/>
        </w:rPr>
      </w:pPr>
    </w:p>
    <w:p w14:paraId="55BBE7C9">
      <w:pPr>
        <w:pStyle w:val="24"/>
        <w:spacing w:after="0"/>
        <w:rPr>
          <w:rFonts w:ascii="Arial" w:hAnsi="Arial" w:cs="Arial"/>
        </w:rPr>
      </w:pPr>
      <w:r>
        <w:rPr>
          <w:rFonts w:ascii="Arial" w:hAnsi="Arial" w:cs="Arial"/>
        </w:rPr>
        <w:drawing>
          <wp:inline distT="0" distB="0" distL="114300" distR="114300">
            <wp:extent cx="4608195" cy="2627630"/>
            <wp:effectExtent l="0" t="0" r="1905" b="127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23"/>
                    <a:srcRect l="1253" t="12360" r="11313" b="1967"/>
                    <a:stretch>
                      <a:fillRect/>
                    </a:stretch>
                  </pic:blipFill>
                  <pic:spPr>
                    <a:xfrm>
                      <a:off x="0" y="0"/>
                      <a:ext cx="4608195" cy="2627630"/>
                    </a:xfrm>
                    <a:prstGeom prst="rect">
                      <a:avLst/>
                    </a:prstGeom>
                    <a:noFill/>
                    <a:ln>
                      <a:noFill/>
                    </a:ln>
                  </pic:spPr>
                </pic:pic>
              </a:graphicData>
            </a:graphic>
          </wp:inline>
        </w:drawing>
      </w:r>
    </w:p>
    <w:p w14:paraId="24B7F3D2">
      <w:pPr>
        <w:pStyle w:val="24"/>
        <w:spacing w:after="0"/>
        <w:rPr>
          <w:rFonts w:ascii="Arial" w:hAnsi="Arial" w:cs="Arial"/>
        </w:rPr>
      </w:pPr>
    </w:p>
    <w:p w14:paraId="4011850C">
      <w:pPr>
        <w:pStyle w:val="24"/>
        <w:spacing w:after="0"/>
        <w:rPr>
          <w:rFonts w:ascii="Arial" w:hAnsi="Arial" w:cs="Arial"/>
        </w:rPr>
      </w:pPr>
      <w:r>
        <w:rPr>
          <w:rFonts w:ascii="Arial" w:hAnsi="Arial" w:cs="Arial"/>
        </w:rPr>
        <w:t xml:space="preserve">Figure 10. Ameliorating effect of C. citratus on MCV after carbon tetrachloride–induced liver injury. </w:t>
      </w:r>
      <w:r>
        <w:rPr>
          <w:rFonts w:ascii="Arial" w:hAnsi="Arial" w:cs="Arial"/>
          <w:sz w:val="18"/>
          <w:szCs w:val="18"/>
        </w:rPr>
        <w:t>Means with same subscript are not significantly different from each other (p&gt;0.05). Means with different subscripts are significantly different from each other (p&lt;0.05)</w:t>
      </w:r>
    </w:p>
    <w:p w14:paraId="7B29FB51">
      <w:pPr>
        <w:pStyle w:val="24"/>
        <w:spacing w:after="0"/>
        <w:rPr>
          <w:rFonts w:ascii="Arial" w:hAnsi="Arial" w:cs="Arial"/>
        </w:rPr>
      </w:pPr>
    </w:p>
    <w:p w14:paraId="149B4A17">
      <w:pPr>
        <w:pStyle w:val="24"/>
        <w:spacing w:after="0"/>
        <w:rPr>
          <w:rFonts w:ascii="Arial" w:hAnsi="Arial" w:cs="Arial"/>
        </w:rPr>
      </w:pPr>
    </w:p>
    <w:p w14:paraId="24760AFB">
      <w:pPr>
        <w:pStyle w:val="24"/>
        <w:spacing w:after="0"/>
        <w:rPr>
          <w:rFonts w:ascii="Arial" w:hAnsi="Arial" w:cs="Arial"/>
        </w:rPr>
      </w:pPr>
    </w:p>
    <w:p w14:paraId="5F90029E">
      <w:pPr>
        <w:pStyle w:val="24"/>
        <w:spacing w:after="0"/>
        <w:rPr>
          <w:rFonts w:ascii="Arial" w:hAnsi="Arial" w:cs="Arial"/>
        </w:rPr>
      </w:pPr>
    </w:p>
    <w:p w14:paraId="32C15385">
      <w:pPr>
        <w:pStyle w:val="24"/>
        <w:spacing w:after="0"/>
        <w:rPr>
          <w:rFonts w:ascii="Arial" w:hAnsi="Arial" w:cs="Arial"/>
          <w:b/>
          <w:bCs/>
          <w:sz w:val="22"/>
          <w:szCs w:val="22"/>
        </w:rPr>
      </w:pPr>
      <w:r>
        <w:rPr>
          <w:rFonts w:ascii="Arial" w:hAnsi="Arial" w:cs="Arial"/>
          <w:b/>
          <w:bCs/>
          <w:sz w:val="22"/>
          <w:szCs w:val="22"/>
        </w:rPr>
        <w:t>3.2. Discussion</w:t>
      </w:r>
    </w:p>
    <w:p w14:paraId="3DADF347">
      <w:pPr>
        <w:pStyle w:val="24"/>
        <w:spacing w:after="0"/>
        <w:rPr>
          <w:rFonts w:ascii="Arial" w:hAnsi="Arial" w:cs="Arial"/>
        </w:rPr>
      </w:pPr>
    </w:p>
    <w:p w14:paraId="555ABC17">
      <w:pPr>
        <w:pStyle w:val="24"/>
        <w:spacing w:after="0"/>
        <w:rPr>
          <w:rFonts w:ascii="Arial" w:hAnsi="Arial" w:cs="Arial"/>
        </w:rPr>
      </w:pPr>
    </w:p>
    <w:p w14:paraId="14EE9B45">
      <w:pPr>
        <w:jc w:val="both"/>
      </w:pPr>
      <w:r>
        <w:rPr>
          <w:rFonts w:ascii="Arial" w:hAnsi="Arial" w:cs="Arial"/>
        </w:rPr>
        <w:t>The increase in mortality and morbidity due to liver disease, has made liver disease the focus of several research (</w:t>
      </w:r>
      <w:r>
        <w:rPr>
          <w:rFonts w:ascii="Arial" w:hAnsi="Arial" w:eastAsia="SimSun" w:cs="Arial"/>
          <w:shd w:val="clear" w:color="auto" w:fill="FFFFFF"/>
        </w:rPr>
        <w:t xml:space="preserve">Almatroodi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2020; Abdul Basit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2020; Alum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2022; Shareef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2022; </w:t>
      </w:r>
      <w:r>
        <w:rPr>
          <w:rFonts w:ascii="Arial" w:hAnsi="Arial" w:eastAsia="sans-serif" w:cs="Arial"/>
          <w:shd w:val="clear" w:color="auto" w:fill="FFFFFF"/>
        </w:rPr>
        <w:t xml:space="preserve">Prottasha </w:t>
      </w:r>
      <w:r>
        <w:rPr>
          <w:rFonts w:ascii="Arial" w:hAnsi="Arial" w:eastAsia="sans-serif" w:cs="Arial"/>
          <w:i/>
          <w:iCs/>
          <w:shd w:val="clear" w:color="auto" w:fill="FFFFFF"/>
          <w:lang w:val="en-US"/>
        </w:rPr>
        <w:t>et al</w:t>
      </w:r>
      <w:r>
        <w:rPr>
          <w:rFonts w:ascii="Arial" w:hAnsi="Arial" w:eastAsia="sans-serif" w:cs="Arial"/>
          <w:shd w:val="clear" w:color="auto" w:fill="FFFFFF"/>
        </w:rPr>
        <w:t xml:space="preserve">., 2024). This research examined the effect of </w:t>
      </w:r>
      <w:r>
        <w:rPr>
          <w:rFonts w:ascii="Arial" w:hAnsi="Arial" w:cs="Arial"/>
          <w:i/>
          <w:iCs/>
        </w:rPr>
        <w:t xml:space="preserve">Cymbopogon citratus </w:t>
      </w:r>
      <w:r>
        <w:rPr>
          <w:rFonts w:ascii="Arial" w:hAnsi="Arial" w:cs="Arial"/>
        </w:rPr>
        <w:t xml:space="preserve">extract on liver damage in animal model using CCl4 as a hepatotoxin. </w:t>
      </w:r>
      <w:r>
        <w:rPr>
          <w:rFonts w:ascii="Arial" w:hAnsi="Arial" w:eastAsia="sans-serif" w:cs="Arial"/>
          <w:shd w:val="clear" w:color="auto" w:fill="FFFFFF"/>
        </w:rPr>
        <w:t xml:space="preserve"> CCl4 induces liver damage. </w:t>
      </w:r>
      <w:r>
        <w:rPr>
          <w:rFonts w:ascii="Arial" w:hAnsi="Arial" w:eastAsia="Georgia" w:cs="Arial"/>
          <w:shd w:val="clear" w:color="auto" w:fill="FFFFFF"/>
        </w:rPr>
        <w:t>C</w:t>
      </w:r>
      <w:r>
        <w:rPr>
          <w:rFonts w:ascii="Arial" w:hAnsi="Arial" w:eastAsia="Arial" w:cs="Arial"/>
          <w:shd w:val="clear" w:color="auto" w:fill="FFFFFF"/>
        </w:rPr>
        <w:t>arbon tetrachloride which is a hepatotoxic agent has been used by several researchers to induce liver damage in research on liver disease due to its ability to induce oxidative stress, inflammation and accumulation of fat in the hepatocytes which mimic the mechanism of disease induced liver damage (</w:t>
      </w:r>
      <w:r>
        <w:rPr>
          <w:rFonts w:ascii="Arial" w:hAnsi="Arial" w:eastAsia="SimSun" w:cs="Arial"/>
          <w:shd w:val="clear" w:color="auto" w:fill="FFFFFF"/>
        </w:rPr>
        <w:t>Unsal</w:t>
      </w:r>
      <w:r>
        <w:rPr>
          <w:rFonts w:ascii="Arial" w:hAnsi="Arial" w:cs="Arial"/>
          <w:shd w:val="clear" w:color="auto" w:fill="FFFFFF"/>
        </w:rPr>
        <w:t xml:space="preserve"> </w:t>
      </w:r>
      <w:r>
        <w:rPr>
          <w:rFonts w:ascii="Arial" w:hAnsi="Arial" w:cs="Arial"/>
          <w:i/>
          <w:iCs/>
          <w:shd w:val="clear" w:color="auto" w:fill="FFFFFF"/>
          <w:lang w:val="en-US"/>
        </w:rPr>
        <w:t>et a</w:t>
      </w:r>
      <w:r>
        <w:rPr>
          <w:rFonts w:ascii="Arial" w:hAnsi="Arial" w:cs="Arial"/>
          <w:shd w:val="clear" w:color="auto" w:fill="FFFFFF"/>
          <w:lang w:val="en-US"/>
        </w:rPr>
        <w:t>l</w:t>
      </w:r>
      <w:r>
        <w:rPr>
          <w:rFonts w:ascii="Arial" w:hAnsi="Arial" w:cs="Arial"/>
          <w:shd w:val="clear" w:color="auto" w:fill="FFFFFF"/>
        </w:rPr>
        <w:t xml:space="preserve">., 2021; </w:t>
      </w:r>
      <w:r>
        <w:rPr>
          <w:rFonts w:ascii="Arial" w:hAnsi="Arial" w:eastAsia="SimSun" w:cs="Arial"/>
          <w:shd w:val="clear" w:color="auto" w:fill="FFFFFF"/>
        </w:rPr>
        <w:t>Rodríguez-Fragoso</w:t>
      </w:r>
      <w:r>
        <w:rPr>
          <w:rFonts w:ascii="Arial" w:hAnsi="Arial" w:cs="Arial"/>
          <w:shd w:val="clear" w:color="auto" w:fill="FFFFFF"/>
        </w:rPr>
        <w:t xml:space="preserve"> </w:t>
      </w:r>
      <w:r>
        <w:rPr>
          <w:rFonts w:ascii="Arial" w:hAnsi="Arial" w:cs="Arial"/>
          <w:i/>
          <w:iCs/>
          <w:shd w:val="clear" w:color="auto" w:fill="FFFFFF"/>
          <w:lang w:val="en-US"/>
        </w:rPr>
        <w:t>et al</w:t>
      </w:r>
      <w:r>
        <w:rPr>
          <w:rFonts w:ascii="Arial" w:hAnsi="Arial" w:cs="Arial"/>
          <w:shd w:val="clear" w:color="auto" w:fill="FFFFFF"/>
        </w:rPr>
        <w:t xml:space="preserve">., 2022). </w:t>
      </w:r>
      <w:r>
        <w:rPr>
          <w:rFonts w:ascii="Arial" w:hAnsi="Arial" w:eastAsia="sans-serif" w:cs="Arial"/>
          <w:shd w:val="clear" w:color="auto" w:fill="FFFFFF"/>
        </w:rPr>
        <w:t xml:space="preserve">CCl4 can induce both hepatocellular and </w:t>
      </w:r>
      <w:r>
        <w:rPr>
          <w:rStyle w:val="19"/>
          <w:rFonts w:ascii="Arial" w:hAnsi="Arial" w:eastAsia="Arial" w:cs="Arial"/>
          <w:b w:val="0"/>
          <w:bCs w:val="0"/>
          <w:shd w:val="clear" w:color="auto" w:fill="FFFFFF"/>
        </w:rPr>
        <w:t>Cholestatic injury (</w:t>
      </w:r>
      <w:r>
        <w:rPr>
          <w:rFonts w:ascii="Arial" w:hAnsi="Arial" w:eastAsia="SimSun" w:cs="Arial"/>
          <w:sz w:val="19"/>
          <w:szCs w:val="19"/>
          <w:shd w:val="clear" w:color="auto" w:fill="FFFFFF"/>
        </w:rPr>
        <w:t xml:space="preserve">Meng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2020)</w:t>
      </w:r>
      <w:r>
        <w:rPr>
          <w:rStyle w:val="19"/>
          <w:rFonts w:ascii="Arial" w:hAnsi="Arial" w:eastAsia="Arial" w:cs="Arial"/>
          <w:b w:val="0"/>
          <w:bCs w:val="0"/>
          <w:shd w:val="clear" w:color="auto" w:fill="FFFFFF"/>
        </w:rPr>
        <w:t xml:space="preserve">. </w:t>
      </w:r>
      <w:r>
        <w:rPr>
          <w:rFonts w:ascii="Arial" w:hAnsi="Arial" w:eastAsia="SimSun" w:cs="Arial"/>
          <w:shd w:val="clear" w:color="auto" w:fill="FFFFFF"/>
        </w:rPr>
        <w:t xml:space="preserve">CCl4 induced hepatocelluar injury has been ascribed to the </w:t>
      </w:r>
      <w:r>
        <w:rPr>
          <w:rStyle w:val="19"/>
          <w:rFonts w:ascii="Arial" w:hAnsi="Arial" w:eastAsia="Arial" w:cs="Arial"/>
          <w:b w:val="0"/>
          <w:bCs w:val="0"/>
          <w:shd w:val="clear" w:color="auto" w:fill="FFFFFF"/>
        </w:rPr>
        <w:t xml:space="preserve">the ability of CCl4 to create oxidative stress in the liver when it is metabolised to the free radicals  </w:t>
      </w:r>
      <w:r>
        <w:t>trichloromethyl (•CCl₃) and trichloromethyl peroxyl (•CCl₃O2) by cytochrome P450 enzyme (</w:t>
      </w:r>
      <w:r>
        <w:rPr>
          <w:rFonts w:ascii="Arial" w:hAnsi="Arial" w:eastAsia="SimSun" w:cs="Arial"/>
          <w:sz w:val="19"/>
          <w:szCs w:val="19"/>
          <w:shd w:val="clear" w:color="auto" w:fill="FFFFFF"/>
        </w:rPr>
        <w:t>Ali, 2025)</w:t>
      </w:r>
      <w:r>
        <w:t>. </w:t>
      </w:r>
    </w:p>
    <w:p w14:paraId="20C76289">
      <w:pPr>
        <w:jc w:val="both"/>
      </w:pPr>
    </w:p>
    <w:p w14:paraId="1C1BEBA7">
      <w:pPr>
        <w:pStyle w:val="24"/>
        <w:spacing w:after="0"/>
        <w:rPr>
          <w:rFonts w:ascii="Arial" w:hAnsi="Arial" w:eastAsia="SimSun" w:cs="Arial"/>
          <w:shd w:val="clear" w:color="auto" w:fill="FFFFFF"/>
        </w:rPr>
      </w:pPr>
      <w:r>
        <w:rPr>
          <w:rFonts w:ascii="Arial" w:hAnsi="Arial" w:eastAsia="SimSun" w:cs="Arial"/>
          <w:shd w:val="clear" w:color="auto" w:fill="FFFFFF"/>
        </w:rPr>
        <w:t>The administration of a single dose of CCl4 in this study, significantly increased serum levels of  ALT and AST with an increase in liver MDA when compared with control. MDA is a byproduct of lipid peroxidation which is used as a marker for oxidative stress (</w:t>
      </w:r>
      <w:r>
        <w:rPr>
          <w:rFonts w:ascii="Arial" w:hAnsi="Arial" w:eastAsia="SimSun" w:cs="Arial"/>
          <w:sz w:val="19"/>
          <w:szCs w:val="19"/>
          <w:shd w:val="clear" w:color="auto" w:fill="FFFFFF"/>
        </w:rPr>
        <w:t xml:space="preserve">Mohideen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2023</w:t>
      </w:r>
      <w:r>
        <w:rPr>
          <w:rFonts w:ascii="Arial" w:hAnsi="Arial" w:eastAsia="SimSun" w:cs="Arial"/>
          <w:shd w:val="clear" w:color="auto" w:fill="FFFFFF"/>
        </w:rPr>
        <w:t>). The increase in liver MDA is indicative of CCl4 induced oxidative stress and lipid peroxidation in the liver (</w:t>
      </w:r>
      <w:r>
        <w:rPr>
          <w:rFonts w:ascii="Arial" w:hAnsi="Arial" w:eastAsia="SimSun" w:cs="Arial"/>
          <w:sz w:val="19"/>
          <w:szCs w:val="19"/>
          <w:shd w:val="clear" w:color="auto" w:fill="FFFFFF"/>
        </w:rPr>
        <w:t xml:space="preserve">Mohideen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2023</w:t>
      </w:r>
      <w:r>
        <w:rPr>
          <w:rFonts w:ascii="Arial" w:hAnsi="Arial" w:eastAsia="SimSun" w:cs="Arial"/>
          <w:shd w:val="clear" w:color="auto" w:fill="FFFFFF"/>
        </w:rPr>
        <w:t>). Abnormal serum levels of the liver function enzymes ALT and AST are indicative of hepatocellar injury (</w:t>
      </w:r>
      <w:r>
        <w:rPr>
          <w:rFonts w:ascii="Arial" w:hAnsi="Arial" w:eastAsia="SimSun" w:cs="Arial"/>
          <w:sz w:val="19"/>
          <w:szCs w:val="19"/>
          <w:shd w:val="clear" w:color="auto" w:fill="FFFFFF"/>
        </w:rPr>
        <w:t xml:space="preserve">Kalas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2021</w:t>
      </w:r>
      <w:r>
        <w:rPr>
          <w:rFonts w:ascii="Arial" w:hAnsi="Arial" w:eastAsia="SimSun" w:cs="Arial"/>
          <w:shd w:val="clear" w:color="auto" w:fill="FFFFFF"/>
        </w:rPr>
        <w:t>). This collaborates the findings of earlier research that CCl4 can induce hepatocelluar injury (</w:t>
      </w:r>
      <w:r>
        <w:rPr>
          <w:rFonts w:ascii="Arial" w:hAnsi="Arial" w:eastAsia="SimSun" w:cs="Arial"/>
          <w:sz w:val="19"/>
          <w:szCs w:val="19"/>
          <w:shd w:val="clear" w:color="auto" w:fill="FFFFFF"/>
        </w:rPr>
        <w:t xml:space="preserve">Kilany </w:t>
      </w:r>
      <w:r>
        <w:rPr>
          <w:rFonts w:ascii="Arial" w:hAnsi="Arial" w:eastAsia="SimSun" w:cs="Arial"/>
          <w:i/>
          <w:iCs/>
          <w:sz w:val="19"/>
          <w:szCs w:val="19"/>
          <w:shd w:val="clear" w:color="auto" w:fill="FFFFFF"/>
          <w:lang w:val="en-US"/>
        </w:rPr>
        <w:t>et a</w:t>
      </w:r>
      <w:r>
        <w:rPr>
          <w:rFonts w:ascii="Arial" w:hAnsi="Arial" w:eastAsia="SimSun" w:cs="Arial"/>
          <w:sz w:val="19"/>
          <w:szCs w:val="19"/>
          <w:shd w:val="clear" w:color="auto" w:fill="FFFFFF"/>
          <w:lang w:val="en-US"/>
        </w:rPr>
        <w:t>l</w:t>
      </w:r>
      <w:r>
        <w:rPr>
          <w:rFonts w:ascii="Arial" w:hAnsi="Arial" w:eastAsia="SimSun" w:cs="Arial"/>
          <w:sz w:val="19"/>
          <w:szCs w:val="19"/>
          <w:shd w:val="clear" w:color="auto" w:fill="FFFFFF"/>
        </w:rPr>
        <w:t xml:space="preserve">., 2020; </w:t>
      </w:r>
      <w:r>
        <w:rPr>
          <w:rFonts w:ascii="Arial" w:hAnsi="Arial" w:eastAsia="SimSun" w:cs="Arial"/>
          <w:shd w:val="clear" w:color="auto" w:fill="FFFFFF"/>
        </w:rPr>
        <w:t xml:space="preserve">Kalas </w:t>
      </w:r>
      <w:r>
        <w:rPr>
          <w:rFonts w:ascii="Arial" w:hAnsi="Arial" w:eastAsia="SimSun" w:cs="Arial"/>
          <w:i/>
          <w:iCs/>
          <w:shd w:val="clear" w:color="auto" w:fill="FFFFFF"/>
          <w:lang w:val="en-US"/>
        </w:rPr>
        <w:t>et al</w:t>
      </w:r>
      <w:r>
        <w:rPr>
          <w:rFonts w:ascii="Arial" w:hAnsi="Arial" w:eastAsia="SimSun" w:cs="Arial"/>
          <w:i/>
          <w:iCs/>
          <w:shd w:val="clear" w:color="auto" w:fill="FFFFFF"/>
        </w:rPr>
        <w:t>.</w:t>
      </w:r>
      <w:r>
        <w:rPr>
          <w:rFonts w:ascii="Arial" w:hAnsi="Arial" w:eastAsia="SimSun" w:cs="Arial"/>
          <w:shd w:val="clear" w:color="auto" w:fill="FFFFFF"/>
        </w:rPr>
        <w:t>, 2021). The increase in serum ALT and AST in this study is due to the oxidative stress-induced lipid peroxidation in the liver which led to the degradation of the hepatocyte cell membrane and a release of  ALT and AST into the blood (Kalas</w:t>
      </w:r>
      <w:r>
        <w:rPr>
          <w:rFonts w:ascii="Arial" w:hAnsi="Arial" w:eastAsia="SimSun" w:cs="Arial"/>
          <w:i/>
          <w:iCs/>
          <w:shd w:val="clear" w:color="auto" w:fill="FFFFFF"/>
        </w:rPr>
        <w:t xml:space="preserve">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2021). </w:t>
      </w:r>
    </w:p>
    <w:p w14:paraId="762C1CE3">
      <w:pPr>
        <w:pStyle w:val="24"/>
        <w:spacing w:after="0"/>
        <w:rPr>
          <w:rFonts w:ascii="Arial" w:hAnsi="Arial" w:eastAsia="SimSun" w:cs="Arial"/>
          <w:shd w:val="clear" w:color="auto" w:fill="FFFFFF"/>
        </w:rPr>
      </w:pPr>
    </w:p>
    <w:p w14:paraId="155D2BA6">
      <w:pPr>
        <w:pStyle w:val="24"/>
        <w:spacing w:after="0"/>
        <w:rPr>
          <w:rFonts w:ascii="Arial" w:hAnsi="Arial" w:eastAsia="Segoe UI" w:cs="Arial"/>
          <w:shd w:val="clear" w:color="auto" w:fill="FFFFFF"/>
        </w:rPr>
      </w:pPr>
      <w:r>
        <w:rPr>
          <w:rFonts w:ascii="Arial" w:hAnsi="Arial" w:eastAsia="SimSun" w:cs="Arial"/>
          <w:shd w:val="clear" w:color="auto" w:fill="FFFFFF"/>
        </w:rPr>
        <w:t xml:space="preserve">In this study, the administration of different doses of </w:t>
      </w:r>
      <w:r>
        <w:rPr>
          <w:rFonts w:ascii="Arial" w:hAnsi="Arial" w:cs="Arial"/>
          <w:i/>
          <w:iCs/>
        </w:rPr>
        <w:t xml:space="preserve">C. citratus </w:t>
      </w:r>
      <w:r>
        <w:rPr>
          <w:rFonts w:ascii="Arial" w:hAnsi="Arial" w:cs="Arial"/>
        </w:rPr>
        <w:t>after the induction of CCl4 liver damage restore serum ALT and liver MDA to normal while significantly reducing serum AST.</w:t>
      </w:r>
      <w:r>
        <w:rPr>
          <w:rFonts w:ascii="Arial" w:hAnsi="Arial" w:cs="Arial"/>
          <w:i/>
          <w:iCs/>
        </w:rPr>
        <w:t xml:space="preserve"> </w:t>
      </w:r>
      <w:r>
        <w:rPr>
          <w:rFonts w:ascii="Arial" w:hAnsi="Arial" w:cs="Arial"/>
        </w:rPr>
        <w:t>On the other hand, apart from the liver, AST is also predominately present in the kidney, brain and heart tissues. A damage in the plasma membrane of these tissues also results in a leak in AST from these tissues and an increase in serum AST (</w:t>
      </w:r>
      <w:r>
        <w:rPr>
          <w:rFonts w:ascii="Arial" w:hAnsi="Arial" w:eastAsia="SimSun" w:cs="Arial"/>
          <w:shd w:val="clear" w:color="auto" w:fill="FFFFFF"/>
        </w:rPr>
        <w:t xml:space="preserve">Ndrepepa, 2021; Kalas </w:t>
      </w:r>
      <w:r>
        <w:rPr>
          <w:rFonts w:ascii="Arial" w:hAnsi="Arial" w:eastAsia="SimSun" w:cs="Arial"/>
          <w:i/>
          <w:iCs/>
          <w:shd w:val="clear" w:color="auto" w:fill="FFFFFF"/>
          <w:lang w:val="en-US"/>
        </w:rPr>
        <w:t>et a</w:t>
      </w:r>
      <w:r>
        <w:rPr>
          <w:rFonts w:ascii="Arial" w:hAnsi="Arial" w:eastAsia="SimSun" w:cs="Arial"/>
          <w:shd w:val="clear" w:color="auto" w:fill="FFFFFF"/>
          <w:lang w:val="en-US"/>
        </w:rPr>
        <w:t>l</w:t>
      </w:r>
      <w:r>
        <w:rPr>
          <w:rFonts w:ascii="Arial" w:hAnsi="Arial" w:eastAsia="SimSun" w:cs="Arial"/>
          <w:shd w:val="clear" w:color="auto" w:fill="FFFFFF"/>
        </w:rPr>
        <w:t>., 2021</w:t>
      </w:r>
      <w:r>
        <w:rPr>
          <w:rFonts w:ascii="Arial" w:hAnsi="Arial" w:cs="Arial"/>
        </w:rPr>
        <w:t xml:space="preserve">). </w:t>
      </w:r>
      <w:r>
        <w:rPr>
          <w:rFonts w:ascii="Arial" w:hAnsi="Arial" w:eastAsia="SimSun" w:cs="Arial"/>
          <w:shd w:val="clear" w:color="auto" w:fill="FFFFFF"/>
        </w:rPr>
        <w:t xml:space="preserve">CCl4 toxicity is associated with a dysfunction in organs such as the heart and kidney (Mazani </w:t>
      </w:r>
      <w:r>
        <w:rPr>
          <w:rFonts w:ascii="Arial" w:hAnsi="Arial" w:eastAsia="SimSun" w:cs="Arial"/>
          <w:i/>
          <w:iCs/>
          <w:shd w:val="clear" w:color="auto" w:fill="FFFFFF"/>
          <w:lang w:val="en-US"/>
        </w:rPr>
        <w:t>et al</w:t>
      </w:r>
      <w:r>
        <w:rPr>
          <w:rFonts w:ascii="Arial" w:hAnsi="Arial" w:eastAsia="SimSun" w:cs="Arial"/>
          <w:i/>
          <w:iCs/>
          <w:shd w:val="clear" w:color="auto" w:fill="FFFFFF"/>
        </w:rPr>
        <w:t>.</w:t>
      </w:r>
      <w:r>
        <w:rPr>
          <w:rFonts w:ascii="Arial" w:hAnsi="Arial" w:eastAsia="SimSun" w:cs="Arial"/>
          <w:shd w:val="clear" w:color="auto" w:fill="FFFFFF"/>
        </w:rPr>
        <w:t xml:space="preserve">, 2022; </w:t>
      </w:r>
      <w:r>
        <w:rPr>
          <w:rFonts w:ascii="Arial" w:hAnsi="Arial" w:eastAsia="Segoe UI" w:cs="Arial"/>
          <w:shd w:val="clear" w:color="auto" w:fill="FFFFFF"/>
        </w:rPr>
        <w:t xml:space="preserve">Al Amin and Menezes, 2023; </w:t>
      </w:r>
      <w:r>
        <w:rPr>
          <w:rFonts w:ascii="Arial" w:hAnsi="Arial" w:eastAsia="SimSun" w:cs="Arial"/>
          <w:shd w:val="clear" w:color="auto" w:fill="FFFFFF"/>
        </w:rPr>
        <w:t>Murtaza and Khan, 2023</w:t>
      </w:r>
      <w:r>
        <w:rPr>
          <w:rFonts w:ascii="Arial" w:hAnsi="Arial" w:eastAsia="Segoe UI" w:cs="Arial"/>
          <w:shd w:val="clear" w:color="auto" w:fill="FFFFFF"/>
        </w:rPr>
        <w:t>). Hence, t</w:t>
      </w:r>
      <w:r>
        <w:rPr>
          <w:rFonts w:ascii="Arial" w:hAnsi="Arial" w:cs="Arial"/>
        </w:rPr>
        <w:t xml:space="preserve">he inability of </w:t>
      </w:r>
      <w:r>
        <w:rPr>
          <w:rFonts w:ascii="Arial" w:hAnsi="Arial" w:cs="Arial"/>
          <w:i/>
          <w:iCs/>
        </w:rPr>
        <w:t xml:space="preserve">Cymbopogon citratus </w:t>
      </w:r>
      <w:r>
        <w:rPr>
          <w:rFonts w:ascii="Arial" w:hAnsi="Arial" w:cs="Arial"/>
        </w:rPr>
        <w:t>extract to restore serum AST</w:t>
      </w:r>
      <w:r>
        <w:rPr>
          <w:rFonts w:ascii="Arial" w:hAnsi="Arial" w:cs="Arial"/>
          <w:i/>
          <w:iCs/>
        </w:rPr>
        <w:t xml:space="preserve"> </w:t>
      </w:r>
      <w:r>
        <w:rPr>
          <w:rFonts w:ascii="Arial" w:hAnsi="Arial" w:cs="Arial"/>
        </w:rPr>
        <w:t xml:space="preserve">levels back to normal despite its ability to overcome oxidative stress in the liver maybe due to a CCl4 induced damage to other tissues where AST is present as elevated levels of serum AST has been identified in </w:t>
      </w:r>
      <w:r>
        <w:rPr>
          <w:rFonts w:ascii="Arial" w:hAnsi="Arial" w:eastAsia="SimSun" w:cs="Arial"/>
          <w:shd w:val="clear" w:color="auto" w:fill="FFFFFF"/>
        </w:rPr>
        <w:t xml:space="preserve">acute myocardial infarction and skeletal muscle trauma/injury (Ndrepepa, 2021; Kalas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2021). </w:t>
      </w:r>
      <w:r>
        <w:rPr>
          <w:rFonts w:ascii="Arial" w:hAnsi="Arial" w:eastAsia="SimSun" w:cs="Arial"/>
          <w:lang w:eastAsia="zh-CN" w:bidi="ar"/>
        </w:rPr>
        <w:t>The distortion in the hepatic architecture due to lipid peroxidation and a destruction of the hepatic cell membrane in CCl4-induced liver injury leads to an  impairment of bile flow and the cholestatic induction of ALP (</w:t>
      </w:r>
      <w:r>
        <w:rPr>
          <w:rFonts w:ascii="Arial" w:hAnsi="Arial" w:eastAsia="SimSun" w:cs="Arial"/>
          <w:sz w:val="19"/>
          <w:szCs w:val="19"/>
          <w:shd w:val="clear" w:color="auto" w:fill="FFFFFF"/>
        </w:rPr>
        <w:t xml:space="preserve">Wang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xml:space="preserve">., 2023; Almohmadi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2024</w:t>
      </w:r>
      <w:r>
        <w:rPr>
          <w:rFonts w:ascii="Arial" w:hAnsi="Arial" w:eastAsia="SimSun" w:cs="Arial"/>
          <w:lang w:eastAsia="zh-CN" w:bidi="ar"/>
        </w:rPr>
        <w:t xml:space="preserve">). </w:t>
      </w:r>
      <w:r>
        <w:rPr>
          <w:rFonts w:ascii="Arial" w:hAnsi="Arial" w:eastAsia="SimSun" w:cs="Arial"/>
          <w:shd w:val="clear" w:color="auto" w:fill="FFFFFF"/>
        </w:rPr>
        <w:t xml:space="preserve">An increase in serum ALP was also observed in this study when compared with control. This finding is in accordance with the findings of </w:t>
      </w:r>
      <w:r>
        <w:rPr>
          <w:rFonts w:ascii="Arial" w:hAnsi="Arial" w:eastAsia="SimSun" w:cs="Arial"/>
          <w:sz w:val="19"/>
          <w:szCs w:val="19"/>
          <w:shd w:val="clear" w:color="auto" w:fill="FFFFFF"/>
        </w:rPr>
        <w:t xml:space="preserve">Wang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(2023</w:t>
      </w:r>
      <w:r>
        <w:rPr>
          <w:rFonts w:ascii="Arial" w:hAnsi="Arial" w:eastAsia="SimSun" w:cs="Arial"/>
          <w:lang w:eastAsia="zh-CN" w:bidi="ar"/>
        </w:rPr>
        <w:t xml:space="preserve">) and </w:t>
      </w:r>
      <w:r>
        <w:rPr>
          <w:rFonts w:ascii="Arial" w:hAnsi="Arial" w:eastAsia="SimSun" w:cs="Arial"/>
          <w:sz w:val="19"/>
          <w:szCs w:val="19"/>
          <w:shd w:val="clear" w:color="auto" w:fill="FFFFFF"/>
        </w:rPr>
        <w:t xml:space="preserve">Almohmadi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(2024</w:t>
      </w:r>
      <w:r>
        <w:rPr>
          <w:rFonts w:ascii="Arial" w:hAnsi="Arial" w:eastAsia="SimSun" w:cs="Arial"/>
          <w:lang w:eastAsia="zh-CN" w:bidi="ar"/>
        </w:rPr>
        <w:t>).</w:t>
      </w:r>
    </w:p>
    <w:p w14:paraId="32604A75">
      <w:pPr>
        <w:pStyle w:val="24"/>
        <w:spacing w:after="0"/>
        <w:rPr>
          <w:rFonts w:ascii="Arial" w:hAnsi="Arial" w:eastAsia="SimSun" w:cs="Arial"/>
          <w:shd w:val="clear" w:color="auto" w:fill="FFFFFF"/>
        </w:rPr>
      </w:pPr>
    </w:p>
    <w:p w14:paraId="33154B76">
      <w:pPr>
        <w:jc w:val="both"/>
        <w:rPr>
          <w:rFonts w:ascii="Arial" w:hAnsi="Arial" w:eastAsia="SimSun" w:cs="Arial"/>
        </w:rPr>
      </w:pPr>
      <w:r>
        <w:rPr>
          <w:rFonts w:ascii="Arial" w:hAnsi="Arial" w:eastAsia="SimSun" w:cs="Arial"/>
          <w:shd w:val="clear" w:color="auto" w:fill="FFFFFF"/>
        </w:rPr>
        <w:t xml:space="preserve">The liver parenchymal cell play a role in serum protein synthesis and secretion (Xian </w:t>
      </w:r>
      <w:r>
        <w:rPr>
          <w:rFonts w:ascii="Arial" w:hAnsi="Arial" w:eastAsia="SimSun" w:cs="Arial"/>
          <w:i/>
          <w:iCs/>
          <w:shd w:val="clear" w:color="auto" w:fill="FFFFFF"/>
          <w:lang w:val="en-US"/>
        </w:rPr>
        <w:t>et al</w:t>
      </w:r>
      <w:r>
        <w:rPr>
          <w:rFonts w:ascii="Arial" w:hAnsi="Arial" w:eastAsia="SimSun" w:cs="Arial"/>
          <w:i/>
          <w:iCs/>
          <w:shd w:val="clear" w:color="auto" w:fill="FFFFFF"/>
        </w:rPr>
        <w:t>.</w:t>
      </w:r>
      <w:r>
        <w:rPr>
          <w:rFonts w:ascii="Arial" w:hAnsi="Arial" w:eastAsia="SimSun" w:cs="Arial"/>
          <w:shd w:val="clear" w:color="auto" w:fill="FFFFFF"/>
        </w:rPr>
        <w:t xml:space="preserve">, 2024). It was discovered in this study that markers for hepatocellular synthetic functions such as serum albumin and total protein were reduced when compared with control indicating a decrease in the synthetic ability of the liver due to CCl4 toxicity. This corroborates earlier findings that CCl4 hepatotoxicity can lead to a deficiency in the ability of the hepatocytes to carry out their synthetic functions due to lipid peroxidation resulting in a loss or destruction of the liver parenchymal cell integrity (Algefare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2024; Almohmadi </w:t>
      </w:r>
      <w:r>
        <w:rPr>
          <w:rFonts w:ascii="Arial" w:hAnsi="Arial" w:eastAsia="SimSun" w:cs="Arial"/>
          <w:i/>
          <w:iCs/>
          <w:shd w:val="clear" w:color="auto" w:fill="FFFFFF"/>
          <w:lang w:val="en-US"/>
        </w:rPr>
        <w:t>et al</w:t>
      </w:r>
      <w:r>
        <w:rPr>
          <w:rFonts w:ascii="Arial" w:hAnsi="Arial" w:eastAsia="SimSun" w:cs="Arial"/>
          <w:shd w:val="clear" w:color="auto" w:fill="FFFFFF"/>
        </w:rPr>
        <w:t xml:space="preserve">., 2024). </w:t>
      </w:r>
      <w:r>
        <w:rPr>
          <w:rFonts w:ascii="Arial" w:hAnsi="Arial" w:eastAsia="SimSun" w:cs="Arial"/>
        </w:rPr>
        <w:t>The liver is the storage organ for vitamin B12, a disruption in the ability of the liver to store vitamin B12 results in a deficiency of vitamin B12, pernicious anaemia, the presence of immature red blood cells and an increase in MCV (</w:t>
      </w:r>
      <w:r>
        <w:rPr>
          <w:rFonts w:ascii="Arial" w:hAnsi="Arial" w:eastAsia="SimSun" w:cs="Arial"/>
          <w:sz w:val="19"/>
          <w:szCs w:val="19"/>
          <w:shd w:val="clear" w:color="auto" w:fill="FFFFFF"/>
        </w:rPr>
        <w:t xml:space="preserve">Sobczyńska-Malefora </w:t>
      </w:r>
      <w:r>
        <w:rPr>
          <w:rFonts w:ascii="Arial" w:hAnsi="Arial" w:eastAsia="SimSun" w:cs="Arial"/>
          <w:i/>
          <w:iCs/>
          <w:sz w:val="19"/>
          <w:szCs w:val="19"/>
          <w:shd w:val="clear" w:color="auto" w:fill="FFFFFF"/>
          <w:lang w:val="en-US"/>
        </w:rPr>
        <w:t>et al</w:t>
      </w:r>
      <w:r>
        <w:rPr>
          <w:rFonts w:ascii="Arial" w:hAnsi="Arial" w:eastAsia="SimSun" w:cs="Arial"/>
          <w:i/>
          <w:iCs/>
          <w:sz w:val="19"/>
          <w:szCs w:val="19"/>
          <w:shd w:val="clear" w:color="auto" w:fill="FFFFFF"/>
        </w:rPr>
        <w:t>.</w:t>
      </w:r>
      <w:r>
        <w:rPr>
          <w:rFonts w:ascii="Arial" w:hAnsi="Arial" w:eastAsia="SimSun" w:cs="Arial"/>
          <w:sz w:val="19"/>
          <w:szCs w:val="19"/>
          <w:shd w:val="clear" w:color="auto" w:fill="FFFFFF"/>
        </w:rPr>
        <w:t xml:space="preserve">, 2021; Guéant </w:t>
      </w:r>
      <w:r>
        <w:rPr>
          <w:rFonts w:ascii="Arial" w:hAnsi="Arial" w:eastAsia="SimSun" w:cs="Arial"/>
          <w:i/>
          <w:iCs/>
          <w:sz w:val="19"/>
          <w:szCs w:val="19"/>
          <w:shd w:val="clear" w:color="auto" w:fill="FFFFFF"/>
          <w:lang w:val="en-US"/>
        </w:rPr>
        <w:t>et al</w:t>
      </w:r>
      <w:r>
        <w:rPr>
          <w:rFonts w:ascii="Arial" w:hAnsi="Arial" w:eastAsia="SimSun" w:cs="Arial"/>
          <w:i/>
          <w:iCs/>
          <w:sz w:val="19"/>
          <w:szCs w:val="19"/>
          <w:shd w:val="clear" w:color="auto" w:fill="FFFFFF"/>
        </w:rPr>
        <w:t>.</w:t>
      </w:r>
      <w:r>
        <w:rPr>
          <w:rFonts w:ascii="Arial" w:hAnsi="Arial" w:eastAsia="SimSun" w:cs="Arial"/>
          <w:sz w:val="19"/>
          <w:szCs w:val="19"/>
          <w:shd w:val="clear" w:color="auto" w:fill="FFFFFF"/>
        </w:rPr>
        <w:t>, 2022</w:t>
      </w:r>
      <w:r>
        <w:rPr>
          <w:rFonts w:ascii="Arial" w:hAnsi="Arial" w:eastAsia="SimSun" w:cs="Arial"/>
        </w:rPr>
        <w:t xml:space="preserve">). Liver diseases including hepatitis, </w:t>
      </w:r>
      <w:r>
        <w:rPr>
          <w:rFonts w:ascii="Arial" w:hAnsi="Arial" w:cs="Arial"/>
        </w:rPr>
        <w:t>bile duct obstruction</w:t>
      </w:r>
      <w:r>
        <w:rPr>
          <w:rFonts w:ascii="Arial" w:hAnsi="Arial" w:eastAsia="SimSun" w:cs="Arial"/>
        </w:rPr>
        <w:t xml:space="preserve"> and hepatic steatosis have been associated with vitamin B12 deficiency (</w:t>
      </w:r>
      <w:r>
        <w:rPr>
          <w:rFonts w:ascii="Arial" w:hAnsi="Arial" w:eastAsia="SimSun" w:cs="Arial"/>
          <w:sz w:val="19"/>
          <w:szCs w:val="19"/>
          <w:shd w:val="clear" w:color="auto" w:fill="FFFFFF"/>
        </w:rPr>
        <w:t xml:space="preserve">Kozeniecki </w:t>
      </w:r>
      <w:r>
        <w:rPr>
          <w:rFonts w:ascii="Arial" w:hAnsi="Arial" w:eastAsia="SimSun" w:cs="Arial"/>
          <w:i/>
          <w:iCs/>
          <w:sz w:val="19"/>
          <w:szCs w:val="19"/>
          <w:shd w:val="clear" w:color="auto" w:fill="FFFFFF"/>
          <w:lang w:val="en-US"/>
        </w:rPr>
        <w:t>et a</w:t>
      </w:r>
      <w:r>
        <w:rPr>
          <w:rFonts w:ascii="Arial" w:hAnsi="Arial" w:eastAsia="SimSun" w:cs="Arial"/>
          <w:sz w:val="19"/>
          <w:szCs w:val="19"/>
          <w:shd w:val="clear" w:color="auto" w:fill="FFFFFF"/>
          <w:lang w:val="en-US"/>
        </w:rPr>
        <w:t>l</w:t>
      </w:r>
      <w:r>
        <w:rPr>
          <w:rFonts w:ascii="Arial" w:hAnsi="Arial" w:eastAsia="SimSun" w:cs="Arial"/>
          <w:sz w:val="19"/>
          <w:szCs w:val="19"/>
          <w:shd w:val="clear" w:color="auto" w:fill="FFFFFF"/>
        </w:rPr>
        <w:t xml:space="preserve">., 2020; Espina </w:t>
      </w:r>
      <w:r>
        <w:rPr>
          <w:rFonts w:ascii="Arial" w:hAnsi="Arial" w:eastAsia="SimSun" w:cs="Arial"/>
          <w:sz w:val="19"/>
          <w:szCs w:val="19"/>
          <w:shd w:val="clear" w:color="auto" w:fill="FFFFFF"/>
          <w:lang w:val="en-US"/>
        </w:rPr>
        <w:t>et al</w:t>
      </w:r>
      <w:r>
        <w:rPr>
          <w:rFonts w:ascii="Arial" w:hAnsi="Arial" w:eastAsia="SimSun" w:cs="Arial"/>
          <w:sz w:val="19"/>
          <w:szCs w:val="19"/>
          <w:shd w:val="clear" w:color="auto" w:fill="FFFFFF"/>
        </w:rPr>
        <w:t>., 2024</w:t>
      </w:r>
      <w:r>
        <w:rPr>
          <w:rFonts w:ascii="Arial" w:hAnsi="Arial" w:eastAsia="SimSun" w:cs="Arial"/>
        </w:rPr>
        <w:t>). In this study, PCV and Hb level was found to be significantly decreased with a significant increase in MCV, which is characteristic of pernicious anaemia. This corroborates the findings of previous researches (</w:t>
      </w:r>
      <w:r>
        <w:rPr>
          <w:rFonts w:ascii="Arial" w:hAnsi="Arial" w:eastAsia="SimSun" w:cs="Arial"/>
          <w:sz w:val="19"/>
          <w:szCs w:val="19"/>
          <w:shd w:val="clear" w:color="auto" w:fill="FFFFFF"/>
        </w:rPr>
        <w:t xml:space="preserve">Kilany </w:t>
      </w:r>
      <w:r>
        <w:rPr>
          <w:rFonts w:ascii="Arial" w:hAnsi="Arial" w:eastAsia="SimSun" w:cs="Arial"/>
          <w:i/>
          <w:iCs/>
          <w:sz w:val="19"/>
          <w:szCs w:val="19"/>
          <w:shd w:val="clear" w:color="auto" w:fill="FFFFFF"/>
          <w:lang w:val="en-US"/>
        </w:rPr>
        <w:t>et al</w:t>
      </w:r>
      <w:r>
        <w:rPr>
          <w:rFonts w:ascii="Arial" w:hAnsi="Arial" w:eastAsia="SimSun" w:cs="Arial"/>
          <w:i/>
          <w:iCs/>
          <w:sz w:val="19"/>
          <w:szCs w:val="19"/>
          <w:shd w:val="clear" w:color="auto" w:fill="FFFFFF"/>
        </w:rPr>
        <w:t>.</w:t>
      </w:r>
      <w:r>
        <w:rPr>
          <w:rFonts w:ascii="Arial" w:hAnsi="Arial" w:eastAsia="SimSun" w:cs="Arial"/>
          <w:sz w:val="19"/>
          <w:szCs w:val="19"/>
          <w:shd w:val="clear" w:color="auto" w:fill="FFFFFF"/>
        </w:rPr>
        <w:t xml:space="preserve">, 2020; Uroko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xml:space="preserve">., 2021; Abu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2022; Sinoriya and Singh, 2024)</w:t>
      </w:r>
      <w:r>
        <w:rPr>
          <w:rFonts w:ascii="Arial" w:hAnsi="Arial" w:eastAsia="SimSun" w:cs="Arial"/>
        </w:rPr>
        <w:t xml:space="preserve">. </w:t>
      </w:r>
    </w:p>
    <w:p w14:paraId="52FCC95B">
      <w:pPr>
        <w:pStyle w:val="24"/>
        <w:spacing w:after="0"/>
        <w:rPr>
          <w:rFonts w:ascii="Arial" w:hAnsi="Arial" w:eastAsia="SimSun" w:cs="Arial"/>
        </w:rPr>
      </w:pPr>
    </w:p>
    <w:p w14:paraId="46C57995">
      <w:pPr>
        <w:pStyle w:val="24"/>
        <w:spacing w:after="0"/>
        <w:rPr>
          <w:rFonts w:ascii="Arial" w:hAnsi="Arial" w:eastAsia="SimSun" w:cs="Arial"/>
          <w:sz w:val="19"/>
          <w:szCs w:val="19"/>
          <w:shd w:val="clear" w:color="auto" w:fill="FFFFFF"/>
        </w:rPr>
      </w:pPr>
      <w:r>
        <w:rPr>
          <w:rFonts w:ascii="Arial" w:hAnsi="Arial" w:eastAsia="SimSun" w:cs="Arial"/>
        </w:rPr>
        <w:t xml:space="preserve">CCl4 induced toxicity is characterized by oxidative stress and inflammation which results in an increase in WBC. In this study, WBC significantly increased 24hrs after a single dose of CCl4 injection, when compared with control. This was similar to the findings of </w:t>
      </w:r>
      <w:r>
        <w:rPr>
          <w:rFonts w:ascii="Arial" w:hAnsi="Arial" w:eastAsia="SimSun" w:cs="Arial"/>
          <w:sz w:val="19"/>
          <w:szCs w:val="19"/>
          <w:shd w:val="clear" w:color="auto" w:fill="FFFFFF"/>
        </w:rPr>
        <w:t xml:space="preserve">Ullah </w:t>
      </w:r>
      <w:r>
        <w:rPr>
          <w:rFonts w:ascii="Arial" w:hAnsi="Arial" w:eastAsia="SimSun" w:cs="Arial"/>
          <w:i/>
          <w:iCs/>
          <w:sz w:val="19"/>
          <w:szCs w:val="19"/>
          <w:shd w:val="clear" w:color="auto" w:fill="FFFFFF"/>
          <w:lang w:val="en-US"/>
        </w:rPr>
        <w:t>et al</w:t>
      </w:r>
      <w:r>
        <w:rPr>
          <w:rFonts w:ascii="Arial" w:hAnsi="Arial" w:eastAsia="SimSun" w:cs="Arial"/>
          <w:i/>
          <w:iCs/>
          <w:sz w:val="19"/>
          <w:szCs w:val="19"/>
          <w:shd w:val="clear" w:color="auto" w:fill="FFFFFF"/>
        </w:rPr>
        <w:t>.</w:t>
      </w:r>
      <w:r>
        <w:rPr>
          <w:rFonts w:ascii="Arial" w:hAnsi="Arial" w:eastAsia="SimSun" w:cs="Arial"/>
          <w:sz w:val="19"/>
          <w:szCs w:val="19"/>
          <w:shd w:val="clear" w:color="auto" w:fill="FFFFFF"/>
        </w:rPr>
        <w:t xml:space="preserve"> (2020) and Ali (2025). However, in this study, a fall in WBC was observed 4 weeks after CCl4 injection. A decrease in WBC 4 weeks after CCl4 injection was also observed by Elshopakey </w:t>
      </w:r>
      <w:r>
        <w:rPr>
          <w:rFonts w:ascii="Arial" w:hAnsi="Arial" w:eastAsia="SimSun" w:cs="Arial"/>
          <w:i/>
          <w:iCs/>
          <w:sz w:val="19"/>
          <w:szCs w:val="19"/>
          <w:shd w:val="clear" w:color="auto" w:fill="FFFFFF"/>
          <w:lang w:val="en-US"/>
        </w:rPr>
        <w:t>et al</w:t>
      </w:r>
      <w:r>
        <w:rPr>
          <w:rFonts w:ascii="Arial" w:hAnsi="Arial" w:eastAsia="SimSun" w:cs="Arial"/>
          <w:i/>
          <w:iCs/>
          <w:sz w:val="19"/>
          <w:szCs w:val="19"/>
          <w:shd w:val="clear" w:color="auto" w:fill="FFFFFF"/>
        </w:rPr>
        <w:t>.</w:t>
      </w:r>
      <w:r>
        <w:rPr>
          <w:rFonts w:ascii="Arial" w:hAnsi="Arial" w:eastAsia="SimSun" w:cs="Arial"/>
          <w:sz w:val="19"/>
          <w:szCs w:val="19"/>
          <w:shd w:val="clear" w:color="auto" w:fill="FFFFFF"/>
        </w:rPr>
        <w:t xml:space="preserve"> (2021). This decrease in WBC maybe as a result of the immunosuppresive ability of CCl4 (Elshopakey </w:t>
      </w:r>
      <w:r>
        <w:rPr>
          <w:rFonts w:ascii="Arial" w:hAnsi="Arial" w:eastAsia="SimSun" w:cs="Arial"/>
          <w:i/>
          <w:iCs/>
          <w:sz w:val="19"/>
          <w:szCs w:val="19"/>
          <w:shd w:val="clear" w:color="auto" w:fill="FFFFFF"/>
          <w:lang w:val="en-US"/>
        </w:rPr>
        <w:t>et al</w:t>
      </w:r>
      <w:r>
        <w:rPr>
          <w:rFonts w:ascii="Arial" w:hAnsi="Arial" w:eastAsia="SimSun" w:cs="Arial"/>
          <w:i/>
          <w:iCs/>
          <w:sz w:val="19"/>
          <w:szCs w:val="19"/>
          <w:shd w:val="clear" w:color="auto" w:fill="FFFFFF"/>
        </w:rPr>
        <w:t>.</w:t>
      </w:r>
      <w:r>
        <w:rPr>
          <w:rFonts w:ascii="Arial" w:hAnsi="Arial" w:eastAsia="SimSun" w:cs="Arial"/>
          <w:sz w:val="19"/>
          <w:szCs w:val="19"/>
          <w:shd w:val="clear" w:color="auto" w:fill="FFFFFF"/>
        </w:rPr>
        <w:t xml:space="preserve">, 2021; Gazwi </w:t>
      </w:r>
      <w:r>
        <w:rPr>
          <w:rFonts w:ascii="Arial" w:hAnsi="Arial" w:eastAsia="SimSun" w:cs="Arial"/>
          <w:i/>
          <w:iCs/>
          <w:sz w:val="19"/>
          <w:szCs w:val="19"/>
          <w:shd w:val="clear" w:color="auto" w:fill="FFFFFF"/>
          <w:lang w:val="en-US"/>
        </w:rPr>
        <w:t>et al</w:t>
      </w:r>
      <w:r>
        <w:rPr>
          <w:rFonts w:ascii="Arial" w:hAnsi="Arial" w:eastAsia="SimSun" w:cs="Arial"/>
          <w:i/>
          <w:iCs/>
          <w:sz w:val="19"/>
          <w:szCs w:val="19"/>
          <w:shd w:val="clear" w:color="auto" w:fill="FFFFFF"/>
        </w:rPr>
        <w:t>.</w:t>
      </w:r>
      <w:r>
        <w:rPr>
          <w:rFonts w:ascii="Arial" w:hAnsi="Arial" w:eastAsia="SimSun" w:cs="Arial"/>
          <w:sz w:val="19"/>
          <w:szCs w:val="19"/>
          <w:shd w:val="clear" w:color="auto" w:fill="FFFFFF"/>
        </w:rPr>
        <w:t>, 2023).</w:t>
      </w:r>
    </w:p>
    <w:p w14:paraId="20D61495">
      <w:pPr>
        <w:pStyle w:val="24"/>
        <w:spacing w:after="0"/>
        <w:rPr>
          <w:rFonts w:ascii="Arial" w:hAnsi="Arial" w:eastAsia="SimSun" w:cs="Arial"/>
          <w:sz w:val="19"/>
          <w:szCs w:val="19"/>
          <w:shd w:val="clear" w:color="auto" w:fill="FFFFFF"/>
        </w:rPr>
      </w:pPr>
    </w:p>
    <w:p w14:paraId="4FE06E98">
      <w:pPr>
        <w:jc w:val="both"/>
        <w:rPr>
          <w:rFonts w:ascii="Arial" w:hAnsi="Arial" w:eastAsia="SimSun" w:cs="Arial"/>
          <w:shd w:val="clear" w:color="auto" w:fill="FFFFFF"/>
        </w:rPr>
      </w:pPr>
      <w:r>
        <w:rPr>
          <w:rFonts w:ascii="Arial" w:hAnsi="Arial" w:cs="Arial"/>
        </w:rPr>
        <w:t xml:space="preserve">The ability of the aqueous extract of </w:t>
      </w:r>
      <w:r>
        <w:rPr>
          <w:rFonts w:ascii="Arial" w:hAnsi="Arial" w:cs="Arial"/>
          <w:i/>
          <w:iCs/>
        </w:rPr>
        <w:t xml:space="preserve">Cymbopogon citratus </w:t>
      </w:r>
      <w:r>
        <w:rPr>
          <w:rFonts w:ascii="Arial" w:hAnsi="Arial" w:cs="Arial"/>
        </w:rPr>
        <w:t>at high dose</w:t>
      </w:r>
      <w:r>
        <w:rPr>
          <w:rFonts w:ascii="Arial" w:hAnsi="Arial" w:cs="Arial"/>
          <w:i/>
          <w:iCs/>
        </w:rPr>
        <w:t xml:space="preserve"> </w:t>
      </w:r>
      <w:r>
        <w:rPr>
          <w:rFonts w:ascii="Arial" w:hAnsi="Arial" w:cs="Arial"/>
        </w:rPr>
        <w:t xml:space="preserve">to restore liver MDA, serum ALT, ALP, serum albumin, Hb, WBC and MCV in this study maybe due to the antioxidant ability of </w:t>
      </w:r>
      <w:r>
        <w:rPr>
          <w:rFonts w:ascii="Arial" w:hAnsi="Arial" w:cs="Arial"/>
          <w:i/>
          <w:iCs/>
        </w:rPr>
        <w:t xml:space="preserve">Cymbopogon citratus </w:t>
      </w:r>
      <w:r>
        <w:rPr>
          <w:rFonts w:ascii="Arial" w:hAnsi="Arial" w:cs="Arial"/>
        </w:rPr>
        <w:t>(</w:t>
      </w:r>
      <w:r>
        <w:rPr>
          <w:rFonts w:ascii="Arial" w:hAnsi="Arial" w:eastAsia="SimSun" w:cs="Arial"/>
          <w:i w:val="0"/>
          <w:iCs w:val="0"/>
          <w:caps w:val="0"/>
          <w:color w:val="222222"/>
          <w:spacing w:val="0"/>
          <w:sz w:val="19"/>
          <w:szCs w:val="19"/>
          <w:shd w:val="clear" w:fill="FFFFFF"/>
        </w:rPr>
        <w:t>Saenthaweesuk</w:t>
      </w:r>
      <w:r>
        <w:rPr>
          <w:rFonts w:hint="default" w:ascii="Arial" w:hAnsi="Arial" w:eastAsia="SimSun" w:cs="Arial"/>
          <w:i w:val="0"/>
          <w:iCs w:val="0"/>
          <w:caps w:val="0"/>
          <w:color w:val="222222"/>
          <w:spacing w:val="0"/>
          <w:sz w:val="19"/>
          <w:szCs w:val="19"/>
          <w:shd w:val="clear" w:fill="FFFFFF"/>
          <w:lang w:val="en-US"/>
        </w:rPr>
        <w:t xml:space="preserve"> </w:t>
      </w:r>
      <w:r>
        <w:rPr>
          <w:rFonts w:hint="default" w:ascii="Arial" w:hAnsi="Arial" w:eastAsia="SimSun" w:cs="Arial"/>
          <w:i/>
          <w:iCs/>
          <w:caps w:val="0"/>
          <w:color w:val="222222"/>
          <w:spacing w:val="0"/>
          <w:sz w:val="19"/>
          <w:szCs w:val="19"/>
          <w:shd w:val="clear" w:fill="FFFFFF"/>
          <w:lang w:val="en-US"/>
        </w:rPr>
        <w:t>et al</w:t>
      </w:r>
      <w:r>
        <w:rPr>
          <w:rFonts w:hint="default" w:ascii="Arial" w:hAnsi="Arial" w:eastAsia="SimSun" w:cs="Arial"/>
          <w:i w:val="0"/>
          <w:iCs w:val="0"/>
          <w:caps w:val="0"/>
          <w:color w:val="222222"/>
          <w:spacing w:val="0"/>
          <w:sz w:val="19"/>
          <w:szCs w:val="19"/>
          <w:shd w:val="clear" w:fill="FFFFFF"/>
          <w:lang w:val="en-US"/>
        </w:rPr>
        <w:t xml:space="preserve">., 2017; </w:t>
      </w:r>
      <w:r>
        <w:rPr>
          <w:rFonts w:ascii="Arial" w:hAnsi="Arial" w:eastAsia="SimSun" w:cs="Arial"/>
          <w:i w:val="0"/>
          <w:iCs w:val="0"/>
          <w:caps w:val="0"/>
          <w:color w:val="222222"/>
          <w:spacing w:val="0"/>
          <w:sz w:val="19"/>
          <w:szCs w:val="19"/>
          <w:shd w:val="clear" w:fill="FFFFFF"/>
        </w:rPr>
        <w:t>Fahmy</w:t>
      </w:r>
      <w:r>
        <w:rPr>
          <w:rFonts w:hint="default" w:ascii="Arial" w:hAnsi="Arial" w:eastAsia="SimSun" w:cs="Arial"/>
          <w:i w:val="0"/>
          <w:iCs w:val="0"/>
          <w:caps w:val="0"/>
          <w:color w:val="222222"/>
          <w:spacing w:val="0"/>
          <w:sz w:val="19"/>
          <w:szCs w:val="19"/>
          <w:shd w:val="clear" w:fill="FFFFFF"/>
          <w:lang w:val="en-US"/>
        </w:rPr>
        <w:t xml:space="preserve"> </w:t>
      </w:r>
      <w:r>
        <w:rPr>
          <w:rFonts w:hint="default" w:ascii="Arial" w:hAnsi="Arial" w:eastAsia="SimSun" w:cs="Arial"/>
          <w:i/>
          <w:iCs/>
          <w:caps w:val="0"/>
          <w:color w:val="222222"/>
          <w:spacing w:val="0"/>
          <w:sz w:val="19"/>
          <w:szCs w:val="19"/>
          <w:shd w:val="clear" w:fill="FFFFFF"/>
          <w:lang w:val="en-US"/>
        </w:rPr>
        <w:t>et al</w:t>
      </w:r>
      <w:r>
        <w:rPr>
          <w:rFonts w:hint="default" w:ascii="Arial" w:hAnsi="Arial" w:eastAsia="SimSun" w:cs="Arial"/>
          <w:i w:val="0"/>
          <w:iCs w:val="0"/>
          <w:caps w:val="0"/>
          <w:color w:val="222222"/>
          <w:spacing w:val="0"/>
          <w:sz w:val="19"/>
          <w:szCs w:val="19"/>
          <w:shd w:val="clear" w:fill="FFFFFF"/>
          <w:lang w:val="en-US"/>
        </w:rPr>
        <w:t xml:space="preserve">., 2020; </w:t>
      </w:r>
      <w:r>
        <w:rPr>
          <w:rFonts w:ascii="Arial" w:hAnsi="Arial" w:eastAsia="SimSun" w:cs="Arial"/>
          <w:i w:val="0"/>
          <w:iCs w:val="0"/>
          <w:caps w:val="0"/>
          <w:color w:val="222222"/>
          <w:spacing w:val="0"/>
          <w:sz w:val="19"/>
          <w:szCs w:val="19"/>
          <w:shd w:val="clear" w:fill="FFFFFF"/>
        </w:rPr>
        <w:t>Mahar</w:t>
      </w:r>
      <w:r>
        <w:rPr>
          <w:rFonts w:hint="default" w:ascii="Arial" w:hAnsi="Arial" w:eastAsia="SimSun" w:cs="Arial"/>
          <w:i/>
          <w:iCs/>
          <w:caps w:val="0"/>
          <w:color w:val="222222"/>
          <w:spacing w:val="0"/>
          <w:sz w:val="19"/>
          <w:szCs w:val="19"/>
          <w:shd w:val="clear" w:fill="FFFFFF"/>
          <w:lang w:val="en-US"/>
        </w:rPr>
        <w:t xml:space="preserve"> et al.</w:t>
      </w:r>
      <w:r>
        <w:rPr>
          <w:rFonts w:hint="default" w:ascii="Arial" w:hAnsi="Arial" w:eastAsia="SimSun" w:cs="Arial"/>
          <w:i w:val="0"/>
          <w:iCs w:val="0"/>
          <w:caps w:val="0"/>
          <w:color w:val="222222"/>
          <w:spacing w:val="0"/>
          <w:sz w:val="19"/>
          <w:szCs w:val="19"/>
          <w:shd w:val="clear" w:fill="FFFFFF"/>
          <w:lang w:val="en-US"/>
        </w:rPr>
        <w:t xml:space="preserve">, 2022;  </w:t>
      </w:r>
      <w:r>
        <w:rPr>
          <w:rFonts w:ascii="Arial" w:hAnsi="Arial" w:eastAsia="SimSun" w:cs="Arial"/>
          <w:sz w:val="19"/>
          <w:szCs w:val="19"/>
          <w:shd w:val="clear" w:color="auto" w:fill="FFFFFF"/>
        </w:rPr>
        <w:t xml:space="preserve">Hussain </w:t>
      </w:r>
      <w:r>
        <w:rPr>
          <w:rFonts w:ascii="Arial" w:hAnsi="Arial" w:eastAsia="SimSun" w:cs="Arial"/>
          <w:i/>
          <w:iCs/>
          <w:sz w:val="19"/>
          <w:szCs w:val="19"/>
          <w:shd w:val="clear" w:color="auto" w:fill="FFFFFF"/>
          <w:lang w:val="en-US"/>
        </w:rPr>
        <w:t>et al</w:t>
      </w:r>
      <w:r>
        <w:rPr>
          <w:rFonts w:ascii="Arial" w:hAnsi="Arial" w:eastAsia="SimSun" w:cs="Arial"/>
          <w:i/>
          <w:iCs/>
          <w:sz w:val="19"/>
          <w:szCs w:val="19"/>
          <w:shd w:val="clear" w:color="auto" w:fill="FFFFFF"/>
        </w:rPr>
        <w:t>.</w:t>
      </w:r>
      <w:r>
        <w:rPr>
          <w:rFonts w:ascii="Arial" w:hAnsi="Arial" w:eastAsia="SimSun" w:cs="Arial"/>
          <w:sz w:val="19"/>
          <w:szCs w:val="19"/>
          <w:shd w:val="clear" w:color="auto" w:fill="FFFFFF"/>
        </w:rPr>
        <w:t xml:space="preserve">, 2023; Nacer </w:t>
      </w:r>
      <w:r>
        <w:rPr>
          <w:rFonts w:ascii="Arial" w:hAnsi="Arial" w:eastAsia="SimSun" w:cs="Arial"/>
          <w:i/>
          <w:iCs/>
          <w:sz w:val="19"/>
          <w:szCs w:val="19"/>
          <w:shd w:val="clear" w:color="auto" w:fill="FFFFFF"/>
          <w:lang w:val="en-US"/>
        </w:rPr>
        <w:t>et al</w:t>
      </w:r>
      <w:r>
        <w:rPr>
          <w:rFonts w:ascii="Arial" w:hAnsi="Arial" w:eastAsia="SimSun" w:cs="Arial"/>
          <w:sz w:val="19"/>
          <w:szCs w:val="19"/>
          <w:shd w:val="clear" w:color="auto" w:fill="FFFFFF"/>
        </w:rPr>
        <w:t>., 2024</w:t>
      </w:r>
      <w:r>
        <w:rPr>
          <w:rFonts w:ascii="Arial" w:hAnsi="Arial" w:cs="Arial"/>
        </w:rPr>
        <w:t xml:space="preserve">). </w:t>
      </w:r>
    </w:p>
    <w:p w14:paraId="6FFFAE95">
      <w:pPr>
        <w:pStyle w:val="24"/>
        <w:spacing w:after="0"/>
        <w:rPr>
          <w:rFonts w:ascii="SimSun" w:hAnsi="SimSun" w:eastAsia="SimSun" w:cs="SimSun"/>
          <w:sz w:val="24"/>
          <w:szCs w:val="24"/>
        </w:rPr>
      </w:pPr>
    </w:p>
    <w:p w14:paraId="3ED98383">
      <w:pPr>
        <w:pStyle w:val="24"/>
        <w:spacing w:after="0"/>
        <w:rPr>
          <w:rFonts w:ascii="Arial" w:hAnsi="Arial" w:cs="Arial"/>
        </w:rPr>
      </w:pPr>
    </w:p>
    <w:p w14:paraId="39971C52">
      <w:pPr>
        <w:pStyle w:val="24"/>
        <w:spacing w:after="0"/>
        <w:rPr>
          <w:rFonts w:ascii="Arial" w:hAnsi="Arial" w:cs="Arial"/>
        </w:rPr>
      </w:pPr>
    </w:p>
    <w:p w14:paraId="7526468F">
      <w:pPr>
        <w:pStyle w:val="24"/>
        <w:spacing w:after="0"/>
        <w:rPr>
          <w:rFonts w:ascii="Arial" w:hAnsi="Arial" w:cs="Arial"/>
        </w:rPr>
      </w:pPr>
    </w:p>
    <w:p w14:paraId="586DD4CF">
      <w:pPr>
        <w:pStyle w:val="24"/>
        <w:spacing w:after="0"/>
        <w:rPr>
          <w:rFonts w:ascii="Arial" w:hAnsi="Arial" w:cs="Arial"/>
        </w:rPr>
      </w:pPr>
    </w:p>
    <w:p w14:paraId="0889E298">
      <w:pPr>
        <w:pStyle w:val="24"/>
        <w:spacing w:after="0"/>
        <w:rPr>
          <w:rFonts w:ascii="Arial" w:hAnsi="Arial" w:cs="Arial"/>
        </w:rPr>
      </w:pPr>
    </w:p>
    <w:p w14:paraId="2CC68915">
      <w:pPr>
        <w:pStyle w:val="29"/>
        <w:spacing w:after="0"/>
        <w:jc w:val="both"/>
        <w:rPr>
          <w:rFonts w:ascii="Arial" w:hAnsi="Arial" w:cs="Arial"/>
        </w:rPr>
      </w:pPr>
      <w:r>
        <w:rPr>
          <w:rFonts w:ascii="Arial" w:hAnsi="Arial" w:cs="Arial"/>
        </w:rPr>
        <w:t>4. Conclusion</w:t>
      </w:r>
    </w:p>
    <w:p w14:paraId="5785B661">
      <w:pPr>
        <w:pStyle w:val="24"/>
        <w:spacing w:after="0"/>
        <w:rPr>
          <w:rFonts w:ascii="Arial" w:hAnsi="Arial" w:cs="Arial"/>
        </w:rPr>
      </w:pPr>
    </w:p>
    <w:p w14:paraId="3FB29994">
      <w:pPr>
        <w:pStyle w:val="24"/>
        <w:spacing w:after="0"/>
        <w:rPr>
          <w:rFonts w:ascii="Arial" w:hAnsi="Arial" w:cs="Arial"/>
        </w:rPr>
      </w:pPr>
    </w:p>
    <w:p w14:paraId="41BAA3A6">
      <w:pPr>
        <w:pStyle w:val="24"/>
        <w:spacing w:after="0"/>
        <w:rPr>
          <w:rFonts w:ascii="Arial" w:hAnsi="Arial" w:cs="Arial"/>
        </w:rPr>
      </w:pPr>
    </w:p>
    <w:p w14:paraId="3024EBD3">
      <w:pPr>
        <w:pStyle w:val="24"/>
        <w:spacing w:after="0"/>
        <w:rPr>
          <w:rFonts w:ascii="Arial" w:hAnsi="Arial" w:cs="Arial"/>
        </w:rPr>
      </w:pPr>
      <w:r>
        <w:rPr>
          <w:rFonts w:ascii="Arial" w:hAnsi="Arial" w:cs="Arial"/>
        </w:rPr>
        <w:t xml:space="preserve">In this study, the ability of </w:t>
      </w:r>
      <w:r>
        <w:rPr>
          <w:rFonts w:ascii="Arial" w:hAnsi="Arial" w:eastAsia="Helvetica" w:cs="Arial"/>
          <w:i/>
          <w:iCs/>
          <w:shd w:val="clear" w:color="auto" w:fill="FFFFFF"/>
        </w:rPr>
        <w:t>C. citratus</w:t>
      </w:r>
      <w:r>
        <w:rPr>
          <w:rFonts w:ascii="Arial" w:hAnsi="Arial" w:eastAsia="Helvetica" w:cs="Arial"/>
          <w:shd w:val="clear" w:color="auto" w:fill="FFFFFF"/>
        </w:rPr>
        <w:t xml:space="preserve"> extract</w:t>
      </w:r>
      <w:r>
        <w:rPr>
          <w:rFonts w:ascii="Arial" w:hAnsi="Arial" w:cs="Arial"/>
        </w:rPr>
        <w:t xml:space="preserve"> to restore hepatocyte membrane integrity, </w:t>
      </w:r>
      <w:r>
        <w:rPr>
          <w:rFonts w:ascii="Arial" w:hAnsi="Arial" w:eastAsia="Helvetica" w:cs="Arial"/>
          <w:shd w:val="clear" w:color="auto" w:fill="FFFFFF"/>
        </w:rPr>
        <w:t xml:space="preserve">hepatic synthetic function, impede lipid peroxidation, reduce cholestasis and the immunosuppressive effect of CCl4, </w:t>
      </w:r>
      <w:r>
        <w:rPr>
          <w:rFonts w:ascii="Arial" w:hAnsi="Arial" w:cs="Arial"/>
        </w:rPr>
        <w:t xml:space="preserve">suggest that </w:t>
      </w:r>
      <w:r>
        <w:rPr>
          <w:rFonts w:ascii="Arial" w:hAnsi="Arial" w:eastAsia="Helvetica" w:cs="Arial"/>
          <w:shd w:val="clear" w:color="auto" w:fill="FFFFFF"/>
        </w:rPr>
        <w:t xml:space="preserve">aqueous extract of </w:t>
      </w:r>
      <w:r>
        <w:rPr>
          <w:rFonts w:ascii="Arial" w:hAnsi="Arial" w:eastAsia="Helvetica" w:cs="Arial"/>
          <w:i/>
          <w:iCs/>
          <w:shd w:val="clear" w:color="auto" w:fill="FFFFFF"/>
        </w:rPr>
        <w:t>C. citratus</w:t>
      </w:r>
      <w:r>
        <w:rPr>
          <w:rFonts w:ascii="Arial" w:hAnsi="Arial" w:cs="Arial"/>
        </w:rPr>
        <w:t xml:space="preserve"> posses the ability to restore liver health after hepatocellular and c</w:t>
      </w:r>
      <w:r>
        <w:rPr>
          <w:rStyle w:val="19"/>
          <w:rFonts w:ascii="Arial" w:hAnsi="Arial" w:eastAsia="Arial" w:cs="Arial"/>
          <w:b w:val="0"/>
          <w:bCs w:val="0"/>
          <w:shd w:val="clear" w:color="auto" w:fill="FFFFFF"/>
        </w:rPr>
        <w:t xml:space="preserve">holestatic injury. </w:t>
      </w:r>
      <w:r>
        <w:rPr>
          <w:rFonts w:ascii="Arial" w:hAnsi="Arial" w:cs="Arial"/>
        </w:rPr>
        <w:t xml:space="preserve">Hepatototoxin which provoke hepatic injury producing pathophysiology that progress to  liver disease such as hepatitis, hepatic </w:t>
      </w:r>
      <w:r>
        <w:rPr>
          <w:rFonts w:ascii="Arial" w:hAnsi="Arial" w:eastAsia="Arial" w:cs="Arial"/>
        </w:rPr>
        <w:t>steatosis, steatohepatitis, hepatocellular carcinoma, cirrhosis and fibrosis</w:t>
      </w:r>
      <w:r>
        <w:rPr>
          <w:rFonts w:ascii="Arial" w:hAnsi="Arial" w:cs="Arial"/>
        </w:rPr>
        <w:t xml:space="preserve">  are used to evaluate the ability of drug candidates to treat liver diseases. Hence, the findings of this study points at </w:t>
      </w:r>
      <w:r>
        <w:rPr>
          <w:rFonts w:ascii="Arial" w:hAnsi="Arial" w:eastAsia="Helvetica" w:cs="Arial"/>
          <w:i/>
          <w:iCs/>
          <w:shd w:val="clear" w:color="auto" w:fill="FFFFFF"/>
        </w:rPr>
        <w:t xml:space="preserve">C. citratus </w:t>
      </w:r>
      <w:r>
        <w:rPr>
          <w:rFonts w:ascii="Arial" w:hAnsi="Arial" w:eastAsia="Helvetica" w:cs="Arial"/>
          <w:shd w:val="clear" w:color="auto" w:fill="FFFFFF"/>
        </w:rPr>
        <w:t>as</w:t>
      </w:r>
      <w:r>
        <w:rPr>
          <w:rFonts w:ascii="Arial" w:hAnsi="Arial" w:eastAsia="Helvetica" w:cs="Arial"/>
          <w:i/>
          <w:iCs/>
          <w:shd w:val="clear" w:color="auto" w:fill="FFFFFF"/>
        </w:rPr>
        <w:t xml:space="preserve"> </w:t>
      </w:r>
      <w:r>
        <w:rPr>
          <w:rFonts w:ascii="Arial" w:hAnsi="Arial" w:eastAsia="Helvetica" w:cs="Arial"/>
          <w:shd w:val="clear" w:color="auto" w:fill="FFFFFF"/>
        </w:rPr>
        <w:t xml:space="preserve">a promising candidate in the development of medications aimed at ameliorating liver injury and diseases. However, further studies are required to explain the exact mechanism of action behind the hepatocyte restoring ability of </w:t>
      </w:r>
      <w:r>
        <w:rPr>
          <w:rFonts w:ascii="Arial" w:hAnsi="Arial" w:eastAsia="Helvetica" w:cs="Arial"/>
          <w:i/>
          <w:iCs/>
          <w:shd w:val="clear" w:color="auto" w:fill="FFFFFF"/>
        </w:rPr>
        <w:t xml:space="preserve">C. citratus </w:t>
      </w:r>
      <w:r>
        <w:rPr>
          <w:rFonts w:ascii="Arial" w:hAnsi="Arial" w:eastAsia="Helvetica" w:cs="Arial"/>
          <w:shd w:val="clear" w:color="auto" w:fill="FFFFFF"/>
        </w:rPr>
        <w:t>extract and isolate the phytochemical responsible for this effect.</w:t>
      </w:r>
    </w:p>
    <w:p w14:paraId="1377D34C">
      <w:pPr>
        <w:pStyle w:val="30"/>
        <w:spacing w:after="0"/>
        <w:jc w:val="both"/>
        <w:rPr>
          <w:rFonts w:ascii="Arial" w:hAnsi="Arial" w:cs="Arial"/>
        </w:rPr>
      </w:pPr>
    </w:p>
    <w:p w14:paraId="17DF170A">
      <w:pPr>
        <w:pStyle w:val="31"/>
        <w:spacing w:after="0"/>
        <w:jc w:val="both"/>
        <w:rPr>
          <w:rFonts w:ascii="Arial" w:hAnsi="Arial" w:cs="Arial"/>
          <w:b w:val="0"/>
          <w:bCs/>
          <w:caps w:val="0"/>
          <w:sz w:val="20"/>
        </w:rPr>
      </w:pPr>
    </w:p>
    <w:p w14:paraId="64838BDC">
      <w:pPr>
        <w:pStyle w:val="31"/>
        <w:spacing w:after="0"/>
        <w:jc w:val="both"/>
        <w:rPr>
          <w:rFonts w:ascii="Arial" w:hAnsi="Arial" w:cs="Arial"/>
          <w:b w:val="0"/>
          <w:caps w:val="0"/>
          <w:sz w:val="20"/>
        </w:rPr>
      </w:pPr>
    </w:p>
    <w:p w14:paraId="25995DBA">
      <w:pPr>
        <w:pStyle w:val="31"/>
        <w:spacing w:after="0"/>
        <w:jc w:val="both"/>
        <w:rPr>
          <w:rFonts w:ascii="Arial" w:hAnsi="Arial" w:cs="Arial"/>
          <w:b w:val="0"/>
          <w:caps w:val="0"/>
          <w:sz w:val="20"/>
        </w:rPr>
      </w:pPr>
    </w:p>
    <w:p w14:paraId="07AD6424">
      <w:pPr>
        <w:pStyle w:val="31"/>
        <w:spacing w:after="0"/>
        <w:jc w:val="both"/>
        <w:rPr>
          <w:rFonts w:ascii="Arial" w:hAnsi="Arial" w:cs="Arial"/>
          <w:bCs/>
        </w:rPr>
      </w:pPr>
      <w:r>
        <w:rPr>
          <w:rFonts w:ascii="Arial" w:hAnsi="Arial" w:cs="Arial"/>
          <w:bCs/>
        </w:rPr>
        <w:t xml:space="preserve">Ethical approval </w:t>
      </w:r>
    </w:p>
    <w:p w14:paraId="21E77C11">
      <w:pPr>
        <w:pStyle w:val="31"/>
        <w:spacing w:after="0"/>
        <w:jc w:val="both"/>
        <w:rPr>
          <w:rFonts w:ascii="Arial" w:hAnsi="Arial" w:cs="Arial"/>
          <w:bCs/>
        </w:rPr>
      </w:pPr>
    </w:p>
    <w:p w14:paraId="488F5A7D">
      <w:pPr>
        <w:pStyle w:val="31"/>
        <w:spacing w:after="0"/>
        <w:jc w:val="both"/>
        <w:rPr>
          <w:rFonts w:ascii="Arial" w:hAnsi="Arial" w:cs="Arial"/>
          <w:b w:val="0"/>
          <w:caps w:val="0"/>
          <w:sz w:val="20"/>
        </w:rPr>
      </w:pPr>
      <w:r>
        <w:rPr>
          <w:rFonts w:ascii="Arial" w:hAnsi="Arial" w:cs="Arial"/>
          <w:b w:val="0"/>
          <w:caps w:val="0"/>
          <w:sz w:val="20"/>
        </w:rPr>
        <w:t xml:space="preserve"> </w:t>
      </w:r>
    </w:p>
    <w:p w14:paraId="3E8F3DBC">
      <w:pPr>
        <w:pStyle w:val="31"/>
        <w:spacing w:after="0"/>
        <w:jc w:val="both"/>
        <w:rPr>
          <w:rFonts w:ascii="Arial" w:hAnsi="Arial" w:eastAsia="sans-serif" w:cs="Arial"/>
          <w:b w:val="0"/>
          <w:caps w:val="0"/>
          <w:sz w:val="20"/>
          <w:shd w:val="clear" w:color="auto" w:fill="FFFFFF"/>
        </w:rPr>
      </w:pPr>
      <w:r>
        <w:rPr>
          <w:rFonts w:ascii="Arial" w:hAnsi="Arial" w:cs="Arial"/>
          <w:b w:val="0"/>
          <w:caps w:val="0"/>
          <w:sz w:val="20"/>
        </w:rPr>
        <w:t xml:space="preserve">This research was done in accordance with the </w:t>
      </w:r>
      <w:r>
        <w:rPr>
          <w:rFonts w:ascii="Arial" w:hAnsi="Arial" w:eastAsia="sans-serif" w:cs="Arial"/>
          <w:b w:val="0"/>
          <w:caps w:val="0"/>
          <w:sz w:val="20"/>
          <w:shd w:val="clear" w:color="auto" w:fill="FFFFFF"/>
        </w:rPr>
        <w:t>National Institutes of Health (NIH) ethical guidelines for animal experiment.</w:t>
      </w:r>
    </w:p>
    <w:p w14:paraId="18402459">
      <w:pPr>
        <w:pStyle w:val="31"/>
        <w:spacing w:after="0"/>
        <w:jc w:val="both"/>
        <w:rPr>
          <w:rFonts w:ascii="sans-serif" w:hAnsi="sans-serif" w:eastAsia="sans-serif" w:cs="sans-serif"/>
          <w:caps w:val="0"/>
          <w:sz w:val="24"/>
          <w:szCs w:val="24"/>
          <w:shd w:val="clear" w:color="auto" w:fill="FFFFFF"/>
        </w:rPr>
      </w:pPr>
    </w:p>
    <w:p w14:paraId="5460D543">
      <w:pPr>
        <w:rPr>
          <w:rFonts w:hint="default" w:ascii="Arial" w:hAnsi="Arial" w:cs="Arial"/>
          <w:b/>
          <w:bCs/>
          <w:sz w:val="22"/>
          <w:szCs w:val="22"/>
        </w:rPr>
      </w:pPr>
      <w:bookmarkStart w:id="0" w:name="_Hlk193540946"/>
      <w:bookmarkStart w:id="1" w:name="_Hlk180402183"/>
      <w:bookmarkStart w:id="2" w:name="_Hlk183680988"/>
      <w:r>
        <w:rPr>
          <w:rFonts w:hint="default" w:ascii="Arial" w:hAnsi="Arial" w:cs="Arial"/>
          <w:b/>
          <w:bCs/>
          <w:sz w:val="22"/>
          <w:szCs w:val="22"/>
        </w:rPr>
        <w:t>DISCLAIMER (ARTIFICIAL INTELLIGENCE)</w:t>
      </w:r>
    </w:p>
    <w:p w14:paraId="31CDB68A">
      <w:pPr>
        <w:rPr>
          <w:rFonts w:hint="default" w:ascii="Arial" w:hAnsi="Arial" w:cs="Arial"/>
        </w:rPr>
      </w:pPr>
    </w:p>
    <w:p w14:paraId="01E3779C">
      <w:pPr>
        <w:rPr>
          <w:rFonts w:hint="default" w:ascii="Arial" w:hAnsi="Arial" w:cs="Arial"/>
        </w:rPr>
      </w:pPr>
      <w:r>
        <w:rPr>
          <w:rFonts w:hint="default"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6FBF3602">
      <w:pPr>
        <w:pStyle w:val="31"/>
        <w:spacing w:after="0"/>
        <w:jc w:val="both"/>
        <w:rPr>
          <w:rFonts w:ascii="sans-serif" w:hAnsi="sans-serif" w:eastAsia="sans-serif" w:cs="sans-serif"/>
          <w:caps w:val="0"/>
          <w:sz w:val="24"/>
          <w:szCs w:val="24"/>
          <w:shd w:val="clear" w:color="auto" w:fill="FFFFFF"/>
        </w:rPr>
      </w:pPr>
    </w:p>
    <w:p w14:paraId="1587D61A">
      <w:pPr>
        <w:pStyle w:val="31"/>
        <w:spacing w:after="0"/>
        <w:jc w:val="both"/>
        <w:rPr>
          <w:rFonts w:ascii="Arial" w:hAnsi="Arial" w:cs="Arial"/>
        </w:rPr>
      </w:pPr>
    </w:p>
    <w:p w14:paraId="172D622A">
      <w:pPr>
        <w:pStyle w:val="31"/>
        <w:spacing w:after="0"/>
        <w:jc w:val="both"/>
        <w:rPr>
          <w:rFonts w:ascii="Arial" w:hAnsi="Arial" w:cs="Arial"/>
        </w:rPr>
      </w:pPr>
      <w:r>
        <w:rPr>
          <w:rFonts w:ascii="Arial" w:hAnsi="Arial" w:cs="Arial"/>
        </w:rPr>
        <w:t>References</w:t>
      </w:r>
    </w:p>
    <w:p w14:paraId="431B9A02">
      <w:pPr>
        <w:pStyle w:val="31"/>
        <w:spacing w:after="0"/>
        <w:jc w:val="both"/>
        <w:rPr>
          <w:rFonts w:ascii="Arial" w:hAnsi="Arial" w:cs="Arial"/>
        </w:rPr>
      </w:pPr>
    </w:p>
    <w:p w14:paraId="14F013C6">
      <w:pPr>
        <w:jc w:val="both"/>
        <w:rPr>
          <w:rFonts w:ascii="Arial" w:hAnsi="Arial" w:eastAsia="SimSun" w:cs="Arial"/>
          <w:shd w:val="clear" w:color="auto" w:fill="FFFFFF"/>
        </w:rPr>
      </w:pPr>
      <w:r>
        <w:rPr>
          <w:rFonts w:ascii="Arial" w:hAnsi="Arial" w:eastAsia="SimSun" w:cs="Arial"/>
          <w:shd w:val="clear" w:color="auto" w:fill="FFFFFF"/>
        </w:rPr>
        <w:t xml:space="preserve">Abbasi, E., Vafaei, S.A., Naseri, N., Darini, A., Azandaryani, M.T., Ara, F.K. </w:t>
      </w:r>
      <w:r>
        <w:rPr>
          <w:rFonts w:ascii="Arial" w:hAnsi="Arial" w:cs="Arial"/>
        </w:rPr>
        <w:t>&amp;</w:t>
      </w:r>
      <w:r>
        <w:rPr>
          <w:rFonts w:ascii="Arial" w:hAnsi="Arial" w:eastAsia="SimSun" w:cs="Arial"/>
          <w:shd w:val="clear" w:color="auto" w:fill="FFFFFF"/>
        </w:rPr>
        <w:t xml:space="preserve"> Mirzaei, F. (2021). Protective effects of cerium oxide nanoparticles in non-alcoholic fatty liver disease (NAFLD) and carbon tetrachloride-induced liver damage in rats: Study on intestine and liver. </w:t>
      </w:r>
      <w:r>
        <w:rPr>
          <w:rFonts w:ascii="Arial" w:hAnsi="Arial" w:eastAsia="SimSun" w:cs="Arial"/>
          <w:i/>
          <w:iCs/>
          <w:shd w:val="clear" w:color="auto" w:fill="FFFFFF"/>
        </w:rPr>
        <w:t>Metabolism Open</w:t>
      </w:r>
      <w:r>
        <w:rPr>
          <w:rFonts w:ascii="Arial" w:hAnsi="Arial" w:eastAsia="SimSun" w:cs="Arial"/>
          <w:shd w:val="clear" w:color="auto" w:fill="FFFFFF"/>
        </w:rPr>
        <w:t>, </w:t>
      </w:r>
      <w:r>
        <w:rPr>
          <w:rFonts w:ascii="Arial" w:hAnsi="Arial" w:eastAsia="SimSun" w:cs="Arial"/>
          <w:i/>
          <w:iCs/>
          <w:shd w:val="clear" w:color="auto" w:fill="FFFFFF"/>
        </w:rPr>
        <w:t>12</w:t>
      </w:r>
      <w:r>
        <w:rPr>
          <w:rFonts w:ascii="Arial" w:hAnsi="Arial" w:eastAsia="SimSun" w:cs="Arial"/>
          <w:shd w:val="clear" w:color="auto" w:fill="FFFFFF"/>
        </w:rPr>
        <w:t>, 100151.</w:t>
      </w:r>
    </w:p>
    <w:p w14:paraId="59334CA0">
      <w:pPr>
        <w:jc w:val="both"/>
        <w:rPr>
          <w:rFonts w:ascii="Arial" w:hAnsi="Arial" w:eastAsia="SimSun" w:cs="Arial"/>
          <w:shd w:val="clear" w:color="auto" w:fill="FFFFFF"/>
        </w:rPr>
      </w:pPr>
    </w:p>
    <w:p w14:paraId="200F6AB9">
      <w:pPr>
        <w:jc w:val="both"/>
        <w:rPr>
          <w:rFonts w:ascii="Arial" w:hAnsi="Arial" w:eastAsia="SimSun" w:cs="Arial"/>
          <w:shd w:val="clear" w:color="auto" w:fill="FFFFFF"/>
        </w:rPr>
      </w:pPr>
      <w:r>
        <w:rPr>
          <w:rFonts w:ascii="Arial" w:hAnsi="Arial" w:eastAsia="SimSun" w:cs="Arial"/>
          <w:shd w:val="clear" w:color="auto" w:fill="FFFFFF"/>
        </w:rPr>
        <w:t xml:space="preserve">Abdul Basit, M., Abdul Kadir, A., Loh, T.C., Abdul Aziz, S., Salleh, A., Kaka, U. </w:t>
      </w:r>
      <w:r>
        <w:rPr>
          <w:rFonts w:ascii="Arial" w:hAnsi="Arial" w:cs="Arial"/>
        </w:rPr>
        <w:t>&amp;</w:t>
      </w:r>
      <w:r>
        <w:rPr>
          <w:rFonts w:ascii="Arial" w:hAnsi="Arial" w:eastAsia="SimSun" w:cs="Arial"/>
          <w:shd w:val="clear" w:color="auto" w:fill="FFFFFF"/>
        </w:rPr>
        <w:t xml:space="preserve"> Banke Idris, S. (2020). Effects of inclusion of different doses of Persicaria odorata leaf meal (POLM) in broiler chicken feed on biochemical and haematological blood indicators and liver histomorphological changes. </w:t>
      </w:r>
      <w:r>
        <w:rPr>
          <w:rFonts w:ascii="Arial" w:hAnsi="Arial" w:eastAsia="SimSun" w:cs="Arial"/>
          <w:i/>
          <w:iCs/>
          <w:shd w:val="clear" w:color="auto" w:fill="FFFFFF"/>
        </w:rPr>
        <w:t>Animals</w:t>
      </w:r>
      <w:r>
        <w:rPr>
          <w:rFonts w:ascii="Arial" w:hAnsi="Arial" w:eastAsia="SimSun" w:cs="Arial"/>
          <w:shd w:val="clear" w:color="auto" w:fill="FFFFFF"/>
        </w:rPr>
        <w:t>, </w:t>
      </w:r>
      <w:r>
        <w:rPr>
          <w:rFonts w:ascii="Arial" w:hAnsi="Arial" w:eastAsia="SimSun" w:cs="Arial"/>
          <w:i/>
          <w:iCs/>
          <w:shd w:val="clear" w:color="auto" w:fill="FFFFFF"/>
        </w:rPr>
        <w:t>10</w:t>
      </w:r>
      <w:r>
        <w:rPr>
          <w:rFonts w:ascii="Arial" w:hAnsi="Arial" w:eastAsia="SimSun" w:cs="Arial"/>
          <w:shd w:val="clear" w:color="auto" w:fill="FFFFFF"/>
        </w:rPr>
        <w:t>(7), 1209.</w:t>
      </w:r>
    </w:p>
    <w:p w14:paraId="0A7DF175">
      <w:pPr>
        <w:jc w:val="both"/>
        <w:rPr>
          <w:rFonts w:ascii="Arial" w:hAnsi="Arial" w:eastAsia="SimSun" w:cs="Arial"/>
          <w:shd w:val="clear" w:color="auto" w:fill="FFFFFF"/>
        </w:rPr>
      </w:pPr>
    </w:p>
    <w:p w14:paraId="1CA4DC77">
      <w:pPr>
        <w:jc w:val="both"/>
        <w:rPr>
          <w:rFonts w:ascii="Arial" w:hAnsi="Arial" w:eastAsia="SimSun" w:cs="Arial"/>
          <w:shd w:val="clear" w:color="auto" w:fill="FFFFFF"/>
        </w:rPr>
      </w:pPr>
      <w:r>
        <w:rPr>
          <w:rFonts w:ascii="Arial" w:hAnsi="Arial" w:eastAsia="SimSun" w:cs="Arial"/>
          <w:shd w:val="clear" w:color="auto" w:fill="FFFFFF"/>
        </w:rPr>
        <w:t>Abu, M. S., Yakubu, O. E., Onuche, J. I., &amp; Okpe, O. (2022). Lipid profiles, hematological parameters and histopathological analysis of CCl4-intoxicated wistar albino rats treated with n-butanol extract of Ficus glumosa leaves. </w:t>
      </w:r>
      <w:r>
        <w:rPr>
          <w:rFonts w:ascii="Arial" w:hAnsi="Arial" w:eastAsia="SimSun" w:cs="Arial"/>
          <w:i/>
          <w:iCs/>
          <w:shd w:val="clear" w:color="auto" w:fill="FFFFFF"/>
        </w:rPr>
        <w:t>Cell Biology and Development</w:t>
      </w:r>
      <w:r>
        <w:rPr>
          <w:rFonts w:ascii="Arial" w:hAnsi="Arial" w:eastAsia="SimSun" w:cs="Arial"/>
          <w:shd w:val="clear" w:color="auto" w:fill="FFFFFF"/>
        </w:rPr>
        <w:t>, </w:t>
      </w:r>
      <w:r>
        <w:rPr>
          <w:rFonts w:ascii="Arial" w:hAnsi="Arial" w:eastAsia="SimSun" w:cs="Arial"/>
          <w:i/>
          <w:iCs/>
          <w:shd w:val="clear" w:color="auto" w:fill="FFFFFF"/>
        </w:rPr>
        <w:t>6</w:t>
      </w:r>
      <w:r>
        <w:rPr>
          <w:rFonts w:ascii="Arial" w:hAnsi="Arial" w:eastAsia="SimSun" w:cs="Arial"/>
          <w:shd w:val="clear" w:color="auto" w:fill="FFFFFF"/>
        </w:rPr>
        <w:t>(1).</w:t>
      </w:r>
    </w:p>
    <w:p w14:paraId="7BAA753A">
      <w:pPr>
        <w:jc w:val="both"/>
        <w:rPr>
          <w:rFonts w:ascii="Arial" w:hAnsi="Arial" w:eastAsia="SimSun" w:cs="Arial"/>
          <w:shd w:val="clear" w:color="auto" w:fill="FFFFFF"/>
        </w:rPr>
      </w:pPr>
    </w:p>
    <w:p w14:paraId="55603485">
      <w:pPr>
        <w:jc w:val="both"/>
        <w:rPr>
          <w:rFonts w:ascii="Arial" w:hAnsi="Arial" w:eastAsia="Segoe UI" w:cs="Arial"/>
          <w:shd w:val="clear" w:color="auto" w:fill="FFFFFF"/>
        </w:rPr>
      </w:pPr>
      <w:r>
        <w:rPr>
          <w:rFonts w:ascii="Arial" w:hAnsi="Arial" w:eastAsia="Segoe UI" w:cs="Arial"/>
          <w:shd w:val="clear" w:color="auto" w:fill="FFFFFF"/>
        </w:rPr>
        <w:t>Al Amin, A. S. M., &amp; Menezes, R. G. (2023). Carbon Tetrachloride Toxicity. In </w:t>
      </w:r>
      <w:r>
        <w:rPr>
          <w:rFonts w:ascii="Arial" w:hAnsi="Arial" w:eastAsia="Segoe UI" w:cs="Arial"/>
          <w:i/>
          <w:iCs/>
          <w:shd w:val="clear" w:color="auto" w:fill="FFFFFF"/>
        </w:rPr>
        <w:t>StatPearls</w:t>
      </w:r>
      <w:r>
        <w:rPr>
          <w:rFonts w:ascii="Arial" w:hAnsi="Arial" w:eastAsia="Segoe UI" w:cs="Arial"/>
          <w:shd w:val="clear" w:color="auto" w:fill="FFFFFF"/>
        </w:rPr>
        <w:t>. StatPearls Publishing.</w:t>
      </w:r>
    </w:p>
    <w:p w14:paraId="66CBB54B">
      <w:pPr>
        <w:jc w:val="both"/>
        <w:rPr>
          <w:rFonts w:ascii="Arial" w:hAnsi="Arial" w:eastAsia="Segoe UI" w:cs="Arial"/>
          <w:shd w:val="clear" w:color="auto" w:fill="FFFFFF"/>
        </w:rPr>
      </w:pPr>
    </w:p>
    <w:p w14:paraId="2FF6FC6D">
      <w:pPr>
        <w:jc w:val="both"/>
        <w:rPr>
          <w:rFonts w:ascii="Arial" w:hAnsi="Arial" w:eastAsia="SimSun" w:cs="Arial"/>
          <w:shd w:val="clear" w:color="auto" w:fill="FFFFFF"/>
        </w:rPr>
      </w:pPr>
      <w:r>
        <w:rPr>
          <w:rFonts w:ascii="Arial" w:hAnsi="Arial" w:eastAsia="SimSun" w:cs="Arial"/>
          <w:shd w:val="clear" w:color="auto" w:fill="FFFFFF"/>
        </w:rPr>
        <w:t xml:space="preserve">Algefare, A.I., Alfwuaires, M., Famurewa, A.C., Elsawy, H. </w:t>
      </w:r>
      <w:r>
        <w:rPr>
          <w:rFonts w:ascii="Arial" w:hAnsi="Arial" w:cs="Arial"/>
        </w:rPr>
        <w:t>&amp;</w:t>
      </w:r>
      <w:r>
        <w:rPr>
          <w:rFonts w:ascii="Arial" w:hAnsi="Arial" w:eastAsia="SimSun" w:cs="Arial"/>
          <w:shd w:val="clear" w:color="auto" w:fill="FFFFFF"/>
        </w:rPr>
        <w:t xml:space="preserve"> Sedky, A. (2024). Geraniol prevents CCl4-induced hepatotoxicity via suppression of hepatic oxidative stress, pro-inflammation and apoptosis in rats. </w:t>
      </w:r>
      <w:r>
        <w:rPr>
          <w:rFonts w:ascii="Arial" w:hAnsi="Arial" w:eastAsia="SimSun" w:cs="Arial"/>
          <w:i/>
          <w:iCs/>
          <w:shd w:val="clear" w:color="auto" w:fill="FFFFFF"/>
        </w:rPr>
        <w:t>Toxicology reports</w:t>
      </w:r>
      <w:r>
        <w:rPr>
          <w:rFonts w:ascii="Arial" w:hAnsi="Arial" w:eastAsia="SimSun" w:cs="Arial"/>
          <w:shd w:val="clear" w:color="auto" w:fill="FFFFFF"/>
        </w:rPr>
        <w:t>, </w:t>
      </w:r>
      <w:r>
        <w:rPr>
          <w:rFonts w:ascii="Arial" w:hAnsi="Arial" w:eastAsia="SimSun" w:cs="Arial"/>
          <w:i/>
          <w:iCs/>
          <w:shd w:val="clear" w:color="auto" w:fill="FFFFFF"/>
        </w:rPr>
        <w:t>12</w:t>
      </w:r>
      <w:r>
        <w:rPr>
          <w:rFonts w:ascii="Arial" w:hAnsi="Arial" w:eastAsia="SimSun" w:cs="Arial"/>
          <w:shd w:val="clear" w:color="auto" w:fill="FFFFFF"/>
        </w:rPr>
        <w:t>, 128-134.</w:t>
      </w:r>
    </w:p>
    <w:p w14:paraId="313EB6F1">
      <w:pPr>
        <w:jc w:val="both"/>
        <w:rPr>
          <w:rFonts w:ascii="Arial" w:hAnsi="Arial" w:eastAsia="SimSun" w:cs="Arial"/>
          <w:shd w:val="clear" w:color="auto" w:fill="FFFFFF"/>
        </w:rPr>
      </w:pPr>
    </w:p>
    <w:p w14:paraId="4DFD111E">
      <w:pPr>
        <w:jc w:val="both"/>
        <w:rPr>
          <w:rFonts w:ascii="Arial" w:hAnsi="Arial" w:eastAsia="SimSun" w:cs="Arial"/>
          <w:shd w:val="clear" w:color="auto" w:fill="FFFFFF"/>
        </w:rPr>
      </w:pPr>
      <w:r>
        <w:rPr>
          <w:rFonts w:ascii="Arial" w:hAnsi="Arial" w:eastAsia="SimSun" w:cs="Arial"/>
          <w:shd w:val="clear" w:color="auto" w:fill="FFFFFF"/>
        </w:rPr>
        <w:t>Ali, A. A. (2025). Biochemical and Histological Study of Rat Liver Injury Induced by carbon tetrachloride (CCl4). </w:t>
      </w:r>
      <w:r>
        <w:rPr>
          <w:rFonts w:ascii="Arial" w:hAnsi="Arial" w:eastAsia="SimSun" w:cs="Arial"/>
          <w:i/>
          <w:iCs/>
          <w:shd w:val="clear" w:color="auto" w:fill="FFFFFF"/>
        </w:rPr>
        <w:t>Wasit Journal for Pure sciences</w:t>
      </w:r>
      <w:r>
        <w:rPr>
          <w:rFonts w:ascii="Arial" w:hAnsi="Arial" w:eastAsia="SimSun" w:cs="Arial"/>
          <w:shd w:val="clear" w:color="auto" w:fill="FFFFFF"/>
        </w:rPr>
        <w:t>, </w:t>
      </w:r>
      <w:r>
        <w:rPr>
          <w:rFonts w:ascii="Arial" w:hAnsi="Arial" w:eastAsia="SimSun" w:cs="Arial"/>
          <w:i/>
          <w:iCs/>
          <w:shd w:val="clear" w:color="auto" w:fill="FFFFFF"/>
        </w:rPr>
        <w:t>4</w:t>
      </w:r>
      <w:r>
        <w:rPr>
          <w:rFonts w:ascii="Arial" w:hAnsi="Arial" w:eastAsia="SimSun" w:cs="Arial"/>
          <w:shd w:val="clear" w:color="auto" w:fill="FFFFFF"/>
        </w:rPr>
        <w:t>(1), 156-167.</w:t>
      </w:r>
    </w:p>
    <w:p w14:paraId="00869660">
      <w:pPr>
        <w:jc w:val="both"/>
        <w:rPr>
          <w:rFonts w:ascii="Arial" w:hAnsi="Arial" w:eastAsia="SimSun" w:cs="Arial"/>
          <w:shd w:val="clear" w:color="auto" w:fill="FFFFFF"/>
        </w:rPr>
      </w:pPr>
    </w:p>
    <w:p w14:paraId="4643989F">
      <w:pPr>
        <w:jc w:val="both"/>
        <w:rPr>
          <w:rFonts w:ascii="Arial" w:hAnsi="Arial" w:eastAsia="SimSun" w:cs="Arial"/>
          <w:shd w:val="clear" w:color="auto" w:fill="FFFFFF"/>
        </w:rPr>
      </w:pPr>
      <w:r>
        <w:rPr>
          <w:rFonts w:ascii="Arial" w:hAnsi="Arial" w:eastAsia="SimSun" w:cs="Arial"/>
          <w:shd w:val="clear" w:color="auto" w:fill="FFFFFF"/>
        </w:rPr>
        <w:t xml:space="preserve">Allameh, A., Niayesh-Mehr, R., Aliarab, A., Sebastiani, G. </w:t>
      </w:r>
      <w:r>
        <w:rPr>
          <w:rFonts w:ascii="Arial" w:hAnsi="Arial" w:cs="Arial"/>
        </w:rPr>
        <w:t>&amp;</w:t>
      </w:r>
      <w:r>
        <w:rPr>
          <w:rFonts w:ascii="Arial" w:hAnsi="Arial" w:eastAsia="SimSun" w:cs="Arial"/>
          <w:shd w:val="clear" w:color="auto" w:fill="FFFFFF"/>
        </w:rPr>
        <w:t xml:space="preserve"> Pantopoulos, K. (2023). Oxidative stress in liver pathophysiology and disease. </w:t>
      </w:r>
      <w:r>
        <w:rPr>
          <w:rFonts w:ascii="Arial" w:hAnsi="Arial" w:eastAsia="SimSun" w:cs="Arial"/>
          <w:i/>
          <w:iCs/>
          <w:shd w:val="clear" w:color="auto" w:fill="FFFFFF"/>
        </w:rPr>
        <w:t>Antioxidants</w:t>
      </w:r>
      <w:r>
        <w:rPr>
          <w:rFonts w:ascii="Arial" w:hAnsi="Arial" w:eastAsia="SimSun" w:cs="Arial"/>
          <w:shd w:val="clear" w:color="auto" w:fill="FFFFFF"/>
        </w:rPr>
        <w:t>, </w:t>
      </w:r>
      <w:r>
        <w:rPr>
          <w:rFonts w:ascii="Arial" w:hAnsi="Arial" w:eastAsia="SimSun" w:cs="Arial"/>
          <w:i/>
          <w:iCs/>
          <w:shd w:val="clear" w:color="auto" w:fill="FFFFFF"/>
        </w:rPr>
        <w:t>12</w:t>
      </w:r>
      <w:r>
        <w:rPr>
          <w:rFonts w:ascii="Arial" w:hAnsi="Arial" w:eastAsia="SimSun" w:cs="Arial"/>
          <w:shd w:val="clear" w:color="auto" w:fill="FFFFFF"/>
        </w:rPr>
        <w:t>(9), 1653.</w:t>
      </w:r>
    </w:p>
    <w:p w14:paraId="2A42EB00">
      <w:pPr>
        <w:jc w:val="both"/>
        <w:rPr>
          <w:rFonts w:ascii="Arial" w:hAnsi="Arial" w:eastAsia="SimSun" w:cs="Arial"/>
          <w:shd w:val="clear" w:color="auto" w:fill="FFFFFF"/>
        </w:rPr>
      </w:pPr>
    </w:p>
    <w:p w14:paraId="643E18C5">
      <w:pPr>
        <w:jc w:val="both"/>
        <w:rPr>
          <w:rFonts w:ascii="Arial" w:hAnsi="Arial" w:eastAsia="SimSun" w:cs="Arial"/>
          <w:shd w:val="clear" w:color="auto" w:fill="FFFFFF"/>
        </w:rPr>
      </w:pPr>
      <w:r>
        <w:rPr>
          <w:rFonts w:ascii="Arial" w:hAnsi="Arial" w:eastAsia="SimSun" w:cs="Arial"/>
          <w:shd w:val="clear" w:color="auto" w:fill="FFFFFF"/>
        </w:rPr>
        <w:t xml:space="preserve">Almatroodi, S.A., Anwar, S., Almatroudi, A., Khan, A.A., Alrumaihi, F., Alsahli, M.A. </w:t>
      </w:r>
      <w:r>
        <w:rPr>
          <w:rFonts w:ascii="Arial" w:hAnsi="Arial" w:cs="Arial"/>
        </w:rPr>
        <w:t>&amp;</w:t>
      </w:r>
      <w:r>
        <w:rPr>
          <w:rFonts w:ascii="Arial" w:hAnsi="Arial" w:eastAsia="SimSun" w:cs="Arial"/>
          <w:shd w:val="clear" w:color="auto" w:fill="FFFFFF"/>
        </w:rPr>
        <w:t xml:space="preserve"> Rahmani, A.H. (2020). Hepatoprotective effects of garlic extract against carbon tetrachloride (CCl4)-induced liver injury via modulation of antioxidant, anti-inflammatory activities and hepatocyte architecture. </w:t>
      </w:r>
      <w:r>
        <w:rPr>
          <w:rFonts w:ascii="Arial" w:hAnsi="Arial" w:eastAsia="SimSun" w:cs="Arial"/>
          <w:i/>
          <w:iCs/>
          <w:shd w:val="clear" w:color="auto" w:fill="FFFFFF"/>
        </w:rPr>
        <w:t>Applied Sciences</w:t>
      </w:r>
      <w:r>
        <w:rPr>
          <w:rFonts w:ascii="Arial" w:hAnsi="Arial" w:eastAsia="SimSun" w:cs="Arial"/>
          <w:shd w:val="clear" w:color="auto" w:fill="FFFFFF"/>
        </w:rPr>
        <w:t>, </w:t>
      </w:r>
      <w:r>
        <w:rPr>
          <w:rFonts w:ascii="Arial" w:hAnsi="Arial" w:eastAsia="SimSun" w:cs="Arial"/>
          <w:i/>
          <w:iCs/>
          <w:shd w:val="clear" w:color="auto" w:fill="FFFFFF"/>
        </w:rPr>
        <w:t>10</w:t>
      </w:r>
      <w:r>
        <w:rPr>
          <w:rFonts w:ascii="Arial" w:hAnsi="Arial" w:eastAsia="SimSun" w:cs="Arial"/>
          <w:shd w:val="clear" w:color="auto" w:fill="FFFFFF"/>
        </w:rPr>
        <w:t>(18), 6200.</w:t>
      </w:r>
    </w:p>
    <w:p w14:paraId="3D491921">
      <w:pPr>
        <w:jc w:val="both"/>
        <w:rPr>
          <w:rFonts w:ascii="Arial" w:hAnsi="Arial" w:eastAsia="SimSun" w:cs="Arial"/>
          <w:shd w:val="clear" w:color="auto" w:fill="FFFFFF"/>
        </w:rPr>
      </w:pPr>
    </w:p>
    <w:p w14:paraId="3855DF7B">
      <w:pPr>
        <w:jc w:val="both"/>
        <w:rPr>
          <w:rFonts w:ascii="Arial" w:hAnsi="Arial" w:eastAsia="SimSun" w:cs="Arial"/>
          <w:shd w:val="clear" w:color="auto" w:fill="FFFFFF"/>
        </w:rPr>
      </w:pPr>
      <w:r>
        <w:rPr>
          <w:rFonts w:ascii="Arial" w:hAnsi="Arial" w:eastAsia="SimSun" w:cs="Arial"/>
          <w:shd w:val="clear" w:color="auto" w:fill="FFFFFF"/>
        </w:rPr>
        <w:t>Almohmadi, N. H., Aldhalmi, A. K., Zahran, M., Alhassani, W. E., Felemban, S. G., El-Nabtity, S. M., &amp; Shaheen, H. M. (2024). </w:t>
      </w:r>
      <w:r>
        <w:rPr>
          <w:rFonts w:ascii="Arial" w:hAnsi="Arial" w:eastAsia="SimSun" w:cs="Arial"/>
          <w:i/>
          <w:iCs/>
          <w:shd w:val="clear" w:color="auto" w:fill="FFFFFF"/>
        </w:rPr>
        <w:t>Hepatoprotective efficacy of Lagenaria siceraria seeds oil against experimentally carbon tetrachloride-induced toxicity. Open Veterinary Journal</w:t>
      </w:r>
      <w:r>
        <w:rPr>
          <w:rFonts w:ascii="Arial" w:hAnsi="Arial" w:eastAsia="SimSun" w:cs="Arial"/>
          <w:shd w:val="clear" w:color="auto" w:fill="FFFFFF"/>
        </w:rPr>
        <w:t>,</w:t>
      </w:r>
      <w:r>
        <w:rPr>
          <w:rFonts w:ascii="Arial" w:hAnsi="Arial" w:eastAsia="SimSun" w:cs="Arial"/>
          <w:i/>
          <w:iCs/>
          <w:shd w:val="clear" w:color="auto" w:fill="FFFFFF"/>
        </w:rPr>
        <w:t xml:space="preserve"> 14 (8): 2016–2028</w:t>
      </w:r>
      <w:r>
        <w:rPr>
          <w:rFonts w:ascii="Arial" w:hAnsi="Arial" w:eastAsia="SimSun" w:cs="Arial"/>
          <w:shd w:val="clear" w:color="auto" w:fill="FFFFFF"/>
        </w:rPr>
        <w:t>.</w:t>
      </w:r>
    </w:p>
    <w:p w14:paraId="516B3904">
      <w:pPr>
        <w:jc w:val="both"/>
        <w:rPr>
          <w:rFonts w:ascii="Arial" w:hAnsi="Arial" w:eastAsia="SimSun" w:cs="Arial"/>
          <w:shd w:val="clear" w:color="auto" w:fill="FFFFFF"/>
        </w:rPr>
      </w:pPr>
    </w:p>
    <w:p w14:paraId="1977254C">
      <w:pPr>
        <w:jc w:val="both"/>
        <w:rPr>
          <w:rFonts w:ascii="Arial" w:hAnsi="Arial" w:eastAsia="SimSun" w:cs="Arial"/>
          <w:shd w:val="clear" w:color="auto" w:fill="FFFFFF"/>
        </w:rPr>
      </w:pPr>
      <w:r>
        <w:rPr>
          <w:rFonts w:ascii="Arial" w:hAnsi="Arial" w:eastAsia="SimSun" w:cs="Arial"/>
          <w:shd w:val="clear" w:color="auto" w:fill="FFFFFF"/>
        </w:rPr>
        <w:t xml:space="preserve">Alum, E.U., Umoru, G.U., Uti, D.E., Aja, P.M., Ugwu, O.P., Orji, O.U., Nwali, B.U., Ezeani, N.N., Edwin, N. </w:t>
      </w:r>
      <w:r>
        <w:rPr>
          <w:rFonts w:ascii="Arial" w:hAnsi="Arial" w:cs="Arial"/>
        </w:rPr>
        <w:t>&amp;</w:t>
      </w:r>
      <w:r>
        <w:rPr>
          <w:rFonts w:ascii="Arial" w:hAnsi="Arial" w:eastAsia="SimSun" w:cs="Arial"/>
          <w:shd w:val="clear" w:color="auto" w:fill="FFFFFF"/>
        </w:rPr>
        <w:t xml:space="preserve"> Orinya, F.O. (2022). Hepato-protective effect of ethanol leaf extract of datura stramonium in alloxan-induced diabetic albino rats. </w:t>
      </w:r>
      <w:r>
        <w:rPr>
          <w:rFonts w:ascii="Arial" w:hAnsi="Arial" w:eastAsia="SimSun" w:cs="Arial"/>
          <w:i/>
          <w:iCs/>
          <w:shd w:val="clear" w:color="auto" w:fill="FFFFFF"/>
        </w:rPr>
        <w:t>Journal of Chemical Society of Nigeria</w:t>
      </w:r>
      <w:r>
        <w:rPr>
          <w:rFonts w:ascii="Arial" w:hAnsi="Arial" w:eastAsia="SimSun" w:cs="Arial"/>
          <w:shd w:val="clear" w:color="auto" w:fill="FFFFFF"/>
        </w:rPr>
        <w:t>, </w:t>
      </w:r>
      <w:r>
        <w:rPr>
          <w:rFonts w:ascii="Arial" w:hAnsi="Arial" w:eastAsia="SimSun" w:cs="Arial"/>
          <w:i/>
          <w:iCs/>
          <w:shd w:val="clear" w:color="auto" w:fill="FFFFFF"/>
        </w:rPr>
        <w:t>47</w:t>
      </w:r>
      <w:r>
        <w:rPr>
          <w:rFonts w:ascii="Arial" w:hAnsi="Arial" w:eastAsia="SimSun" w:cs="Arial"/>
          <w:shd w:val="clear" w:color="auto" w:fill="FFFFFF"/>
        </w:rPr>
        <w:t>(5).</w:t>
      </w:r>
    </w:p>
    <w:p w14:paraId="0ADE9C18">
      <w:pPr>
        <w:jc w:val="both"/>
        <w:rPr>
          <w:rFonts w:ascii="Arial" w:hAnsi="Arial" w:eastAsia="SimSun" w:cs="Arial"/>
          <w:shd w:val="clear" w:color="auto" w:fill="FFFFFF"/>
        </w:rPr>
      </w:pPr>
    </w:p>
    <w:p w14:paraId="19170323">
      <w:pPr>
        <w:jc w:val="both"/>
        <w:rPr>
          <w:rFonts w:ascii="Arial" w:hAnsi="Arial" w:eastAsia="SimSun" w:cs="Arial"/>
          <w:shd w:val="clear" w:color="auto" w:fill="FFFFFF"/>
        </w:rPr>
      </w:pPr>
      <w:r>
        <w:rPr>
          <w:rFonts w:ascii="Arial" w:hAnsi="Arial" w:eastAsia="SimSun" w:cs="Arial"/>
          <w:shd w:val="clear" w:color="auto" w:fill="FFFFFF"/>
        </w:rPr>
        <w:t xml:space="preserve">Arab, J.P., Díaz, L.A., Baeza, N., Idalsoaga, F., Fuentes-López, E., Arnold, J., Ramírez, C.A., Morales-Arraez, D., Ventura-Cots, M., Alvarado-Tapias, E. </w:t>
      </w:r>
      <w:r>
        <w:rPr>
          <w:rFonts w:ascii="Arial" w:hAnsi="Arial" w:cs="Arial"/>
        </w:rPr>
        <w:t>&amp;</w:t>
      </w:r>
      <w:r>
        <w:rPr>
          <w:rFonts w:ascii="Arial" w:hAnsi="Arial" w:eastAsia="SimSun" w:cs="Arial"/>
          <w:shd w:val="clear" w:color="auto" w:fill="FFFFFF"/>
        </w:rPr>
        <w:t xml:space="preserve"> Zhang, W., (2021). Identification of optimal therapeutic window for steroid use in severe alcohol-associated hepatitis: a worldwide study. </w:t>
      </w:r>
      <w:r>
        <w:rPr>
          <w:rFonts w:ascii="Arial" w:hAnsi="Arial" w:eastAsia="SimSun" w:cs="Arial"/>
          <w:i/>
          <w:iCs/>
          <w:shd w:val="clear" w:color="auto" w:fill="FFFFFF"/>
        </w:rPr>
        <w:t>Journal of hepatology</w:t>
      </w:r>
      <w:r>
        <w:rPr>
          <w:rFonts w:ascii="Arial" w:hAnsi="Arial" w:eastAsia="SimSun" w:cs="Arial"/>
          <w:shd w:val="clear" w:color="auto" w:fill="FFFFFF"/>
        </w:rPr>
        <w:t>, </w:t>
      </w:r>
      <w:r>
        <w:rPr>
          <w:rFonts w:ascii="Arial" w:hAnsi="Arial" w:eastAsia="SimSun" w:cs="Arial"/>
          <w:i/>
          <w:iCs/>
          <w:shd w:val="clear" w:color="auto" w:fill="FFFFFF"/>
        </w:rPr>
        <w:t>75</w:t>
      </w:r>
      <w:r>
        <w:rPr>
          <w:rFonts w:ascii="Arial" w:hAnsi="Arial" w:eastAsia="SimSun" w:cs="Arial"/>
          <w:shd w:val="clear" w:color="auto" w:fill="FFFFFF"/>
        </w:rPr>
        <w:t>(5), 1026-1033.</w:t>
      </w:r>
    </w:p>
    <w:p w14:paraId="22E014F5">
      <w:pPr>
        <w:jc w:val="both"/>
        <w:rPr>
          <w:rFonts w:ascii="Arial" w:hAnsi="Arial" w:eastAsia="SimSun" w:cs="Arial"/>
          <w:shd w:val="clear" w:color="auto" w:fill="FFFFFF"/>
        </w:rPr>
      </w:pPr>
    </w:p>
    <w:p w14:paraId="0990BA2C">
      <w:pPr>
        <w:jc w:val="both"/>
        <w:rPr>
          <w:rFonts w:ascii="Arial" w:hAnsi="Arial" w:eastAsia="SimSun" w:cs="Arial"/>
          <w:shd w:val="clear" w:color="auto" w:fill="FFFFFF"/>
        </w:rPr>
      </w:pPr>
      <w:r>
        <w:rPr>
          <w:rFonts w:ascii="Arial" w:hAnsi="Arial" w:eastAsia="SimSun" w:cs="Arial"/>
          <w:shd w:val="clear" w:color="auto" w:fill="FFFFFF"/>
        </w:rPr>
        <w:t xml:space="preserve">Arroyave-Ospina, J.C., Wu, Z., Geng, Y. </w:t>
      </w:r>
      <w:r>
        <w:rPr>
          <w:rFonts w:ascii="Arial" w:hAnsi="Arial" w:cs="Arial"/>
        </w:rPr>
        <w:t>&amp;</w:t>
      </w:r>
      <w:r>
        <w:rPr>
          <w:rFonts w:ascii="Arial" w:hAnsi="Arial" w:eastAsia="SimSun" w:cs="Arial"/>
          <w:shd w:val="clear" w:color="auto" w:fill="FFFFFF"/>
        </w:rPr>
        <w:t xml:space="preserve"> Moshage, H. (2021). Role of oxidative stress in the pathogenesis of non-alcoholic fatty liver disease: implications for prevention and therapy. </w:t>
      </w:r>
      <w:r>
        <w:rPr>
          <w:rFonts w:ascii="Arial" w:hAnsi="Arial" w:eastAsia="SimSun" w:cs="Arial"/>
          <w:i/>
          <w:iCs/>
          <w:shd w:val="clear" w:color="auto" w:fill="FFFFFF"/>
        </w:rPr>
        <w:t>Antioxidants</w:t>
      </w:r>
      <w:r>
        <w:rPr>
          <w:rFonts w:ascii="Arial" w:hAnsi="Arial" w:eastAsia="SimSun" w:cs="Arial"/>
          <w:shd w:val="clear" w:color="auto" w:fill="FFFFFF"/>
        </w:rPr>
        <w:t>, </w:t>
      </w:r>
      <w:r>
        <w:rPr>
          <w:rFonts w:ascii="Arial" w:hAnsi="Arial" w:eastAsia="SimSun" w:cs="Arial"/>
          <w:i/>
          <w:iCs/>
          <w:shd w:val="clear" w:color="auto" w:fill="FFFFFF"/>
        </w:rPr>
        <w:t>10</w:t>
      </w:r>
      <w:r>
        <w:rPr>
          <w:rFonts w:ascii="Arial" w:hAnsi="Arial" w:eastAsia="SimSun" w:cs="Arial"/>
          <w:shd w:val="clear" w:color="auto" w:fill="FFFFFF"/>
        </w:rPr>
        <w:t>(2), 174.</w:t>
      </w:r>
    </w:p>
    <w:p w14:paraId="1042E22F">
      <w:pPr>
        <w:jc w:val="both"/>
        <w:rPr>
          <w:rFonts w:ascii="Arial" w:hAnsi="Arial" w:eastAsia="SimSun" w:cs="Arial"/>
          <w:shd w:val="clear" w:color="auto" w:fill="FFFFFF"/>
        </w:rPr>
      </w:pPr>
    </w:p>
    <w:p w14:paraId="70EBE164">
      <w:pPr>
        <w:jc w:val="both"/>
        <w:rPr>
          <w:rFonts w:ascii="Arial" w:hAnsi="Arial" w:eastAsia="SimSun" w:cs="Arial"/>
          <w:shd w:val="clear" w:color="auto" w:fill="FFFFFF"/>
        </w:rPr>
      </w:pPr>
      <w:r>
        <w:rPr>
          <w:rFonts w:ascii="Arial" w:hAnsi="Arial" w:eastAsia="SimSun" w:cs="Arial"/>
          <w:shd w:val="clear" w:color="auto" w:fill="FFFFFF"/>
        </w:rPr>
        <w:t xml:space="preserve">Ayenew, K.D. </w:t>
      </w:r>
      <w:r>
        <w:rPr>
          <w:rFonts w:ascii="Arial" w:hAnsi="Arial" w:cs="Arial"/>
        </w:rPr>
        <w:t>&amp;</w:t>
      </w:r>
      <w:r>
        <w:rPr>
          <w:rFonts w:ascii="Arial" w:hAnsi="Arial" w:eastAsia="SimSun" w:cs="Arial"/>
          <w:shd w:val="clear" w:color="auto" w:fill="FFFFFF"/>
        </w:rPr>
        <w:t xml:space="preserve"> Wasihun, Y., (2023). Hepatoprotective effect of methanol extract of Agave americana leaves on paracetamol induced hepatotoxicity in Wistar albino rats. </w:t>
      </w:r>
      <w:r>
        <w:rPr>
          <w:rFonts w:ascii="Arial" w:hAnsi="Arial" w:eastAsia="SimSun" w:cs="Arial"/>
          <w:i/>
          <w:iCs/>
          <w:shd w:val="clear" w:color="auto" w:fill="FFFFFF"/>
        </w:rPr>
        <w:t>BMC Complementary Medicine and Therapies</w:t>
      </w:r>
      <w:r>
        <w:rPr>
          <w:rFonts w:ascii="Arial" w:hAnsi="Arial" w:eastAsia="SimSun" w:cs="Arial"/>
          <w:shd w:val="clear" w:color="auto" w:fill="FFFFFF"/>
        </w:rPr>
        <w:t>, </w:t>
      </w:r>
      <w:r>
        <w:rPr>
          <w:rFonts w:ascii="Arial" w:hAnsi="Arial" w:eastAsia="SimSun" w:cs="Arial"/>
          <w:i/>
          <w:iCs/>
          <w:shd w:val="clear" w:color="auto" w:fill="FFFFFF"/>
        </w:rPr>
        <w:t>23</w:t>
      </w:r>
      <w:r>
        <w:rPr>
          <w:rFonts w:ascii="Arial" w:hAnsi="Arial" w:eastAsia="SimSun" w:cs="Arial"/>
          <w:shd w:val="clear" w:color="auto" w:fill="FFFFFF"/>
        </w:rPr>
        <w:t>(1), 99.</w:t>
      </w:r>
    </w:p>
    <w:p w14:paraId="24329BA3">
      <w:pPr>
        <w:jc w:val="both"/>
        <w:rPr>
          <w:rFonts w:ascii="Arial" w:hAnsi="Arial" w:eastAsia="SimSun" w:cs="Arial"/>
          <w:shd w:val="clear" w:color="auto" w:fill="FFFFFF"/>
        </w:rPr>
      </w:pPr>
    </w:p>
    <w:p w14:paraId="44897BAE">
      <w:pPr>
        <w:jc w:val="both"/>
        <w:rPr>
          <w:rFonts w:ascii="Arial" w:hAnsi="Arial" w:eastAsia="SimSun" w:cs="Arial"/>
          <w:shd w:val="clear" w:color="auto" w:fill="FFFFFF"/>
        </w:rPr>
      </w:pPr>
      <w:r>
        <w:rPr>
          <w:rFonts w:ascii="Arial" w:hAnsi="Arial" w:eastAsia="SimSun" w:cs="Arial"/>
          <w:shd w:val="clear" w:color="auto" w:fill="FFFFFF"/>
        </w:rPr>
        <w:t xml:space="preserve">Cheema, H.S. </w:t>
      </w:r>
      <w:r>
        <w:rPr>
          <w:rFonts w:ascii="Arial" w:hAnsi="Arial" w:cs="Arial"/>
        </w:rPr>
        <w:t>&amp;</w:t>
      </w:r>
      <w:r>
        <w:rPr>
          <w:rFonts w:ascii="Arial" w:hAnsi="Arial" w:eastAsia="SimSun" w:cs="Arial"/>
          <w:shd w:val="clear" w:color="auto" w:fill="FFFFFF"/>
        </w:rPr>
        <w:t xml:space="preserve"> Singh, M.P. (2021). The use of medicinal plants in digestive system related disorders—a systematic review. </w:t>
      </w:r>
      <w:r>
        <w:rPr>
          <w:rFonts w:ascii="Arial" w:hAnsi="Arial" w:eastAsia="SimSun" w:cs="Arial"/>
          <w:i/>
          <w:iCs/>
          <w:shd w:val="clear" w:color="auto" w:fill="FFFFFF"/>
        </w:rPr>
        <w:t>J. Ayurvedic Herb. Med</w:t>
      </w:r>
      <w:r>
        <w:rPr>
          <w:rFonts w:ascii="Arial" w:hAnsi="Arial" w:eastAsia="SimSun" w:cs="Arial"/>
          <w:shd w:val="clear" w:color="auto" w:fill="FFFFFF"/>
        </w:rPr>
        <w:t>, </w:t>
      </w:r>
      <w:r>
        <w:rPr>
          <w:rFonts w:ascii="Arial" w:hAnsi="Arial" w:eastAsia="SimSun" w:cs="Arial"/>
          <w:i/>
          <w:iCs/>
          <w:shd w:val="clear" w:color="auto" w:fill="FFFFFF"/>
        </w:rPr>
        <w:t>7</w:t>
      </w:r>
      <w:r>
        <w:rPr>
          <w:rFonts w:ascii="Arial" w:hAnsi="Arial" w:eastAsia="SimSun" w:cs="Arial"/>
          <w:shd w:val="clear" w:color="auto" w:fill="FFFFFF"/>
        </w:rPr>
        <w:t>(3), 182-187.</w:t>
      </w:r>
    </w:p>
    <w:p w14:paraId="695A9647">
      <w:pPr>
        <w:jc w:val="both"/>
        <w:rPr>
          <w:rFonts w:ascii="Arial" w:hAnsi="Arial" w:eastAsia="SimSun" w:cs="Arial"/>
          <w:shd w:val="clear" w:color="auto" w:fill="FFFFFF"/>
        </w:rPr>
      </w:pPr>
    </w:p>
    <w:p w14:paraId="53441A5A">
      <w:pPr>
        <w:jc w:val="both"/>
        <w:rPr>
          <w:rFonts w:ascii="Arial" w:hAnsi="Arial" w:eastAsia="SimSun" w:cs="Arial"/>
          <w:shd w:val="clear" w:color="auto" w:fill="FFFFFF"/>
        </w:rPr>
      </w:pPr>
      <w:r>
        <w:rPr>
          <w:rFonts w:ascii="Arial" w:hAnsi="Arial" w:eastAsia="SimSun" w:cs="Arial"/>
          <w:shd w:val="clear" w:color="auto" w:fill="FFFFFF"/>
        </w:rPr>
        <w:t xml:space="preserve">Chen, H.T., Huang, H.L., Li, Y.Q., Xu, H.M. </w:t>
      </w:r>
      <w:r>
        <w:rPr>
          <w:rFonts w:ascii="Arial" w:hAnsi="Arial" w:cs="Arial"/>
        </w:rPr>
        <w:t>&amp;</w:t>
      </w:r>
      <w:r>
        <w:rPr>
          <w:rFonts w:ascii="Arial" w:hAnsi="Arial" w:eastAsia="SimSun" w:cs="Arial"/>
          <w:shd w:val="clear" w:color="auto" w:fill="FFFFFF"/>
        </w:rPr>
        <w:t xml:space="preserve"> Zhou, Y.J., (2020). Therapeutic advances in non-alcoholic fatty liver disease: A microbiota-centered view. </w:t>
      </w:r>
      <w:r>
        <w:rPr>
          <w:rFonts w:ascii="Arial" w:hAnsi="Arial" w:eastAsia="SimSun" w:cs="Arial"/>
          <w:i/>
          <w:iCs/>
          <w:shd w:val="clear" w:color="auto" w:fill="FFFFFF"/>
        </w:rPr>
        <w:t>World journal of gastroenterology</w:t>
      </w:r>
      <w:r>
        <w:rPr>
          <w:rFonts w:ascii="Arial" w:hAnsi="Arial" w:eastAsia="SimSun" w:cs="Arial"/>
          <w:shd w:val="clear" w:color="auto" w:fill="FFFFFF"/>
        </w:rPr>
        <w:t>, </w:t>
      </w:r>
      <w:r>
        <w:rPr>
          <w:rFonts w:ascii="Arial" w:hAnsi="Arial" w:eastAsia="SimSun" w:cs="Arial"/>
          <w:i/>
          <w:iCs/>
          <w:shd w:val="clear" w:color="auto" w:fill="FFFFFF"/>
        </w:rPr>
        <w:t>26</w:t>
      </w:r>
      <w:r>
        <w:rPr>
          <w:rFonts w:ascii="Arial" w:hAnsi="Arial" w:eastAsia="SimSun" w:cs="Arial"/>
          <w:shd w:val="clear" w:color="auto" w:fill="FFFFFF"/>
        </w:rPr>
        <w:t>(16), 1901.</w:t>
      </w:r>
    </w:p>
    <w:p w14:paraId="76B3D27F">
      <w:pPr>
        <w:jc w:val="both"/>
        <w:rPr>
          <w:rFonts w:ascii="Arial" w:hAnsi="Arial" w:eastAsia="SimSun" w:cs="Arial"/>
          <w:shd w:val="clear" w:color="auto" w:fill="FFFFFF"/>
        </w:rPr>
      </w:pPr>
    </w:p>
    <w:p w14:paraId="6B9F503D">
      <w:pPr>
        <w:jc w:val="both"/>
        <w:rPr>
          <w:rFonts w:ascii="Arial" w:hAnsi="Arial" w:eastAsia="SimSun" w:cs="Arial"/>
          <w:shd w:val="clear" w:color="auto" w:fill="FFFFFF"/>
        </w:rPr>
      </w:pPr>
      <w:r>
        <w:rPr>
          <w:rFonts w:ascii="Arial" w:hAnsi="Arial" w:eastAsia="SimSun" w:cs="Arial"/>
          <w:shd w:val="clear" w:color="auto" w:fill="FFFFFF"/>
        </w:rPr>
        <w:t xml:space="preserve">Chukwudoruo, C.S., Osuji-Kalu-Ibe, N.C., Igwe, K.O., Iheme, C.I., Ujowundu, F.N. </w:t>
      </w:r>
      <w:r>
        <w:rPr>
          <w:rFonts w:ascii="Arial" w:hAnsi="Arial" w:cs="Arial"/>
        </w:rPr>
        <w:t>&amp;</w:t>
      </w:r>
      <w:r>
        <w:rPr>
          <w:rFonts w:ascii="Arial" w:hAnsi="Arial" w:eastAsia="SimSun" w:cs="Arial"/>
          <w:shd w:val="clear" w:color="auto" w:fill="FFFFFF"/>
        </w:rPr>
        <w:t xml:space="preserve"> Mba, B.A., (2021). Serum total protein concentration and liver enzymes activities in albino rats model administered with ethanolic leaf extract of Ficus capensis. </w:t>
      </w:r>
      <w:r>
        <w:rPr>
          <w:rFonts w:ascii="Arial" w:hAnsi="Arial" w:eastAsia="SimSun" w:cs="Arial"/>
          <w:i/>
          <w:iCs/>
          <w:shd w:val="clear" w:color="auto" w:fill="FFFFFF"/>
        </w:rPr>
        <w:t>African Journal of Biotechnology</w:t>
      </w:r>
      <w:r>
        <w:rPr>
          <w:rFonts w:ascii="Arial" w:hAnsi="Arial" w:eastAsia="SimSun" w:cs="Arial"/>
          <w:shd w:val="clear" w:color="auto" w:fill="FFFFFF"/>
        </w:rPr>
        <w:t>, </w:t>
      </w:r>
      <w:r>
        <w:rPr>
          <w:rFonts w:ascii="Arial" w:hAnsi="Arial" w:eastAsia="SimSun" w:cs="Arial"/>
          <w:i/>
          <w:iCs/>
          <w:shd w:val="clear" w:color="auto" w:fill="FFFFFF"/>
        </w:rPr>
        <w:t>20</w:t>
      </w:r>
      <w:r>
        <w:rPr>
          <w:rFonts w:ascii="Arial" w:hAnsi="Arial" w:eastAsia="SimSun" w:cs="Arial"/>
          <w:shd w:val="clear" w:color="auto" w:fill="FFFFFF"/>
        </w:rPr>
        <w:t>(4), 164-168.</w:t>
      </w:r>
    </w:p>
    <w:p w14:paraId="59D628F9">
      <w:pPr>
        <w:jc w:val="both"/>
        <w:rPr>
          <w:rFonts w:ascii="Arial" w:hAnsi="Arial" w:eastAsia="SimSun" w:cs="Arial"/>
          <w:shd w:val="clear" w:color="auto" w:fill="FFFFFF"/>
        </w:rPr>
      </w:pPr>
    </w:p>
    <w:p w14:paraId="07EEB931">
      <w:pPr>
        <w:jc w:val="both"/>
        <w:rPr>
          <w:rFonts w:ascii="Arial" w:hAnsi="Arial" w:eastAsia="SimSun" w:cs="Arial"/>
          <w:shd w:val="clear" w:color="auto" w:fill="FFFFFF"/>
        </w:rPr>
      </w:pPr>
      <w:r>
        <w:rPr>
          <w:rFonts w:ascii="Arial" w:hAnsi="Arial" w:eastAsia="SimSun" w:cs="Arial"/>
          <w:shd w:val="clear" w:color="auto" w:fill="FFFFFF"/>
        </w:rPr>
        <w:t xml:space="preserve">Conde de la Rosa, L., Goicoechea, L., Torres, S., Garcia-Ruiz, C. </w:t>
      </w:r>
      <w:r>
        <w:rPr>
          <w:rFonts w:ascii="Arial" w:hAnsi="Arial" w:cs="Arial"/>
        </w:rPr>
        <w:t>&amp;</w:t>
      </w:r>
      <w:r>
        <w:rPr>
          <w:rFonts w:ascii="Arial" w:hAnsi="Arial" w:eastAsia="SimSun" w:cs="Arial"/>
          <w:shd w:val="clear" w:color="auto" w:fill="FFFFFF"/>
        </w:rPr>
        <w:t xml:space="preserve"> Fernandez-Checa, J.C., (2022). Role of oxidative stress in liver disorders. </w:t>
      </w:r>
      <w:r>
        <w:rPr>
          <w:rFonts w:ascii="Arial" w:hAnsi="Arial" w:eastAsia="SimSun" w:cs="Arial"/>
          <w:i/>
          <w:iCs/>
          <w:shd w:val="clear" w:color="auto" w:fill="FFFFFF"/>
        </w:rPr>
        <w:t>Livers</w:t>
      </w:r>
      <w:r>
        <w:rPr>
          <w:rFonts w:ascii="Arial" w:hAnsi="Arial" w:eastAsia="SimSun" w:cs="Arial"/>
          <w:shd w:val="clear" w:color="auto" w:fill="FFFFFF"/>
        </w:rPr>
        <w:t>, </w:t>
      </w:r>
      <w:r>
        <w:rPr>
          <w:rFonts w:ascii="Arial" w:hAnsi="Arial" w:eastAsia="SimSun" w:cs="Arial"/>
          <w:i/>
          <w:iCs/>
          <w:shd w:val="clear" w:color="auto" w:fill="FFFFFF"/>
        </w:rPr>
        <w:t>2</w:t>
      </w:r>
      <w:r>
        <w:rPr>
          <w:rFonts w:ascii="Arial" w:hAnsi="Arial" w:eastAsia="SimSun" w:cs="Arial"/>
          <w:shd w:val="clear" w:color="auto" w:fill="FFFFFF"/>
        </w:rPr>
        <w:t>(4), 283-314.</w:t>
      </w:r>
    </w:p>
    <w:p w14:paraId="6C435361">
      <w:pPr>
        <w:jc w:val="both"/>
        <w:rPr>
          <w:rFonts w:ascii="Arial" w:hAnsi="Arial" w:eastAsia="SimSun" w:cs="Arial"/>
          <w:shd w:val="clear" w:color="auto" w:fill="FFFFFF"/>
        </w:rPr>
      </w:pPr>
    </w:p>
    <w:p w14:paraId="6DE2B47C">
      <w:pPr>
        <w:jc w:val="both"/>
        <w:rPr>
          <w:rFonts w:ascii="Arial" w:hAnsi="Arial" w:eastAsia="SimSun" w:cs="Arial"/>
          <w:shd w:val="clear" w:color="auto" w:fill="FFFFFF"/>
        </w:rPr>
      </w:pPr>
      <w:r>
        <w:rPr>
          <w:rFonts w:ascii="Arial" w:hAnsi="Arial" w:eastAsia="SimSun" w:cs="Arial"/>
          <w:shd w:val="clear" w:color="auto" w:fill="FFFFFF"/>
        </w:rPr>
        <w:t xml:space="preserve">Devarbhavi, H., Asrani, S.K., Arab, J.P., Nartey, Y.A., Pose, E. </w:t>
      </w:r>
      <w:r>
        <w:rPr>
          <w:rFonts w:ascii="Arial" w:hAnsi="Arial" w:cs="Arial"/>
        </w:rPr>
        <w:t>&amp;</w:t>
      </w:r>
      <w:r>
        <w:rPr>
          <w:rFonts w:ascii="Arial" w:hAnsi="Arial" w:eastAsia="SimSun" w:cs="Arial"/>
          <w:shd w:val="clear" w:color="auto" w:fill="FFFFFF"/>
        </w:rPr>
        <w:t xml:space="preserve"> Kamath, P.S., (2023). Global burden of liver disease: 2023 update. </w:t>
      </w:r>
      <w:r>
        <w:rPr>
          <w:rFonts w:ascii="Arial" w:hAnsi="Arial" w:eastAsia="SimSun" w:cs="Arial"/>
          <w:i/>
          <w:iCs/>
          <w:shd w:val="clear" w:color="auto" w:fill="FFFFFF"/>
        </w:rPr>
        <w:t>Journal of hepatology</w:t>
      </w:r>
      <w:r>
        <w:rPr>
          <w:rFonts w:ascii="Arial" w:hAnsi="Arial" w:eastAsia="SimSun" w:cs="Arial"/>
          <w:shd w:val="clear" w:color="auto" w:fill="FFFFFF"/>
        </w:rPr>
        <w:t>, </w:t>
      </w:r>
      <w:r>
        <w:rPr>
          <w:rFonts w:ascii="Arial" w:hAnsi="Arial" w:eastAsia="SimSun" w:cs="Arial"/>
          <w:i/>
          <w:iCs/>
          <w:shd w:val="clear" w:color="auto" w:fill="FFFFFF"/>
        </w:rPr>
        <w:t>79</w:t>
      </w:r>
      <w:r>
        <w:rPr>
          <w:rFonts w:ascii="Arial" w:hAnsi="Arial" w:eastAsia="SimSun" w:cs="Arial"/>
          <w:shd w:val="clear" w:color="auto" w:fill="FFFFFF"/>
        </w:rPr>
        <w:t>(2), 516-537.</w:t>
      </w:r>
    </w:p>
    <w:p w14:paraId="2D32E9D1">
      <w:pPr>
        <w:jc w:val="both"/>
        <w:rPr>
          <w:rFonts w:ascii="Arial" w:hAnsi="Arial" w:eastAsia="SimSun" w:cs="Arial"/>
          <w:shd w:val="clear" w:color="auto" w:fill="FFFFFF"/>
        </w:rPr>
      </w:pPr>
    </w:p>
    <w:p w14:paraId="1540B8A4">
      <w:pPr>
        <w:jc w:val="both"/>
        <w:rPr>
          <w:rFonts w:ascii="Arial" w:hAnsi="Arial" w:eastAsia="SimSun" w:cs="Arial"/>
          <w:shd w:val="clear" w:color="auto" w:fill="FFFFFF"/>
        </w:rPr>
      </w:pPr>
      <w:r>
        <w:rPr>
          <w:rFonts w:ascii="Arial" w:hAnsi="Arial" w:eastAsia="SimSun" w:cs="Arial"/>
          <w:shd w:val="clear" w:color="auto" w:fill="FFFFFF"/>
        </w:rPr>
        <w:t>Elshopakey, G. E., Risha, E. F., El-Boshy, M. E., Abdalla, O. A., &amp; Hamed, M. F. (2021). Protective effects of thymus vulgaris oil against ccl 4-mediated hepatotoxicity, oxidative stress and immunosuppression in male albino rats. </w:t>
      </w:r>
      <w:r>
        <w:rPr>
          <w:rFonts w:ascii="Arial" w:hAnsi="Arial" w:eastAsia="SimSun" w:cs="Arial"/>
          <w:i/>
          <w:iCs/>
          <w:shd w:val="clear" w:color="auto" w:fill="FFFFFF"/>
        </w:rPr>
        <w:t>Adv. Anim. Vet. Sci</w:t>
      </w:r>
      <w:r>
        <w:rPr>
          <w:rFonts w:ascii="Arial" w:hAnsi="Arial" w:eastAsia="SimSun" w:cs="Arial"/>
          <w:shd w:val="clear" w:color="auto" w:fill="FFFFFF"/>
        </w:rPr>
        <w:t>, </w:t>
      </w:r>
      <w:r>
        <w:rPr>
          <w:rFonts w:ascii="Arial" w:hAnsi="Arial" w:eastAsia="SimSun" w:cs="Arial"/>
          <w:i/>
          <w:iCs/>
          <w:shd w:val="clear" w:color="auto" w:fill="FFFFFF"/>
        </w:rPr>
        <w:t>9</w:t>
      </w:r>
      <w:r>
        <w:rPr>
          <w:rFonts w:ascii="Arial" w:hAnsi="Arial" w:eastAsia="SimSun" w:cs="Arial"/>
          <w:shd w:val="clear" w:color="auto" w:fill="FFFFFF"/>
        </w:rPr>
        <w:t>(7), 1053-1063.</w:t>
      </w:r>
    </w:p>
    <w:p w14:paraId="6EF82A84">
      <w:pPr>
        <w:jc w:val="both"/>
        <w:rPr>
          <w:rFonts w:ascii="Arial" w:hAnsi="Arial" w:eastAsia="SimSun" w:cs="Arial"/>
          <w:shd w:val="clear" w:color="auto" w:fill="FFFFFF"/>
        </w:rPr>
      </w:pPr>
    </w:p>
    <w:p w14:paraId="4183F9F9">
      <w:pPr>
        <w:jc w:val="both"/>
        <w:rPr>
          <w:rFonts w:ascii="Arial" w:hAnsi="Arial" w:eastAsia="SimSun" w:cs="Arial"/>
          <w:shd w:val="clear" w:color="auto" w:fill="FFFFFF"/>
        </w:rPr>
      </w:pPr>
      <w:r>
        <w:rPr>
          <w:rFonts w:ascii="Arial" w:hAnsi="Arial" w:eastAsia="SimSun" w:cs="Arial"/>
          <w:shd w:val="clear" w:color="auto" w:fill="FFFFFF"/>
        </w:rPr>
        <w:t xml:space="preserve">Eruotor, H.O., Asiwe, J.N. </w:t>
      </w:r>
      <w:r>
        <w:rPr>
          <w:rFonts w:ascii="Arial" w:hAnsi="Arial" w:cs="Arial"/>
        </w:rPr>
        <w:t>&amp;</w:t>
      </w:r>
      <w:r>
        <w:rPr>
          <w:rFonts w:ascii="Arial" w:hAnsi="Arial" w:eastAsia="SimSun" w:cs="Arial"/>
          <w:shd w:val="clear" w:color="auto" w:fill="FFFFFF"/>
        </w:rPr>
        <w:t xml:space="preserve"> Eruotor, T.M. (2023). Cymbopogon citratus protect against lead-induced suppression of haematological and tubuloglomerular functions as well as disruption of hepatocellular membranes in male Wistar rats. </w:t>
      </w:r>
      <w:r>
        <w:rPr>
          <w:rFonts w:ascii="Arial" w:hAnsi="Arial" w:eastAsia="SimSun" w:cs="Arial"/>
          <w:i/>
          <w:iCs/>
          <w:shd w:val="clear" w:color="auto" w:fill="FFFFFF"/>
        </w:rPr>
        <w:t>Journal of trace elements and minerals</w:t>
      </w:r>
      <w:r>
        <w:rPr>
          <w:rFonts w:ascii="Arial" w:hAnsi="Arial" w:eastAsia="SimSun" w:cs="Arial"/>
          <w:shd w:val="clear" w:color="auto" w:fill="FFFFFF"/>
        </w:rPr>
        <w:t>, </w:t>
      </w:r>
      <w:r>
        <w:rPr>
          <w:rFonts w:ascii="Arial" w:hAnsi="Arial" w:eastAsia="SimSun" w:cs="Arial"/>
          <w:i/>
          <w:iCs/>
          <w:shd w:val="clear" w:color="auto" w:fill="FFFFFF"/>
        </w:rPr>
        <w:t>3</w:t>
      </w:r>
      <w:r>
        <w:rPr>
          <w:rFonts w:ascii="Arial" w:hAnsi="Arial" w:eastAsia="SimSun" w:cs="Arial"/>
          <w:shd w:val="clear" w:color="auto" w:fill="FFFFFF"/>
        </w:rPr>
        <w:t>, 100045.</w:t>
      </w:r>
    </w:p>
    <w:p w14:paraId="7F198E35">
      <w:pPr>
        <w:jc w:val="both"/>
        <w:rPr>
          <w:rFonts w:ascii="Arial" w:hAnsi="Arial" w:eastAsia="SimSun" w:cs="Arial"/>
          <w:shd w:val="clear" w:color="auto" w:fill="FFFFFF"/>
        </w:rPr>
      </w:pPr>
    </w:p>
    <w:p w14:paraId="127195C5">
      <w:pPr>
        <w:jc w:val="both"/>
        <w:rPr>
          <w:rFonts w:ascii="Arial" w:hAnsi="Arial" w:eastAsia="SimSun" w:cs="Arial"/>
          <w:shd w:val="clear" w:color="auto" w:fill="FFFFFF"/>
        </w:rPr>
      </w:pPr>
      <w:r>
        <w:rPr>
          <w:rFonts w:ascii="Arial" w:hAnsi="Arial" w:eastAsia="SimSun" w:cs="Arial"/>
          <w:shd w:val="clear" w:color="auto" w:fill="FFFFFF"/>
        </w:rPr>
        <w:t>Espina, S., Casas-Deza, D., Bernal-Monterde, V., Royo-Esteban, A., García-Sobreviela, M. P., Calmarza, P., Calmarza, P., Martinez-Martinez, A. B., Osada, J., Arbones-Mainar, J. M. (2024). Unraveling the Association of Liver Steatosis and Fibrosis with Vitamin B12: A Cross-Sectional Study. </w:t>
      </w:r>
      <w:r>
        <w:rPr>
          <w:rFonts w:ascii="Arial" w:hAnsi="Arial" w:eastAsia="SimSun" w:cs="Arial"/>
          <w:i/>
          <w:iCs/>
          <w:shd w:val="clear" w:color="auto" w:fill="FFFFFF"/>
        </w:rPr>
        <w:t>Metabolites</w:t>
      </w:r>
      <w:r>
        <w:rPr>
          <w:rFonts w:ascii="Arial" w:hAnsi="Arial" w:eastAsia="SimSun" w:cs="Arial"/>
          <w:shd w:val="clear" w:color="auto" w:fill="FFFFFF"/>
        </w:rPr>
        <w:t>, </w:t>
      </w:r>
      <w:r>
        <w:rPr>
          <w:rFonts w:ascii="Arial" w:hAnsi="Arial" w:eastAsia="SimSun" w:cs="Arial"/>
          <w:i/>
          <w:iCs/>
          <w:shd w:val="clear" w:color="auto" w:fill="FFFFFF"/>
        </w:rPr>
        <w:t>14</w:t>
      </w:r>
      <w:r>
        <w:rPr>
          <w:rFonts w:ascii="Arial" w:hAnsi="Arial" w:eastAsia="SimSun" w:cs="Arial"/>
          <w:shd w:val="clear" w:color="auto" w:fill="FFFFFF"/>
        </w:rPr>
        <w:t>(11), 618.</w:t>
      </w:r>
    </w:p>
    <w:p w14:paraId="2A8B6CA0">
      <w:pPr>
        <w:jc w:val="both"/>
        <w:rPr>
          <w:rFonts w:ascii="Arial" w:hAnsi="Arial" w:eastAsia="SimSun" w:cs="Arial"/>
          <w:shd w:val="clear" w:color="auto" w:fill="FFFFFF"/>
        </w:rPr>
      </w:pPr>
    </w:p>
    <w:p w14:paraId="3585A29B">
      <w:pPr>
        <w:jc w:val="both"/>
        <w:rPr>
          <w:rFonts w:hint="default" w:ascii="Arial" w:hAnsi="Arial" w:eastAsia="SimSun" w:cs="Arial"/>
          <w:i w:val="0"/>
          <w:iCs w:val="0"/>
          <w:caps w:val="0"/>
          <w:color w:val="222222"/>
          <w:spacing w:val="0"/>
          <w:sz w:val="20"/>
          <w:szCs w:val="20"/>
          <w:shd w:val="clear" w:fill="FFFFFF"/>
        </w:rPr>
      </w:pPr>
      <w:r>
        <w:rPr>
          <w:rFonts w:ascii="Arial" w:hAnsi="Arial" w:eastAsia="SimSun" w:cs="Arial"/>
          <w:i w:val="0"/>
          <w:iCs w:val="0"/>
          <w:caps w:val="0"/>
          <w:color w:val="222222"/>
          <w:spacing w:val="0"/>
          <w:sz w:val="20"/>
          <w:szCs w:val="20"/>
          <w:shd w:val="clear" w:fill="FFFFFF"/>
        </w:rPr>
        <w:t>Fahmy, M. A., Aly, F. A. E., Hassan, E. M., Farghaly, A. A., Hassan, E. E., &amp; Samea, N. S. A. (2020). Cymbopogon citratus essential oil has hepato/renal protection and anti-genotoxicity against carbon tetrachloride.</w:t>
      </w:r>
      <w:r>
        <w:rPr>
          <w:rFonts w:hint="default" w:ascii="Arial" w:hAnsi="Arial" w:eastAsia="SimSun" w:cs="Arial"/>
          <w:i w:val="0"/>
          <w:iCs w:val="0"/>
          <w:caps w:val="0"/>
          <w:color w:val="222222"/>
          <w:spacing w:val="0"/>
          <w:sz w:val="20"/>
          <w:szCs w:val="20"/>
          <w:shd w:val="clear" w:fill="FFFFFF"/>
        </w:rPr>
        <w:t> </w:t>
      </w:r>
      <w:r>
        <w:rPr>
          <w:rFonts w:hint="default" w:ascii="Arial" w:hAnsi="Arial" w:eastAsia="SimSun" w:cs="Arial"/>
          <w:i/>
          <w:iCs/>
          <w:caps w:val="0"/>
          <w:color w:val="222222"/>
          <w:spacing w:val="0"/>
          <w:sz w:val="20"/>
          <w:szCs w:val="20"/>
          <w:shd w:val="clear" w:fill="FFFFFF"/>
        </w:rPr>
        <w:t>Comunicata Scientiae</w:t>
      </w:r>
      <w:r>
        <w:rPr>
          <w:rFonts w:hint="default" w:ascii="Arial" w:hAnsi="Arial" w:eastAsia="SimSun" w:cs="Arial"/>
          <w:i w:val="0"/>
          <w:iCs w:val="0"/>
          <w:caps w:val="0"/>
          <w:color w:val="222222"/>
          <w:spacing w:val="0"/>
          <w:sz w:val="20"/>
          <w:szCs w:val="20"/>
          <w:shd w:val="clear" w:fill="FFFFFF"/>
        </w:rPr>
        <w:t>, </w:t>
      </w:r>
      <w:r>
        <w:rPr>
          <w:rFonts w:hint="default" w:ascii="Arial" w:hAnsi="Arial" w:eastAsia="SimSun" w:cs="Arial"/>
          <w:i/>
          <w:iCs/>
          <w:caps w:val="0"/>
          <w:color w:val="222222"/>
          <w:spacing w:val="0"/>
          <w:sz w:val="20"/>
          <w:szCs w:val="20"/>
          <w:shd w:val="clear" w:fill="FFFFFF"/>
        </w:rPr>
        <w:t>11</w:t>
      </w:r>
      <w:r>
        <w:rPr>
          <w:rFonts w:hint="default" w:ascii="Arial" w:hAnsi="Arial" w:eastAsia="SimSun" w:cs="Arial"/>
          <w:i w:val="0"/>
          <w:iCs w:val="0"/>
          <w:caps w:val="0"/>
          <w:color w:val="222222"/>
          <w:spacing w:val="0"/>
          <w:sz w:val="20"/>
          <w:szCs w:val="20"/>
          <w:shd w:val="clear" w:fill="FFFFFF"/>
        </w:rPr>
        <w:t>, e3219-e3219.</w:t>
      </w:r>
    </w:p>
    <w:p w14:paraId="51B31587">
      <w:pPr>
        <w:jc w:val="both"/>
        <w:rPr>
          <w:rFonts w:ascii="Arial" w:hAnsi="Arial" w:eastAsia="SimSun" w:cs="Arial"/>
          <w:shd w:val="clear" w:color="auto" w:fill="FFFFFF"/>
        </w:rPr>
      </w:pPr>
    </w:p>
    <w:p w14:paraId="41D30998">
      <w:pPr>
        <w:jc w:val="both"/>
        <w:rPr>
          <w:rFonts w:ascii="Arial" w:hAnsi="Arial" w:eastAsia="SimSun" w:cs="Arial"/>
          <w:shd w:val="clear" w:color="auto" w:fill="FFFFFF"/>
        </w:rPr>
      </w:pPr>
      <w:r>
        <w:rPr>
          <w:rFonts w:ascii="Arial" w:hAnsi="Arial" w:eastAsia="SimSun" w:cs="Arial"/>
          <w:shd w:val="clear" w:color="auto" w:fill="FFFFFF"/>
        </w:rPr>
        <w:t xml:space="preserve">Fortea, J.I., Crespo, J. </w:t>
      </w:r>
      <w:r>
        <w:rPr>
          <w:rFonts w:ascii="Arial" w:hAnsi="Arial" w:cs="Arial"/>
        </w:rPr>
        <w:t>&amp;</w:t>
      </w:r>
      <w:r>
        <w:rPr>
          <w:rFonts w:ascii="Arial" w:hAnsi="Arial" w:eastAsia="SimSun" w:cs="Arial"/>
          <w:shd w:val="clear" w:color="auto" w:fill="FFFFFF"/>
        </w:rPr>
        <w:t xml:space="preserve"> Puente, Á. (2022). Cirrhosis, a global and challenging disease. </w:t>
      </w:r>
      <w:r>
        <w:rPr>
          <w:rFonts w:ascii="Arial" w:hAnsi="Arial" w:eastAsia="SimSun" w:cs="Arial"/>
          <w:i/>
          <w:iCs/>
          <w:shd w:val="clear" w:color="auto" w:fill="FFFFFF"/>
        </w:rPr>
        <w:t>Journal of Clinical Medicine</w:t>
      </w:r>
      <w:r>
        <w:rPr>
          <w:rFonts w:ascii="Arial" w:hAnsi="Arial" w:eastAsia="SimSun" w:cs="Arial"/>
          <w:shd w:val="clear" w:color="auto" w:fill="FFFFFF"/>
        </w:rPr>
        <w:t>, </w:t>
      </w:r>
      <w:r>
        <w:rPr>
          <w:rFonts w:ascii="Arial" w:hAnsi="Arial" w:eastAsia="SimSun" w:cs="Arial"/>
          <w:i/>
          <w:iCs/>
          <w:shd w:val="clear" w:color="auto" w:fill="FFFFFF"/>
        </w:rPr>
        <w:t>11</w:t>
      </w:r>
      <w:r>
        <w:rPr>
          <w:rFonts w:ascii="Arial" w:hAnsi="Arial" w:eastAsia="SimSun" w:cs="Arial"/>
          <w:shd w:val="clear" w:color="auto" w:fill="FFFFFF"/>
        </w:rPr>
        <w:t>(21), 6512.</w:t>
      </w:r>
    </w:p>
    <w:p w14:paraId="5823F365">
      <w:pPr>
        <w:jc w:val="both"/>
        <w:rPr>
          <w:rFonts w:ascii="Arial" w:hAnsi="Arial" w:eastAsia="SimSun" w:cs="Arial"/>
          <w:shd w:val="clear" w:color="auto" w:fill="FFFFFF"/>
        </w:rPr>
      </w:pPr>
    </w:p>
    <w:p w14:paraId="763D4819">
      <w:pPr>
        <w:jc w:val="both"/>
        <w:rPr>
          <w:rFonts w:ascii="Arial" w:hAnsi="Arial" w:eastAsia="SimSun" w:cs="Arial"/>
          <w:shd w:val="clear" w:color="auto" w:fill="FFFFFF"/>
        </w:rPr>
      </w:pPr>
      <w:r>
        <w:rPr>
          <w:rFonts w:ascii="Arial" w:hAnsi="Arial" w:eastAsia="SimSun" w:cs="Arial"/>
          <w:shd w:val="clear" w:color="auto" w:fill="FFFFFF"/>
        </w:rPr>
        <w:t>Gazwi, H. S., Soltan, O. I., &amp; Abdel-Hameed, S. M. (2023). Cakes fortified with papaya seeds effectively protects against CCl4-induced immunotoxicity. </w:t>
      </w:r>
      <w:r>
        <w:rPr>
          <w:rFonts w:ascii="Arial" w:hAnsi="Arial" w:eastAsia="SimSun" w:cs="Arial"/>
          <w:i/>
          <w:iCs/>
          <w:shd w:val="clear" w:color="auto" w:fill="FFFFFF"/>
        </w:rPr>
        <w:t>Environmental Science and Pollution Research</w:t>
      </w:r>
      <w:r>
        <w:rPr>
          <w:rFonts w:ascii="Arial" w:hAnsi="Arial" w:eastAsia="SimSun" w:cs="Arial"/>
          <w:shd w:val="clear" w:color="auto" w:fill="FFFFFF"/>
        </w:rPr>
        <w:t>, </w:t>
      </w:r>
      <w:r>
        <w:rPr>
          <w:rFonts w:ascii="Arial" w:hAnsi="Arial" w:eastAsia="SimSun" w:cs="Arial"/>
          <w:i/>
          <w:iCs/>
          <w:shd w:val="clear" w:color="auto" w:fill="FFFFFF"/>
        </w:rPr>
        <w:t>30</w:t>
      </w:r>
      <w:r>
        <w:rPr>
          <w:rFonts w:ascii="Arial" w:hAnsi="Arial" w:eastAsia="SimSun" w:cs="Arial"/>
          <w:shd w:val="clear" w:color="auto" w:fill="FFFFFF"/>
        </w:rPr>
        <w:t>(51), 111511-111524.</w:t>
      </w:r>
    </w:p>
    <w:p w14:paraId="2803E231">
      <w:pPr>
        <w:jc w:val="both"/>
        <w:rPr>
          <w:rFonts w:ascii="Arial" w:hAnsi="Arial" w:eastAsia="SimSun" w:cs="Arial"/>
          <w:shd w:val="clear" w:color="auto" w:fill="FFFFFF"/>
        </w:rPr>
      </w:pPr>
    </w:p>
    <w:p w14:paraId="38093610">
      <w:pPr>
        <w:jc w:val="both"/>
        <w:rPr>
          <w:rFonts w:ascii="Arial" w:hAnsi="Arial" w:eastAsia="SimSun" w:cs="Arial"/>
          <w:shd w:val="clear" w:color="auto" w:fill="FFFFFF"/>
        </w:rPr>
      </w:pPr>
      <w:r>
        <w:rPr>
          <w:rFonts w:ascii="Arial" w:hAnsi="Arial" w:eastAsia="SimSun" w:cs="Arial"/>
          <w:shd w:val="clear" w:color="auto" w:fill="FFFFFF"/>
        </w:rPr>
        <w:t xml:space="preserve">Gonzalez, A., Huerta-Salgado, C., Orozco-Aguilar, J., Aguirre, F., Tacchi, F., Simon, F. </w:t>
      </w:r>
      <w:r>
        <w:rPr>
          <w:rFonts w:ascii="Arial" w:hAnsi="Arial" w:cs="Arial"/>
        </w:rPr>
        <w:t>&amp;</w:t>
      </w:r>
      <w:r>
        <w:rPr>
          <w:rFonts w:ascii="Arial" w:hAnsi="Arial" w:eastAsia="SimSun" w:cs="Arial"/>
          <w:shd w:val="clear" w:color="auto" w:fill="FFFFFF"/>
        </w:rPr>
        <w:t xml:space="preserve"> Cabello-Verrugio, C. (2020). Role of oxidative stress in hepatic and extrahepatic dysfunctions during nonalcoholic fatty liver disease (NAFLD). </w:t>
      </w:r>
      <w:r>
        <w:rPr>
          <w:rFonts w:ascii="Arial" w:hAnsi="Arial" w:eastAsia="SimSun" w:cs="Arial"/>
          <w:i/>
          <w:iCs/>
          <w:shd w:val="clear" w:color="auto" w:fill="FFFFFF"/>
        </w:rPr>
        <w:t>Oxidative Medicine and Cellular Longevity</w:t>
      </w:r>
      <w:r>
        <w:rPr>
          <w:rFonts w:ascii="Arial" w:hAnsi="Arial" w:eastAsia="SimSun" w:cs="Arial"/>
          <w:shd w:val="clear" w:color="auto" w:fill="FFFFFF"/>
        </w:rPr>
        <w:t>, </w:t>
      </w:r>
      <w:r>
        <w:rPr>
          <w:rFonts w:ascii="Arial" w:hAnsi="Arial" w:eastAsia="SimSun" w:cs="Arial"/>
          <w:i/>
          <w:iCs/>
          <w:shd w:val="clear" w:color="auto" w:fill="FFFFFF"/>
        </w:rPr>
        <w:t>2020</w:t>
      </w:r>
      <w:r>
        <w:rPr>
          <w:rFonts w:ascii="Arial" w:hAnsi="Arial" w:eastAsia="SimSun" w:cs="Arial"/>
          <w:shd w:val="clear" w:color="auto" w:fill="FFFFFF"/>
        </w:rPr>
        <w:t>(1), 1617805.</w:t>
      </w:r>
    </w:p>
    <w:p w14:paraId="546BC97F">
      <w:pPr>
        <w:jc w:val="both"/>
        <w:rPr>
          <w:rFonts w:ascii="Arial" w:hAnsi="Arial" w:eastAsia="SimSun" w:cs="Arial"/>
          <w:shd w:val="clear" w:color="auto" w:fill="FFFFFF"/>
        </w:rPr>
      </w:pPr>
    </w:p>
    <w:p w14:paraId="461DE421">
      <w:pPr>
        <w:jc w:val="both"/>
        <w:rPr>
          <w:rFonts w:ascii="Arial" w:hAnsi="Arial" w:eastAsia="SimSun" w:cs="Arial"/>
          <w:shd w:val="clear" w:color="auto" w:fill="FFFFFF"/>
        </w:rPr>
      </w:pPr>
      <w:r>
        <w:rPr>
          <w:rFonts w:ascii="Arial" w:hAnsi="Arial" w:eastAsia="SimSun" w:cs="Arial"/>
          <w:shd w:val="clear" w:color="auto" w:fill="FFFFFF"/>
        </w:rPr>
        <w:t>Guéant, J. L., Guéant-Rodriguez, R. M., &amp; Alpers, D. H. (2022). Vitamin B12 absorption and malabsorption. </w:t>
      </w:r>
      <w:r>
        <w:rPr>
          <w:rFonts w:ascii="Arial" w:hAnsi="Arial" w:eastAsia="SimSun" w:cs="Arial"/>
          <w:i/>
          <w:iCs/>
          <w:shd w:val="clear" w:color="auto" w:fill="FFFFFF"/>
        </w:rPr>
        <w:t>Vitamins and hormones</w:t>
      </w:r>
      <w:r>
        <w:rPr>
          <w:rFonts w:ascii="Arial" w:hAnsi="Arial" w:eastAsia="SimSun" w:cs="Arial"/>
          <w:shd w:val="clear" w:color="auto" w:fill="FFFFFF"/>
        </w:rPr>
        <w:t>, </w:t>
      </w:r>
      <w:r>
        <w:rPr>
          <w:rFonts w:ascii="Arial" w:hAnsi="Arial" w:eastAsia="SimSun" w:cs="Arial"/>
          <w:i/>
          <w:iCs/>
          <w:shd w:val="clear" w:color="auto" w:fill="FFFFFF"/>
        </w:rPr>
        <w:t>119</w:t>
      </w:r>
      <w:r>
        <w:rPr>
          <w:rFonts w:ascii="Arial" w:hAnsi="Arial" w:eastAsia="SimSun" w:cs="Arial"/>
          <w:shd w:val="clear" w:color="auto" w:fill="FFFFFF"/>
        </w:rPr>
        <w:t>, 241-274.</w:t>
      </w:r>
    </w:p>
    <w:p w14:paraId="03C59B69">
      <w:pPr>
        <w:jc w:val="both"/>
        <w:rPr>
          <w:rFonts w:ascii="Arial" w:hAnsi="Arial" w:eastAsia="SimSun" w:cs="Arial"/>
          <w:shd w:val="clear" w:color="auto" w:fill="FFFFFF"/>
        </w:rPr>
      </w:pPr>
    </w:p>
    <w:p w14:paraId="4EE7C151">
      <w:pPr>
        <w:jc w:val="both"/>
        <w:rPr>
          <w:rFonts w:ascii="Arial" w:hAnsi="Arial" w:eastAsia="SimSun" w:cs="Arial"/>
          <w:shd w:val="clear" w:color="auto" w:fill="FFFFFF"/>
        </w:rPr>
      </w:pPr>
      <w:r>
        <w:rPr>
          <w:rFonts w:ascii="Arial" w:hAnsi="Arial" w:eastAsia="SimSun" w:cs="Arial"/>
          <w:shd w:val="clear" w:color="auto" w:fill="FFFFFF"/>
        </w:rPr>
        <w:t xml:space="preserve">Guleria, K. </w:t>
      </w:r>
      <w:r>
        <w:rPr>
          <w:rFonts w:ascii="Arial" w:hAnsi="Arial" w:cs="Arial"/>
        </w:rPr>
        <w:t>&amp;</w:t>
      </w:r>
      <w:r>
        <w:rPr>
          <w:rFonts w:ascii="Arial" w:hAnsi="Arial" w:eastAsia="SimSun" w:cs="Arial"/>
          <w:shd w:val="clear" w:color="auto" w:fill="FFFFFF"/>
        </w:rPr>
        <w:t xml:space="preserve"> Sehgal, A., (2020). Appraisal of antioxidant effect of fresh and dried leaves of lemongrass (Cymbopogon citratus). </w:t>
      </w:r>
      <w:r>
        <w:rPr>
          <w:rFonts w:ascii="Arial" w:hAnsi="Arial" w:eastAsia="SimSun" w:cs="Arial"/>
          <w:i/>
          <w:iCs/>
          <w:shd w:val="clear" w:color="auto" w:fill="FFFFFF"/>
        </w:rPr>
        <w:t>Plant Archives</w:t>
      </w:r>
      <w:r>
        <w:rPr>
          <w:rFonts w:ascii="Arial" w:hAnsi="Arial" w:eastAsia="SimSun" w:cs="Arial"/>
          <w:shd w:val="clear" w:color="auto" w:fill="FFFFFF"/>
        </w:rPr>
        <w:t>, </w:t>
      </w:r>
      <w:r>
        <w:rPr>
          <w:rFonts w:ascii="Arial" w:hAnsi="Arial" w:eastAsia="SimSun" w:cs="Arial"/>
          <w:i/>
          <w:iCs/>
          <w:shd w:val="clear" w:color="auto" w:fill="FFFFFF"/>
        </w:rPr>
        <w:t>20</w:t>
      </w:r>
      <w:r>
        <w:rPr>
          <w:rFonts w:ascii="Arial" w:hAnsi="Arial" w:eastAsia="SimSun" w:cs="Arial"/>
          <w:shd w:val="clear" w:color="auto" w:fill="FFFFFF"/>
        </w:rPr>
        <w:t>(2), 2554-2557.</w:t>
      </w:r>
    </w:p>
    <w:p w14:paraId="2BF026C8">
      <w:pPr>
        <w:jc w:val="both"/>
        <w:rPr>
          <w:rFonts w:ascii="Arial" w:hAnsi="Arial" w:eastAsia="SimSun" w:cs="Arial"/>
          <w:shd w:val="clear" w:color="auto" w:fill="FFFFFF"/>
        </w:rPr>
      </w:pPr>
    </w:p>
    <w:p w14:paraId="370C7EC7">
      <w:pPr>
        <w:jc w:val="both"/>
        <w:rPr>
          <w:rFonts w:ascii="Arial" w:hAnsi="Arial" w:eastAsia="SimSun" w:cs="Arial"/>
          <w:shd w:val="clear" w:color="auto" w:fill="FFFFFF"/>
        </w:rPr>
      </w:pPr>
      <w:r>
        <w:rPr>
          <w:rFonts w:ascii="Arial" w:hAnsi="Arial" w:eastAsia="SimSun" w:cs="Arial"/>
          <w:shd w:val="clear" w:color="auto" w:fill="FFFFFF"/>
        </w:rPr>
        <w:t>Hussain, S., Javed, W., Tajammal, A., Khalid, M., Rasool, N., Riaz, M., Shahid, M., Ahmad, I., Muhammad, R &amp; Shah, S. A. A. (2023). Synergistic antibacterial screening of Cymbopogon citratus and Azadirachta indica: Phytochemical profiling and antioxidant and hemolytic activities. </w:t>
      </w:r>
      <w:r>
        <w:rPr>
          <w:rFonts w:ascii="Arial" w:hAnsi="Arial" w:eastAsia="SimSun" w:cs="Arial"/>
          <w:i/>
          <w:iCs/>
          <w:shd w:val="clear" w:color="auto" w:fill="FFFFFF"/>
        </w:rPr>
        <w:t>ACS omega</w:t>
      </w:r>
      <w:r>
        <w:rPr>
          <w:rFonts w:ascii="Arial" w:hAnsi="Arial" w:eastAsia="SimSun" w:cs="Arial"/>
          <w:shd w:val="clear" w:color="auto" w:fill="FFFFFF"/>
        </w:rPr>
        <w:t>, </w:t>
      </w:r>
      <w:r>
        <w:rPr>
          <w:rFonts w:ascii="Arial" w:hAnsi="Arial" w:eastAsia="SimSun" w:cs="Arial"/>
          <w:i/>
          <w:iCs/>
          <w:shd w:val="clear" w:color="auto" w:fill="FFFFFF"/>
        </w:rPr>
        <w:t>8</w:t>
      </w:r>
      <w:r>
        <w:rPr>
          <w:rFonts w:ascii="Arial" w:hAnsi="Arial" w:eastAsia="SimSun" w:cs="Arial"/>
          <w:shd w:val="clear" w:color="auto" w:fill="FFFFFF"/>
        </w:rPr>
        <w:t>(19), 16600-16611.</w:t>
      </w:r>
    </w:p>
    <w:p w14:paraId="75687401">
      <w:pPr>
        <w:jc w:val="both"/>
        <w:rPr>
          <w:rFonts w:ascii="Arial" w:hAnsi="Arial" w:eastAsia="SimSun" w:cs="Arial"/>
          <w:shd w:val="clear" w:color="auto" w:fill="FFFFFF"/>
        </w:rPr>
      </w:pPr>
    </w:p>
    <w:p w14:paraId="433730CA">
      <w:pPr>
        <w:jc w:val="both"/>
        <w:rPr>
          <w:rFonts w:ascii="Arial" w:hAnsi="Arial" w:eastAsia="SimSun" w:cs="Arial"/>
          <w:shd w:val="clear" w:color="auto" w:fill="FFFFFF"/>
        </w:rPr>
      </w:pPr>
      <w:r>
        <w:rPr>
          <w:rFonts w:ascii="Arial" w:hAnsi="Arial" w:eastAsia="SimSun" w:cs="Arial"/>
          <w:shd w:val="clear" w:color="auto" w:fill="FFFFFF"/>
        </w:rPr>
        <w:t>Kalas, M. A., Chavez, L., Leon, M., Taweesedt, P. T., &amp; Surani, S. (2021). Abnormal liver enzymes: A review for clinicians. </w:t>
      </w:r>
      <w:r>
        <w:rPr>
          <w:rFonts w:ascii="Arial" w:hAnsi="Arial" w:eastAsia="SimSun" w:cs="Arial"/>
          <w:i/>
          <w:iCs/>
          <w:shd w:val="clear" w:color="auto" w:fill="FFFFFF"/>
        </w:rPr>
        <w:t>World journal of hepatology</w:t>
      </w:r>
      <w:r>
        <w:rPr>
          <w:rFonts w:ascii="Arial" w:hAnsi="Arial" w:eastAsia="SimSun" w:cs="Arial"/>
          <w:shd w:val="clear" w:color="auto" w:fill="FFFFFF"/>
        </w:rPr>
        <w:t>, </w:t>
      </w:r>
      <w:r>
        <w:rPr>
          <w:rFonts w:ascii="Arial" w:hAnsi="Arial" w:eastAsia="SimSun" w:cs="Arial"/>
          <w:i/>
          <w:iCs/>
          <w:shd w:val="clear" w:color="auto" w:fill="FFFFFF"/>
        </w:rPr>
        <w:t>13</w:t>
      </w:r>
      <w:r>
        <w:rPr>
          <w:rFonts w:ascii="Arial" w:hAnsi="Arial" w:eastAsia="SimSun" w:cs="Arial"/>
          <w:shd w:val="clear" w:color="auto" w:fill="FFFFFF"/>
        </w:rPr>
        <w:t>(11), 1688.</w:t>
      </w:r>
    </w:p>
    <w:p w14:paraId="37579AE9">
      <w:pPr>
        <w:jc w:val="both"/>
        <w:rPr>
          <w:rFonts w:ascii="Arial" w:hAnsi="Arial" w:eastAsia="SimSun" w:cs="Arial"/>
          <w:shd w:val="clear" w:color="auto" w:fill="FFFFFF"/>
        </w:rPr>
      </w:pPr>
    </w:p>
    <w:p w14:paraId="36DEBB34">
      <w:pPr>
        <w:jc w:val="both"/>
        <w:rPr>
          <w:rFonts w:ascii="Arial" w:hAnsi="Arial" w:eastAsia="SimSun" w:cs="Arial"/>
          <w:shd w:val="clear" w:color="auto" w:fill="FFFFFF"/>
        </w:rPr>
      </w:pPr>
      <w:r>
        <w:rPr>
          <w:rFonts w:ascii="Arial" w:hAnsi="Arial" w:eastAsia="SimSun" w:cs="Arial"/>
          <w:shd w:val="clear" w:color="auto" w:fill="FFFFFF"/>
        </w:rPr>
        <w:t>Kilany, O. E., Khalil, W. F., Helmi, R. A., &amp; Fares, I. M. (2020). Comparative hematological and biochemical studies on the effect of some hepatoprotective agents in rats. </w:t>
      </w:r>
      <w:r>
        <w:rPr>
          <w:rFonts w:ascii="Arial" w:hAnsi="Arial" w:eastAsia="SimSun" w:cs="Arial"/>
          <w:i/>
          <w:iCs/>
          <w:shd w:val="clear" w:color="auto" w:fill="FFFFFF"/>
        </w:rPr>
        <w:t>Egyptian Academic Journal of Biological Sciences, B. Zoology</w:t>
      </w:r>
      <w:r>
        <w:rPr>
          <w:rFonts w:ascii="Arial" w:hAnsi="Arial" w:eastAsia="SimSun" w:cs="Arial"/>
          <w:shd w:val="clear" w:color="auto" w:fill="FFFFFF"/>
        </w:rPr>
        <w:t>, </w:t>
      </w:r>
      <w:r>
        <w:rPr>
          <w:rFonts w:ascii="Arial" w:hAnsi="Arial" w:eastAsia="SimSun" w:cs="Arial"/>
          <w:i/>
          <w:iCs/>
          <w:shd w:val="clear" w:color="auto" w:fill="FFFFFF"/>
        </w:rPr>
        <w:t>12</w:t>
      </w:r>
      <w:r>
        <w:rPr>
          <w:rFonts w:ascii="Arial" w:hAnsi="Arial" w:eastAsia="SimSun" w:cs="Arial"/>
          <w:shd w:val="clear" w:color="auto" w:fill="FFFFFF"/>
        </w:rPr>
        <w:t>(1), 25-40.</w:t>
      </w:r>
    </w:p>
    <w:p w14:paraId="19C09C93">
      <w:pPr>
        <w:jc w:val="both"/>
        <w:rPr>
          <w:rFonts w:ascii="Arial" w:hAnsi="Arial" w:eastAsia="SimSun" w:cs="Arial"/>
          <w:shd w:val="clear" w:color="auto" w:fill="FFFFFF"/>
        </w:rPr>
      </w:pPr>
    </w:p>
    <w:p w14:paraId="0D436F59">
      <w:pPr>
        <w:jc w:val="both"/>
        <w:rPr>
          <w:rFonts w:ascii="Arial" w:hAnsi="Arial" w:eastAsia="SimSun" w:cs="Arial"/>
          <w:shd w:val="clear" w:color="auto" w:fill="FFFFFF"/>
        </w:rPr>
      </w:pPr>
      <w:r>
        <w:rPr>
          <w:rFonts w:ascii="Arial" w:hAnsi="Arial" w:eastAsia="SimSun" w:cs="Arial"/>
          <w:shd w:val="clear" w:color="auto" w:fill="FFFFFF"/>
        </w:rPr>
        <w:t>Kozeniecki, M., Ludke, R., Kerner, J., &amp; Patterson, B. (2020). Micronutrients in liver disease: roles, risk factors for deficiency, and recommendations for supplementation. </w:t>
      </w:r>
      <w:r>
        <w:rPr>
          <w:rFonts w:ascii="Arial" w:hAnsi="Arial" w:eastAsia="SimSun" w:cs="Arial"/>
          <w:i/>
          <w:iCs/>
          <w:shd w:val="clear" w:color="auto" w:fill="FFFFFF"/>
        </w:rPr>
        <w:t>Nutrition in Clinical Practice</w:t>
      </w:r>
      <w:r>
        <w:rPr>
          <w:rFonts w:ascii="Arial" w:hAnsi="Arial" w:eastAsia="SimSun" w:cs="Arial"/>
          <w:shd w:val="clear" w:color="auto" w:fill="FFFFFF"/>
        </w:rPr>
        <w:t>, </w:t>
      </w:r>
      <w:r>
        <w:rPr>
          <w:rFonts w:ascii="Arial" w:hAnsi="Arial" w:eastAsia="SimSun" w:cs="Arial"/>
          <w:i/>
          <w:iCs/>
          <w:shd w:val="clear" w:color="auto" w:fill="FFFFFF"/>
        </w:rPr>
        <w:t>35</w:t>
      </w:r>
      <w:r>
        <w:rPr>
          <w:rFonts w:ascii="Arial" w:hAnsi="Arial" w:eastAsia="SimSun" w:cs="Arial"/>
          <w:shd w:val="clear" w:color="auto" w:fill="FFFFFF"/>
        </w:rPr>
        <w:t>(1), 50-62.</w:t>
      </w:r>
    </w:p>
    <w:p w14:paraId="6F1368CB">
      <w:pPr>
        <w:jc w:val="both"/>
        <w:rPr>
          <w:rFonts w:ascii="Arial" w:hAnsi="Arial" w:eastAsia="SimSun" w:cs="Arial"/>
          <w:shd w:val="clear" w:color="auto" w:fill="FFFFFF"/>
        </w:rPr>
      </w:pPr>
    </w:p>
    <w:p w14:paraId="43C54C11">
      <w:pPr>
        <w:jc w:val="both"/>
        <w:rPr>
          <w:rFonts w:ascii="Arial" w:hAnsi="Arial" w:eastAsia="SimSun" w:cs="Arial"/>
          <w:shd w:val="clear" w:color="auto" w:fill="FFFFFF"/>
        </w:rPr>
      </w:pPr>
      <w:r>
        <w:rPr>
          <w:rFonts w:ascii="Arial" w:hAnsi="Arial" w:eastAsia="SimSun" w:cs="Arial"/>
          <w:i w:val="0"/>
          <w:iCs w:val="0"/>
          <w:caps w:val="0"/>
          <w:color w:val="222222"/>
          <w:spacing w:val="0"/>
          <w:sz w:val="20"/>
          <w:szCs w:val="20"/>
          <w:shd w:val="clear" w:fill="FFFFFF"/>
        </w:rPr>
        <w:t>Mahar, J. B., Sharma, S., Kaur, R., Grover, K., Dharni, K., &amp; Nara, U. (2022). Ameliorative effect of lemongrass (Cymbopogon flexuosus Nees ex Steud.) W. Watson and celery (Apium graveolensL.) against CCl.</w:t>
      </w:r>
      <w:r>
        <w:rPr>
          <w:rFonts w:hint="default" w:ascii="Arial" w:hAnsi="Arial" w:eastAsia="SimSun" w:cs="Arial"/>
          <w:i w:val="0"/>
          <w:iCs w:val="0"/>
          <w:caps w:val="0"/>
          <w:color w:val="222222"/>
          <w:spacing w:val="0"/>
          <w:sz w:val="20"/>
          <w:szCs w:val="20"/>
          <w:shd w:val="clear" w:fill="FFFFFF"/>
        </w:rPr>
        <w:t> </w:t>
      </w:r>
      <w:r>
        <w:rPr>
          <w:rFonts w:hint="default" w:ascii="Arial" w:hAnsi="Arial" w:eastAsia="SimSun" w:cs="Arial"/>
          <w:i/>
          <w:iCs/>
          <w:caps w:val="0"/>
          <w:color w:val="222222"/>
          <w:spacing w:val="0"/>
          <w:sz w:val="20"/>
          <w:szCs w:val="20"/>
          <w:shd w:val="clear" w:fill="FFFFFF"/>
        </w:rPr>
        <w:t>Annals of Phytomedicine</w:t>
      </w:r>
      <w:r>
        <w:rPr>
          <w:rFonts w:hint="default" w:ascii="Arial" w:hAnsi="Arial" w:eastAsia="SimSun" w:cs="Arial"/>
          <w:i w:val="0"/>
          <w:iCs w:val="0"/>
          <w:caps w:val="0"/>
          <w:color w:val="222222"/>
          <w:spacing w:val="0"/>
          <w:sz w:val="20"/>
          <w:szCs w:val="20"/>
          <w:shd w:val="clear" w:fill="FFFFFF"/>
        </w:rPr>
        <w:t>, </w:t>
      </w:r>
      <w:r>
        <w:rPr>
          <w:rFonts w:hint="default" w:ascii="Arial" w:hAnsi="Arial" w:eastAsia="SimSun" w:cs="Arial"/>
          <w:i/>
          <w:iCs/>
          <w:caps w:val="0"/>
          <w:color w:val="222222"/>
          <w:spacing w:val="0"/>
          <w:sz w:val="20"/>
          <w:szCs w:val="20"/>
          <w:shd w:val="clear" w:fill="FFFFFF"/>
        </w:rPr>
        <w:t>11</w:t>
      </w:r>
      <w:r>
        <w:rPr>
          <w:rFonts w:hint="default" w:ascii="Arial" w:hAnsi="Arial" w:eastAsia="SimSun" w:cs="Arial"/>
          <w:i w:val="0"/>
          <w:iCs w:val="0"/>
          <w:caps w:val="0"/>
          <w:color w:val="222222"/>
          <w:spacing w:val="0"/>
          <w:sz w:val="20"/>
          <w:szCs w:val="20"/>
          <w:shd w:val="clear" w:fill="FFFFFF"/>
        </w:rPr>
        <w:t>(1), 351-358.</w:t>
      </w:r>
    </w:p>
    <w:p w14:paraId="681CFDD1">
      <w:pPr>
        <w:jc w:val="both"/>
        <w:rPr>
          <w:rFonts w:ascii="Arial" w:hAnsi="Arial" w:eastAsia="SimSun" w:cs="Arial"/>
          <w:shd w:val="clear" w:color="auto" w:fill="FFFFFF"/>
        </w:rPr>
      </w:pPr>
    </w:p>
    <w:p w14:paraId="56A82E2E">
      <w:pPr>
        <w:jc w:val="both"/>
        <w:rPr>
          <w:rFonts w:ascii="Arial" w:hAnsi="Arial" w:eastAsia="SimSun" w:cs="Arial"/>
          <w:shd w:val="clear" w:color="auto" w:fill="FFFFFF"/>
        </w:rPr>
      </w:pPr>
      <w:r>
        <w:rPr>
          <w:rFonts w:ascii="Arial" w:hAnsi="Arial" w:eastAsia="SimSun" w:cs="Arial"/>
          <w:shd w:val="clear" w:color="auto" w:fill="FFFFFF"/>
        </w:rPr>
        <w:t xml:space="preserve">Malnick, S.D., Alin, P., Somin, M. </w:t>
      </w:r>
      <w:r>
        <w:rPr>
          <w:rFonts w:ascii="Arial" w:hAnsi="Arial" w:cs="Arial"/>
        </w:rPr>
        <w:t>&amp;</w:t>
      </w:r>
      <w:r>
        <w:rPr>
          <w:rFonts w:ascii="Arial" w:hAnsi="Arial" w:eastAsia="SimSun" w:cs="Arial"/>
          <w:shd w:val="clear" w:color="auto" w:fill="FFFFFF"/>
        </w:rPr>
        <w:t xml:space="preserve"> Neuman, M.G. (2022). Fatty liver disease-alcoholic and non-alcoholic: similar but different. </w:t>
      </w:r>
      <w:r>
        <w:rPr>
          <w:rFonts w:ascii="Arial" w:hAnsi="Arial" w:eastAsia="SimSun" w:cs="Arial"/>
          <w:i/>
          <w:iCs/>
          <w:shd w:val="clear" w:color="auto" w:fill="FFFFFF"/>
        </w:rPr>
        <w:t>International Journal of Molecular Sciences</w:t>
      </w:r>
      <w:r>
        <w:rPr>
          <w:rFonts w:ascii="Arial" w:hAnsi="Arial" w:eastAsia="SimSun" w:cs="Arial"/>
          <w:shd w:val="clear" w:color="auto" w:fill="FFFFFF"/>
        </w:rPr>
        <w:t>, </w:t>
      </w:r>
      <w:r>
        <w:rPr>
          <w:rFonts w:ascii="Arial" w:hAnsi="Arial" w:eastAsia="SimSun" w:cs="Arial"/>
          <w:i/>
          <w:iCs/>
          <w:shd w:val="clear" w:color="auto" w:fill="FFFFFF"/>
        </w:rPr>
        <w:t>23</w:t>
      </w:r>
      <w:r>
        <w:rPr>
          <w:rFonts w:ascii="Arial" w:hAnsi="Arial" w:eastAsia="SimSun" w:cs="Arial"/>
          <w:shd w:val="clear" w:color="auto" w:fill="FFFFFF"/>
        </w:rPr>
        <w:t>(24), 16226.</w:t>
      </w:r>
    </w:p>
    <w:p w14:paraId="0D006D10">
      <w:pPr>
        <w:jc w:val="both"/>
        <w:rPr>
          <w:rFonts w:ascii="Arial" w:hAnsi="Arial" w:eastAsia="SimSun" w:cs="Arial"/>
          <w:shd w:val="clear" w:color="auto" w:fill="FFFFFF"/>
        </w:rPr>
      </w:pPr>
    </w:p>
    <w:p w14:paraId="6464A3D3">
      <w:pPr>
        <w:jc w:val="both"/>
        <w:rPr>
          <w:rFonts w:ascii="Arial" w:hAnsi="Arial" w:eastAsia="SimSun" w:cs="Arial"/>
          <w:shd w:val="clear" w:color="auto" w:fill="FFFFFF"/>
        </w:rPr>
      </w:pPr>
      <w:r>
        <w:rPr>
          <w:rFonts w:ascii="Arial" w:hAnsi="Arial" w:eastAsia="SimSun" w:cs="Arial"/>
          <w:shd w:val="clear" w:color="auto" w:fill="FFFFFF"/>
        </w:rPr>
        <w:t xml:space="preserve">Mao, W. </w:t>
      </w:r>
      <w:r>
        <w:rPr>
          <w:rFonts w:ascii="Arial" w:hAnsi="Arial" w:cs="Arial"/>
        </w:rPr>
        <w:t>&amp;</w:t>
      </w:r>
      <w:r>
        <w:rPr>
          <w:rFonts w:ascii="Arial" w:hAnsi="Arial" w:eastAsia="SimSun" w:cs="Arial"/>
          <w:shd w:val="clear" w:color="auto" w:fill="FFFFFF"/>
        </w:rPr>
        <w:t xml:space="preserve"> Wu, J., (2020). Haematologic indices in hepatitis B virus-related liver disease. </w:t>
      </w:r>
      <w:r>
        <w:rPr>
          <w:rFonts w:ascii="Arial" w:hAnsi="Arial" w:eastAsia="SimSun" w:cs="Arial"/>
          <w:i/>
          <w:iCs/>
          <w:shd w:val="clear" w:color="auto" w:fill="FFFFFF"/>
        </w:rPr>
        <w:t>Clinica Chimica Acta</w:t>
      </w:r>
      <w:r>
        <w:rPr>
          <w:rFonts w:ascii="Arial" w:hAnsi="Arial" w:eastAsia="SimSun" w:cs="Arial"/>
          <w:shd w:val="clear" w:color="auto" w:fill="FFFFFF"/>
        </w:rPr>
        <w:t>, </w:t>
      </w:r>
      <w:r>
        <w:rPr>
          <w:rFonts w:ascii="Arial" w:hAnsi="Arial" w:eastAsia="SimSun" w:cs="Arial"/>
          <w:i/>
          <w:iCs/>
          <w:shd w:val="clear" w:color="auto" w:fill="FFFFFF"/>
        </w:rPr>
        <w:t>500</w:t>
      </w:r>
      <w:r>
        <w:rPr>
          <w:rFonts w:ascii="Arial" w:hAnsi="Arial" w:eastAsia="SimSun" w:cs="Arial"/>
          <w:shd w:val="clear" w:color="auto" w:fill="FFFFFF"/>
        </w:rPr>
        <w:t>, 135-142.</w:t>
      </w:r>
    </w:p>
    <w:p w14:paraId="03EDCB85">
      <w:pPr>
        <w:jc w:val="both"/>
        <w:rPr>
          <w:rFonts w:ascii="Arial" w:hAnsi="Arial" w:eastAsia="SimSun" w:cs="Arial"/>
          <w:shd w:val="clear" w:color="auto" w:fill="FFFFFF"/>
        </w:rPr>
      </w:pPr>
    </w:p>
    <w:p w14:paraId="54A55614">
      <w:pPr>
        <w:jc w:val="both"/>
        <w:rPr>
          <w:rFonts w:ascii="Arial" w:hAnsi="Arial" w:eastAsia="SimSun" w:cs="Arial"/>
          <w:shd w:val="clear" w:color="auto" w:fill="FFFFFF"/>
        </w:rPr>
      </w:pPr>
      <w:r>
        <w:rPr>
          <w:rFonts w:ascii="Arial" w:hAnsi="Arial" w:eastAsia="SimSun" w:cs="Arial"/>
          <w:shd w:val="clear" w:color="auto" w:fill="FFFFFF"/>
        </w:rPr>
        <w:t>Mazani, M., Rezagholizadeh, L., Shamsi, S., Mahdavifard, S., Ojarudi, M., Salimnejad, R., &amp; Salimi, A. (2022). Protection of CCl4-induced hepatic and renal damage by linalool. </w:t>
      </w:r>
      <w:r>
        <w:rPr>
          <w:rFonts w:ascii="Arial" w:hAnsi="Arial" w:eastAsia="SimSun" w:cs="Arial"/>
          <w:i/>
          <w:iCs/>
          <w:shd w:val="clear" w:color="auto" w:fill="FFFFFF"/>
        </w:rPr>
        <w:t>Drug and Chemical Toxicology</w:t>
      </w:r>
      <w:r>
        <w:rPr>
          <w:rFonts w:ascii="Arial" w:hAnsi="Arial" w:eastAsia="SimSun" w:cs="Arial"/>
          <w:shd w:val="clear" w:color="auto" w:fill="FFFFFF"/>
        </w:rPr>
        <w:t>, </w:t>
      </w:r>
      <w:r>
        <w:rPr>
          <w:rFonts w:ascii="Arial" w:hAnsi="Arial" w:eastAsia="SimSun" w:cs="Arial"/>
          <w:i/>
          <w:iCs/>
          <w:shd w:val="clear" w:color="auto" w:fill="FFFFFF"/>
        </w:rPr>
        <w:t>45</w:t>
      </w:r>
      <w:r>
        <w:rPr>
          <w:rFonts w:ascii="Arial" w:hAnsi="Arial" w:eastAsia="SimSun" w:cs="Arial"/>
          <w:shd w:val="clear" w:color="auto" w:fill="FFFFFF"/>
        </w:rPr>
        <w:t>(3), 963-971.</w:t>
      </w:r>
    </w:p>
    <w:p w14:paraId="65E40FE9">
      <w:pPr>
        <w:jc w:val="both"/>
        <w:rPr>
          <w:rFonts w:ascii="Arial" w:hAnsi="Arial" w:eastAsia="SimSun" w:cs="Arial"/>
          <w:shd w:val="clear" w:color="auto" w:fill="FFFFFF"/>
        </w:rPr>
      </w:pPr>
    </w:p>
    <w:p w14:paraId="794344E4">
      <w:pPr>
        <w:jc w:val="both"/>
        <w:rPr>
          <w:rFonts w:ascii="Arial" w:hAnsi="Arial" w:eastAsia="SimSun" w:cs="Arial"/>
          <w:shd w:val="clear" w:color="auto" w:fill="FFFFFF"/>
        </w:rPr>
      </w:pPr>
      <w:r>
        <w:rPr>
          <w:rFonts w:ascii="Arial" w:hAnsi="Arial" w:eastAsia="SimSun" w:cs="Arial"/>
          <w:shd w:val="clear" w:color="auto" w:fill="FFFFFF"/>
        </w:rPr>
        <w:t>Meng, X., Tang, G. Y., Liu, P. H., Zhao, C. J., Liu, Q., &amp; Li, H. B. (2020). Antioxidant activity and hepatoprotective effect of 10 medicinal herbs on CCl4-induced liver injury in mice. </w:t>
      </w:r>
      <w:r>
        <w:rPr>
          <w:rFonts w:ascii="Arial" w:hAnsi="Arial" w:eastAsia="SimSun" w:cs="Arial"/>
          <w:i/>
          <w:iCs/>
          <w:shd w:val="clear" w:color="auto" w:fill="FFFFFF"/>
        </w:rPr>
        <w:t>World journal of gastroenterology</w:t>
      </w:r>
      <w:r>
        <w:rPr>
          <w:rFonts w:ascii="Arial" w:hAnsi="Arial" w:eastAsia="SimSun" w:cs="Arial"/>
          <w:shd w:val="clear" w:color="auto" w:fill="FFFFFF"/>
        </w:rPr>
        <w:t>, </w:t>
      </w:r>
      <w:r>
        <w:rPr>
          <w:rFonts w:ascii="Arial" w:hAnsi="Arial" w:eastAsia="SimSun" w:cs="Arial"/>
          <w:i/>
          <w:iCs/>
          <w:shd w:val="clear" w:color="auto" w:fill="FFFFFF"/>
        </w:rPr>
        <w:t>26</w:t>
      </w:r>
      <w:r>
        <w:rPr>
          <w:rFonts w:ascii="Arial" w:hAnsi="Arial" w:eastAsia="SimSun" w:cs="Arial"/>
          <w:shd w:val="clear" w:color="auto" w:fill="FFFFFF"/>
        </w:rPr>
        <w:t>(37), 5629.</w:t>
      </w:r>
    </w:p>
    <w:p w14:paraId="24B6EA92">
      <w:pPr>
        <w:jc w:val="both"/>
        <w:rPr>
          <w:rFonts w:ascii="Arial" w:hAnsi="Arial" w:eastAsia="SimSun" w:cs="Arial"/>
          <w:shd w:val="clear" w:color="auto" w:fill="FFFFFF"/>
        </w:rPr>
      </w:pPr>
    </w:p>
    <w:p w14:paraId="1851B3BD">
      <w:pPr>
        <w:jc w:val="both"/>
        <w:rPr>
          <w:rFonts w:ascii="Arial" w:hAnsi="Arial" w:eastAsia="SimSun" w:cs="Arial"/>
          <w:shd w:val="clear" w:color="auto" w:fill="FFFFFF"/>
        </w:rPr>
      </w:pPr>
      <w:r>
        <w:rPr>
          <w:rFonts w:ascii="Arial" w:hAnsi="Arial" w:eastAsia="SimSun" w:cs="Arial"/>
          <w:shd w:val="clear" w:color="auto" w:fill="FFFFFF"/>
        </w:rPr>
        <w:t>Mohideen, K., Chandrasekar, K., Ramsridhar, S., Rajkumar, C., Ghosh, S., &amp; Dhungel, S. (2023). Assessment of oxidative stress by the estimation of lipid peroxidation marker malondialdehyde (MDA) in patients with chronic periodontitis: a systematic review and meta‐analysis. </w:t>
      </w:r>
      <w:r>
        <w:rPr>
          <w:rFonts w:ascii="Arial" w:hAnsi="Arial" w:eastAsia="SimSun" w:cs="Arial"/>
          <w:i/>
          <w:iCs/>
          <w:shd w:val="clear" w:color="auto" w:fill="FFFFFF"/>
        </w:rPr>
        <w:t>International Journal of Dentistry</w:t>
      </w:r>
      <w:r>
        <w:rPr>
          <w:rFonts w:ascii="Arial" w:hAnsi="Arial" w:eastAsia="SimSun" w:cs="Arial"/>
          <w:shd w:val="clear" w:color="auto" w:fill="FFFFFF"/>
        </w:rPr>
        <w:t>, </w:t>
      </w:r>
      <w:r>
        <w:rPr>
          <w:rFonts w:ascii="Arial" w:hAnsi="Arial" w:eastAsia="SimSun" w:cs="Arial"/>
          <w:i/>
          <w:iCs/>
          <w:shd w:val="clear" w:color="auto" w:fill="FFFFFF"/>
        </w:rPr>
        <w:t>2023</w:t>
      </w:r>
      <w:r>
        <w:rPr>
          <w:rFonts w:ascii="Arial" w:hAnsi="Arial" w:eastAsia="SimSun" w:cs="Arial"/>
          <w:shd w:val="clear" w:color="auto" w:fill="FFFFFF"/>
        </w:rPr>
        <w:t>(1), 6014706.</w:t>
      </w:r>
    </w:p>
    <w:p w14:paraId="11692531">
      <w:pPr>
        <w:jc w:val="both"/>
        <w:rPr>
          <w:rFonts w:ascii="Arial" w:hAnsi="Arial" w:eastAsia="SimSun" w:cs="Arial"/>
          <w:shd w:val="clear" w:color="auto" w:fill="FFFFFF"/>
        </w:rPr>
      </w:pPr>
    </w:p>
    <w:p w14:paraId="09C47FE0">
      <w:pPr>
        <w:jc w:val="both"/>
        <w:rPr>
          <w:rFonts w:ascii="Arial" w:hAnsi="Arial" w:eastAsia="SimSun" w:cs="Arial"/>
          <w:shd w:val="clear" w:color="auto" w:fill="FFFFFF"/>
        </w:rPr>
      </w:pPr>
      <w:r>
        <w:rPr>
          <w:rFonts w:ascii="Arial" w:hAnsi="Arial" w:eastAsia="SimSun" w:cs="Arial"/>
          <w:shd w:val="clear" w:color="auto" w:fill="FFFFFF"/>
        </w:rPr>
        <w:t>Murtaza, S., &amp; Khan, M. K. A. (2023). Evaluation of Cardiac Profile in CCl4 Induced Toxicity in Albino Rats: Cardiac Profiling in CCl4 Induced Toxicity in Albino Rats. </w:t>
      </w:r>
      <w:r>
        <w:rPr>
          <w:rFonts w:ascii="Arial" w:hAnsi="Arial" w:eastAsia="SimSun" w:cs="Arial"/>
          <w:i/>
          <w:iCs/>
          <w:shd w:val="clear" w:color="auto" w:fill="FFFFFF"/>
        </w:rPr>
        <w:t>MARKHOR (The Journal of Zoology)</w:t>
      </w:r>
      <w:r>
        <w:rPr>
          <w:rFonts w:ascii="Arial" w:hAnsi="Arial" w:eastAsia="SimSun" w:cs="Arial"/>
          <w:shd w:val="clear" w:color="auto" w:fill="FFFFFF"/>
        </w:rPr>
        <w:t>, 11-15.</w:t>
      </w:r>
    </w:p>
    <w:p w14:paraId="526A7B42">
      <w:pPr>
        <w:jc w:val="both"/>
        <w:rPr>
          <w:rFonts w:ascii="Arial" w:hAnsi="Arial" w:eastAsia="SimSun" w:cs="Arial"/>
          <w:shd w:val="clear" w:color="auto" w:fill="FFFFFF"/>
        </w:rPr>
      </w:pPr>
    </w:p>
    <w:p w14:paraId="5A07665F">
      <w:pPr>
        <w:jc w:val="both"/>
        <w:rPr>
          <w:rFonts w:ascii="Arial" w:hAnsi="Arial" w:eastAsia="SimSun" w:cs="Arial"/>
          <w:shd w:val="clear" w:color="auto" w:fill="FFFFFF"/>
        </w:rPr>
      </w:pPr>
      <w:r>
        <w:rPr>
          <w:rFonts w:ascii="Arial" w:hAnsi="Arial" w:eastAsia="SimSun" w:cs="Arial"/>
          <w:shd w:val="clear" w:color="auto" w:fill="FFFFFF"/>
        </w:rPr>
        <w:t>Nacer, S. N., Wassima, L., Boussebaa, W., Abadi, A., Benyahia, I., Mouhoubi, D., Ladjal, A., Hammi, H., Bachir, H., Dehliz, A. &amp; Moussaoui, Y. (2024). Phytochemical screening, antioxidant, antibacterial, and antifungal properties of the Cymbopogon citratus methanolic extract. </w:t>
      </w:r>
      <w:r>
        <w:rPr>
          <w:rFonts w:ascii="Arial" w:hAnsi="Arial" w:eastAsia="SimSun" w:cs="Arial"/>
          <w:i/>
          <w:iCs/>
          <w:shd w:val="clear" w:color="auto" w:fill="FFFFFF"/>
        </w:rPr>
        <w:t>Pharmacological Research-Natural Products</w:t>
      </w:r>
      <w:r>
        <w:rPr>
          <w:rFonts w:ascii="Arial" w:hAnsi="Arial" w:eastAsia="SimSun" w:cs="Arial"/>
          <w:shd w:val="clear" w:color="auto" w:fill="FFFFFF"/>
        </w:rPr>
        <w:t>, </w:t>
      </w:r>
      <w:r>
        <w:rPr>
          <w:rFonts w:ascii="Arial" w:hAnsi="Arial" w:eastAsia="SimSun" w:cs="Arial"/>
          <w:i/>
          <w:iCs/>
          <w:shd w:val="clear" w:color="auto" w:fill="FFFFFF"/>
        </w:rPr>
        <w:t>5</w:t>
      </w:r>
      <w:r>
        <w:rPr>
          <w:rFonts w:ascii="Arial" w:hAnsi="Arial" w:eastAsia="SimSun" w:cs="Arial"/>
          <w:shd w:val="clear" w:color="auto" w:fill="FFFFFF"/>
        </w:rPr>
        <w:t>, 100094.</w:t>
      </w:r>
    </w:p>
    <w:p w14:paraId="68EF2AB8">
      <w:pPr>
        <w:jc w:val="both"/>
        <w:rPr>
          <w:rFonts w:ascii="Arial" w:hAnsi="Arial" w:eastAsia="SimSun" w:cs="Arial"/>
          <w:shd w:val="clear" w:color="auto" w:fill="FFFFFF"/>
        </w:rPr>
      </w:pPr>
    </w:p>
    <w:p w14:paraId="3A46B760">
      <w:pPr>
        <w:jc w:val="both"/>
        <w:rPr>
          <w:rFonts w:ascii="Arial" w:hAnsi="Arial" w:eastAsia="SimSun" w:cs="Arial"/>
          <w:i/>
          <w:iCs/>
          <w:shd w:val="clear" w:color="auto" w:fill="FFFFFF"/>
        </w:rPr>
      </w:pPr>
      <w:r>
        <w:rPr>
          <w:rFonts w:ascii="Arial" w:hAnsi="Arial" w:eastAsia="SimSun" w:cs="Arial"/>
          <w:shd w:val="clear" w:color="auto" w:fill="FFFFFF"/>
        </w:rPr>
        <w:t>Ndrepepa, G. (2021). Aspartate aminotransferase and cardiovascular disease—a narrative review. </w:t>
      </w:r>
      <w:r>
        <w:rPr>
          <w:rFonts w:ascii="Arial" w:hAnsi="Arial" w:eastAsia="SimSun" w:cs="Arial"/>
          <w:i/>
          <w:iCs/>
          <w:shd w:val="clear" w:color="auto" w:fill="FFFFFF"/>
        </w:rPr>
        <w:t>Journal of Laboratory and Precision Medicine</w:t>
      </w:r>
      <w:r>
        <w:rPr>
          <w:rFonts w:ascii="Arial" w:hAnsi="Arial" w:eastAsia="SimSun" w:cs="Arial"/>
          <w:shd w:val="clear" w:color="auto" w:fill="FFFFFF"/>
        </w:rPr>
        <w:t>, </w:t>
      </w:r>
      <w:r>
        <w:rPr>
          <w:rFonts w:ascii="Arial" w:hAnsi="Arial" w:eastAsia="SimSun" w:cs="Arial"/>
          <w:i/>
          <w:iCs/>
          <w:shd w:val="clear" w:color="auto" w:fill="FFFFFF"/>
        </w:rPr>
        <w:t>6:6</w:t>
      </w:r>
    </w:p>
    <w:p w14:paraId="45F5B23F">
      <w:pPr>
        <w:jc w:val="both"/>
        <w:rPr>
          <w:rFonts w:ascii="Arial" w:hAnsi="Arial" w:eastAsia="SimSun" w:cs="Arial"/>
          <w:i/>
          <w:iCs/>
          <w:shd w:val="clear" w:color="auto" w:fill="FFFFFF"/>
        </w:rPr>
      </w:pPr>
    </w:p>
    <w:p w14:paraId="7DC3E297">
      <w:pPr>
        <w:jc w:val="both"/>
        <w:rPr>
          <w:rFonts w:ascii="Arial" w:hAnsi="Arial" w:eastAsia="SimSun" w:cs="Arial"/>
          <w:shd w:val="clear" w:color="auto" w:fill="FFFFFF"/>
        </w:rPr>
      </w:pPr>
      <w:r>
        <w:rPr>
          <w:rFonts w:ascii="Arial" w:hAnsi="Arial" w:eastAsia="SimSun" w:cs="Arial"/>
          <w:shd w:val="clear" w:color="auto" w:fill="FFFFFF"/>
        </w:rPr>
        <w:t xml:space="preserve">Oladeji, O.S., Adelowo, F.E., Ayodele, D.T. </w:t>
      </w:r>
      <w:r>
        <w:rPr>
          <w:rFonts w:ascii="Arial" w:hAnsi="Arial" w:cs="Arial"/>
        </w:rPr>
        <w:t>&amp;</w:t>
      </w:r>
      <w:r>
        <w:rPr>
          <w:rFonts w:ascii="Arial" w:hAnsi="Arial" w:eastAsia="SimSun" w:cs="Arial"/>
          <w:shd w:val="clear" w:color="auto" w:fill="FFFFFF"/>
        </w:rPr>
        <w:t xml:space="preserve"> Odelade, K.A. (2019). Phytochemistry and pharmacological activities of Cymbopogon citratus: A review. </w:t>
      </w:r>
      <w:r>
        <w:rPr>
          <w:rFonts w:ascii="Arial" w:hAnsi="Arial" w:eastAsia="SimSun" w:cs="Arial"/>
          <w:i/>
          <w:iCs/>
          <w:shd w:val="clear" w:color="auto" w:fill="FFFFFF"/>
        </w:rPr>
        <w:t>Scientific African</w:t>
      </w:r>
      <w:r>
        <w:rPr>
          <w:rFonts w:ascii="Arial" w:hAnsi="Arial" w:eastAsia="SimSun" w:cs="Arial"/>
          <w:shd w:val="clear" w:color="auto" w:fill="FFFFFF"/>
        </w:rPr>
        <w:t>, </w:t>
      </w:r>
      <w:r>
        <w:rPr>
          <w:rFonts w:ascii="Arial" w:hAnsi="Arial" w:eastAsia="SimSun" w:cs="Arial"/>
          <w:i/>
          <w:iCs/>
          <w:shd w:val="clear" w:color="auto" w:fill="FFFFFF"/>
        </w:rPr>
        <w:t>6</w:t>
      </w:r>
      <w:r>
        <w:rPr>
          <w:rFonts w:ascii="Arial" w:hAnsi="Arial" w:eastAsia="SimSun" w:cs="Arial"/>
          <w:shd w:val="clear" w:color="auto" w:fill="FFFFFF"/>
        </w:rPr>
        <w:t>, e00137.</w:t>
      </w:r>
    </w:p>
    <w:p w14:paraId="5ED8B48A">
      <w:pPr>
        <w:jc w:val="both"/>
        <w:rPr>
          <w:rFonts w:ascii="Arial" w:hAnsi="Arial" w:eastAsia="SimSun" w:cs="Arial"/>
          <w:shd w:val="clear" w:color="auto" w:fill="FFFFFF"/>
        </w:rPr>
      </w:pPr>
    </w:p>
    <w:p w14:paraId="3A92EB60">
      <w:pPr>
        <w:jc w:val="both"/>
        <w:rPr>
          <w:rFonts w:ascii="Arial" w:hAnsi="Arial" w:eastAsia="sans-serif" w:cs="Arial"/>
          <w:shd w:val="clear" w:color="auto" w:fill="FFFFFF"/>
        </w:rPr>
      </w:pPr>
      <w:r>
        <w:rPr>
          <w:rFonts w:ascii="Arial" w:hAnsi="Arial" w:eastAsia="sans-serif" w:cs="Arial"/>
          <w:shd w:val="clear" w:color="auto" w:fill="FFFFFF"/>
        </w:rPr>
        <w:t xml:space="preserve">Prottasha, M. K., Kashfa, H., Navid, R. N., Somaya, J.S. </w:t>
      </w:r>
      <w:r>
        <w:rPr>
          <w:rFonts w:ascii="Arial" w:hAnsi="Arial" w:cs="Arial"/>
        </w:rPr>
        <w:t>&amp;</w:t>
      </w:r>
      <w:r>
        <w:rPr>
          <w:rFonts w:ascii="Arial" w:hAnsi="Arial" w:eastAsia="sans-serif" w:cs="Arial"/>
          <w:shd w:val="clear" w:color="auto" w:fill="FFFFFF"/>
        </w:rPr>
        <w:t xml:space="preserve"> Sara, R. (2024). “Evaluation of Hepatoprotective Activity of Ethanolic Extract of the Seed of Flacourtia Jangomas Againstccl4-Induced Liver Damage in Rat Model”. Journal of Complementary and Alternative Medical Research 25 (10),1-9. </w:t>
      </w:r>
      <w:r>
        <w:fldChar w:fldCharType="begin"/>
      </w:r>
      <w:r>
        <w:instrText xml:space="preserve"> HYPERLINK "https://doi.org/10.9734/jocamr/2024/v25i10573." </w:instrText>
      </w:r>
      <w:r>
        <w:fldChar w:fldCharType="separate"/>
      </w:r>
      <w:r>
        <w:rPr>
          <w:rStyle w:val="15"/>
          <w:rFonts w:ascii="Arial" w:hAnsi="Arial" w:eastAsia="sans-serif" w:cs="Arial"/>
          <w:color w:val="auto"/>
          <w:shd w:val="clear" w:color="auto" w:fill="FFFFFF"/>
        </w:rPr>
        <w:t>https://doi.org/10.9734/jocamr/2024/v25i10573.</w:t>
      </w:r>
      <w:r>
        <w:rPr>
          <w:rStyle w:val="15"/>
          <w:rFonts w:ascii="Arial" w:hAnsi="Arial" w:eastAsia="sans-serif" w:cs="Arial"/>
          <w:color w:val="auto"/>
          <w:shd w:val="clear" w:color="auto" w:fill="FFFFFF"/>
        </w:rPr>
        <w:fldChar w:fldCharType="end"/>
      </w:r>
    </w:p>
    <w:p w14:paraId="315C822A">
      <w:pPr>
        <w:jc w:val="both"/>
        <w:rPr>
          <w:rFonts w:ascii="Arial" w:hAnsi="Arial" w:eastAsia="sans-serif" w:cs="Arial"/>
          <w:shd w:val="clear" w:color="auto" w:fill="FFFFFF"/>
        </w:rPr>
      </w:pPr>
    </w:p>
    <w:p w14:paraId="44FA5941">
      <w:pPr>
        <w:jc w:val="both"/>
        <w:rPr>
          <w:rFonts w:ascii="Arial" w:hAnsi="Arial" w:eastAsia="SimSun" w:cs="Arial"/>
          <w:shd w:val="clear" w:color="auto" w:fill="FFFFFF"/>
        </w:rPr>
      </w:pPr>
      <w:r>
        <w:rPr>
          <w:rFonts w:ascii="Arial" w:hAnsi="Arial" w:eastAsia="SimSun" w:cs="Arial"/>
          <w:shd w:val="clear" w:color="auto" w:fill="FFFFFF"/>
        </w:rPr>
        <w:t xml:space="preserve">Quek, J., Chan, K.E., Wong, Z.Y., Tan, C., Tan, B., Lim, W.H., Tan, D.J.H., Tang, A.S.P., Tay, P., Xiao, J. </w:t>
      </w:r>
      <w:r>
        <w:rPr>
          <w:rFonts w:ascii="Arial" w:hAnsi="Arial" w:cs="Arial"/>
        </w:rPr>
        <w:t>&amp;</w:t>
      </w:r>
      <w:r>
        <w:rPr>
          <w:rFonts w:ascii="Arial" w:hAnsi="Arial" w:eastAsia="SimSun" w:cs="Arial"/>
          <w:shd w:val="clear" w:color="auto" w:fill="FFFFFF"/>
        </w:rPr>
        <w:t xml:space="preserve"> Yong, J.N. (2023). Global prevalence of non-alcoholic fatty liver disease and non-alcoholic steatohepatitis in the overweight and obese population: a systematic review and meta-analysis. </w:t>
      </w:r>
      <w:r>
        <w:rPr>
          <w:rFonts w:ascii="Arial" w:hAnsi="Arial" w:eastAsia="SimSun" w:cs="Arial"/>
          <w:i/>
          <w:iCs/>
          <w:shd w:val="clear" w:color="auto" w:fill="FFFFFF"/>
        </w:rPr>
        <w:t>The lancet Gastroenterology &amp; hepatology</w:t>
      </w:r>
      <w:r>
        <w:rPr>
          <w:rFonts w:ascii="Arial" w:hAnsi="Arial" w:eastAsia="SimSun" w:cs="Arial"/>
          <w:shd w:val="clear" w:color="auto" w:fill="FFFFFF"/>
        </w:rPr>
        <w:t>, </w:t>
      </w:r>
      <w:r>
        <w:rPr>
          <w:rFonts w:ascii="Arial" w:hAnsi="Arial" w:eastAsia="SimSun" w:cs="Arial"/>
          <w:i/>
          <w:iCs/>
          <w:shd w:val="clear" w:color="auto" w:fill="FFFFFF"/>
        </w:rPr>
        <w:t>8</w:t>
      </w:r>
      <w:r>
        <w:rPr>
          <w:rFonts w:ascii="Arial" w:hAnsi="Arial" w:eastAsia="SimSun" w:cs="Arial"/>
          <w:shd w:val="clear" w:color="auto" w:fill="FFFFFF"/>
        </w:rPr>
        <w:t>(1), 20-30.</w:t>
      </w:r>
    </w:p>
    <w:p w14:paraId="533EDDD7">
      <w:pPr>
        <w:jc w:val="both"/>
        <w:rPr>
          <w:rFonts w:ascii="Arial" w:hAnsi="Arial" w:eastAsia="SimSun" w:cs="Arial"/>
          <w:shd w:val="clear" w:color="auto" w:fill="FFFFFF"/>
        </w:rPr>
      </w:pPr>
    </w:p>
    <w:p w14:paraId="2DD16908">
      <w:pPr>
        <w:jc w:val="both"/>
        <w:rPr>
          <w:rFonts w:ascii="Arial" w:hAnsi="Arial" w:eastAsia="SimSun" w:cs="Arial"/>
          <w:shd w:val="clear" w:color="auto" w:fill="FFFFFF"/>
        </w:rPr>
      </w:pPr>
      <w:r>
        <w:rPr>
          <w:rFonts w:ascii="Arial" w:hAnsi="Arial" w:eastAsia="SimSun" w:cs="Arial"/>
          <w:shd w:val="clear" w:color="auto" w:fill="FFFFFF"/>
        </w:rPr>
        <w:t xml:space="preserve">Rakib-Uz-Zaman, S.M., Hoque Apu, E., Muntasir, M.N., Mowna, S.A., Khanom, M.G., Jahan, S.S., Akter, N., R. Khan, M.A., Shuborna, N.S., Shams, S.M. </w:t>
      </w:r>
      <w:r>
        <w:rPr>
          <w:rFonts w:ascii="Arial" w:hAnsi="Arial" w:cs="Arial"/>
        </w:rPr>
        <w:t>&amp;</w:t>
      </w:r>
      <w:r>
        <w:rPr>
          <w:rFonts w:ascii="Arial" w:hAnsi="Arial" w:eastAsia="SimSun" w:cs="Arial"/>
          <w:shd w:val="clear" w:color="auto" w:fill="FFFFFF"/>
        </w:rPr>
        <w:t xml:space="preserve"> Khan, K. (2022). Biosynthesis of silver nanoparticles from Cymbopogon citratus leaf extract and evaluation of their antimicrobial properties. </w:t>
      </w:r>
      <w:r>
        <w:rPr>
          <w:rFonts w:ascii="Arial" w:hAnsi="Arial" w:eastAsia="SimSun" w:cs="Arial"/>
          <w:i/>
          <w:iCs/>
          <w:shd w:val="clear" w:color="auto" w:fill="FFFFFF"/>
        </w:rPr>
        <w:t>Challenges</w:t>
      </w:r>
      <w:r>
        <w:rPr>
          <w:rFonts w:ascii="Arial" w:hAnsi="Arial" w:eastAsia="SimSun" w:cs="Arial"/>
          <w:shd w:val="clear" w:color="auto" w:fill="FFFFFF"/>
        </w:rPr>
        <w:t>, </w:t>
      </w:r>
      <w:r>
        <w:rPr>
          <w:rFonts w:ascii="Arial" w:hAnsi="Arial" w:eastAsia="SimSun" w:cs="Arial"/>
          <w:i/>
          <w:iCs/>
          <w:shd w:val="clear" w:color="auto" w:fill="FFFFFF"/>
        </w:rPr>
        <w:t>13</w:t>
      </w:r>
      <w:r>
        <w:rPr>
          <w:rFonts w:ascii="Arial" w:hAnsi="Arial" w:eastAsia="SimSun" w:cs="Arial"/>
          <w:shd w:val="clear" w:color="auto" w:fill="FFFFFF"/>
        </w:rPr>
        <w:t>(1), 18.</w:t>
      </w:r>
    </w:p>
    <w:p w14:paraId="55B72F46">
      <w:pPr>
        <w:jc w:val="both"/>
        <w:rPr>
          <w:rFonts w:ascii="Arial" w:hAnsi="Arial" w:eastAsia="SimSun" w:cs="Arial"/>
          <w:shd w:val="clear" w:color="auto" w:fill="FFFFFF"/>
        </w:rPr>
      </w:pPr>
    </w:p>
    <w:p w14:paraId="6F9D6253">
      <w:pPr>
        <w:jc w:val="both"/>
        <w:rPr>
          <w:rFonts w:ascii="Arial" w:hAnsi="Arial" w:eastAsia="SimSun" w:cs="Arial"/>
          <w:shd w:val="clear" w:color="auto" w:fill="FFFFFF"/>
        </w:rPr>
      </w:pPr>
      <w:r>
        <w:rPr>
          <w:rFonts w:ascii="Arial" w:hAnsi="Arial" w:eastAsia="SimSun" w:cs="Arial"/>
          <w:shd w:val="clear" w:color="auto" w:fill="FFFFFF"/>
        </w:rPr>
        <w:t xml:space="preserve">Rodríguez-Fragoso, L., Rodríguez-López, A. </w:t>
      </w:r>
      <w:r>
        <w:rPr>
          <w:rFonts w:ascii="Arial" w:hAnsi="Arial" w:cs="Arial"/>
        </w:rPr>
        <w:t>&amp;</w:t>
      </w:r>
      <w:r>
        <w:rPr>
          <w:rFonts w:ascii="Arial" w:hAnsi="Arial" w:eastAsia="SimSun" w:cs="Arial"/>
          <w:shd w:val="clear" w:color="auto" w:fill="FFFFFF"/>
        </w:rPr>
        <w:t xml:space="preserve"> Sánchez-Quevedo, J., (2022). </w:t>
      </w:r>
      <w:r>
        <w:rPr>
          <w:rFonts w:ascii="Arial" w:hAnsi="Arial" w:eastAsia="SimSun" w:cs="Arial"/>
          <w:i/>
          <w:iCs/>
          <w:shd w:val="clear" w:color="auto" w:fill="FFFFFF"/>
        </w:rPr>
        <w:t>Models of Hepatotoxicity for the Study of Chronic Liver Disease</w:t>
      </w:r>
      <w:r>
        <w:rPr>
          <w:rFonts w:ascii="Arial" w:hAnsi="Arial" w:eastAsia="SimSun" w:cs="Arial"/>
          <w:shd w:val="clear" w:color="auto" w:fill="FFFFFF"/>
        </w:rPr>
        <w:t>. IntechOpen.</w:t>
      </w:r>
    </w:p>
    <w:p w14:paraId="03D1F873">
      <w:pPr>
        <w:jc w:val="both"/>
        <w:rPr>
          <w:rFonts w:ascii="Arial" w:hAnsi="Arial" w:eastAsia="SimSun" w:cs="Arial"/>
          <w:shd w:val="clear" w:color="auto" w:fill="FFFFFF"/>
        </w:rPr>
      </w:pPr>
    </w:p>
    <w:p w14:paraId="3F6CB849">
      <w:pPr>
        <w:jc w:val="both"/>
        <w:rPr>
          <w:rFonts w:hint="default" w:ascii="Arial" w:hAnsi="Arial" w:eastAsia="SimSun" w:cs="Arial"/>
          <w:i w:val="0"/>
          <w:iCs w:val="0"/>
          <w:caps w:val="0"/>
          <w:color w:val="222222"/>
          <w:spacing w:val="0"/>
          <w:sz w:val="20"/>
          <w:szCs w:val="20"/>
          <w:shd w:val="clear" w:fill="FFFFFF"/>
        </w:rPr>
      </w:pPr>
      <w:r>
        <w:rPr>
          <w:rFonts w:ascii="Arial" w:hAnsi="Arial" w:eastAsia="SimSun" w:cs="Arial"/>
          <w:i w:val="0"/>
          <w:iCs w:val="0"/>
          <w:caps w:val="0"/>
          <w:color w:val="222222"/>
          <w:spacing w:val="0"/>
          <w:sz w:val="20"/>
          <w:szCs w:val="20"/>
          <w:shd w:val="clear" w:fill="FFFFFF"/>
        </w:rPr>
        <w:t>Saenthaweesuk, S., Munkong, N., Parklak, W., Thaeomor, A., Chaisakul, J., &amp; Somparn, N. (2017). Hepatoprotective and antioxidant effects of Cymbopogon citratus Stapf (Lemon grass) extract in paracetamol</w:t>
      </w:r>
      <w:r>
        <w:rPr>
          <w:rFonts w:hint="default" w:ascii="Arial" w:hAnsi="Arial" w:eastAsia="SimSun" w:cs="Arial"/>
          <w:i w:val="0"/>
          <w:iCs w:val="0"/>
          <w:caps w:val="0"/>
          <w:color w:val="222222"/>
          <w:spacing w:val="0"/>
          <w:sz w:val="20"/>
          <w:szCs w:val="20"/>
          <w:shd w:val="clear" w:fill="FFFFFF"/>
          <w:lang w:val="en-US"/>
        </w:rPr>
        <w:t xml:space="preserve"> </w:t>
      </w:r>
      <w:bookmarkStart w:id="3" w:name="_GoBack"/>
      <w:bookmarkEnd w:id="3"/>
      <w:r>
        <w:rPr>
          <w:rFonts w:ascii="Arial" w:hAnsi="Arial" w:eastAsia="SimSun" w:cs="Arial"/>
          <w:i w:val="0"/>
          <w:iCs w:val="0"/>
          <w:caps w:val="0"/>
          <w:color w:val="222222"/>
          <w:spacing w:val="0"/>
          <w:sz w:val="20"/>
          <w:szCs w:val="20"/>
          <w:shd w:val="clear" w:fill="FFFFFF"/>
        </w:rPr>
        <w:t>induced hepatotoxicity in rats.</w:t>
      </w:r>
      <w:r>
        <w:rPr>
          <w:rFonts w:hint="default" w:ascii="Arial" w:hAnsi="Arial" w:eastAsia="SimSun" w:cs="Arial"/>
          <w:i w:val="0"/>
          <w:iCs w:val="0"/>
          <w:caps w:val="0"/>
          <w:color w:val="222222"/>
          <w:spacing w:val="0"/>
          <w:sz w:val="20"/>
          <w:szCs w:val="20"/>
          <w:shd w:val="clear" w:fill="FFFFFF"/>
        </w:rPr>
        <w:t> </w:t>
      </w:r>
      <w:r>
        <w:rPr>
          <w:rFonts w:hint="default" w:ascii="Arial" w:hAnsi="Arial" w:eastAsia="SimSun" w:cs="Arial"/>
          <w:i/>
          <w:iCs/>
          <w:caps w:val="0"/>
          <w:color w:val="222222"/>
          <w:spacing w:val="0"/>
          <w:sz w:val="20"/>
          <w:szCs w:val="20"/>
          <w:shd w:val="clear" w:fill="FFFFFF"/>
        </w:rPr>
        <w:t>Tropical Journal of Pharmaceutical Research</w:t>
      </w:r>
      <w:r>
        <w:rPr>
          <w:rFonts w:hint="default" w:ascii="Arial" w:hAnsi="Arial" w:eastAsia="SimSun" w:cs="Arial"/>
          <w:i w:val="0"/>
          <w:iCs w:val="0"/>
          <w:caps w:val="0"/>
          <w:color w:val="222222"/>
          <w:spacing w:val="0"/>
          <w:sz w:val="20"/>
          <w:szCs w:val="20"/>
          <w:shd w:val="clear" w:fill="FFFFFF"/>
        </w:rPr>
        <w:t>, </w:t>
      </w:r>
      <w:r>
        <w:rPr>
          <w:rFonts w:hint="default" w:ascii="Arial" w:hAnsi="Arial" w:eastAsia="SimSun" w:cs="Arial"/>
          <w:i/>
          <w:iCs/>
          <w:caps w:val="0"/>
          <w:color w:val="222222"/>
          <w:spacing w:val="0"/>
          <w:sz w:val="20"/>
          <w:szCs w:val="20"/>
          <w:shd w:val="clear" w:fill="FFFFFF"/>
        </w:rPr>
        <w:t>16</w:t>
      </w:r>
      <w:r>
        <w:rPr>
          <w:rFonts w:hint="default" w:ascii="Arial" w:hAnsi="Arial" w:eastAsia="SimSun" w:cs="Arial"/>
          <w:i w:val="0"/>
          <w:iCs w:val="0"/>
          <w:caps w:val="0"/>
          <w:color w:val="222222"/>
          <w:spacing w:val="0"/>
          <w:sz w:val="20"/>
          <w:szCs w:val="20"/>
          <w:shd w:val="clear" w:fill="FFFFFF"/>
        </w:rPr>
        <w:t>(1), 101-107.</w:t>
      </w:r>
    </w:p>
    <w:p w14:paraId="29087C4E">
      <w:pPr>
        <w:jc w:val="both"/>
        <w:rPr>
          <w:rFonts w:ascii="Arial" w:hAnsi="Arial" w:eastAsia="SimSun" w:cs="Arial"/>
          <w:shd w:val="clear" w:color="auto" w:fill="FFFFFF"/>
        </w:rPr>
      </w:pPr>
    </w:p>
    <w:p w14:paraId="293515A4">
      <w:pPr>
        <w:jc w:val="both"/>
        <w:rPr>
          <w:rFonts w:ascii="Arial" w:hAnsi="Arial" w:eastAsia="SimSun" w:cs="Arial"/>
          <w:shd w:val="clear" w:color="auto" w:fill="FFFFFF"/>
        </w:rPr>
      </w:pPr>
      <w:r>
        <w:rPr>
          <w:rFonts w:ascii="Arial" w:hAnsi="Arial" w:eastAsia="SimSun" w:cs="Arial"/>
          <w:shd w:val="clear" w:color="auto" w:fill="FFFFFF"/>
        </w:rPr>
        <w:t xml:space="preserve">Shareef, S.H., Ibrahim, I.A.A., Alzahrani, A.R., Al-Medhtiy, M.H. </w:t>
      </w:r>
      <w:r>
        <w:rPr>
          <w:rFonts w:ascii="Arial" w:hAnsi="Arial" w:cs="Arial"/>
        </w:rPr>
        <w:t>&amp;</w:t>
      </w:r>
      <w:r>
        <w:rPr>
          <w:rFonts w:ascii="Arial" w:hAnsi="Arial" w:eastAsia="SimSun" w:cs="Arial"/>
          <w:shd w:val="clear" w:color="auto" w:fill="FFFFFF"/>
        </w:rPr>
        <w:t xml:space="preserve"> Abdulla, M.A., (2022). Hepatoprotective effects of methanolic extract of green tea against Thioacetamide-Induced liver injury in Sprague Dawley rats. </w:t>
      </w:r>
      <w:r>
        <w:rPr>
          <w:rFonts w:ascii="Arial" w:hAnsi="Arial" w:eastAsia="SimSun" w:cs="Arial"/>
          <w:i/>
          <w:iCs/>
          <w:shd w:val="clear" w:color="auto" w:fill="FFFFFF"/>
        </w:rPr>
        <w:t>Saudi journal of biological sciences</w:t>
      </w:r>
      <w:r>
        <w:rPr>
          <w:rFonts w:ascii="Arial" w:hAnsi="Arial" w:eastAsia="SimSun" w:cs="Arial"/>
          <w:shd w:val="clear" w:color="auto" w:fill="FFFFFF"/>
        </w:rPr>
        <w:t>, </w:t>
      </w:r>
      <w:r>
        <w:rPr>
          <w:rFonts w:ascii="Arial" w:hAnsi="Arial" w:eastAsia="SimSun" w:cs="Arial"/>
          <w:i/>
          <w:iCs/>
          <w:shd w:val="clear" w:color="auto" w:fill="FFFFFF"/>
        </w:rPr>
        <w:t>29</w:t>
      </w:r>
      <w:r>
        <w:rPr>
          <w:rFonts w:ascii="Arial" w:hAnsi="Arial" w:eastAsia="SimSun" w:cs="Arial"/>
          <w:shd w:val="clear" w:color="auto" w:fill="FFFFFF"/>
        </w:rPr>
        <w:t>(1), 564-573.</w:t>
      </w:r>
    </w:p>
    <w:p w14:paraId="748C0174">
      <w:pPr>
        <w:jc w:val="both"/>
        <w:rPr>
          <w:rFonts w:ascii="Arial" w:hAnsi="Arial" w:eastAsia="SimSun" w:cs="Arial"/>
          <w:shd w:val="clear" w:color="auto" w:fill="FFFFFF"/>
        </w:rPr>
      </w:pPr>
    </w:p>
    <w:p w14:paraId="3A20A6EB">
      <w:pPr>
        <w:jc w:val="both"/>
        <w:rPr>
          <w:rFonts w:ascii="Arial" w:hAnsi="Arial" w:eastAsia="SimSun" w:cs="Arial"/>
          <w:shd w:val="clear" w:color="auto" w:fill="FFFFFF"/>
        </w:rPr>
      </w:pPr>
      <w:r>
        <w:rPr>
          <w:rFonts w:ascii="Arial" w:hAnsi="Arial" w:eastAsia="SimSun" w:cs="Arial"/>
          <w:shd w:val="clear" w:color="auto" w:fill="FFFFFF"/>
        </w:rPr>
        <w:t xml:space="preserve">Shendurse, A.M., Sangwan, R.B., Kumar, A., Ramesh, V., Patel, A.C., Gopikrishna, G. </w:t>
      </w:r>
      <w:r>
        <w:rPr>
          <w:rFonts w:ascii="Arial" w:hAnsi="Arial" w:cs="Arial"/>
        </w:rPr>
        <w:t>&amp;</w:t>
      </w:r>
      <w:r>
        <w:rPr>
          <w:rFonts w:ascii="Arial" w:hAnsi="Arial" w:eastAsia="SimSun" w:cs="Arial"/>
          <w:shd w:val="clear" w:color="auto" w:fill="FFFFFF"/>
        </w:rPr>
        <w:t xml:space="preserve"> Roy, S.K. (2021). Phytochemical screening and antibacterial activity of lemongrass (Cymbopogon citratus) leaves essential oil. </w:t>
      </w:r>
      <w:r>
        <w:rPr>
          <w:rFonts w:ascii="Arial" w:hAnsi="Arial" w:eastAsia="SimSun" w:cs="Arial"/>
          <w:i/>
          <w:iCs/>
          <w:shd w:val="clear" w:color="auto" w:fill="FFFFFF"/>
        </w:rPr>
        <w:t>Journal of Pharmacognosy and Phytochemistry</w:t>
      </w:r>
      <w:r>
        <w:rPr>
          <w:rFonts w:ascii="Arial" w:hAnsi="Arial" w:eastAsia="SimSun" w:cs="Arial"/>
          <w:shd w:val="clear" w:color="auto" w:fill="FFFFFF"/>
        </w:rPr>
        <w:t>, </w:t>
      </w:r>
      <w:r>
        <w:rPr>
          <w:rFonts w:ascii="Arial" w:hAnsi="Arial" w:eastAsia="SimSun" w:cs="Arial"/>
          <w:i/>
          <w:iCs/>
          <w:shd w:val="clear" w:color="auto" w:fill="FFFFFF"/>
        </w:rPr>
        <w:t>10</w:t>
      </w:r>
      <w:r>
        <w:rPr>
          <w:rFonts w:ascii="Arial" w:hAnsi="Arial" w:eastAsia="SimSun" w:cs="Arial"/>
          <w:shd w:val="clear" w:color="auto" w:fill="FFFFFF"/>
        </w:rPr>
        <w:t>(2), 445-449.</w:t>
      </w:r>
    </w:p>
    <w:p w14:paraId="11B04EE1">
      <w:pPr>
        <w:jc w:val="both"/>
        <w:rPr>
          <w:rFonts w:ascii="Arial" w:hAnsi="Arial" w:eastAsia="SimSun" w:cs="Arial"/>
          <w:shd w:val="clear" w:color="auto" w:fill="FFFFFF"/>
        </w:rPr>
      </w:pPr>
    </w:p>
    <w:p w14:paraId="33CEC87C">
      <w:pPr>
        <w:jc w:val="both"/>
        <w:rPr>
          <w:rFonts w:ascii="Arial" w:hAnsi="Arial" w:eastAsia="SimSun" w:cs="Arial"/>
          <w:shd w:val="clear" w:color="auto" w:fill="FFFFFF"/>
        </w:rPr>
      </w:pPr>
      <w:r>
        <w:rPr>
          <w:rFonts w:ascii="Arial" w:hAnsi="Arial" w:eastAsia="SimSun" w:cs="Arial"/>
          <w:shd w:val="clear" w:color="auto" w:fill="FFFFFF"/>
        </w:rPr>
        <w:t>Sinoriya, S. K., &amp; Singh, K. (2024). Variations in Hematological Parameters During the Treatment of Carbon Tetrachloride-induced Hepatotoxicity with Three Different Polyherbal Formulations. </w:t>
      </w:r>
      <w:r>
        <w:rPr>
          <w:rFonts w:ascii="Arial" w:hAnsi="Arial" w:eastAsia="SimSun" w:cs="Arial"/>
          <w:i/>
          <w:iCs/>
          <w:shd w:val="clear" w:color="auto" w:fill="FFFFFF"/>
        </w:rPr>
        <w:t>Journal of Stress Physiology &amp; Biochemistry</w:t>
      </w:r>
      <w:r>
        <w:rPr>
          <w:rFonts w:ascii="Arial" w:hAnsi="Arial" w:eastAsia="SimSun" w:cs="Arial"/>
          <w:shd w:val="clear" w:color="auto" w:fill="FFFFFF"/>
        </w:rPr>
        <w:t>, </w:t>
      </w:r>
      <w:r>
        <w:rPr>
          <w:rFonts w:ascii="Arial" w:hAnsi="Arial" w:eastAsia="SimSun" w:cs="Arial"/>
          <w:i/>
          <w:iCs/>
          <w:shd w:val="clear" w:color="auto" w:fill="FFFFFF"/>
        </w:rPr>
        <w:t>20</w:t>
      </w:r>
      <w:r>
        <w:rPr>
          <w:rFonts w:ascii="Arial" w:hAnsi="Arial" w:eastAsia="SimSun" w:cs="Arial"/>
          <w:shd w:val="clear" w:color="auto" w:fill="FFFFFF"/>
        </w:rPr>
        <w:t>(4), 87-105.</w:t>
      </w:r>
    </w:p>
    <w:p w14:paraId="1EEE001C">
      <w:pPr>
        <w:jc w:val="both"/>
        <w:rPr>
          <w:rFonts w:ascii="Arial" w:hAnsi="Arial" w:eastAsia="SimSun" w:cs="Arial"/>
          <w:shd w:val="clear" w:color="auto" w:fill="FFFFFF"/>
        </w:rPr>
      </w:pPr>
    </w:p>
    <w:p w14:paraId="2B86FB74">
      <w:pPr>
        <w:jc w:val="both"/>
        <w:rPr>
          <w:rFonts w:ascii="Arial" w:hAnsi="Arial" w:eastAsia="SimSun" w:cs="Arial"/>
          <w:shd w:val="clear" w:color="auto" w:fill="FFFFFF"/>
        </w:rPr>
      </w:pPr>
      <w:r>
        <w:rPr>
          <w:rFonts w:ascii="Arial" w:hAnsi="Arial" w:eastAsia="SimSun" w:cs="Arial"/>
          <w:shd w:val="clear" w:color="auto" w:fill="FFFFFF"/>
        </w:rPr>
        <w:t>Sobczyńska-Malefora, A., Delvin, E., McCaddon, A., Ahmadi, K. R., &amp; Harrington, D. J. (2021). Vitamin B12 status in health and disease: a critical review. Diagnosis of deficiency and insufficiency–clinical and laboratory pitfalls. </w:t>
      </w:r>
      <w:r>
        <w:rPr>
          <w:rFonts w:ascii="Arial" w:hAnsi="Arial" w:eastAsia="SimSun" w:cs="Arial"/>
          <w:i/>
          <w:iCs/>
          <w:shd w:val="clear" w:color="auto" w:fill="FFFFFF"/>
        </w:rPr>
        <w:t>Critical reviews in clinical laboratory sciences</w:t>
      </w:r>
      <w:r>
        <w:rPr>
          <w:rFonts w:ascii="Arial" w:hAnsi="Arial" w:eastAsia="SimSun" w:cs="Arial"/>
          <w:shd w:val="clear" w:color="auto" w:fill="FFFFFF"/>
        </w:rPr>
        <w:t>, </w:t>
      </w:r>
      <w:r>
        <w:rPr>
          <w:rFonts w:ascii="Arial" w:hAnsi="Arial" w:eastAsia="SimSun" w:cs="Arial"/>
          <w:i/>
          <w:iCs/>
          <w:shd w:val="clear" w:color="auto" w:fill="FFFFFF"/>
        </w:rPr>
        <w:t>58</w:t>
      </w:r>
      <w:r>
        <w:rPr>
          <w:rFonts w:ascii="Arial" w:hAnsi="Arial" w:eastAsia="SimSun" w:cs="Arial"/>
          <w:shd w:val="clear" w:color="auto" w:fill="FFFFFF"/>
        </w:rPr>
        <w:t>(6), 399-429.</w:t>
      </w:r>
    </w:p>
    <w:p w14:paraId="74695D57">
      <w:pPr>
        <w:jc w:val="both"/>
        <w:rPr>
          <w:rFonts w:ascii="Arial" w:hAnsi="Arial" w:eastAsia="SimSun" w:cs="Arial"/>
          <w:shd w:val="clear" w:color="auto" w:fill="FFFFFF"/>
        </w:rPr>
      </w:pPr>
    </w:p>
    <w:p w14:paraId="092EC865">
      <w:pPr>
        <w:jc w:val="both"/>
        <w:rPr>
          <w:rFonts w:ascii="Arial" w:hAnsi="Arial" w:eastAsia="SimSun" w:cs="Arial"/>
          <w:shd w:val="clear" w:color="auto" w:fill="FFFFFF"/>
        </w:rPr>
      </w:pPr>
      <w:r>
        <w:rPr>
          <w:rFonts w:ascii="Arial" w:hAnsi="Arial" w:eastAsia="SimSun" w:cs="Arial"/>
          <w:shd w:val="clear" w:color="auto" w:fill="FFFFFF"/>
        </w:rPr>
        <w:t xml:space="preserve">Thakur, S., Kumar, V., Das, R., Sharma, V. </w:t>
      </w:r>
      <w:r>
        <w:rPr>
          <w:rFonts w:ascii="Arial" w:hAnsi="Arial" w:cs="Arial"/>
        </w:rPr>
        <w:t>&amp;</w:t>
      </w:r>
      <w:r>
        <w:rPr>
          <w:rFonts w:ascii="Arial" w:hAnsi="Arial" w:eastAsia="SimSun" w:cs="Arial"/>
          <w:shd w:val="clear" w:color="auto" w:fill="FFFFFF"/>
        </w:rPr>
        <w:t xml:space="preserve"> Mehta, D.K. (2024). Biomarkers of hepatic toxicity: an overview. </w:t>
      </w:r>
      <w:r>
        <w:rPr>
          <w:rFonts w:ascii="Arial" w:hAnsi="Arial" w:eastAsia="SimSun" w:cs="Arial"/>
          <w:i/>
          <w:iCs/>
          <w:shd w:val="clear" w:color="auto" w:fill="FFFFFF"/>
        </w:rPr>
        <w:t>Current Therapeutic Research</w:t>
      </w:r>
      <w:r>
        <w:rPr>
          <w:rFonts w:ascii="Arial" w:hAnsi="Arial" w:eastAsia="SimSun" w:cs="Arial"/>
          <w:shd w:val="clear" w:color="auto" w:fill="FFFFFF"/>
        </w:rPr>
        <w:t>, 100737.</w:t>
      </w:r>
    </w:p>
    <w:p w14:paraId="62CA92D8">
      <w:pPr>
        <w:jc w:val="both"/>
        <w:rPr>
          <w:rFonts w:ascii="Arial" w:hAnsi="Arial" w:eastAsia="SimSun" w:cs="Arial"/>
          <w:shd w:val="clear" w:color="auto" w:fill="FFFFFF"/>
        </w:rPr>
      </w:pPr>
    </w:p>
    <w:p w14:paraId="1070659A">
      <w:pPr>
        <w:jc w:val="both"/>
        <w:rPr>
          <w:rFonts w:ascii="Arial" w:hAnsi="Arial" w:eastAsia="SimSun" w:cs="Arial"/>
          <w:shd w:val="clear" w:color="auto" w:fill="FFFFFF"/>
        </w:rPr>
      </w:pPr>
      <w:r>
        <w:rPr>
          <w:rFonts w:ascii="Arial" w:hAnsi="Arial" w:eastAsia="SimSun" w:cs="Arial"/>
          <w:shd w:val="clear" w:color="auto" w:fill="FFFFFF"/>
        </w:rPr>
        <w:t>Ullah, H., Khan, A., Baig, M. W., Ullah, N., Ahmed, N., Tipu, M. K., Ali, H. &amp; Khan, S. (2020). Poncirin attenuates CCL4-induced liver injury through inhibition of oxidative stress and inflammatory cytokines in mice. </w:t>
      </w:r>
      <w:r>
        <w:rPr>
          <w:rFonts w:ascii="Arial" w:hAnsi="Arial" w:eastAsia="SimSun" w:cs="Arial"/>
          <w:i/>
          <w:iCs/>
          <w:shd w:val="clear" w:color="auto" w:fill="FFFFFF"/>
        </w:rPr>
        <w:t>BMC complementary medicine and therapies</w:t>
      </w:r>
      <w:r>
        <w:rPr>
          <w:rFonts w:ascii="Arial" w:hAnsi="Arial" w:eastAsia="SimSun" w:cs="Arial"/>
          <w:shd w:val="clear" w:color="auto" w:fill="FFFFFF"/>
        </w:rPr>
        <w:t>, </w:t>
      </w:r>
      <w:r>
        <w:rPr>
          <w:rFonts w:ascii="Arial" w:hAnsi="Arial" w:eastAsia="SimSun" w:cs="Arial"/>
          <w:i/>
          <w:iCs/>
          <w:shd w:val="clear" w:color="auto" w:fill="FFFFFF"/>
        </w:rPr>
        <w:t>20</w:t>
      </w:r>
      <w:r>
        <w:rPr>
          <w:rFonts w:ascii="Arial" w:hAnsi="Arial" w:eastAsia="SimSun" w:cs="Arial"/>
          <w:shd w:val="clear" w:color="auto" w:fill="FFFFFF"/>
        </w:rPr>
        <w:t>, 1-14.</w:t>
      </w:r>
    </w:p>
    <w:p w14:paraId="42F68575">
      <w:pPr>
        <w:jc w:val="both"/>
        <w:rPr>
          <w:rFonts w:ascii="Arial" w:hAnsi="Arial" w:eastAsia="SimSun" w:cs="Arial"/>
          <w:shd w:val="clear" w:color="auto" w:fill="FFFFFF"/>
        </w:rPr>
      </w:pPr>
    </w:p>
    <w:p w14:paraId="066AC268">
      <w:pPr>
        <w:jc w:val="both"/>
        <w:rPr>
          <w:rFonts w:ascii="Arial" w:hAnsi="Arial" w:eastAsia="SimSun" w:cs="Arial"/>
          <w:shd w:val="clear" w:color="auto" w:fill="FFFFFF"/>
        </w:rPr>
      </w:pPr>
      <w:r>
        <w:rPr>
          <w:rFonts w:ascii="Arial" w:hAnsi="Arial" w:eastAsia="SimSun" w:cs="Arial"/>
          <w:shd w:val="clear" w:color="auto" w:fill="FFFFFF"/>
        </w:rPr>
        <w:t xml:space="preserve">Unsal, V., Cicek, M. </w:t>
      </w:r>
      <w:r>
        <w:rPr>
          <w:rFonts w:ascii="Arial" w:hAnsi="Arial" w:cs="Arial"/>
        </w:rPr>
        <w:t>&amp;</w:t>
      </w:r>
      <w:r>
        <w:rPr>
          <w:rFonts w:ascii="Arial" w:hAnsi="Arial" w:eastAsia="SimSun" w:cs="Arial"/>
          <w:shd w:val="clear" w:color="auto" w:fill="FFFFFF"/>
        </w:rPr>
        <w:t xml:space="preserve"> Sabancilar, İ. (2021). Toxicity of carbon tetrachloride, free radicals and role of antioxidants. </w:t>
      </w:r>
      <w:r>
        <w:rPr>
          <w:rFonts w:ascii="Arial" w:hAnsi="Arial" w:eastAsia="SimSun" w:cs="Arial"/>
          <w:i/>
          <w:iCs/>
          <w:shd w:val="clear" w:color="auto" w:fill="FFFFFF"/>
        </w:rPr>
        <w:t>Reviews on environmental health</w:t>
      </w:r>
      <w:r>
        <w:rPr>
          <w:rFonts w:ascii="Arial" w:hAnsi="Arial" w:eastAsia="SimSun" w:cs="Arial"/>
          <w:shd w:val="clear" w:color="auto" w:fill="FFFFFF"/>
        </w:rPr>
        <w:t>, </w:t>
      </w:r>
      <w:r>
        <w:rPr>
          <w:rFonts w:ascii="Arial" w:hAnsi="Arial" w:eastAsia="SimSun" w:cs="Arial"/>
          <w:i/>
          <w:iCs/>
          <w:shd w:val="clear" w:color="auto" w:fill="FFFFFF"/>
        </w:rPr>
        <w:t>36</w:t>
      </w:r>
      <w:r>
        <w:rPr>
          <w:rFonts w:ascii="Arial" w:hAnsi="Arial" w:eastAsia="SimSun" w:cs="Arial"/>
          <w:shd w:val="clear" w:color="auto" w:fill="FFFFFF"/>
        </w:rPr>
        <w:t>(2), 279-295.</w:t>
      </w:r>
    </w:p>
    <w:p w14:paraId="48B0CEA5">
      <w:pPr>
        <w:jc w:val="both"/>
        <w:rPr>
          <w:rFonts w:ascii="Arial" w:hAnsi="Arial" w:eastAsia="SimSun" w:cs="Arial"/>
          <w:shd w:val="clear" w:color="auto" w:fill="FFFFFF"/>
        </w:rPr>
      </w:pPr>
    </w:p>
    <w:p w14:paraId="41F478FE">
      <w:pPr>
        <w:jc w:val="both"/>
        <w:rPr>
          <w:rFonts w:ascii="Arial" w:hAnsi="Arial" w:eastAsia="SimSun" w:cs="Arial"/>
          <w:shd w:val="clear" w:color="auto" w:fill="FFFFFF"/>
        </w:rPr>
      </w:pPr>
      <w:r>
        <w:rPr>
          <w:rFonts w:ascii="Arial" w:hAnsi="Arial" w:eastAsia="SimSun" w:cs="Arial"/>
          <w:shd w:val="clear" w:color="auto" w:fill="FFFFFF"/>
        </w:rPr>
        <w:t>Uroko, R., Nwuke, C., Agbafor, A., &amp; Okwor, J. (2021). Evaluation of in vitro antioxidants activities, hepatoprotective and haematological effects of ethanol extract of Anthocleista vogelii Stem Bark (AVSB) on carbon tetrachloride (CCL4) induced rats. </w:t>
      </w:r>
      <w:r>
        <w:rPr>
          <w:rFonts w:ascii="Arial" w:hAnsi="Arial" w:eastAsia="SimSun" w:cs="Arial"/>
          <w:i/>
          <w:iCs/>
          <w:shd w:val="clear" w:color="auto" w:fill="FFFFFF"/>
        </w:rPr>
        <w:t>Marmara Pharm J</w:t>
      </w:r>
      <w:r>
        <w:rPr>
          <w:rFonts w:ascii="Arial" w:hAnsi="Arial" w:eastAsia="SimSun" w:cs="Arial"/>
          <w:shd w:val="clear" w:color="auto" w:fill="FFFFFF"/>
        </w:rPr>
        <w:t>, </w:t>
      </w:r>
      <w:r>
        <w:rPr>
          <w:rFonts w:ascii="Arial" w:hAnsi="Arial" w:eastAsia="SimSun" w:cs="Arial"/>
          <w:i/>
          <w:iCs/>
          <w:shd w:val="clear" w:color="auto" w:fill="FFFFFF"/>
        </w:rPr>
        <w:t>25</w:t>
      </w:r>
      <w:r>
        <w:rPr>
          <w:rFonts w:ascii="Arial" w:hAnsi="Arial" w:eastAsia="SimSun" w:cs="Arial"/>
          <w:shd w:val="clear" w:color="auto" w:fill="FFFFFF"/>
        </w:rPr>
        <w:t>(3), 258-270.</w:t>
      </w:r>
    </w:p>
    <w:p w14:paraId="5AD27513">
      <w:pPr>
        <w:jc w:val="both"/>
        <w:rPr>
          <w:rFonts w:ascii="Arial" w:hAnsi="Arial" w:eastAsia="SimSun" w:cs="Arial"/>
          <w:shd w:val="clear" w:color="auto" w:fill="FFFFFF"/>
        </w:rPr>
      </w:pPr>
    </w:p>
    <w:p w14:paraId="56E23AB5">
      <w:pPr>
        <w:jc w:val="both"/>
        <w:rPr>
          <w:rFonts w:ascii="Arial" w:hAnsi="Arial" w:eastAsia="SimSun" w:cs="Arial"/>
          <w:shd w:val="clear" w:color="auto" w:fill="FFFFFF"/>
        </w:rPr>
      </w:pPr>
      <w:r>
        <w:rPr>
          <w:rFonts w:ascii="Arial" w:hAnsi="Arial" w:eastAsia="SimSun" w:cs="Arial"/>
          <w:shd w:val="clear" w:color="auto" w:fill="FFFFFF"/>
        </w:rPr>
        <w:t>Wang, C., Liu, Y., Gong, L., Xue, X., Fu, K., Ma, C., &amp; Li, Y. (2023). Phillygenin ameliorates carbon tetrachloride-induced liver fibrosis: suppression of inflammation and wnt/β-catenin signaling pathway. </w:t>
      </w:r>
      <w:r>
        <w:rPr>
          <w:rFonts w:ascii="Arial" w:hAnsi="Arial" w:eastAsia="SimSun" w:cs="Arial"/>
          <w:i/>
          <w:iCs/>
          <w:shd w:val="clear" w:color="auto" w:fill="FFFFFF"/>
        </w:rPr>
        <w:t>Inflammation</w:t>
      </w:r>
      <w:r>
        <w:rPr>
          <w:rFonts w:ascii="Arial" w:hAnsi="Arial" w:eastAsia="SimSun" w:cs="Arial"/>
          <w:shd w:val="clear" w:color="auto" w:fill="FFFFFF"/>
        </w:rPr>
        <w:t>, </w:t>
      </w:r>
      <w:r>
        <w:rPr>
          <w:rFonts w:ascii="Arial" w:hAnsi="Arial" w:eastAsia="SimSun" w:cs="Arial"/>
          <w:i/>
          <w:iCs/>
          <w:shd w:val="clear" w:color="auto" w:fill="FFFFFF"/>
        </w:rPr>
        <w:t>46</w:t>
      </w:r>
      <w:r>
        <w:rPr>
          <w:rFonts w:ascii="Arial" w:hAnsi="Arial" w:eastAsia="SimSun" w:cs="Arial"/>
          <w:shd w:val="clear" w:color="auto" w:fill="FFFFFF"/>
        </w:rPr>
        <w:t>(4), 1543-1560.</w:t>
      </w:r>
    </w:p>
    <w:p w14:paraId="3FF325AB">
      <w:pPr>
        <w:jc w:val="both"/>
        <w:rPr>
          <w:rFonts w:ascii="Arial" w:hAnsi="Arial" w:eastAsia="SimSun" w:cs="Arial"/>
          <w:shd w:val="clear" w:color="auto" w:fill="FFFFFF"/>
        </w:rPr>
      </w:pPr>
    </w:p>
    <w:p w14:paraId="6DF8EAE2">
      <w:pPr>
        <w:jc w:val="both"/>
        <w:rPr>
          <w:rFonts w:ascii="Arial" w:hAnsi="Arial" w:eastAsia="SimSun" w:cs="Arial"/>
        </w:rPr>
      </w:pPr>
      <w:r>
        <w:rPr>
          <w:rFonts w:ascii="Arial" w:hAnsi="Arial" w:eastAsia="SimSun" w:cs="Arial"/>
          <w:shd w:val="clear" w:color="auto" w:fill="FFFFFF"/>
        </w:rPr>
        <w:t xml:space="preserve">Wazir, H., Abid, M., Essani, B., Saeed, H., Khan, M.A., Nasrullah, F.N.U., Qadeer, U., Khalid, A., Varrassi, G., Muzammil, M.A. </w:t>
      </w:r>
      <w:r>
        <w:rPr>
          <w:rFonts w:ascii="Arial" w:hAnsi="Arial" w:cs="Arial"/>
        </w:rPr>
        <w:t>&amp;</w:t>
      </w:r>
      <w:r>
        <w:rPr>
          <w:rFonts w:ascii="Arial" w:hAnsi="Arial" w:eastAsia="SimSun" w:cs="Arial"/>
          <w:shd w:val="clear" w:color="auto" w:fill="FFFFFF"/>
        </w:rPr>
        <w:t xml:space="preserve"> Maryam, A. (2023). Diagnosis and treatment of liver disease: current trends and future directions. </w:t>
      </w:r>
      <w:r>
        <w:rPr>
          <w:rFonts w:ascii="Arial" w:hAnsi="Arial" w:eastAsia="SimSun" w:cs="Arial"/>
          <w:i/>
          <w:iCs/>
          <w:shd w:val="clear" w:color="auto" w:fill="FFFFFF"/>
        </w:rPr>
        <w:t>Cureus</w:t>
      </w:r>
      <w:r>
        <w:rPr>
          <w:rFonts w:ascii="Arial" w:hAnsi="Arial" w:eastAsia="SimSun" w:cs="Arial"/>
          <w:shd w:val="clear" w:color="auto" w:fill="FFFFFF"/>
        </w:rPr>
        <w:t>, </w:t>
      </w:r>
      <w:r>
        <w:rPr>
          <w:rFonts w:ascii="Arial" w:hAnsi="Arial" w:eastAsia="SimSun" w:cs="Arial"/>
          <w:i/>
          <w:iCs/>
          <w:shd w:val="clear" w:color="auto" w:fill="FFFFFF"/>
        </w:rPr>
        <w:t>15</w:t>
      </w:r>
      <w:r>
        <w:rPr>
          <w:rFonts w:ascii="Arial" w:hAnsi="Arial" w:eastAsia="SimSun" w:cs="Arial"/>
          <w:shd w:val="clear" w:color="auto" w:fill="FFFFFF"/>
        </w:rPr>
        <w:t>(12):</w:t>
      </w:r>
      <w:r>
        <w:rPr>
          <w:rFonts w:ascii="Arial" w:hAnsi="Arial" w:eastAsia="SimSun" w:cs="Arial"/>
        </w:rPr>
        <w:t>: e49920. DOI 10.7759/cureus.49920</w:t>
      </w:r>
    </w:p>
    <w:p w14:paraId="0157D12C">
      <w:pPr>
        <w:jc w:val="both"/>
        <w:rPr>
          <w:rFonts w:ascii="Arial" w:hAnsi="Arial" w:eastAsia="SimSun" w:cs="Arial"/>
        </w:rPr>
      </w:pPr>
    </w:p>
    <w:p w14:paraId="21003C35">
      <w:pPr>
        <w:jc w:val="both"/>
        <w:rPr>
          <w:rFonts w:ascii="Arial" w:hAnsi="Arial" w:eastAsia="SimSun" w:cs="Arial"/>
          <w:shd w:val="clear" w:color="auto" w:fill="FFFFFF"/>
        </w:rPr>
      </w:pPr>
      <w:r>
        <w:rPr>
          <w:rFonts w:ascii="Arial" w:hAnsi="Arial" w:eastAsia="SimSun" w:cs="Arial"/>
          <w:shd w:val="clear" w:color="auto" w:fill="FFFFFF"/>
        </w:rPr>
        <w:t xml:space="preserve">Wong, G.L.H., Wong, V.W.S., Yuen, B.W.Y., Tse, Y.K., Yip, T.C.F., Luk, H.W.S., Lui, G.C.Y. </w:t>
      </w:r>
      <w:r>
        <w:rPr>
          <w:rFonts w:ascii="Arial" w:hAnsi="Arial" w:cs="Arial"/>
        </w:rPr>
        <w:t>&amp;</w:t>
      </w:r>
      <w:r>
        <w:rPr>
          <w:rFonts w:ascii="Arial" w:hAnsi="Arial" w:eastAsia="SimSun" w:cs="Arial"/>
          <w:shd w:val="clear" w:color="auto" w:fill="FFFFFF"/>
        </w:rPr>
        <w:t xml:space="preserve"> Chan, H.L.Y. (2020). Risk of hepatitis B surface antigen seroreversion after corticosteroid treatment in patients with previous hepatitis B virus exposure. </w:t>
      </w:r>
      <w:r>
        <w:rPr>
          <w:rFonts w:ascii="Arial" w:hAnsi="Arial" w:eastAsia="SimSun" w:cs="Arial"/>
          <w:i/>
          <w:iCs/>
          <w:shd w:val="clear" w:color="auto" w:fill="FFFFFF"/>
        </w:rPr>
        <w:t>Journal of hepatology</w:t>
      </w:r>
      <w:r>
        <w:rPr>
          <w:rFonts w:ascii="Arial" w:hAnsi="Arial" w:eastAsia="SimSun" w:cs="Arial"/>
          <w:shd w:val="clear" w:color="auto" w:fill="FFFFFF"/>
        </w:rPr>
        <w:t>, </w:t>
      </w:r>
      <w:r>
        <w:rPr>
          <w:rFonts w:ascii="Arial" w:hAnsi="Arial" w:eastAsia="SimSun" w:cs="Arial"/>
          <w:i/>
          <w:iCs/>
          <w:shd w:val="clear" w:color="auto" w:fill="FFFFFF"/>
        </w:rPr>
        <w:t>72</w:t>
      </w:r>
      <w:r>
        <w:rPr>
          <w:rFonts w:ascii="Arial" w:hAnsi="Arial" w:eastAsia="SimSun" w:cs="Arial"/>
          <w:shd w:val="clear" w:color="auto" w:fill="FFFFFF"/>
        </w:rPr>
        <w:t>(1), 57-66.</w:t>
      </w:r>
    </w:p>
    <w:p w14:paraId="21129213">
      <w:pPr>
        <w:jc w:val="both"/>
        <w:rPr>
          <w:rFonts w:ascii="Arial" w:hAnsi="Arial" w:eastAsia="SimSun" w:cs="Arial"/>
          <w:shd w:val="clear" w:color="auto" w:fill="FFFFFF"/>
        </w:rPr>
      </w:pPr>
    </w:p>
    <w:p w14:paraId="607AB98E">
      <w:pPr>
        <w:jc w:val="both"/>
        <w:rPr>
          <w:rFonts w:ascii="Arial" w:hAnsi="Arial" w:eastAsia="SimSun" w:cs="Arial"/>
          <w:shd w:val="clear" w:color="auto" w:fill="FFFFFF"/>
        </w:rPr>
      </w:pPr>
      <w:r>
        <w:rPr>
          <w:rFonts w:ascii="Arial" w:hAnsi="Arial" w:eastAsia="SimSun" w:cs="Arial"/>
          <w:shd w:val="clear" w:color="auto" w:fill="FFFFFF"/>
        </w:rPr>
        <w:t>Xian, S., Yang, Y., Nan, N., Fu, X., Shi, J., Wu, Q., &amp; Zhou, S. (2024). Inhibition of mitochondrial ROS-mediated necroptosis by Dendrobium nobile Lindl. alkaloids in carbon tetrachloride induced acute liver injury. </w:t>
      </w:r>
      <w:r>
        <w:rPr>
          <w:rFonts w:ascii="Arial" w:hAnsi="Arial" w:eastAsia="SimSun" w:cs="Arial"/>
          <w:i/>
          <w:iCs/>
          <w:shd w:val="clear" w:color="auto" w:fill="FFFFFF"/>
        </w:rPr>
        <w:t>Journal of ethnopharmacology</w:t>
      </w:r>
      <w:r>
        <w:rPr>
          <w:rFonts w:ascii="Arial" w:hAnsi="Arial" w:eastAsia="SimSun" w:cs="Arial"/>
          <w:shd w:val="clear" w:color="auto" w:fill="FFFFFF"/>
        </w:rPr>
        <w:t>, </w:t>
      </w:r>
      <w:r>
        <w:rPr>
          <w:rFonts w:ascii="Arial" w:hAnsi="Arial" w:eastAsia="SimSun" w:cs="Arial"/>
          <w:i/>
          <w:iCs/>
          <w:shd w:val="clear" w:color="auto" w:fill="FFFFFF"/>
        </w:rPr>
        <w:t>330</w:t>
      </w:r>
      <w:r>
        <w:rPr>
          <w:rFonts w:ascii="Arial" w:hAnsi="Arial" w:eastAsia="SimSun" w:cs="Arial"/>
          <w:shd w:val="clear" w:color="auto" w:fill="FFFFFF"/>
        </w:rPr>
        <w:t>, 118253.</w:t>
      </w:r>
    </w:p>
    <w:p w14:paraId="5F2D6C31">
      <w:pPr>
        <w:jc w:val="both"/>
        <w:rPr>
          <w:rFonts w:ascii="Arial" w:hAnsi="Arial" w:eastAsia="SimSun" w:cs="Arial"/>
          <w:shd w:val="clear" w:color="auto" w:fill="FFFFFF"/>
        </w:rPr>
      </w:pPr>
    </w:p>
    <w:p w14:paraId="6C9C6FA9">
      <w:pPr>
        <w:jc w:val="both"/>
        <w:rPr>
          <w:rFonts w:ascii="Arial" w:hAnsi="Arial" w:eastAsia="SimSun" w:cs="Arial"/>
          <w:shd w:val="clear" w:color="auto" w:fill="FFFFFF"/>
        </w:rPr>
      </w:pPr>
    </w:p>
    <w:p w14:paraId="48749AC2">
      <w:pPr>
        <w:pStyle w:val="24"/>
        <w:spacing w:after="0"/>
        <w:jc w:val="left"/>
        <w:rPr>
          <w:rFonts w:ascii="Arial" w:hAnsi="Arial" w:cs="Arial"/>
        </w:rPr>
      </w:pPr>
    </w:p>
    <w:p w14:paraId="3C61E1C3">
      <w:pPr>
        <w:pStyle w:val="24"/>
        <w:spacing w:after="0"/>
        <w:jc w:val="left"/>
        <w:rPr>
          <w:rFonts w:ascii="Arial" w:hAnsi="Arial" w:cs="Arial"/>
        </w:rPr>
      </w:pPr>
    </w:p>
    <w:p w14:paraId="121ED527">
      <w:pPr>
        <w:pStyle w:val="35"/>
        <w:numPr>
          <w:ilvl w:val="0"/>
          <w:numId w:val="0"/>
        </w:numPr>
        <w:spacing w:line="240" w:lineRule="auto"/>
        <w:rPr>
          <w:rFonts w:ascii="Arial" w:hAnsi="Arial" w:cs="Arial"/>
        </w:rPr>
      </w:pPr>
    </w:p>
    <w:p w14:paraId="43E3EE71">
      <w:pPr>
        <w:pStyle w:val="43"/>
        <w:spacing w:after="0"/>
        <w:jc w:val="both"/>
        <w:rPr>
          <w:rFonts w:ascii="Arial" w:hAnsi="Arial" w:cs="Arial"/>
          <w:b w:val="0"/>
        </w:rPr>
      </w:pPr>
    </w:p>
    <w:sectPr>
      <w:headerReference r:id="rId11" w:type="first"/>
      <w:headerReference r:id="rId9" w:type="default"/>
      <w:footerReference r:id="rId12" w:type="default"/>
      <w:headerReference r:id="rId10" w:type="even"/>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3C9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265B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540F">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AF2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B10E9">
    <w:pPr>
      <w:pStyle w:val="14"/>
    </w:pPr>
    <w:r>
      <w:pict>
        <v:shape id="PowerPlusWaterMarkObject345406423" o:spid="_x0000_s2051" o:spt="136" type="#_x0000_t136" style="position:absolute;left:0pt;height:76.1pt;width:68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603C">
    <w:pPr>
      <w:pStyle w:val="14"/>
    </w:pPr>
    <w:r>
      <w:pict>
        <v:shape id="PowerPlusWaterMarkObject345406422" o:spid="_x0000_s2050" o:spt="136" type="#_x0000_t136" style="position:absolute;left:0pt;height:76.1pt;width:68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DCC8">
    <w:pPr>
      <w:ind w:left="2160"/>
      <w:jc w:val="center"/>
      <w:rPr>
        <w:rFonts w:ascii="Times New Roman" w:hAnsi="Times New Roman" w:eastAsia="Calibri"/>
        <w:i/>
        <w:sz w:val="18"/>
        <w:szCs w:val="22"/>
      </w:rPr>
    </w:pPr>
    <w:r>
      <w:pict>
        <v:shape id="PowerPlusWaterMarkObject345406421" o:spid="_x0000_s2049" o:spt="136" type="#_x0000_t136" style="position:absolute;left:0pt;height:76.1pt;width:68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7242D353">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08B1FBEF">
    <w:pPr>
      <w:jc w:val="center"/>
      <w:rPr>
        <w:rFonts w:ascii="Times New Roman" w:hAnsi="Times New Roman" w:eastAsia="Calibri"/>
        <w:i/>
        <w:sz w:val="18"/>
        <w:szCs w:val="22"/>
      </w:rPr>
    </w:pPr>
    <w:r>
      <w:rPr>
        <w:rFonts w:ascii="Times New Roman" w:hAnsi="Times New Roman" w:eastAsia="Calibri"/>
        <w:i/>
        <w:sz w:val="18"/>
        <w:szCs w:val="22"/>
      </w:rPr>
      <w:t>.</w:t>
    </w:r>
  </w:p>
  <w:p w14:paraId="2F1ABF24">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30238E36">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F13880E">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0B576425">
    <w:pPr>
      <w:pStyle w:val="14"/>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302B">
    <w:pPr>
      <w:pStyle w:val="14"/>
    </w:pPr>
    <w:r>
      <w:pict>
        <v:shape id="PowerPlusWaterMarkObject345406426" o:spid="_x0000_s2054" o:spt="136" type="#_x0000_t136" style="position:absolute;left:0pt;height:76.1pt;width:68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963E">
    <w:pPr>
      <w:pStyle w:val="14"/>
    </w:pPr>
    <w:r>
      <w:pict>
        <v:shape id="PowerPlusWaterMarkObject345406425" o:spid="_x0000_s2053" o:spt="136" type="#_x0000_t136" style="position:absolute;left:0pt;height:76.1pt;width:68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4696">
    <w:pPr>
      <w:pStyle w:val="14"/>
    </w:pPr>
    <w:r>
      <w:pict>
        <v:shape id="PowerPlusWaterMarkObject345406424" o:spid="_x0000_s2052" o:spt="136" type="#_x0000_t136" style="position:absolute;left:0pt;height:76.1pt;width:68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66CE2"/>
    <w:multiLevelType w:val="singleLevel"/>
    <w:tmpl w:val="12566CE2"/>
    <w:lvl w:ilvl="0" w:tentative="0">
      <w:start w:val="1"/>
      <w:numFmt w:val="bullet"/>
      <w:lvlText w:val=""/>
      <w:lvlJc w:val="left"/>
      <w:pPr>
        <w:tabs>
          <w:tab w:val="left" w:pos="420"/>
        </w:tabs>
        <w:ind w:left="420" w:hanging="420"/>
      </w:pPr>
      <w:rPr>
        <w:rFonts w:hint="default" w:ascii="Wingdings" w:hAnsi="Wingdings"/>
      </w:rPr>
    </w:lvl>
  </w:abstractNum>
  <w:abstractNum w:abstractNumId="1">
    <w:nsid w:val="71604DCD"/>
    <w:multiLevelType w:val="singleLevel"/>
    <w:tmpl w:val="71604DCD"/>
    <w:lvl w:ilvl="0" w:tentative="0">
      <w:start w:val="1"/>
      <w:numFmt w:val="decimal"/>
      <w:pStyle w:val="3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noPunctuationKerning w:val="1"/>
  <w:characterSpacingControl w:val="doNotCompress"/>
  <w:hdrShapeDefaults>
    <o:shapelayout v:ext="edit">
      <o:idmap v:ext="edit" data="2"/>
    </o:shapelayout>
  </w:hdrShapeDefault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5E3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591"/>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6CD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3ADF"/>
    <w:rsid w:val="00C166EF"/>
    <w:rsid w:val="00C17EB0"/>
    <w:rsid w:val="00C27F5F"/>
    <w:rsid w:val="00C30A0F"/>
    <w:rsid w:val="00C34FB7"/>
    <w:rsid w:val="00C37E61"/>
    <w:rsid w:val="00C41587"/>
    <w:rsid w:val="00C70F1B"/>
    <w:rsid w:val="00C71A47"/>
    <w:rsid w:val="00C7464C"/>
    <w:rsid w:val="00C85588"/>
    <w:rsid w:val="00CD6755"/>
    <w:rsid w:val="00CD6856"/>
    <w:rsid w:val="00CE0089"/>
    <w:rsid w:val="00CE01F1"/>
    <w:rsid w:val="00CE793C"/>
    <w:rsid w:val="00CF193C"/>
    <w:rsid w:val="00D173F1"/>
    <w:rsid w:val="00D50B6C"/>
    <w:rsid w:val="00D570B8"/>
    <w:rsid w:val="00D74CB0"/>
    <w:rsid w:val="00D81D45"/>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33B110D"/>
    <w:rsid w:val="03AD606D"/>
    <w:rsid w:val="041832D5"/>
    <w:rsid w:val="04681E01"/>
    <w:rsid w:val="05507852"/>
    <w:rsid w:val="05720B50"/>
    <w:rsid w:val="05941C39"/>
    <w:rsid w:val="05F611B0"/>
    <w:rsid w:val="060C65A2"/>
    <w:rsid w:val="08DE171A"/>
    <w:rsid w:val="09AA083E"/>
    <w:rsid w:val="0A34632E"/>
    <w:rsid w:val="0B4B1A29"/>
    <w:rsid w:val="0C0233E6"/>
    <w:rsid w:val="0C6137BC"/>
    <w:rsid w:val="0CD65F33"/>
    <w:rsid w:val="0E810709"/>
    <w:rsid w:val="0E955A95"/>
    <w:rsid w:val="0F360E40"/>
    <w:rsid w:val="112D75BA"/>
    <w:rsid w:val="11606517"/>
    <w:rsid w:val="117847D0"/>
    <w:rsid w:val="13E85F15"/>
    <w:rsid w:val="154E5099"/>
    <w:rsid w:val="15F6637C"/>
    <w:rsid w:val="17746A86"/>
    <w:rsid w:val="180E1588"/>
    <w:rsid w:val="19647ADA"/>
    <w:rsid w:val="1B25757B"/>
    <w:rsid w:val="1BF32AD5"/>
    <w:rsid w:val="1C495053"/>
    <w:rsid w:val="1E037CA9"/>
    <w:rsid w:val="1E171B69"/>
    <w:rsid w:val="1E612E7A"/>
    <w:rsid w:val="1E626059"/>
    <w:rsid w:val="1EB21742"/>
    <w:rsid w:val="1EB51F0E"/>
    <w:rsid w:val="1F396889"/>
    <w:rsid w:val="1FAC1F03"/>
    <w:rsid w:val="205912CC"/>
    <w:rsid w:val="21D273D0"/>
    <w:rsid w:val="22DC3ABB"/>
    <w:rsid w:val="23325117"/>
    <w:rsid w:val="23865F54"/>
    <w:rsid w:val="23FB5B9E"/>
    <w:rsid w:val="245223FE"/>
    <w:rsid w:val="24A625C8"/>
    <w:rsid w:val="252B6FF7"/>
    <w:rsid w:val="2603166E"/>
    <w:rsid w:val="26055226"/>
    <w:rsid w:val="26CC22C2"/>
    <w:rsid w:val="27764C56"/>
    <w:rsid w:val="27BD59B7"/>
    <w:rsid w:val="280B6BA9"/>
    <w:rsid w:val="29CD5E21"/>
    <w:rsid w:val="29D41D71"/>
    <w:rsid w:val="2ADC3F2A"/>
    <w:rsid w:val="2B910937"/>
    <w:rsid w:val="2C61333D"/>
    <w:rsid w:val="2EEA6064"/>
    <w:rsid w:val="2FBB1073"/>
    <w:rsid w:val="300740FC"/>
    <w:rsid w:val="306678EF"/>
    <w:rsid w:val="30B433AE"/>
    <w:rsid w:val="313A0439"/>
    <w:rsid w:val="318A316F"/>
    <w:rsid w:val="32E10AD4"/>
    <w:rsid w:val="33D56A6A"/>
    <w:rsid w:val="349537D0"/>
    <w:rsid w:val="349742E9"/>
    <w:rsid w:val="36F412AB"/>
    <w:rsid w:val="39224D2C"/>
    <w:rsid w:val="3A8A3308"/>
    <w:rsid w:val="3DD012E9"/>
    <w:rsid w:val="3E543DDB"/>
    <w:rsid w:val="3E986625"/>
    <w:rsid w:val="418D39BB"/>
    <w:rsid w:val="41950CC1"/>
    <w:rsid w:val="4209498C"/>
    <w:rsid w:val="450F48DA"/>
    <w:rsid w:val="45EB6DD1"/>
    <w:rsid w:val="46B102DF"/>
    <w:rsid w:val="47CC6324"/>
    <w:rsid w:val="488D786C"/>
    <w:rsid w:val="49366D6C"/>
    <w:rsid w:val="4A955E99"/>
    <w:rsid w:val="4B3709AA"/>
    <w:rsid w:val="4CB84B5C"/>
    <w:rsid w:val="4D846D2C"/>
    <w:rsid w:val="4E8256A9"/>
    <w:rsid w:val="4EBE65E6"/>
    <w:rsid w:val="4FC640F1"/>
    <w:rsid w:val="501C204A"/>
    <w:rsid w:val="52004F96"/>
    <w:rsid w:val="528766D8"/>
    <w:rsid w:val="559209E9"/>
    <w:rsid w:val="57090274"/>
    <w:rsid w:val="57FA5C7F"/>
    <w:rsid w:val="58C20600"/>
    <w:rsid w:val="58F75902"/>
    <w:rsid w:val="59D56C1E"/>
    <w:rsid w:val="5A034988"/>
    <w:rsid w:val="5B8A14A1"/>
    <w:rsid w:val="5BD31F0F"/>
    <w:rsid w:val="5BF125F6"/>
    <w:rsid w:val="5CAD7E6A"/>
    <w:rsid w:val="5DF033C9"/>
    <w:rsid w:val="5E1C5D85"/>
    <w:rsid w:val="5E1F67EA"/>
    <w:rsid w:val="5F3F3148"/>
    <w:rsid w:val="62D2412F"/>
    <w:rsid w:val="64597494"/>
    <w:rsid w:val="64C8665C"/>
    <w:rsid w:val="65E76CFF"/>
    <w:rsid w:val="66032EEA"/>
    <w:rsid w:val="6785168A"/>
    <w:rsid w:val="67F647B4"/>
    <w:rsid w:val="68383461"/>
    <w:rsid w:val="695A4CC7"/>
    <w:rsid w:val="69DD49C8"/>
    <w:rsid w:val="6B0B5449"/>
    <w:rsid w:val="6B330AD1"/>
    <w:rsid w:val="6B8A6D77"/>
    <w:rsid w:val="6CD55D11"/>
    <w:rsid w:val="6DED4AD1"/>
    <w:rsid w:val="6E8B2DBA"/>
    <w:rsid w:val="6EDC1BFC"/>
    <w:rsid w:val="71DA10B3"/>
    <w:rsid w:val="71EE1596"/>
    <w:rsid w:val="71F60387"/>
    <w:rsid w:val="725F62B9"/>
    <w:rsid w:val="73453E95"/>
    <w:rsid w:val="765A5B3A"/>
    <w:rsid w:val="76A2677F"/>
    <w:rsid w:val="76B10FCA"/>
    <w:rsid w:val="76D41D28"/>
    <w:rsid w:val="786F1170"/>
    <w:rsid w:val="789719A8"/>
    <w:rsid w:val="79270C1B"/>
    <w:rsid w:val="79C31440"/>
    <w:rsid w:val="79D745FF"/>
    <w:rsid w:val="7CBE24B4"/>
    <w:rsid w:val="7CF51831"/>
    <w:rsid w:val="7DF9074E"/>
    <w:rsid w:val="7E34331A"/>
    <w:rsid w:val="7E4C518E"/>
    <w:rsid w:val="7F07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63"/>
    <w:qFormat/>
    <w:uiPriority w:val="0"/>
    <w:rPr>
      <w:rFonts w:ascii="Tahoma" w:hAnsi="Tahoma" w:cs="Tahoma"/>
      <w:sz w:val="16"/>
      <w:szCs w:val="16"/>
    </w:rPr>
  </w:style>
  <w:style w:type="paragraph" w:styleId="7">
    <w:name w:val="Body Text 2"/>
    <w:basedOn w:val="1"/>
    <w:link w:val="61"/>
    <w:qFormat/>
    <w:uiPriority w:val="0"/>
    <w:pPr>
      <w:spacing w:after="120" w:line="480" w:lineRule="auto"/>
    </w:pPr>
  </w:style>
  <w:style w:type="paragraph" w:styleId="8">
    <w:name w:val="Body Text 3"/>
    <w:basedOn w:val="1"/>
    <w:link w:val="64"/>
    <w:qFormat/>
    <w:uiPriority w:val="0"/>
    <w:pPr>
      <w:spacing w:after="120"/>
    </w:pPr>
    <w:rPr>
      <w:sz w:val="16"/>
      <w:szCs w:val="16"/>
    </w:rPr>
  </w:style>
  <w:style w:type="character" w:styleId="9">
    <w:name w:val="annotation reference"/>
    <w:basedOn w:val="4"/>
    <w:unhideWhenUsed/>
    <w:qFormat/>
    <w:uiPriority w:val="99"/>
    <w:rPr>
      <w:sz w:val="16"/>
      <w:szCs w:val="16"/>
    </w:rPr>
  </w:style>
  <w:style w:type="paragraph" w:styleId="10">
    <w:name w:val="annotation text"/>
    <w:basedOn w:val="1"/>
    <w:link w:val="62"/>
    <w:unhideWhenUsed/>
    <w:qFormat/>
    <w:uiPriority w:val="99"/>
    <w:rPr>
      <w:rFonts w:ascii="Times New Roman" w:hAnsi="Times New Roman"/>
      <w:lang w:val="nb-NO" w:eastAsia="nb-NO"/>
    </w:rPr>
  </w:style>
  <w:style w:type="character" w:styleId="11">
    <w:name w:val="Emphasis"/>
    <w:basedOn w:val="4"/>
    <w:qFormat/>
    <w:uiPriority w:val="20"/>
    <w:rPr>
      <w:i/>
      <w:iCs/>
    </w:rPr>
  </w:style>
  <w:style w:type="character" w:styleId="12">
    <w:name w:val="FollowedHyperlink"/>
    <w:basedOn w:val="4"/>
    <w:qFormat/>
    <w:uiPriority w:val="0"/>
    <w:rPr>
      <w:color w:val="800080"/>
      <w:u w:val="single"/>
    </w:rPr>
  </w:style>
  <w:style w:type="paragraph" w:styleId="13">
    <w:name w:val="footer"/>
    <w:basedOn w:val="1"/>
    <w:qFormat/>
    <w:uiPriority w:val="0"/>
    <w:pPr>
      <w:tabs>
        <w:tab w:val="center" w:pos="4320"/>
        <w:tab w:val="right" w:pos="8640"/>
      </w:tabs>
    </w:pPr>
  </w:style>
  <w:style w:type="paragraph" w:styleId="14">
    <w:name w:val="header"/>
    <w:basedOn w:val="1"/>
    <w:qFormat/>
    <w:uiPriority w:val="0"/>
    <w:pPr>
      <w:tabs>
        <w:tab w:val="center" w:pos="4320"/>
        <w:tab w:val="right" w:pos="8640"/>
      </w:tabs>
    </w:pPr>
  </w:style>
  <w:style w:type="character" w:styleId="15">
    <w:name w:val="Hyperlink"/>
    <w:basedOn w:val="4"/>
    <w:qFormat/>
    <w:uiPriority w:val="0"/>
    <w:rPr>
      <w:color w:val="FF0080"/>
      <w:u w:val="single"/>
    </w:rPr>
  </w:style>
  <w:style w:type="character" w:styleId="16">
    <w:name w:val="line number"/>
    <w:basedOn w:val="4"/>
    <w:qFormat/>
    <w:uiPriority w:val="0"/>
  </w:style>
  <w:style w:type="paragraph" w:styleId="17">
    <w:name w:val="Normal (Web)"/>
    <w:semiHidden/>
    <w:unhideWhenUsed/>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18">
    <w:name w:val="Signature"/>
    <w:basedOn w:val="1"/>
    <w:qFormat/>
    <w:uiPriority w:val="0"/>
    <w:pPr>
      <w:ind w:left="4320"/>
    </w:pPr>
  </w:style>
  <w:style w:type="character" w:styleId="19">
    <w:name w:val="Strong"/>
    <w:basedOn w:val="4"/>
    <w:qFormat/>
    <w:uiPriority w:val="0"/>
    <w:rPr>
      <w:b/>
      <w:bCs/>
    </w:rPr>
  </w:style>
  <w:style w:type="table" w:styleId="20">
    <w:name w:val="Table Grid"/>
    <w:basedOn w:val="5"/>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qFormat/>
    <w:uiPriority w:val="0"/>
    <w:pPr>
      <w:spacing w:after="360"/>
      <w:jc w:val="right"/>
    </w:pPr>
    <w:rPr>
      <w:b/>
      <w:kern w:val="28"/>
      <w:sz w:val="36"/>
    </w:rPr>
  </w:style>
  <w:style w:type="paragraph" w:customStyle="1" w:styleId="22">
    <w:name w:val="Author"/>
    <w:basedOn w:val="1"/>
    <w:qFormat/>
    <w:uiPriority w:val="0"/>
    <w:pPr>
      <w:spacing w:line="280" w:lineRule="exact"/>
      <w:jc w:val="right"/>
    </w:pPr>
    <w:rPr>
      <w:b/>
      <w:sz w:val="24"/>
    </w:rPr>
  </w:style>
  <w:style w:type="paragraph" w:customStyle="1" w:styleId="23">
    <w:name w:val="Affiliation"/>
    <w:basedOn w:val="1"/>
    <w:qFormat/>
    <w:uiPriority w:val="0"/>
    <w:pPr>
      <w:spacing w:after="240" w:line="240" w:lineRule="exact"/>
      <w:jc w:val="right"/>
    </w:pPr>
  </w:style>
  <w:style w:type="paragraph" w:customStyle="1" w:styleId="24">
    <w:name w:val="Body"/>
    <w:basedOn w:val="1"/>
    <w:qFormat/>
    <w:uiPriority w:val="0"/>
    <w:pPr>
      <w:spacing w:after="240"/>
      <w:jc w:val="both"/>
    </w:pPr>
  </w:style>
  <w:style w:type="paragraph" w:customStyle="1" w:styleId="25">
    <w:name w:val="Abst Head"/>
    <w:basedOn w:val="26"/>
    <w:qFormat/>
    <w:uiPriority w:val="0"/>
    <w:rPr>
      <w:sz w:val="22"/>
    </w:rPr>
  </w:style>
  <w:style w:type="paragraph" w:customStyle="1" w:styleId="26">
    <w:name w:val="Main Head"/>
    <w:basedOn w:val="1"/>
    <w:qFormat/>
    <w:uiPriority w:val="0"/>
    <w:pPr>
      <w:keepNext/>
      <w:spacing w:after="240"/>
    </w:pPr>
    <w:rPr>
      <w:b/>
      <w:caps/>
    </w:rPr>
  </w:style>
  <w:style w:type="paragraph" w:customStyle="1" w:styleId="27">
    <w:name w:val="Intro Head"/>
    <w:basedOn w:val="26"/>
    <w:qFormat/>
    <w:uiPriority w:val="0"/>
    <w:rPr>
      <w:sz w:val="22"/>
    </w:rPr>
  </w:style>
  <w:style w:type="paragraph" w:customStyle="1" w:styleId="28">
    <w:name w:val="Paper Number"/>
    <w:basedOn w:val="1"/>
    <w:qFormat/>
    <w:uiPriority w:val="0"/>
    <w:pPr>
      <w:spacing w:after="280" w:line="280" w:lineRule="exact"/>
      <w:jc w:val="right"/>
    </w:pPr>
    <w:rPr>
      <w:b/>
      <w:sz w:val="28"/>
    </w:rPr>
  </w:style>
  <w:style w:type="paragraph" w:customStyle="1" w:styleId="29">
    <w:name w:val="Conc Head"/>
    <w:basedOn w:val="26"/>
    <w:qFormat/>
    <w:uiPriority w:val="0"/>
    <w:rPr>
      <w:sz w:val="22"/>
    </w:rPr>
  </w:style>
  <w:style w:type="paragraph" w:customStyle="1" w:styleId="30">
    <w:name w:val="Ackn Head"/>
    <w:basedOn w:val="26"/>
    <w:qFormat/>
    <w:uiPriority w:val="0"/>
    <w:rPr>
      <w:sz w:val="22"/>
    </w:rPr>
  </w:style>
  <w:style w:type="paragraph" w:customStyle="1" w:styleId="31">
    <w:name w:val="Refer Head"/>
    <w:basedOn w:val="26"/>
    <w:qFormat/>
    <w:uiPriority w:val="0"/>
    <w:rPr>
      <w:sz w:val="22"/>
    </w:rPr>
  </w:style>
  <w:style w:type="paragraph" w:customStyle="1" w:styleId="32">
    <w:name w:val="AddSrc Head"/>
    <w:basedOn w:val="26"/>
    <w:qFormat/>
    <w:uiPriority w:val="0"/>
    <w:rPr>
      <w:sz w:val="22"/>
    </w:rPr>
  </w:style>
  <w:style w:type="paragraph" w:customStyle="1" w:styleId="33">
    <w:name w:val="DefAcrHead"/>
    <w:basedOn w:val="26"/>
    <w:qFormat/>
    <w:uiPriority w:val="0"/>
    <w:rPr>
      <w:sz w:val="22"/>
    </w:rPr>
  </w:style>
  <w:style w:type="paragraph" w:customStyle="1" w:styleId="34">
    <w:name w:val="Copyright"/>
    <w:basedOn w:val="1"/>
    <w:qFormat/>
    <w:uiPriority w:val="0"/>
    <w:pPr>
      <w:spacing w:after="960" w:line="200" w:lineRule="exact"/>
    </w:pPr>
    <w:rPr>
      <w:sz w:val="16"/>
    </w:rPr>
  </w:style>
  <w:style w:type="paragraph" w:customStyle="1" w:styleId="35">
    <w:name w:val="Reference"/>
    <w:basedOn w:val="24"/>
    <w:qFormat/>
    <w:uiPriority w:val="0"/>
    <w:pPr>
      <w:numPr>
        <w:ilvl w:val="0"/>
        <w:numId w:val="1"/>
      </w:numPr>
      <w:spacing w:after="0" w:line="240" w:lineRule="exact"/>
    </w:pPr>
  </w:style>
  <w:style w:type="paragraph" w:customStyle="1" w:styleId="36">
    <w:name w:val="Head1"/>
    <w:basedOn w:val="26"/>
    <w:qFormat/>
    <w:uiPriority w:val="0"/>
    <w:rPr>
      <w:sz w:val="22"/>
    </w:rPr>
  </w:style>
  <w:style w:type="paragraph" w:customStyle="1" w:styleId="37">
    <w:name w:val="Contact Head"/>
    <w:basedOn w:val="26"/>
    <w:qFormat/>
    <w:uiPriority w:val="0"/>
    <w:rPr>
      <w:sz w:val="22"/>
    </w:rPr>
  </w:style>
  <w:style w:type="paragraph" w:customStyle="1" w:styleId="38">
    <w:name w:val="Head3"/>
    <w:basedOn w:val="39"/>
    <w:qFormat/>
    <w:uiPriority w:val="0"/>
    <w:rPr>
      <w:caps w:val="0"/>
      <w:u w:val="single"/>
    </w:rPr>
  </w:style>
  <w:style w:type="paragraph" w:customStyle="1" w:styleId="39">
    <w:name w:val="Head2"/>
    <w:basedOn w:val="1"/>
    <w:next w:val="24"/>
    <w:qFormat/>
    <w:uiPriority w:val="0"/>
    <w:pPr>
      <w:keepNext/>
      <w:spacing w:after="240"/>
    </w:pPr>
    <w:rPr>
      <w:caps/>
    </w:rPr>
  </w:style>
  <w:style w:type="paragraph" w:customStyle="1" w:styleId="40">
    <w:name w:val="Head4"/>
    <w:basedOn w:val="38"/>
    <w:qFormat/>
    <w:uiPriority w:val="0"/>
    <w:rPr>
      <w:u w:val="none"/>
    </w:rPr>
  </w:style>
  <w:style w:type="paragraph" w:customStyle="1" w:styleId="41">
    <w:name w:val="Unord List"/>
    <w:basedOn w:val="24"/>
    <w:qFormat/>
    <w:uiPriority w:val="0"/>
    <w:pPr>
      <w:spacing w:after="0"/>
      <w:ind w:left="360" w:hanging="360"/>
    </w:pPr>
  </w:style>
  <w:style w:type="paragraph" w:customStyle="1" w:styleId="42">
    <w:name w:val="Ord List"/>
    <w:basedOn w:val="41"/>
    <w:qFormat/>
    <w:uiPriority w:val="0"/>
    <w:pPr>
      <w:jc w:val="left"/>
    </w:pPr>
  </w:style>
  <w:style w:type="paragraph" w:customStyle="1" w:styleId="43">
    <w:name w:val="Appendix"/>
    <w:basedOn w:val="26"/>
    <w:qFormat/>
    <w:uiPriority w:val="0"/>
    <w:rPr>
      <w:sz w:val="22"/>
    </w:rPr>
  </w:style>
  <w:style w:type="paragraph" w:customStyle="1" w:styleId="44">
    <w:name w:val="Term"/>
    <w:basedOn w:val="24"/>
    <w:qFormat/>
    <w:uiPriority w:val="0"/>
    <w:pPr>
      <w:spacing w:after="0"/>
    </w:pPr>
    <w:rPr>
      <w:b/>
    </w:rPr>
  </w:style>
  <w:style w:type="paragraph" w:customStyle="1" w:styleId="45">
    <w:name w:val="Definition"/>
    <w:basedOn w:val="24"/>
    <w:qFormat/>
    <w:uiPriority w:val="0"/>
  </w:style>
  <w:style w:type="character" w:customStyle="1" w:styleId="46">
    <w:name w:val="Bold"/>
    <w:qFormat/>
    <w:uiPriority w:val="0"/>
    <w:rPr>
      <w:b/>
    </w:rPr>
  </w:style>
  <w:style w:type="character" w:customStyle="1" w:styleId="47">
    <w:name w:val="Italic"/>
    <w:qFormat/>
    <w:uiPriority w:val="0"/>
    <w:rPr>
      <w:i/>
    </w:rPr>
  </w:style>
  <w:style w:type="character" w:customStyle="1" w:styleId="48">
    <w:name w:val="Underline"/>
    <w:qFormat/>
    <w:uiPriority w:val="0"/>
    <w:rPr>
      <w:u w:val="single"/>
    </w:rPr>
  </w:style>
  <w:style w:type="paragraph" w:customStyle="1" w:styleId="49">
    <w:name w:val="Equation"/>
    <w:basedOn w:val="24"/>
    <w:qFormat/>
    <w:uiPriority w:val="0"/>
  </w:style>
  <w:style w:type="paragraph" w:customStyle="1" w:styleId="50">
    <w:name w:val="Figure"/>
    <w:basedOn w:val="34"/>
    <w:qFormat/>
    <w:uiPriority w:val="0"/>
    <w:pPr>
      <w:spacing w:after="240"/>
    </w:pPr>
    <w:rPr>
      <w:sz w:val="20"/>
    </w:rPr>
  </w:style>
  <w:style w:type="paragraph" w:customStyle="1" w:styleId="51">
    <w:name w:val="Head 4"/>
    <w:basedOn w:val="38"/>
    <w:qFormat/>
    <w:uiPriority w:val="0"/>
    <w:rPr>
      <w:u w:val="none"/>
    </w:rPr>
  </w:style>
  <w:style w:type="paragraph" w:customStyle="1" w:styleId="52">
    <w:name w:val="Paper"/>
    <w:basedOn w:val="1"/>
    <w:qFormat/>
    <w:uiPriority w:val="0"/>
    <w:pPr>
      <w:spacing w:after="360" w:line="440" w:lineRule="exact"/>
      <w:jc w:val="right"/>
    </w:pPr>
    <w:rPr>
      <w:b/>
      <w:sz w:val="36"/>
    </w:rPr>
  </w:style>
  <w:style w:type="character" w:customStyle="1" w:styleId="53">
    <w:name w:val="Subscript"/>
    <w:qFormat/>
    <w:uiPriority w:val="0"/>
    <w:rPr>
      <w:vertAlign w:val="subscript"/>
    </w:rPr>
  </w:style>
  <w:style w:type="character" w:customStyle="1" w:styleId="54">
    <w:name w:val="Superscript"/>
    <w:qFormat/>
    <w:uiPriority w:val="0"/>
    <w:rPr>
      <w:vertAlign w:val="superscript"/>
    </w:rPr>
  </w:style>
  <w:style w:type="character" w:customStyle="1" w:styleId="55">
    <w:name w:val="Symbol"/>
    <w:qFormat/>
    <w:uiPriority w:val="0"/>
    <w:rPr>
      <w:rFonts w:ascii="Symbol" w:hAnsi="Symbol"/>
    </w:rPr>
  </w:style>
  <w:style w:type="paragraph" w:customStyle="1" w:styleId="56">
    <w:name w:val="Symbol P"/>
    <w:basedOn w:val="24"/>
    <w:qFormat/>
    <w:uiPriority w:val="0"/>
    <w:pPr>
      <w:tabs>
        <w:tab w:val="left" w:pos="720"/>
        <w:tab w:val="left" w:pos="3780"/>
      </w:tabs>
      <w:spacing w:after="0"/>
    </w:pPr>
    <w:rPr>
      <w:sz w:val="24"/>
    </w:rPr>
  </w:style>
  <w:style w:type="character" w:customStyle="1" w:styleId="57">
    <w:name w:val="BoldItal"/>
    <w:basedOn w:val="4"/>
    <w:qFormat/>
    <w:uiPriority w:val="0"/>
    <w:rPr>
      <w:b/>
      <w:i/>
    </w:rPr>
  </w:style>
  <w:style w:type="character" w:customStyle="1" w:styleId="58">
    <w:name w:val="SubItal"/>
    <w:qFormat/>
    <w:uiPriority w:val="0"/>
    <w:rPr>
      <w:i/>
      <w:vertAlign w:val="subscript"/>
    </w:rPr>
  </w:style>
  <w:style w:type="character" w:customStyle="1" w:styleId="59">
    <w:name w:val="SuperItal"/>
    <w:qFormat/>
    <w:uiPriority w:val="0"/>
    <w:rPr>
      <w:i/>
      <w:vertAlign w:val="superscript"/>
    </w:rPr>
  </w:style>
  <w:style w:type="character" w:customStyle="1" w:styleId="60">
    <w:name w:val="SymItal"/>
    <w:qFormat/>
    <w:uiPriority w:val="0"/>
    <w:rPr>
      <w:rFonts w:ascii="Symbol" w:hAnsi="Symbol"/>
      <w:i/>
    </w:rPr>
  </w:style>
  <w:style w:type="character" w:customStyle="1" w:styleId="61">
    <w:name w:val="Body Text 2 Char"/>
    <w:basedOn w:val="4"/>
    <w:link w:val="7"/>
    <w:qFormat/>
    <w:uiPriority w:val="0"/>
    <w:rPr>
      <w:rFonts w:ascii="Helvetica" w:hAnsi="Helvetica"/>
    </w:rPr>
  </w:style>
  <w:style w:type="character" w:customStyle="1" w:styleId="62">
    <w:name w:val="Comment Text Char"/>
    <w:basedOn w:val="4"/>
    <w:link w:val="10"/>
    <w:qFormat/>
    <w:uiPriority w:val="99"/>
    <w:rPr>
      <w:lang w:val="nb-NO" w:eastAsia="nb-NO"/>
    </w:rPr>
  </w:style>
  <w:style w:type="character" w:customStyle="1" w:styleId="63">
    <w:name w:val="Balloon Text Char"/>
    <w:basedOn w:val="4"/>
    <w:link w:val="6"/>
    <w:qFormat/>
    <w:uiPriority w:val="0"/>
    <w:rPr>
      <w:rFonts w:ascii="Tahoma" w:hAnsi="Tahoma" w:cs="Tahoma"/>
      <w:sz w:val="16"/>
      <w:szCs w:val="16"/>
    </w:rPr>
  </w:style>
  <w:style w:type="character" w:customStyle="1" w:styleId="64">
    <w:name w:val="Body Text 3 Char"/>
    <w:basedOn w:val="4"/>
    <w:link w:val="8"/>
    <w:qFormat/>
    <w:uiPriority w:val="0"/>
    <w:rPr>
      <w:rFonts w:ascii="Helvetica" w:hAnsi="Helvetica"/>
      <w:sz w:val="16"/>
      <w:szCs w:val="16"/>
    </w:rPr>
  </w:style>
  <w:style w:type="character" w:customStyle="1" w:styleId="65">
    <w:name w:val="Unresolved Mention1"/>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emf"/><Relationship Id="rId22" Type="http://schemas.openxmlformats.org/officeDocument/2006/relationships/image" Target="media/image9.emf"/><Relationship Id="rId21" Type="http://schemas.openxmlformats.org/officeDocument/2006/relationships/image" Target="media/image8.emf"/><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image" Target="media/image5.emf"/><Relationship Id="rId17" Type="http://schemas.openxmlformats.org/officeDocument/2006/relationships/image" Target="media/image4.emf"/><Relationship Id="rId16" Type="http://schemas.openxmlformats.org/officeDocument/2006/relationships/image" Target="media/image3.emf"/><Relationship Id="rId15" Type="http://schemas.openxmlformats.org/officeDocument/2006/relationships/image" Target="media/image2.emf"/><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35358-F934-4AD7-BACA-155ECCC72CB5}">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15</Pages>
  <Words>6498</Words>
  <Characters>37042</Characters>
  <Lines>308</Lines>
  <Paragraphs>86</Paragraphs>
  <TotalTime>0</TotalTime>
  <ScaleCrop>false</ScaleCrop>
  <LinksUpToDate>false</LinksUpToDate>
  <CharactersWithSpaces>43454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uyoyo ududua</cp:lastModifiedBy>
  <cp:lastPrinted>1999-07-06T11:00:00Z</cp:lastPrinted>
  <dcterms:modified xsi:type="dcterms:W3CDTF">2025-04-25T20:29:14Z</dcterms:modified>
  <dc:title>Paper Template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D9C37104F847441B9BAEF1084616E1A6_13</vt:lpwstr>
  </property>
</Properties>
</file>