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E0EBC" w14:textId="6349ACD6" w:rsidR="00905DBC" w:rsidRPr="00F31422" w:rsidRDefault="00453400">
      <w:pPr>
        <w:jc w:val="center"/>
        <w:rPr>
          <w:b/>
          <w:sz w:val="36"/>
          <w:szCs w:val="26"/>
        </w:rPr>
      </w:pPr>
      <w:r w:rsidRPr="00F31422">
        <w:rPr>
          <w:b/>
          <w:sz w:val="36"/>
          <w:szCs w:val="26"/>
        </w:rPr>
        <w:t xml:space="preserve">Quantum-Resistant Blockchain Architectures for Securing Financial Data Governance </w:t>
      </w:r>
      <w:r w:rsidR="0002024C" w:rsidRPr="00F31422">
        <w:rPr>
          <w:b/>
          <w:sz w:val="36"/>
          <w:szCs w:val="26"/>
        </w:rPr>
        <w:t>against</w:t>
      </w:r>
      <w:r w:rsidRPr="00F31422">
        <w:rPr>
          <w:b/>
          <w:sz w:val="36"/>
          <w:szCs w:val="26"/>
        </w:rPr>
        <w:t xml:space="preserve"> Next-Generation Cyber Threats</w:t>
      </w:r>
    </w:p>
    <w:p w14:paraId="2EF7A159" w14:textId="77777777" w:rsidR="006E7588" w:rsidRDefault="006E7588">
      <w:pPr>
        <w:spacing w:before="160" w:after="160"/>
        <w:rPr>
          <w:b/>
          <w:sz w:val="24"/>
          <w:szCs w:val="24"/>
        </w:rPr>
      </w:pPr>
    </w:p>
    <w:p w14:paraId="2341595D" w14:textId="77777777" w:rsidR="006E7588" w:rsidRDefault="006E7588">
      <w:pPr>
        <w:spacing w:before="160" w:after="160"/>
        <w:rPr>
          <w:b/>
          <w:sz w:val="24"/>
          <w:szCs w:val="24"/>
        </w:rPr>
      </w:pPr>
    </w:p>
    <w:p w14:paraId="1923B572" w14:textId="77777777" w:rsidR="00C1362C" w:rsidRDefault="00C1362C">
      <w:pPr>
        <w:spacing w:before="160" w:after="160"/>
        <w:rPr>
          <w:b/>
          <w:sz w:val="24"/>
          <w:szCs w:val="24"/>
        </w:rPr>
      </w:pPr>
    </w:p>
    <w:p w14:paraId="4B9806B5" w14:textId="419A26D1" w:rsidR="00905DBC" w:rsidRPr="008543FB" w:rsidRDefault="00453400">
      <w:pPr>
        <w:spacing w:before="160" w:after="160"/>
        <w:rPr>
          <w:b/>
          <w:sz w:val="24"/>
          <w:szCs w:val="24"/>
        </w:rPr>
      </w:pPr>
      <w:r w:rsidRPr="008543FB">
        <w:rPr>
          <w:b/>
          <w:sz w:val="24"/>
          <w:szCs w:val="24"/>
        </w:rPr>
        <w:t>Abstract</w:t>
      </w:r>
    </w:p>
    <w:p w14:paraId="708DA3E5" w14:textId="77777777" w:rsidR="005A0E51" w:rsidRPr="005A0E51" w:rsidRDefault="005A0E51">
      <w:pPr>
        <w:spacing w:before="160" w:after="160"/>
        <w:rPr>
          <w:i/>
          <w:iCs/>
          <w:color w:val="000000"/>
          <w:sz w:val="24"/>
          <w:szCs w:val="24"/>
        </w:rPr>
      </w:pPr>
      <w:r>
        <w:rPr>
          <w:i/>
          <w:iCs/>
          <w:color w:val="000000"/>
        </w:rPr>
        <w:br/>
      </w:r>
      <w:r w:rsidRPr="005A0E51">
        <w:rPr>
          <w:i/>
          <w:iCs/>
          <w:color w:val="000000"/>
          <w:sz w:val="24"/>
          <w:szCs w:val="24"/>
        </w:rPr>
        <w:t>This study investigates the vulnerabilities of blockchain cryptographic protocols to quantum computing threats and evaluates post-quantum cryptographic models for securing financial data governance. Using data from the NIST Cryptographic Algorithm Vulnerability Dataset, World Bank Financial Cybersecurity Adoption Dataset, and IMF Financial Regulatory Policy Database, the study integrates cryptographic benchmarking, regression modeling, and regulatory compliance scoring. Results indicate that RSA-2048 decryption time decreases from 3.57 minutes at 500 qubits to 2.41 minutes at 10,000 qubits, illustrating the accelerating risk posed by quantum advancements. Financial institutions with cybersecurity budgets exceeding $7 billion report an 80% adoption rate of post-quantum cryptography, whereas fintech firms lag at 45%, underscoring critical disparities in readiness. However, while Kyber-1024 and SPHINCS+-SHA256 enhance security, their computational overhead and scalability challenges pose significant concerns for widespread adoption. Furthermore, the study reveals inconsistent global regulatory compliance, with countries like the U.S., China, and the EU progressing more rapidly than developing economies such as Brazil and India. These disparities hinder a coordinated approach to quantum-resistant blockchain integration. The findings emphasize the need for financial institutions to adopt hybrid cryptographic models that balance computational efficiency and quantum resistance, while governments must enforce standardized compliance frameworks to accelerate global readiness. Investments in scalable, efficient post-quantum solutions are crucial to future-proof financial systems against emerging quantum threats. It is recommended that financial institutions implement hybrid cryptographic models, governments enforce standardized compliance frameworks, and investments in scalable post-quantum solutions be prioritized.</w:t>
      </w:r>
    </w:p>
    <w:p w14:paraId="777B2E9F" w14:textId="04D575F7" w:rsidR="00905DBC" w:rsidRPr="008543FB" w:rsidRDefault="00453400">
      <w:pPr>
        <w:spacing w:before="160" w:after="160"/>
        <w:rPr>
          <w:b/>
          <w:sz w:val="24"/>
          <w:szCs w:val="24"/>
        </w:rPr>
      </w:pPr>
      <w:r w:rsidRPr="008543FB">
        <w:rPr>
          <w:b/>
          <w:sz w:val="24"/>
          <w:szCs w:val="24"/>
        </w:rPr>
        <w:t>Keywords: Quantum-resistant cryptography, blockchain security, post-quantum encryption, financial data governance, cybersecurity compliance.</w:t>
      </w:r>
    </w:p>
    <w:p w14:paraId="4BB8864B" w14:textId="77777777" w:rsidR="00905DBC" w:rsidRPr="008543FB" w:rsidRDefault="00905DBC">
      <w:pPr>
        <w:rPr>
          <w:sz w:val="24"/>
          <w:szCs w:val="24"/>
        </w:rPr>
      </w:pPr>
    </w:p>
    <w:p w14:paraId="0104C0E5" w14:textId="6683A6A0" w:rsidR="00905DBC" w:rsidRPr="008543FB" w:rsidRDefault="003B7EF2">
      <w:pPr>
        <w:pStyle w:val="Heading3"/>
        <w:keepNext w:val="0"/>
        <w:keepLines w:val="0"/>
        <w:spacing w:before="280"/>
        <w:rPr>
          <w:b/>
          <w:color w:val="000000"/>
          <w:sz w:val="24"/>
          <w:szCs w:val="24"/>
        </w:rPr>
      </w:pPr>
      <w:bookmarkStart w:id="0" w:name="_i70ywhyktny4" w:colFirst="0" w:colLast="0"/>
      <w:bookmarkEnd w:id="0"/>
      <w:r w:rsidRPr="008543FB">
        <w:rPr>
          <w:b/>
          <w:color w:val="000000"/>
          <w:sz w:val="24"/>
          <w:szCs w:val="24"/>
        </w:rPr>
        <w:lastRenderedPageBreak/>
        <w:t>1.</w:t>
      </w:r>
      <w:r w:rsidRPr="008543FB">
        <w:rPr>
          <w:b/>
          <w:color w:val="000000"/>
          <w:sz w:val="24"/>
          <w:szCs w:val="24"/>
        </w:rPr>
        <w:tab/>
        <w:t>Introduction</w:t>
      </w:r>
    </w:p>
    <w:p w14:paraId="2E68B5E8" w14:textId="77777777" w:rsidR="00905DBC" w:rsidRPr="008543FB" w:rsidRDefault="00453400">
      <w:pPr>
        <w:spacing w:before="240" w:after="240"/>
        <w:rPr>
          <w:sz w:val="24"/>
          <w:szCs w:val="24"/>
        </w:rPr>
      </w:pPr>
      <w:r w:rsidRPr="008543FB">
        <w:rPr>
          <w:sz w:val="24"/>
          <w:szCs w:val="24"/>
        </w:rPr>
        <w:t>The increasing reliance on blockchain technology in financial data governance has led to notable improvements in security, transparency, and efficiency within financial transactions (Rane et al., 2023). However, the rapid advancements in quantum computing pose an unprecedented challenge to existing cryptographic protocols that underpin blockchain security. Traditional encryption methods, including RSA, elliptic curve cryptography (ECC), and SHA-256 hashing algorithms, are particularly vulnerable to quantum attacks (Ramakrishna &amp; Shaik, 2024). According to Mishra et al. (2024), Shor’s algorithm has the potential to decrypt these cryptographic systems within hours once a sufficiently powerful quantum computer is developed. Given the heavy dependence of financial institutions on blockchain for securing transactions, the urgency to transition to quantum-resistant architectures has become a pressing concern (Gbadebo, 2025).</w:t>
      </w:r>
    </w:p>
    <w:p w14:paraId="02175F47" w14:textId="02612B39" w:rsidR="00905DBC" w:rsidRPr="008543FB" w:rsidRDefault="00453400">
      <w:pPr>
        <w:spacing w:before="240" w:after="240"/>
        <w:rPr>
          <w:sz w:val="24"/>
          <w:szCs w:val="24"/>
        </w:rPr>
      </w:pPr>
      <w:r w:rsidRPr="008543FB">
        <w:rPr>
          <w:sz w:val="24"/>
          <w:szCs w:val="24"/>
        </w:rPr>
        <w:t xml:space="preserve">How and Cheah (2023) posits that quantum computing has progressed significantly, with major technology firms such as IBM and Google making substantial breakthroughs. IBM’s Condor Quantum Processor, introduced in late 2024, features 1,121 qubits, marking a milestone in quantum research (Galatsanos-Dueck, 2024). Similarly, Google’s Willow Quantum Chip has heightened concerns regarding the vulnerability of modern cryptographic standards (Olutimehin et al., 2025). These developments suggest that blockchain networks relying on ECC and SHA-256 could become obsolete if quantum-resistant measures are not implemented </w:t>
      </w:r>
      <w:r w:rsidR="0002024C" w:rsidRPr="008543FB">
        <w:rPr>
          <w:sz w:val="24"/>
          <w:szCs w:val="24"/>
        </w:rPr>
        <w:t>promptly</w:t>
      </w:r>
      <w:r w:rsidRPr="008543FB">
        <w:rPr>
          <w:sz w:val="24"/>
          <w:szCs w:val="24"/>
        </w:rPr>
        <w:t xml:space="preserve">. </w:t>
      </w:r>
      <w:r w:rsidR="0002024C" w:rsidRPr="008543FB">
        <w:rPr>
          <w:sz w:val="24"/>
          <w:szCs w:val="24"/>
        </w:rPr>
        <w:t>Adegbola et al. (2024) further underscored the urgency of this transition, stating that only 15 per cent</w:t>
      </w:r>
      <w:r w:rsidRPr="008543FB">
        <w:rPr>
          <w:sz w:val="24"/>
          <w:szCs w:val="24"/>
        </w:rPr>
        <w:t xml:space="preserve"> of global financial institutions have developed a quantum risk mitigation strategy. Furthermore, the U.S. National Institute of Standards and Technology (NIST) highlights that 69</w:t>
      </w:r>
      <w:r w:rsidR="0002024C" w:rsidRPr="008543FB">
        <w:rPr>
          <w:sz w:val="24"/>
          <w:szCs w:val="24"/>
        </w:rPr>
        <w:t>%</w:t>
      </w:r>
      <w:r w:rsidRPr="008543FB">
        <w:rPr>
          <w:sz w:val="24"/>
          <w:szCs w:val="24"/>
        </w:rPr>
        <w:t xml:space="preserve"> of blockchain infrastructures still rely on cryptographic algorithms susceptible to quantum decryption (Alagic et al., 2019).</w:t>
      </w:r>
    </w:p>
    <w:p w14:paraId="55AEC52D" w14:textId="48962AEC" w:rsidR="00905DBC" w:rsidRPr="008543FB" w:rsidRDefault="00453400">
      <w:pPr>
        <w:spacing w:before="240" w:after="240"/>
        <w:rPr>
          <w:sz w:val="24"/>
          <w:szCs w:val="24"/>
        </w:rPr>
      </w:pPr>
      <w:r w:rsidRPr="008543FB">
        <w:rPr>
          <w:sz w:val="24"/>
          <w:szCs w:val="24"/>
        </w:rPr>
        <w:t xml:space="preserve">Recognizing the significance of this issue, NIST has taken a leading role in standardizing post-quantum cryptographic algorithms. In August 2024, the organization published the final versions of three post-quantum encryption standards, which are expected to </w:t>
      </w:r>
      <w:r w:rsidR="0002024C" w:rsidRPr="008543FB">
        <w:rPr>
          <w:sz w:val="24"/>
          <w:szCs w:val="24"/>
        </w:rPr>
        <w:t>be</w:t>
      </w:r>
      <w:r w:rsidRPr="008543FB">
        <w:rPr>
          <w:sz w:val="24"/>
          <w:szCs w:val="24"/>
        </w:rPr>
        <w:t xml:space="preserve"> the foundation for securing blockchain networks against quantum threats (NIST, 2024). In addition to governmental initiatives, financial institutions and industry leaders have introduced various projects </w:t>
      </w:r>
      <w:r w:rsidR="0002024C" w:rsidRPr="008543FB">
        <w:rPr>
          <w:sz w:val="24"/>
          <w:szCs w:val="24"/>
        </w:rPr>
        <w:t>to enhance</w:t>
      </w:r>
      <w:r w:rsidRPr="008543FB">
        <w:rPr>
          <w:sz w:val="24"/>
          <w:szCs w:val="24"/>
        </w:rPr>
        <w:t xml:space="preserve"> quantum resilience. BIS (2024) asserts that Project Leap, launched by the Bank for International Settlements Innovation Hub in collaboration with the Bank of France and Deutsche Bundesbank, represents a critical initiative designed to future-proof financial infrastructure against quantum attacks. Private-sector companies such as SEALSQ Corp have also committed to developing post-quantum security solutions specifically for financial institutions, </w:t>
      </w:r>
      <w:r w:rsidRPr="008543FB">
        <w:rPr>
          <w:sz w:val="24"/>
          <w:szCs w:val="24"/>
        </w:rPr>
        <w:lastRenderedPageBreak/>
        <w:t>emphasizing the growing recognition of quantum threats across the industry (SEALSQ, 2025).</w:t>
      </w:r>
    </w:p>
    <w:p w14:paraId="2CCF2F26" w14:textId="548D3024" w:rsidR="00905DBC" w:rsidRPr="008543FB" w:rsidRDefault="00453400">
      <w:pPr>
        <w:spacing w:before="240" w:after="240"/>
        <w:rPr>
          <w:sz w:val="24"/>
          <w:szCs w:val="24"/>
        </w:rPr>
      </w:pPr>
      <w:r w:rsidRPr="008543FB">
        <w:rPr>
          <w:sz w:val="24"/>
          <w:szCs w:val="24"/>
        </w:rPr>
        <w:t xml:space="preserve">The level of preparedness for quantum-resistant security varies significantly among financial institutions and regulatory bodies. Beck (2022) contends that 32 </w:t>
      </w:r>
      <w:r w:rsidR="0002024C" w:rsidRPr="008543FB">
        <w:rPr>
          <w:sz w:val="24"/>
          <w:szCs w:val="24"/>
        </w:rPr>
        <w:t>percent</w:t>
      </w:r>
      <w:r w:rsidRPr="008543FB">
        <w:rPr>
          <w:sz w:val="24"/>
          <w:szCs w:val="24"/>
        </w:rPr>
        <w:t xml:space="preserve"> of Fortune 500 financial companies are in the preliminary stages of integrating quantum-safe encryption into their blockchain infrastructure. Regulatory agencies have also taken proactive measures to facilitate this transition. The European Union’s Digital Finance Strategy of 2024 mandates that banks commence post-quantum encryption testing by 2026, whereas in the United States, the Quantum Computing Cybersecurity Preparedness Act of 2023 requires federal agencies to migrate to quantum-resistant encryption by 2030 (EBA, 2025; Congress. Gov, 2021). Similarly, China’s National Blockchain Plan 2025 outlines a comprehensive roadmap for implementing quantum-safe encryption within its state-backed financial networks (Kaur, 2025).</w:t>
      </w:r>
    </w:p>
    <w:p w14:paraId="235084CC" w14:textId="6699F782" w:rsidR="00905DBC" w:rsidRPr="008543FB" w:rsidRDefault="00453400">
      <w:pPr>
        <w:spacing w:before="240" w:after="240"/>
        <w:rPr>
          <w:sz w:val="24"/>
          <w:szCs w:val="24"/>
        </w:rPr>
      </w:pPr>
      <w:r w:rsidRPr="008543FB">
        <w:rPr>
          <w:sz w:val="24"/>
          <w:szCs w:val="24"/>
        </w:rPr>
        <w:t>Beyond regulatory compliance, financial institutions must also address the substantial costs associated with upgrading cybersecurity infrastructure. Morgan (2023) states that Cybersecurity Ventures projects an increase in financial institutions' cybersecurity expenditures from $6.8 billion in 2023 to $12 billion by 2026, with quantum-related security upgrades as a primary driver of this rise. Additionally, investments by major financial institutions illustrate their commitment to post-quantum cryptography, with Goldman Sachs, JPMorgan, and Citibank collectively allocating $2.3 billion to quantum-resistant blockchain technologies as of the first quarter of 2025 (Wewege et al., 2020).</w:t>
      </w:r>
    </w:p>
    <w:p w14:paraId="63033E3B" w14:textId="187F9A51" w:rsidR="00905DBC" w:rsidRPr="008543FB" w:rsidRDefault="00453400">
      <w:pPr>
        <w:spacing w:before="240" w:after="240"/>
        <w:rPr>
          <w:sz w:val="24"/>
          <w:szCs w:val="24"/>
        </w:rPr>
      </w:pPr>
      <w:r w:rsidRPr="008543FB">
        <w:rPr>
          <w:sz w:val="24"/>
          <w:szCs w:val="24"/>
        </w:rPr>
        <w:t xml:space="preserve">As blockchain adoption </w:t>
      </w:r>
      <w:r w:rsidR="0002024C" w:rsidRPr="008543FB">
        <w:rPr>
          <w:sz w:val="24"/>
          <w:szCs w:val="24"/>
        </w:rPr>
        <w:t>expands</w:t>
      </w:r>
      <w:r w:rsidRPr="008543FB">
        <w:rPr>
          <w:sz w:val="24"/>
          <w:szCs w:val="24"/>
        </w:rPr>
        <w:t xml:space="preserve"> within financial applications, the prevalence of cyber threats targeting blockchain vulnerabilities has intensified. According to Korn (2023)</w:t>
      </w:r>
      <w:r w:rsidR="0002024C" w:rsidRPr="008543FB">
        <w:rPr>
          <w:sz w:val="24"/>
          <w:szCs w:val="24"/>
        </w:rPr>
        <w:t>,</w:t>
      </w:r>
      <w:r w:rsidRPr="008543FB">
        <w:rPr>
          <w:sz w:val="24"/>
          <w:szCs w:val="24"/>
        </w:rPr>
        <w:t xml:space="preserve"> $3.8 billion worth of cryptocurrency was stolen through cyberattacks in 2023, with 45 </w:t>
      </w:r>
      <w:r w:rsidR="0002024C" w:rsidRPr="008543FB">
        <w:rPr>
          <w:sz w:val="24"/>
          <w:szCs w:val="24"/>
        </w:rPr>
        <w:t>percent</w:t>
      </w:r>
      <w:r w:rsidRPr="008543FB">
        <w:rPr>
          <w:sz w:val="24"/>
          <w:szCs w:val="24"/>
        </w:rPr>
        <w:t xml:space="preserve"> of these exploits leveraging weaknesses in blockchain security. </w:t>
      </w:r>
      <w:r w:rsidR="0002024C" w:rsidRPr="008543FB">
        <w:rPr>
          <w:sz w:val="24"/>
          <w:szCs w:val="24"/>
        </w:rPr>
        <w:t>Therefore, integrating quantum-resistant encryption is</w:t>
      </w:r>
      <w:r w:rsidRPr="008543FB">
        <w:rPr>
          <w:sz w:val="24"/>
          <w:szCs w:val="24"/>
        </w:rPr>
        <w:t xml:space="preserve"> essential to mitigating future risks, particularly as quantum computing capabilities advance. Consequently, central banks worldwide have prioritized investments in quantum-resistant blockchain security. The European Central Bank and the U.S. Federal Reserve </w:t>
      </w:r>
      <w:r w:rsidR="0002024C" w:rsidRPr="008543FB">
        <w:rPr>
          <w:sz w:val="24"/>
          <w:szCs w:val="24"/>
        </w:rPr>
        <w:t>have</w:t>
      </w:r>
      <w:r w:rsidRPr="008543FB">
        <w:rPr>
          <w:sz w:val="24"/>
          <w:szCs w:val="24"/>
        </w:rPr>
        <w:t xml:space="preserve"> collectively allocated $500 million toward research on developing secure blockchain architectures for Central Bank Digital Currencies (Fayed, 2024).</w:t>
      </w:r>
    </w:p>
    <w:p w14:paraId="0E773926" w14:textId="49298C2D" w:rsidR="00905DBC" w:rsidRPr="008543FB" w:rsidRDefault="0002024C">
      <w:pPr>
        <w:spacing w:before="240" w:after="240"/>
        <w:rPr>
          <w:sz w:val="24"/>
          <w:szCs w:val="24"/>
        </w:rPr>
      </w:pPr>
      <w:r w:rsidRPr="008543FB">
        <w:rPr>
          <w:sz w:val="24"/>
          <w:szCs w:val="24"/>
        </w:rPr>
        <w:t>Projections that quantum threats will become critical by 2035 further reinforce the financial sector’s urgency to transition to post-quantum cryptography</w:t>
      </w:r>
      <w:r w:rsidR="00453400" w:rsidRPr="008543FB">
        <w:rPr>
          <w:sz w:val="24"/>
          <w:szCs w:val="24"/>
        </w:rPr>
        <w:t xml:space="preserve">. NSA (2022) avers that the U.S. National Security Agency has urged industries to </w:t>
      </w:r>
      <w:r w:rsidRPr="008543FB">
        <w:rPr>
          <w:sz w:val="24"/>
          <w:szCs w:val="24"/>
        </w:rPr>
        <w:t>adopt</w:t>
      </w:r>
      <w:r w:rsidR="00453400" w:rsidRPr="008543FB">
        <w:rPr>
          <w:sz w:val="24"/>
          <w:szCs w:val="24"/>
        </w:rPr>
        <w:t xml:space="preserve"> quantum-resistant cryptographic solutions immediately to prevent large-scale security breaches. Correspondingly, the global market for post-quantum cryptography is expected to </w:t>
      </w:r>
      <w:r w:rsidR="00453400" w:rsidRPr="008543FB">
        <w:rPr>
          <w:sz w:val="24"/>
          <w:szCs w:val="24"/>
        </w:rPr>
        <w:lastRenderedPageBreak/>
        <w:t>increase from $450 million in 2024 to $3.2 billion by 2029, reflecting the growing demand for quantum-resistant encryption solutions (IQT, 2023).</w:t>
      </w:r>
    </w:p>
    <w:p w14:paraId="0ED826DF" w14:textId="39B76CEA" w:rsidR="00905DBC" w:rsidRPr="008543FB" w:rsidRDefault="00453400">
      <w:pPr>
        <w:spacing w:before="240" w:after="240"/>
        <w:rPr>
          <w:b/>
          <w:color w:val="000000"/>
          <w:sz w:val="24"/>
          <w:szCs w:val="24"/>
        </w:rPr>
      </w:pPr>
      <w:r w:rsidRPr="008543FB">
        <w:rPr>
          <w:sz w:val="24"/>
          <w:szCs w:val="24"/>
        </w:rPr>
        <w:t>The convergence of blockchain adoption in financial data governance and the rapid evolution of quantum computing underscores the necessity for financial institutions to act swiftly in implementing post-quantum cryptographic solutions. Case studies such as Project Leap, NIST’s Post-Quantum Standardization, and SEALSQ’s quantum-resistant initiatives illustrate the proactive measures undertaken by governments, financial institutions, and private entities (BIS, 2024; SEALSQ, 2025). Despite these efforts, a considerable gap remains in the global financial sector’s quantum readiness, necessitating immediate regulatory and industry-wide action to safeguard blockchain-based financial transactions from emerging quantum threats.</w:t>
      </w:r>
      <w:r w:rsidR="00E669EC" w:rsidRPr="00E669EC">
        <w:t xml:space="preserve"> </w:t>
      </w:r>
      <w:r w:rsidR="00E669EC" w:rsidRPr="00E669EC">
        <w:rPr>
          <w:sz w:val="24"/>
          <w:szCs w:val="24"/>
        </w:rPr>
        <w:t>The importance of this research for the scientific community lies in its comprehensive examination of the vulnerabilities posed by quantum computing to blockchain cryptographic protocols, particularly in financial systems. As blockchain continues to revolutionize financial data governance, the looming threat of quantum decryption necessitates urgent research and practical solutions. This study bridges the gap between theoretical quantum threats and practical implementations of post-quantum cryptography. By evaluating cryptographic benchmarks, regulatory frameworks, and institutional readiness, the paper contributes valuable insights for researchers, policymakers, and financial institutions, guiding the development of resilient, quantum-resistant blockchain architectures for secure financial governance.</w:t>
      </w:r>
      <w:r w:rsidRPr="008543FB">
        <w:rPr>
          <w:sz w:val="24"/>
          <w:szCs w:val="24"/>
        </w:rPr>
        <w:t xml:space="preserve"> This study aims to </w:t>
      </w:r>
      <w:r w:rsidR="0002024C" w:rsidRPr="008543FB">
        <w:rPr>
          <w:sz w:val="24"/>
          <w:szCs w:val="24"/>
        </w:rPr>
        <w:t>analyze</w:t>
      </w:r>
      <w:r w:rsidRPr="008543FB">
        <w:rPr>
          <w:sz w:val="24"/>
          <w:szCs w:val="24"/>
        </w:rPr>
        <w:t xml:space="preserve"> the vulnerabilities of existing blockchain cryptographic protocols to quantum computing threats and evaluate the effectiveness of post-quantum cryptographic solutions in securing financial data governance by achieving the following objectives:</w:t>
      </w:r>
    </w:p>
    <w:p w14:paraId="1557F81B" w14:textId="77777777" w:rsidR="00905DBC" w:rsidRPr="008543FB" w:rsidRDefault="00453400">
      <w:pPr>
        <w:numPr>
          <w:ilvl w:val="0"/>
          <w:numId w:val="2"/>
        </w:numPr>
        <w:spacing w:before="240"/>
        <w:rPr>
          <w:sz w:val="24"/>
          <w:szCs w:val="24"/>
        </w:rPr>
      </w:pPr>
      <w:r w:rsidRPr="008543FB">
        <w:rPr>
          <w:sz w:val="24"/>
          <w:szCs w:val="24"/>
        </w:rPr>
        <w:t>Analyzes the vulnerabilities of existing blockchain cryptographic protocols against quantum computing threats.</w:t>
      </w:r>
      <w:r w:rsidRPr="008543FB">
        <w:rPr>
          <w:sz w:val="24"/>
          <w:szCs w:val="24"/>
        </w:rPr>
        <w:br/>
      </w:r>
    </w:p>
    <w:p w14:paraId="6AD5D509" w14:textId="39DDC7B6" w:rsidR="00905DBC" w:rsidRPr="008543FB" w:rsidRDefault="0002024C">
      <w:pPr>
        <w:numPr>
          <w:ilvl w:val="0"/>
          <w:numId w:val="2"/>
        </w:numPr>
        <w:rPr>
          <w:sz w:val="24"/>
          <w:szCs w:val="24"/>
        </w:rPr>
      </w:pPr>
      <w:r w:rsidRPr="008543FB">
        <w:rPr>
          <w:sz w:val="24"/>
          <w:szCs w:val="24"/>
        </w:rPr>
        <w:t>Evaluate</w:t>
      </w:r>
      <w:r w:rsidR="00453400" w:rsidRPr="008543FB">
        <w:rPr>
          <w:sz w:val="24"/>
          <w:szCs w:val="24"/>
        </w:rPr>
        <w:t xml:space="preserve"> post-quantum cryptographic models and their applicability to financial blockchain security.</w:t>
      </w:r>
      <w:r w:rsidR="00453400" w:rsidRPr="008543FB">
        <w:rPr>
          <w:sz w:val="24"/>
          <w:szCs w:val="24"/>
        </w:rPr>
        <w:br/>
      </w:r>
    </w:p>
    <w:p w14:paraId="285AA113" w14:textId="77777777" w:rsidR="00905DBC" w:rsidRPr="008543FB" w:rsidRDefault="00453400">
      <w:pPr>
        <w:numPr>
          <w:ilvl w:val="0"/>
          <w:numId w:val="2"/>
        </w:numPr>
        <w:rPr>
          <w:sz w:val="24"/>
          <w:szCs w:val="24"/>
        </w:rPr>
      </w:pPr>
      <w:r w:rsidRPr="008543FB">
        <w:rPr>
          <w:sz w:val="24"/>
          <w:szCs w:val="24"/>
        </w:rPr>
        <w:t>Assesses financial institutions’ readiness for quantum-resistant blockchain security.</w:t>
      </w:r>
      <w:r w:rsidRPr="008543FB">
        <w:rPr>
          <w:sz w:val="24"/>
          <w:szCs w:val="24"/>
        </w:rPr>
        <w:br/>
      </w:r>
    </w:p>
    <w:p w14:paraId="37E21179" w14:textId="77777777" w:rsidR="00905DBC" w:rsidRPr="008543FB" w:rsidRDefault="00453400">
      <w:pPr>
        <w:numPr>
          <w:ilvl w:val="0"/>
          <w:numId w:val="2"/>
        </w:numPr>
        <w:spacing w:after="240"/>
        <w:rPr>
          <w:sz w:val="24"/>
          <w:szCs w:val="24"/>
        </w:rPr>
      </w:pPr>
      <w:r w:rsidRPr="008543FB">
        <w:rPr>
          <w:sz w:val="24"/>
          <w:szCs w:val="24"/>
        </w:rPr>
        <w:t>Examines global regulatory and compliance efforts for transitioning to quantum-resistant cryptography.</w:t>
      </w:r>
      <w:r w:rsidRPr="008543FB">
        <w:rPr>
          <w:sz w:val="24"/>
          <w:szCs w:val="24"/>
        </w:rPr>
        <w:br/>
      </w:r>
    </w:p>
    <w:p w14:paraId="76C511F1" w14:textId="6F90A575" w:rsidR="00905DBC" w:rsidRPr="008543FB" w:rsidRDefault="003B7EF2">
      <w:pPr>
        <w:pStyle w:val="Heading3"/>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280" w:line="331" w:lineRule="auto"/>
        <w:jc w:val="both"/>
        <w:rPr>
          <w:rFonts w:eastAsia="Roboto"/>
          <w:color w:val="0D0D0D"/>
          <w:sz w:val="24"/>
          <w:szCs w:val="24"/>
          <w:highlight w:val="white"/>
        </w:rPr>
      </w:pPr>
      <w:bookmarkStart w:id="1" w:name="_gkpsj05phv3m" w:colFirst="0" w:colLast="0"/>
      <w:bookmarkEnd w:id="1"/>
      <w:r w:rsidRPr="008543FB">
        <w:rPr>
          <w:b/>
          <w:color w:val="0D0D0D"/>
          <w:sz w:val="24"/>
          <w:szCs w:val="24"/>
          <w:highlight w:val="white"/>
        </w:rPr>
        <w:t>2.</w:t>
      </w:r>
      <w:r w:rsidRPr="008543FB">
        <w:rPr>
          <w:b/>
          <w:color w:val="0D0D0D"/>
          <w:sz w:val="24"/>
          <w:szCs w:val="24"/>
          <w:highlight w:val="white"/>
        </w:rPr>
        <w:tab/>
      </w:r>
      <w:r w:rsidR="00453400" w:rsidRPr="008543FB">
        <w:rPr>
          <w:b/>
          <w:color w:val="0D0D0D"/>
          <w:sz w:val="24"/>
          <w:szCs w:val="24"/>
          <w:highlight w:val="white"/>
        </w:rPr>
        <w:t>Literature Review</w:t>
      </w:r>
    </w:p>
    <w:p w14:paraId="30100878" w14:textId="7D4F4BE2" w:rsidR="00905DBC" w:rsidRPr="008543FB" w:rsidRDefault="004534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color w:val="0D0D0D"/>
          <w:sz w:val="24"/>
          <w:szCs w:val="24"/>
          <w:highlight w:val="white"/>
        </w:rPr>
      </w:pPr>
      <w:bookmarkStart w:id="2" w:name="_xccyic5nrwy4" w:colFirst="0" w:colLast="0"/>
      <w:bookmarkEnd w:id="2"/>
      <w:r w:rsidRPr="008543FB">
        <w:rPr>
          <w:color w:val="0D0D0D"/>
          <w:sz w:val="24"/>
          <w:szCs w:val="24"/>
          <w:highlight w:val="white"/>
        </w:rPr>
        <w:lastRenderedPageBreak/>
        <w:t xml:space="preserve">Blockchain technology has transformed financial data governance by introducing a decentralized, transparent, and immutable </w:t>
      </w:r>
      <w:r w:rsidR="0002024C" w:rsidRPr="008543FB">
        <w:rPr>
          <w:color w:val="0D0D0D"/>
          <w:sz w:val="24"/>
          <w:szCs w:val="24"/>
          <w:highlight w:val="white"/>
        </w:rPr>
        <w:t>transaction ledger system</w:t>
      </w:r>
      <w:r w:rsidRPr="008543FB">
        <w:rPr>
          <w:color w:val="0D0D0D"/>
          <w:sz w:val="24"/>
          <w:szCs w:val="24"/>
          <w:highlight w:val="white"/>
        </w:rPr>
        <w:t xml:space="preserve"> (Kukman &amp; Gričar, 2025). Initially designed for cryptocurrencies like Bitcoin, blockchain has expanded into digital payments, smart contracts, asset </w:t>
      </w:r>
      <w:r w:rsidR="0002024C" w:rsidRPr="008543FB">
        <w:rPr>
          <w:color w:val="0D0D0D"/>
          <w:sz w:val="24"/>
          <w:szCs w:val="24"/>
          <w:highlight w:val="white"/>
        </w:rPr>
        <w:t>tokenization</w:t>
      </w:r>
      <w:r w:rsidRPr="008543FB">
        <w:rPr>
          <w:color w:val="0D0D0D"/>
          <w:sz w:val="24"/>
          <w:szCs w:val="24"/>
          <w:highlight w:val="white"/>
        </w:rPr>
        <w:t xml:space="preserve">, and decentralized finance (DeFi) (Abdulhakeem &amp; Hu, 2021; Ajayi et al., 2025). Ante and Saggu (2024) argue that blockchain-based payment systems such as Bitcoin and Ethereum eliminate intermediaries, thereby reducing transaction costs and processing times. Smart contracts automate financial processes, improving efficiency in loan disbursements, insurance claims, and supply chain finance. Additionally, Liu and Chen (2024) </w:t>
      </w:r>
      <w:r w:rsidR="0002024C" w:rsidRPr="008543FB">
        <w:rPr>
          <w:color w:val="0D0D0D"/>
          <w:sz w:val="24"/>
          <w:szCs w:val="24"/>
          <w:highlight w:val="white"/>
        </w:rPr>
        <w:t>contend that asset tokenization enhances market liquidity by enabling fractional ownership in real estate and securities trading sectors</w:t>
      </w:r>
      <w:r w:rsidRPr="008543FB">
        <w:rPr>
          <w:color w:val="0D0D0D"/>
          <w:sz w:val="24"/>
          <w:szCs w:val="24"/>
          <w:highlight w:val="white"/>
        </w:rPr>
        <w:t>. DeFi further demonstrates blockchain’s capacity to facilitate lending, borrowing, and investment outside traditional banking structures.</w:t>
      </w:r>
    </w:p>
    <w:p w14:paraId="7221B99C" w14:textId="7304513B" w:rsidR="00905DBC" w:rsidRPr="008543FB" w:rsidRDefault="004534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color w:val="0D0D0D"/>
          <w:sz w:val="24"/>
          <w:szCs w:val="24"/>
          <w:highlight w:val="white"/>
        </w:rPr>
      </w:pPr>
      <w:r w:rsidRPr="008543FB">
        <w:rPr>
          <w:color w:val="0D0D0D"/>
          <w:sz w:val="24"/>
          <w:szCs w:val="24"/>
          <w:highlight w:val="white"/>
        </w:rPr>
        <w:t xml:space="preserve">A primary advantage of blockchain in financial data governance </w:t>
      </w:r>
      <w:r w:rsidR="0002024C" w:rsidRPr="008543FB">
        <w:rPr>
          <w:color w:val="0D0D0D"/>
          <w:sz w:val="24"/>
          <w:szCs w:val="24"/>
          <w:highlight w:val="white"/>
        </w:rPr>
        <w:t>is</w:t>
      </w:r>
      <w:r w:rsidRPr="008543FB">
        <w:rPr>
          <w:color w:val="0D0D0D"/>
          <w:sz w:val="24"/>
          <w:szCs w:val="24"/>
          <w:highlight w:val="white"/>
        </w:rPr>
        <w:t xml:space="preserve"> its ability to strengthen security, efficiency, and transparency (Rane et al., 2023; Balogun, 2025). According to Mustyala (2023), blockchain’s immutability prevents unauthorized modifications to validated transactions, reducing fraud risks. Transparency is reinforced through publicly verifiable transactions, fostering trust among stakeholders (Ahmed, 2025; Kolade et al., 2025). Efficiency is also improved via consensus mechanisms like Proof of Work (PoW) and Proof of Stake (PoS), enabling real-time transaction validation without centralized oversight (Ahmed, 2025; Obioha-Val, 2025). Blockchain has </w:t>
      </w:r>
      <w:r w:rsidR="0002024C" w:rsidRPr="008543FB">
        <w:rPr>
          <w:color w:val="0D0D0D"/>
          <w:sz w:val="24"/>
          <w:szCs w:val="24"/>
          <w:highlight w:val="white"/>
        </w:rPr>
        <w:t>also streamlined cross-border payments, with institutions like</w:t>
      </w:r>
      <w:r w:rsidRPr="008543FB">
        <w:rPr>
          <w:color w:val="0D0D0D"/>
          <w:sz w:val="24"/>
          <w:szCs w:val="24"/>
          <w:highlight w:val="white"/>
        </w:rPr>
        <w:t xml:space="preserve"> JPMorgan integrating blockchain networks like Onyx to expedite international remittances (Turi, 2023; Olutimehin, 2025).</w:t>
      </w:r>
    </w:p>
    <w:p w14:paraId="12DA8F19" w14:textId="77777777" w:rsidR="00905DBC" w:rsidRPr="008543FB" w:rsidRDefault="004534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color w:val="0D0D0D"/>
          <w:sz w:val="24"/>
          <w:szCs w:val="24"/>
          <w:highlight w:val="white"/>
        </w:rPr>
      </w:pPr>
      <w:r w:rsidRPr="008543FB">
        <w:rPr>
          <w:color w:val="0D0D0D"/>
          <w:sz w:val="24"/>
          <w:szCs w:val="24"/>
          <w:highlight w:val="white"/>
        </w:rPr>
        <w:t>Blockchain security relies on cryptographic techniques, including RSA encryption, Elliptic Curve Cryptography (ECC), and SHA-256 hashing (Sharma et al., 2023; Balogun et al., 2025). Yadav (2021) posits that RSA has long secured financial communications, while ECC, with its shorter key lengths, is widely used for digital signatures and identity verification. SHA-256 hashing ensures transaction integrity by generating fixed-length outputs resistant to tampering. However, these cryptographic methods face increasing vulnerabilities as quantum computing advances (Robert et al., 2024; Obioha-Val et al., 2025).</w:t>
      </w:r>
    </w:p>
    <w:p w14:paraId="65B05FDC" w14:textId="4FCFE5C7" w:rsidR="00905DBC" w:rsidRPr="008543FB" w:rsidRDefault="004534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color w:val="0D0D0D"/>
          <w:sz w:val="24"/>
          <w:szCs w:val="24"/>
          <w:highlight w:val="white"/>
        </w:rPr>
      </w:pPr>
      <w:r w:rsidRPr="008543FB">
        <w:rPr>
          <w:color w:val="0D0D0D"/>
          <w:sz w:val="24"/>
          <w:szCs w:val="24"/>
          <w:highlight w:val="white"/>
        </w:rPr>
        <w:t xml:space="preserve">Quantum computing presents a substantial challenge to blockchain security. Sood (2024) asserts that Shor’s algorithm enables sufficiently powerful quantum computers to break </w:t>
      </w:r>
      <w:r w:rsidRPr="008543FB">
        <w:rPr>
          <w:color w:val="0D0D0D"/>
          <w:sz w:val="24"/>
          <w:szCs w:val="24"/>
          <w:highlight w:val="white"/>
        </w:rPr>
        <w:lastRenderedPageBreak/>
        <w:t xml:space="preserve">RSA and ECC encryption by efficiently factoring large prime numbers and solving discrete logarithm problems. Similarly, Grover’s algorithm weakens SHA-256 by reducing the complexity of brute-force attacks (Armah et al., 2024; Olutimehin, 2025). Given the financial sector’s reliance on these encryption methods, concerns about their long-term viability are growing. </w:t>
      </w:r>
      <w:r w:rsidR="0002024C" w:rsidRPr="008543FB">
        <w:rPr>
          <w:color w:val="0D0D0D"/>
          <w:sz w:val="24"/>
          <w:szCs w:val="24"/>
          <w:highlight w:val="white"/>
        </w:rPr>
        <w:t>Research</w:t>
      </w:r>
      <w:r w:rsidRPr="008543FB">
        <w:rPr>
          <w:color w:val="0D0D0D"/>
          <w:sz w:val="24"/>
          <w:szCs w:val="24"/>
          <w:highlight w:val="white"/>
        </w:rPr>
        <w:t xml:space="preserve"> into post-quantum cryptographic models has intensified, with organizations </w:t>
      </w:r>
      <w:r w:rsidR="0002024C" w:rsidRPr="008543FB">
        <w:rPr>
          <w:color w:val="0D0D0D"/>
          <w:sz w:val="24"/>
          <w:szCs w:val="24"/>
          <w:highlight w:val="white"/>
        </w:rPr>
        <w:t>like</w:t>
      </w:r>
      <w:r w:rsidRPr="008543FB">
        <w:rPr>
          <w:color w:val="0D0D0D"/>
          <w:sz w:val="24"/>
          <w:szCs w:val="24"/>
          <w:highlight w:val="white"/>
        </w:rPr>
        <w:t xml:space="preserve"> the National Institute of Standards and Technology (NIST) developing quantum-resistant encryption protocols (NIST, 2024; Alao et al.</w:t>
      </w:r>
      <w:r w:rsidR="0002024C" w:rsidRPr="008543FB">
        <w:rPr>
          <w:color w:val="0D0D0D"/>
          <w:sz w:val="24"/>
          <w:szCs w:val="24"/>
          <w:highlight w:val="white"/>
        </w:rPr>
        <w:t>,</w:t>
      </w:r>
      <w:r w:rsidRPr="008543FB">
        <w:rPr>
          <w:color w:val="0D0D0D"/>
          <w:sz w:val="24"/>
          <w:szCs w:val="24"/>
          <w:highlight w:val="white"/>
        </w:rPr>
        <w:t xml:space="preserve"> 2024).</w:t>
      </w:r>
    </w:p>
    <w:p w14:paraId="3A5A7A73" w14:textId="06A764E6" w:rsidR="00905DBC" w:rsidRPr="008543FB" w:rsidRDefault="004534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color w:val="0D0D0D"/>
          <w:sz w:val="24"/>
          <w:szCs w:val="24"/>
          <w:highlight w:val="white"/>
        </w:rPr>
      </w:pPr>
      <w:r w:rsidRPr="008543FB">
        <w:rPr>
          <w:color w:val="0D0D0D"/>
          <w:sz w:val="24"/>
          <w:szCs w:val="24"/>
          <w:highlight w:val="white"/>
        </w:rPr>
        <w:t xml:space="preserve">While blockchain enhances security and efficiency in financial governance, the emergence of quantum computing necessitates immediate action. Akhai and Kumar (2024) </w:t>
      </w:r>
      <w:r w:rsidR="0002024C" w:rsidRPr="008543FB">
        <w:rPr>
          <w:color w:val="0D0D0D"/>
          <w:sz w:val="24"/>
          <w:szCs w:val="24"/>
          <w:highlight w:val="white"/>
        </w:rPr>
        <w:t>contend</w:t>
      </w:r>
      <w:r w:rsidRPr="008543FB">
        <w:rPr>
          <w:color w:val="0D0D0D"/>
          <w:sz w:val="24"/>
          <w:szCs w:val="24"/>
          <w:highlight w:val="white"/>
        </w:rPr>
        <w:t xml:space="preserve"> that financial institutions and regulatory bodies must invest in quantum-resistant architectures to safeguard blockchain applications, ensuring long-term security amid rapid technological advancements.</w:t>
      </w:r>
    </w:p>
    <w:p w14:paraId="3C186D76" w14:textId="77777777" w:rsidR="00905DBC" w:rsidRPr="008543FB" w:rsidRDefault="00453400">
      <w:pPr>
        <w:pStyle w:val="Heading3"/>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280" w:line="331" w:lineRule="auto"/>
        <w:jc w:val="both"/>
        <w:rPr>
          <w:b/>
          <w:color w:val="0D0D0D"/>
          <w:sz w:val="24"/>
          <w:szCs w:val="24"/>
          <w:highlight w:val="white"/>
        </w:rPr>
      </w:pPr>
      <w:bookmarkStart w:id="3" w:name="_fohaxq3a6k1r" w:colFirst="0" w:colLast="0"/>
      <w:bookmarkEnd w:id="3"/>
      <w:r w:rsidRPr="008543FB">
        <w:rPr>
          <w:b/>
          <w:color w:val="0D0D0D"/>
          <w:sz w:val="24"/>
          <w:szCs w:val="24"/>
          <w:highlight w:val="white"/>
        </w:rPr>
        <w:t>The Emergence of Quantum Computing and Its Threats to Blockchain Security</w:t>
      </w:r>
    </w:p>
    <w:p w14:paraId="102C1FFC" w14:textId="678BF3CA" w:rsidR="00905DBC" w:rsidRPr="008543FB" w:rsidRDefault="004534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color w:val="0D0D0D"/>
          <w:sz w:val="24"/>
          <w:szCs w:val="24"/>
          <w:highlight w:val="white"/>
        </w:rPr>
      </w:pPr>
      <w:r w:rsidRPr="008543FB">
        <w:rPr>
          <w:color w:val="0D0D0D"/>
          <w:sz w:val="24"/>
          <w:szCs w:val="24"/>
          <w:highlight w:val="white"/>
        </w:rPr>
        <w:t xml:space="preserve">Quantum computing is redefining computational capabilities, introducing significant challenges to cryptographic security (Vasani et al., 2024; Balogun et al., 2025). Unlike classical computers that rely on binary bits, quantum computers utilize qubits, which leverage superposition and entanglement to process vast amounts of data simultaneously (Bibi et al., 2025; Obioha-Val et al., 2025). Graham et al. (2022) </w:t>
      </w:r>
      <w:r w:rsidR="0002024C" w:rsidRPr="008543FB">
        <w:rPr>
          <w:color w:val="0D0D0D"/>
          <w:sz w:val="24"/>
          <w:szCs w:val="24"/>
          <w:highlight w:val="white"/>
        </w:rPr>
        <w:t>assert</w:t>
      </w:r>
      <w:r w:rsidRPr="008543FB">
        <w:rPr>
          <w:color w:val="0D0D0D"/>
          <w:sz w:val="24"/>
          <w:szCs w:val="24"/>
          <w:highlight w:val="white"/>
        </w:rPr>
        <w:t xml:space="preserve"> that superposition enables qubits to exist in multiple states at once, exponentially increasing computational efficiency, while entanglement ensures that the state of one qubit directly influences its counterpart. Additionally, quantum gates enhance processing capabilities, allowing for complex algorithm execution at unprecedented speeds. While these principles make quantum computing a technological breakthrough, they also pose substantial risks to blockchain cryptographic protocols (Vasani et al., 2024; Olutimehin, 2025).</w:t>
      </w:r>
    </w:p>
    <w:p w14:paraId="07D3D167" w14:textId="460D96E4" w:rsidR="00905DBC" w:rsidRPr="008543FB" w:rsidRDefault="004534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color w:val="0D0D0D"/>
          <w:sz w:val="24"/>
          <w:szCs w:val="24"/>
          <w:highlight w:val="white"/>
        </w:rPr>
      </w:pPr>
      <w:r w:rsidRPr="008543FB">
        <w:rPr>
          <w:color w:val="0D0D0D"/>
          <w:sz w:val="24"/>
          <w:szCs w:val="24"/>
          <w:highlight w:val="white"/>
        </w:rPr>
        <w:t xml:space="preserve">Advancements in quantum computing have intensified concerns regarding blockchain security. </w:t>
      </w:r>
      <w:r w:rsidRPr="008543FB">
        <w:rPr>
          <w:sz w:val="24"/>
          <w:szCs w:val="24"/>
        </w:rPr>
        <w:t>Galatsanos-Dueck (2024)</w:t>
      </w:r>
      <w:r w:rsidR="0002024C" w:rsidRPr="008543FB">
        <w:rPr>
          <w:sz w:val="24"/>
          <w:szCs w:val="24"/>
        </w:rPr>
        <w:t xml:space="preserve"> </w:t>
      </w:r>
      <w:r w:rsidRPr="008543FB">
        <w:rPr>
          <w:color w:val="0D0D0D"/>
          <w:sz w:val="24"/>
          <w:szCs w:val="24"/>
          <w:highlight w:val="white"/>
        </w:rPr>
        <w:t xml:space="preserve">argues that IBM’s Condor Quantum Processor, introduced in late 2024, features 1,121 qubits, marking a milestone in quantum research. Similarly, Google’s Willow Quantum Chip has demonstrated improvements in qubit coherence and error correction, addressing prior limitations in quantum stability </w:t>
      </w:r>
      <w:r w:rsidRPr="008543FB">
        <w:rPr>
          <w:sz w:val="24"/>
          <w:szCs w:val="24"/>
        </w:rPr>
        <w:t>(Olutimehin et al., 2025; Gbadebo et al., 2024)</w:t>
      </w:r>
      <w:r w:rsidRPr="008543FB">
        <w:rPr>
          <w:color w:val="0D0D0D"/>
          <w:sz w:val="24"/>
          <w:szCs w:val="24"/>
          <w:highlight w:val="white"/>
        </w:rPr>
        <w:t xml:space="preserve">. These developments highlight the rapid evolution of quantum capabilities, with major technology firms investing heavily in this </w:t>
      </w:r>
      <w:r w:rsidRPr="008543FB">
        <w:rPr>
          <w:color w:val="0D0D0D"/>
          <w:sz w:val="24"/>
          <w:szCs w:val="24"/>
          <w:highlight w:val="white"/>
        </w:rPr>
        <w:lastRenderedPageBreak/>
        <w:t>field. While quantum computing holds transformative potential in industries such as artificial intelligence and materials science, it also exposes vulnerabilities in widely used cryptographic standards, necessitating urgent countermeasures for blockchain security (Akhai &amp; Kumar, 2024; Joseph, 2024).</w:t>
      </w:r>
    </w:p>
    <w:p w14:paraId="64152180" w14:textId="754A37DC" w:rsidR="00905DBC" w:rsidRPr="008543FB" w:rsidRDefault="004534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color w:val="0D0D0D"/>
          <w:sz w:val="24"/>
          <w:szCs w:val="24"/>
          <w:highlight w:val="white"/>
        </w:rPr>
      </w:pPr>
      <w:r w:rsidRPr="008543FB">
        <w:rPr>
          <w:color w:val="0D0D0D"/>
          <w:sz w:val="24"/>
          <w:szCs w:val="24"/>
          <w:highlight w:val="white"/>
        </w:rPr>
        <w:t xml:space="preserve">A primary concern is the potential exploitation of Shor’s algorithm, which efficiently factors large prime numbers, rendering RSA and ECC encryption particularly vulnerable (Sood, 2024; Kolade et al., 2024). Studies indicate that a quantum computer with several thousand fault-tolerant qubits could decrypt RSA-2048 encryption within hours, posing severe risks to blockchain networks that rely on these cryptographic mechanisms for securing transactions, digital identities, and smart contracts (Shakib et al., 2025; van Daalen, 2024; Mayeke et al., 2024). While SHA-256 hashing remains relatively secure, Armah et al. (2024) </w:t>
      </w:r>
      <w:r w:rsidR="0002024C" w:rsidRPr="008543FB">
        <w:rPr>
          <w:color w:val="0D0D0D"/>
          <w:sz w:val="24"/>
          <w:szCs w:val="24"/>
          <w:highlight w:val="white"/>
        </w:rPr>
        <w:t>contend</w:t>
      </w:r>
      <w:r w:rsidRPr="008543FB">
        <w:rPr>
          <w:color w:val="0D0D0D"/>
          <w:sz w:val="24"/>
          <w:szCs w:val="24"/>
          <w:highlight w:val="white"/>
        </w:rPr>
        <w:t xml:space="preserve"> that Grover’s algorithm reduces the computational complexity of brute-force attacks, potentially undermining its long-term effectiveness.</w:t>
      </w:r>
    </w:p>
    <w:p w14:paraId="19B31779" w14:textId="1262934E" w:rsidR="00905DBC" w:rsidRPr="008543FB" w:rsidRDefault="004534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color w:val="0D0D0D"/>
          <w:sz w:val="24"/>
          <w:szCs w:val="24"/>
          <w:highlight w:val="white"/>
        </w:rPr>
      </w:pPr>
      <w:r w:rsidRPr="008543FB">
        <w:rPr>
          <w:color w:val="0D0D0D"/>
          <w:sz w:val="24"/>
          <w:szCs w:val="24"/>
          <w:highlight w:val="white"/>
        </w:rPr>
        <w:t xml:space="preserve">Despite the recognition of these risks, the financial sector remains largely unprepared for the quantum era. According to </w:t>
      </w:r>
      <w:r w:rsidRPr="008543FB">
        <w:rPr>
          <w:sz w:val="24"/>
          <w:szCs w:val="24"/>
        </w:rPr>
        <w:t>Adegbola et al. (2024)</w:t>
      </w:r>
      <w:r w:rsidR="0002024C" w:rsidRPr="008543FB">
        <w:rPr>
          <w:sz w:val="24"/>
          <w:szCs w:val="24"/>
        </w:rPr>
        <w:t>,</w:t>
      </w:r>
      <w:r w:rsidRPr="008543FB">
        <w:rPr>
          <w:sz w:val="24"/>
          <w:szCs w:val="24"/>
        </w:rPr>
        <w:t xml:space="preserve"> </w:t>
      </w:r>
      <w:r w:rsidRPr="008543FB">
        <w:rPr>
          <w:color w:val="0D0D0D"/>
          <w:sz w:val="24"/>
          <w:szCs w:val="24"/>
          <w:highlight w:val="white"/>
        </w:rPr>
        <w:t xml:space="preserve">only 15 percent of global financial institutions have implemented a quantum risk mitigation strategy, while 69 percent of blockchain infrastructures still rely on encryption methods susceptible to quantum decryption </w:t>
      </w:r>
      <w:r w:rsidRPr="008543FB">
        <w:rPr>
          <w:sz w:val="24"/>
          <w:szCs w:val="24"/>
        </w:rPr>
        <w:t>(Alagic et al., 2019; Obioha-Val et al., 2025)</w:t>
      </w:r>
      <w:r w:rsidRPr="008543FB">
        <w:rPr>
          <w:color w:val="0D0D0D"/>
          <w:sz w:val="24"/>
          <w:szCs w:val="24"/>
          <w:highlight w:val="white"/>
        </w:rPr>
        <w:t xml:space="preserve">. Additionally, </w:t>
      </w:r>
      <w:r w:rsidRPr="008543FB">
        <w:rPr>
          <w:sz w:val="24"/>
          <w:szCs w:val="24"/>
        </w:rPr>
        <w:t xml:space="preserve">Beck (2022) </w:t>
      </w:r>
      <w:r w:rsidRPr="008543FB">
        <w:rPr>
          <w:color w:val="0D0D0D"/>
          <w:sz w:val="24"/>
          <w:szCs w:val="24"/>
          <w:highlight w:val="white"/>
        </w:rPr>
        <w:t>revealed that only 32 percent of Fortune 500 financial firms have begun integrating quantum-safe encryption into their blockchain frameworks, underscoring the slow pace of adoption.</w:t>
      </w:r>
    </w:p>
    <w:p w14:paraId="06984CFC" w14:textId="37AE8D5F" w:rsidR="00905DBC" w:rsidRPr="008543FB" w:rsidRDefault="004534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color w:val="0D0D0D"/>
          <w:sz w:val="24"/>
          <w:szCs w:val="24"/>
          <w:highlight w:val="white"/>
        </w:rPr>
      </w:pPr>
      <w:r w:rsidRPr="008543FB">
        <w:rPr>
          <w:color w:val="0D0D0D"/>
          <w:sz w:val="24"/>
          <w:szCs w:val="24"/>
          <w:highlight w:val="white"/>
        </w:rPr>
        <w:t xml:space="preserve">Regulatory initiatives such as the National Institute of Standards and Technology’s (NIST) post-quantum cryptographic standardization offer a framework for securing blockchain networks. However, Joseph et al. (2022) </w:t>
      </w:r>
      <w:r w:rsidR="0002024C" w:rsidRPr="008543FB">
        <w:rPr>
          <w:color w:val="0D0D0D"/>
          <w:sz w:val="24"/>
          <w:szCs w:val="24"/>
          <w:highlight w:val="white"/>
        </w:rPr>
        <w:t>posit</w:t>
      </w:r>
      <w:r w:rsidRPr="008543FB">
        <w:rPr>
          <w:color w:val="0D0D0D"/>
          <w:sz w:val="24"/>
          <w:szCs w:val="24"/>
          <w:highlight w:val="white"/>
        </w:rPr>
        <w:t xml:space="preserve"> that the transition to quantum-resistant encryption remains slow. As quantum advancements continue, financial institutions must accelerate efforts to protect blockchain applications from emerging computational threats (Mosteanu &amp; Faccia, 2021; Olutimehin et al., 2025).</w:t>
      </w:r>
    </w:p>
    <w:p w14:paraId="1BCE12BA" w14:textId="77777777" w:rsidR="00905DBC" w:rsidRPr="008543FB" w:rsidRDefault="00453400">
      <w:pPr>
        <w:pStyle w:val="Heading3"/>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280" w:line="331" w:lineRule="auto"/>
        <w:jc w:val="both"/>
        <w:rPr>
          <w:b/>
          <w:color w:val="0D0D0D"/>
          <w:sz w:val="24"/>
          <w:szCs w:val="24"/>
          <w:highlight w:val="white"/>
        </w:rPr>
      </w:pPr>
      <w:bookmarkStart w:id="4" w:name="_kyam6hagkdk8" w:colFirst="0" w:colLast="0"/>
      <w:bookmarkEnd w:id="4"/>
      <w:r w:rsidRPr="008543FB">
        <w:rPr>
          <w:b/>
          <w:color w:val="0D0D0D"/>
          <w:sz w:val="24"/>
          <w:szCs w:val="24"/>
          <w:highlight w:val="white"/>
        </w:rPr>
        <w:t>Post-Quantum Cryptography and Quantum-Resistant Blockchain Architectures</w:t>
      </w:r>
    </w:p>
    <w:p w14:paraId="4BB11F5E" w14:textId="19083FC5" w:rsidR="00905DBC" w:rsidRPr="008543FB" w:rsidRDefault="004534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color w:val="0D0D0D"/>
          <w:sz w:val="24"/>
          <w:szCs w:val="24"/>
          <w:highlight w:val="white"/>
        </w:rPr>
      </w:pPr>
      <w:r w:rsidRPr="008543FB">
        <w:rPr>
          <w:color w:val="0D0D0D"/>
          <w:sz w:val="24"/>
          <w:szCs w:val="24"/>
          <w:highlight w:val="white"/>
        </w:rPr>
        <w:t xml:space="preserve">Post-quantum cryptography (PQC) has emerged as a critical solution to address the vulnerabilities that quantum computing poses to traditional encryption methods. Cryptographic systems such as RSA and ECC, which rely on integer factorization and </w:t>
      </w:r>
      <w:r w:rsidRPr="008543FB">
        <w:rPr>
          <w:color w:val="0D0D0D"/>
          <w:sz w:val="24"/>
          <w:szCs w:val="24"/>
          <w:highlight w:val="white"/>
        </w:rPr>
        <w:lastRenderedPageBreak/>
        <w:t xml:space="preserve">discrete logarithms, are at risk as quantum computers advance (Gitonga, 2025; Samuel-Okon et al., 2024). Allende et al. (2023) </w:t>
      </w:r>
      <w:r w:rsidR="0002024C" w:rsidRPr="008543FB">
        <w:rPr>
          <w:color w:val="0D0D0D"/>
          <w:sz w:val="24"/>
          <w:szCs w:val="24"/>
          <w:highlight w:val="white"/>
        </w:rPr>
        <w:t>argue</w:t>
      </w:r>
      <w:r w:rsidRPr="008543FB">
        <w:rPr>
          <w:color w:val="0D0D0D"/>
          <w:sz w:val="24"/>
          <w:szCs w:val="24"/>
          <w:highlight w:val="white"/>
        </w:rPr>
        <w:t xml:space="preserve"> that blockchain networks, which depend on cryptographic immutability for transaction security, face significant threats from quantum attacks. Consequently, cybersecurity researchers emphasize transitioning to PQC to maintain confidentiality, integrity, and authentication in blockchain systems (Gharavi et al., 2024; Oliva del Moral et al., 2024; Val et al., 2024).</w:t>
      </w:r>
    </w:p>
    <w:p w14:paraId="650D4305" w14:textId="6A6ED529" w:rsidR="00905DBC" w:rsidRPr="008543FB" w:rsidRDefault="004534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color w:val="0D0D0D"/>
          <w:sz w:val="24"/>
          <w:szCs w:val="24"/>
          <w:highlight w:val="white"/>
        </w:rPr>
      </w:pPr>
      <w:r w:rsidRPr="008543FB">
        <w:rPr>
          <w:color w:val="0D0D0D"/>
          <w:sz w:val="24"/>
          <w:szCs w:val="24"/>
          <w:highlight w:val="white"/>
        </w:rPr>
        <w:t xml:space="preserve">The National Institute of Standards and Technology (NIST) has led global efforts to standardize PQC. After years of evaluation, NIST finalized a set of quantum-resistant algorithms in 2024, selecting those that balance security and computational efficiency (NIST, 2024). </w:t>
      </w:r>
      <w:r w:rsidR="0002024C" w:rsidRPr="008543FB">
        <w:rPr>
          <w:color w:val="0D0D0D"/>
          <w:sz w:val="24"/>
          <w:szCs w:val="24"/>
          <w:highlight w:val="white"/>
        </w:rPr>
        <w:t xml:space="preserve">As exemplified by Kyber and Dilithium, Lattice-based cryptography </w:t>
      </w:r>
      <w:r w:rsidRPr="008543FB">
        <w:rPr>
          <w:color w:val="0D0D0D"/>
          <w:sz w:val="24"/>
          <w:szCs w:val="24"/>
          <w:highlight w:val="white"/>
        </w:rPr>
        <w:t xml:space="preserve">has gained prominence for its resilience against quantum attacks while maintaining practical feasibility (Mansoor et al., 2024; Salako et al., 2024). Hash-based cryptography, including SPHINCS+, offers quantum-safe digital signatures, though large signature sizes may affect computational performance (Dziechciarz &amp; Niemiec, 2024). Code-based cryptography, such as the McEliece encryption scheme, provides long-established security but faces scalability challenges due to large key sizes (Kichna &amp; Farchane, 2023). Irshad et al. (2023) </w:t>
      </w:r>
      <w:r w:rsidR="0002024C" w:rsidRPr="008543FB">
        <w:rPr>
          <w:color w:val="0D0D0D"/>
          <w:sz w:val="24"/>
          <w:szCs w:val="24"/>
          <w:highlight w:val="white"/>
        </w:rPr>
        <w:t>posit</w:t>
      </w:r>
      <w:r w:rsidRPr="008543FB">
        <w:rPr>
          <w:color w:val="0D0D0D"/>
          <w:sz w:val="24"/>
          <w:szCs w:val="24"/>
          <w:highlight w:val="white"/>
        </w:rPr>
        <w:t xml:space="preserve"> that a hybrid approach, integrating multiple PQC techniques, may provide the most viable solution for blockchain security.</w:t>
      </w:r>
    </w:p>
    <w:p w14:paraId="48D109E8" w14:textId="77777777" w:rsidR="00905DBC" w:rsidRPr="008543FB" w:rsidRDefault="004534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color w:val="0D0D0D"/>
          <w:sz w:val="24"/>
          <w:szCs w:val="24"/>
          <w:highlight w:val="white"/>
        </w:rPr>
      </w:pPr>
      <w:r w:rsidRPr="008543FB">
        <w:rPr>
          <w:color w:val="0D0D0D"/>
          <w:sz w:val="24"/>
          <w:szCs w:val="24"/>
          <w:highlight w:val="white"/>
        </w:rPr>
        <w:t xml:space="preserve">Integrating PQC into blockchain networks requires replacing vulnerable cryptographic protocols with quantum-resistant alternatives. Marchsreiter (2025) asserts that blockchain developers must implement PQC in transaction validation, smart contract security, and digital identity verification to protect financial operations. Research initiatives such as Project Leap and SEALSQ’s quantum-secure blockchain frameworks demonstrate PQC’s feasibility in financial applications </w:t>
      </w:r>
      <w:r w:rsidRPr="008543FB">
        <w:rPr>
          <w:sz w:val="24"/>
          <w:szCs w:val="24"/>
        </w:rPr>
        <w:t xml:space="preserve"> (BIS, 2024; SEALSQ, 2025)</w:t>
      </w:r>
      <w:r w:rsidRPr="008543FB">
        <w:rPr>
          <w:color w:val="0D0D0D"/>
          <w:sz w:val="24"/>
          <w:szCs w:val="24"/>
          <w:highlight w:val="white"/>
        </w:rPr>
        <w:t>. However, implementation challenges remain, including computational overhead, backward compatibility, and interoperability concerns. Ensuring that PQC solutions align with existing cryptographic standards is a critical issue for financial institutions, while the lack of universal regulatory mandates further complicates widespread adoption (Geremew &amp; Mohammad, 2024).</w:t>
      </w:r>
    </w:p>
    <w:p w14:paraId="1675E320" w14:textId="1A87303B" w:rsidR="00905DBC" w:rsidRPr="008543FB" w:rsidRDefault="00F31422">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color w:val="0D0D0D"/>
          <w:sz w:val="24"/>
          <w:szCs w:val="24"/>
          <w:highlight w:val="white"/>
        </w:rPr>
      </w:pPr>
      <w:r w:rsidRPr="008543FB">
        <w:rPr>
          <w:color w:val="0D0D0D"/>
          <w:sz w:val="24"/>
          <w:szCs w:val="24"/>
          <w:highlight w:val="white"/>
        </w:rPr>
        <w:t>Financial institutions remain unprepared for large-scale quantum threats despite increasing awareness of quantum risks</w:t>
      </w:r>
      <w:r w:rsidR="00453400" w:rsidRPr="008543FB">
        <w:rPr>
          <w:color w:val="0D0D0D"/>
          <w:sz w:val="24"/>
          <w:szCs w:val="24"/>
          <w:highlight w:val="white"/>
        </w:rPr>
        <w:t xml:space="preserve">. </w:t>
      </w:r>
      <w:r w:rsidR="00453400" w:rsidRPr="008543FB">
        <w:rPr>
          <w:sz w:val="24"/>
          <w:szCs w:val="24"/>
        </w:rPr>
        <w:t xml:space="preserve">Adegbola et al. (2024) </w:t>
      </w:r>
      <w:r w:rsidR="00453400" w:rsidRPr="008543FB">
        <w:rPr>
          <w:color w:val="0D0D0D"/>
          <w:sz w:val="24"/>
          <w:szCs w:val="24"/>
          <w:highlight w:val="white"/>
        </w:rPr>
        <w:t xml:space="preserve">found that only 15 percent of global financial institutions have formulated a quantum risk mitigation strategy, while 69 percent of blockchain infrastructures still rely on encryption susceptible to quantum </w:t>
      </w:r>
      <w:r w:rsidR="00453400" w:rsidRPr="008543FB">
        <w:rPr>
          <w:color w:val="0D0D0D"/>
          <w:sz w:val="24"/>
          <w:szCs w:val="24"/>
          <w:highlight w:val="white"/>
        </w:rPr>
        <w:lastRenderedPageBreak/>
        <w:t xml:space="preserve">decryption </w:t>
      </w:r>
      <w:r w:rsidR="00453400" w:rsidRPr="008543FB">
        <w:rPr>
          <w:sz w:val="24"/>
          <w:szCs w:val="24"/>
        </w:rPr>
        <w:t xml:space="preserve"> (Alagic et al., 2019)</w:t>
      </w:r>
      <w:r w:rsidRPr="008543FB">
        <w:rPr>
          <w:sz w:val="24"/>
          <w:szCs w:val="24"/>
        </w:rPr>
        <w:t>.</w:t>
      </w:r>
      <w:r w:rsidR="00453400" w:rsidRPr="008543FB">
        <w:rPr>
          <w:color w:val="0D0D0D"/>
          <w:sz w:val="24"/>
          <w:szCs w:val="24"/>
          <w:highlight w:val="white"/>
        </w:rPr>
        <w:t xml:space="preserve"> Similarly, </w:t>
      </w:r>
      <w:r w:rsidR="00453400" w:rsidRPr="008543FB">
        <w:rPr>
          <w:sz w:val="24"/>
          <w:szCs w:val="24"/>
        </w:rPr>
        <w:t>Beck (2022)</w:t>
      </w:r>
      <w:r w:rsidR="00453400" w:rsidRPr="008543FB">
        <w:rPr>
          <w:color w:val="0D0D0D"/>
          <w:sz w:val="24"/>
          <w:szCs w:val="24"/>
          <w:highlight w:val="white"/>
        </w:rPr>
        <w:t xml:space="preserve"> revealed that only 32 percent of Fortune 500 financial firms have begun integrating quantum-safe encryption into their blockchain frameworks. Geremew and Mohammad (2024) </w:t>
      </w:r>
      <w:r w:rsidRPr="008543FB">
        <w:rPr>
          <w:color w:val="0D0D0D"/>
          <w:sz w:val="24"/>
          <w:szCs w:val="24"/>
          <w:highlight w:val="white"/>
        </w:rPr>
        <w:t>argue</w:t>
      </w:r>
      <w:r w:rsidR="00453400" w:rsidRPr="008543FB">
        <w:rPr>
          <w:color w:val="0D0D0D"/>
          <w:sz w:val="24"/>
          <w:szCs w:val="24"/>
          <w:highlight w:val="white"/>
        </w:rPr>
        <w:t xml:space="preserve"> that while NIST’s PQC standardization provides a structured approach, financial institutions must accelerate adoption efforts to ensure long-term security. As quantum computing progresses, blockchain systems must evolve to safeguard financial transactions from emerging cryptographic threats.</w:t>
      </w:r>
    </w:p>
    <w:p w14:paraId="4396EDEF" w14:textId="77777777" w:rsidR="00905DBC" w:rsidRPr="008543FB" w:rsidRDefault="00453400">
      <w:pPr>
        <w:pStyle w:val="Heading3"/>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280" w:line="331" w:lineRule="auto"/>
        <w:jc w:val="both"/>
        <w:rPr>
          <w:b/>
          <w:color w:val="0D0D0D"/>
          <w:sz w:val="24"/>
          <w:szCs w:val="24"/>
          <w:highlight w:val="white"/>
        </w:rPr>
      </w:pPr>
      <w:bookmarkStart w:id="5" w:name="_pt4tpkv8g51g" w:colFirst="0" w:colLast="0"/>
      <w:bookmarkEnd w:id="5"/>
      <w:r w:rsidRPr="008543FB">
        <w:rPr>
          <w:b/>
          <w:color w:val="0D0D0D"/>
          <w:sz w:val="24"/>
          <w:szCs w:val="24"/>
          <w:highlight w:val="white"/>
        </w:rPr>
        <w:t>Financial Institutions’ Readiness for Quantum-Resistant Blockchain Security</w:t>
      </w:r>
    </w:p>
    <w:p w14:paraId="1032C338" w14:textId="1EAC8CE9" w:rsidR="00905DBC" w:rsidRPr="008543FB" w:rsidRDefault="004534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color w:val="0D0D0D"/>
          <w:sz w:val="24"/>
          <w:szCs w:val="24"/>
          <w:highlight w:val="white"/>
        </w:rPr>
      </w:pPr>
      <w:r w:rsidRPr="008543FB">
        <w:rPr>
          <w:color w:val="0D0D0D"/>
          <w:sz w:val="24"/>
          <w:szCs w:val="24"/>
          <w:highlight w:val="white"/>
        </w:rPr>
        <w:t xml:space="preserve">The growing awareness of quantum threats has prompted financial institutions to explore quantum-resistant security measures, yet preparedness remains inconsistent across the industry. Banks, fintech companies, and blockchain networks have begun testing post-quantum cryptographic solutions to safeguard financial transactions. Major banks have partnered with cryptographic research institutions to evaluate quantum-resistant encryption protocols, while fintech firms have integrated early-stage quantum-safe security models into blockchain-based payment systems. Allende et al. (2023) </w:t>
      </w:r>
      <w:r w:rsidR="00F31422" w:rsidRPr="008543FB">
        <w:rPr>
          <w:color w:val="0D0D0D"/>
          <w:sz w:val="24"/>
          <w:szCs w:val="24"/>
          <w:highlight w:val="white"/>
        </w:rPr>
        <w:t>contend</w:t>
      </w:r>
      <w:r w:rsidRPr="008543FB">
        <w:rPr>
          <w:color w:val="0D0D0D"/>
          <w:sz w:val="24"/>
          <w:szCs w:val="24"/>
          <w:highlight w:val="white"/>
        </w:rPr>
        <w:t xml:space="preserve"> that blockchain networks supporting financial services, such as Ethereum’s planned transition to quantum-resistant cryptographic signatures and Hyperledger’s research into lattice-based encryption, exemplify the sector’s movement toward post-quantum readiness. However, these initiatives remain in the research and pilot phases rather than full-scale deployment.</w:t>
      </w:r>
    </w:p>
    <w:p w14:paraId="0677E336" w14:textId="7B28F79A" w:rsidR="00905DBC" w:rsidRPr="008543FB" w:rsidRDefault="004534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color w:val="0D0D0D"/>
          <w:sz w:val="24"/>
          <w:szCs w:val="24"/>
          <w:highlight w:val="white"/>
        </w:rPr>
      </w:pPr>
      <w:r w:rsidRPr="008543FB">
        <w:rPr>
          <w:color w:val="0D0D0D"/>
          <w:sz w:val="24"/>
          <w:szCs w:val="24"/>
          <w:highlight w:val="white"/>
        </w:rPr>
        <w:t xml:space="preserve">Investment in post-quantum cryptographic solutions has intensified as financial institutions recognize the existential threat posed by quantum computing. JPMorgan, Goldman Sachs, and Citibank have collectively allocated substantial resources toward quantum-resistant security strategies, with a significant portion directed toward blockchain security enhancements </w:t>
      </w:r>
      <w:r w:rsidRPr="008543FB">
        <w:rPr>
          <w:sz w:val="24"/>
          <w:szCs w:val="24"/>
        </w:rPr>
        <w:t>(Wewege et al., 2020).</w:t>
      </w:r>
      <w:r w:rsidRPr="008543FB">
        <w:rPr>
          <w:color w:val="0D0D0D"/>
          <w:sz w:val="24"/>
          <w:szCs w:val="24"/>
          <w:highlight w:val="white"/>
        </w:rPr>
        <w:t xml:space="preserve"> How and Cheah (2023) posits that JPMorgan’s research into Quantum Key Distribution (QKD) demonstrates a commitment to leveraging quantum-secure communication channels for financial transactions, while Goldman Sachs has invested in cryptographic firms specializing in post-quantum algorithms. Similarly</w:t>
      </w:r>
      <w:r w:rsidR="00F31422" w:rsidRPr="008543FB">
        <w:rPr>
          <w:color w:val="0D0D0D"/>
          <w:sz w:val="24"/>
          <w:szCs w:val="24"/>
          <w:highlight w:val="white"/>
        </w:rPr>
        <w:t xml:space="preserve">, in collaboration with quantum computing researchers, Citibank </w:t>
      </w:r>
      <w:r w:rsidRPr="008543FB">
        <w:rPr>
          <w:color w:val="0D0D0D"/>
          <w:sz w:val="24"/>
          <w:szCs w:val="24"/>
          <w:highlight w:val="white"/>
        </w:rPr>
        <w:t xml:space="preserve">has initiated experimental projects integrating post-quantum encryption into its digital banking infrastructure (Rajagopalan et al., 2024). Although these </w:t>
      </w:r>
      <w:r w:rsidRPr="008543FB">
        <w:rPr>
          <w:color w:val="0D0D0D"/>
          <w:sz w:val="24"/>
          <w:szCs w:val="24"/>
          <w:highlight w:val="white"/>
        </w:rPr>
        <w:lastRenderedPageBreak/>
        <w:t>investments reflect growing industry awareness, cybersecurity analysts argue that a broader regulatory push is necessary to accelerate adoption across financial systems.</w:t>
      </w:r>
    </w:p>
    <w:p w14:paraId="40543402" w14:textId="34DB6D2B" w:rsidR="00905DBC" w:rsidRPr="008543FB" w:rsidRDefault="004534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color w:val="0D0D0D"/>
          <w:sz w:val="24"/>
          <w:szCs w:val="24"/>
          <w:highlight w:val="white"/>
        </w:rPr>
      </w:pPr>
      <w:r w:rsidRPr="008543FB">
        <w:rPr>
          <w:color w:val="0D0D0D"/>
          <w:sz w:val="24"/>
          <w:szCs w:val="24"/>
          <w:highlight w:val="white"/>
        </w:rPr>
        <w:t xml:space="preserve">Project Leap, an initiative led by the Bank for International Settlements (BIS) in collaboration with the Bank of France and Deutsche Bundesbank, represents a critical effort in quantum security preparedness. </w:t>
      </w:r>
      <w:r w:rsidRPr="008543FB">
        <w:rPr>
          <w:sz w:val="24"/>
          <w:szCs w:val="24"/>
        </w:rPr>
        <w:t>Wewege et al. (2020)</w:t>
      </w:r>
      <w:r w:rsidR="00F31422" w:rsidRPr="008543FB">
        <w:rPr>
          <w:sz w:val="24"/>
          <w:szCs w:val="24"/>
        </w:rPr>
        <w:t xml:space="preserve"> </w:t>
      </w:r>
      <w:r w:rsidR="00F31422" w:rsidRPr="008543FB">
        <w:rPr>
          <w:color w:val="0D0D0D"/>
          <w:sz w:val="24"/>
          <w:szCs w:val="24"/>
          <w:highlight w:val="white"/>
        </w:rPr>
        <w:t>assert</w:t>
      </w:r>
      <w:r w:rsidRPr="008543FB">
        <w:rPr>
          <w:color w:val="0D0D0D"/>
          <w:sz w:val="24"/>
          <w:szCs w:val="24"/>
          <w:highlight w:val="white"/>
        </w:rPr>
        <w:t xml:space="preserve"> that this project focuses on developing quantum-resistant cryptographic techniques for central banks, ensuring national financial infrastructures remain secure in a post-quantum era. By prioritizing research into quantum-safe blockchain architectures and fostering knowledge-sharing among global central banks, Project Leap underscores the urgency of proactive mitigation efforts. However, critics argue that while such initiatives contribute to research advancements, few central banks have implemented concrete post-quantum security frameworks in active financial systems (Nili et al., 2024; Moody's, 2023).</w:t>
      </w:r>
    </w:p>
    <w:p w14:paraId="795BFCB3" w14:textId="77777777" w:rsidR="00905DBC" w:rsidRPr="008543FB" w:rsidRDefault="004534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color w:val="0D0D0D"/>
          <w:sz w:val="24"/>
          <w:szCs w:val="24"/>
          <w:highlight w:val="white"/>
        </w:rPr>
      </w:pPr>
      <w:r w:rsidRPr="008543FB">
        <w:rPr>
          <w:color w:val="0D0D0D"/>
          <w:sz w:val="24"/>
          <w:szCs w:val="24"/>
          <w:highlight w:val="white"/>
        </w:rPr>
        <w:t>Despite increased investments and research initiatives, financial institutions face challenges in transitioning to post-quantum cryptography. Wang et al. (2024) contends that economic constraints pose a significant obstacle, as upgrading blockchain security frameworks requires substantial financial resources. Smaller banks and emerging fintech firms often struggle with the cost implications of adopting new cryptographic models. Furthermore, technological integration hurdles complicate the transition, as existing blockchain networks were not designed with quantum resistance in mind. Workforce training presents an additional challenge, as cybersecurity professionals must develop expertise in post-quantum cryptographic techniques to manage these solutions effectively (Geremew &amp; Mohammad, 2024).</w:t>
      </w:r>
    </w:p>
    <w:p w14:paraId="58FA6646" w14:textId="77777777" w:rsidR="00905DBC" w:rsidRPr="008543FB" w:rsidRDefault="004534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color w:val="0D0D0D"/>
          <w:sz w:val="24"/>
          <w:szCs w:val="24"/>
          <w:highlight w:val="white"/>
        </w:rPr>
      </w:pPr>
      <w:r w:rsidRPr="008543FB">
        <w:rPr>
          <w:color w:val="0D0D0D"/>
          <w:sz w:val="24"/>
          <w:szCs w:val="24"/>
          <w:highlight w:val="white"/>
        </w:rPr>
        <w:t>As quantum computing continues to advance, financial institutions must accelerate their transition to quantum-resistant blockchain architectures. While ongoing investments and research initiatives indicate progress, Javaid et al. (2024) argues that the disparity in readiness levels highlights the need for a coordinated global effort. Without immediate regulatory action and industry-wide collaboration, financial institutions risk being unprepared for the inevitable disruption posed by quantum computing advancements (Marchant et al., 2024).</w:t>
      </w:r>
    </w:p>
    <w:p w14:paraId="19326007" w14:textId="77777777" w:rsidR="00905DBC" w:rsidRPr="008543FB" w:rsidRDefault="00453400">
      <w:pPr>
        <w:pStyle w:val="Heading3"/>
        <w:keepNext w:val="0"/>
        <w:keepLines w:val="0"/>
        <w:spacing w:before="280"/>
        <w:jc w:val="both"/>
        <w:rPr>
          <w:rFonts w:eastAsia="Roboto"/>
          <w:b/>
          <w:color w:val="0D0D0D"/>
          <w:sz w:val="24"/>
          <w:szCs w:val="24"/>
          <w:highlight w:val="white"/>
        </w:rPr>
      </w:pPr>
      <w:bookmarkStart w:id="6" w:name="_szjs5gig6s1o" w:colFirst="0" w:colLast="0"/>
      <w:bookmarkEnd w:id="6"/>
      <w:r w:rsidRPr="008543FB">
        <w:rPr>
          <w:rFonts w:eastAsia="Roboto"/>
          <w:b/>
          <w:color w:val="0D0D0D"/>
          <w:sz w:val="24"/>
          <w:szCs w:val="24"/>
          <w:highlight w:val="white"/>
        </w:rPr>
        <w:t>Global Regulatory and Compliance Efforts on Quantum-Resistant Cryptography</w:t>
      </w:r>
    </w:p>
    <w:p w14:paraId="3C9AA2CB" w14:textId="77777777" w:rsidR="00905DBC" w:rsidRPr="008543FB" w:rsidRDefault="00453400">
      <w:pPr>
        <w:spacing w:before="240" w:after="240"/>
        <w:jc w:val="both"/>
        <w:rPr>
          <w:rFonts w:eastAsia="Roboto"/>
          <w:color w:val="0D0D0D"/>
          <w:sz w:val="24"/>
          <w:szCs w:val="24"/>
          <w:highlight w:val="white"/>
        </w:rPr>
      </w:pPr>
      <w:r w:rsidRPr="008543FB">
        <w:rPr>
          <w:rFonts w:eastAsia="Roboto"/>
          <w:color w:val="0D0D0D"/>
          <w:sz w:val="24"/>
          <w:szCs w:val="24"/>
          <w:highlight w:val="white"/>
        </w:rPr>
        <w:lastRenderedPageBreak/>
        <w:t>The rapid advancement of quantum computing has prompted regulators worldwide to implement measures aimed at mitigating risks to cryptographic security, particularly in financial data governance. Governments and regulatory bodies recognize the urgency of transitioning to quantum-resistant encryption, as traditional cryptographic methods risk obsolescence (Mthembu &amp; Smith, 2024). However, Shandilya et al. (2024) argues that enforcement levels and industry adoption remain inconsistent across jurisdictions, creating disparities in security preparedness. Analysts contend that despite increasing awareness, the financial sector lacks a uniform regulatory framework for post-quantum cryptographic (PQC) integration, leading to variations in adoption across regions (Sood, 2024; Gharavi et al., 2024).</w:t>
      </w:r>
    </w:p>
    <w:p w14:paraId="13640CB5" w14:textId="77777777" w:rsidR="00905DBC" w:rsidRPr="008543FB" w:rsidRDefault="00453400">
      <w:pPr>
        <w:spacing w:before="240" w:after="240"/>
        <w:jc w:val="both"/>
        <w:rPr>
          <w:rFonts w:eastAsia="Roboto"/>
          <w:color w:val="0D0D0D"/>
          <w:sz w:val="24"/>
          <w:szCs w:val="24"/>
          <w:highlight w:val="white"/>
        </w:rPr>
      </w:pPr>
      <w:r w:rsidRPr="008543FB">
        <w:rPr>
          <w:rFonts w:eastAsia="Roboto"/>
          <w:color w:val="0D0D0D"/>
          <w:sz w:val="24"/>
          <w:szCs w:val="24"/>
          <w:highlight w:val="white"/>
        </w:rPr>
        <w:t>In the United States, the Quantum Computing Cybersecurity Preparedness Act (2023) mandates federal agencies to transition to quantum-resistant encryption standards (</w:t>
      </w:r>
      <w:r w:rsidRPr="008543FB">
        <w:rPr>
          <w:sz w:val="24"/>
          <w:szCs w:val="24"/>
        </w:rPr>
        <w:t>Congress. Gov, 2021)</w:t>
      </w:r>
      <w:r w:rsidRPr="008543FB">
        <w:rPr>
          <w:rFonts w:eastAsia="Roboto"/>
          <w:color w:val="0D0D0D"/>
          <w:sz w:val="24"/>
          <w:szCs w:val="24"/>
          <w:highlight w:val="white"/>
        </w:rPr>
        <w:t>. Scholten et al. (2024) posits that this legislation prioritizes cryptographic asset inventorying and accelerates the adoption of National Institute of Standards and Technology (NIST)-approved PQC algorithms. While the financial sector has initiated quantum-risk assessments, critics argue that implementation remains slow due to budgetary and operational constraints (Dekker &amp; Martin-Bariteau, 2022; Mironowicz et al., 2024; Gitonga, 2025). Similarly, the European Union’s Digital Finance Strategy (2024) requires banks to begin testing post-quantum cryptographic models by 2026 (</w:t>
      </w:r>
      <w:r w:rsidRPr="008543FB">
        <w:rPr>
          <w:sz w:val="24"/>
          <w:szCs w:val="24"/>
        </w:rPr>
        <w:t>EBA, 2025)</w:t>
      </w:r>
      <w:r w:rsidRPr="008543FB">
        <w:rPr>
          <w:rFonts w:eastAsia="Roboto"/>
          <w:color w:val="0D0D0D"/>
          <w:sz w:val="24"/>
          <w:szCs w:val="24"/>
          <w:highlight w:val="white"/>
        </w:rPr>
        <w:t>. This regulatory approach demonstrates proactive enforcement, yet concerns persist regarding the readiness of smaller financial institutions that may struggle with compliance costs.</w:t>
      </w:r>
    </w:p>
    <w:p w14:paraId="00482FC2" w14:textId="77777777" w:rsidR="00905DBC" w:rsidRPr="008543FB" w:rsidRDefault="00453400">
      <w:pPr>
        <w:spacing w:before="240" w:after="240"/>
        <w:jc w:val="both"/>
        <w:rPr>
          <w:rFonts w:eastAsia="Roboto"/>
          <w:color w:val="0D0D0D"/>
          <w:sz w:val="24"/>
          <w:szCs w:val="24"/>
          <w:highlight w:val="white"/>
        </w:rPr>
      </w:pPr>
      <w:r w:rsidRPr="008543FB">
        <w:rPr>
          <w:rFonts w:eastAsia="Roboto"/>
          <w:color w:val="0D0D0D"/>
          <w:sz w:val="24"/>
          <w:szCs w:val="24"/>
          <w:highlight w:val="white"/>
        </w:rPr>
        <w:t>China has adopted a structured approach to quantum security through its National Blockchain Plan, outlining a phased transition to quantum-resistant cryptography in state-backed financial networks (Swayne, 2025). PwC (2019) asserts that integrating PQC into central bank digital currencies (CBDCs) positions China at the forefront of quantum security adoption. Meanwhile, the G7 Cyber Expert Group has taken an advisory role, issuing recommendations for financial institutions to assess quantum risks and develop transition plans (U.S. Department of the Treasury, 2024). While these guidelines facilitate international discussions, analysts argue that the absence of binding enforcement mechanisms limits their effectiveness (Wewege et al., 2020; U.S. Department of the Treasury, 2024; Swayne, 2025).</w:t>
      </w:r>
    </w:p>
    <w:p w14:paraId="6C5CDB33" w14:textId="77777777" w:rsidR="00905DBC" w:rsidRPr="008543FB" w:rsidRDefault="00453400">
      <w:pPr>
        <w:spacing w:before="240" w:after="240"/>
        <w:jc w:val="both"/>
        <w:rPr>
          <w:rFonts w:eastAsia="Roboto"/>
          <w:color w:val="0D0D0D"/>
          <w:sz w:val="24"/>
          <w:szCs w:val="24"/>
          <w:highlight w:val="white"/>
        </w:rPr>
      </w:pPr>
      <w:r w:rsidRPr="008543FB">
        <w:rPr>
          <w:rFonts w:eastAsia="Roboto"/>
          <w:color w:val="0D0D0D"/>
          <w:sz w:val="24"/>
          <w:szCs w:val="24"/>
          <w:highlight w:val="white"/>
        </w:rPr>
        <w:t xml:space="preserve">Beyond national regulations, global collaboration has played a vital role in standardizing quantum-resistant encryption. NIST’s Post-Quantum Cryptography Standardization Project fosters international cooperation by defining cryptographic algorithms for the post-quantum era (NIST, 2024). Similarly, industry-led initiatives such as the Global Post-Quantum Cryptography Alliance promote best practices for PQC adoption. Despite these efforts, regulatory inconsistencies remain a challenge, necessitating a unified global </w:t>
      </w:r>
      <w:r w:rsidRPr="008543FB">
        <w:rPr>
          <w:rFonts w:eastAsia="Roboto"/>
          <w:color w:val="0D0D0D"/>
          <w:sz w:val="24"/>
          <w:szCs w:val="24"/>
          <w:highlight w:val="white"/>
        </w:rPr>
        <w:lastRenderedPageBreak/>
        <w:t>framework to ensure the widespread implementation of quantum-resistant cryptographic solutions in financial ecosystems (Firmansyah &amp; Bansal, 2024).</w:t>
      </w:r>
    </w:p>
    <w:p w14:paraId="4152166F" w14:textId="50956F96" w:rsidR="00905DBC" w:rsidRPr="008543FB" w:rsidRDefault="003B7EF2">
      <w:pPr>
        <w:pStyle w:val="Heading3"/>
        <w:keepNext w:val="0"/>
        <w:keepLines w:val="0"/>
        <w:spacing w:before="280"/>
        <w:jc w:val="both"/>
        <w:rPr>
          <w:rFonts w:eastAsia="Roboto"/>
          <w:b/>
          <w:color w:val="0D0D0D"/>
          <w:sz w:val="24"/>
          <w:szCs w:val="24"/>
          <w:highlight w:val="white"/>
        </w:rPr>
      </w:pPr>
      <w:bookmarkStart w:id="7" w:name="_8u4vxp3301qz" w:colFirst="0" w:colLast="0"/>
      <w:bookmarkEnd w:id="7"/>
      <w:r w:rsidRPr="008543FB">
        <w:rPr>
          <w:rFonts w:eastAsia="Roboto"/>
          <w:b/>
          <w:color w:val="0D0D0D"/>
          <w:sz w:val="24"/>
          <w:szCs w:val="24"/>
          <w:highlight w:val="white"/>
        </w:rPr>
        <w:t>3.</w:t>
      </w:r>
      <w:r w:rsidRPr="008543FB">
        <w:rPr>
          <w:rFonts w:eastAsia="Roboto"/>
          <w:b/>
          <w:color w:val="0D0D0D"/>
          <w:sz w:val="24"/>
          <w:szCs w:val="24"/>
          <w:highlight w:val="white"/>
        </w:rPr>
        <w:tab/>
      </w:r>
      <w:r w:rsidR="00453400" w:rsidRPr="008543FB">
        <w:rPr>
          <w:rFonts w:eastAsia="Roboto"/>
          <w:b/>
          <w:color w:val="0D0D0D"/>
          <w:sz w:val="24"/>
          <w:szCs w:val="24"/>
          <w:highlight w:val="white"/>
        </w:rPr>
        <w:t>Methodology</w:t>
      </w:r>
    </w:p>
    <w:p w14:paraId="05337F90" w14:textId="77777777" w:rsidR="00905DBC" w:rsidRPr="008543FB" w:rsidRDefault="00453400">
      <w:pPr>
        <w:spacing w:before="240" w:after="240"/>
        <w:jc w:val="both"/>
        <w:rPr>
          <w:rFonts w:eastAsia="Roboto"/>
          <w:color w:val="0D0D0D"/>
          <w:sz w:val="24"/>
          <w:szCs w:val="24"/>
          <w:highlight w:val="white"/>
        </w:rPr>
      </w:pPr>
      <w:r w:rsidRPr="008543FB">
        <w:rPr>
          <w:rFonts w:eastAsia="Roboto"/>
          <w:color w:val="0D0D0D"/>
          <w:sz w:val="24"/>
          <w:szCs w:val="24"/>
          <w:highlight w:val="white"/>
        </w:rPr>
        <w:t>This study employs a quantitative approach to analyze blockchain cryptographic vulnerabilities, evaluate post-quantum cryptographic models, assess financial institutions’ preparedness, and examine global regulatory compliance for quantum-resistant security. Publicly available datasets from the National Institute of Standards and Technology (NIST), World Bank, and International Monetary Fund (IMF) are utilized for data-driven analysis.</w:t>
      </w:r>
    </w:p>
    <w:p w14:paraId="23B1659F" w14:textId="77777777" w:rsidR="00905DBC" w:rsidRPr="008543FB" w:rsidRDefault="00453400">
      <w:pPr>
        <w:spacing w:before="240" w:after="240"/>
        <w:jc w:val="both"/>
        <w:rPr>
          <w:rFonts w:eastAsia="Roboto"/>
          <w:color w:val="0D0D0D"/>
          <w:sz w:val="24"/>
          <w:szCs w:val="24"/>
          <w:highlight w:val="white"/>
        </w:rPr>
      </w:pPr>
      <w:r w:rsidRPr="008543FB">
        <w:rPr>
          <w:rFonts w:eastAsia="Roboto"/>
          <w:color w:val="0D0D0D"/>
          <w:sz w:val="24"/>
          <w:szCs w:val="24"/>
          <w:highlight w:val="white"/>
        </w:rPr>
        <w:t>Cryptographic vulnerabilities are assessed using the NIST Cryptographic Algorithm Vulnerability Dataset, focusing on the computational complexity of quantum decryption. The time complexity functions for Shor’s and Grover’s algorithms quantify the efficiency of quantum attacks against RSA, ECC, and SHA-256. Post-quantum cryptographic models are evaluated using the NIST Post-Quantum Cryptography Standardization Dataset, analyzing encryption and decryption efficiency, key size, and computational overhead relative to traditional cryptographic schemes.</w:t>
      </w:r>
    </w:p>
    <w:p w14:paraId="679441FA" w14:textId="77777777" w:rsidR="00905DBC" w:rsidRPr="008543FB" w:rsidRDefault="00453400">
      <w:pPr>
        <w:spacing w:before="240" w:after="240"/>
        <w:jc w:val="both"/>
        <w:rPr>
          <w:rFonts w:eastAsia="Roboto"/>
          <w:color w:val="0D0D0D"/>
          <w:sz w:val="24"/>
          <w:szCs w:val="24"/>
          <w:highlight w:val="white"/>
        </w:rPr>
      </w:pPr>
      <w:r w:rsidRPr="008543FB">
        <w:rPr>
          <w:rFonts w:eastAsia="Roboto"/>
          <w:color w:val="0D0D0D"/>
          <w:sz w:val="24"/>
          <w:szCs w:val="24"/>
          <w:highlight w:val="white"/>
        </w:rPr>
        <w:t>Fin</w:t>
      </w:r>
      <w:r w:rsidR="001D52D4" w:rsidRPr="008543FB">
        <w:rPr>
          <w:rFonts w:eastAsia="Roboto"/>
          <w:color w:val="0D0D0D"/>
          <w:sz w:val="24"/>
          <w:szCs w:val="24"/>
          <w:highlight w:val="white"/>
        </w:rPr>
        <w:t>ancial institutions’ readiness was</w:t>
      </w:r>
      <w:r w:rsidRPr="008543FB">
        <w:rPr>
          <w:rFonts w:eastAsia="Roboto"/>
          <w:color w:val="0D0D0D"/>
          <w:sz w:val="24"/>
          <w:szCs w:val="24"/>
          <w:highlight w:val="white"/>
        </w:rPr>
        <w:t xml:space="preserve"> examined using the World Bank Financial Cybersecurity Adoption Dataset, employing multiple regression analysis to determine the relationship between cybersecurity investment, regulatory compliance, and quantum-resistant adoption. A Regulatory Compliance Index (RCI) is constructed using data from the IMF Financial Regulatory Policy Database, providing a weighted scoring system for quantum-security policies. Time-series modeling is used to analyze the global adoption of quantum-resistant cryptographic regulations over time.</w:t>
      </w:r>
    </w:p>
    <w:p w14:paraId="3DB3FD05" w14:textId="77777777" w:rsidR="00905DBC" w:rsidRPr="008543FB" w:rsidRDefault="00453400">
      <w:pPr>
        <w:spacing w:before="240" w:after="240"/>
        <w:jc w:val="both"/>
        <w:rPr>
          <w:rFonts w:eastAsia="Roboto"/>
          <w:color w:val="0D0D0D"/>
          <w:sz w:val="24"/>
          <w:szCs w:val="24"/>
          <w:highlight w:val="white"/>
        </w:rPr>
      </w:pPr>
      <w:r w:rsidRPr="008543FB">
        <w:rPr>
          <w:rFonts w:eastAsia="Roboto"/>
          <w:color w:val="0D0D0D"/>
          <w:sz w:val="24"/>
          <w:szCs w:val="24"/>
          <w:highlight w:val="white"/>
        </w:rPr>
        <w:t xml:space="preserve">The mathematical models applied in this study are summarized in </w:t>
      </w:r>
      <w:r w:rsidRPr="008543FB">
        <w:rPr>
          <w:rFonts w:eastAsia="Roboto"/>
          <w:b/>
          <w:color w:val="0D0D0D"/>
          <w:sz w:val="24"/>
          <w:szCs w:val="24"/>
          <w:highlight w:val="white"/>
        </w:rPr>
        <w:t>Table 1</w:t>
      </w:r>
      <w:r w:rsidRPr="008543FB">
        <w:rPr>
          <w:rFonts w:eastAsia="Roboto"/>
          <w:color w:val="0D0D0D"/>
          <w:sz w:val="24"/>
          <w:szCs w:val="24"/>
          <w:highlight w:val="white"/>
        </w:rPr>
        <w:t>, detailing computational complexity, encryption efficiency, and regulatory compliance modeling.</w:t>
      </w:r>
    </w:p>
    <w:p w14:paraId="3CFE838E" w14:textId="77777777" w:rsidR="00F312CF" w:rsidRPr="008543FB" w:rsidRDefault="00F312CF" w:rsidP="00F312CF">
      <w:pPr>
        <w:pStyle w:val="Heading4"/>
        <w:rPr>
          <w:color w:val="auto"/>
        </w:rPr>
      </w:pPr>
      <w:bookmarkStart w:id="8" w:name="_85ak6q8a6gnj" w:colFirst="0" w:colLast="0"/>
      <w:bookmarkEnd w:id="8"/>
      <w:r w:rsidRPr="008543FB">
        <w:rPr>
          <w:rStyle w:val="Strong"/>
          <w:bCs w:val="0"/>
          <w:color w:val="auto"/>
        </w:rPr>
        <w:t>Table 1: Mathematical Models for Blockchain Security Analysis</w:t>
      </w:r>
    </w:p>
    <w:tbl>
      <w:tblPr>
        <w:tblStyle w:val="TableGrid"/>
        <w:tblW w:w="0" w:type="auto"/>
        <w:tblLook w:val="04A0" w:firstRow="1" w:lastRow="0" w:firstColumn="1" w:lastColumn="0" w:noHBand="0" w:noVBand="1"/>
      </w:tblPr>
      <w:tblGrid>
        <w:gridCol w:w="3219"/>
        <w:gridCol w:w="1960"/>
        <w:gridCol w:w="4171"/>
      </w:tblGrid>
      <w:tr w:rsidR="00F312CF" w:rsidRPr="008543FB" w14:paraId="0B38AA49" w14:textId="77777777" w:rsidTr="00F312CF">
        <w:tc>
          <w:tcPr>
            <w:tcW w:w="0" w:type="auto"/>
            <w:hideMark/>
          </w:tcPr>
          <w:p w14:paraId="0B09B728" w14:textId="77777777" w:rsidR="00F312CF" w:rsidRPr="008543FB" w:rsidRDefault="00F312CF" w:rsidP="00F312CF">
            <w:pPr>
              <w:jc w:val="center"/>
              <w:rPr>
                <w:b/>
                <w:bCs/>
                <w:sz w:val="24"/>
                <w:szCs w:val="24"/>
              </w:rPr>
            </w:pPr>
            <w:r w:rsidRPr="008543FB">
              <w:rPr>
                <w:rStyle w:val="Strong"/>
                <w:sz w:val="24"/>
                <w:szCs w:val="24"/>
              </w:rPr>
              <w:t>Model</w:t>
            </w:r>
          </w:p>
        </w:tc>
        <w:tc>
          <w:tcPr>
            <w:tcW w:w="0" w:type="auto"/>
            <w:hideMark/>
          </w:tcPr>
          <w:p w14:paraId="0EC42179" w14:textId="77777777" w:rsidR="00F312CF" w:rsidRPr="008543FB" w:rsidRDefault="00F312CF" w:rsidP="00F312CF">
            <w:pPr>
              <w:jc w:val="center"/>
              <w:rPr>
                <w:b/>
                <w:bCs/>
                <w:sz w:val="24"/>
                <w:szCs w:val="24"/>
              </w:rPr>
            </w:pPr>
            <w:r w:rsidRPr="008543FB">
              <w:rPr>
                <w:rStyle w:val="Strong"/>
                <w:sz w:val="24"/>
                <w:szCs w:val="24"/>
              </w:rPr>
              <w:t>Equation</w:t>
            </w:r>
          </w:p>
        </w:tc>
        <w:tc>
          <w:tcPr>
            <w:tcW w:w="0" w:type="auto"/>
            <w:hideMark/>
          </w:tcPr>
          <w:p w14:paraId="1544CB51" w14:textId="77777777" w:rsidR="00F312CF" w:rsidRPr="008543FB" w:rsidRDefault="00F312CF" w:rsidP="00F312CF">
            <w:pPr>
              <w:jc w:val="center"/>
              <w:rPr>
                <w:b/>
                <w:bCs/>
                <w:sz w:val="24"/>
                <w:szCs w:val="24"/>
              </w:rPr>
            </w:pPr>
            <w:r w:rsidRPr="008543FB">
              <w:rPr>
                <w:rStyle w:val="Strong"/>
                <w:sz w:val="24"/>
                <w:szCs w:val="24"/>
              </w:rPr>
              <w:t>Description</w:t>
            </w:r>
          </w:p>
        </w:tc>
      </w:tr>
      <w:tr w:rsidR="00F312CF" w:rsidRPr="008543FB" w14:paraId="711B75A7" w14:textId="77777777" w:rsidTr="00024AEA">
        <w:tc>
          <w:tcPr>
            <w:tcW w:w="0" w:type="auto"/>
            <w:hideMark/>
          </w:tcPr>
          <w:p w14:paraId="17E96D6A" w14:textId="77777777" w:rsidR="00F312CF" w:rsidRPr="008543FB" w:rsidRDefault="00F312CF" w:rsidP="00F312CF">
            <w:pPr>
              <w:rPr>
                <w:sz w:val="24"/>
                <w:szCs w:val="24"/>
              </w:rPr>
            </w:pPr>
            <w:r w:rsidRPr="008543FB">
              <w:rPr>
                <w:rStyle w:val="Strong"/>
                <w:sz w:val="24"/>
                <w:szCs w:val="24"/>
              </w:rPr>
              <w:t>Quantum Decryption Time (Shor’s Algorithm)</w:t>
            </w:r>
          </w:p>
        </w:tc>
        <w:tc>
          <w:tcPr>
            <w:tcW w:w="0" w:type="auto"/>
          </w:tcPr>
          <w:p w14:paraId="71174C81" w14:textId="77777777" w:rsidR="00F312CF" w:rsidRPr="008543FB" w:rsidRDefault="006B1917" w:rsidP="00F312CF">
            <w:pPr>
              <w:rPr>
                <w:sz w:val="24"/>
                <w:szCs w:val="24"/>
              </w:rPr>
            </w:pPr>
            <m:oMathPara>
              <m:oMath>
                <m:sSub>
                  <m:sSubPr>
                    <m:ctrlPr>
                      <w:rPr>
                        <w:rStyle w:val="mord"/>
                        <w:rFonts w:ascii="Cambria Math" w:hAnsi="Cambria Math"/>
                        <w:sz w:val="24"/>
                        <w:szCs w:val="24"/>
                      </w:rPr>
                    </m:ctrlPr>
                  </m:sSubPr>
                  <m:e>
                    <m:r>
                      <m:rPr>
                        <m:sty m:val="p"/>
                      </m:rPr>
                      <w:rPr>
                        <w:rStyle w:val="mord"/>
                        <w:rFonts w:ascii="Cambria Math" w:hAnsi="Cambria Math"/>
                        <w:sz w:val="24"/>
                        <w:szCs w:val="24"/>
                      </w:rPr>
                      <m:t>T</m:t>
                    </m:r>
                  </m:e>
                  <m:sub>
                    <m:r>
                      <m:rPr>
                        <m:sty m:val="p"/>
                      </m:rPr>
                      <w:rPr>
                        <w:rStyle w:val="mord"/>
                        <w:rFonts w:ascii="Cambria Math" w:hAnsi="Cambria Math"/>
                        <w:sz w:val="24"/>
                        <w:szCs w:val="24"/>
                      </w:rPr>
                      <m:t>Shor</m:t>
                    </m:r>
                  </m:sub>
                </m:sSub>
                <m:r>
                  <m:rPr>
                    <m:sty m:val="p"/>
                  </m:rPr>
                  <w:rPr>
                    <w:rStyle w:val="vlist-s"/>
                    <w:rFonts w:ascii="Cambria Math" w:hAnsi="Cambria Math"/>
                    <w:sz w:val="24"/>
                    <w:szCs w:val="24"/>
                  </w:rPr>
                  <m:t>​</m:t>
                </m:r>
                <m:d>
                  <m:dPr>
                    <m:ctrlPr>
                      <w:rPr>
                        <w:rStyle w:val="mopen"/>
                        <w:rFonts w:ascii="Cambria Math" w:hAnsi="Cambria Math"/>
                        <w:sz w:val="24"/>
                        <w:szCs w:val="24"/>
                      </w:rPr>
                    </m:ctrlPr>
                  </m:dPr>
                  <m:e>
                    <m:r>
                      <m:rPr>
                        <m:sty m:val="p"/>
                      </m:rPr>
                      <w:rPr>
                        <w:rStyle w:val="mord"/>
                        <w:rFonts w:ascii="Cambria Math" w:hAnsi="Cambria Math"/>
                        <w:sz w:val="24"/>
                        <w:szCs w:val="24"/>
                      </w:rPr>
                      <m:t>n</m:t>
                    </m:r>
                    <m:ctrlPr>
                      <w:rPr>
                        <w:rStyle w:val="mclose"/>
                        <w:rFonts w:ascii="Cambria Math" w:hAnsi="Cambria Math"/>
                        <w:sz w:val="24"/>
                        <w:szCs w:val="24"/>
                      </w:rPr>
                    </m:ctrlPr>
                  </m:e>
                </m:d>
                <m:r>
                  <m:rPr>
                    <m:sty m:val="p"/>
                  </m:rPr>
                  <w:rPr>
                    <w:rStyle w:val="mrel"/>
                    <w:rFonts w:ascii="Cambria Math" w:hAnsi="Cambria Math"/>
                    <w:sz w:val="24"/>
                    <w:szCs w:val="24"/>
                  </w:rPr>
                  <m:t>=</m:t>
                </m:r>
                <m:r>
                  <m:rPr>
                    <m:sty m:val="p"/>
                  </m:rPr>
                  <w:rPr>
                    <w:rStyle w:val="mord"/>
                    <w:rFonts w:ascii="Cambria Math" w:hAnsi="Cambria Math"/>
                    <w:sz w:val="24"/>
                    <w:szCs w:val="24"/>
                  </w:rPr>
                  <m:t>O</m:t>
                </m:r>
                <m:d>
                  <m:dPr>
                    <m:ctrlPr>
                      <w:rPr>
                        <w:rStyle w:val="mopen"/>
                        <w:rFonts w:ascii="Cambria Math" w:hAnsi="Cambria Math"/>
                        <w:sz w:val="24"/>
                        <w:szCs w:val="24"/>
                      </w:rPr>
                    </m:ctrlPr>
                  </m:dPr>
                  <m:e>
                    <m:sSup>
                      <m:sSupPr>
                        <m:ctrlPr>
                          <w:rPr>
                            <w:rStyle w:val="mord"/>
                            <w:rFonts w:ascii="Cambria Math" w:hAnsi="Cambria Math"/>
                            <w:sz w:val="24"/>
                            <w:szCs w:val="24"/>
                          </w:rPr>
                        </m:ctrlPr>
                      </m:sSupPr>
                      <m:e>
                        <m:d>
                          <m:dPr>
                            <m:ctrlPr>
                              <w:rPr>
                                <w:rStyle w:val="mopen"/>
                                <w:rFonts w:ascii="Cambria Math" w:hAnsi="Cambria Math"/>
                                <w:sz w:val="24"/>
                                <w:szCs w:val="24"/>
                              </w:rPr>
                            </m:ctrlPr>
                          </m:dPr>
                          <m:e>
                            <m:r>
                              <m:rPr>
                                <m:sty m:val="p"/>
                              </m:rPr>
                              <w:rPr>
                                <w:rStyle w:val="mop"/>
                                <w:rFonts w:ascii="Cambria Math" w:hAnsi="Cambria Math"/>
                                <w:sz w:val="24"/>
                                <w:szCs w:val="24"/>
                              </w:rPr>
                              <m:t>log</m:t>
                            </m:r>
                            <m:r>
                              <m:rPr>
                                <m:sty m:val="p"/>
                              </m:rPr>
                              <w:rPr>
                                <w:rStyle w:val="mord"/>
                                <w:rFonts w:ascii="Cambria Math" w:hAnsi="Cambria Math"/>
                                <w:sz w:val="24"/>
                                <w:szCs w:val="24"/>
                              </w:rPr>
                              <m:t>n</m:t>
                            </m:r>
                            <m:ctrlPr>
                              <w:rPr>
                                <w:rStyle w:val="mclose"/>
                                <w:rFonts w:ascii="Cambria Math" w:hAnsi="Cambria Math"/>
                                <w:sz w:val="24"/>
                                <w:szCs w:val="24"/>
                              </w:rPr>
                            </m:ctrlPr>
                          </m:e>
                        </m:d>
                      </m:e>
                      <m:sup>
                        <m:r>
                          <m:rPr>
                            <m:sty m:val="p"/>
                          </m:rPr>
                          <w:rPr>
                            <w:rStyle w:val="mord"/>
                            <w:rFonts w:ascii="Cambria Math" w:hAnsi="Cambria Math"/>
                            <w:sz w:val="24"/>
                            <w:szCs w:val="24"/>
                          </w:rPr>
                          <m:t>3</m:t>
                        </m:r>
                      </m:sup>
                    </m:sSup>
                    <m:ctrlPr>
                      <w:rPr>
                        <w:rStyle w:val="mclose"/>
                        <w:rFonts w:ascii="Cambria Math" w:hAnsi="Cambria Math"/>
                        <w:sz w:val="24"/>
                        <w:szCs w:val="24"/>
                      </w:rPr>
                    </m:ctrlPr>
                  </m:e>
                </m:d>
              </m:oMath>
            </m:oMathPara>
          </w:p>
        </w:tc>
        <w:tc>
          <w:tcPr>
            <w:tcW w:w="0" w:type="auto"/>
            <w:hideMark/>
          </w:tcPr>
          <w:p w14:paraId="25DED844" w14:textId="77777777" w:rsidR="00F312CF" w:rsidRPr="008543FB" w:rsidRDefault="00F312CF" w:rsidP="00F312CF">
            <w:pPr>
              <w:rPr>
                <w:sz w:val="24"/>
                <w:szCs w:val="24"/>
              </w:rPr>
            </w:pPr>
            <w:r w:rsidRPr="008543FB">
              <w:rPr>
                <w:sz w:val="24"/>
                <w:szCs w:val="24"/>
              </w:rPr>
              <w:t>Time complexity of breaking RSA and ECC encryption.</w:t>
            </w:r>
          </w:p>
        </w:tc>
      </w:tr>
      <w:tr w:rsidR="00F312CF" w:rsidRPr="008543FB" w14:paraId="10ABEFA5" w14:textId="77777777" w:rsidTr="00F312CF">
        <w:tc>
          <w:tcPr>
            <w:tcW w:w="0" w:type="auto"/>
            <w:hideMark/>
          </w:tcPr>
          <w:p w14:paraId="457D7669" w14:textId="77777777" w:rsidR="00F312CF" w:rsidRPr="008543FB" w:rsidRDefault="00F312CF" w:rsidP="00F312CF">
            <w:pPr>
              <w:rPr>
                <w:sz w:val="24"/>
                <w:szCs w:val="24"/>
              </w:rPr>
            </w:pPr>
            <w:r w:rsidRPr="008543FB">
              <w:rPr>
                <w:rStyle w:val="Strong"/>
                <w:sz w:val="24"/>
                <w:szCs w:val="24"/>
              </w:rPr>
              <w:t>Quantum Search Complexity (Grover’s Algorithm)</w:t>
            </w:r>
          </w:p>
        </w:tc>
        <w:tc>
          <w:tcPr>
            <w:tcW w:w="0" w:type="auto"/>
            <w:hideMark/>
          </w:tcPr>
          <w:p w14:paraId="793485F7" w14:textId="77777777" w:rsidR="00F312CF" w:rsidRPr="008543FB" w:rsidRDefault="006B1917" w:rsidP="00F312CF">
            <w:pPr>
              <w:rPr>
                <w:sz w:val="24"/>
                <w:szCs w:val="24"/>
              </w:rPr>
            </w:pPr>
            <m:oMathPara>
              <m:oMath>
                <m:sSub>
                  <m:sSubPr>
                    <m:ctrlPr>
                      <w:rPr>
                        <w:rStyle w:val="mord"/>
                        <w:rFonts w:ascii="Cambria Math" w:hAnsi="Cambria Math"/>
                        <w:sz w:val="24"/>
                        <w:szCs w:val="24"/>
                      </w:rPr>
                    </m:ctrlPr>
                  </m:sSubPr>
                  <m:e>
                    <m:r>
                      <m:rPr>
                        <m:sty m:val="p"/>
                      </m:rPr>
                      <w:rPr>
                        <w:rStyle w:val="mord"/>
                        <w:rFonts w:ascii="Cambria Math" w:hAnsi="Cambria Math"/>
                        <w:sz w:val="24"/>
                        <w:szCs w:val="24"/>
                      </w:rPr>
                      <m:t>T</m:t>
                    </m:r>
                  </m:e>
                  <m:sub>
                    <m:r>
                      <m:rPr>
                        <m:sty m:val="p"/>
                      </m:rPr>
                      <w:rPr>
                        <w:rStyle w:val="mord"/>
                        <w:rFonts w:ascii="Cambria Math" w:hAnsi="Cambria Math"/>
                        <w:sz w:val="24"/>
                        <w:szCs w:val="24"/>
                      </w:rPr>
                      <m:t>Grover</m:t>
                    </m:r>
                  </m:sub>
                </m:sSub>
                <m:r>
                  <m:rPr>
                    <m:sty m:val="p"/>
                  </m:rPr>
                  <w:rPr>
                    <w:rStyle w:val="vlist-s"/>
                    <w:rFonts w:ascii="Cambria Math" w:hAnsi="Cambria Math"/>
                    <w:sz w:val="24"/>
                    <w:szCs w:val="24"/>
                  </w:rPr>
                  <m:t>​</m:t>
                </m:r>
                <m:r>
                  <m:rPr>
                    <m:sty m:val="p"/>
                  </m:rPr>
                  <w:rPr>
                    <w:rStyle w:val="mopen"/>
                    <w:rFonts w:ascii="Cambria Math" w:hAnsi="Cambria Math"/>
                    <w:sz w:val="24"/>
                    <w:szCs w:val="24"/>
                  </w:rPr>
                  <m:t>(</m:t>
                </m:r>
                <m:r>
                  <m:rPr>
                    <m:sty m:val="p"/>
                  </m:rPr>
                  <w:rPr>
                    <w:rStyle w:val="mord"/>
                    <w:rFonts w:ascii="Cambria Math" w:hAnsi="Cambria Math"/>
                    <w:sz w:val="24"/>
                    <w:szCs w:val="24"/>
                  </w:rPr>
                  <m:t>n</m:t>
                </m:r>
                <m:r>
                  <m:rPr>
                    <m:sty m:val="p"/>
                  </m:rPr>
                  <w:rPr>
                    <w:rStyle w:val="mclose"/>
                    <w:rFonts w:ascii="Cambria Math" w:hAnsi="Cambria Math"/>
                    <w:sz w:val="24"/>
                    <w:szCs w:val="24"/>
                  </w:rPr>
                  <m:t>)</m:t>
                </m:r>
                <m:r>
                  <m:rPr>
                    <m:sty m:val="p"/>
                  </m:rPr>
                  <w:rPr>
                    <w:rStyle w:val="mrel"/>
                    <w:rFonts w:ascii="Cambria Math" w:hAnsi="Cambria Math"/>
                    <w:sz w:val="24"/>
                    <w:szCs w:val="24"/>
                  </w:rPr>
                  <m:t>=</m:t>
                </m:r>
                <m:r>
                  <m:rPr>
                    <m:sty m:val="p"/>
                  </m:rPr>
                  <w:rPr>
                    <w:rStyle w:val="mord"/>
                    <w:rFonts w:ascii="Cambria Math" w:hAnsi="Cambria Math"/>
                    <w:sz w:val="24"/>
                    <w:szCs w:val="24"/>
                  </w:rPr>
                  <m:t>O</m:t>
                </m:r>
                <m:r>
                  <m:rPr>
                    <m:sty m:val="p"/>
                  </m:rPr>
                  <w:rPr>
                    <w:rStyle w:val="mopen"/>
                    <w:rFonts w:ascii="Cambria Math" w:hAnsi="Cambria Math"/>
                    <w:sz w:val="24"/>
                    <w:szCs w:val="24"/>
                  </w:rPr>
                  <m:t>(</m:t>
                </m:r>
                <m:rad>
                  <m:radPr>
                    <m:degHide m:val="1"/>
                    <m:ctrlPr>
                      <w:rPr>
                        <w:rStyle w:val="mord"/>
                        <w:rFonts w:ascii="Cambria Math" w:hAnsi="Cambria Math"/>
                        <w:sz w:val="24"/>
                        <w:szCs w:val="24"/>
                      </w:rPr>
                    </m:ctrlPr>
                  </m:radPr>
                  <m:deg/>
                  <m:e>
                    <m:r>
                      <m:rPr>
                        <m:sty m:val="p"/>
                      </m:rPr>
                      <w:rPr>
                        <w:rStyle w:val="mord"/>
                        <w:rFonts w:ascii="Cambria Math" w:hAnsi="Cambria Math"/>
                        <w:sz w:val="24"/>
                        <w:szCs w:val="24"/>
                      </w:rPr>
                      <m:t>n</m:t>
                    </m:r>
                  </m:e>
                </m:rad>
                <m:r>
                  <m:rPr>
                    <m:sty m:val="p"/>
                  </m:rPr>
                  <w:rPr>
                    <w:rStyle w:val="vlist-s"/>
                    <w:rFonts w:ascii="Cambria Math" w:hAnsi="Cambria Math"/>
                    <w:sz w:val="24"/>
                    <w:szCs w:val="24"/>
                  </w:rPr>
                  <m:t>​</m:t>
                </m:r>
                <m:r>
                  <m:rPr>
                    <m:sty m:val="p"/>
                  </m:rPr>
                  <w:rPr>
                    <w:rStyle w:val="mclose"/>
                    <w:rFonts w:ascii="Cambria Math" w:hAnsi="Cambria Math"/>
                    <w:sz w:val="24"/>
                    <w:szCs w:val="24"/>
                  </w:rPr>
                  <m:t>)</m:t>
                </m:r>
              </m:oMath>
            </m:oMathPara>
          </w:p>
        </w:tc>
        <w:tc>
          <w:tcPr>
            <w:tcW w:w="0" w:type="auto"/>
            <w:hideMark/>
          </w:tcPr>
          <w:p w14:paraId="6F043D2E" w14:textId="77777777" w:rsidR="00F312CF" w:rsidRPr="008543FB" w:rsidRDefault="00F312CF" w:rsidP="00F312CF">
            <w:pPr>
              <w:rPr>
                <w:sz w:val="24"/>
                <w:szCs w:val="24"/>
              </w:rPr>
            </w:pPr>
            <w:r w:rsidRPr="008543FB">
              <w:rPr>
                <w:sz w:val="24"/>
                <w:szCs w:val="24"/>
              </w:rPr>
              <w:t>Computational efficiency of Grover’s algorithm against SHA-256.</w:t>
            </w:r>
          </w:p>
        </w:tc>
      </w:tr>
      <w:tr w:rsidR="00F312CF" w:rsidRPr="008543FB" w14:paraId="261D3FDE" w14:textId="77777777" w:rsidTr="00024AEA">
        <w:tc>
          <w:tcPr>
            <w:tcW w:w="0" w:type="auto"/>
            <w:hideMark/>
          </w:tcPr>
          <w:p w14:paraId="2F155001" w14:textId="77777777" w:rsidR="00F312CF" w:rsidRPr="008543FB" w:rsidRDefault="00F312CF" w:rsidP="00F312CF">
            <w:pPr>
              <w:rPr>
                <w:sz w:val="24"/>
                <w:szCs w:val="24"/>
              </w:rPr>
            </w:pPr>
            <w:r w:rsidRPr="008543FB">
              <w:rPr>
                <w:rStyle w:val="Strong"/>
                <w:sz w:val="24"/>
                <w:szCs w:val="24"/>
              </w:rPr>
              <w:t>Encryption Efficiency Ratio</w:t>
            </w:r>
          </w:p>
        </w:tc>
        <w:tc>
          <w:tcPr>
            <w:tcW w:w="0" w:type="auto"/>
          </w:tcPr>
          <w:p w14:paraId="5FAAFFA4" w14:textId="77777777" w:rsidR="00F312CF" w:rsidRPr="008543FB" w:rsidRDefault="006B1917" w:rsidP="00F312CF">
            <w:pPr>
              <w:rPr>
                <w:sz w:val="24"/>
                <w:szCs w:val="24"/>
              </w:rPr>
            </w:pPr>
            <m:oMathPara>
              <m:oMath>
                <m:sSub>
                  <m:sSubPr>
                    <m:ctrlPr>
                      <w:rPr>
                        <w:rStyle w:val="mord"/>
                        <w:rFonts w:ascii="Cambria Math" w:hAnsi="Cambria Math"/>
                        <w:sz w:val="24"/>
                        <w:szCs w:val="24"/>
                      </w:rPr>
                    </m:ctrlPr>
                  </m:sSubPr>
                  <m:e>
                    <m:r>
                      <m:rPr>
                        <m:sty m:val="p"/>
                      </m:rPr>
                      <w:rPr>
                        <w:rStyle w:val="mord"/>
                        <w:rFonts w:ascii="Cambria Math" w:hAnsi="Cambria Math"/>
                        <w:sz w:val="24"/>
                        <w:szCs w:val="24"/>
                      </w:rPr>
                      <m:t>E</m:t>
                    </m:r>
                  </m:e>
                  <m:sub>
                    <m:r>
                      <m:rPr>
                        <m:sty m:val="p"/>
                      </m:rPr>
                      <w:rPr>
                        <w:rStyle w:val="mord"/>
                        <w:rFonts w:ascii="Cambria Math" w:hAnsi="Cambria Math"/>
                        <w:sz w:val="24"/>
                        <w:szCs w:val="24"/>
                      </w:rPr>
                      <m:t>pq</m:t>
                    </m:r>
                    <m:r>
                      <m:rPr>
                        <m:sty m:val="p"/>
                      </m:rPr>
                      <w:rPr>
                        <w:rStyle w:val="vlist-s"/>
                        <w:rFonts w:ascii="Cambria Math" w:hAnsi="Cambria Math"/>
                        <w:sz w:val="24"/>
                        <w:szCs w:val="24"/>
                      </w:rPr>
                      <m:t>​</m:t>
                    </m:r>
                  </m:sub>
                </m:sSub>
                <m:r>
                  <m:rPr>
                    <m:sty m:val="p"/>
                  </m:rPr>
                  <w:rPr>
                    <w:rStyle w:val="mrel"/>
                    <w:rFonts w:ascii="Cambria Math" w:hAnsi="Cambria Math"/>
                    <w:sz w:val="24"/>
                    <w:szCs w:val="24"/>
                  </w:rPr>
                  <m:t>=</m:t>
                </m:r>
                <m:f>
                  <m:fPr>
                    <m:ctrlPr>
                      <w:rPr>
                        <w:rStyle w:val="vlist-s"/>
                        <w:rFonts w:ascii="Cambria Math" w:hAnsi="Cambria Math"/>
                        <w:sz w:val="24"/>
                        <w:szCs w:val="24"/>
                      </w:rPr>
                    </m:ctrlPr>
                  </m:fPr>
                  <m:num>
                    <m:sSub>
                      <m:sSubPr>
                        <m:ctrlPr>
                          <w:rPr>
                            <w:rStyle w:val="mord"/>
                            <w:rFonts w:ascii="Cambria Math" w:hAnsi="Cambria Math"/>
                            <w:sz w:val="24"/>
                            <w:szCs w:val="24"/>
                          </w:rPr>
                        </m:ctrlPr>
                      </m:sSubPr>
                      <m:e>
                        <m:r>
                          <m:rPr>
                            <m:sty m:val="p"/>
                          </m:rPr>
                          <w:rPr>
                            <w:rStyle w:val="mord"/>
                            <w:rFonts w:ascii="Cambria Math" w:hAnsi="Cambria Math"/>
                            <w:sz w:val="24"/>
                            <w:szCs w:val="24"/>
                          </w:rPr>
                          <m:t>C</m:t>
                        </m:r>
                      </m:e>
                      <m:sub>
                        <m:r>
                          <m:rPr>
                            <m:sty m:val="p"/>
                          </m:rPr>
                          <w:rPr>
                            <w:rStyle w:val="mord"/>
                            <w:rFonts w:ascii="Cambria Math" w:hAnsi="Cambria Math"/>
                            <w:sz w:val="24"/>
                            <w:szCs w:val="24"/>
                          </w:rPr>
                          <m:t>pq</m:t>
                        </m:r>
                      </m:sub>
                    </m:sSub>
                    <m:ctrlPr>
                      <w:rPr>
                        <w:rStyle w:val="vlist-s"/>
                        <w:rFonts w:ascii="Cambria Math" w:hAnsi="Cambria Math"/>
                        <w:i/>
                        <w:sz w:val="24"/>
                        <w:szCs w:val="24"/>
                      </w:rPr>
                    </m:ctrlPr>
                  </m:num>
                  <m:den>
                    <m:sSub>
                      <m:sSubPr>
                        <m:ctrlPr>
                          <w:rPr>
                            <w:rStyle w:val="mord"/>
                            <w:rFonts w:ascii="Cambria Math" w:hAnsi="Cambria Math"/>
                            <w:sz w:val="24"/>
                            <w:szCs w:val="24"/>
                          </w:rPr>
                        </m:ctrlPr>
                      </m:sSubPr>
                      <m:e>
                        <m:r>
                          <m:rPr>
                            <m:sty m:val="p"/>
                          </m:rPr>
                          <w:rPr>
                            <w:rStyle w:val="mord"/>
                            <w:rFonts w:ascii="Cambria Math" w:hAnsi="Cambria Math"/>
                            <w:sz w:val="24"/>
                            <w:szCs w:val="24"/>
                          </w:rPr>
                          <m:t>C</m:t>
                        </m:r>
                      </m:e>
                      <m:sub>
                        <m:r>
                          <m:rPr>
                            <m:sty m:val="p"/>
                          </m:rPr>
                          <w:rPr>
                            <w:rStyle w:val="mord"/>
                            <w:rFonts w:ascii="Cambria Math" w:hAnsi="Cambria Math"/>
                            <w:sz w:val="24"/>
                            <w:szCs w:val="24"/>
                          </w:rPr>
                          <m:t>classical</m:t>
                        </m:r>
                      </m:sub>
                    </m:sSub>
                  </m:den>
                </m:f>
                <m:r>
                  <m:rPr>
                    <m:sty m:val="p"/>
                  </m:rPr>
                  <w:rPr>
                    <w:rStyle w:val="vlist-s"/>
                    <w:rFonts w:ascii="Cambria Math" w:hAnsi="Cambria Math"/>
                    <w:sz w:val="24"/>
                    <w:szCs w:val="24"/>
                  </w:rPr>
                  <m:t>​​​</m:t>
                </m:r>
              </m:oMath>
            </m:oMathPara>
          </w:p>
        </w:tc>
        <w:tc>
          <w:tcPr>
            <w:tcW w:w="0" w:type="auto"/>
            <w:hideMark/>
          </w:tcPr>
          <w:p w14:paraId="3E1E2925" w14:textId="77777777" w:rsidR="00F312CF" w:rsidRPr="008543FB" w:rsidRDefault="00F312CF" w:rsidP="00F312CF">
            <w:pPr>
              <w:rPr>
                <w:sz w:val="24"/>
                <w:szCs w:val="24"/>
              </w:rPr>
            </w:pPr>
            <w:r w:rsidRPr="008543FB">
              <w:rPr>
                <w:sz w:val="24"/>
                <w:szCs w:val="24"/>
              </w:rPr>
              <w:t>Comparison of post-quantum and classical encryption efficiency.</w:t>
            </w:r>
          </w:p>
        </w:tc>
      </w:tr>
      <w:tr w:rsidR="00F312CF" w:rsidRPr="008543FB" w14:paraId="1ACBFB31" w14:textId="77777777" w:rsidTr="00F312CF">
        <w:tc>
          <w:tcPr>
            <w:tcW w:w="0" w:type="auto"/>
            <w:hideMark/>
          </w:tcPr>
          <w:p w14:paraId="4B27EFCE" w14:textId="77777777" w:rsidR="00F312CF" w:rsidRPr="008543FB" w:rsidRDefault="00F312CF" w:rsidP="00F312CF">
            <w:pPr>
              <w:rPr>
                <w:sz w:val="24"/>
                <w:szCs w:val="24"/>
              </w:rPr>
            </w:pPr>
            <w:r w:rsidRPr="008543FB">
              <w:rPr>
                <w:rStyle w:val="Strong"/>
                <w:sz w:val="24"/>
                <w:szCs w:val="24"/>
              </w:rPr>
              <w:lastRenderedPageBreak/>
              <w:t>Key Size vs. Encryption Time</w:t>
            </w:r>
          </w:p>
        </w:tc>
        <w:tc>
          <w:tcPr>
            <w:tcW w:w="0" w:type="auto"/>
            <w:hideMark/>
          </w:tcPr>
          <w:p w14:paraId="5627889A" w14:textId="77777777" w:rsidR="00F312CF" w:rsidRPr="008543FB" w:rsidRDefault="00453400" w:rsidP="00F312CF">
            <w:pPr>
              <w:rPr>
                <w:sz w:val="24"/>
                <w:szCs w:val="24"/>
              </w:rPr>
            </w:pPr>
            <m:oMathPara>
              <m:oMath>
                <m:r>
                  <m:rPr>
                    <m:sty m:val="p"/>
                  </m:rPr>
                  <w:rPr>
                    <w:rStyle w:val="mord"/>
                    <w:rFonts w:ascii="Cambria Math" w:hAnsi="Cambria Math"/>
                    <w:sz w:val="24"/>
                    <w:szCs w:val="24"/>
                  </w:rPr>
                  <m:t>T</m:t>
                </m:r>
                <m:r>
                  <m:rPr>
                    <m:sty m:val="p"/>
                  </m:rPr>
                  <w:rPr>
                    <w:rStyle w:val="mrel"/>
                    <w:rFonts w:ascii="Cambria Math" w:hAnsi="Cambria Math"/>
                    <w:sz w:val="24"/>
                    <w:szCs w:val="24"/>
                  </w:rPr>
                  <m:t>=</m:t>
                </m:r>
                <m:r>
                  <m:rPr>
                    <m:sty m:val="p"/>
                  </m:rPr>
                  <w:rPr>
                    <w:rStyle w:val="mord"/>
                    <w:rFonts w:ascii="Cambria Math" w:hAnsi="Cambria Math"/>
                    <w:sz w:val="24"/>
                    <w:szCs w:val="24"/>
                  </w:rPr>
                  <m:t>α</m:t>
                </m:r>
                <m:sSup>
                  <m:sSupPr>
                    <m:ctrlPr>
                      <w:rPr>
                        <w:rStyle w:val="mord"/>
                        <w:rFonts w:ascii="Cambria Math" w:hAnsi="Cambria Math"/>
                        <w:sz w:val="24"/>
                        <w:szCs w:val="24"/>
                      </w:rPr>
                    </m:ctrlPr>
                  </m:sSupPr>
                  <m:e>
                    <m:r>
                      <m:rPr>
                        <m:sty m:val="p"/>
                      </m:rPr>
                      <w:rPr>
                        <w:rStyle w:val="mord"/>
                        <w:rFonts w:ascii="Cambria Math" w:hAnsi="Cambria Math"/>
                        <w:sz w:val="24"/>
                        <w:szCs w:val="24"/>
                      </w:rPr>
                      <m:t>K</m:t>
                    </m:r>
                  </m:e>
                  <m:sup>
                    <m:r>
                      <m:rPr>
                        <m:sty m:val="p"/>
                      </m:rPr>
                      <w:rPr>
                        <w:rStyle w:val="mord"/>
                        <w:rFonts w:ascii="Cambria Math" w:hAnsi="Cambria Math"/>
                        <w:sz w:val="24"/>
                        <w:szCs w:val="24"/>
                      </w:rPr>
                      <m:t>β</m:t>
                    </m:r>
                  </m:sup>
                </m:sSup>
              </m:oMath>
            </m:oMathPara>
          </w:p>
        </w:tc>
        <w:tc>
          <w:tcPr>
            <w:tcW w:w="0" w:type="auto"/>
            <w:hideMark/>
          </w:tcPr>
          <w:p w14:paraId="45B062D2" w14:textId="77777777" w:rsidR="00F312CF" w:rsidRPr="008543FB" w:rsidRDefault="00F312CF" w:rsidP="00F312CF">
            <w:pPr>
              <w:rPr>
                <w:sz w:val="24"/>
                <w:szCs w:val="24"/>
              </w:rPr>
            </w:pPr>
            <w:r w:rsidRPr="008543FB">
              <w:rPr>
                <w:sz w:val="24"/>
                <w:szCs w:val="24"/>
              </w:rPr>
              <w:t>Relationship between cryptographic key size and computational overhead.</w:t>
            </w:r>
          </w:p>
        </w:tc>
      </w:tr>
      <w:tr w:rsidR="00F312CF" w:rsidRPr="008543FB" w14:paraId="6DBA75CE" w14:textId="77777777" w:rsidTr="00F312CF">
        <w:tc>
          <w:tcPr>
            <w:tcW w:w="0" w:type="auto"/>
            <w:hideMark/>
          </w:tcPr>
          <w:p w14:paraId="1E7045AB" w14:textId="77777777" w:rsidR="00F312CF" w:rsidRPr="008543FB" w:rsidRDefault="00F312CF" w:rsidP="00F312CF">
            <w:pPr>
              <w:rPr>
                <w:sz w:val="24"/>
                <w:szCs w:val="24"/>
              </w:rPr>
            </w:pPr>
            <w:r w:rsidRPr="008543FB">
              <w:rPr>
                <w:rStyle w:val="Strong"/>
                <w:sz w:val="24"/>
                <w:szCs w:val="24"/>
              </w:rPr>
              <w:t>Financial Readiness Model</w:t>
            </w:r>
          </w:p>
        </w:tc>
        <w:tc>
          <w:tcPr>
            <w:tcW w:w="0" w:type="auto"/>
            <w:hideMark/>
          </w:tcPr>
          <w:p w14:paraId="542D73CE" w14:textId="77777777" w:rsidR="00F312CF" w:rsidRPr="008543FB" w:rsidRDefault="00ED4248" w:rsidP="00F312CF">
            <w:pPr>
              <w:rPr>
                <w:sz w:val="24"/>
                <w:szCs w:val="24"/>
              </w:rPr>
            </w:pPr>
            <m:oMathPara>
              <m:oMath>
                <m:r>
                  <m:rPr>
                    <m:sty m:val="p"/>
                  </m:rPr>
                  <w:rPr>
                    <w:rStyle w:val="mord"/>
                    <w:rFonts w:ascii="Cambria Math" w:hAnsi="Cambria Math"/>
                    <w:sz w:val="24"/>
                    <w:szCs w:val="24"/>
                  </w:rPr>
                  <m:t>A</m:t>
                </m:r>
                <m:r>
                  <m:rPr>
                    <m:sty m:val="p"/>
                  </m:rPr>
                  <w:rPr>
                    <w:rStyle w:val="mrel"/>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γ</m:t>
                    </m:r>
                  </m:e>
                  <m:sub>
                    <m:r>
                      <m:rPr>
                        <m:sty m:val="p"/>
                      </m:rPr>
                      <w:rPr>
                        <w:rStyle w:val="mord"/>
                        <w:rFonts w:ascii="Cambria Math" w:hAnsi="Cambria Math"/>
                        <w:sz w:val="24"/>
                        <w:szCs w:val="24"/>
                      </w:rPr>
                      <m:t>0</m:t>
                    </m:r>
                  </m:sub>
                </m:sSub>
                <m:r>
                  <m:rPr>
                    <m:sty m:val="p"/>
                  </m:rPr>
                  <w:rPr>
                    <w:rStyle w:val="vlist-s"/>
                    <w:rFonts w:ascii="Cambria Math" w:hAnsi="Cambria Math"/>
                    <w:sz w:val="24"/>
                    <w:szCs w:val="24"/>
                  </w:rPr>
                  <m:t>​</m:t>
                </m:r>
                <m:r>
                  <m:rPr>
                    <m:sty m:val="p"/>
                  </m:rPr>
                  <w:rPr>
                    <w:rStyle w:val="mbin"/>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γ</m:t>
                    </m:r>
                  </m:e>
                  <m:sub>
                    <m:r>
                      <m:rPr>
                        <m:sty m:val="p"/>
                      </m:rPr>
                      <w:rPr>
                        <w:rStyle w:val="mord"/>
                        <w:rFonts w:ascii="Cambria Math" w:hAnsi="Cambria Math"/>
                        <w:sz w:val="24"/>
                        <w:szCs w:val="24"/>
                      </w:rPr>
                      <m:t>1</m:t>
                    </m:r>
                  </m:sub>
                </m:sSub>
                <m:r>
                  <m:rPr>
                    <m:sty m:val="p"/>
                  </m:rPr>
                  <w:rPr>
                    <w:rStyle w:val="vlist-s"/>
                    <w:rFonts w:ascii="Cambria Math" w:hAnsi="Cambria Math"/>
                    <w:sz w:val="24"/>
                    <w:szCs w:val="24"/>
                  </w:rPr>
                  <m:t>​</m:t>
                </m:r>
                <m:r>
                  <m:rPr>
                    <m:sty m:val="p"/>
                  </m:rPr>
                  <w:rPr>
                    <w:rStyle w:val="mord"/>
                    <w:rFonts w:ascii="Cambria Math" w:hAnsi="Cambria Math"/>
                    <w:sz w:val="24"/>
                    <w:szCs w:val="24"/>
                  </w:rPr>
                  <m:t>I</m:t>
                </m:r>
                <m:r>
                  <m:rPr>
                    <m:sty m:val="p"/>
                  </m:rPr>
                  <w:rPr>
                    <w:rStyle w:val="mbin"/>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γ</m:t>
                    </m:r>
                  </m:e>
                  <m:sub>
                    <m:r>
                      <m:rPr>
                        <m:sty m:val="p"/>
                      </m:rPr>
                      <w:rPr>
                        <w:rStyle w:val="mord"/>
                        <w:rFonts w:ascii="Cambria Math" w:hAnsi="Cambria Math"/>
                        <w:sz w:val="24"/>
                        <w:szCs w:val="24"/>
                      </w:rPr>
                      <m:t>2</m:t>
                    </m:r>
                  </m:sub>
                </m:sSub>
                <m:r>
                  <m:rPr>
                    <m:sty m:val="p"/>
                  </m:rPr>
                  <w:rPr>
                    <w:rStyle w:val="vlist-s"/>
                    <w:rFonts w:ascii="Cambria Math" w:hAnsi="Cambria Math"/>
                    <w:sz w:val="24"/>
                    <w:szCs w:val="24"/>
                  </w:rPr>
                  <m:t>​</m:t>
                </m:r>
                <m:r>
                  <m:rPr>
                    <m:sty m:val="p"/>
                  </m:rPr>
                  <w:rPr>
                    <w:rStyle w:val="mord"/>
                    <w:rFonts w:ascii="Cambria Math" w:hAnsi="Cambria Math"/>
                    <w:sz w:val="24"/>
                    <w:szCs w:val="24"/>
                  </w:rPr>
                  <m:t>R</m:t>
                </m:r>
                <m:r>
                  <m:rPr>
                    <m:sty m:val="p"/>
                  </m:rPr>
                  <w:rPr>
                    <w:rStyle w:val="mbin"/>
                    <w:rFonts w:ascii="Cambria Math" w:hAnsi="Cambria Math"/>
                    <w:sz w:val="24"/>
                    <w:szCs w:val="24"/>
                  </w:rPr>
                  <m:t>+</m:t>
                </m:r>
                <m:r>
                  <m:rPr>
                    <m:sty m:val="p"/>
                  </m:rPr>
                  <w:rPr>
                    <w:rStyle w:val="mord"/>
                    <w:rFonts w:ascii="Cambria Math" w:hAnsi="Cambria Math"/>
                    <w:sz w:val="24"/>
                    <w:szCs w:val="24"/>
                  </w:rPr>
                  <m:t>ε</m:t>
                </m:r>
              </m:oMath>
            </m:oMathPara>
          </w:p>
        </w:tc>
        <w:tc>
          <w:tcPr>
            <w:tcW w:w="0" w:type="auto"/>
            <w:hideMark/>
          </w:tcPr>
          <w:p w14:paraId="6EC09900" w14:textId="77777777" w:rsidR="00F312CF" w:rsidRPr="008543FB" w:rsidRDefault="00F312CF" w:rsidP="00F312CF">
            <w:pPr>
              <w:rPr>
                <w:sz w:val="24"/>
                <w:szCs w:val="24"/>
              </w:rPr>
            </w:pPr>
            <w:r w:rsidRPr="008543FB">
              <w:rPr>
                <w:sz w:val="24"/>
                <w:szCs w:val="24"/>
              </w:rPr>
              <w:t>Regression model measuring financial institutions' preparedness.</w:t>
            </w:r>
          </w:p>
        </w:tc>
      </w:tr>
      <w:tr w:rsidR="00F312CF" w:rsidRPr="008543FB" w14:paraId="7D35F46E" w14:textId="77777777" w:rsidTr="00F312CF">
        <w:tc>
          <w:tcPr>
            <w:tcW w:w="0" w:type="auto"/>
            <w:hideMark/>
          </w:tcPr>
          <w:p w14:paraId="254653C1" w14:textId="77777777" w:rsidR="00F312CF" w:rsidRPr="008543FB" w:rsidRDefault="00F312CF" w:rsidP="00F312CF">
            <w:pPr>
              <w:rPr>
                <w:sz w:val="24"/>
                <w:szCs w:val="24"/>
              </w:rPr>
            </w:pPr>
            <w:r w:rsidRPr="008543FB">
              <w:rPr>
                <w:rStyle w:val="Strong"/>
                <w:sz w:val="24"/>
                <w:szCs w:val="24"/>
              </w:rPr>
              <w:t>Regulatory Compliance Index (RCI)</w:t>
            </w:r>
          </w:p>
        </w:tc>
        <w:tc>
          <w:tcPr>
            <w:tcW w:w="0" w:type="auto"/>
            <w:hideMark/>
          </w:tcPr>
          <w:p w14:paraId="1607C698" w14:textId="77777777" w:rsidR="00F312CF" w:rsidRPr="008543FB" w:rsidRDefault="00C5542C" w:rsidP="00F312CF">
            <w:pPr>
              <w:rPr>
                <w:sz w:val="24"/>
                <w:szCs w:val="24"/>
              </w:rPr>
            </w:pPr>
            <m:oMathPara>
              <m:oMath>
                <m:r>
                  <m:rPr>
                    <m:sty m:val="p"/>
                  </m:rPr>
                  <w:rPr>
                    <w:rStyle w:val="mord"/>
                    <w:rFonts w:ascii="Cambria Math" w:hAnsi="Cambria Math"/>
                    <w:sz w:val="24"/>
                    <w:szCs w:val="24"/>
                  </w:rPr>
                  <m:t>RCI</m:t>
                </m:r>
                <m:r>
                  <m:rPr>
                    <m:sty m:val="p"/>
                  </m:rPr>
                  <w:rPr>
                    <w:rStyle w:val="mrel"/>
                    <w:rFonts w:ascii="Cambria Math" w:hAnsi="Cambria Math"/>
                    <w:sz w:val="24"/>
                    <w:szCs w:val="24"/>
                  </w:rPr>
                  <m:t>=</m:t>
                </m:r>
                <m:r>
                  <m:rPr>
                    <m:sty m:val="p"/>
                  </m:rPr>
                  <w:rPr>
                    <w:rStyle w:val="vlist-s"/>
                    <w:rFonts w:ascii="Cambria Math" w:hAnsi="Cambria Math"/>
                    <w:sz w:val="24"/>
                    <w:szCs w:val="24"/>
                  </w:rPr>
                  <m:t>​</m:t>
                </m:r>
                <m:nary>
                  <m:naryPr>
                    <m:chr m:val="∑"/>
                    <m:limLoc m:val="subSup"/>
                    <m:ctrlPr>
                      <w:rPr>
                        <w:rStyle w:val="vlist-s"/>
                        <w:rFonts w:ascii="Cambria Math" w:hAnsi="Cambria Math"/>
                        <w:sz w:val="24"/>
                        <w:szCs w:val="24"/>
                      </w:rPr>
                    </m:ctrlPr>
                  </m:naryPr>
                  <m:sub>
                    <m:r>
                      <w:rPr>
                        <w:rStyle w:val="vlist-s"/>
                        <w:rFonts w:ascii="Cambria Math" w:hAnsi="Cambria Math"/>
                        <w:sz w:val="24"/>
                        <w:szCs w:val="24"/>
                      </w:rPr>
                      <m:t>i=1</m:t>
                    </m:r>
                  </m:sub>
                  <m:sup>
                    <m:r>
                      <w:rPr>
                        <w:rStyle w:val="vlist-s"/>
                        <w:rFonts w:ascii="Cambria Math" w:hAnsi="Cambria Math"/>
                        <w:sz w:val="24"/>
                        <w:szCs w:val="24"/>
                      </w:rPr>
                      <m:t>n</m:t>
                    </m:r>
                  </m:sup>
                  <m:e>
                    <m:sSub>
                      <m:sSubPr>
                        <m:ctrlPr>
                          <w:rPr>
                            <w:rStyle w:val="vlist-s"/>
                            <w:rFonts w:ascii="Cambria Math" w:hAnsi="Cambria Math"/>
                            <w:i/>
                            <w:sz w:val="24"/>
                            <w:szCs w:val="24"/>
                          </w:rPr>
                        </m:ctrlPr>
                      </m:sSubPr>
                      <m:e>
                        <m:r>
                          <w:rPr>
                            <w:rStyle w:val="vlist-s"/>
                            <w:rFonts w:ascii="Cambria Math" w:hAnsi="Cambria Math"/>
                            <w:sz w:val="24"/>
                            <w:szCs w:val="24"/>
                          </w:rPr>
                          <m:t>w</m:t>
                        </m:r>
                      </m:e>
                      <m:sub>
                        <m:r>
                          <w:rPr>
                            <w:rStyle w:val="vlist-s"/>
                            <w:rFonts w:ascii="Cambria Math" w:hAnsi="Cambria Math"/>
                            <w:sz w:val="24"/>
                            <w:szCs w:val="24"/>
                          </w:rPr>
                          <m:t>i</m:t>
                        </m:r>
                      </m:sub>
                    </m:sSub>
                    <m:sSub>
                      <m:sSubPr>
                        <m:ctrlPr>
                          <w:rPr>
                            <w:rStyle w:val="vlist-s"/>
                            <w:rFonts w:ascii="Cambria Math" w:hAnsi="Cambria Math"/>
                            <w:i/>
                            <w:sz w:val="24"/>
                            <w:szCs w:val="24"/>
                          </w:rPr>
                        </m:ctrlPr>
                      </m:sSubPr>
                      <m:e>
                        <m:r>
                          <w:rPr>
                            <w:rStyle w:val="vlist-s"/>
                            <w:rFonts w:ascii="Cambria Math" w:hAnsi="Cambria Math"/>
                            <w:sz w:val="24"/>
                            <w:szCs w:val="24"/>
                          </w:rPr>
                          <m:t>C</m:t>
                        </m:r>
                      </m:e>
                      <m:sub>
                        <m:r>
                          <w:rPr>
                            <w:rStyle w:val="vlist-s"/>
                            <w:rFonts w:ascii="Cambria Math" w:hAnsi="Cambria Math"/>
                            <w:sz w:val="24"/>
                            <w:szCs w:val="24"/>
                          </w:rPr>
                          <m:t>i</m:t>
                        </m:r>
                      </m:sub>
                    </m:sSub>
                  </m:e>
                </m:nary>
                <m:r>
                  <m:rPr>
                    <m:sty m:val="p"/>
                  </m:rPr>
                  <w:rPr>
                    <w:rStyle w:val="vlist-s"/>
                    <w:rFonts w:ascii="Cambria Math" w:hAnsi="Cambria Math"/>
                    <w:sz w:val="24"/>
                    <w:szCs w:val="24"/>
                  </w:rPr>
                  <m:t>​</m:t>
                </m:r>
              </m:oMath>
            </m:oMathPara>
          </w:p>
        </w:tc>
        <w:tc>
          <w:tcPr>
            <w:tcW w:w="0" w:type="auto"/>
            <w:hideMark/>
          </w:tcPr>
          <w:p w14:paraId="435A6087" w14:textId="77777777" w:rsidR="00F312CF" w:rsidRPr="008543FB" w:rsidRDefault="00F312CF" w:rsidP="00F312CF">
            <w:pPr>
              <w:rPr>
                <w:sz w:val="24"/>
                <w:szCs w:val="24"/>
              </w:rPr>
            </w:pPr>
            <w:r w:rsidRPr="008543FB">
              <w:rPr>
                <w:sz w:val="24"/>
                <w:szCs w:val="24"/>
              </w:rPr>
              <w:t>Weighted scoring model for regulatory adoption of quantum security.</w:t>
            </w:r>
          </w:p>
        </w:tc>
      </w:tr>
      <w:tr w:rsidR="00F312CF" w:rsidRPr="008543FB" w14:paraId="24631CFE" w14:textId="77777777" w:rsidTr="00F312CF">
        <w:tc>
          <w:tcPr>
            <w:tcW w:w="0" w:type="auto"/>
            <w:hideMark/>
          </w:tcPr>
          <w:p w14:paraId="19EF148D" w14:textId="77777777" w:rsidR="00F312CF" w:rsidRPr="008543FB" w:rsidRDefault="00F312CF" w:rsidP="00F312CF">
            <w:pPr>
              <w:rPr>
                <w:sz w:val="24"/>
                <w:szCs w:val="24"/>
              </w:rPr>
            </w:pPr>
            <w:r w:rsidRPr="008543FB">
              <w:rPr>
                <w:rStyle w:val="Strong"/>
                <w:sz w:val="24"/>
                <w:szCs w:val="24"/>
              </w:rPr>
              <w:t>Time-Series Model for Policy Adoption</w:t>
            </w:r>
          </w:p>
        </w:tc>
        <w:tc>
          <w:tcPr>
            <w:tcW w:w="0" w:type="auto"/>
            <w:hideMark/>
          </w:tcPr>
          <w:p w14:paraId="03F430FB" w14:textId="77777777" w:rsidR="00F312CF" w:rsidRPr="008543FB" w:rsidRDefault="0078253A" w:rsidP="00F312CF">
            <w:pPr>
              <w:rPr>
                <w:sz w:val="24"/>
                <w:szCs w:val="24"/>
              </w:rPr>
            </w:pPr>
            <m:oMathPara>
              <m:oMath>
                <m:r>
                  <m:rPr>
                    <m:sty m:val="p"/>
                  </m:rPr>
                  <w:rPr>
                    <w:rStyle w:val="mord"/>
                    <w:rFonts w:ascii="Cambria Math" w:hAnsi="Cambria Math"/>
                    <w:sz w:val="24"/>
                    <w:szCs w:val="24"/>
                  </w:rPr>
                  <m:t>P</m:t>
                </m:r>
                <m:d>
                  <m:dPr>
                    <m:ctrlPr>
                      <w:rPr>
                        <w:rStyle w:val="mopen"/>
                        <w:rFonts w:ascii="Cambria Math" w:hAnsi="Cambria Math"/>
                        <w:sz w:val="24"/>
                        <w:szCs w:val="24"/>
                      </w:rPr>
                    </m:ctrlPr>
                  </m:dPr>
                  <m:e>
                    <m:r>
                      <m:rPr>
                        <m:sty m:val="p"/>
                      </m:rPr>
                      <w:rPr>
                        <w:rStyle w:val="mord"/>
                        <w:rFonts w:ascii="Cambria Math" w:hAnsi="Cambria Math"/>
                        <w:sz w:val="24"/>
                        <w:szCs w:val="24"/>
                      </w:rPr>
                      <m:t>t</m:t>
                    </m:r>
                    <m:ctrlPr>
                      <w:rPr>
                        <w:rStyle w:val="mclose"/>
                        <w:rFonts w:ascii="Cambria Math" w:hAnsi="Cambria Math"/>
                        <w:sz w:val="24"/>
                        <w:szCs w:val="24"/>
                      </w:rPr>
                    </m:ctrlPr>
                  </m:e>
                </m:d>
                <m:r>
                  <m:rPr>
                    <m:sty m:val="p"/>
                  </m:rPr>
                  <w:rPr>
                    <w:rStyle w:val="mrel"/>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δ</m:t>
                    </m:r>
                    <m:ctrlPr>
                      <w:rPr>
                        <w:rStyle w:val="mrel"/>
                        <w:rFonts w:ascii="Cambria Math" w:hAnsi="Cambria Math"/>
                        <w:sz w:val="24"/>
                        <w:szCs w:val="24"/>
                      </w:rPr>
                    </m:ctrlPr>
                  </m:e>
                  <m:sub>
                    <m:r>
                      <m:rPr>
                        <m:sty m:val="p"/>
                      </m:rPr>
                      <w:rPr>
                        <w:rStyle w:val="mord"/>
                        <w:rFonts w:ascii="Cambria Math" w:hAnsi="Cambria Math"/>
                        <w:sz w:val="24"/>
                        <w:szCs w:val="24"/>
                      </w:rPr>
                      <m:t>0</m:t>
                    </m:r>
                  </m:sub>
                </m:sSub>
                <m:r>
                  <m:rPr>
                    <m:sty m:val="p"/>
                  </m:rPr>
                  <w:rPr>
                    <w:rStyle w:val="vlist-s"/>
                    <w:rFonts w:ascii="Cambria Math" w:hAnsi="Cambria Math"/>
                    <w:sz w:val="24"/>
                    <w:szCs w:val="24"/>
                  </w:rPr>
                  <m:t>​</m:t>
                </m:r>
                <m:r>
                  <m:rPr>
                    <m:sty m:val="p"/>
                  </m:rPr>
                  <w:rPr>
                    <w:rStyle w:val="mbin"/>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δ</m:t>
                    </m:r>
                    <m:ctrlPr>
                      <w:rPr>
                        <w:rStyle w:val="mbin"/>
                        <w:rFonts w:ascii="Cambria Math" w:hAnsi="Cambria Math"/>
                        <w:sz w:val="24"/>
                        <w:szCs w:val="24"/>
                      </w:rPr>
                    </m:ctrlPr>
                  </m:e>
                  <m:sub>
                    <m:r>
                      <m:rPr>
                        <m:sty m:val="p"/>
                      </m:rPr>
                      <w:rPr>
                        <w:rStyle w:val="mord"/>
                        <w:rFonts w:ascii="Cambria Math" w:hAnsi="Cambria Math"/>
                        <w:sz w:val="24"/>
                        <w:szCs w:val="24"/>
                      </w:rPr>
                      <m:t>1</m:t>
                    </m:r>
                  </m:sub>
                </m:sSub>
                <m:r>
                  <m:rPr>
                    <m:sty m:val="p"/>
                  </m:rPr>
                  <w:rPr>
                    <w:rStyle w:val="vlist-s"/>
                    <w:rFonts w:ascii="Cambria Math" w:hAnsi="Cambria Math"/>
                    <w:sz w:val="24"/>
                    <w:szCs w:val="24"/>
                  </w:rPr>
                  <m:t>​</m:t>
                </m:r>
                <m:r>
                  <m:rPr>
                    <m:sty m:val="p"/>
                  </m:rPr>
                  <w:rPr>
                    <w:rStyle w:val="mord"/>
                    <w:rFonts w:ascii="Cambria Math" w:hAnsi="Cambria Math"/>
                    <w:sz w:val="24"/>
                    <w:szCs w:val="24"/>
                  </w:rPr>
                  <m:t>t</m:t>
                </m:r>
                <m:r>
                  <m:rPr>
                    <m:sty m:val="p"/>
                  </m:rPr>
                  <w:rPr>
                    <w:rStyle w:val="mbin"/>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ε</m:t>
                    </m:r>
                    <m:ctrlPr>
                      <w:rPr>
                        <w:rStyle w:val="mbin"/>
                        <w:rFonts w:ascii="Cambria Math" w:hAnsi="Cambria Math"/>
                        <w:sz w:val="24"/>
                        <w:szCs w:val="24"/>
                      </w:rPr>
                    </m:ctrlPr>
                  </m:e>
                  <m:sub>
                    <m:r>
                      <m:rPr>
                        <m:sty m:val="p"/>
                      </m:rPr>
                      <w:rPr>
                        <w:rStyle w:val="mord"/>
                        <w:rFonts w:ascii="Cambria Math" w:hAnsi="Cambria Math"/>
                        <w:sz w:val="24"/>
                        <w:szCs w:val="24"/>
                      </w:rPr>
                      <m:t>t</m:t>
                    </m:r>
                  </m:sub>
                </m:sSub>
                <m:r>
                  <m:rPr>
                    <m:sty m:val="p"/>
                  </m:rPr>
                  <w:rPr>
                    <w:rStyle w:val="vlist-s"/>
                    <w:rFonts w:ascii="Cambria Math" w:hAnsi="Cambria Math"/>
                    <w:sz w:val="24"/>
                    <w:szCs w:val="24"/>
                  </w:rPr>
                  <m:t>​</m:t>
                </m:r>
              </m:oMath>
            </m:oMathPara>
          </w:p>
        </w:tc>
        <w:tc>
          <w:tcPr>
            <w:tcW w:w="0" w:type="auto"/>
            <w:hideMark/>
          </w:tcPr>
          <w:p w14:paraId="4A07B2CC" w14:textId="77777777" w:rsidR="00F312CF" w:rsidRPr="008543FB" w:rsidRDefault="00F312CF" w:rsidP="00F312CF">
            <w:pPr>
              <w:rPr>
                <w:sz w:val="24"/>
                <w:szCs w:val="24"/>
              </w:rPr>
            </w:pPr>
            <w:r w:rsidRPr="008543FB">
              <w:rPr>
                <w:sz w:val="24"/>
                <w:szCs w:val="24"/>
              </w:rPr>
              <w:t>Trend analysis of global quantum-resistant cryptographic regulations.</w:t>
            </w:r>
          </w:p>
        </w:tc>
      </w:tr>
    </w:tbl>
    <w:p w14:paraId="095C10CC" w14:textId="77777777" w:rsidR="00F312CF" w:rsidRPr="008543FB" w:rsidRDefault="00F312CF" w:rsidP="00F312CF">
      <w:pPr>
        <w:rPr>
          <w:sz w:val="24"/>
          <w:szCs w:val="24"/>
          <w:highlight w:val="white"/>
        </w:rPr>
      </w:pPr>
    </w:p>
    <w:p w14:paraId="2BFD1164" w14:textId="2C39CF8B" w:rsidR="00905DBC" w:rsidRPr="008543FB" w:rsidRDefault="003B7EF2">
      <w:pPr>
        <w:spacing w:before="240" w:after="240"/>
        <w:jc w:val="both"/>
        <w:rPr>
          <w:rFonts w:eastAsia="Roboto"/>
          <w:b/>
          <w:color w:val="0D0D0D"/>
          <w:sz w:val="24"/>
          <w:szCs w:val="24"/>
          <w:highlight w:val="white"/>
        </w:rPr>
      </w:pPr>
      <w:r w:rsidRPr="008543FB">
        <w:rPr>
          <w:rFonts w:eastAsia="Roboto"/>
          <w:b/>
          <w:color w:val="0D0D0D"/>
          <w:sz w:val="24"/>
          <w:szCs w:val="24"/>
          <w:highlight w:val="white"/>
        </w:rPr>
        <w:t>4.</w:t>
      </w:r>
      <w:r w:rsidRPr="008543FB">
        <w:rPr>
          <w:rFonts w:eastAsia="Roboto"/>
          <w:b/>
          <w:color w:val="0D0D0D"/>
          <w:sz w:val="24"/>
          <w:szCs w:val="24"/>
          <w:highlight w:val="white"/>
        </w:rPr>
        <w:tab/>
        <w:t>Results and Discussion</w:t>
      </w:r>
    </w:p>
    <w:p w14:paraId="2690F468" w14:textId="77777777" w:rsidR="00905DBC" w:rsidRPr="008543FB" w:rsidRDefault="00453400">
      <w:pPr>
        <w:pStyle w:val="Heading3"/>
        <w:keepNext w:val="0"/>
        <w:keepLines w:val="0"/>
        <w:spacing w:before="280"/>
        <w:jc w:val="both"/>
        <w:rPr>
          <w:rFonts w:eastAsia="Roboto"/>
          <w:b/>
          <w:color w:val="0D0D0D"/>
          <w:sz w:val="24"/>
          <w:szCs w:val="24"/>
          <w:highlight w:val="white"/>
        </w:rPr>
      </w:pPr>
      <w:bookmarkStart w:id="9" w:name="_bow9kryzjbzg" w:colFirst="0" w:colLast="0"/>
      <w:bookmarkEnd w:id="9"/>
      <w:r w:rsidRPr="008543FB">
        <w:rPr>
          <w:rFonts w:eastAsia="Roboto"/>
          <w:b/>
          <w:color w:val="0D0D0D"/>
          <w:sz w:val="24"/>
          <w:szCs w:val="24"/>
          <w:highlight w:val="white"/>
        </w:rPr>
        <w:t>Quantum Vulnerabilities in Blockchain Cryptographic Protocols: A Quantitative Assessment</w:t>
      </w:r>
    </w:p>
    <w:p w14:paraId="21FD13C6" w14:textId="77777777" w:rsidR="00905DBC" w:rsidRPr="008543FB" w:rsidRDefault="00453400">
      <w:pPr>
        <w:spacing w:before="240" w:after="240"/>
        <w:jc w:val="both"/>
        <w:rPr>
          <w:rFonts w:eastAsia="Roboto"/>
          <w:color w:val="0D0D0D"/>
          <w:sz w:val="24"/>
          <w:szCs w:val="24"/>
          <w:highlight w:val="white"/>
        </w:rPr>
      </w:pPr>
      <w:bookmarkStart w:id="10" w:name="_5i9h662eqpks" w:colFirst="0" w:colLast="0"/>
      <w:bookmarkEnd w:id="10"/>
      <w:r w:rsidRPr="008543FB">
        <w:rPr>
          <w:rFonts w:eastAsia="Roboto"/>
          <w:color w:val="0D0D0D"/>
          <w:sz w:val="24"/>
          <w:szCs w:val="24"/>
          <w:highlight w:val="white"/>
        </w:rPr>
        <w:t>Blockchain technology has become a fundamental component of financial data governance, ensuring secure, transparent, and efficient transactions. However, the emergence of quantum computing introduces significant risks, particularly to cryptographic mechanisms such as RSA, ECC, and SHA-256. These cryptographic protocols rely on mathematical complexities that quantum algorithms like Shor’s and Grover’s can potentially break in significantly reduced timeframes. The growing advancements in quantum hardware, as demonstrated by IBM’s Condor Quantum Processor and Google’s Willow Quantum Chip, highlight the increasing feasibility of quantum decryption. This report analyzes the vulnerabilities of blockchain cryptographic protocols, focusing on their exposure to quantum computing threats and the timeline for their potential obsolescence.</w:t>
      </w:r>
    </w:p>
    <w:p w14:paraId="04EC4C2E" w14:textId="77777777" w:rsidR="00905DBC" w:rsidRPr="008543FB" w:rsidRDefault="00453400">
      <w:pPr>
        <w:spacing w:before="240" w:after="240"/>
        <w:jc w:val="both"/>
        <w:rPr>
          <w:rFonts w:eastAsia="Roboto"/>
          <w:color w:val="0D0D0D"/>
          <w:sz w:val="24"/>
          <w:szCs w:val="24"/>
          <w:highlight w:val="white"/>
        </w:rPr>
      </w:pPr>
      <w:bookmarkStart w:id="11" w:name="_nhf9rynb5xr5" w:colFirst="0" w:colLast="0"/>
      <w:bookmarkEnd w:id="11"/>
      <w:r w:rsidRPr="008543FB">
        <w:rPr>
          <w:rFonts w:eastAsia="Roboto"/>
          <w:color w:val="0D0D0D"/>
          <w:sz w:val="24"/>
          <w:szCs w:val="24"/>
          <w:highlight w:val="white"/>
        </w:rPr>
        <w:t>The computational complexity analysis indicates that RSA-2048 encryption, which is widely utilized in securing financial blockchain infrastructures, demonstrates high vulnerability to Shor’s algorithm. The estimated decryption time decreases sharply as quantum computing power increases. As presented in Table 2, when quantum computers reach 10,000 qubits, RSA-2048 decryption time is projected to be 2.4 minutes, raising concerns over the security of long-term financial transactions.</w:t>
      </w:r>
    </w:p>
    <w:p w14:paraId="78332B7E" w14:textId="77777777" w:rsidR="00905DBC" w:rsidRPr="008543FB" w:rsidRDefault="00453400">
      <w:pPr>
        <w:pStyle w:val="Heading4"/>
        <w:keepNext w:val="0"/>
        <w:keepLines w:val="0"/>
        <w:spacing w:before="240" w:after="40"/>
        <w:jc w:val="both"/>
        <w:rPr>
          <w:rFonts w:eastAsia="Roboto"/>
          <w:color w:val="0D0D0D"/>
          <w:highlight w:val="white"/>
        </w:rPr>
      </w:pPr>
      <w:bookmarkStart w:id="12" w:name="_x24v2mawl6aw" w:colFirst="0" w:colLast="0"/>
      <w:bookmarkEnd w:id="12"/>
      <w:r w:rsidRPr="008543FB">
        <w:rPr>
          <w:rFonts w:eastAsia="Roboto"/>
          <w:color w:val="0D0D0D"/>
          <w:highlight w:val="white"/>
        </w:rPr>
        <w:t>Table 2: Estimated Quantum Decryption Time for Blockchain Cryptographic Protocols</w:t>
      </w:r>
    </w:p>
    <w:tbl>
      <w:tblPr>
        <w:tblStyle w:val="TableGrid"/>
        <w:tblW w:w="9175" w:type="dxa"/>
        <w:tblLayout w:type="fixed"/>
        <w:tblLook w:val="0600" w:firstRow="0" w:lastRow="0" w:firstColumn="0" w:lastColumn="0" w:noHBand="1" w:noVBand="1"/>
      </w:tblPr>
      <w:tblGrid>
        <w:gridCol w:w="1950"/>
        <w:gridCol w:w="2005"/>
        <w:gridCol w:w="2250"/>
        <w:gridCol w:w="2970"/>
      </w:tblGrid>
      <w:tr w:rsidR="00905DBC" w:rsidRPr="008543FB" w14:paraId="1FFE9485" w14:textId="77777777" w:rsidTr="005A6BE9">
        <w:trPr>
          <w:trHeight w:val="515"/>
        </w:trPr>
        <w:tc>
          <w:tcPr>
            <w:tcW w:w="1950" w:type="dxa"/>
          </w:tcPr>
          <w:p w14:paraId="5E18761C" w14:textId="77777777" w:rsidR="00905DBC" w:rsidRPr="008543FB" w:rsidRDefault="00453400" w:rsidP="005A6BE9">
            <w:pPr>
              <w:jc w:val="center"/>
              <w:rPr>
                <w:rFonts w:eastAsia="Roboto"/>
                <w:color w:val="0D0D0D"/>
                <w:sz w:val="24"/>
                <w:szCs w:val="24"/>
                <w:highlight w:val="white"/>
              </w:rPr>
            </w:pPr>
            <w:r w:rsidRPr="008543FB">
              <w:rPr>
                <w:rFonts w:eastAsia="Roboto"/>
                <w:color w:val="0D0D0D"/>
                <w:sz w:val="24"/>
                <w:szCs w:val="24"/>
                <w:highlight w:val="white"/>
              </w:rPr>
              <w:t>Encryption Type</w:t>
            </w:r>
          </w:p>
        </w:tc>
        <w:tc>
          <w:tcPr>
            <w:tcW w:w="2005" w:type="dxa"/>
          </w:tcPr>
          <w:p w14:paraId="6B77FB64" w14:textId="77777777" w:rsidR="00905DBC" w:rsidRPr="008543FB" w:rsidRDefault="00453400" w:rsidP="005A6BE9">
            <w:pPr>
              <w:jc w:val="center"/>
              <w:rPr>
                <w:rFonts w:eastAsia="Roboto"/>
                <w:color w:val="0D0D0D"/>
                <w:sz w:val="24"/>
                <w:szCs w:val="24"/>
                <w:highlight w:val="white"/>
              </w:rPr>
            </w:pPr>
            <w:r w:rsidRPr="008543FB">
              <w:rPr>
                <w:rFonts w:eastAsia="Roboto"/>
                <w:color w:val="0D0D0D"/>
                <w:sz w:val="24"/>
                <w:szCs w:val="24"/>
                <w:highlight w:val="white"/>
              </w:rPr>
              <w:t>Bit Length</w:t>
            </w:r>
          </w:p>
        </w:tc>
        <w:tc>
          <w:tcPr>
            <w:tcW w:w="2250" w:type="dxa"/>
          </w:tcPr>
          <w:p w14:paraId="74F428C1" w14:textId="77777777" w:rsidR="00905DBC" w:rsidRPr="008543FB" w:rsidRDefault="00453400" w:rsidP="005A6BE9">
            <w:pPr>
              <w:jc w:val="center"/>
              <w:rPr>
                <w:rFonts w:eastAsia="Roboto"/>
                <w:color w:val="0D0D0D"/>
                <w:sz w:val="24"/>
                <w:szCs w:val="24"/>
                <w:highlight w:val="white"/>
              </w:rPr>
            </w:pPr>
            <w:r w:rsidRPr="008543FB">
              <w:rPr>
                <w:rFonts w:eastAsia="Roboto"/>
                <w:color w:val="0D0D0D"/>
                <w:sz w:val="24"/>
                <w:szCs w:val="24"/>
                <w:highlight w:val="white"/>
              </w:rPr>
              <w:t>Qubit Capacity</w:t>
            </w:r>
          </w:p>
        </w:tc>
        <w:tc>
          <w:tcPr>
            <w:tcW w:w="2970" w:type="dxa"/>
          </w:tcPr>
          <w:p w14:paraId="55CC7703" w14:textId="77777777" w:rsidR="00905DBC" w:rsidRPr="008543FB" w:rsidRDefault="00453400" w:rsidP="005A6BE9">
            <w:pPr>
              <w:jc w:val="center"/>
              <w:rPr>
                <w:rFonts w:eastAsia="Roboto"/>
                <w:color w:val="0D0D0D"/>
                <w:sz w:val="24"/>
                <w:szCs w:val="24"/>
                <w:highlight w:val="white"/>
              </w:rPr>
            </w:pPr>
            <w:r w:rsidRPr="008543FB">
              <w:rPr>
                <w:rFonts w:eastAsia="Roboto"/>
                <w:color w:val="0D0D0D"/>
                <w:sz w:val="24"/>
                <w:szCs w:val="24"/>
                <w:highlight w:val="white"/>
              </w:rPr>
              <w:t>Estimated Decryption Time (minutes)</w:t>
            </w:r>
          </w:p>
        </w:tc>
      </w:tr>
      <w:tr w:rsidR="00905DBC" w:rsidRPr="008543FB" w14:paraId="3CB27CA0" w14:textId="77777777" w:rsidTr="005A6BE9">
        <w:trPr>
          <w:trHeight w:val="515"/>
        </w:trPr>
        <w:tc>
          <w:tcPr>
            <w:tcW w:w="1950" w:type="dxa"/>
          </w:tcPr>
          <w:p w14:paraId="04947169" w14:textId="77777777" w:rsidR="00905DBC" w:rsidRPr="008543FB" w:rsidRDefault="00453400" w:rsidP="005A6BE9">
            <w:pPr>
              <w:jc w:val="both"/>
              <w:rPr>
                <w:rFonts w:eastAsia="Roboto"/>
                <w:color w:val="0D0D0D"/>
                <w:sz w:val="24"/>
                <w:szCs w:val="24"/>
                <w:highlight w:val="white"/>
              </w:rPr>
            </w:pPr>
            <w:r w:rsidRPr="008543FB">
              <w:rPr>
                <w:rFonts w:eastAsia="Roboto"/>
                <w:color w:val="0D0D0D"/>
                <w:sz w:val="24"/>
                <w:szCs w:val="24"/>
                <w:highlight w:val="white"/>
              </w:rPr>
              <w:t>RSA-2048</w:t>
            </w:r>
          </w:p>
        </w:tc>
        <w:tc>
          <w:tcPr>
            <w:tcW w:w="2005" w:type="dxa"/>
          </w:tcPr>
          <w:p w14:paraId="4DCF7A5F" w14:textId="77777777" w:rsidR="00905DBC" w:rsidRPr="008543FB" w:rsidRDefault="00453400" w:rsidP="005A6BE9">
            <w:pPr>
              <w:jc w:val="both"/>
              <w:rPr>
                <w:rFonts w:eastAsia="Roboto"/>
                <w:color w:val="0D0D0D"/>
                <w:sz w:val="24"/>
                <w:szCs w:val="24"/>
                <w:highlight w:val="white"/>
              </w:rPr>
            </w:pPr>
            <w:r w:rsidRPr="008543FB">
              <w:rPr>
                <w:rFonts w:eastAsia="Roboto"/>
                <w:color w:val="0D0D0D"/>
                <w:sz w:val="24"/>
                <w:szCs w:val="24"/>
                <w:highlight w:val="white"/>
              </w:rPr>
              <w:t>2048</w:t>
            </w:r>
          </w:p>
        </w:tc>
        <w:tc>
          <w:tcPr>
            <w:tcW w:w="2250" w:type="dxa"/>
          </w:tcPr>
          <w:p w14:paraId="2B967551" w14:textId="77777777" w:rsidR="00905DBC" w:rsidRPr="008543FB" w:rsidRDefault="00453400" w:rsidP="005A6BE9">
            <w:pPr>
              <w:jc w:val="both"/>
              <w:rPr>
                <w:rFonts w:eastAsia="Roboto"/>
                <w:color w:val="0D0D0D"/>
                <w:sz w:val="24"/>
                <w:szCs w:val="24"/>
                <w:highlight w:val="white"/>
              </w:rPr>
            </w:pPr>
            <w:r w:rsidRPr="008543FB">
              <w:rPr>
                <w:rFonts w:eastAsia="Roboto"/>
                <w:color w:val="0D0D0D"/>
                <w:sz w:val="24"/>
                <w:szCs w:val="24"/>
                <w:highlight w:val="white"/>
              </w:rPr>
              <w:t>500</w:t>
            </w:r>
          </w:p>
        </w:tc>
        <w:tc>
          <w:tcPr>
            <w:tcW w:w="2970" w:type="dxa"/>
          </w:tcPr>
          <w:p w14:paraId="461F5FFE" w14:textId="77777777" w:rsidR="00905DBC" w:rsidRPr="008543FB" w:rsidRDefault="00453400" w:rsidP="005A6BE9">
            <w:pPr>
              <w:jc w:val="both"/>
              <w:rPr>
                <w:rFonts w:eastAsia="Roboto"/>
                <w:color w:val="0D0D0D"/>
                <w:sz w:val="24"/>
                <w:szCs w:val="24"/>
                <w:highlight w:val="white"/>
              </w:rPr>
            </w:pPr>
            <w:r w:rsidRPr="008543FB">
              <w:rPr>
                <w:rFonts w:eastAsia="Roboto"/>
                <w:color w:val="0D0D0D"/>
                <w:sz w:val="24"/>
                <w:szCs w:val="24"/>
                <w:highlight w:val="white"/>
              </w:rPr>
              <w:t>3.57</w:t>
            </w:r>
          </w:p>
        </w:tc>
      </w:tr>
      <w:tr w:rsidR="00905DBC" w:rsidRPr="008543FB" w14:paraId="28125E7D" w14:textId="77777777" w:rsidTr="005A6BE9">
        <w:trPr>
          <w:trHeight w:val="515"/>
        </w:trPr>
        <w:tc>
          <w:tcPr>
            <w:tcW w:w="1950" w:type="dxa"/>
          </w:tcPr>
          <w:p w14:paraId="2663C870" w14:textId="77777777" w:rsidR="00905DBC" w:rsidRPr="008543FB" w:rsidRDefault="00453400" w:rsidP="005A6BE9">
            <w:pPr>
              <w:jc w:val="both"/>
              <w:rPr>
                <w:rFonts w:eastAsia="Roboto"/>
                <w:color w:val="0D0D0D"/>
                <w:sz w:val="24"/>
                <w:szCs w:val="24"/>
                <w:highlight w:val="white"/>
              </w:rPr>
            </w:pPr>
            <w:r w:rsidRPr="008543FB">
              <w:rPr>
                <w:rFonts w:eastAsia="Roboto"/>
                <w:color w:val="0D0D0D"/>
                <w:sz w:val="24"/>
                <w:szCs w:val="24"/>
                <w:highlight w:val="white"/>
              </w:rPr>
              <w:lastRenderedPageBreak/>
              <w:t>RSA-2048</w:t>
            </w:r>
          </w:p>
        </w:tc>
        <w:tc>
          <w:tcPr>
            <w:tcW w:w="2005" w:type="dxa"/>
          </w:tcPr>
          <w:p w14:paraId="5D0D4102" w14:textId="77777777" w:rsidR="00905DBC" w:rsidRPr="008543FB" w:rsidRDefault="00453400" w:rsidP="005A6BE9">
            <w:pPr>
              <w:jc w:val="both"/>
              <w:rPr>
                <w:rFonts w:eastAsia="Roboto"/>
                <w:color w:val="0D0D0D"/>
                <w:sz w:val="24"/>
                <w:szCs w:val="24"/>
                <w:highlight w:val="white"/>
              </w:rPr>
            </w:pPr>
            <w:r w:rsidRPr="008543FB">
              <w:rPr>
                <w:rFonts w:eastAsia="Roboto"/>
                <w:color w:val="0D0D0D"/>
                <w:sz w:val="24"/>
                <w:szCs w:val="24"/>
                <w:highlight w:val="white"/>
              </w:rPr>
              <w:t>2048</w:t>
            </w:r>
          </w:p>
        </w:tc>
        <w:tc>
          <w:tcPr>
            <w:tcW w:w="2250" w:type="dxa"/>
          </w:tcPr>
          <w:p w14:paraId="6083DF23" w14:textId="77777777" w:rsidR="00905DBC" w:rsidRPr="008543FB" w:rsidRDefault="00453400" w:rsidP="005A6BE9">
            <w:pPr>
              <w:jc w:val="both"/>
              <w:rPr>
                <w:rFonts w:eastAsia="Roboto"/>
                <w:color w:val="0D0D0D"/>
                <w:sz w:val="24"/>
                <w:szCs w:val="24"/>
                <w:highlight w:val="white"/>
              </w:rPr>
            </w:pPr>
            <w:r w:rsidRPr="008543FB">
              <w:rPr>
                <w:rFonts w:eastAsia="Roboto"/>
                <w:color w:val="0D0D0D"/>
                <w:sz w:val="24"/>
                <w:szCs w:val="24"/>
                <w:highlight w:val="white"/>
              </w:rPr>
              <w:t>1000</w:t>
            </w:r>
          </w:p>
        </w:tc>
        <w:tc>
          <w:tcPr>
            <w:tcW w:w="2970" w:type="dxa"/>
          </w:tcPr>
          <w:p w14:paraId="3E1433C2" w14:textId="77777777" w:rsidR="00905DBC" w:rsidRPr="008543FB" w:rsidRDefault="00453400" w:rsidP="005A6BE9">
            <w:pPr>
              <w:jc w:val="both"/>
              <w:rPr>
                <w:rFonts w:eastAsia="Roboto"/>
                <w:color w:val="0D0D0D"/>
                <w:sz w:val="24"/>
                <w:szCs w:val="24"/>
                <w:highlight w:val="white"/>
              </w:rPr>
            </w:pPr>
            <w:r w:rsidRPr="008543FB">
              <w:rPr>
                <w:rFonts w:eastAsia="Roboto"/>
                <w:color w:val="0D0D0D"/>
                <w:sz w:val="24"/>
                <w:szCs w:val="24"/>
                <w:highlight w:val="white"/>
              </w:rPr>
              <w:t>3.21</w:t>
            </w:r>
          </w:p>
        </w:tc>
      </w:tr>
      <w:tr w:rsidR="00905DBC" w:rsidRPr="008543FB" w14:paraId="56218B00" w14:textId="77777777" w:rsidTr="005A6BE9">
        <w:trPr>
          <w:trHeight w:val="515"/>
        </w:trPr>
        <w:tc>
          <w:tcPr>
            <w:tcW w:w="1950" w:type="dxa"/>
          </w:tcPr>
          <w:p w14:paraId="63BFA00C" w14:textId="77777777" w:rsidR="00905DBC" w:rsidRPr="008543FB" w:rsidRDefault="00453400" w:rsidP="005A6BE9">
            <w:pPr>
              <w:jc w:val="both"/>
              <w:rPr>
                <w:rFonts w:eastAsia="Roboto"/>
                <w:color w:val="0D0D0D"/>
                <w:sz w:val="24"/>
                <w:szCs w:val="24"/>
                <w:highlight w:val="white"/>
              </w:rPr>
            </w:pPr>
            <w:r w:rsidRPr="008543FB">
              <w:rPr>
                <w:rFonts w:eastAsia="Roboto"/>
                <w:color w:val="0D0D0D"/>
                <w:sz w:val="24"/>
                <w:szCs w:val="24"/>
                <w:highlight w:val="white"/>
              </w:rPr>
              <w:t>RSA-2048</w:t>
            </w:r>
          </w:p>
        </w:tc>
        <w:tc>
          <w:tcPr>
            <w:tcW w:w="2005" w:type="dxa"/>
          </w:tcPr>
          <w:p w14:paraId="496BE6DE" w14:textId="77777777" w:rsidR="00905DBC" w:rsidRPr="008543FB" w:rsidRDefault="00453400" w:rsidP="005A6BE9">
            <w:pPr>
              <w:jc w:val="both"/>
              <w:rPr>
                <w:rFonts w:eastAsia="Roboto"/>
                <w:color w:val="0D0D0D"/>
                <w:sz w:val="24"/>
                <w:szCs w:val="24"/>
                <w:highlight w:val="white"/>
              </w:rPr>
            </w:pPr>
            <w:r w:rsidRPr="008543FB">
              <w:rPr>
                <w:rFonts w:eastAsia="Roboto"/>
                <w:color w:val="0D0D0D"/>
                <w:sz w:val="24"/>
                <w:szCs w:val="24"/>
                <w:highlight w:val="white"/>
              </w:rPr>
              <w:t>2048</w:t>
            </w:r>
          </w:p>
        </w:tc>
        <w:tc>
          <w:tcPr>
            <w:tcW w:w="2250" w:type="dxa"/>
          </w:tcPr>
          <w:p w14:paraId="4B84ABD0" w14:textId="77777777" w:rsidR="00905DBC" w:rsidRPr="008543FB" w:rsidRDefault="00453400" w:rsidP="005A6BE9">
            <w:pPr>
              <w:jc w:val="both"/>
              <w:rPr>
                <w:rFonts w:eastAsia="Roboto"/>
                <w:color w:val="0D0D0D"/>
                <w:sz w:val="24"/>
                <w:szCs w:val="24"/>
                <w:highlight w:val="white"/>
              </w:rPr>
            </w:pPr>
            <w:r w:rsidRPr="008543FB">
              <w:rPr>
                <w:rFonts w:eastAsia="Roboto"/>
                <w:color w:val="0D0D0D"/>
                <w:sz w:val="24"/>
                <w:szCs w:val="24"/>
                <w:highlight w:val="white"/>
              </w:rPr>
              <w:t>2000</w:t>
            </w:r>
          </w:p>
        </w:tc>
        <w:tc>
          <w:tcPr>
            <w:tcW w:w="2970" w:type="dxa"/>
          </w:tcPr>
          <w:p w14:paraId="3BC02A3F" w14:textId="77777777" w:rsidR="00905DBC" w:rsidRPr="008543FB" w:rsidRDefault="00453400" w:rsidP="005A6BE9">
            <w:pPr>
              <w:jc w:val="both"/>
              <w:rPr>
                <w:rFonts w:eastAsia="Roboto"/>
                <w:color w:val="0D0D0D"/>
                <w:sz w:val="24"/>
                <w:szCs w:val="24"/>
                <w:highlight w:val="white"/>
              </w:rPr>
            </w:pPr>
            <w:r w:rsidRPr="008543FB">
              <w:rPr>
                <w:rFonts w:eastAsia="Roboto"/>
                <w:color w:val="0D0D0D"/>
                <w:sz w:val="24"/>
                <w:szCs w:val="24"/>
                <w:highlight w:val="white"/>
              </w:rPr>
              <w:t>2.92</w:t>
            </w:r>
          </w:p>
        </w:tc>
      </w:tr>
      <w:tr w:rsidR="00905DBC" w:rsidRPr="008543FB" w14:paraId="1D02B23A" w14:textId="77777777" w:rsidTr="005A6BE9">
        <w:trPr>
          <w:trHeight w:val="515"/>
        </w:trPr>
        <w:tc>
          <w:tcPr>
            <w:tcW w:w="1950" w:type="dxa"/>
          </w:tcPr>
          <w:p w14:paraId="5FDE7037" w14:textId="77777777" w:rsidR="00905DBC" w:rsidRPr="008543FB" w:rsidRDefault="00453400" w:rsidP="005A6BE9">
            <w:pPr>
              <w:jc w:val="both"/>
              <w:rPr>
                <w:rFonts w:eastAsia="Roboto"/>
                <w:color w:val="0D0D0D"/>
                <w:sz w:val="24"/>
                <w:szCs w:val="24"/>
                <w:highlight w:val="white"/>
              </w:rPr>
            </w:pPr>
            <w:r w:rsidRPr="008543FB">
              <w:rPr>
                <w:rFonts w:eastAsia="Roboto"/>
                <w:color w:val="0D0D0D"/>
                <w:sz w:val="24"/>
                <w:szCs w:val="24"/>
                <w:highlight w:val="white"/>
              </w:rPr>
              <w:t>RSA-2048</w:t>
            </w:r>
          </w:p>
        </w:tc>
        <w:tc>
          <w:tcPr>
            <w:tcW w:w="2005" w:type="dxa"/>
          </w:tcPr>
          <w:p w14:paraId="7383D96D" w14:textId="77777777" w:rsidR="00905DBC" w:rsidRPr="008543FB" w:rsidRDefault="00453400" w:rsidP="005A6BE9">
            <w:pPr>
              <w:jc w:val="both"/>
              <w:rPr>
                <w:rFonts w:eastAsia="Roboto"/>
                <w:color w:val="0D0D0D"/>
                <w:sz w:val="24"/>
                <w:szCs w:val="24"/>
                <w:highlight w:val="white"/>
              </w:rPr>
            </w:pPr>
            <w:r w:rsidRPr="008543FB">
              <w:rPr>
                <w:rFonts w:eastAsia="Roboto"/>
                <w:color w:val="0D0D0D"/>
                <w:sz w:val="24"/>
                <w:szCs w:val="24"/>
                <w:highlight w:val="white"/>
              </w:rPr>
              <w:t>2048</w:t>
            </w:r>
          </w:p>
        </w:tc>
        <w:tc>
          <w:tcPr>
            <w:tcW w:w="2250" w:type="dxa"/>
          </w:tcPr>
          <w:p w14:paraId="24391692" w14:textId="77777777" w:rsidR="00905DBC" w:rsidRPr="008543FB" w:rsidRDefault="00453400" w:rsidP="005A6BE9">
            <w:pPr>
              <w:jc w:val="both"/>
              <w:rPr>
                <w:rFonts w:eastAsia="Roboto"/>
                <w:color w:val="0D0D0D"/>
                <w:sz w:val="24"/>
                <w:szCs w:val="24"/>
                <w:highlight w:val="white"/>
              </w:rPr>
            </w:pPr>
            <w:r w:rsidRPr="008543FB">
              <w:rPr>
                <w:rFonts w:eastAsia="Roboto"/>
                <w:color w:val="0D0D0D"/>
                <w:sz w:val="24"/>
                <w:szCs w:val="24"/>
                <w:highlight w:val="white"/>
              </w:rPr>
              <w:t>5000</w:t>
            </w:r>
          </w:p>
        </w:tc>
        <w:tc>
          <w:tcPr>
            <w:tcW w:w="2970" w:type="dxa"/>
          </w:tcPr>
          <w:p w14:paraId="3D23AF23" w14:textId="77777777" w:rsidR="00905DBC" w:rsidRPr="008543FB" w:rsidRDefault="00453400" w:rsidP="005A6BE9">
            <w:pPr>
              <w:jc w:val="both"/>
              <w:rPr>
                <w:rFonts w:eastAsia="Roboto"/>
                <w:color w:val="0D0D0D"/>
                <w:sz w:val="24"/>
                <w:szCs w:val="24"/>
                <w:highlight w:val="white"/>
              </w:rPr>
            </w:pPr>
            <w:r w:rsidRPr="008543FB">
              <w:rPr>
                <w:rFonts w:eastAsia="Roboto"/>
                <w:color w:val="0D0D0D"/>
                <w:sz w:val="24"/>
                <w:szCs w:val="24"/>
                <w:highlight w:val="white"/>
              </w:rPr>
              <w:t>2.60</w:t>
            </w:r>
          </w:p>
        </w:tc>
      </w:tr>
      <w:tr w:rsidR="00905DBC" w:rsidRPr="008543FB" w14:paraId="02E25225" w14:textId="77777777" w:rsidTr="005A6BE9">
        <w:trPr>
          <w:trHeight w:val="515"/>
        </w:trPr>
        <w:tc>
          <w:tcPr>
            <w:tcW w:w="1950" w:type="dxa"/>
          </w:tcPr>
          <w:p w14:paraId="0B7C0CC0" w14:textId="77777777" w:rsidR="00905DBC" w:rsidRPr="008543FB" w:rsidRDefault="00453400" w:rsidP="005A6BE9">
            <w:pPr>
              <w:jc w:val="both"/>
              <w:rPr>
                <w:rFonts w:eastAsia="Roboto"/>
                <w:color w:val="0D0D0D"/>
                <w:sz w:val="24"/>
                <w:szCs w:val="24"/>
                <w:highlight w:val="white"/>
              </w:rPr>
            </w:pPr>
            <w:r w:rsidRPr="008543FB">
              <w:rPr>
                <w:rFonts w:eastAsia="Roboto"/>
                <w:color w:val="0D0D0D"/>
                <w:sz w:val="24"/>
                <w:szCs w:val="24"/>
                <w:highlight w:val="white"/>
              </w:rPr>
              <w:t>RSA-2048</w:t>
            </w:r>
          </w:p>
        </w:tc>
        <w:tc>
          <w:tcPr>
            <w:tcW w:w="2005" w:type="dxa"/>
          </w:tcPr>
          <w:p w14:paraId="3101E5A3" w14:textId="77777777" w:rsidR="00905DBC" w:rsidRPr="008543FB" w:rsidRDefault="00453400" w:rsidP="005A6BE9">
            <w:pPr>
              <w:jc w:val="both"/>
              <w:rPr>
                <w:rFonts w:eastAsia="Roboto"/>
                <w:color w:val="0D0D0D"/>
                <w:sz w:val="24"/>
                <w:szCs w:val="24"/>
                <w:highlight w:val="white"/>
              </w:rPr>
            </w:pPr>
            <w:r w:rsidRPr="008543FB">
              <w:rPr>
                <w:rFonts w:eastAsia="Roboto"/>
                <w:color w:val="0D0D0D"/>
                <w:sz w:val="24"/>
                <w:szCs w:val="24"/>
                <w:highlight w:val="white"/>
              </w:rPr>
              <w:t>2048</w:t>
            </w:r>
          </w:p>
        </w:tc>
        <w:tc>
          <w:tcPr>
            <w:tcW w:w="2250" w:type="dxa"/>
          </w:tcPr>
          <w:p w14:paraId="30D3676C" w14:textId="77777777" w:rsidR="00905DBC" w:rsidRPr="008543FB" w:rsidRDefault="00453400" w:rsidP="005A6BE9">
            <w:pPr>
              <w:jc w:val="both"/>
              <w:rPr>
                <w:rFonts w:eastAsia="Roboto"/>
                <w:color w:val="0D0D0D"/>
                <w:sz w:val="24"/>
                <w:szCs w:val="24"/>
                <w:highlight w:val="white"/>
              </w:rPr>
            </w:pPr>
            <w:r w:rsidRPr="008543FB">
              <w:rPr>
                <w:rFonts w:eastAsia="Roboto"/>
                <w:color w:val="0D0D0D"/>
                <w:sz w:val="24"/>
                <w:szCs w:val="24"/>
                <w:highlight w:val="white"/>
              </w:rPr>
              <w:t>10000</w:t>
            </w:r>
          </w:p>
        </w:tc>
        <w:tc>
          <w:tcPr>
            <w:tcW w:w="2970" w:type="dxa"/>
          </w:tcPr>
          <w:p w14:paraId="39335F78" w14:textId="77777777" w:rsidR="00905DBC" w:rsidRPr="008543FB" w:rsidRDefault="00453400" w:rsidP="005A6BE9">
            <w:pPr>
              <w:jc w:val="both"/>
              <w:rPr>
                <w:rFonts w:eastAsia="Roboto"/>
                <w:color w:val="0D0D0D"/>
                <w:sz w:val="24"/>
                <w:szCs w:val="24"/>
                <w:highlight w:val="white"/>
              </w:rPr>
            </w:pPr>
            <w:r w:rsidRPr="008543FB">
              <w:rPr>
                <w:rFonts w:eastAsia="Roboto"/>
                <w:color w:val="0D0D0D"/>
                <w:sz w:val="24"/>
                <w:szCs w:val="24"/>
                <w:highlight w:val="white"/>
              </w:rPr>
              <w:t>2.41</w:t>
            </w:r>
          </w:p>
        </w:tc>
      </w:tr>
    </w:tbl>
    <w:p w14:paraId="3F75F6DC" w14:textId="77777777" w:rsidR="00905DBC" w:rsidRPr="008543FB" w:rsidRDefault="00453400">
      <w:pPr>
        <w:spacing w:before="240" w:after="240"/>
        <w:jc w:val="both"/>
        <w:rPr>
          <w:rFonts w:eastAsia="Roboto"/>
          <w:color w:val="0D0D0D"/>
          <w:sz w:val="24"/>
          <w:szCs w:val="24"/>
          <w:highlight w:val="white"/>
        </w:rPr>
      </w:pPr>
      <w:r w:rsidRPr="008543FB">
        <w:rPr>
          <w:rFonts w:eastAsia="Roboto"/>
          <w:color w:val="0D0D0D"/>
          <w:sz w:val="24"/>
          <w:szCs w:val="24"/>
          <w:highlight w:val="white"/>
        </w:rPr>
        <w:t>Similarly, ECC-256, which is frequently used in blockchain key generation, follows a comparable trend, experiencing a gradual decline in security as quantum computational capabilities expand. Given that financial institutions rely extensively on ECC-based security, the implications of this vulnerability are substantial.</w:t>
      </w:r>
    </w:p>
    <w:p w14:paraId="2B8C3037" w14:textId="77777777" w:rsidR="00905DBC" w:rsidRPr="008543FB" w:rsidRDefault="00453400">
      <w:pPr>
        <w:spacing w:before="240" w:after="240"/>
        <w:jc w:val="both"/>
        <w:rPr>
          <w:rFonts w:eastAsia="Roboto"/>
          <w:color w:val="0D0D0D"/>
          <w:sz w:val="24"/>
          <w:szCs w:val="24"/>
          <w:highlight w:val="white"/>
        </w:rPr>
      </w:pPr>
      <w:r w:rsidRPr="008543FB">
        <w:rPr>
          <w:rFonts w:eastAsia="Roboto"/>
          <w:color w:val="0D0D0D"/>
          <w:sz w:val="24"/>
          <w:szCs w:val="24"/>
          <w:highlight w:val="white"/>
        </w:rPr>
        <w:t>SHA-256 hashing, although not directly susceptible to Shor’s algorithm, is at risk due to Grover’s algorithm, which can reduce its effective security strength from 256-bit to 128-bit, significantly increasing the probability of collision attacks. The estimated computational feasibility of such an attack decreases exponentially as qubit capacities increase. The visualization in Figure 1 illustrates the decryption trend across encryption types, emphasizing the heightened risks to financial transactions over time.</w:t>
      </w:r>
    </w:p>
    <w:p w14:paraId="3C2273BD" w14:textId="77777777" w:rsidR="00905DBC" w:rsidRPr="008543FB" w:rsidRDefault="00453400">
      <w:pPr>
        <w:spacing w:before="240" w:after="240"/>
        <w:jc w:val="center"/>
        <w:rPr>
          <w:rFonts w:eastAsia="Roboto"/>
          <w:color w:val="0D0D0D"/>
          <w:sz w:val="24"/>
          <w:szCs w:val="24"/>
          <w:highlight w:val="white"/>
        </w:rPr>
      </w:pPr>
      <w:r w:rsidRPr="008543FB">
        <w:rPr>
          <w:rFonts w:eastAsia="Roboto"/>
          <w:noProof/>
          <w:color w:val="0D0D0D"/>
          <w:sz w:val="24"/>
          <w:szCs w:val="24"/>
          <w:highlight w:val="white"/>
          <w:lang w:val="en-US"/>
        </w:rPr>
        <w:drawing>
          <wp:inline distT="114300" distB="114300" distL="114300" distR="114300" wp14:anchorId="102A3C7A" wp14:editId="3F5EDE46">
            <wp:extent cx="4705350" cy="299085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705651" cy="2991041"/>
                    </a:xfrm>
                    <a:prstGeom prst="rect">
                      <a:avLst/>
                    </a:prstGeom>
                    <a:ln/>
                  </pic:spPr>
                </pic:pic>
              </a:graphicData>
            </a:graphic>
          </wp:inline>
        </w:drawing>
      </w:r>
    </w:p>
    <w:p w14:paraId="10BEF7A0" w14:textId="77777777" w:rsidR="00905DBC" w:rsidRPr="008543FB" w:rsidRDefault="00453400">
      <w:pPr>
        <w:pStyle w:val="Heading4"/>
        <w:keepNext w:val="0"/>
        <w:keepLines w:val="0"/>
        <w:spacing w:before="240" w:after="40"/>
        <w:jc w:val="center"/>
        <w:rPr>
          <w:rFonts w:eastAsia="Roboto"/>
          <w:color w:val="0D0D0D"/>
          <w:highlight w:val="white"/>
        </w:rPr>
      </w:pPr>
      <w:bookmarkStart w:id="13" w:name="_dtys82komr2s" w:colFirst="0" w:colLast="0"/>
      <w:bookmarkEnd w:id="13"/>
      <w:r w:rsidRPr="008543FB">
        <w:rPr>
          <w:rFonts w:eastAsia="Roboto"/>
          <w:color w:val="0D0D0D"/>
          <w:highlight w:val="white"/>
        </w:rPr>
        <w:t>Figure 1: Impact of Qubit Capacity on Decryption Time</w:t>
      </w:r>
    </w:p>
    <w:p w14:paraId="092E6010" w14:textId="77777777" w:rsidR="00905DBC" w:rsidRPr="008543FB" w:rsidRDefault="00453400">
      <w:pPr>
        <w:spacing w:before="240" w:after="240"/>
        <w:jc w:val="both"/>
        <w:rPr>
          <w:rFonts w:eastAsia="Roboto"/>
          <w:color w:val="0D0D0D"/>
          <w:sz w:val="24"/>
          <w:szCs w:val="24"/>
          <w:highlight w:val="white"/>
        </w:rPr>
      </w:pPr>
      <w:r w:rsidRPr="008543FB">
        <w:rPr>
          <w:rFonts w:eastAsia="Roboto"/>
          <w:color w:val="0D0D0D"/>
          <w:sz w:val="24"/>
          <w:szCs w:val="24"/>
          <w:highlight w:val="white"/>
        </w:rPr>
        <w:t xml:space="preserve">From the analysis, it is evident that as quantum computing reaches the threshold of 10,000+ qubits, conventional blockchain cryptographic protocols will no longer provide adequate security for financial transactions. The bubble matrix visualization in Figure 2 further reinforces the inverse relationship between quantum processing power and </w:t>
      </w:r>
      <w:r w:rsidRPr="008543FB">
        <w:rPr>
          <w:rFonts w:eastAsia="Roboto"/>
          <w:color w:val="0D0D0D"/>
          <w:sz w:val="24"/>
          <w:szCs w:val="24"/>
          <w:highlight w:val="white"/>
        </w:rPr>
        <w:lastRenderedPageBreak/>
        <w:t>encryption durability, highlighting the accelerated timeline for quantum decryption feasibility.</w:t>
      </w:r>
    </w:p>
    <w:p w14:paraId="5327FC5C" w14:textId="77777777" w:rsidR="00905DBC" w:rsidRPr="008543FB" w:rsidRDefault="00453400">
      <w:pPr>
        <w:spacing w:before="240" w:after="240"/>
        <w:jc w:val="center"/>
        <w:rPr>
          <w:rFonts w:eastAsia="Roboto"/>
          <w:color w:val="0D0D0D"/>
          <w:sz w:val="24"/>
          <w:szCs w:val="24"/>
          <w:highlight w:val="white"/>
        </w:rPr>
      </w:pPr>
      <w:r w:rsidRPr="008543FB">
        <w:rPr>
          <w:rFonts w:eastAsia="Roboto"/>
          <w:noProof/>
          <w:color w:val="0D0D0D"/>
          <w:sz w:val="24"/>
          <w:szCs w:val="24"/>
          <w:highlight w:val="white"/>
          <w:lang w:val="en-US"/>
        </w:rPr>
        <w:drawing>
          <wp:inline distT="114300" distB="114300" distL="114300" distR="114300" wp14:anchorId="358207FC" wp14:editId="58791F3E">
            <wp:extent cx="5536088" cy="350129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536088" cy="3501290"/>
                    </a:xfrm>
                    <a:prstGeom prst="rect">
                      <a:avLst/>
                    </a:prstGeom>
                    <a:ln/>
                  </pic:spPr>
                </pic:pic>
              </a:graphicData>
            </a:graphic>
          </wp:inline>
        </w:drawing>
      </w:r>
    </w:p>
    <w:p w14:paraId="40093841" w14:textId="77777777" w:rsidR="00905DBC" w:rsidRPr="008543FB" w:rsidRDefault="00453400">
      <w:pPr>
        <w:pStyle w:val="Heading4"/>
        <w:keepNext w:val="0"/>
        <w:keepLines w:val="0"/>
        <w:spacing w:before="240" w:after="40"/>
        <w:jc w:val="center"/>
        <w:rPr>
          <w:rFonts w:eastAsia="Roboto"/>
          <w:color w:val="0D0D0D"/>
          <w:highlight w:val="white"/>
        </w:rPr>
      </w:pPr>
      <w:bookmarkStart w:id="14" w:name="_c0gr29bsge65" w:colFirst="0" w:colLast="0"/>
      <w:bookmarkEnd w:id="14"/>
      <w:r w:rsidRPr="008543FB">
        <w:rPr>
          <w:rFonts w:eastAsia="Roboto"/>
          <w:color w:val="0D0D0D"/>
          <w:highlight w:val="white"/>
        </w:rPr>
        <w:t>Figure 2: Bubble Matrix Representation of Encryption Vulnerability</w:t>
      </w:r>
    </w:p>
    <w:p w14:paraId="3CBFDF7E" w14:textId="77777777" w:rsidR="00905DBC" w:rsidRPr="008543FB" w:rsidRDefault="00453400">
      <w:pPr>
        <w:pStyle w:val="Heading4"/>
        <w:keepNext w:val="0"/>
        <w:keepLines w:val="0"/>
        <w:spacing w:before="240" w:after="40"/>
        <w:jc w:val="both"/>
        <w:rPr>
          <w:rFonts w:eastAsia="Roboto"/>
          <w:b/>
          <w:color w:val="0D0D0D"/>
          <w:highlight w:val="white"/>
        </w:rPr>
      </w:pPr>
      <w:bookmarkStart w:id="15" w:name="_p8s0t2tsihb1" w:colFirst="0" w:colLast="0"/>
      <w:bookmarkEnd w:id="15"/>
      <w:r w:rsidRPr="008543FB">
        <w:rPr>
          <w:rFonts w:eastAsia="Roboto"/>
          <w:b/>
          <w:color w:val="0D0D0D"/>
          <w:highlight w:val="white"/>
        </w:rPr>
        <w:t>Implications for Financial Blockchain Security</w:t>
      </w:r>
    </w:p>
    <w:p w14:paraId="27EDC25C" w14:textId="77777777" w:rsidR="00905DBC" w:rsidRPr="008543FB" w:rsidRDefault="00453400">
      <w:pPr>
        <w:spacing w:before="240" w:after="240"/>
        <w:jc w:val="both"/>
        <w:rPr>
          <w:rFonts w:eastAsia="Roboto"/>
          <w:color w:val="0D0D0D"/>
          <w:sz w:val="24"/>
          <w:szCs w:val="24"/>
          <w:highlight w:val="white"/>
        </w:rPr>
      </w:pPr>
      <w:r w:rsidRPr="008543FB">
        <w:rPr>
          <w:rFonts w:eastAsia="Roboto"/>
          <w:color w:val="0D0D0D"/>
          <w:sz w:val="24"/>
          <w:szCs w:val="24"/>
          <w:highlight w:val="white"/>
        </w:rPr>
        <w:t>The findings indicate that financial institutions relying on blockchain for secure transactions face an urgent need to transition toward quantum-resistant encryption. The projected reduction in decryption time suggests that once large-scale fault-tolerant quantum computers are operational, cryptographic protections within blockchain infrastructures could be rendered ineffective. The implications are particularly severe for decentralized finance (DeFi) platforms, cross-border payment systems, and central bank digital currencies (CBDCs), which depend on the immutability of current encryption standards.</w:t>
      </w:r>
    </w:p>
    <w:p w14:paraId="6746183D" w14:textId="77777777" w:rsidR="00905DBC" w:rsidRPr="008543FB" w:rsidRDefault="00453400">
      <w:pPr>
        <w:spacing w:before="240" w:after="240"/>
        <w:jc w:val="both"/>
        <w:rPr>
          <w:rFonts w:eastAsia="Roboto"/>
          <w:color w:val="0D0D0D"/>
          <w:sz w:val="24"/>
          <w:szCs w:val="24"/>
          <w:highlight w:val="white"/>
        </w:rPr>
      </w:pPr>
      <w:r w:rsidRPr="008543FB">
        <w:rPr>
          <w:rFonts w:eastAsia="Roboto"/>
          <w:color w:val="0D0D0D"/>
          <w:sz w:val="24"/>
          <w:szCs w:val="24"/>
          <w:highlight w:val="white"/>
        </w:rPr>
        <w:t>The results also highlight a concerning lag in global preparedness. Many financial institutions and blockchain networks continue to rely on cryptographic protocols that will soon become obsolete, leaving sensitive financial data exposed to post-quantum cyber threats. This reinforces the necessity of adopting post-quantum cryptographic standards and migrating financial infrastructures to quantum-resistant architectures.</w:t>
      </w:r>
    </w:p>
    <w:p w14:paraId="071CCDAE" w14:textId="4BB032E2" w:rsidR="00905DBC" w:rsidRPr="008543FB" w:rsidRDefault="00F31422">
      <w:pPr>
        <w:spacing w:before="240" w:after="240"/>
        <w:jc w:val="both"/>
        <w:rPr>
          <w:rFonts w:eastAsia="Roboto"/>
          <w:color w:val="0D0D0D"/>
          <w:sz w:val="24"/>
          <w:szCs w:val="24"/>
          <w:highlight w:val="white"/>
        </w:rPr>
      </w:pPr>
      <w:r w:rsidRPr="008543FB">
        <w:rPr>
          <w:rFonts w:eastAsia="Roboto"/>
          <w:color w:val="0D0D0D"/>
          <w:sz w:val="24"/>
          <w:szCs w:val="24"/>
          <w:highlight w:val="white"/>
        </w:rPr>
        <w:lastRenderedPageBreak/>
        <w:t>This analysis examines the estimated decryption timelines and</w:t>
      </w:r>
      <w:r w:rsidR="00453400" w:rsidRPr="008543FB">
        <w:rPr>
          <w:rFonts w:eastAsia="Roboto"/>
          <w:color w:val="0D0D0D"/>
          <w:sz w:val="24"/>
          <w:szCs w:val="24"/>
          <w:highlight w:val="white"/>
        </w:rPr>
        <w:t xml:space="preserve"> provides an empirical foundation for strategic decision-making in blockchain security. Given the rapid advancements in quantum computing, financial institutions must accelerate research and investment into post-quantum cryptographic models to ensure long-term resilience against quantum threats.</w:t>
      </w:r>
    </w:p>
    <w:p w14:paraId="770B46CD" w14:textId="77777777" w:rsidR="00905DBC" w:rsidRPr="008543FB" w:rsidRDefault="00453400">
      <w:pPr>
        <w:pStyle w:val="Heading3"/>
        <w:keepNext w:val="0"/>
        <w:keepLines w:val="0"/>
        <w:spacing w:before="280"/>
        <w:jc w:val="both"/>
        <w:rPr>
          <w:rFonts w:eastAsia="Roboto"/>
          <w:b/>
          <w:color w:val="0D0D0D"/>
          <w:sz w:val="24"/>
          <w:szCs w:val="24"/>
          <w:highlight w:val="white"/>
        </w:rPr>
      </w:pPr>
      <w:bookmarkStart w:id="16" w:name="_27jfjb4hx7jk" w:colFirst="0" w:colLast="0"/>
      <w:bookmarkEnd w:id="16"/>
      <w:r w:rsidRPr="008543FB">
        <w:rPr>
          <w:rFonts w:eastAsia="Roboto"/>
          <w:b/>
          <w:color w:val="0D0D0D"/>
          <w:sz w:val="24"/>
          <w:szCs w:val="24"/>
          <w:highlight w:val="white"/>
        </w:rPr>
        <w:t>Evaluating Post-Quantum Cryptographic Models and Their Applicability to Financial Blockchain Security</w:t>
      </w:r>
    </w:p>
    <w:p w14:paraId="06A82854" w14:textId="77777777" w:rsidR="00905DBC" w:rsidRPr="008543FB" w:rsidRDefault="00453400">
      <w:pPr>
        <w:spacing w:before="240" w:after="240"/>
        <w:jc w:val="both"/>
        <w:rPr>
          <w:rFonts w:eastAsia="Roboto"/>
          <w:color w:val="0D0D0D"/>
          <w:sz w:val="24"/>
          <w:szCs w:val="24"/>
          <w:highlight w:val="white"/>
        </w:rPr>
      </w:pPr>
      <w:r w:rsidRPr="008543FB">
        <w:rPr>
          <w:rFonts w:eastAsia="Roboto"/>
          <w:color w:val="0D0D0D"/>
          <w:sz w:val="24"/>
          <w:szCs w:val="24"/>
          <w:highlight w:val="white"/>
        </w:rPr>
        <w:t>As quantum computing advances, the necessity for post-quantum cryptographic (PQC) models in financial blockchain security has become increasingly urgent. Traditional cryptographic systems such as RSA and ECC face inevitable obsolescence due to their susceptibility to quantum decryption. Financial institutions must transition towards quantum-resistant cryptographic algorithms capable of securing blockchain transactions against quantum attacks. This report evaluates the efficiency, computational feasibility, and practical applicability of leading PQC models—Kyber-1024, Dilithium-5, and SPHINCS+-SHA256—in financial blockchain infrastructures.</w:t>
      </w:r>
    </w:p>
    <w:p w14:paraId="7C1FC9BF" w14:textId="77777777" w:rsidR="00905DBC" w:rsidRPr="008543FB" w:rsidRDefault="00453400">
      <w:pPr>
        <w:spacing w:before="240" w:after="240"/>
        <w:jc w:val="both"/>
        <w:rPr>
          <w:rFonts w:eastAsia="Roboto"/>
          <w:color w:val="0D0D0D"/>
          <w:sz w:val="24"/>
          <w:szCs w:val="24"/>
          <w:highlight w:val="white"/>
        </w:rPr>
      </w:pPr>
      <w:r w:rsidRPr="008543FB">
        <w:rPr>
          <w:rFonts w:eastAsia="Roboto"/>
          <w:color w:val="0D0D0D"/>
          <w:sz w:val="24"/>
          <w:szCs w:val="24"/>
          <w:highlight w:val="white"/>
        </w:rPr>
        <w:t>The benchmarking results demonstrate significant performance trade-offs between quantum-resistant cryptographic models and their legacy counterparts. Table 3 presents the encryption and decryption efficiency, signature size, and computational latency across post-quantum and traditional cryptographic models.</w:t>
      </w:r>
    </w:p>
    <w:p w14:paraId="6A8B9D2B" w14:textId="77777777" w:rsidR="00905DBC" w:rsidRPr="008543FB" w:rsidRDefault="00453400">
      <w:pPr>
        <w:pStyle w:val="Heading4"/>
        <w:keepNext w:val="0"/>
        <w:keepLines w:val="0"/>
        <w:spacing w:before="240" w:after="40"/>
        <w:jc w:val="both"/>
        <w:rPr>
          <w:rFonts w:eastAsia="Roboto"/>
          <w:color w:val="0D0D0D"/>
          <w:highlight w:val="white"/>
        </w:rPr>
      </w:pPr>
      <w:bookmarkStart w:id="17" w:name="_4pc2utaia59t" w:colFirst="0" w:colLast="0"/>
      <w:bookmarkEnd w:id="17"/>
      <w:r w:rsidRPr="008543FB">
        <w:rPr>
          <w:rFonts w:eastAsia="Roboto"/>
          <w:color w:val="0D0D0D"/>
          <w:highlight w:val="white"/>
        </w:rPr>
        <w:t>Table 3: Performance Benchmarking of Cryptographic Models</w:t>
      </w:r>
    </w:p>
    <w:tbl>
      <w:tblPr>
        <w:tblStyle w:val="TableGrid"/>
        <w:tblW w:w="9805" w:type="dxa"/>
        <w:tblLayout w:type="fixed"/>
        <w:tblLook w:val="0600" w:firstRow="0" w:lastRow="0" w:firstColumn="0" w:lastColumn="0" w:noHBand="1" w:noVBand="1"/>
      </w:tblPr>
      <w:tblGrid>
        <w:gridCol w:w="2060"/>
        <w:gridCol w:w="1850"/>
        <w:gridCol w:w="1850"/>
        <w:gridCol w:w="1670"/>
        <w:gridCol w:w="2375"/>
      </w:tblGrid>
      <w:tr w:rsidR="00905DBC" w:rsidRPr="008543FB" w14:paraId="469D7BB3" w14:textId="77777777" w:rsidTr="00356330">
        <w:trPr>
          <w:trHeight w:val="800"/>
        </w:trPr>
        <w:tc>
          <w:tcPr>
            <w:tcW w:w="2060" w:type="dxa"/>
          </w:tcPr>
          <w:p w14:paraId="09197356" w14:textId="77777777" w:rsidR="00905DBC" w:rsidRPr="008543FB" w:rsidRDefault="00453400" w:rsidP="00356330">
            <w:pPr>
              <w:jc w:val="center"/>
              <w:rPr>
                <w:rFonts w:eastAsia="Roboto"/>
                <w:color w:val="0D0D0D"/>
                <w:sz w:val="24"/>
                <w:szCs w:val="24"/>
                <w:highlight w:val="white"/>
              </w:rPr>
            </w:pPr>
            <w:r w:rsidRPr="008543FB">
              <w:rPr>
                <w:rFonts w:eastAsia="Roboto"/>
                <w:color w:val="0D0D0D"/>
                <w:sz w:val="24"/>
                <w:szCs w:val="24"/>
                <w:highlight w:val="white"/>
              </w:rPr>
              <w:t>Cryptographic Model</w:t>
            </w:r>
          </w:p>
        </w:tc>
        <w:tc>
          <w:tcPr>
            <w:tcW w:w="1850" w:type="dxa"/>
          </w:tcPr>
          <w:p w14:paraId="306A4F42" w14:textId="77777777" w:rsidR="00905DBC" w:rsidRPr="008543FB" w:rsidRDefault="00453400" w:rsidP="00356330">
            <w:pPr>
              <w:jc w:val="center"/>
              <w:rPr>
                <w:rFonts w:eastAsia="Roboto"/>
                <w:color w:val="0D0D0D"/>
                <w:sz w:val="24"/>
                <w:szCs w:val="24"/>
                <w:highlight w:val="white"/>
              </w:rPr>
            </w:pPr>
            <w:r w:rsidRPr="008543FB">
              <w:rPr>
                <w:rFonts w:eastAsia="Roboto"/>
                <w:color w:val="0D0D0D"/>
                <w:sz w:val="24"/>
                <w:szCs w:val="24"/>
                <w:highlight w:val="white"/>
              </w:rPr>
              <w:t>Encryption Time (ms)</w:t>
            </w:r>
          </w:p>
        </w:tc>
        <w:tc>
          <w:tcPr>
            <w:tcW w:w="1850" w:type="dxa"/>
          </w:tcPr>
          <w:p w14:paraId="796F6679" w14:textId="77777777" w:rsidR="00905DBC" w:rsidRPr="008543FB" w:rsidRDefault="00453400" w:rsidP="00356330">
            <w:pPr>
              <w:jc w:val="center"/>
              <w:rPr>
                <w:rFonts w:eastAsia="Roboto"/>
                <w:color w:val="0D0D0D"/>
                <w:sz w:val="24"/>
                <w:szCs w:val="24"/>
                <w:highlight w:val="white"/>
              </w:rPr>
            </w:pPr>
            <w:r w:rsidRPr="008543FB">
              <w:rPr>
                <w:rFonts w:eastAsia="Roboto"/>
                <w:color w:val="0D0D0D"/>
                <w:sz w:val="24"/>
                <w:szCs w:val="24"/>
                <w:highlight w:val="white"/>
              </w:rPr>
              <w:t>Decryption Time (ms)</w:t>
            </w:r>
          </w:p>
        </w:tc>
        <w:tc>
          <w:tcPr>
            <w:tcW w:w="1670" w:type="dxa"/>
          </w:tcPr>
          <w:p w14:paraId="41BB2572" w14:textId="77777777" w:rsidR="00905DBC" w:rsidRPr="008543FB" w:rsidRDefault="00453400" w:rsidP="00356330">
            <w:pPr>
              <w:jc w:val="center"/>
              <w:rPr>
                <w:rFonts w:eastAsia="Roboto"/>
                <w:color w:val="0D0D0D"/>
                <w:sz w:val="24"/>
                <w:szCs w:val="24"/>
                <w:highlight w:val="white"/>
              </w:rPr>
            </w:pPr>
            <w:r w:rsidRPr="008543FB">
              <w:rPr>
                <w:rFonts w:eastAsia="Roboto"/>
                <w:color w:val="0D0D0D"/>
                <w:sz w:val="24"/>
                <w:szCs w:val="24"/>
                <w:highlight w:val="white"/>
              </w:rPr>
              <w:t>Signature Size (KB)</w:t>
            </w:r>
          </w:p>
        </w:tc>
        <w:tc>
          <w:tcPr>
            <w:tcW w:w="2375" w:type="dxa"/>
          </w:tcPr>
          <w:p w14:paraId="4398590F" w14:textId="77777777" w:rsidR="00905DBC" w:rsidRPr="008543FB" w:rsidRDefault="00453400" w:rsidP="00356330">
            <w:pPr>
              <w:jc w:val="center"/>
              <w:rPr>
                <w:rFonts w:eastAsia="Roboto"/>
                <w:color w:val="0D0D0D"/>
                <w:sz w:val="24"/>
                <w:szCs w:val="24"/>
                <w:highlight w:val="white"/>
              </w:rPr>
            </w:pPr>
            <w:r w:rsidRPr="008543FB">
              <w:rPr>
                <w:rFonts w:eastAsia="Roboto"/>
                <w:color w:val="0D0D0D"/>
                <w:sz w:val="24"/>
                <w:szCs w:val="24"/>
                <w:highlight w:val="white"/>
              </w:rPr>
              <w:t>Computational Latency (ms)</w:t>
            </w:r>
          </w:p>
        </w:tc>
      </w:tr>
      <w:tr w:rsidR="00905DBC" w:rsidRPr="008543FB" w14:paraId="4EC3491F" w14:textId="77777777" w:rsidTr="00356330">
        <w:trPr>
          <w:trHeight w:val="515"/>
        </w:trPr>
        <w:tc>
          <w:tcPr>
            <w:tcW w:w="2060" w:type="dxa"/>
          </w:tcPr>
          <w:p w14:paraId="229F6768" w14:textId="77777777" w:rsidR="00905DBC" w:rsidRPr="008543FB" w:rsidRDefault="00453400" w:rsidP="00356330">
            <w:pPr>
              <w:jc w:val="both"/>
              <w:rPr>
                <w:rFonts w:eastAsia="Roboto"/>
                <w:color w:val="0D0D0D"/>
                <w:sz w:val="24"/>
                <w:szCs w:val="24"/>
                <w:highlight w:val="white"/>
              </w:rPr>
            </w:pPr>
            <w:r w:rsidRPr="008543FB">
              <w:rPr>
                <w:rFonts w:eastAsia="Roboto"/>
                <w:color w:val="0D0D0D"/>
                <w:sz w:val="24"/>
                <w:szCs w:val="24"/>
                <w:highlight w:val="white"/>
              </w:rPr>
              <w:t>Kyber-1024</w:t>
            </w:r>
          </w:p>
        </w:tc>
        <w:tc>
          <w:tcPr>
            <w:tcW w:w="1850" w:type="dxa"/>
          </w:tcPr>
          <w:p w14:paraId="584ED167" w14:textId="77777777" w:rsidR="00905DBC" w:rsidRPr="008543FB" w:rsidRDefault="00453400" w:rsidP="00356330">
            <w:pPr>
              <w:jc w:val="both"/>
              <w:rPr>
                <w:rFonts w:eastAsia="Roboto"/>
                <w:color w:val="0D0D0D"/>
                <w:sz w:val="24"/>
                <w:szCs w:val="24"/>
                <w:highlight w:val="white"/>
              </w:rPr>
            </w:pPr>
            <w:r w:rsidRPr="008543FB">
              <w:rPr>
                <w:rFonts w:eastAsia="Roboto"/>
                <w:color w:val="0D0D0D"/>
                <w:sz w:val="24"/>
                <w:szCs w:val="24"/>
                <w:highlight w:val="white"/>
              </w:rPr>
              <w:t>6.76</w:t>
            </w:r>
          </w:p>
        </w:tc>
        <w:tc>
          <w:tcPr>
            <w:tcW w:w="1850" w:type="dxa"/>
          </w:tcPr>
          <w:p w14:paraId="62C44757" w14:textId="77777777" w:rsidR="00905DBC" w:rsidRPr="008543FB" w:rsidRDefault="00453400" w:rsidP="00356330">
            <w:pPr>
              <w:jc w:val="both"/>
              <w:rPr>
                <w:rFonts w:eastAsia="Roboto"/>
                <w:color w:val="0D0D0D"/>
                <w:sz w:val="24"/>
                <w:szCs w:val="24"/>
                <w:highlight w:val="white"/>
              </w:rPr>
            </w:pPr>
            <w:r w:rsidRPr="008543FB">
              <w:rPr>
                <w:rFonts w:eastAsia="Roboto"/>
                <w:color w:val="0D0D0D"/>
                <w:sz w:val="24"/>
                <w:szCs w:val="24"/>
                <w:highlight w:val="white"/>
              </w:rPr>
              <w:t>4.89</w:t>
            </w:r>
          </w:p>
        </w:tc>
        <w:tc>
          <w:tcPr>
            <w:tcW w:w="1670" w:type="dxa"/>
          </w:tcPr>
          <w:p w14:paraId="1EF1B62A" w14:textId="77777777" w:rsidR="00905DBC" w:rsidRPr="008543FB" w:rsidRDefault="00453400" w:rsidP="00356330">
            <w:pPr>
              <w:jc w:val="both"/>
              <w:rPr>
                <w:rFonts w:eastAsia="Roboto"/>
                <w:color w:val="0D0D0D"/>
                <w:sz w:val="24"/>
                <w:szCs w:val="24"/>
                <w:highlight w:val="white"/>
              </w:rPr>
            </w:pPr>
            <w:r w:rsidRPr="008543FB">
              <w:rPr>
                <w:rFonts w:eastAsia="Roboto"/>
                <w:color w:val="0D0D0D"/>
                <w:sz w:val="24"/>
                <w:szCs w:val="24"/>
                <w:highlight w:val="white"/>
              </w:rPr>
              <w:t>15.53</w:t>
            </w:r>
          </w:p>
        </w:tc>
        <w:tc>
          <w:tcPr>
            <w:tcW w:w="2375" w:type="dxa"/>
          </w:tcPr>
          <w:p w14:paraId="39E62FC4" w14:textId="77777777" w:rsidR="00905DBC" w:rsidRPr="008543FB" w:rsidRDefault="00453400" w:rsidP="00356330">
            <w:pPr>
              <w:jc w:val="both"/>
              <w:rPr>
                <w:rFonts w:eastAsia="Roboto"/>
                <w:color w:val="0D0D0D"/>
                <w:sz w:val="24"/>
                <w:szCs w:val="24"/>
                <w:highlight w:val="white"/>
              </w:rPr>
            </w:pPr>
            <w:r w:rsidRPr="008543FB">
              <w:rPr>
                <w:rFonts w:eastAsia="Roboto"/>
                <w:color w:val="0D0D0D"/>
                <w:sz w:val="24"/>
                <w:szCs w:val="24"/>
                <w:highlight w:val="white"/>
              </w:rPr>
              <w:t>4.98</w:t>
            </w:r>
          </w:p>
        </w:tc>
      </w:tr>
      <w:tr w:rsidR="00905DBC" w:rsidRPr="008543FB" w14:paraId="13AE9799" w14:textId="77777777" w:rsidTr="00356330">
        <w:trPr>
          <w:trHeight w:val="515"/>
        </w:trPr>
        <w:tc>
          <w:tcPr>
            <w:tcW w:w="2060" w:type="dxa"/>
          </w:tcPr>
          <w:p w14:paraId="34D8F8B6" w14:textId="77777777" w:rsidR="00905DBC" w:rsidRPr="008543FB" w:rsidRDefault="00453400" w:rsidP="00356330">
            <w:pPr>
              <w:jc w:val="both"/>
              <w:rPr>
                <w:rFonts w:eastAsia="Roboto"/>
                <w:color w:val="0D0D0D"/>
                <w:sz w:val="24"/>
                <w:szCs w:val="24"/>
                <w:highlight w:val="white"/>
              </w:rPr>
            </w:pPr>
            <w:r w:rsidRPr="008543FB">
              <w:rPr>
                <w:rFonts w:eastAsia="Roboto"/>
                <w:color w:val="0D0D0D"/>
                <w:sz w:val="24"/>
                <w:szCs w:val="24"/>
                <w:highlight w:val="white"/>
              </w:rPr>
              <w:t>Dilithium-5</w:t>
            </w:r>
          </w:p>
        </w:tc>
        <w:tc>
          <w:tcPr>
            <w:tcW w:w="1850" w:type="dxa"/>
          </w:tcPr>
          <w:p w14:paraId="02CA3EC7" w14:textId="77777777" w:rsidR="00905DBC" w:rsidRPr="008543FB" w:rsidRDefault="00453400" w:rsidP="00356330">
            <w:pPr>
              <w:jc w:val="both"/>
              <w:rPr>
                <w:rFonts w:eastAsia="Roboto"/>
                <w:color w:val="0D0D0D"/>
                <w:sz w:val="24"/>
                <w:szCs w:val="24"/>
                <w:highlight w:val="white"/>
              </w:rPr>
            </w:pPr>
            <w:r w:rsidRPr="008543FB">
              <w:rPr>
                <w:rFonts w:eastAsia="Roboto"/>
                <w:color w:val="0D0D0D"/>
                <w:sz w:val="24"/>
                <w:szCs w:val="24"/>
                <w:highlight w:val="white"/>
              </w:rPr>
              <w:t>6.02</w:t>
            </w:r>
          </w:p>
        </w:tc>
        <w:tc>
          <w:tcPr>
            <w:tcW w:w="1850" w:type="dxa"/>
          </w:tcPr>
          <w:p w14:paraId="23D717E9" w14:textId="77777777" w:rsidR="00905DBC" w:rsidRPr="008543FB" w:rsidRDefault="00453400" w:rsidP="00356330">
            <w:pPr>
              <w:jc w:val="both"/>
              <w:rPr>
                <w:rFonts w:eastAsia="Roboto"/>
                <w:color w:val="0D0D0D"/>
                <w:sz w:val="24"/>
                <w:szCs w:val="24"/>
                <w:highlight w:val="white"/>
              </w:rPr>
            </w:pPr>
            <w:r w:rsidRPr="008543FB">
              <w:rPr>
                <w:rFonts w:eastAsia="Roboto"/>
                <w:color w:val="0D0D0D"/>
                <w:sz w:val="24"/>
                <w:szCs w:val="24"/>
                <w:highlight w:val="white"/>
              </w:rPr>
              <w:t>7.71</w:t>
            </w:r>
          </w:p>
        </w:tc>
        <w:tc>
          <w:tcPr>
            <w:tcW w:w="1670" w:type="dxa"/>
          </w:tcPr>
          <w:p w14:paraId="0DBD014B" w14:textId="77777777" w:rsidR="00905DBC" w:rsidRPr="008543FB" w:rsidRDefault="00453400" w:rsidP="00356330">
            <w:pPr>
              <w:jc w:val="both"/>
              <w:rPr>
                <w:rFonts w:eastAsia="Roboto"/>
                <w:color w:val="0D0D0D"/>
                <w:sz w:val="24"/>
                <w:szCs w:val="24"/>
                <w:highlight w:val="white"/>
              </w:rPr>
            </w:pPr>
            <w:r w:rsidRPr="008543FB">
              <w:rPr>
                <w:rFonts w:eastAsia="Roboto"/>
                <w:color w:val="0D0D0D"/>
                <w:sz w:val="24"/>
                <w:szCs w:val="24"/>
                <w:highlight w:val="white"/>
              </w:rPr>
              <w:t>10.29</w:t>
            </w:r>
          </w:p>
        </w:tc>
        <w:tc>
          <w:tcPr>
            <w:tcW w:w="2375" w:type="dxa"/>
          </w:tcPr>
          <w:p w14:paraId="26E754D8" w14:textId="77777777" w:rsidR="00905DBC" w:rsidRPr="008543FB" w:rsidRDefault="00453400" w:rsidP="00356330">
            <w:pPr>
              <w:jc w:val="both"/>
              <w:rPr>
                <w:rFonts w:eastAsia="Roboto"/>
                <w:color w:val="0D0D0D"/>
                <w:sz w:val="24"/>
                <w:szCs w:val="24"/>
                <w:highlight w:val="white"/>
              </w:rPr>
            </w:pPr>
            <w:r w:rsidRPr="008543FB">
              <w:rPr>
                <w:rFonts w:eastAsia="Roboto"/>
                <w:color w:val="0D0D0D"/>
                <w:sz w:val="24"/>
                <w:szCs w:val="24"/>
                <w:highlight w:val="white"/>
              </w:rPr>
              <w:t>4.38</w:t>
            </w:r>
          </w:p>
        </w:tc>
      </w:tr>
      <w:tr w:rsidR="00905DBC" w:rsidRPr="008543FB" w14:paraId="4436D047" w14:textId="77777777" w:rsidTr="00356330">
        <w:trPr>
          <w:trHeight w:val="800"/>
        </w:trPr>
        <w:tc>
          <w:tcPr>
            <w:tcW w:w="2060" w:type="dxa"/>
          </w:tcPr>
          <w:p w14:paraId="2BFA73BE" w14:textId="77777777" w:rsidR="00905DBC" w:rsidRPr="008543FB" w:rsidRDefault="00453400" w:rsidP="00356330">
            <w:pPr>
              <w:jc w:val="both"/>
              <w:rPr>
                <w:rFonts w:eastAsia="Roboto"/>
                <w:color w:val="0D0D0D"/>
                <w:sz w:val="24"/>
                <w:szCs w:val="24"/>
                <w:highlight w:val="white"/>
              </w:rPr>
            </w:pPr>
            <w:r w:rsidRPr="008543FB">
              <w:rPr>
                <w:rFonts w:eastAsia="Roboto"/>
                <w:color w:val="0D0D0D"/>
                <w:sz w:val="24"/>
                <w:szCs w:val="24"/>
                <w:highlight w:val="white"/>
              </w:rPr>
              <w:t>SPHINCS+-SHA256</w:t>
            </w:r>
          </w:p>
        </w:tc>
        <w:tc>
          <w:tcPr>
            <w:tcW w:w="1850" w:type="dxa"/>
          </w:tcPr>
          <w:p w14:paraId="42370B7A" w14:textId="77777777" w:rsidR="00905DBC" w:rsidRPr="008543FB" w:rsidRDefault="00453400" w:rsidP="00356330">
            <w:pPr>
              <w:jc w:val="both"/>
              <w:rPr>
                <w:rFonts w:eastAsia="Roboto"/>
                <w:color w:val="0D0D0D"/>
                <w:sz w:val="24"/>
                <w:szCs w:val="24"/>
                <w:highlight w:val="white"/>
              </w:rPr>
            </w:pPr>
            <w:r w:rsidRPr="008543FB">
              <w:rPr>
                <w:rFonts w:eastAsia="Roboto"/>
                <w:color w:val="0D0D0D"/>
                <w:sz w:val="24"/>
                <w:szCs w:val="24"/>
                <w:highlight w:val="white"/>
              </w:rPr>
              <w:t>4.96</w:t>
            </w:r>
          </w:p>
        </w:tc>
        <w:tc>
          <w:tcPr>
            <w:tcW w:w="1850" w:type="dxa"/>
          </w:tcPr>
          <w:p w14:paraId="54C01DC9" w14:textId="77777777" w:rsidR="00905DBC" w:rsidRPr="008543FB" w:rsidRDefault="00453400" w:rsidP="00356330">
            <w:pPr>
              <w:jc w:val="both"/>
              <w:rPr>
                <w:rFonts w:eastAsia="Roboto"/>
                <w:color w:val="0D0D0D"/>
                <w:sz w:val="24"/>
                <w:szCs w:val="24"/>
                <w:highlight w:val="white"/>
              </w:rPr>
            </w:pPr>
            <w:r w:rsidRPr="008543FB">
              <w:rPr>
                <w:rFonts w:eastAsia="Roboto"/>
                <w:color w:val="0D0D0D"/>
                <w:sz w:val="24"/>
                <w:szCs w:val="24"/>
                <w:highlight w:val="white"/>
              </w:rPr>
              <w:t>6.94</w:t>
            </w:r>
          </w:p>
        </w:tc>
        <w:tc>
          <w:tcPr>
            <w:tcW w:w="1670" w:type="dxa"/>
          </w:tcPr>
          <w:p w14:paraId="69439962" w14:textId="77777777" w:rsidR="00905DBC" w:rsidRPr="008543FB" w:rsidRDefault="00453400" w:rsidP="00356330">
            <w:pPr>
              <w:jc w:val="both"/>
              <w:rPr>
                <w:rFonts w:eastAsia="Roboto"/>
                <w:color w:val="0D0D0D"/>
                <w:sz w:val="24"/>
                <w:szCs w:val="24"/>
                <w:highlight w:val="white"/>
              </w:rPr>
            </w:pPr>
            <w:r w:rsidRPr="008543FB">
              <w:rPr>
                <w:rFonts w:eastAsia="Roboto"/>
                <w:color w:val="0D0D0D"/>
                <w:sz w:val="24"/>
                <w:szCs w:val="24"/>
                <w:highlight w:val="white"/>
              </w:rPr>
              <w:t>13.63</w:t>
            </w:r>
          </w:p>
        </w:tc>
        <w:tc>
          <w:tcPr>
            <w:tcW w:w="2375" w:type="dxa"/>
          </w:tcPr>
          <w:p w14:paraId="61603DFC" w14:textId="77777777" w:rsidR="00905DBC" w:rsidRPr="008543FB" w:rsidRDefault="00453400" w:rsidP="00356330">
            <w:pPr>
              <w:jc w:val="both"/>
              <w:rPr>
                <w:rFonts w:eastAsia="Roboto"/>
                <w:color w:val="0D0D0D"/>
                <w:sz w:val="24"/>
                <w:szCs w:val="24"/>
                <w:highlight w:val="white"/>
              </w:rPr>
            </w:pPr>
            <w:r w:rsidRPr="008543FB">
              <w:rPr>
                <w:rFonts w:eastAsia="Roboto"/>
                <w:color w:val="0D0D0D"/>
                <w:sz w:val="24"/>
                <w:szCs w:val="24"/>
                <w:highlight w:val="white"/>
              </w:rPr>
              <w:t>3.93</w:t>
            </w:r>
          </w:p>
        </w:tc>
      </w:tr>
      <w:tr w:rsidR="00905DBC" w:rsidRPr="008543FB" w14:paraId="427EEC4D" w14:textId="77777777" w:rsidTr="00356330">
        <w:trPr>
          <w:trHeight w:val="515"/>
        </w:trPr>
        <w:tc>
          <w:tcPr>
            <w:tcW w:w="2060" w:type="dxa"/>
          </w:tcPr>
          <w:p w14:paraId="05E10492" w14:textId="77777777" w:rsidR="00905DBC" w:rsidRPr="008543FB" w:rsidRDefault="00453400" w:rsidP="00356330">
            <w:pPr>
              <w:jc w:val="both"/>
              <w:rPr>
                <w:rFonts w:eastAsia="Roboto"/>
                <w:color w:val="0D0D0D"/>
                <w:sz w:val="24"/>
                <w:szCs w:val="24"/>
                <w:highlight w:val="white"/>
              </w:rPr>
            </w:pPr>
            <w:r w:rsidRPr="008543FB">
              <w:rPr>
                <w:rFonts w:eastAsia="Roboto"/>
                <w:color w:val="0D0D0D"/>
                <w:sz w:val="24"/>
                <w:szCs w:val="24"/>
                <w:highlight w:val="white"/>
              </w:rPr>
              <w:t>RSA-2048</w:t>
            </w:r>
          </w:p>
        </w:tc>
        <w:tc>
          <w:tcPr>
            <w:tcW w:w="1850" w:type="dxa"/>
          </w:tcPr>
          <w:p w14:paraId="2479012D" w14:textId="77777777" w:rsidR="00905DBC" w:rsidRPr="008543FB" w:rsidRDefault="00453400" w:rsidP="00356330">
            <w:pPr>
              <w:jc w:val="both"/>
              <w:rPr>
                <w:rFonts w:eastAsia="Roboto"/>
                <w:color w:val="0D0D0D"/>
                <w:sz w:val="24"/>
                <w:szCs w:val="24"/>
                <w:highlight w:val="white"/>
              </w:rPr>
            </w:pPr>
            <w:r w:rsidRPr="008543FB">
              <w:rPr>
                <w:rFonts w:eastAsia="Roboto"/>
                <w:color w:val="0D0D0D"/>
                <w:sz w:val="24"/>
                <w:szCs w:val="24"/>
                <w:highlight w:val="white"/>
              </w:rPr>
              <w:t>1.21</w:t>
            </w:r>
          </w:p>
        </w:tc>
        <w:tc>
          <w:tcPr>
            <w:tcW w:w="1850" w:type="dxa"/>
          </w:tcPr>
          <w:p w14:paraId="512ECE4C" w14:textId="77777777" w:rsidR="00905DBC" w:rsidRPr="008543FB" w:rsidRDefault="00453400" w:rsidP="00356330">
            <w:pPr>
              <w:jc w:val="both"/>
              <w:rPr>
                <w:rFonts w:eastAsia="Roboto"/>
                <w:color w:val="0D0D0D"/>
                <w:sz w:val="24"/>
                <w:szCs w:val="24"/>
                <w:highlight w:val="white"/>
              </w:rPr>
            </w:pPr>
            <w:r w:rsidRPr="008543FB">
              <w:rPr>
                <w:rFonts w:eastAsia="Roboto"/>
                <w:color w:val="0D0D0D"/>
                <w:sz w:val="24"/>
                <w:szCs w:val="24"/>
                <w:highlight w:val="white"/>
              </w:rPr>
              <w:t>2.82</w:t>
            </w:r>
          </w:p>
        </w:tc>
        <w:tc>
          <w:tcPr>
            <w:tcW w:w="1670" w:type="dxa"/>
          </w:tcPr>
          <w:p w14:paraId="0BAD273C" w14:textId="77777777" w:rsidR="00905DBC" w:rsidRPr="008543FB" w:rsidRDefault="00453400" w:rsidP="00356330">
            <w:pPr>
              <w:jc w:val="both"/>
              <w:rPr>
                <w:rFonts w:eastAsia="Roboto"/>
                <w:color w:val="0D0D0D"/>
                <w:sz w:val="24"/>
                <w:szCs w:val="24"/>
                <w:highlight w:val="white"/>
              </w:rPr>
            </w:pPr>
            <w:r w:rsidRPr="008543FB">
              <w:rPr>
                <w:rFonts w:eastAsia="Roboto"/>
                <w:color w:val="0D0D0D"/>
                <w:sz w:val="24"/>
                <w:szCs w:val="24"/>
                <w:highlight w:val="white"/>
              </w:rPr>
              <w:t>0.54</w:t>
            </w:r>
          </w:p>
        </w:tc>
        <w:tc>
          <w:tcPr>
            <w:tcW w:w="2375" w:type="dxa"/>
          </w:tcPr>
          <w:p w14:paraId="0CC6D250" w14:textId="77777777" w:rsidR="00905DBC" w:rsidRPr="008543FB" w:rsidRDefault="00453400" w:rsidP="00356330">
            <w:pPr>
              <w:jc w:val="both"/>
              <w:rPr>
                <w:rFonts w:eastAsia="Roboto"/>
                <w:color w:val="0D0D0D"/>
                <w:sz w:val="24"/>
                <w:szCs w:val="24"/>
                <w:highlight w:val="white"/>
              </w:rPr>
            </w:pPr>
            <w:r w:rsidRPr="008543FB">
              <w:rPr>
                <w:rFonts w:eastAsia="Roboto"/>
                <w:color w:val="0D0D0D"/>
                <w:sz w:val="24"/>
                <w:szCs w:val="24"/>
                <w:highlight w:val="white"/>
              </w:rPr>
              <w:t>1.89</w:t>
            </w:r>
          </w:p>
        </w:tc>
      </w:tr>
      <w:tr w:rsidR="00905DBC" w:rsidRPr="008543FB" w14:paraId="1E150261" w14:textId="77777777" w:rsidTr="00356330">
        <w:trPr>
          <w:trHeight w:val="515"/>
        </w:trPr>
        <w:tc>
          <w:tcPr>
            <w:tcW w:w="2060" w:type="dxa"/>
          </w:tcPr>
          <w:p w14:paraId="1A3C2A61" w14:textId="77777777" w:rsidR="00905DBC" w:rsidRPr="008543FB" w:rsidRDefault="00453400" w:rsidP="00356330">
            <w:pPr>
              <w:jc w:val="both"/>
              <w:rPr>
                <w:rFonts w:eastAsia="Roboto"/>
                <w:color w:val="0D0D0D"/>
                <w:sz w:val="24"/>
                <w:szCs w:val="24"/>
                <w:highlight w:val="white"/>
              </w:rPr>
            </w:pPr>
            <w:r w:rsidRPr="008543FB">
              <w:rPr>
                <w:rFonts w:eastAsia="Roboto"/>
                <w:color w:val="0D0D0D"/>
                <w:sz w:val="24"/>
                <w:szCs w:val="24"/>
                <w:highlight w:val="white"/>
              </w:rPr>
              <w:t>ECC-256</w:t>
            </w:r>
          </w:p>
        </w:tc>
        <w:tc>
          <w:tcPr>
            <w:tcW w:w="1850" w:type="dxa"/>
          </w:tcPr>
          <w:p w14:paraId="11328E01" w14:textId="77777777" w:rsidR="00905DBC" w:rsidRPr="008543FB" w:rsidRDefault="00453400" w:rsidP="00356330">
            <w:pPr>
              <w:jc w:val="both"/>
              <w:rPr>
                <w:rFonts w:eastAsia="Roboto"/>
                <w:color w:val="0D0D0D"/>
                <w:sz w:val="24"/>
                <w:szCs w:val="24"/>
                <w:highlight w:val="white"/>
              </w:rPr>
            </w:pPr>
            <w:r w:rsidRPr="008543FB">
              <w:rPr>
                <w:rFonts w:eastAsia="Roboto"/>
                <w:color w:val="0D0D0D"/>
                <w:sz w:val="24"/>
                <w:szCs w:val="24"/>
                <w:highlight w:val="white"/>
              </w:rPr>
              <w:t>2.18</w:t>
            </w:r>
          </w:p>
        </w:tc>
        <w:tc>
          <w:tcPr>
            <w:tcW w:w="1850" w:type="dxa"/>
          </w:tcPr>
          <w:p w14:paraId="5B7E69C5" w14:textId="77777777" w:rsidR="00905DBC" w:rsidRPr="008543FB" w:rsidRDefault="00453400" w:rsidP="00356330">
            <w:pPr>
              <w:jc w:val="both"/>
              <w:rPr>
                <w:rFonts w:eastAsia="Roboto"/>
                <w:color w:val="0D0D0D"/>
                <w:sz w:val="24"/>
                <w:szCs w:val="24"/>
                <w:highlight w:val="white"/>
              </w:rPr>
            </w:pPr>
            <w:r w:rsidRPr="008543FB">
              <w:rPr>
                <w:rFonts w:eastAsia="Roboto"/>
                <w:color w:val="0D0D0D"/>
                <w:sz w:val="24"/>
                <w:szCs w:val="24"/>
                <w:highlight w:val="white"/>
              </w:rPr>
              <w:t>3.08</w:t>
            </w:r>
          </w:p>
        </w:tc>
        <w:tc>
          <w:tcPr>
            <w:tcW w:w="1670" w:type="dxa"/>
          </w:tcPr>
          <w:p w14:paraId="1BAC8741" w14:textId="77777777" w:rsidR="00905DBC" w:rsidRPr="008543FB" w:rsidRDefault="00453400" w:rsidP="00356330">
            <w:pPr>
              <w:jc w:val="both"/>
              <w:rPr>
                <w:rFonts w:eastAsia="Roboto"/>
                <w:color w:val="0D0D0D"/>
                <w:sz w:val="24"/>
                <w:szCs w:val="24"/>
                <w:highlight w:val="white"/>
              </w:rPr>
            </w:pPr>
            <w:r w:rsidRPr="008543FB">
              <w:rPr>
                <w:rFonts w:eastAsia="Roboto"/>
                <w:color w:val="0D0D0D"/>
                <w:sz w:val="24"/>
                <w:szCs w:val="24"/>
                <w:highlight w:val="white"/>
              </w:rPr>
              <w:t>0.71</w:t>
            </w:r>
          </w:p>
        </w:tc>
        <w:tc>
          <w:tcPr>
            <w:tcW w:w="2375" w:type="dxa"/>
          </w:tcPr>
          <w:p w14:paraId="44CD968A" w14:textId="77777777" w:rsidR="00905DBC" w:rsidRPr="008543FB" w:rsidRDefault="00453400" w:rsidP="00356330">
            <w:pPr>
              <w:jc w:val="both"/>
              <w:rPr>
                <w:rFonts w:eastAsia="Roboto"/>
                <w:color w:val="0D0D0D"/>
                <w:sz w:val="24"/>
                <w:szCs w:val="24"/>
                <w:highlight w:val="white"/>
              </w:rPr>
            </w:pPr>
            <w:r w:rsidRPr="008543FB">
              <w:rPr>
                <w:rFonts w:eastAsia="Roboto"/>
                <w:color w:val="0D0D0D"/>
                <w:sz w:val="24"/>
                <w:szCs w:val="24"/>
                <w:highlight w:val="white"/>
              </w:rPr>
              <w:t>1.71</w:t>
            </w:r>
          </w:p>
        </w:tc>
      </w:tr>
    </w:tbl>
    <w:p w14:paraId="2708F957" w14:textId="77777777" w:rsidR="00905DBC" w:rsidRPr="008543FB" w:rsidRDefault="00453400">
      <w:pPr>
        <w:spacing w:before="240" w:after="240"/>
        <w:jc w:val="both"/>
        <w:rPr>
          <w:rFonts w:eastAsia="Roboto"/>
          <w:color w:val="0D0D0D"/>
          <w:sz w:val="24"/>
          <w:szCs w:val="24"/>
          <w:highlight w:val="white"/>
        </w:rPr>
      </w:pPr>
      <w:r w:rsidRPr="008543FB">
        <w:rPr>
          <w:rFonts w:eastAsia="Roboto"/>
          <w:color w:val="0D0D0D"/>
          <w:sz w:val="24"/>
          <w:szCs w:val="24"/>
          <w:highlight w:val="white"/>
        </w:rPr>
        <w:t xml:space="preserve">As observed, post-quantum cryptographic models require significantly higher computational resources compared to traditional cryptographic algorithms. Kyber-1024 demonstrates a moderate balance between encryption speed and computational latency, whereas Dilithium-5 exhibits higher decryption times, making it less efficient for transaction-heavy blockchain applications. SPHINCS+-SHA256, while offering strong </w:t>
      </w:r>
      <w:r w:rsidRPr="008543FB">
        <w:rPr>
          <w:rFonts w:eastAsia="Roboto"/>
          <w:color w:val="0D0D0D"/>
          <w:sz w:val="24"/>
          <w:szCs w:val="24"/>
          <w:highlight w:val="white"/>
        </w:rPr>
        <w:lastRenderedPageBreak/>
        <w:t>cryptographic integrity, maintains higher signature sizes, which may pose storage challenges in blockchain environments.</w:t>
      </w:r>
    </w:p>
    <w:p w14:paraId="1E5237A1" w14:textId="1FDC41DD" w:rsidR="00905DBC" w:rsidRPr="008543FB" w:rsidRDefault="00453400">
      <w:pPr>
        <w:spacing w:before="240" w:after="240"/>
        <w:jc w:val="both"/>
        <w:rPr>
          <w:rFonts w:eastAsia="Roboto"/>
          <w:color w:val="0D0D0D"/>
          <w:sz w:val="24"/>
          <w:szCs w:val="24"/>
          <w:highlight w:val="white"/>
        </w:rPr>
      </w:pPr>
      <w:r w:rsidRPr="008543FB">
        <w:rPr>
          <w:rFonts w:eastAsia="Roboto"/>
          <w:color w:val="0D0D0D"/>
          <w:sz w:val="24"/>
          <w:szCs w:val="24"/>
          <w:highlight w:val="white"/>
        </w:rPr>
        <w:t xml:space="preserve">The radar chart in Figure 3 visually compares the normalized performance of these cryptographic models across multiple dimensions, illustrating </w:t>
      </w:r>
      <w:r w:rsidR="00F31422" w:rsidRPr="008543FB">
        <w:rPr>
          <w:rFonts w:eastAsia="Roboto"/>
          <w:color w:val="0D0D0D"/>
          <w:sz w:val="24"/>
          <w:szCs w:val="24"/>
          <w:highlight w:val="white"/>
        </w:rPr>
        <w:t>each model's relative efficiency</w:t>
      </w:r>
      <w:r w:rsidRPr="008543FB">
        <w:rPr>
          <w:rFonts w:eastAsia="Roboto"/>
          <w:color w:val="0D0D0D"/>
          <w:sz w:val="24"/>
          <w:szCs w:val="24"/>
          <w:highlight w:val="white"/>
        </w:rPr>
        <w:t xml:space="preserve"> in handling financial transactions.</w:t>
      </w:r>
    </w:p>
    <w:p w14:paraId="532CD7BB" w14:textId="77777777" w:rsidR="00905DBC" w:rsidRPr="008543FB" w:rsidRDefault="00453400" w:rsidP="00122755">
      <w:pPr>
        <w:spacing w:before="240" w:after="240"/>
        <w:jc w:val="center"/>
        <w:rPr>
          <w:rFonts w:eastAsia="Roboto"/>
          <w:color w:val="0D0D0D"/>
          <w:sz w:val="24"/>
          <w:szCs w:val="24"/>
          <w:highlight w:val="white"/>
        </w:rPr>
      </w:pPr>
      <w:r w:rsidRPr="008543FB">
        <w:rPr>
          <w:rFonts w:eastAsia="Roboto"/>
          <w:noProof/>
          <w:color w:val="0D0D0D"/>
          <w:sz w:val="24"/>
          <w:szCs w:val="24"/>
          <w:highlight w:val="white"/>
          <w:lang w:val="en-US"/>
        </w:rPr>
        <w:drawing>
          <wp:inline distT="114300" distB="114300" distL="114300" distR="114300" wp14:anchorId="39B07F6A" wp14:editId="4314E2F2">
            <wp:extent cx="4768285" cy="4014465"/>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4768285" cy="4014465"/>
                    </a:xfrm>
                    <a:prstGeom prst="rect">
                      <a:avLst/>
                    </a:prstGeom>
                    <a:ln/>
                  </pic:spPr>
                </pic:pic>
              </a:graphicData>
            </a:graphic>
          </wp:inline>
        </w:drawing>
      </w:r>
    </w:p>
    <w:p w14:paraId="7A5CFC45" w14:textId="77777777" w:rsidR="00905DBC" w:rsidRPr="008543FB" w:rsidRDefault="00453400" w:rsidP="00122755">
      <w:pPr>
        <w:pStyle w:val="Heading4"/>
        <w:keepNext w:val="0"/>
        <w:keepLines w:val="0"/>
        <w:spacing w:before="240" w:after="40"/>
        <w:jc w:val="center"/>
        <w:rPr>
          <w:rFonts w:eastAsia="Roboto"/>
          <w:color w:val="0D0D0D"/>
          <w:highlight w:val="white"/>
        </w:rPr>
      </w:pPr>
      <w:bookmarkStart w:id="18" w:name="_uscd92r9apsn" w:colFirst="0" w:colLast="0"/>
      <w:bookmarkEnd w:id="18"/>
      <w:r w:rsidRPr="008543FB">
        <w:rPr>
          <w:rFonts w:eastAsia="Roboto"/>
          <w:color w:val="0D0D0D"/>
          <w:highlight w:val="white"/>
        </w:rPr>
        <w:t>Figure 3: Performance Comparison of Cryptographic Models Across Key Metrics</w:t>
      </w:r>
    </w:p>
    <w:p w14:paraId="5C46CD03" w14:textId="670E9D05" w:rsidR="00905DBC" w:rsidRPr="008543FB" w:rsidRDefault="00F31422">
      <w:pPr>
        <w:spacing w:before="240" w:after="240"/>
        <w:jc w:val="both"/>
        <w:rPr>
          <w:rFonts w:eastAsia="Roboto"/>
          <w:color w:val="0D0D0D"/>
          <w:sz w:val="24"/>
          <w:szCs w:val="24"/>
          <w:highlight w:val="white"/>
        </w:rPr>
      </w:pPr>
      <w:r w:rsidRPr="008543FB">
        <w:rPr>
          <w:rFonts w:eastAsia="Roboto"/>
          <w:color w:val="0D0D0D"/>
          <w:sz w:val="24"/>
          <w:szCs w:val="24"/>
          <w:highlight w:val="white"/>
        </w:rPr>
        <w:t>The trade-off between security strength and computational efficiency is a critical challenge in post-quantum adoption</w:t>
      </w:r>
      <w:r w:rsidR="00453400" w:rsidRPr="008543FB">
        <w:rPr>
          <w:rFonts w:eastAsia="Roboto"/>
          <w:color w:val="0D0D0D"/>
          <w:sz w:val="24"/>
          <w:szCs w:val="24"/>
          <w:highlight w:val="white"/>
        </w:rPr>
        <w:t>. While Kyber-1024 and SPHINCS+ offer improved resistance against quantum attacks, their increased encryption overhead presents potential scalability concerns. These results underscore the necessity of hybrid implementations that balance quantum resilience with practical efficiency. Given the computational overhead of PQC, financial institutions must optimize blockchain frameworks to accommodate larger key sizes and increased processing demands. A gradual transition strategy, leveraging hybrid cryptographic models, is essential to maintaining blockchain security without compromising transaction speed or storage efficiency.</w:t>
      </w:r>
    </w:p>
    <w:p w14:paraId="2333E64D" w14:textId="77777777" w:rsidR="00905DBC" w:rsidRPr="008543FB" w:rsidRDefault="00453400">
      <w:pPr>
        <w:pStyle w:val="Heading3"/>
        <w:keepNext w:val="0"/>
        <w:keepLines w:val="0"/>
        <w:spacing w:before="280"/>
        <w:jc w:val="both"/>
        <w:rPr>
          <w:rFonts w:eastAsia="Roboto"/>
          <w:b/>
          <w:color w:val="0D0D0D"/>
          <w:sz w:val="24"/>
          <w:szCs w:val="24"/>
          <w:highlight w:val="white"/>
        </w:rPr>
      </w:pPr>
      <w:bookmarkStart w:id="19" w:name="_7eatvwy9eo89" w:colFirst="0" w:colLast="0"/>
      <w:bookmarkEnd w:id="19"/>
      <w:r w:rsidRPr="008543FB">
        <w:rPr>
          <w:rFonts w:eastAsia="Roboto"/>
          <w:b/>
          <w:color w:val="0D0D0D"/>
          <w:sz w:val="24"/>
          <w:szCs w:val="24"/>
          <w:highlight w:val="white"/>
        </w:rPr>
        <w:lastRenderedPageBreak/>
        <w:t>Assessing Financial Institutions’ Readiness for Quantum-Resistant Blockchain Security</w:t>
      </w:r>
    </w:p>
    <w:p w14:paraId="1916D544" w14:textId="77777777" w:rsidR="00905DBC" w:rsidRPr="008543FB" w:rsidRDefault="00453400">
      <w:pPr>
        <w:spacing w:before="240" w:after="240"/>
        <w:jc w:val="both"/>
        <w:rPr>
          <w:rFonts w:eastAsia="Roboto"/>
          <w:color w:val="0D0D0D"/>
          <w:sz w:val="24"/>
          <w:szCs w:val="24"/>
          <w:highlight w:val="white"/>
        </w:rPr>
      </w:pPr>
      <w:r w:rsidRPr="008543FB">
        <w:rPr>
          <w:rFonts w:eastAsia="Roboto"/>
          <w:color w:val="0D0D0D"/>
          <w:sz w:val="24"/>
          <w:szCs w:val="24"/>
          <w:highlight w:val="white"/>
        </w:rPr>
        <w:t>The financial sector’s increasing reliance on blockchain technology necessitates proactive measures to protect cryptographic infrastructures from quantum threats. As advancements in quantum computing accelerate, financial institutions must assess their readiness for post-quantum cryptographic (PQC) adoption. This study examines cybersecurity investments, PQC adoption rates, and sectoral disparities to determine the preparedness of financial institutions for quantum-resistant blockchain security.</w:t>
      </w:r>
    </w:p>
    <w:p w14:paraId="1C005B83" w14:textId="77777777" w:rsidR="00905DBC" w:rsidRPr="008543FB" w:rsidRDefault="00453400">
      <w:pPr>
        <w:spacing w:before="240" w:after="240"/>
        <w:jc w:val="both"/>
        <w:rPr>
          <w:rFonts w:eastAsia="Roboto"/>
          <w:color w:val="0D0D0D"/>
          <w:sz w:val="24"/>
          <w:szCs w:val="24"/>
          <w:highlight w:val="white"/>
        </w:rPr>
      </w:pPr>
      <w:r w:rsidRPr="008543FB">
        <w:rPr>
          <w:rFonts w:eastAsia="Roboto"/>
          <w:color w:val="0D0D0D"/>
          <w:sz w:val="24"/>
          <w:szCs w:val="24"/>
          <w:highlight w:val="white"/>
        </w:rPr>
        <w:t>Financial institutions exhibit varying levels of preparedness for quantum-resistant cryptographic integration. Table 4 presents an overview of cybersecurity budgets and PQC adoption rates across key financial sectors.</w:t>
      </w:r>
    </w:p>
    <w:p w14:paraId="54C360D8" w14:textId="77777777" w:rsidR="00905DBC" w:rsidRPr="008543FB" w:rsidRDefault="00453400">
      <w:pPr>
        <w:pStyle w:val="Heading4"/>
        <w:keepNext w:val="0"/>
        <w:keepLines w:val="0"/>
        <w:spacing w:before="240" w:after="40"/>
        <w:jc w:val="both"/>
        <w:rPr>
          <w:rFonts w:eastAsia="Roboto"/>
          <w:b/>
          <w:color w:val="0D0D0D"/>
          <w:highlight w:val="white"/>
        </w:rPr>
      </w:pPr>
      <w:bookmarkStart w:id="20" w:name="_plv5wa62yywa" w:colFirst="0" w:colLast="0"/>
      <w:bookmarkEnd w:id="20"/>
      <w:r w:rsidRPr="008543FB">
        <w:rPr>
          <w:rFonts w:eastAsia="Roboto"/>
          <w:b/>
          <w:color w:val="0D0D0D"/>
          <w:highlight w:val="white"/>
        </w:rPr>
        <w:t>Table 4: Financial Institutions' Readiness for Post-Quantum Cryptographic Adoption</w:t>
      </w:r>
    </w:p>
    <w:tbl>
      <w:tblPr>
        <w:tblStyle w:val="TableGrid"/>
        <w:tblW w:w="9620" w:type="dxa"/>
        <w:tblLayout w:type="fixed"/>
        <w:tblLook w:val="0600" w:firstRow="0" w:lastRow="0" w:firstColumn="0" w:lastColumn="0" w:noHBand="1" w:noVBand="1"/>
      </w:tblPr>
      <w:tblGrid>
        <w:gridCol w:w="2425"/>
        <w:gridCol w:w="2700"/>
        <w:gridCol w:w="2075"/>
        <w:gridCol w:w="2420"/>
      </w:tblGrid>
      <w:tr w:rsidR="00905DBC" w:rsidRPr="008543FB" w14:paraId="7F1CD7C3" w14:textId="77777777" w:rsidTr="005638C7">
        <w:trPr>
          <w:trHeight w:val="800"/>
        </w:trPr>
        <w:tc>
          <w:tcPr>
            <w:tcW w:w="2425" w:type="dxa"/>
          </w:tcPr>
          <w:p w14:paraId="66671768" w14:textId="77777777" w:rsidR="00905DBC" w:rsidRPr="008543FB" w:rsidRDefault="00453400" w:rsidP="005638C7">
            <w:pPr>
              <w:jc w:val="center"/>
              <w:rPr>
                <w:rFonts w:eastAsia="Roboto"/>
                <w:color w:val="0D0D0D"/>
                <w:sz w:val="24"/>
                <w:szCs w:val="24"/>
                <w:highlight w:val="white"/>
              </w:rPr>
            </w:pPr>
            <w:r w:rsidRPr="008543FB">
              <w:rPr>
                <w:rFonts w:eastAsia="Roboto"/>
                <w:b/>
                <w:color w:val="0D0D0D"/>
                <w:sz w:val="24"/>
                <w:szCs w:val="24"/>
                <w:highlight w:val="white"/>
              </w:rPr>
              <w:t>Financial Sector</w:t>
            </w:r>
          </w:p>
        </w:tc>
        <w:tc>
          <w:tcPr>
            <w:tcW w:w="2700" w:type="dxa"/>
          </w:tcPr>
          <w:p w14:paraId="1BF9E1ED" w14:textId="77777777" w:rsidR="00905DBC" w:rsidRPr="008543FB" w:rsidRDefault="00453400" w:rsidP="005638C7">
            <w:pPr>
              <w:jc w:val="center"/>
              <w:rPr>
                <w:rFonts w:eastAsia="Roboto"/>
                <w:color w:val="0D0D0D"/>
                <w:sz w:val="24"/>
                <w:szCs w:val="24"/>
                <w:highlight w:val="white"/>
              </w:rPr>
            </w:pPr>
            <w:r w:rsidRPr="008543FB">
              <w:rPr>
                <w:rFonts w:eastAsia="Roboto"/>
                <w:b/>
                <w:color w:val="0D0D0D"/>
                <w:sz w:val="24"/>
                <w:szCs w:val="24"/>
                <w:highlight w:val="white"/>
              </w:rPr>
              <w:t>Cybersecurity Budget (Billion USD)</w:t>
            </w:r>
          </w:p>
        </w:tc>
        <w:tc>
          <w:tcPr>
            <w:tcW w:w="2075" w:type="dxa"/>
          </w:tcPr>
          <w:p w14:paraId="5C5CFF36" w14:textId="77777777" w:rsidR="00905DBC" w:rsidRPr="008543FB" w:rsidRDefault="00453400" w:rsidP="005638C7">
            <w:pPr>
              <w:jc w:val="center"/>
              <w:rPr>
                <w:rFonts w:eastAsia="Roboto"/>
                <w:color w:val="0D0D0D"/>
                <w:sz w:val="24"/>
                <w:szCs w:val="24"/>
                <w:highlight w:val="white"/>
              </w:rPr>
            </w:pPr>
            <w:r w:rsidRPr="008543FB">
              <w:rPr>
                <w:rFonts w:eastAsia="Roboto"/>
                <w:b/>
                <w:color w:val="0D0D0D"/>
                <w:sz w:val="24"/>
                <w:szCs w:val="24"/>
                <w:highlight w:val="white"/>
              </w:rPr>
              <w:t>Reported PQC Adoption (%)</w:t>
            </w:r>
          </w:p>
        </w:tc>
        <w:tc>
          <w:tcPr>
            <w:tcW w:w="2420" w:type="dxa"/>
          </w:tcPr>
          <w:p w14:paraId="76B7AAB5" w14:textId="77777777" w:rsidR="00905DBC" w:rsidRPr="008543FB" w:rsidRDefault="00453400" w:rsidP="005638C7">
            <w:pPr>
              <w:jc w:val="center"/>
              <w:rPr>
                <w:rFonts w:eastAsia="Roboto"/>
                <w:color w:val="0D0D0D"/>
                <w:sz w:val="24"/>
                <w:szCs w:val="24"/>
                <w:highlight w:val="white"/>
              </w:rPr>
            </w:pPr>
            <w:r w:rsidRPr="008543FB">
              <w:rPr>
                <w:rFonts w:eastAsia="Roboto"/>
                <w:b/>
                <w:color w:val="0D0D0D"/>
                <w:sz w:val="24"/>
                <w:szCs w:val="24"/>
                <w:highlight w:val="white"/>
              </w:rPr>
              <w:t>Predicted PQC Adoption (%)</w:t>
            </w:r>
          </w:p>
        </w:tc>
      </w:tr>
      <w:tr w:rsidR="00905DBC" w:rsidRPr="008543FB" w14:paraId="1E28AD1F" w14:textId="77777777" w:rsidTr="005638C7">
        <w:trPr>
          <w:trHeight w:val="800"/>
        </w:trPr>
        <w:tc>
          <w:tcPr>
            <w:tcW w:w="2425" w:type="dxa"/>
          </w:tcPr>
          <w:p w14:paraId="108E5758" w14:textId="77777777" w:rsidR="00905DBC" w:rsidRPr="008543FB" w:rsidRDefault="00453400" w:rsidP="005638C7">
            <w:pPr>
              <w:jc w:val="both"/>
              <w:rPr>
                <w:rFonts w:eastAsia="Roboto"/>
                <w:color w:val="0D0D0D"/>
                <w:sz w:val="24"/>
                <w:szCs w:val="24"/>
                <w:highlight w:val="white"/>
              </w:rPr>
            </w:pPr>
            <w:r w:rsidRPr="008543FB">
              <w:rPr>
                <w:rFonts w:eastAsia="Roboto"/>
                <w:color w:val="0D0D0D"/>
                <w:sz w:val="24"/>
                <w:szCs w:val="24"/>
                <w:highlight w:val="white"/>
              </w:rPr>
              <w:t>Commercial Banks</w:t>
            </w:r>
          </w:p>
        </w:tc>
        <w:tc>
          <w:tcPr>
            <w:tcW w:w="2700" w:type="dxa"/>
          </w:tcPr>
          <w:p w14:paraId="3FB9760E" w14:textId="77777777" w:rsidR="00905DBC" w:rsidRPr="008543FB" w:rsidRDefault="00453400" w:rsidP="005638C7">
            <w:pPr>
              <w:jc w:val="both"/>
              <w:rPr>
                <w:rFonts w:eastAsia="Roboto"/>
                <w:color w:val="0D0D0D"/>
                <w:sz w:val="24"/>
                <w:szCs w:val="24"/>
                <w:highlight w:val="white"/>
              </w:rPr>
            </w:pPr>
            <w:r w:rsidRPr="008543FB">
              <w:rPr>
                <w:rFonts w:eastAsia="Roboto"/>
                <w:color w:val="0D0D0D"/>
                <w:sz w:val="24"/>
                <w:szCs w:val="24"/>
                <w:highlight w:val="white"/>
              </w:rPr>
              <w:t>5.2</w:t>
            </w:r>
          </w:p>
        </w:tc>
        <w:tc>
          <w:tcPr>
            <w:tcW w:w="2075" w:type="dxa"/>
          </w:tcPr>
          <w:p w14:paraId="48F2BB92" w14:textId="77777777" w:rsidR="00905DBC" w:rsidRPr="008543FB" w:rsidRDefault="00453400" w:rsidP="005638C7">
            <w:pPr>
              <w:jc w:val="both"/>
              <w:rPr>
                <w:rFonts w:eastAsia="Roboto"/>
                <w:color w:val="0D0D0D"/>
                <w:sz w:val="24"/>
                <w:szCs w:val="24"/>
                <w:highlight w:val="white"/>
              </w:rPr>
            </w:pPr>
            <w:r w:rsidRPr="008543FB">
              <w:rPr>
                <w:rFonts w:eastAsia="Roboto"/>
                <w:color w:val="0D0D0D"/>
                <w:sz w:val="24"/>
                <w:szCs w:val="24"/>
                <w:highlight w:val="white"/>
              </w:rPr>
              <w:t>65</w:t>
            </w:r>
          </w:p>
        </w:tc>
        <w:tc>
          <w:tcPr>
            <w:tcW w:w="2420" w:type="dxa"/>
          </w:tcPr>
          <w:p w14:paraId="2312AAA1" w14:textId="77777777" w:rsidR="00905DBC" w:rsidRPr="008543FB" w:rsidRDefault="00453400" w:rsidP="005638C7">
            <w:pPr>
              <w:jc w:val="both"/>
              <w:rPr>
                <w:rFonts w:eastAsia="Roboto"/>
                <w:color w:val="0D0D0D"/>
                <w:sz w:val="24"/>
                <w:szCs w:val="24"/>
                <w:highlight w:val="white"/>
              </w:rPr>
            </w:pPr>
            <w:r w:rsidRPr="008543FB">
              <w:rPr>
                <w:rFonts w:eastAsia="Roboto"/>
                <w:color w:val="0D0D0D"/>
                <w:sz w:val="24"/>
                <w:szCs w:val="24"/>
                <w:highlight w:val="white"/>
              </w:rPr>
              <w:t>46</w:t>
            </w:r>
          </w:p>
        </w:tc>
      </w:tr>
      <w:tr w:rsidR="00905DBC" w:rsidRPr="008543FB" w14:paraId="1F60F0C4" w14:textId="77777777" w:rsidTr="005638C7">
        <w:trPr>
          <w:trHeight w:val="800"/>
        </w:trPr>
        <w:tc>
          <w:tcPr>
            <w:tcW w:w="2425" w:type="dxa"/>
          </w:tcPr>
          <w:p w14:paraId="19862E71" w14:textId="77777777" w:rsidR="00905DBC" w:rsidRPr="008543FB" w:rsidRDefault="00453400" w:rsidP="005638C7">
            <w:pPr>
              <w:jc w:val="both"/>
              <w:rPr>
                <w:rFonts w:eastAsia="Roboto"/>
                <w:color w:val="0D0D0D"/>
                <w:sz w:val="24"/>
                <w:szCs w:val="24"/>
                <w:highlight w:val="white"/>
              </w:rPr>
            </w:pPr>
            <w:r w:rsidRPr="008543FB">
              <w:rPr>
                <w:rFonts w:eastAsia="Roboto"/>
                <w:color w:val="0D0D0D"/>
                <w:sz w:val="24"/>
                <w:szCs w:val="24"/>
                <w:highlight w:val="white"/>
              </w:rPr>
              <w:t>Investment Banks</w:t>
            </w:r>
          </w:p>
        </w:tc>
        <w:tc>
          <w:tcPr>
            <w:tcW w:w="2700" w:type="dxa"/>
          </w:tcPr>
          <w:p w14:paraId="4BB07706" w14:textId="77777777" w:rsidR="00905DBC" w:rsidRPr="008543FB" w:rsidRDefault="00453400" w:rsidP="005638C7">
            <w:pPr>
              <w:jc w:val="both"/>
              <w:rPr>
                <w:rFonts w:eastAsia="Roboto"/>
                <w:color w:val="0D0D0D"/>
                <w:sz w:val="24"/>
                <w:szCs w:val="24"/>
                <w:highlight w:val="white"/>
              </w:rPr>
            </w:pPr>
            <w:r w:rsidRPr="008543FB">
              <w:rPr>
                <w:rFonts w:eastAsia="Roboto"/>
                <w:color w:val="0D0D0D"/>
                <w:sz w:val="24"/>
                <w:szCs w:val="24"/>
                <w:highlight w:val="white"/>
              </w:rPr>
              <w:t>7.8</w:t>
            </w:r>
          </w:p>
        </w:tc>
        <w:tc>
          <w:tcPr>
            <w:tcW w:w="2075" w:type="dxa"/>
          </w:tcPr>
          <w:p w14:paraId="4BD2F014" w14:textId="77777777" w:rsidR="00905DBC" w:rsidRPr="008543FB" w:rsidRDefault="00453400" w:rsidP="005638C7">
            <w:pPr>
              <w:jc w:val="both"/>
              <w:rPr>
                <w:rFonts w:eastAsia="Roboto"/>
                <w:color w:val="0D0D0D"/>
                <w:sz w:val="24"/>
                <w:szCs w:val="24"/>
                <w:highlight w:val="white"/>
              </w:rPr>
            </w:pPr>
            <w:r w:rsidRPr="008543FB">
              <w:rPr>
                <w:rFonts w:eastAsia="Roboto"/>
                <w:color w:val="0D0D0D"/>
                <w:sz w:val="24"/>
                <w:szCs w:val="24"/>
                <w:highlight w:val="white"/>
              </w:rPr>
              <w:t>80</w:t>
            </w:r>
          </w:p>
        </w:tc>
        <w:tc>
          <w:tcPr>
            <w:tcW w:w="2420" w:type="dxa"/>
          </w:tcPr>
          <w:p w14:paraId="7651135E" w14:textId="77777777" w:rsidR="00905DBC" w:rsidRPr="008543FB" w:rsidRDefault="00453400" w:rsidP="005638C7">
            <w:pPr>
              <w:jc w:val="both"/>
              <w:rPr>
                <w:rFonts w:eastAsia="Roboto"/>
                <w:color w:val="0D0D0D"/>
                <w:sz w:val="24"/>
                <w:szCs w:val="24"/>
                <w:highlight w:val="white"/>
              </w:rPr>
            </w:pPr>
            <w:r w:rsidRPr="008543FB">
              <w:rPr>
                <w:rFonts w:eastAsia="Roboto"/>
                <w:color w:val="0D0D0D"/>
                <w:sz w:val="24"/>
                <w:szCs w:val="24"/>
                <w:highlight w:val="white"/>
              </w:rPr>
              <w:t>59</w:t>
            </w:r>
          </w:p>
        </w:tc>
      </w:tr>
      <w:tr w:rsidR="00905DBC" w:rsidRPr="008543FB" w14:paraId="34E86849" w14:textId="77777777" w:rsidTr="005638C7">
        <w:trPr>
          <w:trHeight w:val="515"/>
        </w:trPr>
        <w:tc>
          <w:tcPr>
            <w:tcW w:w="2425" w:type="dxa"/>
          </w:tcPr>
          <w:p w14:paraId="65014D2B" w14:textId="77777777" w:rsidR="00905DBC" w:rsidRPr="008543FB" w:rsidRDefault="00453400" w:rsidP="005638C7">
            <w:pPr>
              <w:jc w:val="both"/>
              <w:rPr>
                <w:rFonts w:eastAsia="Roboto"/>
                <w:color w:val="0D0D0D"/>
                <w:sz w:val="24"/>
                <w:szCs w:val="24"/>
                <w:highlight w:val="white"/>
              </w:rPr>
            </w:pPr>
            <w:r w:rsidRPr="008543FB">
              <w:rPr>
                <w:rFonts w:eastAsia="Roboto"/>
                <w:color w:val="0D0D0D"/>
                <w:sz w:val="24"/>
                <w:szCs w:val="24"/>
                <w:highlight w:val="white"/>
              </w:rPr>
              <w:t>Fintech Firms</w:t>
            </w:r>
          </w:p>
        </w:tc>
        <w:tc>
          <w:tcPr>
            <w:tcW w:w="2700" w:type="dxa"/>
          </w:tcPr>
          <w:p w14:paraId="7DFA4CC6" w14:textId="77777777" w:rsidR="00905DBC" w:rsidRPr="008543FB" w:rsidRDefault="00453400" w:rsidP="005638C7">
            <w:pPr>
              <w:jc w:val="both"/>
              <w:rPr>
                <w:rFonts w:eastAsia="Roboto"/>
                <w:color w:val="0D0D0D"/>
                <w:sz w:val="24"/>
                <w:szCs w:val="24"/>
                <w:highlight w:val="white"/>
              </w:rPr>
            </w:pPr>
            <w:r w:rsidRPr="008543FB">
              <w:rPr>
                <w:rFonts w:eastAsia="Roboto"/>
                <w:color w:val="0D0D0D"/>
                <w:sz w:val="24"/>
                <w:szCs w:val="24"/>
                <w:highlight w:val="white"/>
              </w:rPr>
              <w:t>4.1</w:t>
            </w:r>
          </w:p>
        </w:tc>
        <w:tc>
          <w:tcPr>
            <w:tcW w:w="2075" w:type="dxa"/>
          </w:tcPr>
          <w:p w14:paraId="06604630" w14:textId="77777777" w:rsidR="00905DBC" w:rsidRPr="008543FB" w:rsidRDefault="00453400" w:rsidP="005638C7">
            <w:pPr>
              <w:jc w:val="both"/>
              <w:rPr>
                <w:rFonts w:eastAsia="Roboto"/>
                <w:color w:val="0D0D0D"/>
                <w:sz w:val="24"/>
                <w:szCs w:val="24"/>
                <w:highlight w:val="white"/>
              </w:rPr>
            </w:pPr>
            <w:r w:rsidRPr="008543FB">
              <w:rPr>
                <w:rFonts w:eastAsia="Roboto"/>
                <w:color w:val="0D0D0D"/>
                <w:sz w:val="24"/>
                <w:szCs w:val="24"/>
                <w:highlight w:val="white"/>
              </w:rPr>
              <w:t>45</w:t>
            </w:r>
          </w:p>
        </w:tc>
        <w:tc>
          <w:tcPr>
            <w:tcW w:w="2420" w:type="dxa"/>
          </w:tcPr>
          <w:p w14:paraId="36715576" w14:textId="77777777" w:rsidR="00905DBC" w:rsidRPr="008543FB" w:rsidRDefault="00453400" w:rsidP="005638C7">
            <w:pPr>
              <w:jc w:val="both"/>
              <w:rPr>
                <w:rFonts w:eastAsia="Roboto"/>
                <w:color w:val="0D0D0D"/>
                <w:sz w:val="24"/>
                <w:szCs w:val="24"/>
                <w:highlight w:val="white"/>
              </w:rPr>
            </w:pPr>
            <w:r w:rsidRPr="008543FB">
              <w:rPr>
                <w:rFonts w:eastAsia="Roboto"/>
                <w:color w:val="0D0D0D"/>
                <w:sz w:val="24"/>
                <w:szCs w:val="24"/>
                <w:highlight w:val="white"/>
              </w:rPr>
              <w:t>40.5</w:t>
            </w:r>
          </w:p>
        </w:tc>
      </w:tr>
      <w:tr w:rsidR="00905DBC" w:rsidRPr="008543FB" w14:paraId="7495C659" w14:textId="77777777" w:rsidTr="005638C7">
        <w:trPr>
          <w:trHeight w:val="515"/>
        </w:trPr>
        <w:tc>
          <w:tcPr>
            <w:tcW w:w="2425" w:type="dxa"/>
          </w:tcPr>
          <w:p w14:paraId="52F578E2" w14:textId="77777777" w:rsidR="00905DBC" w:rsidRPr="008543FB" w:rsidRDefault="00453400" w:rsidP="005638C7">
            <w:pPr>
              <w:jc w:val="both"/>
              <w:rPr>
                <w:rFonts w:eastAsia="Roboto"/>
                <w:color w:val="0D0D0D"/>
                <w:sz w:val="24"/>
                <w:szCs w:val="24"/>
                <w:highlight w:val="white"/>
              </w:rPr>
            </w:pPr>
            <w:r w:rsidRPr="008543FB">
              <w:rPr>
                <w:rFonts w:eastAsia="Roboto"/>
                <w:color w:val="0D0D0D"/>
                <w:sz w:val="24"/>
                <w:szCs w:val="24"/>
                <w:highlight w:val="white"/>
              </w:rPr>
              <w:t>Central Banks</w:t>
            </w:r>
          </w:p>
        </w:tc>
        <w:tc>
          <w:tcPr>
            <w:tcW w:w="2700" w:type="dxa"/>
          </w:tcPr>
          <w:p w14:paraId="2E2B5111" w14:textId="77777777" w:rsidR="00905DBC" w:rsidRPr="008543FB" w:rsidRDefault="00453400" w:rsidP="005638C7">
            <w:pPr>
              <w:jc w:val="both"/>
              <w:rPr>
                <w:rFonts w:eastAsia="Roboto"/>
                <w:color w:val="0D0D0D"/>
                <w:sz w:val="24"/>
                <w:szCs w:val="24"/>
                <w:highlight w:val="white"/>
              </w:rPr>
            </w:pPr>
            <w:r w:rsidRPr="008543FB">
              <w:rPr>
                <w:rFonts w:eastAsia="Roboto"/>
                <w:color w:val="0D0D0D"/>
                <w:sz w:val="24"/>
                <w:szCs w:val="24"/>
                <w:highlight w:val="white"/>
              </w:rPr>
              <w:t>10.5</w:t>
            </w:r>
          </w:p>
        </w:tc>
        <w:tc>
          <w:tcPr>
            <w:tcW w:w="2075" w:type="dxa"/>
          </w:tcPr>
          <w:p w14:paraId="4ED1C048" w14:textId="77777777" w:rsidR="00905DBC" w:rsidRPr="008543FB" w:rsidRDefault="00453400" w:rsidP="005638C7">
            <w:pPr>
              <w:jc w:val="both"/>
              <w:rPr>
                <w:rFonts w:eastAsia="Roboto"/>
                <w:color w:val="0D0D0D"/>
                <w:sz w:val="24"/>
                <w:szCs w:val="24"/>
                <w:highlight w:val="white"/>
              </w:rPr>
            </w:pPr>
            <w:r w:rsidRPr="008543FB">
              <w:rPr>
                <w:rFonts w:eastAsia="Roboto"/>
                <w:color w:val="0D0D0D"/>
                <w:sz w:val="24"/>
                <w:szCs w:val="24"/>
                <w:highlight w:val="white"/>
              </w:rPr>
              <w:t>90</w:t>
            </w:r>
          </w:p>
        </w:tc>
        <w:tc>
          <w:tcPr>
            <w:tcW w:w="2420" w:type="dxa"/>
          </w:tcPr>
          <w:p w14:paraId="5FCA7274" w14:textId="77777777" w:rsidR="00905DBC" w:rsidRPr="008543FB" w:rsidRDefault="00453400" w:rsidP="005638C7">
            <w:pPr>
              <w:jc w:val="both"/>
              <w:rPr>
                <w:rFonts w:eastAsia="Roboto"/>
                <w:color w:val="0D0D0D"/>
                <w:sz w:val="24"/>
                <w:szCs w:val="24"/>
                <w:highlight w:val="white"/>
              </w:rPr>
            </w:pPr>
            <w:r w:rsidRPr="008543FB">
              <w:rPr>
                <w:rFonts w:eastAsia="Roboto"/>
                <w:color w:val="0D0D0D"/>
                <w:sz w:val="24"/>
                <w:szCs w:val="24"/>
                <w:highlight w:val="white"/>
              </w:rPr>
              <w:t>72.5</w:t>
            </w:r>
          </w:p>
        </w:tc>
      </w:tr>
      <w:tr w:rsidR="00905DBC" w:rsidRPr="008543FB" w14:paraId="708E7A5C" w14:textId="77777777" w:rsidTr="005638C7">
        <w:trPr>
          <w:trHeight w:val="515"/>
        </w:trPr>
        <w:tc>
          <w:tcPr>
            <w:tcW w:w="2425" w:type="dxa"/>
          </w:tcPr>
          <w:p w14:paraId="30E727FD" w14:textId="77777777" w:rsidR="00905DBC" w:rsidRPr="008543FB" w:rsidRDefault="00453400" w:rsidP="005638C7">
            <w:pPr>
              <w:jc w:val="both"/>
              <w:rPr>
                <w:rFonts w:eastAsia="Roboto"/>
                <w:color w:val="0D0D0D"/>
                <w:sz w:val="24"/>
                <w:szCs w:val="24"/>
                <w:highlight w:val="white"/>
              </w:rPr>
            </w:pPr>
            <w:r w:rsidRPr="008543FB">
              <w:rPr>
                <w:rFonts w:eastAsia="Roboto"/>
                <w:color w:val="0D0D0D"/>
                <w:sz w:val="24"/>
                <w:szCs w:val="24"/>
                <w:highlight w:val="white"/>
              </w:rPr>
              <w:t>Insurance Firms</w:t>
            </w:r>
          </w:p>
        </w:tc>
        <w:tc>
          <w:tcPr>
            <w:tcW w:w="2700" w:type="dxa"/>
          </w:tcPr>
          <w:p w14:paraId="2EF5DEDE" w14:textId="77777777" w:rsidR="00905DBC" w:rsidRPr="008543FB" w:rsidRDefault="00453400" w:rsidP="005638C7">
            <w:pPr>
              <w:jc w:val="both"/>
              <w:rPr>
                <w:rFonts w:eastAsia="Roboto"/>
                <w:color w:val="0D0D0D"/>
                <w:sz w:val="24"/>
                <w:szCs w:val="24"/>
                <w:highlight w:val="white"/>
              </w:rPr>
            </w:pPr>
            <w:r w:rsidRPr="008543FB">
              <w:rPr>
                <w:rFonts w:eastAsia="Roboto"/>
                <w:color w:val="0D0D0D"/>
                <w:sz w:val="24"/>
                <w:szCs w:val="24"/>
                <w:highlight w:val="white"/>
              </w:rPr>
              <w:t>3.9</w:t>
            </w:r>
          </w:p>
        </w:tc>
        <w:tc>
          <w:tcPr>
            <w:tcW w:w="2075" w:type="dxa"/>
          </w:tcPr>
          <w:p w14:paraId="2973A8D7" w14:textId="77777777" w:rsidR="00905DBC" w:rsidRPr="008543FB" w:rsidRDefault="00453400" w:rsidP="005638C7">
            <w:pPr>
              <w:jc w:val="both"/>
              <w:rPr>
                <w:rFonts w:eastAsia="Roboto"/>
                <w:color w:val="0D0D0D"/>
                <w:sz w:val="24"/>
                <w:szCs w:val="24"/>
                <w:highlight w:val="white"/>
              </w:rPr>
            </w:pPr>
            <w:r w:rsidRPr="008543FB">
              <w:rPr>
                <w:rFonts w:eastAsia="Roboto"/>
                <w:color w:val="0D0D0D"/>
                <w:sz w:val="24"/>
                <w:szCs w:val="24"/>
                <w:highlight w:val="white"/>
              </w:rPr>
              <w:t>40</w:t>
            </w:r>
          </w:p>
        </w:tc>
        <w:tc>
          <w:tcPr>
            <w:tcW w:w="2420" w:type="dxa"/>
          </w:tcPr>
          <w:p w14:paraId="552110CD" w14:textId="77777777" w:rsidR="00905DBC" w:rsidRPr="008543FB" w:rsidRDefault="00453400" w:rsidP="005638C7">
            <w:pPr>
              <w:jc w:val="both"/>
              <w:rPr>
                <w:rFonts w:eastAsia="Roboto"/>
                <w:color w:val="0D0D0D"/>
                <w:sz w:val="24"/>
                <w:szCs w:val="24"/>
                <w:highlight w:val="white"/>
              </w:rPr>
            </w:pPr>
            <w:r w:rsidRPr="008543FB">
              <w:rPr>
                <w:rFonts w:eastAsia="Roboto"/>
                <w:color w:val="0D0D0D"/>
                <w:sz w:val="24"/>
                <w:szCs w:val="24"/>
                <w:highlight w:val="white"/>
              </w:rPr>
              <w:t>39.5</w:t>
            </w:r>
          </w:p>
        </w:tc>
      </w:tr>
    </w:tbl>
    <w:p w14:paraId="24F91F39" w14:textId="3B77C202" w:rsidR="00905DBC" w:rsidRPr="008543FB" w:rsidRDefault="00453400">
      <w:pPr>
        <w:spacing w:before="240" w:after="240"/>
        <w:jc w:val="both"/>
        <w:rPr>
          <w:rFonts w:eastAsia="Roboto"/>
          <w:color w:val="0D0D0D"/>
          <w:sz w:val="24"/>
          <w:szCs w:val="24"/>
          <w:highlight w:val="white"/>
        </w:rPr>
      </w:pPr>
      <w:r w:rsidRPr="008543FB">
        <w:rPr>
          <w:rFonts w:eastAsia="Roboto"/>
          <w:color w:val="0D0D0D"/>
          <w:sz w:val="24"/>
          <w:szCs w:val="24"/>
          <w:highlight w:val="white"/>
        </w:rPr>
        <w:t>The results indicate that Central and Investment Banks lead in PQC adoption, aligning with higher cybersecurity budgets. In contrast, Fintech Firms and Insurance Companies lag, signaling a potential risk to blockchain security in these sectors. The gap between reported and predicted PQC adoption highlights the disparities between investment and actual implementation efforts.</w:t>
      </w:r>
    </w:p>
    <w:p w14:paraId="042F94AB" w14:textId="77777777" w:rsidR="00905DBC" w:rsidRPr="008543FB" w:rsidRDefault="00453400">
      <w:pPr>
        <w:spacing w:before="240" w:after="240"/>
        <w:jc w:val="both"/>
        <w:rPr>
          <w:rFonts w:eastAsia="Roboto"/>
          <w:color w:val="0D0D0D"/>
          <w:sz w:val="24"/>
          <w:szCs w:val="24"/>
          <w:highlight w:val="white"/>
        </w:rPr>
      </w:pPr>
      <w:r w:rsidRPr="008543FB">
        <w:rPr>
          <w:rFonts w:eastAsia="Roboto"/>
          <w:color w:val="0D0D0D"/>
          <w:sz w:val="24"/>
          <w:szCs w:val="24"/>
          <w:highlight w:val="white"/>
        </w:rPr>
        <w:t>The dumbbell chart in Figure 4 visually represents this gap, illustrating how projected adoption rates based on cybersecurity investments compare to actual adoption levels across financial sectors.</w:t>
      </w:r>
    </w:p>
    <w:p w14:paraId="3067181F" w14:textId="77777777" w:rsidR="00905DBC" w:rsidRPr="008543FB" w:rsidRDefault="00453400" w:rsidP="00FC4326">
      <w:pPr>
        <w:spacing w:before="240" w:after="240"/>
        <w:jc w:val="center"/>
        <w:rPr>
          <w:rFonts w:eastAsia="Roboto"/>
          <w:color w:val="0D0D0D"/>
          <w:sz w:val="24"/>
          <w:szCs w:val="24"/>
          <w:highlight w:val="white"/>
        </w:rPr>
      </w:pPr>
      <w:r w:rsidRPr="008543FB">
        <w:rPr>
          <w:rFonts w:eastAsia="Roboto"/>
          <w:noProof/>
          <w:color w:val="0D0D0D"/>
          <w:sz w:val="24"/>
          <w:szCs w:val="24"/>
          <w:highlight w:val="white"/>
          <w:lang w:val="en-US"/>
        </w:rPr>
        <w:lastRenderedPageBreak/>
        <w:drawing>
          <wp:inline distT="114300" distB="114300" distL="114300" distR="114300" wp14:anchorId="135324CD" wp14:editId="77B77980">
            <wp:extent cx="4956882" cy="2638425"/>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4971590" cy="2646254"/>
                    </a:xfrm>
                    <a:prstGeom prst="rect">
                      <a:avLst/>
                    </a:prstGeom>
                    <a:ln/>
                  </pic:spPr>
                </pic:pic>
              </a:graphicData>
            </a:graphic>
          </wp:inline>
        </w:drawing>
      </w:r>
    </w:p>
    <w:p w14:paraId="7E153958" w14:textId="77777777" w:rsidR="00905DBC" w:rsidRPr="008543FB" w:rsidRDefault="00453400" w:rsidP="00FC4326">
      <w:pPr>
        <w:pStyle w:val="Heading4"/>
        <w:keepNext w:val="0"/>
        <w:keepLines w:val="0"/>
        <w:spacing w:before="240" w:after="40"/>
        <w:jc w:val="center"/>
        <w:rPr>
          <w:rFonts w:eastAsia="Roboto"/>
          <w:color w:val="0D0D0D"/>
          <w:highlight w:val="white"/>
        </w:rPr>
      </w:pPr>
      <w:bookmarkStart w:id="21" w:name="_9ccmpf2t2tn0" w:colFirst="0" w:colLast="0"/>
      <w:bookmarkEnd w:id="21"/>
      <w:r w:rsidRPr="008543FB">
        <w:rPr>
          <w:rFonts w:eastAsia="Roboto"/>
          <w:color w:val="0D0D0D"/>
          <w:highlight w:val="white"/>
        </w:rPr>
        <w:t>Figure 4: Reported vs. Predicted Post-Quantum Cryptographic Adoption</w:t>
      </w:r>
    </w:p>
    <w:p w14:paraId="0F45EE3E" w14:textId="77777777" w:rsidR="00905DBC" w:rsidRPr="008543FB" w:rsidRDefault="00453400">
      <w:pPr>
        <w:spacing w:before="240" w:after="240"/>
        <w:jc w:val="both"/>
        <w:rPr>
          <w:rFonts w:eastAsia="Roboto"/>
          <w:color w:val="0D0D0D"/>
          <w:sz w:val="24"/>
          <w:szCs w:val="24"/>
          <w:highlight w:val="white"/>
        </w:rPr>
      </w:pPr>
      <w:r w:rsidRPr="008543FB">
        <w:rPr>
          <w:rFonts w:eastAsia="Roboto"/>
          <w:color w:val="0D0D0D"/>
          <w:sz w:val="24"/>
          <w:szCs w:val="24"/>
          <w:highlight w:val="white"/>
        </w:rPr>
        <w:t>The analysis further emphasizes that while investment in cybersecurity infrastructure correlates with higher PQC adoption, there remain institutional disparities in implementation. The bubble chart in Figure 5 highlights the distribution of cybersecurity budgets, showing how financial institutions allocate resources for cryptographic resilience.</w:t>
      </w:r>
    </w:p>
    <w:p w14:paraId="08D16B03" w14:textId="77777777" w:rsidR="00905DBC" w:rsidRPr="008543FB" w:rsidRDefault="00453400" w:rsidP="00870598">
      <w:pPr>
        <w:spacing w:before="240" w:after="240"/>
        <w:jc w:val="center"/>
        <w:rPr>
          <w:rFonts w:eastAsia="Roboto"/>
          <w:color w:val="0D0D0D"/>
          <w:sz w:val="24"/>
          <w:szCs w:val="24"/>
          <w:highlight w:val="white"/>
        </w:rPr>
      </w:pPr>
      <w:r w:rsidRPr="008543FB">
        <w:rPr>
          <w:rFonts w:eastAsia="Roboto"/>
          <w:noProof/>
          <w:color w:val="0D0D0D"/>
          <w:sz w:val="24"/>
          <w:szCs w:val="24"/>
          <w:highlight w:val="white"/>
          <w:lang w:val="en-US"/>
        </w:rPr>
        <w:drawing>
          <wp:inline distT="114300" distB="114300" distL="114300" distR="114300" wp14:anchorId="54BD2A12" wp14:editId="7803D711">
            <wp:extent cx="4381500" cy="2009775"/>
            <wp:effectExtent l="0" t="0" r="0" b="9525"/>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4382518" cy="2010242"/>
                    </a:xfrm>
                    <a:prstGeom prst="rect">
                      <a:avLst/>
                    </a:prstGeom>
                    <a:ln/>
                  </pic:spPr>
                </pic:pic>
              </a:graphicData>
            </a:graphic>
          </wp:inline>
        </w:drawing>
      </w:r>
    </w:p>
    <w:p w14:paraId="65030530" w14:textId="77777777" w:rsidR="00905DBC" w:rsidRPr="008543FB" w:rsidRDefault="00453400" w:rsidP="00870598">
      <w:pPr>
        <w:pStyle w:val="Heading4"/>
        <w:keepNext w:val="0"/>
        <w:keepLines w:val="0"/>
        <w:spacing w:before="240" w:after="40"/>
        <w:jc w:val="center"/>
        <w:rPr>
          <w:rFonts w:eastAsia="Roboto"/>
          <w:color w:val="0D0D0D"/>
          <w:highlight w:val="white"/>
        </w:rPr>
      </w:pPr>
      <w:bookmarkStart w:id="22" w:name="_269rehp52u08" w:colFirst="0" w:colLast="0"/>
      <w:bookmarkEnd w:id="22"/>
      <w:r w:rsidRPr="008543FB">
        <w:rPr>
          <w:rFonts w:eastAsia="Roboto"/>
          <w:color w:val="0D0D0D"/>
          <w:highlight w:val="white"/>
        </w:rPr>
        <w:t>Figure 5: Financial Institutions’ Cybersecurity Budget Allocation</w:t>
      </w:r>
    </w:p>
    <w:p w14:paraId="3FEAFDFF" w14:textId="77777777" w:rsidR="00905DBC" w:rsidRPr="008543FB" w:rsidRDefault="00453400">
      <w:pPr>
        <w:spacing w:before="240" w:after="240"/>
        <w:jc w:val="both"/>
        <w:rPr>
          <w:rFonts w:eastAsia="Roboto"/>
          <w:color w:val="0D0D0D"/>
          <w:sz w:val="24"/>
          <w:szCs w:val="24"/>
          <w:highlight w:val="white"/>
        </w:rPr>
      </w:pPr>
      <w:r w:rsidRPr="008543FB">
        <w:rPr>
          <w:rFonts w:eastAsia="Roboto"/>
          <w:color w:val="0D0D0D"/>
          <w:sz w:val="24"/>
          <w:szCs w:val="24"/>
          <w:highlight w:val="white"/>
        </w:rPr>
        <w:t>A key observation from the data is that higher investment does not always equate to full adoption of quantum-resistant encryption. For example, Commercial Banks allocate significant cybersecurity budgets but fall short in PQC readiness compared to Central Banks. This suggests that while financial institutions recognize the urgency of quantum security, structural and regulatory challenges may impede the transition to quantum-resistant blockchain models.</w:t>
      </w:r>
    </w:p>
    <w:p w14:paraId="351EE745" w14:textId="77777777" w:rsidR="00905DBC" w:rsidRPr="008543FB" w:rsidRDefault="00453400">
      <w:pPr>
        <w:spacing w:before="240" w:after="240"/>
        <w:jc w:val="both"/>
        <w:rPr>
          <w:rFonts w:eastAsia="Roboto"/>
          <w:color w:val="0D0D0D"/>
          <w:sz w:val="24"/>
          <w:szCs w:val="24"/>
          <w:highlight w:val="white"/>
        </w:rPr>
      </w:pPr>
      <w:r w:rsidRPr="008543FB">
        <w:rPr>
          <w:rFonts w:eastAsia="Roboto"/>
          <w:color w:val="0D0D0D"/>
          <w:sz w:val="24"/>
          <w:szCs w:val="24"/>
          <w:highlight w:val="white"/>
        </w:rPr>
        <w:lastRenderedPageBreak/>
        <w:t>These findings underscore the need for industry-wide standardization, policy alignment, and increased strategic investments to ensure that financial institutions effectively integrate quantum-resistant cryptographic security measures into their blockchain infrastructures.</w:t>
      </w:r>
    </w:p>
    <w:p w14:paraId="7D9B0E6A" w14:textId="77777777" w:rsidR="00905DBC" w:rsidRPr="008543FB" w:rsidRDefault="00453400">
      <w:pPr>
        <w:pStyle w:val="Heading3"/>
        <w:keepNext w:val="0"/>
        <w:keepLines w:val="0"/>
        <w:spacing w:before="280"/>
        <w:jc w:val="both"/>
        <w:rPr>
          <w:rFonts w:eastAsia="Roboto"/>
          <w:b/>
          <w:color w:val="0D0D0D"/>
          <w:sz w:val="24"/>
          <w:szCs w:val="24"/>
          <w:highlight w:val="white"/>
        </w:rPr>
      </w:pPr>
      <w:bookmarkStart w:id="23" w:name="_n6xunkiz6ny0" w:colFirst="0" w:colLast="0"/>
      <w:bookmarkEnd w:id="23"/>
      <w:r w:rsidRPr="008543FB">
        <w:rPr>
          <w:rFonts w:eastAsia="Roboto"/>
          <w:b/>
          <w:color w:val="0D0D0D"/>
          <w:sz w:val="24"/>
          <w:szCs w:val="24"/>
          <w:highlight w:val="white"/>
        </w:rPr>
        <w:t>Examining Global Regulatory and Compliance Efforts for Transitioning to Quantum-Resistant Cryptography</w:t>
      </w:r>
    </w:p>
    <w:p w14:paraId="4084FC3B" w14:textId="77777777" w:rsidR="00905DBC" w:rsidRPr="008543FB" w:rsidRDefault="00453400">
      <w:pPr>
        <w:spacing w:before="240" w:after="240"/>
        <w:jc w:val="both"/>
        <w:rPr>
          <w:rFonts w:eastAsia="Roboto"/>
          <w:color w:val="0D0D0D"/>
          <w:sz w:val="24"/>
          <w:szCs w:val="24"/>
          <w:highlight w:val="white"/>
        </w:rPr>
      </w:pPr>
      <w:r w:rsidRPr="008543FB">
        <w:rPr>
          <w:rFonts w:eastAsia="Roboto"/>
          <w:color w:val="0D0D0D"/>
          <w:sz w:val="24"/>
          <w:szCs w:val="24"/>
          <w:highlight w:val="white"/>
        </w:rPr>
        <w:t>As the financial sector transitions toward quantum-resistant cryptographic (PQC) standards, global regulatory bodies have introduced compliance measures to ensure financial institutions adopt secure cryptographic frameworks. The effectiveness of these regulations varies across jurisdictions, with some nations leading in PQC implementation, while others lag behind due to policy gaps and enforcement challenges. This report assesses regulatory compliance levels, the rate of PQC adoption by financial institutions, and trends in quantum-resistant policy growth between 2019 and 2025.</w:t>
      </w:r>
    </w:p>
    <w:p w14:paraId="48CD49DC" w14:textId="77777777" w:rsidR="00905DBC" w:rsidRPr="008543FB" w:rsidRDefault="00453400">
      <w:pPr>
        <w:spacing w:before="240" w:after="240"/>
        <w:jc w:val="both"/>
        <w:rPr>
          <w:rFonts w:eastAsia="Roboto"/>
          <w:color w:val="0D0D0D"/>
          <w:sz w:val="24"/>
          <w:szCs w:val="24"/>
          <w:highlight w:val="white"/>
        </w:rPr>
      </w:pPr>
      <w:r w:rsidRPr="008543FB">
        <w:rPr>
          <w:rFonts w:eastAsia="Roboto"/>
          <w:color w:val="0D0D0D"/>
          <w:sz w:val="24"/>
          <w:szCs w:val="24"/>
          <w:highlight w:val="white"/>
        </w:rPr>
        <w:t>Regulatory compliance with quantum-resistant cryptography is highly uneven across different economies. Table 5 provides an overview of Regulatory Compliance Index (RCI) scores, the percentage of financial institutions adopting PQC, and the rate of regulatory growth from 2019 to 2025.</w:t>
      </w:r>
    </w:p>
    <w:p w14:paraId="06976261" w14:textId="77777777" w:rsidR="00905DBC" w:rsidRPr="008543FB" w:rsidRDefault="00453400">
      <w:pPr>
        <w:pStyle w:val="Heading4"/>
        <w:keepNext w:val="0"/>
        <w:keepLines w:val="0"/>
        <w:spacing w:before="240" w:after="40"/>
        <w:jc w:val="both"/>
        <w:rPr>
          <w:rFonts w:eastAsia="Roboto"/>
          <w:color w:val="0D0D0D"/>
          <w:highlight w:val="white"/>
        </w:rPr>
      </w:pPr>
      <w:bookmarkStart w:id="24" w:name="_4r4h6moarlk5" w:colFirst="0" w:colLast="0"/>
      <w:bookmarkEnd w:id="24"/>
      <w:r w:rsidRPr="008543FB">
        <w:rPr>
          <w:rFonts w:eastAsia="Roboto"/>
          <w:color w:val="0D0D0D"/>
          <w:highlight w:val="white"/>
        </w:rPr>
        <w:t>Table 5: Global Regulatory Compliance in Quantum-Resistant Cryptography</w:t>
      </w:r>
    </w:p>
    <w:tbl>
      <w:tblPr>
        <w:tblStyle w:val="TableGrid"/>
        <w:tblW w:w="9620" w:type="dxa"/>
        <w:tblLayout w:type="fixed"/>
        <w:tblLook w:val="0600" w:firstRow="0" w:lastRow="0" w:firstColumn="0" w:lastColumn="0" w:noHBand="1" w:noVBand="1"/>
      </w:tblPr>
      <w:tblGrid>
        <w:gridCol w:w="1475"/>
        <w:gridCol w:w="2630"/>
        <w:gridCol w:w="2975"/>
        <w:gridCol w:w="2540"/>
      </w:tblGrid>
      <w:tr w:rsidR="00905DBC" w:rsidRPr="008543FB" w14:paraId="6CA2FE07" w14:textId="77777777" w:rsidTr="007F6BFE">
        <w:trPr>
          <w:trHeight w:val="1085"/>
        </w:trPr>
        <w:tc>
          <w:tcPr>
            <w:tcW w:w="1475" w:type="dxa"/>
          </w:tcPr>
          <w:p w14:paraId="78A5D477" w14:textId="77777777" w:rsidR="00905DBC" w:rsidRPr="008543FB" w:rsidRDefault="00453400" w:rsidP="00870598">
            <w:pPr>
              <w:jc w:val="center"/>
              <w:rPr>
                <w:rFonts w:eastAsia="Roboto"/>
                <w:color w:val="0D0D0D"/>
                <w:sz w:val="24"/>
                <w:szCs w:val="24"/>
                <w:highlight w:val="white"/>
              </w:rPr>
            </w:pPr>
            <w:r w:rsidRPr="008543FB">
              <w:rPr>
                <w:rFonts w:eastAsia="Roboto"/>
                <w:color w:val="0D0D0D"/>
                <w:sz w:val="24"/>
                <w:szCs w:val="24"/>
                <w:highlight w:val="white"/>
              </w:rPr>
              <w:t>Country</w:t>
            </w:r>
          </w:p>
        </w:tc>
        <w:tc>
          <w:tcPr>
            <w:tcW w:w="2630" w:type="dxa"/>
          </w:tcPr>
          <w:p w14:paraId="0CD4C009" w14:textId="77777777" w:rsidR="00905DBC" w:rsidRPr="008543FB" w:rsidRDefault="00453400" w:rsidP="00870598">
            <w:pPr>
              <w:jc w:val="center"/>
              <w:rPr>
                <w:rFonts w:eastAsia="Roboto"/>
                <w:color w:val="0D0D0D"/>
                <w:sz w:val="24"/>
                <w:szCs w:val="24"/>
                <w:highlight w:val="white"/>
              </w:rPr>
            </w:pPr>
            <w:r w:rsidRPr="008543FB">
              <w:rPr>
                <w:rFonts w:eastAsia="Roboto"/>
                <w:color w:val="0D0D0D"/>
                <w:sz w:val="24"/>
                <w:szCs w:val="24"/>
                <w:highlight w:val="white"/>
              </w:rPr>
              <w:t>Regulatory Compliance Index (RCI)</w:t>
            </w:r>
          </w:p>
        </w:tc>
        <w:tc>
          <w:tcPr>
            <w:tcW w:w="2975" w:type="dxa"/>
          </w:tcPr>
          <w:p w14:paraId="58D7D4D6" w14:textId="77777777" w:rsidR="00905DBC" w:rsidRPr="008543FB" w:rsidRDefault="00453400" w:rsidP="00870598">
            <w:pPr>
              <w:jc w:val="center"/>
              <w:rPr>
                <w:rFonts w:eastAsia="Roboto"/>
                <w:color w:val="0D0D0D"/>
                <w:sz w:val="24"/>
                <w:szCs w:val="24"/>
                <w:highlight w:val="white"/>
              </w:rPr>
            </w:pPr>
            <w:r w:rsidRPr="008543FB">
              <w:rPr>
                <w:rFonts w:eastAsia="Roboto"/>
                <w:color w:val="0D0D0D"/>
                <w:sz w:val="24"/>
                <w:szCs w:val="24"/>
                <w:highlight w:val="white"/>
              </w:rPr>
              <w:t>PQC Adoption by Financial Institutions (%)</w:t>
            </w:r>
          </w:p>
        </w:tc>
        <w:tc>
          <w:tcPr>
            <w:tcW w:w="2540" w:type="dxa"/>
          </w:tcPr>
          <w:p w14:paraId="6B0CFF17" w14:textId="77777777" w:rsidR="00905DBC" w:rsidRPr="008543FB" w:rsidRDefault="00453400" w:rsidP="00870598">
            <w:pPr>
              <w:jc w:val="center"/>
              <w:rPr>
                <w:rFonts w:eastAsia="Roboto"/>
                <w:color w:val="0D0D0D"/>
                <w:sz w:val="24"/>
                <w:szCs w:val="24"/>
                <w:highlight w:val="white"/>
              </w:rPr>
            </w:pPr>
            <w:r w:rsidRPr="008543FB">
              <w:rPr>
                <w:rFonts w:eastAsia="Roboto"/>
                <w:color w:val="0D0D0D"/>
                <w:sz w:val="24"/>
                <w:szCs w:val="24"/>
                <w:highlight w:val="white"/>
              </w:rPr>
              <w:t>Regulatory Growth (2019–2025, %)</w:t>
            </w:r>
          </w:p>
        </w:tc>
      </w:tr>
      <w:tr w:rsidR="00905DBC" w:rsidRPr="008543FB" w14:paraId="66DD0557" w14:textId="77777777" w:rsidTr="007F6BFE">
        <w:trPr>
          <w:trHeight w:val="800"/>
        </w:trPr>
        <w:tc>
          <w:tcPr>
            <w:tcW w:w="1475" w:type="dxa"/>
          </w:tcPr>
          <w:p w14:paraId="43F8494E" w14:textId="77777777" w:rsidR="00905DBC" w:rsidRPr="008543FB" w:rsidRDefault="00453400" w:rsidP="00870598">
            <w:pPr>
              <w:jc w:val="both"/>
              <w:rPr>
                <w:rFonts w:eastAsia="Roboto"/>
                <w:color w:val="0D0D0D"/>
                <w:sz w:val="24"/>
                <w:szCs w:val="24"/>
                <w:highlight w:val="white"/>
              </w:rPr>
            </w:pPr>
            <w:r w:rsidRPr="008543FB">
              <w:rPr>
                <w:rFonts w:eastAsia="Roboto"/>
                <w:color w:val="0D0D0D"/>
                <w:sz w:val="24"/>
                <w:szCs w:val="24"/>
                <w:highlight w:val="white"/>
              </w:rPr>
              <w:t>United States</w:t>
            </w:r>
          </w:p>
        </w:tc>
        <w:tc>
          <w:tcPr>
            <w:tcW w:w="2630" w:type="dxa"/>
          </w:tcPr>
          <w:p w14:paraId="27210B6E" w14:textId="77777777" w:rsidR="00905DBC" w:rsidRPr="008543FB" w:rsidRDefault="00453400" w:rsidP="00870598">
            <w:pPr>
              <w:jc w:val="both"/>
              <w:rPr>
                <w:rFonts w:eastAsia="Roboto"/>
                <w:color w:val="0D0D0D"/>
                <w:sz w:val="24"/>
                <w:szCs w:val="24"/>
                <w:highlight w:val="white"/>
              </w:rPr>
            </w:pPr>
            <w:r w:rsidRPr="008543FB">
              <w:rPr>
                <w:rFonts w:eastAsia="Roboto"/>
                <w:color w:val="0D0D0D"/>
                <w:sz w:val="24"/>
                <w:szCs w:val="24"/>
                <w:highlight w:val="white"/>
              </w:rPr>
              <w:t>85</w:t>
            </w:r>
          </w:p>
        </w:tc>
        <w:tc>
          <w:tcPr>
            <w:tcW w:w="2975" w:type="dxa"/>
          </w:tcPr>
          <w:p w14:paraId="39C0497D" w14:textId="77777777" w:rsidR="00905DBC" w:rsidRPr="008543FB" w:rsidRDefault="00453400" w:rsidP="00870598">
            <w:pPr>
              <w:jc w:val="both"/>
              <w:rPr>
                <w:rFonts w:eastAsia="Roboto"/>
                <w:color w:val="0D0D0D"/>
                <w:sz w:val="24"/>
                <w:szCs w:val="24"/>
                <w:highlight w:val="white"/>
              </w:rPr>
            </w:pPr>
            <w:r w:rsidRPr="008543FB">
              <w:rPr>
                <w:rFonts w:eastAsia="Roboto"/>
                <w:color w:val="0D0D0D"/>
                <w:sz w:val="24"/>
                <w:szCs w:val="24"/>
                <w:highlight w:val="white"/>
              </w:rPr>
              <w:t>70</w:t>
            </w:r>
          </w:p>
        </w:tc>
        <w:tc>
          <w:tcPr>
            <w:tcW w:w="2540" w:type="dxa"/>
          </w:tcPr>
          <w:p w14:paraId="20D001AD" w14:textId="77777777" w:rsidR="00905DBC" w:rsidRPr="008543FB" w:rsidRDefault="00453400" w:rsidP="00870598">
            <w:pPr>
              <w:jc w:val="both"/>
              <w:rPr>
                <w:rFonts w:eastAsia="Roboto"/>
                <w:color w:val="0D0D0D"/>
                <w:sz w:val="24"/>
                <w:szCs w:val="24"/>
                <w:highlight w:val="white"/>
              </w:rPr>
            </w:pPr>
            <w:r w:rsidRPr="008543FB">
              <w:rPr>
                <w:rFonts w:eastAsia="Roboto"/>
                <w:color w:val="0D0D0D"/>
                <w:sz w:val="24"/>
                <w:szCs w:val="24"/>
                <w:highlight w:val="white"/>
              </w:rPr>
              <w:t>40</w:t>
            </w:r>
          </w:p>
        </w:tc>
      </w:tr>
      <w:tr w:rsidR="00905DBC" w:rsidRPr="008543FB" w14:paraId="662645B4" w14:textId="77777777" w:rsidTr="007F6BFE">
        <w:trPr>
          <w:trHeight w:val="800"/>
        </w:trPr>
        <w:tc>
          <w:tcPr>
            <w:tcW w:w="1475" w:type="dxa"/>
          </w:tcPr>
          <w:p w14:paraId="4822BCFC" w14:textId="77777777" w:rsidR="00905DBC" w:rsidRPr="008543FB" w:rsidRDefault="00453400" w:rsidP="00870598">
            <w:pPr>
              <w:jc w:val="both"/>
              <w:rPr>
                <w:rFonts w:eastAsia="Roboto"/>
                <w:color w:val="0D0D0D"/>
                <w:sz w:val="24"/>
                <w:szCs w:val="24"/>
                <w:highlight w:val="white"/>
              </w:rPr>
            </w:pPr>
            <w:r w:rsidRPr="008543FB">
              <w:rPr>
                <w:rFonts w:eastAsia="Roboto"/>
                <w:color w:val="0D0D0D"/>
                <w:sz w:val="24"/>
                <w:szCs w:val="24"/>
                <w:highlight w:val="white"/>
              </w:rPr>
              <w:t>United Kingdom</w:t>
            </w:r>
          </w:p>
        </w:tc>
        <w:tc>
          <w:tcPr>
            <w:tcW w:w="2630" w:type="dxa"/>
          </w:tcPr>
          <w:p w14:paraId="77B8FC57" w14:textId="77777777" w:rsidR="00905DBC" w:rsidRPr="008543FB" w:rsidRDefault="00453400" w:rsidP="00870598">
            <w:pPr>
              <w:jc w:val="both"/>
              <w:rPr>
                <w:rFonts w:eastAsia="Roboto"/>
                <w:color w:val="0D0D0D"/>
                <w:sz w:val="24"/>
                <w:szCs w:val="24"/>
                <w:highlight w:val="white"/>
              </w:rPr>
            </w:pPr>
            <w:r w:rsidRPr="008543FB">
              <w:rPr>
                <w:rFonts w:eastAsia="Roboto"/>
                <w:color w:val="0D0D0D"/>
                <w:sz w:val="24"/>
                <w:szCs w:val="24"/>
                <w:highlight w:val="white"/>
              </w:rPr>
              <w:t>80</w:t>
            </w:r>
          </w:p>
        </w:tc>
        <w:tc>
          <w:tcPr>
            <w:tcW w:w="2975" w:type="dxa"/>
          </w:tcPr>
          <w:p w14:paraId="0EB58BEC" w14:textId="77777777" w:rsidR="00905DBC" w:rsidRPr="008543FB" w:rsidRDefault="00453400" w:rsidP="00870598">
            <w:pPr>
              <w:jc w:val="both"/>
              <w:rPr>
                <w:rFonts w:eastAsia="Roboto"/>
                <w:color w:val="0D0D0D"/>
                <w:sz w:val="24"/>
                <w:szCs w:val="24"/>
                <w:highlight w:val="white"/>
              </w:rPr>
            </w:pPr>
            <w:r w:rsidRPr="008543FB">
              <w:rPr>
                <w:rFonts w:eastAsia="Roboto"/>
                <w:color w:val="0D0D0D"/>
                <w:sz w:val="24"/>
                <w:szCs w:val="24"/>
                <w:highlight w:val="white"/>
              </w:rPr>
              <w:t>68</w:t>
            </w:r>
          </w:p>
        </w:tc>
        <w:tc>
          <w:tcPr>
            <w:tcW w:w="2540" w:type="dxa"/>
          </w:tcPr>
          <w:p w14:paraId="65C58904" w14:textId="77777777" w:rsidR="00905DBC" w:rsidRPr="008543FB" w:rsidRDefault="00453400" w:rsidP="00870598">
            <w:pPr>
              <w:jc w:val="both"/>
              <w:rPr>
                <w:rFonts w:eastAsia="Roboto"/>
                <w:color w:val="0D0D0D"/>
                <w:sz w:val="24"/>
                <w:szCs w:val="24"/>
                <w:highlight w:val="white"/>
              </w:rPr>
            </w:pPr>
            <w:r w:rsidRPr="008543FB">
              <w:rPr>
                <w:rFonts w:eastAsia="Roboto"/>
                <w:color w:val="0D0D0D"/>
                <w:sz w:val="24"/>
                <w:szCs w:val="24"/>
                <w:highlight w:val="white"/>
              </w:rPr>
              <w:t>38</w:t>
            </w:r>
          </w:p>
        </w:tc>
      </w:tr>
      <w:tr w:rsidR="00905DBC" w:rsidRPr="008543FB" w14:paraId="6D8FEEB0" w14:textId="77777777" w:rsidTr="007F6BFE">
        <w:trPr>
          <w:trHeight w:val="515"/>
        </w:trPr>
        <w:tc>
          <w:tcPr>
            <w:tcW w:w="1475" w:type="dxa"/>
          </w:tcPr>
          <w:p w14:paraId="654CEFC4" w14:textId="77777777" w:rsidR="00905DBC" w:rsidRPr="008543FB" w:rsidRDefault="00453400" w:rsidP="00870598">
            <w:pPr>
              <w:jc w:val="both"/>
              <w:rPr>
                <w:rFonts w:eastAsia="Roboto"/>
                <w:color w:val="0D0D0D"/>
                <w:sz w:val="24"/>
                <w:szCs w:val="24"/>
                <w:highlight w:val="white"/>
              </w:rPr>
            </w:pPr>
            <w:r w:rsidRPr="008543FB">
              <w:rPr>
                <w:rFonts w:eastAsia="Roboto"/>
                <w:color w:val="0D0D0D"/>
                <w:sz w:val="24"/>
                <w:szCs w:val="24"/>
                <w:highlight w:val="white"/>
              </w:rPr>
              <w:t>Germany</w:t>
            </w:r>
          </w:p>
        </w:tc>
        <w:tc>
          <w:tcPr>
            <w:tcW w:w="2630" w:type="dxa"/>
          </w:tcPr>
          <w:p w14:paraId="53972930" w14:textId="77777777" w:rsidR="00905DBC" w:rsidRPr="008543FB" w:rsidRDefault="00453400" w:rsidP="00870598">
            <w:pPr>
              <w:jc w:val="both"/>
              <w:rPr>
                <w:rFonts w:eastAsia="Roboto"/>
                <w:color w:val="0D0D0D"/>
                <w:sz w:val="24"/>
                <w:szCs w:val="24"/>
                <w:highlight w:val="white"/>
              </w:rPr>
            </w:pPr>
            <w:r w:rsidRPr="008543FB">
              <w:rPr>
                <w:rFonts w:eastAsia="Roboto"/>
                <w:color w:val="0D0D0D"/>
                <w:sz w:val="24"/>
                <w:szCs w:val="24"/>
                <w:highlight w:val="white"/>
              </w:rPr>
              <w:t>78</w:t>
            </w:r>
          </w:p>
        </w:tc>
        <w:tc>
          <w:tcPr>
            <w:tcW w:w="2975" w:type="dxa"/>
          </w:tcPr>
          <w:p w14:paraId="6914015C" w14:textId="77777777" w:rsidR="00905DBC" w:rsidRPr="008543FB" w:rsidRDefault="00453400" w:rsidP="00870598">
            <w:pPr>
              <w:jc w:val="both"/>
              <w:rPr>
                <w:rFonts w:eastAsia="Roboto"/>
                <w:color w:val="0D0D0D"/>
                <w:sz w:val="24"/>
                <w:szCs w:val="24"/>
                <w:highlight w:val="white"/>
              </w:rPr>
            </w:pPr>
            <w:r w:rsidRPr="008543FB">
              <w:rPr>
                <w:rFonts w:eastAsia="Roboto"/>
                <w:color w:val="0D0D0D"/>
                <w:sz w:val="24"/>
                <w:szCs w:val="24"/>
                <w:highlight w:val="white"/>
              </w:rPr>
              <w:t>66</w:t>
            </w:r>
          </w:p>
        </w:tc>
        <w:tc>
          <w:tcPr>
            <w:tcW w:w="2540" w:type="dxa"/>
          </w:tcPr>
          <w:p w14:paraId="3F8507FB" w14:textId="77777777" w:rsidR="00905DBC" w:rsidRPr="008543FB" w:rsidRDefault="00453400" w:rsidP="00870598">
            <w:pPr>
              <w:jc w:val="both"/>
              <w:rPr>
                <w:rFonts w:eastAsia="Roboto"/>
                <w:color w:val="0D0D0D"/>
                <w:sz w:val="24"/>
                <w:szCs w:val="24"/>
                <w:highlight w:val="white"/>
              </w:rPr>
            </w:pPr>
            <w:r w:rsidRPr="008543FB">
              <w:rPr>
                <w:rFonts w:eastAsia="Roboto"/>
                <w:color w:val="0D0D0D"/>
                <w:sz w:val="24"/>
                <w:szCs w:val="24"/>
                <w:highlight w:val="white"/>
              </w:rPr>
              <w:t>35</w:t>
            </w:r>
          </w:p>
        </w:tc>
      </w:tr>
      <w:tr w:rsidR="00905DBC" w:rsidRPr="008543FB" w14:paraId="7C2ECEB2" w14:textId="77777777" w:rsidTr="007F6BFE">
        <w:trPr>
          <w:trHeight w:val="515"/>
        </w:trPr>
        <w:tc>
          <w:tcPr>
            <w:tcW w:w="1475" w:type="dxa"/>
          </w:tcPr>
          <w:p w14:paraId="45C4D338" w14:textId="77777777" w:rsidR="00905DBC" w:rsidRPr="008543FB" w:rsidRDefault="00453400" w:rsidP="00870598">
            <w:pPr>
              <w:jc w:val="both"/>
              <w:rPr>
                <w:rFonts w:eastAsia="Roboto"/>
                <w:color w:val="0D0D0D"/>
                <w:sz w:val="24"/>
                <w:szCs w:val="24"/>
                <w:highlight w:val="white"/>
              </w:rPr>
            </w:pPr>
            <w:r w:rsidRPr="008543FB">
              <w:rPr>
                <w:rFonts w:eastAsia="Roboto"/>
                <w:color w:val="0D0D0D"/>
                <w:sz w:val="24"/>
                <w:szCs w:val="24"/>
                <w:highlight w:val="white"/>
              </w:rPr>
              <w:t>China</w:t>
            </w:r>
          </w:p>
        </w:tc>
        <w:tc>
          <w:tcPr>
            <w:tcW w:w="2630" w:type="dxa"/>
          </w:tcPr>
          <w:p w14:paraId="2AE7D9CC" w14:textId="77777777" w:rsidR="00905DBC" w:rsidRPr="008543FB" w:rsidRDefault="00453400" w:rsidP="00870598">
            <w:pPr>
              <w:jc w:val="both"/>
              <w:rPr>
                <w:rFonts w:eastAsia="Roboto"/>
                <w:color w:val="0D0D0D"/>
                <w:sz w:val="24"/>
                <w:szCs w:val="24"/>
                <w:highlight w:val="white"/>
              </w:rPr>
            </w:pPr>
            <w:r w:rsidRPr="008543FB">
              <w:rPr>
                <w:rFonts w:eastAsia="Roboto"/>
                <w:color w:val="0D0D0D"/>
                <w:sz w:val="24"/>
                <w:szCs w:val="24"/>
                <w:highlight w:val="white"/>
              </w:rPr>
              <w:t>90</w:t>
            </w:r>
          </w:p>
        </w:tc>
        <w:tc>
          <w:tcPr>
            <w:tcW w:w="2975" w:type="dxa"/>
          </w:tcPr>
          <w:p w14:paraId="1B9B2168" w14:textId="77777777" w:rsidR="00905DBC" w:rsidRPr="008543FB" w:rsidRDefault="00453400" w:rsidP="00870598">
            <w:pPr>
              <w:jc w:val="both"/>
              <w:rPr>
                <w:rFonts w:eastAsia="Roboto"/>
                <w:color w:val="0D0D0D"/>
                <w:sz w:val="24"/>
                <w:szCs w:val="24"/>
                <w:highlight w:val="white"/>
              </w:rPr>
            </w:pPr>
            <w:r w:rsidRPr="008543FB">
              <w:rPr>
                <w:rFonts w:eastAsia="Roboto"/>
                <w:color w:val="0D0D0D"/>
                <w:sz w:val="24"/>
                <w:szCs w:val="24"/>
                <w:highlight w:val="white"/>
              </w:rPr>
              <w:t>80</w:t>
            </w:r>
          </w:p>
        </w:tc>
        <w:tc>
          <w:tcPr>
            <w:tcW w:w="2540" w:type="dxa"/>
          </w:tcPr>
          <w:p w14:paraId="295D5266" w14:textId="77777777" w:rsidR="00905DBC" w:rsidRPr="008543FB" w:rsidRDefault="00453400" w:rsidP="00870598">
            <w:pPr>
              <w:jc w:val="both"/>
              <w:rPr>
                <w:rFonts w:eastAsia="Roboto"/>
                <w:color w:val="0D0D0D"/>
                <w:sz w:val="24"/>
                <w:szCs w:val="24"/>
                <w:highlight w:val="white"/>
              </w:rPr>
            </w:pPr>
            <w:r w:rsidRPr="008543FB">
              <w:rPr>
                <w:rFonts w:eastAsia="Roboto"/>
                <w:color w:val="0D0D0D"/>
                <w:sz w:val="24"/>
                <w:szCs w:val="24"/>
                <w:highlight w:val="white"/>
              </w:rPr>
              <w:t>50</w:t>
            </w:r>
          </w:p>
        </w:tc>
      </w:tr>
      <w:tr w:rsidR="00905DBC" w:rsidRPr="008543FB" w14:paraId="7DBC6DEA" w14:textId="77777777" w:rsidTr="007F6BFE">
        <w:trPr>
          <w:trHeight w:val="515"/>
        </w:trPr>
        <w:tc>
          <w:tcPr>
            <w:tcW w:w="1475" w:type="dxa"/>
          </w:tcPr>
          <w:p w14:paraId="2ABC72FC" w14:textId="77777777" w:rsidR="00905DBC" w:rsidRPr="008543FB" w:rsidRDefault="00453400" w:rsidP="00870598">
            <w:pPr>
              <w:jc w:val="both"/>
              <w:rPr>
                <w:rFonts w:eastAsia="Roboto"/>
                <w:color w:val="0D0D0D"/>
                <w:sz w:val="24"/>
                <w:szCs w:val="24"/>
                <w:highlight w:val="white"/>
              </w:rPr>
            </w:pPr>
            <w:r w:rsidRPr="008543FB">
              <w:rPr>
                <w:rFonts w:eastAsia="Roboto"/>
                <w:color w:val="0D0D0D"/>
                <w:sz w:val="24"/>
                <w:szCs w:val="24"/>
                <w:highlight w:val="white"/>
              </w:rPr>
              <w:t>Japan</w:t>
            </w:r>
          </w:p>
        </w:tc>
        <w:tc>
          <w:tcPr>
            <w:tcW w:w="2630" w:type="dxa"/>
          </w:tcPr>
          <w:p w14:paraId="1A93EBD1" w14:textId="77777777" w:rsidR="00905DBC" w:rsidRPr="008543FB" w:rsidRDefault="00453400" w:rsidP="00870598">
            <w:pPr>
              <w:jc w:val="both"/>
              <w:rPr>
                <w:rFonts w:eastAsia="Roboto"/>
                <w:color w:val="0D0D0D"/>
                <w:sz w:val="24"/>
                <w:szCs w:val="24"/>
                <w:highlight w:val="white"/>
              </w:rPr>
            </w:pPr>
            <w:r w:rsidRPr="008543FB">
              <w:rPr>
                <w:rFonts w:eastAsia="Roboto"/>
                <w:color w:val="0D0D0D"/>
                <w:sz w:val="24"/>
                <w:szCs w:val="24"/>
                <w:highlight w:val="white"/>
              </w:rPr>
              <w:t>75</w:t>
            </w:r>
          </w:p>
        </w:tc>
        <w:tc>
          <w:tcPr>
            <w:tcW w:w="2975" w:type="dxa"/>
          </w:tcPr>
          <w:p w14:paraId="37CA623B" w14:textId="77777777" w:rsidR="00905DBC" w:rsidRPr="008543FB" w:rsidRDefault="00453400" w:rsidP="00870598">
            <w:pPr>
              <w:jc w:val="both"/>
              <w:rPr>
                <w:rFonts w:eastAsia="Roboto"/>
                <w:color w:val="0D0D0D"/>
                <w:sz w:val="24"/>
                <w:szCs w:val="24"/>
                <w:highlight w:val="white"/>
              </w:rPr>
            </w:pPr>
            <w:r w:rsidRPr="008543FB">
              <w:rPr>
                <w:rFonts w:eastAsia="Roboto"/>
                <w:color w:val="0D0D0D"/>
                <w:sz w:val="24"/>
                <w:szCs w:val="24"/>
                <w:highlight w:val="white"/>
              </w:rPr>
              <w:t>60</w:t>
            </w:r>
          </w:p>
        </w:tc>
        <w:tc>
          <w:tcPr>
            <w:tcW w:w="2540" w:type="dxa"/>
          </w:tcPr>
          <w:p w14:paraId="6A2738D7" w14:textId="77777777" w:rsidR="00905DBC" w:rsidRPr="008543FB" w:rsidRDefault="00453400" w:rsidP="00870598">
            <w:pPr>
              <w:jc w:val="both"/>
              <w:rPr>
                <w:rFonts w:eastAsia="Roboto"/>
                <w:color w:val="0D0D0D"/>
                <w:sz w:val="24"/>
                <w:szCs w:val="24"/>
                <w:highlight w:val="white"/>
              </w:rPr>
            </w:pPr>
            <w:r w:rsidRPr="008543FB">
              <w:rPr>
                <w:rFonts w:eastAsia="Roboto"/>
                <w:color w:val="0D0D0D"/>
                <w:sz w:val="24"/>
                <w:szCs w:val="24"/>
                <w:highlight w:val="white"/>
              </w:rPr>
              <w:t>30</w:t>
            </w:r>
          </w:p>
        </w:tc>
      </w:tr>
      <w:tr w:rsidR="00905DBC" w:rsidRPr="008543FB" w14:paraId="178BEC4A" w14:textId="77777777" w:rsidTr="007F6BFE">
        <w:trPr>
          <w:trHeight w:val="515"/>
        </w:trPr>
        <w:tc>
          <w:tcPr>
            <w:tcW w:w="1475" w:type="dxa"/>
          </w:tcPr>
          <w:p w14:paraId="40D193BB" w14:textId="77777777" w:rsidR="00905DBC" w:rsidRPr="008543FB" w:rsidRDefault="00453400" w:rsidP="00870598">
            <w:pPr>
              <w:jc w:val="both"/>
              <w:rPr>
                <w:rFonts w:eastAsia="Roboto"/>
                <w:color w:val="0D0D0D"/>
                <w:sz w:val="24"/>
                <w:szCs w:val="24"/>
                <w:highlight w:val="white"/>
              </w:rPr>
            </w:pPr>
            <w:r w:rsidRPr="008543FB">
              <w:rPr>
                <w:rFonts w:eastAsia="Roboto"/>
                <w:color w:val="0D0D0D"/>
                <w:sz w:val="24"/>
                <w:szCs w:val="24"/>
                <w:highlight w:val="white"/>
              </w:rPr>
              <w:t>India</w:t>
            </w:r>
          </w:p>
        </w:tc>
        <w:tc>
          <w:tcPr>
            <w:tcW w:w="2630" w:type="dxa"/>
          </w:tcPr>
          <w:p w14:paraId="431D5229" w14:textId="77777777" w:rsidR="00905DBC" w:rsidRPr="008543FB" w:rsidRDefault="00453400" w:rsidP="00870598">
            <w:pPr>
              <w:jc w:val="both"/>
              <w:rPr>
                <w:rFonts w:eastAsia="Roboto"/>
                <w:color w:val="0D0D0D"/>
                <w:sz w:val="24"/>
                <w:szCs w:val="24"/>
                <w:highlight w:val="white"/>
              </w:rPr>
            </w:pPr>
            <w:r w:rsidRPr="008543FB">
              <w:rPr>
                <w:rFonts w:eastAsia="Roboto"/>
                <w:color w:val="0D0D0D"/>
                <w:sz w:val="24"/>
                <w:szCs w:val="24"/>
                <w:highlight w:val="white"/>
              </w:rPr>
              <w:t>65</w:t>
            </w:r>
          </w:p>
        </w:tc>
        <w:tc>
          <w:tcPr>
            <w:tcW w:w="2975" w:type="dxa"/>
          </w:tcPr>
          <w:p w14:paraId="56E5D7F1" w14:textId="77777777" w:rsidR="00905DBC" w:rsidRPr="008543FB" w:rsidRDefault="00453400" w:rsidP="00870598">
            <w:pPr>
              <w:jc w:val="both"/>
              <w:rPr>
                <w:rFonts w:eastAsia="Roboto"/>
                <w:color w:val="0D0D0D"/>
                <w:sz w:val="24"/>
                <w:szCs w:val="24"/>
                <w:highlight w:val="white"/>
              </w:rPr>
            </w:pPr>
            <w:r w:rsidRPr="008543FB">
              <w:rPr>
                <w:rFonts w:eastAsia="Roboto"/>
                <w:color w:val="0D0D0D"/>
                <w:sz w:val="24"/>
                <w:szCs w:val="24"/>
                <w:highlight w:val="white"/>
              </w:rPr>
              <w:t>50</w:t>
            </w:r>
          </w:p>
        </w:tc>
        <w:tc>
          <w:tcPr>
            <w:tcW w:w="2540" w:type="dxa"/>
          </w:tcPr>
          <w:p w14:paraId="4A9A2BB7" w14:textId="77777777" w:rsidR="00905DBC" w:rsidRPr="008543FB" w:rsidRDefault="00453400" w:rsidP="00870598">
            <w:pPr>
              <w:jc w:val="both"/>
              <w:rPr>
                <w:rFonts w:eastAsia="Roboto"/>
                <w:color w:val="0D0D0D"/>
                <w:sz w:val="24"/>
                <w:szCs w:val="24"/>
                <w:highlight w:val="white"/>
              </w:rPr>
            </w:pPr>
            <w:r w:rsidRPr="008543FB">
              <w:rPr>
                <w:rFonts w:eastAsia="Roboto"/>
                <w:color w:val="0D0D0D"/>
                <w:sz w:val="24"/>
                <w:szCs w:val="24"/>
                <w:highlight w:val="white"/>
              </w:rPr>
              <w:t>20</w:t>
            </w:r>
          </w:p>
        </w:tc>
      </w:tr>
      <w:tr w:rsidR="00905DBC" w:rsidRPr="008543FB" w14:paraId="3FB69C00" w14:textId="77777777" w:rsidTr="007F6BFE">
        <w:trPr>
          <w:trHeight w:val="515"/>
        </w:trPr>
        <w:tc>
          <w:tcPr>
            <w:tcW w:w="1475" w:type="dxa"/>
          </w:tcPr>
          <w:p w14:paraId="6DF4A06E" w14:textId="77777777" w:rsidR="00905DBC" w:rsidRPr="008543FB" w:rsidRDefault="00453400" w:rsidP="00870598">
            <w:pPr>
              <w:jc w:val="both"/>
              <w:rPr>
                <w:rFonts w:eastAsia="Roboto"/>
                <w:color w:val="0D0D0D"/>
                <w:sz w:val="24"/>
                <w:szCs w:val="24"/>
                <w:highlight w:val="white"/>
              </w:rPr>
            </w:pPr>
            <w:r w:rsidRPr="008543FB">
              <w:rPr>
                <w:rFonts w:eastAsia="Roboto"/>
                <w:color w:val="0D0D0D"/>
                <w:sz w:val="24"/>
                <w:szCs w:val="24"/>
                <w:highlight w:val="white"/>
              </w:rPr>
              <w:t>France</w:t>
            </w:r>
          </w:p>
        </w:tc>
        <w:tc>
          <w:tcPr>
            <w:tcW w:w="2630" w:type="dxa"/>
          </w:tcPr>
          <w:p w14:paraId="5CBB9C16" w14:textId="77777777" w:rsidR="00905DBC" w:rsidRPr="008543FB" w:rsidRDefault="00453400" w:rsidP="00870598">
            <w:pPr>
              <w:jc w:val="both"/>
              <w:rPr>
                <w:rFonts w:eastAsia="Roboto"/>
                <w:color w:val="0D0D0D"/>
                <w:sz w:val="24"/>
                <w:szCs w:val="24"/>
                <w:highlight w:val="white"/>
              </w:rPr>
            </w:pPr>
            <w:r w:rsidRPr="008543FB">
              <w:rPr>
                <w:rFonts w:eastAsia="Roboto"/>
                <w:color w:val="0D0D0D"/>
                <w:sz w:val="24"/>
                <w:szCs w:val="24"/>
                <w:highlight w:val="white"/>
              </w:rPr>
              <w:t>77</w:t>
            </w:r>
          </w:p>
        </w:tc>
        <w:tc>
          <w:tcPr>
            <w:tcW w:w="2975" w:type="dxa"/>
          </w:tcPr>
          <w:p w14:paraId="245FE936" w14:textId="77777777" w:rsidR="00905DBC" w:rsidRPr="008543FB" w:rsidRDefault="00453400" w:rsidP="00870598">
            <w:pPr>
              <w:jc w:val="both"/>
              <w:rPr>
                <w:rFonts w:eastAsia="Roboto"/>
                <w:color w:val="0D0D0D"/>
                <w:sz w:val="24"/>
                <w:szCs w:val="24"/>
                <w:highlight w:val="white"/>
              </w:rPr>
            </w:pPr>
            <w:r w:rsidRPr="008543FB">
              <w:rPr>
                <w:rFonts w:eastAsia="Roboto"/>
                <w:color w:val="0D0D0D"/>
                <w:sz w:val="24"/>
                <w:szCs w:val="24"/>
                <w:highlight w:val="white"/>
              </w:rPr>
              <w:t>65</w:t>
            </w:r>
          </w:p>
        </w:tc>
        <w:tc>
          <w:tcPr>
            <w:tcW w:w="2540" w:type="dxa"/>
          </w:tcPr>
          <w:p w14:paraId="0E8281B4" w14:textId="77777777" w:rsidR="00905DBC" w:rsidRPr="008543FB" w:rsidRDefault="00453400" w:rsidP="00870598">
            <w:pPr>
              <w:jc w:val="both"/>
              <w:rPr>
                <w:rFonts w:eastAsia="Roboto"/>
                <w:color w:val="0D0D0D"/>
                <w:sz w:val="24"/>
                <w:szCs w:val="24"/>
                <w:highlight w:val="white"/>
              </w:rPr>
            </w:pPr>
            <w:r w:rsidRPr="008543FB">
              <w:rPr>
                <w:rFonts w:eastAsia="Roboto"/>
                <w:color w:val="0D0D0D"/>
                <w:sz w:val="24"/>
                <w:szCs w:val="24"/>
                <w:highlight w:val="white"/>
              </w:rPr>
              <w:t>33</w:t>
            </w:r>
          </w:p>
        </w:tc>
      </w:tr>
      <w:tr w:rsidR="00905DBC" w:rsidRPr="008543FB" w14:paraId="6A27DEE2" w14:textId="77777777" w:rsidTr="007F6BFE">
        <w:trPr>
          <w:trHeight w:val="515"/>
        </w:trPr>
        <w:tc>
          <w:tcPr>
            <w:tcW w:w="1475" w:type="dxa"/>
          </w:tcPr>
          <w:p w14:paraId="5B8B7C06" w14:textId="77777777" w:rsidR="00905DBC" w:rsidRPr="008543FB" w:rsidRDefault="00453400" w:rsidP="00870598">
            <w:pPr>
              <w:jc w:val="both"/>
              <w:rPr>
                <w:rFonts w:eastAsia="Roboto"/>
                <w:color w:val="0D0D0D"/>
                <w:sz w:val="24"/>
                <w:szCs w:val="24"/>
                <w:highlight w:val="white"/>
              </w:rPr>
            </w:pPr>
            <w:r w:rsidRPr="008543FB">
              <w:rPr>
                <w:rFonts w:eastAsia="Roboto"/>
                <w:color w:val="0D0D0D"/>
                <w:sz w:val="24"/>
                <w:szCs w:val="24"/>
                <w:highlight w:val="white"/>
              </w:rPr>
              <w:t>Canada</w:t>
            </w:r>
          </w:p>
        </w:tc>
        <w:tc>
          <w:tcPr>
            <w:tcW w:w="2630" w:type="dxa"/>
          </w:tcPr>
          <w:p w14:paraId="1121CBB9" w14:textId="77777777" w:rsidR="00905DBC" w:rsidRPr="008543FB" w:rsidRDefault="00453400" w:rsidP="00870598">
            <w:pPr>
              <w:jc w:val="both"/>
              <w:rPr>
                <w:rFonts w:eastAsia="Roboto"/>
                <w:color w:val="0D0D0D"/>
                <w:sz w:val="24"/>
                <w:szCs w:val="24"/>
                <w:highlight w:val="white"/>
              </w:rPr>
            </w:pPr>
            <w:r w:rsidRPr="008543FB">
              <w:rPr>
                <w:rFonts w:eastAsia="Roboto"/>
                <w:color w:val="0D0D0D"/>
                <w:sz w:val="24"/>
                <w:szCs w:val="24"/>
                <w:highlight w:val="white"/>
              </w:rPr>
              <w:t>79</w:t>
            </w:r>
          </w:p>
        </w:tc>
        <w:tc>
          <w:tcPr>
            <w:tcW w:w="2975" w:type="dxa"/>
          </w:tcPr>
          <w:p w14:paraId="58912E01" w14:textId="77777777" w:rsidR="00905DBC" w:rsidRPr="008543FB" w:rsidRDefault="00453400" w:rsidP="00870598">
            <w:pPr>
              <w:jc w:val="both"/>
              <w:rPr>
                <w:rFonts w:eastAsia="Roboto"/>
                <w:color w:val="0D0D0D"/>
                <w:sz w:val="24"/>
                <w:szCs w:val="24"/>
                <w:highlight w:val="white"/>
              </w:rPr>
            </w:pPr>
            <w:r w:rsidRPr="008543FB">
              <w:rPr>
                <w:rFonts w:eastAsia="Roboto"/>
                <w:color w:val="0D0D0D"/>
                <w:sz w:val="24"/>
                <w:szCs w:val="24"/>
                <w:highlight w:val="white"/>
              </w:rPr>
              <w:t>67</w:t>
            </w:r>
          </w:p>
        </w:tc>
        <w:tc>
          <w:tcPr>
            <w:tcW w:w="2540" w:type="dxa"/>
          </w:tcPr>
          <w:p w14:paraId="549EC63C" w14:textId="77777777" w:rsidR="00905DBC" w:rsidRPr="008543FB" w:rsidRDefault="00453400" w:rsidP="00870598">
            <w:pPr>
              <w:jc w:val="both"/>
              <w:rPr>
                <w:rFonts w:eastAsia="Roboto"/>
                <w:color w:val="0D0D0D"/>
                <w:sz w:val="24"/>
                <w:szCs w:val="24"/>
                <w:highlight w:val="white"/>
              </w:rPr>
            </w:pPr>
            <w:r w:rsidRPr="008543FB">
              <w:rPr>
                <w:rFonts w:eastAsia="Roboto"/>
                <w:color w:val="0D0D0D"/>
                <w:sz w:val="24"/>
                <w:szCs w:val="24"/>
                <w:highlight w:val="white"/>
              </w:rPr>
              <w:t>37</w:t>
            </w:r>
          </w:p>
        </w:tc>
      </w:tr>
      <w:tr w:rsidR="00905DBC" w:rsidRPr="008543FB" w14:paraId="5FB9B460" w14:textId="77777777" w:rsidTr="007F6BFE">
        <w:trPr>
          <w:trHeight w:val="515"/>
        </w:trPr>
        <w:tc>
          <w:tcPr>
            <w:tcW w:w="1475" w:type="dxa"/>
          </w:tcPr>
          <w:p w14:paraId="169E844F" w14:textId="77777777" w:rsidR="00905DBC" w:rsidRPr="008543FB" w:rsidRDefault="00453400" w:rsidP="00870598">
            <w:pPr>
              <w:jc w:val="both"/>
              <w:rPr>
                <w:rFonts w:eastAsia="Roboto"/>
                <w:color w:val="0D0D0D"/>
                <w:sz w:val="24"/>
                <w:szCs w:val="24"/>
                <w:highlight w:val="white"/>
              </w:rPr>
            </w:pPr>
            <w:r w:rsidRPr="008543FB">
              <w:rPr>
                <w:rFonts w:eastAsia="Roboto"/>
                <w:color w:val="0D0D0D"/>
                <w:sz w:val="24"/>
                <w:szCs w:val="24"/>
                <w:highlight w:val="white"/>
              </w:rPr>
              <w:lastRenderedPageBreak/>
              <w:t>Australia</w:t>
            </w:r>
          </w:p>
        </w:tc>
        <w:tc>
          <w:tcPr>
            <w:tcW w:w="2630" w:type="dxa"/>
          </w:tcPr>
          <w:p w14:paraId="5A467602" w14:textId="77777777" w:rsidR="00905DBC" w:rsidRPr="008543FB" w:rsidRDefault="00453400" w:rsidP="00870598">
            <w:pPr>
              <w:jc w:val="both"/>
              <w:rPr>
                <w:rFonts w:eastAsia="Roboto"/>
                <w:color w:val="0D0D0D"/>
                <w:sz w:val="24"/>
                <w:szCs w:val="24"/>
                <w:highlight w:val="white"/>
              </w:rPr>
            </w:pPr>
            <w:r w:rsidRPr="008543FB">
              <w:rPr>
                <w:rFonts w:eastAsia="Roboto"/>
                <w:color w:val="0D0D0D"/>
                <w:sz w:val="24"/>
                <w:szCs w:val="24"/>
                <w:highlight w:val="white"/>
              </w:rPr>
              <w:t>74</w:t>
            </w:r>
          </w:p>
        </w:tc>
        <w:tc>
          <w:tcPr>
            <w:tcW w:w="2975" w:type="dxa"/>
          </w:tcPr>
          <w:p w14:paraId="5C2A041D" w14:textId="77777777" w:rsidR="00905DBC" w:rsidRPr="008543FB" w:rsidRDefault="00453400" w:rsidP="00870598">
            <w:pPr>
              <w:jc w:val="both"/>
              <w:rPr>
                <w:rFonts w:eastAsia="Roboto"/>
                <w:color w:val="0D0D0D"/>
                <w:sz w:val="24"/>
                <w:szCs w:val="24"/>
                <w:highlight w:val="white"/>
              </w:rPr>
            </w:pPr>
            <w:r w:rsidRPr="008543FB">
              <w:rPr>
                <w:rFonts w:eastAsia="Roboto"/>
                <w:color w:val="0D0D0D"/>
                <w:sz w:val="24"/>
                <w:szCs w:val="24"/>
                <w:highlight w:val="white"/>
              </w:rPr>
              <w:t>58</w:t>
            </w:r>
          </w:p>
        </w:tc>
        <w:tc>
          <w:tcPr>
            <w:tcW w:w="2540" w:type="dxa"/>
          </w:tcPr>
          <w:p w14:paraId="52ECC11F" w14:textId="77777777" w:rsidR="00905DBC" w:rsidRPr="008543FB" w:rsidRDefault="00453400" w:rsidP="00870598">
            <w:pPr>
              <w:jc w:val="both"/>
              <w:rPr>
                <w:rFonts w:eastAsia="Roboto"/>
                <w:color w:val="0D0D0D"/>
                <w:sz w:val="24"/>
                <w:szCs w:val="24"/>
                <w:highlight w:val="white"/>
              </w:rPr>
            </w:pPr>
            <w:r w:rsidRPr="008543FB">
              <w:rPr>
                <w:rFonts w:eastAsia="Roboto"/>
                <w:color w:val="0D0D0D"/>
                <w:sz w:val="24"/>
                <w:szCs w:val="24"/>
                <w:highlight w:val="white"/>
              </w:rPr>
              <w:t>28</w:t>
            </w:r>
          </w:p>
        </w:tc>
      </w:tr>
      <w:tr w:rsidR="00905DBC" w:rsidRPr="008543FB" w14:paraId="0E33A8A8" w14:textId="77777777" w:rsidTr="007F6BFE">
        <w:trPr>
          <w:trHeight w:val="515"/>
        </w:trPr>
        <w:tc>
          <w:tcPr>
            <w:tcW w:w="1475" w:type="dxa"/>
          </w:tcPr>
          <w:p w14:paraId="7249B936" w14:textId="77777777" w:rsidR="00905DBC" w:rsidRPr="008543FB" w:rsidRDefault="00453400" w:rsidP="00870598">
            <w:pPr>
              <w:jc w:val="both"/>
              <w:rPr>
                <w:rFonts w:eastAsia="Roboto"/>
                <w:color w:val="0D0D0D"/>
                <w:sz w:val="24"/>
                <w:szCs w:val="24"/>
                <w:highlight w:val="white"/>
              </w:rPr>
            </w:pPr>
            <w:r w:rsidRPr="008543FB">
              <w:rPr>
                <w:rFonts w:eastAsia="Roboto"/>
                <w:color w:val="0D0D0D"/>
                <w:sz w:val="24"/>
                <w:szCs w:val="24"/>
                <w:highlight w:val="white"/>
              </w:rPr>
              <w:t>Brazil</w:t>
            </w:r>
          </w:p>
        </w:tc>
        <w:tc>
          <w:tcPr>
            <w:tcW w:w="2630" w:type="dxa"/>
          </w:tcPr>
          <w:p w14:paraId="115353DE" w14:textId="77777777" w:rsidR="00905DBC" w:rsidRPr="008543FB" w:rsidRDefault="00453400" w:rsidP="00870598">
            <w:pPr>
              <w:jc w:val="both"/>
              <w:rPr>
                <w:rFonts w:eastAsia="Roboto"/>
                <w:color w:val="0D0D0D"/>
                <w:sz w:val="24"/>
                <w:szCs w:val="24"/>
                <w:highlight w:val="white"/>
              </w:rPr>
            </w:pPr>
            <w:r w:rsidRPr="008543FB">
              <w:rPr>
                <w:rFonts w:eastAsia="Roboto"/>
                <w:color w:val="0D0D0D"/>
                <w:sz w:val="24"/>
                <w:szCs w:val="24"/>
                <w:highlight w:val="white"/>
              </w:rPr>
              <w:t>60</w:t>
            </w:r>
          </w:p>
        </w:tc>
        <w:tc>
          <w:tcPr>
            <w:tcW w:w="2975" w:type="dxa"/>
          </w:tcPr>
          <w:p w14:paraId="44C519E1" w14:textId="77777777" w:rsidR="00905DBC" w:rsidRPr="008543FB" w:rsidRDefault="00453400" w:rsidP="00870598">
            <w:pPr>
              <w:jc w:val="both"/>
              <w:rPr>
                <w:rFonts w:eastAsia="Roboto"/>
                <w:color w:val="0D0D0D"/>
                <w:sz w:val="24"/>
                <w:szCs w:val="24"/>
                <w:highlight w:val="white"/>
              </w:rPr>
            </w:pPr>
            <w:r w:rsidRPr="008543FB">
              <w:rPr>
                <w:rFonts w:eastAsia="Roboto"/>
                <w:color w:val="0D0D0D"/>
                <w:sz w:val="24"/>
                <w:szCs w:val="24"/>
                <w:highlight w:val="white"/>
              </w:rPr>
              <w:t>45</w:t>
            </w:r>
          </w:p>
        </w:tc>
        <w:tc>
          <w:tcPr>
            <w:tcW w:w="2540" w:type="dxa"/>
          </w:tcPr>
          <w:p w14:paraId="587EA959" w14:textId="77777777" w:rsidR="00905DBC" w:rsidRPr="008543FB" w:rsidRDefault="00453400" w:rsidP="00870598">
            <w:pPr>
              <w:jc w:val="both"/>
              <w:rPr>
                <w:rFonts w:eastAsia="Roboto"/>
                <w:color w:val="0D0D0D"/>
                <w:sz w:val="24"/>
                <w:szCs w:val="24"/>
                <w:highlight w:val="white"/>
              </w:rPr>
            </w:pPr>
            <w:r w:rsidRPr="008543FB">
              <w:rPr>
                <w:rFonts w:eastAsia="Roboto"/>
                <w:color w:val="0D0D0D"/>
                <w:sz w:val="24"/>
                <w:szCs w:val="24"/>
                <w:highlight w:val="white"/>
              </w:rPr>
              <w:t>18</w:t>
            </w:r>
          </w:p>
        </w:tc>
      </w:tr>
    </w:tbl>
    <w:p w14:paraId="6ED9E907" w14:textId="77777777" w:rsidR="00905DBC" w:rsidRPr="008543FB" w:rsidRDefault="00453400">
      <w:pPr>
        <w:spacing w:before="240" w:after="240"/>
        <w:jc w:val="both"/>
        <w:rPr>
          <w:rFonts w:eastAsia="Roboto"/>
          <w:color w:val="0D0D0D"/>
          <w:sz w:val="24"/>
          <w:szCs w:val="24"/>
          <w:highlight w:val="white"/>
        </w:rPr>
      </w:pPr>
      <w:r w:rsidRPr="008543FB">
        <w:rPr>
          <w:rFonts w:eastAsia="Roboto"/>
          <w:color w:val="0D0D0D"/>
          <w:sz w:val="24"/>
          <w:szCs w:val="24"/>
          <w:highlight w:val="white"/>
        </w:rPr>
        <w:t>The United States, China, and the United Kingdom lead in regulatory compliance and PQC adoption, reflecting the enforcement of national cybersecurity policies. Conversely, Brazil and India report the lowest compliance and PQC adoption rates, highlighting regulatory inertia and limited financial sector investments in quantum-resistant security.</w:t>
      </w:r>
    </w:p>
    <w:p w14:paraId="38CDB3FE" w14:textId="77777777" w:rsidR="00905DBC" w:rsidRPr="008543FB" w:rsidRDefault="00453400">
      <w:pPr>
        <w:spacing w:before="240" w:after="240"/>
        <w:jc w:val="both"/>
        <w:rPr>
          <w:rFonts w:eastAsia="Roboto"/>
          <w:color w:val="0D0D0D"/>
          <w:sz w:val="24"/>
          <w:szCs w:val="24"/>
          <w:highlight w:val="white"/>
        </w:rPr>
      </w:pPr>
      <w:r w:rsidRPr="008543FB">
        <w:rPr>
          <w:rFonts w:eastAsia="Roboto"/>
          <w:color w:val="0D0D0D"/>
          <w:sz w:val="24"/>
          <w:szCs w:val="24"/>
          <w:highlight w:val="white"/>
        </w:rPr>
        <w:t>The lollipop chart in Figure 6 visually contrasts RCI scores and PQC adoption percentages, illustrating the correlation between regulatory enforcement and institutional adoption of quantum-resistant cryptographic standards.</w:t>
      </w:r>
    </w:p>
    <w:p w14:paraId="467EFA41" w14:textId="77777777" w:rsidR="00905DBC" w:rsidRPr="008543FB" w:rsidRDefault="00453400" w:rsidP="00870598">
      <w:pPr>
        <w:spacing w:before="240" w:after="240"/>
        <w:jc w:val="center"/>
        <w:rPr>
          <w:rFonts w:eastAsia="Roboto"/>
          <w:color w:val="0D0D0D"/>
          <w:sz w:val="24"/>
          <w:szCs w:val="24"/>
          <w:highlight w:val="white"/>
        </w:rPr>
      </w:pPr>
      <w:r w:rsidRPr="008543FB">
        <w:rPr>
          <w:rFonts w:eastAsia="Roboto"/>
          <w:noProof/>
          <w:color w:val="0D0D0D"/>
          <w:sz w:val="24"/>
          <w:szCs w:val="24"/>
          <w:highlight w:val="white"/>
          <w:lang w:val="en-US"/>
        </w:rPr>
        <w:drawing>
          <wp:inline distT="114300" distB="114300" distL="114300" distR="114300" wp14:anchorId="465EA1E9" wp14:editId="37762F80">
            <wp:extent cx="5166135" cy="2803199"/>
            <wp:effectExtent l="0" t="0" r="0" b="0"/>
            <wp:docPr id="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5166135" cy="2803199"/>
                    </a:xfrm>
                    <a:prstGeom prst="rect">
                      <a:avLst/>
                    </a:prstGeom>
                    <a:ln/>
                  </pic:spPr>
                </pic:pic>
              </a:graphicData>
            </a:graphic>
          </wp:inline>
        </w:drawing>
      </w:r>
    </w:p>
    <w:p w14:paraId="1053676F" w14:textId="77777777" w:rsidR="00905DBC" w:rsidRPr="008543FB" w:rsidRDefault="00453400" w:rsidP="00870598">
      <w:pPr>
        <w:pStyle w:val="Heading4"/>
        <w:keepNext w:val="0"/>
        <w:keepLines w:val="0"/>
        <w:spacing w:before="240" w:after="40"/>
        <w:jc w:val="center"/>
        <w:rPr>
          <w:rFonts w:eastAsia="Roboto"/>
          <w:color w:val="0D0D0D"/>
          <w:highlight w:val="white"/>
        </w:rPr>
      </w:pPr>
      <w:bookmarkStart w:id="25" w:name="_cepw8lof9vxd" w:colFirst="0" w:colLast="0"/>
      <w:bookmarkEnd w:id="25"/>
      <w:r w:rsidRPr="008543FB">
        <w:rPr>
          <w:rFonts w:eastAsia="Roboto"/>
          <w:color w:val="0D0D0D"/>
          <w:highlight w:val="white"/>
        </w:rPr>
        <w:t>Figure 6: Regulatory Compliance vs. PQC Adoption by Financial Institutions</w:t>
      </w:r>
    </w:p>
    <w:p w14:paraId="6AB3BC4D" w14:textId="77777777" w:rsidR="00905DBC" w:rsidRPr="008543FB" w:rsidRDefault="00453400">
      <w:pPr>
        <w:spacing w:before="240" w:after="240"/>
        <w:jc w:val="both"/>
        <w:rPr>
          <w:rFonts w:eastAsia="Roboto"/>
          <w:color w:val="0D0D0D"/>
          <w:sz w:val="24"/>
          <w:szCs w:val="24"/>
          <w:highlight w:val="white"/>
        </w:rPr>
      </w:pPr>
      <w:r w:rsidRPr="008543FB">
        <w:rPr>
          <w:rFonts w:eastAsia="Roboto"/>
          <w:color w:val="0D0D0D"/>
          <w:sz w:val="24"/>
          <w:szCs w:val="24"/>
          <w:highlight w:val="white"/>
        </w:rPr>
        <w:t>A closer examination of regulatory growth trends indicates that China exhibits the highest rate of regulatory expansion (50%), aligning with its state-led blockchain and quantum research initiatives. Meanwhile, developing economies such as Brazil and India demonstrate limited regulatory momentum, posing challenges for secure financial transitions to PQC. The heatmap matrix in Figure 7 further highlights these disparities by providing a comparative intensity scale for regulatory compliance, PQC adoption, and policy growth trends.</w:t>
      </w:r>
    </w:p>
    <w:p w14:paraId="0C4BD1E8" w14:textId="77777777" w:rsidR="00905DBC" w:rsidRPr="008543FB" w:rsidRDefault="00453400" w:rsidP="00241560">
      <w:pPr>
        <w:spacing w:before="240" w:after="240"/>
        <w:jc w:val="center"/>
        <w:rPr>
          <w:rFonts w:eastAsia="Roboto"/>
          <w:color w:val="0D0D0D"/>
          <w:sz w:val="24"/>
          <w:szCs w:val="24"/>
          <w:highlight w:val="white"/>
        </w:rPr>
      </w:pPr>
      <w:r w:rsidRPr="008543FB">
        <w:rPr>
          <w:rFonts w:eastAsia="Roboto"/>
          <w:noProof/>
          <w:color w:val="0D0D0D"/>
          <w:sz w:val="24"/>
          <w:szCs w:val="24"/>
          <w:highlight w:val="white"/>
          <w:lang w:val="en-US"/>
        </w:rPr>
        <w:lastRenderedPageBreak/>
        <w:drawing>
          <wp:inline distT="114300" distB="114300" distL="114300" distR="114300" wp14:anchorId="4C0922C2" wp14:editId="15873D7A">
            <wp:extent cx="5096958" cy="4319651"/>
            <wp:effectExtent l="0" t="0" r="0" b="0"/>
            <wp:docPr id="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5096958" cy="4319651"/>
                    </a:xfrm>
                    <a:prstGeom prst="rect">
                      <a:avLst/>
                    </a:prstGeom>
                    <a:ln/>
                  </pic:spPr>
                </pic:pic>
              </a:graphicData>
            </a:graphic>
          </wp:inline>
        </w:drawing>
      </w:r>
    </w:p>
    <w:p w14:paraId="53C07564" w14:textId="77777777" w:rsidR="00905DBC" w:rsidRPr="008543FB" w:rsidRDefault="00453400" w:rsidP="00241560">
      <w:pPr>
        <w:pStyle w:val="Heading4"/>
        <w:keepNext w:val="0"/>
        <w:keepLines w:val="0"/>
        <w:spacing w:before="240" w:after="40"/>
        <w:jc w:val="center"/>
        <w:rPr>
          <w:rFonts w:eastAsia="Roboto"/>
          <w:color w:val="0D0D0D"/>
          <w:highlight w:val="white"/>
        </w:rPr>
      </w:pPr>
      <w:bookmarkStart w:id="26" w:name="_qymnbeu7grnz" w:colFirst="0" w:colLast="0"/>
      <w:bookmarkEnd w:id="26"/>
      <w:r w:rsidRPr="008543FB">
        <w:rPr>
          <w:rFonts w:eastAsia="Roboto"/>
          <w:color w:val="0D0D0D"/>
          <w:highlight w:val="white"/>
        </w:rPr>
        <w:t>Figure 7: Global Heatmap of Regulatory Compliance and PQC Adoption</w:t>
      </w:r>
    </w:p>
    <w:p w14:paraId="19645B71" w14:textId="77777777" w:rsidR="00905DBC" w:rsidRPr="008543FB" w:rsidRDefault="00453400">
      <w:pPr>
        <w:spacing w:before="240" w:after="240"/>
        <w:jc w:val="both"/>
        <w:rPr>
          <w:rFonts w:eastAsia="Roboto"/>
          <w:color w:val="0D0D0D"/>
          <w:sz w:val="24"/>
          <w:szCs w:val="24"/>
          <w:highlight w:val="white"/>
        </w:rPr>
      </w:pPr>
      <w:r w:rsidRPr="008543FB">
        <w:rPr>
          <w:rFonts w:eastAsia="Roboto"/>
          <w:color w:val="0D0D0D"/>
          <w:sz w:val="24"/>
          <w:szCs w:val="24"/>
          <w:highlight w:val="white"/>
        </w:rPr>
        <w:t>The findings emphasize that regulatory compliance alone does not guarantee financial institutions' full adoption of PQC. While compliance frameworks exist in leading economies, implementation challenges persist due to technological integration costs, policy fragmentation, and resistance from legacy financial systems.</w:t>
      </w:r>
    </w:p>
    <w:p w14:paraId="3A14B6EC" w14:textId="77777777" w:rsidR="003B5D95" w:rsidRPr="008543FB" w:rsidRDefault="00453400">
      <w:pPr>
        <w:spacing w:before="240" w:after="240"/>
        <w:jc w:val="both"/>
        <w:rPr>
          <w:rFonts w:eastAsia="Roboto"/>
          <w:color w:val="0D0D0D"/>
          <w:sz w:val="24"/>
          <w:szCs w:val="24"/>
          <w:highlight w:val="white"/>
        </w:rPr>
      </w:pPr>
      <w:r w:rsidRPr="008543FB">
        <w:rPr>
          <w:rFonts w:eastAsia="Roboto"/>
          <w:color w:val="0D0D0D"/>
          <w:sz w:val="24"/>
          <w:szCs w:val="24"/>
          <w:highlight w:val="white"/>
        </w:rPr>
        <w:t>This analysis underscores the need for global regulatory standardization, increased governmental incentives, and structured compliance monitoring mechanisms to ensure financial institutions worldwide can transition seamlessly to quantum-resistant cryptographic security.</w:t>
      </w:r>
    </w:p>
    <w:p w14:paraId="47BA5067" w14:textId="77777777" w:rsidR="00905DBC" w:rsidRPr="008543FB" w:rsidRDefault="00453400">
      <w:pPr>
        <w:spacing w:before="240" w:after="240"/>
        <w:jc w:val="both"/>
        <w:rPr>
          <w:rFonts w:eastAsia="Roboto"/>
          <w:b/>
          <w:color w:val="0D0D0D"/>
          <w:sz w:val="24"/>
          <w:szCs w:val="24"/>
          <w:highlight w:val="white"/>
        </w:rPr>
      </w:pPr>
      <w:r w:rsidRPr="008543FB">
        <w:rPr>
          <w:rFonts w:eastAsia="Roboto"/>
          <w:b/>
          <w:color w:val="0D0D0D"/>
          <w:sz w:val="24"/>
          <w:szCs w:val="24"/>
          <w:highlight w:val="white"/>
        </w:rPr>
        <w:t>Discussion</w:t>
      </w:r>
    </w:p>
    <w:p w14:paraId="51AB62FF" w14:textId="77777777" w:rsidR="00905DBC" w:rsidRPr="008543FB" w:rsidRDefault="00453400">
      <w:pPr>
        <w:spacing w:before="160" w:after="160"/>
        <w:jc w:val="both"/>
        <w:rPr>
          <w:rFonts w:eastAsia="Roboto"/>
          <w:color w:val="0D0D0D"/>
          <w:sz w:val="24"/>
          <w:szCs w:val="24"/>
          <w:highlight w:val="white"/>
        </w:rPr>
      </w:pPr>
      <w:r w:rsidRPr="008543FB">
        <w:rPr>
          <w:rFonts w:eastAsia="Roboto"/>
          <w:color w:val="0D0D0D"/>
          <w:sz w:val="24"/>
          <w:szCs w:val="24"/>
          <w:highlight w:val="white"/>
        </w:rPr>
        <w:t xml:space="preserve">The findings of this study reveal a growing urgency for financial institutions to transition toward quantum-resistant cryptographic frameworks, as blockchain security remains highly vulnerable to emerging quantum computing threats. The computational complexity analysis demonstrates that as quantum processors continue to scale, cryptographic protocols such as RSA-2048 and ECC-256 will become increasingly susceptible to </w:t>
      </w:r>
      <w:r w:rsidRPr="008543FB">
        <w:rPr>
          <w:rFonts w:eastAsia="Roboto"/>
          <w:color w:val="0D0D0D"/>
          <w:sz w:val="24"/>
          <w:szCs w:val="24"/>
          <w:highlight w:val="white"/>
        </w:rPr>
        <w:lastRenderedPageBreak/>
        <w:t>decryption in significantly shorter timeframes. This aligns with previous research indicating that Shor’s algorithm will compromise integer factorization and elliptic curve-based cryptography within a matter of minutes once large-scale fault-tolerant quantum computers become operational (Ramakrishna &amp; Shaik, 2024; Mishra et al., 2024). The observed decline in security strength across existing blockchain encryption models corroborates prior findings that traditional cryptographic mechanisms lack the resilience to withstand quantum attacks, necessitating a proactive shift toward post-quantum cryptography (Gbadebo, 2025; Adegbola et al., 2024).</w:t>
      </w:r>
    </w:p>
    <w:p w14:paraId="3701B9D6" w14:textId="77777777" w:rsidR="00905DBC" w:rsidRPr="008543FB" w:rsidRDefault="00453400">
      <w:pPr>
        <w:spacing w:before="160" w:after="160"/>
        <w:jc w:val="both"/>
        <w:rPr>
          <w:rFonts w:eastAsia="Roboto"/>
          <w:color w:val="0D0D0D"/>
          <w:sz w:val="24"/>
          <w:szCs w:val="24"/>
          <w:highlight w:val="white"/>
        </w:rPr>
      </w:pPr>
      <w:r w:rsidRPr="008543FB">
        <w:rPr>
          <w:rFonts w:eastAsia="Roboto"/>
          <w:color w:val="0D0D0D"/>
          <w:sz w:val="24"/>
          <w:szCs w:val="24"/>
          <w:highlight w:val="white"/>
        </w:rPr>
        <w:t>The comparative performance analysis of post-quantum cryptographic models further supports the viability of lattice-based, hash-based, and code-based encryption schemes as quantum-resistant alternatives. The evaluation of Kyber-1024, Dilithium-5, and SPHINCS+-SHA256 reveals that while these cryptographic models provide enhanced security, they introduce significant computational overhead, leading to potential scalability concerns for blockchain-based financial applications. These results are consistent with previous assessments that post-quantum encryption schemes often require larger key sizes, increased processing power, and additional storage capacity (NIST, 2024; Mansoor et al., 2024). The findings highlight a fundamental trade-off between cryptographic robustness and computational efficiency, reinforcing the need for hybrid cryptographic models that integrate quantum-resistant encryption while maintaining optimal blockchain transaction speeds (Marchsreiter, 2025; Geremew &amp; Mohammad, 2024).</w:t>
      </w:r>
    </w:p>
    <w:p w14:paraId="5843217B" w14:textId="5A650337" w:rsidR="00905DBC" w:rsidRPr="008543FB" w:rsidRDefault="00453400">
      <w:pPr>
        <w:spacing w:before="160" w:after="160"/>
        <w:jc w:val="both"/>
        <w:rPr>
          <w:rFonts w:eastAsia="Roboto"/>
          <w:color w:val="0D0D0D"/>
          <w:sz w:val="24"/>
          <w:szCs w:val="24"/>
          <w:highlight w:val="white"/>
        </w:rPr>
      </w:pPr>
      <w:r w:rsidRPr="008543FB">
        <w:rPr>
          <w:rFonts w:eastAsia="Roboto"/>
          <w:color w:val="0D0D0D"/>
          <w:sz w:val="24"/>
          <w:szCs w:val="24"/>
          <w:highlight w:val="white"/>
        </w:rPr>
        <w:t xml:space="preserve">A key concern emerging from this study is the disparity in financial institutions’ readiness for post-quantum cryptographic adoption. The regression analysis underscores a strong correlation between cybersecurity investments and the implementation of quantum-resistant security frameworks. Institutions such as central banks and investment firms exhibit significantly higher preparedness levels, likely due to their strategic prioritization of cryptographic security in safeguarding high-value transactions. This </w:t>
      </w:r>
      <w:r w:rsidR="008543FB">
        <w:rPr>
          <w:rFonts w:eastAsia="Roboto"/>
          <w:color w:val="0D0D0D"/>
          <w:sz w:val="24"/>
          <w:szCs w:val="24"/>
          <w:highlight w:val="white"/>
        </w:rPr>
        <w:t>aligns</w:t>
      </w:r>
      <w:r w:rsidRPr="008543FB">
        <w:rPr>
          <w:rFonts w:eastAsia="Roboto"/>
          <w:color w:val="0D0D0D"/>
          <w:sz w:val="24"/>
          <w:szCs w:val="24"/>
          <w:highlight w:val="white"/>
        </w:rPr>
        <w:t xml:space="preserve"> with findings that major financial players such as JPMorgan, Goldman Sachs, and Citibank have proactively allocated resources toward quantum-secure blockchain technologies (Wewege et al., 2020; How &amp; Cheah, 2023). However, the results also reveal substantial gaps in preparedness among fintech firms and insurance providers, which report lower post-quantum cryptographic adoption despite increasing cybersecurity budgets. These discrepancies may be attributed to regulatory inconsistencies, the high cost of transitioning to quantum-resistant architectures, and the lack of universal enforcement mechanisms driving PQC adoption (Beck, 2022; Rajagopalan et al., 2024). The findings further validate concerns that </w:t>
      </w:r>
      <w:r w:rsidR="008543FB">
        <w:rPr>
          <w:rFonts w:eastAsia="Roboto"/>
          <w:color w:val="0D0D0D"/>
          <w:sz w:val="24"/>
          <w:szCs w:val="24"/>
          <w:highlight w:val="white"/>
        </w:rPr>
        <w:t>many financial institutions remain ill-equipped to handle large-scale quantum cyber threats due to fragmented implementation strategies and a slow</w:t>
      </w:r>
      <w:r w:rsidRPr="008543FB">
        <w:rPr>
          <w:rFonts w:eastAsia="Roboto"/>
          <w:color w:val="0D0D0D"/>
          <w:sz w:val="24"/>
          <w:szCs w:val="24"/>
          <w:highlight w:val="white"/>
        </w:rPr>
        <w:t xml:space="preserve"> transition toward quantum security readiness (Obioha-Val et al., 2025).</w:t>
      </w:r>
    </w:p>
    <w:p w14:paraId="22684440" w14:textId="77777777" w:rsidR="00905DBC" w:rsidRPr="008543FB" w:rsidRDefault="00453400">
      <w:pPr>
        <w:spacing w:before="160" w:after="160"/>
        <w:jc w:val="both"/>
        <w:rPr>
          <w:rFonts w:eastAsia="Roboto"/>
          <w:color w:val="0D0D0D"/>
          <w:sz w:val="24"/>
          <w:szCs w:val="24"/>
          <w:highlight w:val="white"/>
        </w:rPr>
      </w:pPr>
      <w:r w:rsidRPr="008543FB">
        <w:rPr>
          <w:rFonts w:eastAsia="Roboto"/>
          <w:color w:val="0D0D0D"/>
          <w:sz w:val="24"/>
          <w:szCs w:val="24"/>
          <w:highlight w:val="white"/>
        </w:rPr>
        <w:lastRenderedPageBreak/>
        <w:t>The assessment of global regulatory compliance efforts reveals substantial variations in national strategies for post-quantum cryptographic standardization. Leading economies such as the United States, China, and the United Kingdom report the highest regulatory compliance index (RCI) scores, suggesting a stronger policy emphasis on quantum security integration. These findings align with existing regulatory mandates, including the Quantum Computing Cybersecurity Preparedness Act (2023) in the U.S., the European Union’s Digital Finance Strategy (2024), and China’s National Blockchain Plan of 2025, all of which enforce a structured approach to quantum-resistant encryption (EBA, 2025; Congress.Gov, 2021; Swayne, 2025). However, developing economies such as India and Brazil demonstrate significantly lower regulatory growth rates, reinforcing prior observations that quantum security adoption remains constrained by economic and infrastructural limitations (Mthembu &amp; Smith, 2024; Shandilya et al., 2024). The findings suggest that while regulatory initiatives have been established in many jurisdictions, enforcement levels and compliance monitoring mechanisms remain inconsistent, potentially delaying the financial sector’s transition to post-quantum cryptographic standards (Sood, 2024; Gharavi et al., 2024).</w:t>
      </w:r>
    </w:p>
    <w:p w14:paraId="150F198E" w14:textId="5CD17F71" w:rsidR="00905DBC" w:rsidRPr="008543FB" w:rsidRDefault="00453400">
      <w:pPr>
        <w:spacing w:before="160" w:after="160"/>
        <w:jc w:val="both"/>
        <w:rPr>
          <w:rFonts w:eastAsia="Roboto"/>
          <w:color w:val="0D0D0D"/>
          <w:sz w:val="24"/>
          <w:szCs w:val="24"/>
          <w:highlight w:val="white"/>
        </w:rPr>
      </w:pPr>
      <w:r w:rsidRPr="008543FB">
        <w:rPr>
          <w:rFonts w:eastAsia="Roboto"/>
          <w:color w:val="0D0D0D"/>
          <w:sz w:val="24"/>
          <w:szCs w:val="24"/>
          <w:highlight w:val="white"/>
        </w:rPr>
        <w:t xml:space="preserve">The observed correlation between regulatory compliance and post-quantum cryptographic adoption suggests that policy frameworks </w:t>
      </w:r>
      <w:r w:rsidR="008543FB">
        <w:rPr>
          <w:rFonts w:eastAsia="Roboto"/>
          <w:color w:val="0D0D0D"/>
          <w:sz w:val="24"/>
          <w:szCs w:val="24"/>
          <w:highlight w:val="white"/>
        </w:rPr>
        <w:t>are critical</w:t>
      </w:r>
      <w:r w:rsidRPr="008543FB">
        <w:rPr>
          <w:rFonts w:eastAsia="Roboto"/>
          <w:color w:val="0D0D0D"/>
          <w:sz w:val="24"/>
          <w:szCs w:val="24"/>
          <w:highlight w:val="white"/>
        </w:rPr>
        <w:t xml:space="preserve"> in shaping financial institutions’ quantum security readiness. Nations with higher RCI scores report a stronger commitment to PQC adoption among financial entities, reinforcing the effectiveness of structured regulatory interventions in accelerating quantum-resistant encryption integration (Joseph et al., 2022; Mosteanu &amp; Faccia, 2021). However, the study also highlights the limitations of existing compliance frameworks, as the presence of regulatory mandates does not necessarily translate into seamless PQC implementation. The slow pace of cryptographic migration in key financial sectors, despite regulatory enforcement, suggests that additional government incentives, financial support programs, and industry collaboration initiatives are required to facilitate a more uniform transition to quantum-resistant security architectures (Firmansyah &amp; Bansal, 2024; Scholten et al., 2024). The findings further emphasize that without a globally standardized regulatory framework, disparities in PQC adoption will persist, potentially leading to fragmented security landscapes that expose financial transactions to emerging quantum cyber risks (PwC, 2019; U.S. Department of the Treasury, 2024).</w:t>
      </w:r>
    </w:p>
    <w:p w14:paraId="7F5408F1" w14:textId="1E72CA1F" w:rsidR="00905DBC" w:rsidRPr="005A0E51" w:rsidRDefault="00453400">
      <w:pPr>
        <w:spacing w:before="160" w:after="160"/>
        <w:jc w:val="both"/>
        <w:rPr>
          <w:rFonts w:eastAsia="Roboto"/>
          <w:color w:val="0D0D0D"/>
          <w:sz w:val="24"/>
          <w:szCs w:val="24"/>
          <w:highlight w:val="white"/>
        </w:rPr>
      </w:pPr>
      <w:r w:rsidRPr="008543FB">
        <w:rPr>
          <w:rFonts w:eastAsia="Roboto"/>
          <w:color w:val="0D0D0D"/>
          <w:sz w:val="24"/>
          <w:szCs w:val="24"/>
          <w:highlight w:val="white"/>
        </w:rPr>
        <w:t xml:space="preserve">Taken together, the findings of this study provide a comprehensive empirical foundation for understanding the vulnerabilities of blockchain cryptographic protocols, the applicability of post-quantum encryption models, financial institutions’ quantum security preparedness, and the role of regulatory compliance in facilitating PQC adoption. The results reinforce the necessity for a multipronged approach that combines technological advancements, financial sector investments, and coordinated regulatory interventions to ensure blockchain security remains resilient in the quantum era. While significant strides </w:t>
      </w:r>
      <w:r w:rsidRPr="008543FB">
        <w:rPr>
          <w:rFonts w:eastAsia="Roboto"/>
          <w:color w:val="0D0D0D"/>
          <w:sz w:val="24"/>
          <w:szCs w:val="24"/>
          <w:highlight w:val="white"/>
        </w:rPr>
        <w:lastRenderedPageBreak/>
        <w:t>have been made in post-quantum cryptographic research and policy development, the study underscores the pressing need for industry-wide collaboration, global regulatory alignment, and accelerated implementation strategies to safeguard financial data governance from next-generation quantum threats.</w:t>
      </w:r>
      <w:r w:rsidR="005A0E51">
        <w:rPr>
          <w:rFonts w:eastAsia="Roboto"/>
          <w:color w:val="0D0D0D"/>
          <w:sz w:val="24"/>
          <w:szCs w:val="24"/>
          <w:highlight w:val="white"/>
        </w:rPr>
        <w:t xml:space="preserve"> </w:t>
      </w:r>
      <w:r w:rsidR="005A0E51" w:rsidRPr="005A0E51">
        <w:rPr>
          <w:sz w:val="24"/>
          <w:szCs w:val="24"/>
        </w:rPr>
        <w:t>This study acknowledges certain limitations, particularly the computational overhead associated with post-quantum cryptographic models like Kyber-1024 and SPHINCS+-SHA256. Future research should focus on optimizing these models for scalability, enhancing efficiency, and addressing integration challenges within existing blockchain infrastructures to ensure seamless quantum-resistant adoption across various financial systems.</w:t>
      </w:r>
    </w:p>
    <w:p w14:paraId="55E7F3C5" w14:textId="5BA56F3F" w:rsidR="00905DBC" w:rsidRPr="008543FB" w:rsidRDefault="003B7EF2">
      <w:pPr>
        <w:spacing w:before="160" w:after="160"/>
        <w:jc w:val="both"/>
        <w:rPr>
          <w:rFonts w:eastAsia="Roboto"/>
          <w:b/>
          <w:color w:val="0D0D0D"/>
          <w:sz w:val="24"/>
          <w:szCs w:val="24"/>
          <w:highlight w:val="white"/>
        </w:rPr>
      </w:pPr>
      <w:r w:rsidRPr="008543FB">
        <w:rPr>
          <w:rFonts w:eastAsia="Roboto"/>
          <w:b/>
          <w:color w:val="0D0D0D"/>
          <w:sz w:val="24"/>
          <w:szCs w:val="24"/>
          <w:highlight w:val="white"/>
        </w:rPr>
        <w:t>5.</w:t>
      </w:r>
      <w:r w:rsidRPr="008543FB">
        <w:rPr>
          <w:rFonts w:eastAsia="Roboto"/>
          <w:b/>
          <w:color w:val="0D0D0D"/>
          <w:sz w:val="24"/>
          <w:szCs w:val="24"/>
          <w:highlight w:val="white"/>
        </w:rPr>
        <w:tab/>
      </w:r>
      <w:r w:rsidR="00453400" w:rsidRPr="008543FB">
        <w:rPr>
          <w:rFonts w:eastAsia="Roboto"/>
          <w:b/>
          <w:color w:val="0D0D0D"/>
          <w:sz w:val="24"/>
          <w:szCs w:val="24"/>
          <w:highlight w:val="white"/>
        </w:rPr>
        <w:t>Conclusion and Recommendation</w:t>
      </w:r>
      <w:r w:rsidRPr="008543FB">
        <w:rPr>
          <w:rFonts w:eastAsia="Roboto"/>
          <w:b/>
          <w:color w:val="0D0D0D"/>
          <w:sz w:val="24"/>
          <w:szCs w:val="24"/>
          <w:highlight w:val="white"/>
        </w:rPr>
        <w:t>s</w:t>
      </w:r>
    </w:p>
    <w:p w14:paraId="3E7FADE6" w14:textId="77777777" w:rsidR="00905DBC" w:rsidRPr="008543FB" w:rsidRDefault="00453400">
      <w:pPr>
        <w:spacing w:before="160" w:after="160"/>
        <w:jc w:val="both"/>
        <w:rPr>
          <w:rFonts w:eastAsia="Roboto"/>
          <w:color w:val="0D0D0D"/>
          <w:sz w:val="24"/>
          <w:szCs w:val="24"/>
          <w:highlight w:val="white"/>
        </w:rPr>
      </w:pPr>
      <w:r w:rsidRPr="008543FB">
        <w:rPr>
          <w:rFonts w:eastAsia="Roboto"/>
          <w:color w:val="0D0D0D"/>
          <w:sz w:val="24"/>
          <w:szCs w:val="24"/>
          <w:highlight w:val="white"/>
        </w:rPr>
        <w:t>This study reveals that the financial sector remains highly vulnerable to quantum threats due to the impending obsolescence of traditional cryptographic protocols. While post-quantum cryptographic models offer viable solutions, their adoption is hindered by computational inefficiencies, regulatory inconsistencies, and financial institutions’ varying levels of preparedness. The findings emphasize the urgent need for coordinated regulatory and industry-wide efforts to accelerate the transition to quantum-resistant blockchain security. Given the rapidly evolving advancements in quantum computing, immediate strategic actions must be taken to mitigate risks and future-proof financial data governance. It is therefore recommended that:</w:t>
      </w:r>
    </w:p>
    <w:p w14:paraId="5ACEA67D" w14:textId="77777777" w:rsidR="00F31422" w:rsidRPr="008543FB" w:rsidRDefault="00453400" w:rsidP="00F31422">
      <w:pPr>
        <w:pStyle w:val="ListParagraph"/>
        <w:numPr>
          <w:ilvl w:val="0"/>
          <w:numId w:val="3"/>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color w:val="0D0D0D"/>
          <w:sz w:val="24"/>
          <w:szCs w:val="24"/>
          <w:highlight w:val="white"/>
        </w:rPr>
      </w:pPr>
      <w:r w:rsidRPr="008543FB">
        <w:rPr>
          <w:rFonts w:eastAsia="Roboto"/>
          <w:color w:val="0D0D0D"/>
          <w:sz w:val="24"/>
          <w:szCs w:val="24"/>
          <w:highlight w:val="white"/>
        </w:rPr>
        <w:t>Financial institutions should integrate hybrid cryptographic models to balance quantum resistance and computational efficiency, ensuring seamless blockchain transaction processing.</w:t>
      </w:r>
    </w:p>
    <w:p w14:paraId="7F878800" w14:textId="77777777" w:rsidR="00F31422" w:rsidRPr="008543FB" w:rsidRDefault="00453400" w:rsidP="00F31422">
      <w:pPr>
        <w:pStyle w:val="ListParagraph"/>
        <w:numPr>
          <w:ilvl w:val="0"/>
          <w:numId w:val="3"/>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color w:val="0D0D0D"/>
          <w:sz w:val="24"/>
          <w:szCs w:val="24"/>
          <w:highlight w:val="white"/>
        </w:rPr>
      </w:pPr>
      <w:r w:rsidRPr="008543FB">
        <w:rPr>
          <w:rFonts w:eastAsia="Roboto"/>
          <w:color w:val="0D0D0D"/>
          <w:sz w:val="24"/>
          <w:szCs w:val="24"/>
          <w:highlight w:val="white"/>
        </w:rPr>
        <w:t>Governments and regulatory bodies must establish standardized global compliance frameworks to enforce uniform post-quantum cryptographic ado</w:t>
      </w:r>
      <w:r w:rsidR="00F31422" w:rsidRPr="008543FB">
        <w:rPr>
          <w:rFonts w:eastAsia="Roboto"/>
          <w:color w:val="0D0D0D"/>
          <w:sz w:val="24"/>
          <w:szCs w:val="24"/>
          <w:highlight w:val="white"/>
        </w:rPr>
        <w:t>ption across financial sectors.</w:t>
      </w:r>
    </w:p>
    <w:p w14:paraId="1A340FE9" w14:textId="0D795A0B" w:rsidR="000D3F8C" w:rsidRPr="008543FB" w:rsidRDefault="00453400" w:rsidP="00F31422">
      <w:pPr>
        <w:pStyle w:val="ListParagraph"/>
        <w:numPr>
          <w:ilvl w:val="0"/>
          <w:numId w:val="3"/>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color w:val="0D0D0D"/>
          <w:sz w:val="24"/>
          <w:szCs w:val="24"/>
          <w:highlight w:val="white"/>
        </w:rPr>
      </w:pPr>
      <w:r w:rsidRPr="008543FB">
        <w:rPr>
          <w:rFonts w:eastAsia="Roboto"/>
          <w:color w:val="0D0D0D"/>
          <w:sz w:val="24"/>
          <w:szCs w:val="24"/>
          <w:highlight w:val="white"/>
        </w:rPr>
        <w:t xml:space="preserve">Investment in post-quantum cryptographic research should be prioritized, with financial institutions collaborating with cybersecurity experts to develop scalable and </w:t>
      </w:r>
      <w:r w:rsidR="000D3F8C" w:rsidRPr="008543FB">
        <w:rPr>
          <w:rFonts w:eastAsia="Roboto"/>
          <w:color w:val="0D0D0D"/>
          <w:sz w:val="24"/>
          <w:szCs w:val="24"/>
          <w:highlight w:val="white"/>
        </w:rPr>
        <w:t>efficient encryption solutions.</w:t>
      </w:r>
    </w:p>
    <w:p w14:paraId="5A532281" w14:textId="302C3641" w:rsidR="00905DBC" w:rsidRPr="0040100B" w:rsidRDefault="008543FB" w:rsidP="00F31422">
      <w:pPr>
        <w:pStyle w:val="ListParagraph"/>
        <w:numPr>
          <w:ilvl w:val="0"/>
          <w:numId w:val="3"/>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color w:val="0D0D0D"/>
          <w:sz w:val="24"/>
          <w:szCs w:val="24"/>
          <w:highlight w:val="white"/>
        </w:rPr>
      </w:pPr>
      <w:r>
        <w:rPr>
          <w:rFonts w:eastAsia="Roboto"/>
          <w:color w:val="0D0D0D"/>
          <w:sz w:val="24"/>
          <w:szCs w:val="24"/>
          <w:highlight w:val="white"/>
        </w:rPr>
        <w:t>To ensure long-term security and resilience, Financial organizations must develop quantum risk mitigation strategies, including phased cryptographic transitions and employee training programs</w:t>
      </w:r>
      <w:r w:rsidR="00453400" w:rsidRPr="008543FB">
        <w:rPr>
          <w:rFonts w:eastAsia="Roboto"/>
          <w:color w:val="0D0D0D"/>
          <w:sz w:val="24"/>
          <w:szCs w:val="24"/>
          <w:highlight w:val="white"/>
        </w:rPr>
        <w:t>.</w:t>
      </w:r>
    </w:p>
    <w:p w14:paraId="218B18E2" w14:textId="77777777" w:rsidR="0040100B" w:rsidRDefault="0040100B" w:rsidP="0040100B">
      <w:pPr>
        <w:pStyle w:val="ListParagraph"/>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Roboto"/>
          <w:color w:val="0D0D0D"/>
          <w:sz w:val="24"/>
          <w:szCs w:val="24"/>
          <w:highlight w:val="white"/>
        </w:rPr>
      </w:pPr>
    </w:p>
    <w:p w14:paraId="55D489AA" w14:textId="77777777" w:rsidR="0040100B" w:rsidRDefault="0040100B" w:rsidP="0040100B">
      <w:pPr>
        <w:pStyle w:val="ListParagraph"/>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Roboto"/>
          <w:color w:val="0D0D0D"/>
          <w:sz w:val="24"/>
          <w:szCs w:val="24"/>
          <w:highlight w:val="white"/>
        </w:rPr>
      </w:pPr>
    </w:p>
    <w:p w14:paraId="7CE6D05B" w14:textId="77777777" w:rsidR="0040100B" w:rsidRPr="003A29C6" w:rsidRDefault="0040100B" w:rsidP="0040100B">
      <w:pPr>
        <w:jc w:val="both"/>
        <w:outlineLvl w:val="0"/>
      </w:pPr>
      <w:r w:rsidRPr="003A29C6">
        <w:rPr>
          <w:b/>
          <w:bCs/>
        </w:rPr>
        <w:t>COMPETING INTERESTS DISCLAIMER:</w:t>
      </w:r>
    </w:p>
    <w:p w14:paraId="3DD4379B" w14:textId="77777777" w:rsidR="0040100B" w:rsidRDefault="0040100B" w:rsidP="0040100B">
      <w:r w:rsidRPr="00A10EDE">
        <w:lastRenderedPageBreak/>
        <w:t>Authors have declared that they have no known competing financial interests OR non-financial interests OR personal relationships that could have appeared to influence the work reported in this paper.</w:t>
      </w:r>
    </w:p>
    <w:p w14:paraId="30BC0556" w14:textId="77777777" w:rsidR="0040100B" w:rsidRPr="008543FB" w:rsidRDefault="0040100B" w:rsidP="0040100B">
      <w:pPr>
        <w:pStyle w:val="ListParagraph"/>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color w:val="0D0D0D"/>
          <w:sz w:val="24"/>
          <w:szCs w:val="24"/>
          <w:highlight w:val="white"/>
        </w:rPr>
      </w:pPr>
    </w:p>
    <w:p w14:paraId="425F85EE" w14:textId="77777777" w:rsidR="00A10ED6" w:rsidRPr="00F31422" w:rsidRDefault="00A10ED6">
      <w:pPr>
        <w:pStyle w:val="Heading1"/>
        <w:keepNext w:val="0"/>
        <w:keepLines w:val="0"/>
        <w:spacing w:before="0" w:after="0" w:line="480" w:lineRule="auto"/>
        <w:jc w:val="center"/>
        <w:rPr>
          <w:b/>
          <w:sz w:val="24"/>
          <w:szCs w:val="24"/>
        </w:rPr>
      </w:pPr>
      <w:bookmarkStart w:id="27" w:name="_oq8m7dccn6nn" w:colFirst="0" w:colLast="0"/>
      <w:bookmarkEnd w:id="27"/>
    </w:p>
    <w:p w14:paraId="21DA8048" w14:textId="4A66E6B8" w:rsidR="00FE123F" w:rsidRPr="00E669EC" w:rsidRDefault="00FE123F" w:rsidP="00FE123F">
      <w:pPr>
        <w:spacing w:after="200"/>
        <w:rPr>
          <w:rFonts w:ascii="Calibri" w:eastAsia="Calibri" w:hAnsi="Calibri" w:cs="Times New Roman"/>
          <w:kern w:val="2"/>
          <w:lang w:val="en-US"/>
        </w:rPr>
      </w:pPr>
      <w:bookmarkStart w:id="28" w:name="_Hlk180402183"/>
      <w:bookmarkStart w:id="29" w:name="_Hlk183680988"/>
      <w:r w:rsidRPr="00E669EC">
        <w:rPr>
          <w:rFonts w:ascii="Calibri" w:eastAsia="Calibri" w:hAnsi="Calibri" w:cs="Times New Roman"/>
          <w:kern w:val="2"/>
          <w:lang w:val="en-US"/>
        </w:rPr>
        <w:t>Disclaimer (Artificial intelligence)</w:t>
      </w:r>
    </w:p>
    <w:p w14:paraId="56780C64" w14:textId="77777777" w:rsidR="00FE123F" w:rsidRPr="00E669EC" w:rsidRDefault="00FE123F" w:rsidP="00FE123F">
      <w:pPr>
        <w:spacing w:after="200"/>
        <w:rPr>
          <w:rFonts w:ascii="Calibri" w:eastAsia="Calibri" w:hAnsi="Calibri" w:cs="Times New Roman"/>
          <w:kern w:val="2"/>
          <w:lang w:val="en-US"/>
        </w:rPr>
      </w:pPr>
      <w:r w:rsidRPr="00E669EC">
        <w:rPr>
          <w:rFonts w:ascii="Calibri" w:eastAsia="Calibri" w:hAnsi="Calibri" w:cs="Times New Roman"/>
          <w:kern w:val="2"/>
          <w:lang w:val="en-US"/>
        </w:rPr>
        <w:t xml:space="preserve">Author(s) hereby declare that NO generative AI technologies such as Large Language Models (ChatGPT, COPILOT, etc.) and text-to-image generators have been used during the writing or editing of this manuscript. </w:t>
      </w:r>
    </w:p>
    <w:bookmarkEnd w:id="28"/>
    <w:bookmarkEnd w:id="29"/>
    <w:p w14:paraId="38F1AD54" w14:textId="3D675027" w:rsidR="00F31422" w:rsidRPr="00F31422" w:rsidRDefault="00F31422">
      <w:pPr>
        <w:rPr>
          <w:b/>
          <w:sz w:val="24"/>
          <w:szCs w:val="24"/>
        </w:rPr>
      </w:pPr>
    </w:p>
    <w:p w14:paraId="04958EDC" w14:textId="7C5A8D75" w:rsidR="00905DBC" w:rsidRPr="00F31422" w:rsidRDefault="00453400">
      <w:pPr>
        <w:pStyle w:val="Heading1"/>
        <w:keepNext w:val="0"/>
        <w:keepLines w:val="0"/>
        <w:spacing w:before="0" w:after="0" w:line="480" w:lineRule="auto"/>
        <w:jc w:val="center"/>
        <w:rPr>
          <w:b/>
          <w:sz w:val="24"/>
          <w:szCs w:val="24"/>
        </w:rPr>
      </w:pPr>
      <w:r w:rsidRPr="00F31422">
        <w:rPr>
          <w:b/>
          <w:sz w:val="24"/>
          <w:szCs w:val="24"/>
        </w:rPr>
        <w:t>References</w:t>
      </w:r>
    </w:p>
    <w:p w14:paraId="78963914" w14:textId="77777777" w:rsidR="00905DBC" w:rsidRPr="00F31422" w:rsidRDefault="00453400" w:rsidP="00F31422">
      <w:pPr>
        <w:spacing w:after="240" w:line="360" w:lineRule="auto"/>
        <w:ind w:left="720" w:hanging="720"/>
        <w:rPr>
          <w:sz w:val="24"/>
          <w:szCs w:val="24"/>
        </w:rPr>
      </w:pPr>
      <w:r w:rsidRPr="00F31422">
        <w:rPr>
          <w:sz w:val="24"/>
          <w:szCs w:val="24"/>
        </w:rPr>
        <w:t xml:space="preserve">Abdulhakeem, S. A., &amp; Hu, Q. (2021). Powered by Blockchain Technology, DeFi (Decentralized Finance) Strives to Increase Financial Inclusion of the Unbanked by Reshaping the World Financial System. </w:t>
      </w:r>
      <w:r w:rsidRPr="00F31422">
        <w:rPr>
          <w:i/>
          <w:sz w:val="24"/>
          <w:szCs w:val="24"/>
        </w:rPr>
        <w:t>Modern Economy</w:t>
      </w:r>
      <w:r w:rsidRPr="00F31422">
        <w:rPr>
          <w:sz w:val="24"/>
          <w:szCs w:val="24"/>
        </w:rPr>
        <w:t xml:space="preserve">, </w:t>
      </w:r>
      <w:r w:rsidRPr="00F31422">
        <w:rPr>
          <w:i/>
          <w:sz w:val="24"/>
          <w:szCs w:val="24"/>
        </w:rPr>
        <w:t>12</w:t>
      </w:r>
      <w:r w:rsidRPr="00F31422">
        <w:rPr>
          <w:sz w:val="24"/>
          <w:szCs w:val="24"/>
        </w:rPr>
        <w:t xml:space="preserve">(01), 1–16. </w:t>
      </w:r>
      <w:hyperlink r:id="rId14">
        <w:r w:rsidRPr="00F31422">
          <w:rPr>
            <w:color w:val="1155CC"/>
            <w:sz w:val="24"/>
            <w:szCs w:val="24"/>
            <w:u w:val="single"/>
          </w:rPr>
          <w:t>https://doi.org/10.4236/me.2021.121001</w:t>
        </w:r>
      </w:hyperlink>
      <w:r w:rsidRPr="00F31422">
        <w:rPr>
          <w:sz w:val="24"/>
          <w:szCs w:val="24"/>
        </w:rPr>
        <w:t xml:space="preserve"> </w:t>
      </w:r>
    </w:p>
    <w:p w14:paraId="3618A615" w14:textId="77777777" w:rsidR="00905DBC" w:rsidRPr="00F31422" w:rsidRDefault="00453400" w:rsidP="00F31422">
      <w:pPr>
        <w:spacing w:after="240" w:line="360" w:lineRule="auto"/>
        <w:ind w:left="720" w:hanging="720"/>
        <w:rPr>
          <w:sz w:val="24"/>
          <w:szCs w:val="24"/>
        </w:rPr>
      </w:pPr>
      <w:r w:rsidRPr="00F31422">
        <w:rPr>
          <w:sz w:val="24"/>
          <w:szCs w:val="24"/>
        </w:rPr>
        <w:t xml:space="preserve">Adegbola, D., Adegbola, E., Amajuoyi, P., Benjamin, L. B., &amp; Adeusi, K. B. (2024). Quantum computing and financial risk management: A theoretical review and implications. </w:t>
      </w:r>
      <w:r w:rsidRPr="00F31422">
        <w:rPr>
          <w:i/>
          <w:sz w:val="24"/>
          <w:szCs w:val="24"/>
        </w:rPr>
        <w:t>Computer Science &amp; IT Research Journal</w:t>
      </w:r>
      <w:r w:rsidRPr="00F31422">
        <w:rPr>
          <w:sz w:val="24"/>
          <w:szCs w:val="24"/>
        </w:rPr>
        <w:t xml:space="preserve">, </w:t>
      </w:r>
      <w:r w:rsidRPr="00F31422">
        <w:rPr>
          <w:i/>
          <w:sz w:val="24"/>
          <w:szCs w:val="24"/>
        </w:rPr>
        <w:t>5</w:t>
      </w:r>
      <w:r w:rsidRPr="00F31422">
        <w:rPr>
          <w:sz w:val="24"/>
          <w:szCs w:val="24"/>
        </w:rPr>
        <w:t xml:space="preserve">(6), 1210–1220. </w:t>
      </w:r>
      <w:hyperlink r:id="rId15">
        <w:r w:rsidRPr="00F31422">
          <w:rPr>
            <w:color w:val="1155CC"/>
            <w:sz w:val="24"/>
            <w:szCs w:val="24"/>
            <w:u w:val="single"/>
          </w:rPr>
          <w:t>https://doi.org/10.51594/csitrj.v5i6.1194</w:t>
        </w:r>
      </w:hyperlink>
      <w:r w:rsidRPr="00F31422">
        <w:rPr>
          <w:sz w:val="24"/>
          <w:szCs w:val="24"/>
        </w:rPr>
        <w:t xml:space="preserve"> </w:t>
      </w:r>
    </w:p>
    <w:p w14:paraId="6AA84A2B" w14:textId="77777777" w:rsidR="00905DBC" w:rsidRPr="00F31422" w:rsidRDefault="00453400" w:rsidP="00F31422">
      <w:pPr>
        <w:spacing w:after="240" w:line="360" w:lineRule="auto"/>
        <w:ind w:left="720" w:hanging="720"/>
        <w:rPr>
          <w:sz w:val="24"/>
          <w:szCs w:val="24"/>
        </w:rPr>
      </w:pPr>
      <w:r w:rsidRPr="00F31422">
        <w:rPr>
          <w:sz w:val="24"/>
          <w:szCs w:val="24"/>
        </w:rPr>
        <w:t xml:space="preserve">Ahmed, S. (2025). Enhancing Data Security and Transparency: The Role of Blockchain in Decentralized Systems. </w:t>
      </w:r>
      <w:r w:rsidRPr="00F31422">
        <w:rPr>
          <w:i/>
          <w:sz w:val="24"/>
          <w:szCs w:val="24"/>
        </w:rPr>
        <w:t>International Journal of Advanced Engineering, Management and Science</w:t>
      </w:r>
      <w:r w:rsidRPr="00F31422">
        <w:rPr>
          <w:sz w:val="24"/>
          <w:szCs w:val="24"/>
        </w:rPr>
        <w:t xml:space="preserve">, </w:t>
      </w:r>
      <w:r w:rsidRPr="00F31422">
        <w:rPr>
          <w:i/>
          <w:sz w:val="24"/>
          <w:szCs w:val="24"/>
        </w:rPr>
        <w:t>11</w:t>
      </w:r>
      <w:r w:rsidRPr="00F31422">
        <w:rPr>
          <w:sz w:val="24"/>
          <w:szCs w:val="24"/>
        </w:rPr>
        <w:t xml:space="preserve">(1), 593258. </w:t>
      </w:r>
      <w:hyperlink r:id="rId16">
        <w:r w:rsidRPr="00F31422">
          <w:rPr>
            <w:color w:val="1155CC"/>
            <w:sz w:val="24"/>
            <w:szCs w:val="24"/>
            <w:u w:val="single"/>
          </w:rPr>
          <w:t>https://media.neliti.com/media/publications/593258-enhancing-data-security-and-transparency-b21f006d.pdf</w:t>
        </w:r>
      </w:hyperlink>
      <w:r w:rsidRPr="00F31422">
        <w:rPr>
          <w:sz w:val="24"/>
          <w:szCs w:val="24"/>
        </w:rPr>
        <w:t xml:space="preserve"> </w:t>
      </w:r>
    </w:p>
    <w:p w14:paraId="55324BF4" w14:textId="77777777" w:rsidR="00905DBC" w:rsidRPr="00F31422" w:rsidRDefault="00453400" w:rsidP="00F31422">
      <w:pPr>
        <w:spacing w:after="240" w:line="360" w:lineRule="auto"/>
        <w:ind w:left="720" w:hanging="720"/>
        <w:rPr>
          <w:sz w:val="24"/>
          <w:szCs w:val="24"/>
        </w:rPr>
      </w:pPr>
      <w:r w:rsidRPr="00F31422">
        <w:rPr>
          <w:sz w:val="24"/>
          <w:szCs w:val="24"/>
        </w:rPr>
        <w:t xml:space="preserve">Ajayi, A. J., Joseph, S. A., Metibemu, O. C., Olutimehin, A. T., Balogun, A. Y., &amp; Olaniyi, O. O. (2025). The Impact of Artificial Intelligence on Cyber Security in Digital Currency Transactions. </w:t>
      </w:r>
      <w:r w:rsidRPr="00F31422">
        <w:rPr>
          <w:i/>
          <w:sz w:val="24"/>
          <w:szCs w:val="24"/>
        </w:rPr>
        <w:t>Archives of Current Research International</w:t>
      </w:r>
      <w:r w:rsidRPr="00F31422">
        <w:rPr>
          <w:sz w:val="24"/>
          <w:szCs w:val="24"/>
        </w:rPr>
        <w:t xml:space="preserve">, </w:t>
      </w:r>
      <w:r w:rsidRPr="00F31422">
        <w:rPr>
          <w:i/>
          <w:sz w:val="24"/>
          <w:szCs w:val="24"/>
        </w:rPr>
        <w:t>25</w:t>
      </w:r>
      <w:r w:rsidRPr="00F31422">
        <w:rPr>
          <w:sz w:val="24"/>
          <w:szCs w:val="24"/>
        </w:rPr>
        <w:t xml:space="preserve">(2), 329–351. </w:t>
      </w:r>
      <w:hyperlink r:id="rId17">
        <w:r w:rsidRPr="00F31422">
          <w:rPr>
            <w:color w:val="1155CC"/>
            <w:sz w:val="24"/>
            <w:szCs w:val="24"/>
            <w:u w:val="single"/>
          </w:rPr>
          <w:t>https://doi.org/10.9734/acri/2025/v25i21090</w:t>
        </w:r>
      </w:hyperlink>
      <w:r w:rsidRPr="00F31422">
        <w:rPr>
          <w:sz w:val="24"/>
          <w:szCs w:val="24"/>
        </w:rPr>
        <w:t xml:space="preserve">  </w:t>
      </w:r>
    </w:p>
    <w:p w14:paraId="0598C4E8" w14:textId="77777777" w:rsidR="00905DBC" w:rsidRPr="00F31422" w:rsidRDefault="00453400" w:rsidP="00F31422">
      <w:pPr>
        <w:spacing w:after="240" w:line="360" w:lineRule="auto"/>
        <w:ind w:left="720" w:hanging="720"/>
        <w:rPr>
          <w:sz w:val="24"/>
          <w:szCs w:val="24"/>
        </w:rPr>
      </w:pPr>
      <w:r w:rsidRPr="00F31422">
        <w:rPr>
          <w:sz w:val="24"/>
          <w:szCs w:val="24"/>
        </w:rPr>
        <w:lastRenderedPageBreak/>
        <w:t xml:space="preserve">Akhai, S., &amp; Kumar, V. (2024). Quantum Resilience and Distributed Trust: The Promise of Blockchain and Quantum Computing in Defense. </w:t>
      </w:r>
      <w:r w:rsidRPr="00F31422">
        <w:rPr>
          <w:i/>
          <w:sz w:val="24"/>
          <w:szCs w:val="24"/>
        </w:rPr>
        <w:t>In: Kumar, A., Ahuja, N.J., Kaushik, K., Tomar, D.S., Khan, S.B. (Eds) Sustainable Security Practices Using Blockchain, Quantum and Post-Quantum Technologies for Real Time Applications. Contributions to Environmental Sciences &amp; Innovative Business Technology. Springer, Singapore.</w:t>
      </w:r>
      <w:r w:rsidRPr="00F31422">
        <w:rPr>
          <w:sz w:val="24"/>
          <w:szCs w:val="24"/>
        </w:rPr>
        <w:t xml:space="preserve">, 125–153. </w:t>
      </w:r>
      <w:hyperlink r:id="rId18">
        <w:r w:rsidRPr="00F31422">
          <w:rPr>
            <w:color w:val="1155CC"/>
            <w:sz w:val="24"/>
            <w:szCs w:val="24"/>
            <w:u w:val="single"/>
          </w:rPr>
          <w:t>https://doi.org/10.1007/978-981-97-0088-2_7</w:t>
        </w:r>
      </w:hyperlink>
      <w:r w:rsidRPr="00F31422">
        <w:rPr>
          <w:sz w:val="24"/>
          <w:szCs w:val="24"/>
        </w:rPr>
        <w:t xml:space="preserve"> </w:t>
      </w:r>
    </w:p>
    <w:p w14:paraId="50C6B605" w14:textId="77777777" w:rsidR="00905DBC" w:rsidRPr="00F31422" w:rsidRDefault="00453400" w:rsidP="00F31422">
      <w:pPr>
        <w:spacing w:after="240" w:line="360" w:lineRule="auto"/>
        <w:ind w:left="720" w:hanging="720"/>
        <w:rPr>
          <w:sz w:val="24"/>
          <w:szCs w:val="24"/>
        </w:rPr>
      </w:pPr>
      <w:r w:rsidRPr="00F31422">
        <w:rPr>
          <w:sz w:val="24"/>
          <w:szCs w:val="24"/>
        </w:rPr>
        <w:t xml:space="preserve">Alagic, G., Alperin-Sheriff, J. M., Apon, D., Cooper, D., Dang, Q. H., Miller, C., Moody, D., Peralta, R., Perlner, R., Robinson, A., Smith-Tone, D., &amp; Liu, Y.-K. (2019). Status Report on the First Round of the NIST Post-Quantum Cryptography Standardization Process. </w:t>
      </w:r>
      <w:r w:rsidRPr="00F31422">
        <w:rPr>
          <w:i/>
          <w:sz w:val="24"/>
          <w:szCs w:val="24"/>
        </w:rPr>
        <w:t>NIST</w:t>
      </w:r>
      <w:r w:rsidRPr="00F31422">
        <w:rPr>
          <w:sz w:val="24"/>
          <w:szCs w:val="24"/>
        </w:rPr>
        <w:t xml:space="preserve">. </w:t>
      </w:r>
      <w:hyperlink r:id="rId19">
        <w:r w:rsidRPr="00F31422">
          <w:rPr>
            <w:color w:val="1155CC"/>
            <w:sz w:val="24"/>
            <w:szCs w:val="24"/>
            <w:u w:val="single"/>
          </w:rPr>
          <w:t>https://www.nist.gov/publications/status-report-first-round-nist-post-quantum-cryptography-standardization-process</w:t>
        </w:r>
      </w:hyperlink>
      <w:r w:rsidRPr="00F31422">
        <w:rPr>
          <w:sz w:val="24"/>
          <w:szCs w:val="24"/>
        </w:rPr>
        <w:t xml:space="preserve"> </w:t>
      </w:r>
    </w:p>
    <w:p w14:paraId="7241D16E" w14:textId="77777777" w:rsidR="00905DBC" w:rsidRPr="00F31422" w:rsidRDefault="00453400" w:rsidP="00F31422">
      <w:pPr>
        <w:spacing w:after="240" w:line="360" w:lineRule="auto"/>
        <w:ind w:left="720" w:hanging="720"/>
        <w:rPr>
          <w:sz w:val="24"/>
          <w:szCs w:val="24"/>
        </w:rPr>
      </w:pPr>
      <w:r w:rsidRPr="00F31422">
        <w:rPr>
          <w:sz w:val="24"/>
          <w:szCs w:val="24"/>
        </w:rPr>
        <w:t xml:space="preserve">Alao, A. I., Adebiyi, O. O., &amp; Olaniyi, O. O. (2024). The Interconnectedness of Earnings Management, Corporate Governance Failures, and Global Economic Stability: A Critical Examination of the Impact of Earnings Manipulation on Financial Crises and Investor Trust in Global Markets. </w:t>
      </w:r>
      <w:r w:rsidRPr="00F31422">
        <w:rPr>
          <w:i/>
          <w:sz w:val="24"/>
          <w:szCs w:val="24"/>
        </w:rPr>
        <w:t>Asian Journal of Economics Business and Accounting</w:t>
      </w:r>
      <w:r w:rsidRPr="00F31422">
        <w:rPr>
          <w:sz w:val="24"/>
          <w:szCs w:val="24"/>
        </w:rPr>
        <w:t xml:space="preserve">, </w:t>
      </w:r>
      <w:r w:rsidRPr="00F31422">
        <w:rPr>
          <w:i/>
          <w:sz w:val="24"/>
          <w:szCs w:val="24"/>
        </w:rPr>
        <w:t>24</w:t>
      </w:r>
      <w:r w:rsidRPr="00F31422">
        <w:rPr>
          <w:sz w:val="24"/>
          <w:szCs w:val="24"/>
        </w:rPr>
        <w:t xml:space="preserve">(11), 47–73. </w:t>
      </w:r>
      <w:hyperlink r:id="rId20">
        <w:r w:rsidRPr="00F31422">
          <w:rPr>
            <w:color w:val="1155CC"/>
            <w:sz w:val="24"/>
            <w:szCs w:val="24"/>
            <w:u w:val="single"/>
          </w:rPr>
          <w:t>https://doi.org/10.9734/ajeba/2024/v24i111542</w:t>
        </w:r>
      </w:hyperlink>
      <w:r w:rsidRPr="00F31422">
        <w:rPr>
          <w:sz w:val="24"/>
          <w:szCs w:val="24"/>
        </w:rPr>
        <w:t xml:space="preserve"> </w:t>
      </w:r>
    </w:p>
    <w:p w14:paraId="620C4D37" w14:textId="77777777" w:rsidR="00905DBC" w:rsidRPr="00F31422" w:rsidRDefault="00453400" w:rsidP="00F31422">
      <w:pPr>
        <w:spacing w:after="240" w:line="360" w:lineRule="auto"/>
        <w:ind w:left="720" w:hanging="720"/>
        <w:rPr>
          <w:sz w:val="24"/>
          <w:szCs w:val="24"/>
        </w:rPr>
      </w:pPr>
      <w:r w:rsidRPr="00F31422">
        <w:rPr>
          <w:sz w:val="24"/>
          <w:szCs w:val="24"/>
        </w:rPr>
        <w:t xml:space="preserve">Allende, M., León, D. L., Cerón, S., Pareja, A., Pacheco, E., Leal, A., Da Silva, M., Pardo, A., Jones, D., Worrall, D. J., Merriman, B., Gilmore, J., Kitchener, N., &amp; Venegas-Andraca, S. E. (2023). Quantum-resistance in blockchain networks. </w:t>
      </w:r>
      <w:r w:rsidRPr="00F31422">
        <w:rPr>
          <w:i/>
          <w:sz w:val="24"/>
          <w:szCs w:val="24"/>
        </w:rPr>
        <w:t>Scientific Reports</w:t>
      </w:r>
      <w:r w:rsidRPr="00F31422">
        <w:rPr>
          <w:sz w:val="24"/>
          <w:szCs w:val="24"/>
        </w:rPr>
        <w:t xml:space="preserve">, </w:t>
      </w:r>
      <w:r w:rsidRPr="00F31422">
        <w:rPr>
          <w:i/>
          <w:sz w:val="24"/>
          <w:szCs w:val="24"/>
        </w:rPr>
        <w:t>13</w:t>
      </w:r>
      <w:r w:rsidRPr="00F31422">
        <w:rPr>
          <w:sz w:val="24"/>
          <w:szCs w:val="24"/>
        </w:rPr>
        <w:t xml:space="preserve">(1), 5664. </w:t>
      </w:r>
      <w:hyperlink r:id="rId21">
        <w:r w:rsidRPr="00F31422">
          <w:rPr>
            <w:color w:val="1155CC"/>
            <w:sz w:val="24"/>
            <w:szCs w:val="24"/>
            <w:u w:val="single"/>
          </w:rPr>
          <w:t>https://doi.org/10.1038/s41598-023-32701-6</w:t>
        </w:r>
      </w:hyperlink>
      <w:r w:rsidRPr="00F31422">
        <w:rPr>
          <w:sz w:val="24"/>
          <w:szCs w:val="24"/>
        </w:rPr>
        <w:t xml:space="preserve"> </w:t>
      </w:r>
    </w:p>
    <w:p w14:paraId="0CFB1252" w14:textId="77777777" w:rsidR="00905DBC" w:rsidRPr="00F31422" w:rsidRDefault="00453400" w:rsidP="00F31422">
      <w:pPr>
        <w:spacing w:after="240" w:line="360" w:lineRule="auto"/>
        <w:ind w:left="720" w:hanging="720"/>
        <w:rPr>
          <w:sz w:val="24"/>
          <w:szCs w:val="24"/>
        </w:rPr>
      </w:pPr>
      <w:r w:rsidRPr="00F31422">
        <w:rPr>
          <w:sz w:val="24"/>
          <w:szCs w:val="24"/>
        </w:rPr>
        <w:t xml:space="preserve">Ante, L., &amp; Saggu, A. (2024). Time-Varying Bidirectional Causal Relationships between Transaction Fees and Economic Activity of Subsystems Utilizing the Ethereum Blockchain Network. </w:t>
      </w:r>
      <w:r w:rsidRPr="00F31422">
        <w:rPr>
          <w:i/>
          <w:sz w:val="24"/>
          <w:szCs w:val="24"/>
        </w:rPr>
        <w:t>Journal of Risk and Financial Management</w:t>
      </w:r>
      <w:r w:rsidRPr="00F31422">
        <w:rPr>
          <w:sz w:val="24"/>
          <w:szCs w:val="24"/>
        </w:rPr>
        <w:t xml:space="preserve">, </w:t>
      </w:r>
      <w:r w:rsidRPr="00F31422">
        <w:rPr>
          <w:i/>
          <w:sz w:val="24"/>
          <w:szCs w:val="24"/>
        </w:rPr>
        <w:t>17</w:t>
      </w:r>
      <w:r w:rsidRPr="00F31422">
        <w:rPr>
          <w:sz w:val="24"/>
          <w:szCs w:val="24"/>
        </w:rPr>
        <w:t xml:space="preserve">(1), 19. </w:t>
      </w:r>
      <w:hyperlink r:id="rId22">
        <w:r w:rsidRPr="00F31422">
          <w:rPr>
            <w:color w:val="1155CC"/>
            <w:sz w:val="24"/>
            <w:szCs w:val="24"/>
            <w:u w:val="single"/>
          </w:rPr>
          <w:t>https://doi.org/10.3390/jrfm17010019</w:t>
        </w:r>
      </w:hyperlink>
      <w:r w:rsidRPr="00F31422">
        <w:rPr>
          <w:sz w:val="24"/>
          <w:szCs w:val="24"/>
        </w:rPr>
        <w:t xml:space="preserve"> </w:t>
      </w:r>
    </w:p>
    <w:p w14:paraId="16FA9761" w14:textId="77777777" w:rsidR="00905DBC" w:rsidRPr="00F31422" w:rsidRDefault="00453400" w:rsidP="00F31422">
      <w:pPr>
        <w:spacing w:after="240" w:line="360" w:lineRule="auto"/>
        <w:ind w:left="720" w:hanging="720"/>
        <w:rPr>
          <w:sz w:val="24"/>
          <w:szCs w:val="24"/>
        </w:rPr>
      </w:pPr>
      <w:r w:rsidRPr="00F31422">
        <w:rPr>
          <w:sz w:val="24"/>
          <w:szCs w:val="24"/>
        </w:rPr>
        <w:t xml:space="preserve">Armah, A., Asare, S., &amp; Abrefah-Mensah, E. (2024). Enhancing Security in Modern Transposition Ciphers Through Algorithmic Innovations and Advanced </w:t>
      </w:r>
      <w:r w:rsidRPr="00F31422">
        <w:rPr>
          <w:sz w:val="24"/>
          <w:szCs w:val="24"/>
        </w:rPr>
        <w:lastRenderedPageBreak/>
        <w:t xml:space="preserve">Cryptanalysis. </w:t>
      </w:r>
      <w:r w:rsidRPr="00F31422">
        <w:rPr>
          <w:i/>
          <w:sz w:val="24"/>
          <w:szCs w:val="24"/>
        </w:rPr>
        <w:t>Indonesian Journal of Computer Science</w:t>
      </w:r>
      <w:r w:rsidRPr="00F31422">
        <w:rPr>
          <w:sz w:val="24"/>
          <w:szCs w:val="24"/>
        </w:rPr>
        <w:t xml:space="preserve">, </w:t>
      </w:r>
      <w:r w:rsidRPr="00F31422">
        <w:rPr>
          <w:i/>
          <w:sz w:val="24"/>
          <w:szCs w:val="24"/>
        </w:rPr>
        <w:t>13</w:t>
      </w:r>
      <w:r w:rsidRPr="00F31422">
        <w:rPr>
          <w:sz w:val="24"/>
          <w:szCs w:val="24"/>
        </w:rPr>
        <w:t xml:space="preserve">(3). </w:t>
      </w:r>
      <w:hyperlink r:id="rId23">
        <w:r w:rsidRPr="00F31422">
          <w:rPr>
            <w:color w:val="1155CC"/>
            <w:sz w:val="24"/>
            <w:szCs w:val="24"/>
            <w:u w:val="single"/>
          </w:rPr>
          <w:t>https://doi.org/10.33022/ijcs.v13i3.4095</w:t>
        </w:r>
      </w:hyperlink>
      <w:r w:rsidRPr="00F31422">
        <w:rPr>
          <w:sz w:val="24"/>
          <w:szCs w:val="24"/>
        </w:rPr>
        <w:t xml:space="preserve"> </w:t>
      </w:r>
    </w:p>
    <w:p w14:paraId="268E1192" w14:textId="77777777" w:rsidR="00905DBC" w:rsidRPr="00F31422" w:rsidRDefault="00453400" w:rsidP="00F31422">
      <w:pPr>
        <w:spacing w:after="240" w:line="360" w:lineRule="auto"/>
        <w:ind w:left="720" w:hanging="720"/>
        <w:rPr>
          <w:sz w:val="24"/>
          <w:szCs w:val="24"/>
        </w:rPr>
      </w:pPr>
      <w:r w:rsidRPr="00F31422">
        <w:rPr>
          <w:sz w:val="24"/>
          <w:szCs w:val="24"/>
        </w:rPr>
        <w:t xml:space="preserve">Balogun, A. Y. (2025). Strengthening Compliance with Data Privacy Regulations in U.S. Healthcare Cybersecurity. </w:t>
      </w:r>
      <w:r w:rsidRPr="00F31422">
        <w:rPr>
          <w:i/>
          <w:sz w:val="24"/>
          <w:szCs w:val="24"/>
        </w:rPr>
        <w:t>Asian Journal of Research in Computer Science</w:t>
      </w:r>
      <w:r w:rsidRPr="00F31422">
        <w:rPr>
          <w:sz w:val="24"/>
          <w:szCs w:val="24"/>
        </w:rPr>
        <w:t xml:space="preserve">, </w:t>
      </w:r>
      <w:r w:rsidRPr="00F31422">
        <w:rPr>
          <w:i/>
          <w:sz w:val="24"/>
          <w:szCs w:val="24"/>
        </w:rPr>
        <w:t>18</w:t>
      </w:r>
      <w:r w:rsidRPr="00F31422">
        <w:rPr>
          <w:sz w:val="24"/>
          <w:szCs w:val="24"/>
        </w:rPr>
        <w:t xml:space="preserve">(1), 154–173. </w:t>
      </w:r>
      <w:hyperlink r:id="rId24">
        <w:r w:rsidRPr="00F31422">
          <w:rPr>
            <w:color w:val="1155CC"/>
            <w:sz w:val="24"/>
            <w:szCs w:val="24"/>
            <w:u w:val="single"/>
          </w:rPr>
          <w:t>https://doi.org/10.9734/ajrcos/2025/v18i1555</w:t>
        </w:r>
      </w:hyperlink>
      <w:r w:rsidRPr="00F31422">
        <w:rPr>
          <w:sz w:val="24"/>
          <w:szCs w:val="24"/>
        </w:rPr>
        <w:t xml:space="preserve"> </w:t>
      </w:r>
    </w:p>
    <w:p w14:paraId="3344E3C2" w14:textId="77777777" w:rsidR="00905DBC" w:rsidRPr="00F31422" w:rsidRDefault="00453400" w:rsidP="00F31422">
      <w:pPr>
        <w:spacing w:after="240" w:line="360" w:lineRule="auto"/>
        <w:ind w:left="720" w:hanging="720"/>
        <w:rPr>
          <w:sz w:val="24"/>
          <w:szCs w:val="24"/>
        </w:rPr>
      </w:pPr>
      <w:r w:rsidRPr="00F31422">
        <w:rPr>
          <w:sz w:val="24"/>
          <w:szCs w:val="24"/>
        </w:rPr>
        <w:t xml:space="preserve">Balogun, A. Y., Metibemu, O. C., Olutimehin, A. T., Ajayi, A. J., Babarinde, D. C., &amp; Olaniyi, O. O. (2025). The Ethical and Legal Implications of Shadow AI in Sensitive Industries: A Focus on Healthcare, Finance and Education. </w:t>
      </w:r>
      <w:r w:rsidRPr="00F31422">
        <w:rPr>
          <w:i/>
          <w:sz w:val="24"/>
          <w:szCs w:val="24"/>
        </w:rPr>
        <w:t>Journal of Engineering Research and Reports</w:t>
      </w:r>
      <w:r w:rsidRPr="00F31422">
        <w:rPr>
          <w:sz w:val="24"/>
          <w:szCs w:val="24"/>
        </w:rPr>
        <w:t xml:space="preserve">, </w:t>
      </w:r>
      <w:r w:rsidRPr="00F31422">
        <w:rPr>
          <w:i/>
          <w:sz w:val="24"/>
          <w:szCs w:val="24"/>
        </w:rPr>
        <w:t>27</w:t>
      </w:r>
      <w:r w:rsidRPr="00F31422">
        <w:rPr>
          <w:sz w:val="24"/>
          <w:szCs w:val="24"/>
        </w:rPr>
        <w:t xml:space="preserve">(3), 1–22. </w:t>
      </w:r>
      <w:hyperlink r:id="rId25">
        <w:r w:rsidRPr="00F31422">
          <w:rPr>
            <w:color w:val="1155CC"/>
            <w:sz w:val="24"/>
            <w:szCs w:val="24"/>
            <w:u w:val="single"/>
          </w:rPr>
          <w:t>https://doi.org/10.9734/jerr/2025/v27i31414</w:t>
        </w:r>
      </w:hyperlink>
      <w:r w:rsidRPr="00F31422">
        <w:rPr>
          <w:sz w:val="24"/>
          <w:szCs w:val="24"/>
        </w:rPr>
        <w:t xml:space="preserve"> </w:t>
      </w:r>
    </w:p>
    <w:p w14:paraId="74E25B85" w14:textId="77777777" w:rsidR="00905DBC" w:rsidRPr="00F31422" w:rsidRDefault="00453400" w:rsidP="00F31422">
      <w:pPr>
        <w:spacing w:after="240" w:line="360" w:lineRule="auto"/>
        <w:ind w:left="720" w:hanging="720"/>
        <w:rPr>
          <w:sz w:val="24"/>
          <w:szCs w:val="24"/>
        </w:rPr>
      </w:pPr>
      <w:r w:rsidRPr="00F31422">
        <w:rPr>
          <w:sz w:val="24"/>
          <w:szCs w:val="24"/>
        </w:rPr>
        <w:t xml:space="preserve">Balogun, A. Y., Olaniyi, O. O., Olisa, A. O., Gbadebo, M. O., &amp; Chinye, N. C. (2025). Enhancing Incident Response Strategies in U.S. Healthcare Cybersecurity. </w:t>
      </w:r>
      <w:r w:rsidRPr="00F31422">
        <w:rPr>
          <w:i/>
          <w:sz w:val="24"/>
          <w:szCs w:val="24"/>
        </w:rPr>
        <w:t>Journal of Engineering Research and Reports</w:t>
      </w:r>
      <w:r w:rsidRPr="00F31422">
        <w:rPr>
          <w:sz w:val="24"/>
          <w:szCs w:val="24"/>
        </w:rPr>
        <w:t xml:space="preserve">, </w:t>
      </w:r>
      <w:r w:rsidRPr="00F31422">
        <w:rPr>
          <w:i/>
          <w:sz w:val="24"/>
          <w:szCs w:val="24"/>
        </w:rPr>
        <w:t>27</w:t>
      </w:r>
      <w:r w:rsidRPr="00F31422">
        <w:rPr>
          <w:sz w:val="24"/>
          <w:szCs w:val="24"/>
        </w:rPr>
        <w:t xml:space="preserve">(2), 114–135. </w:t>
      </w:r>
      <w:hyperlink r:id="rId26">
        <w:r w:rsidRPr="00F31422">
          <w:rPr>
            <w:color w:val="1155CC"/>
            <w:sz w:val="24"/>
            <w:szCs w:val="24"/>
            <w:u w:val="single"/>
          </w:rPr>
          <w:t>https://doi.org/10.9734/jerr/2025/v27i21399</w:t>
        </w:r>
      </w:hyperlink>
      <w:r w:rsidRPr="00F31422">
        <w:rPr>
          <w:sz w:val="24"/>
          <w:szCs w:val="24"/>
        </w:rPr>
        <w:t xml:space="preserve"> </w:t>
      </w:r>
    </w:p>
    <w:p w14:paraId="2ADDF98D" w14:textId="77777777" w:rsidR="00905DBC" w:rsidRPr="00F31422" w:rsidRDefault="00453400" w:rsidP="00F31422">
      <w:pPr>
        <w:spacing w:after="240" w:line="360" w:lineRule="auto"/>
        <w:ind w:left="720" w:hanging="720"/>
        <w:rPr>
          <w:sz w:val="24"/>
          <w:szCs w:val="24"/>
        </w:rPr>
      </w:pPr>
      <w:r w:rsidRPr="00F31422">
        <w:rPr>
          <w:sz w:val="24"/>
          <w:szCs w:val="24"/>
        </w:rPr>
        <w:t xml:space="preserve">Beck, S. (2022). </w:t>
      </w:r>
      <w:r w:rsidRPr="00F31422">
        <w:rPr>
          <w:i/>
          <w:sz w:val="24"/>
          <w:szCs w:val="24"/>
        </w:rPr>
        <w:t>How Blockchain Brought Solid Level Security To Fortune 500 Companies</w:t>
      </w:r>
      <w:r w:rsidRPr="00F31422">
        <w:rPr>
          <w:sz w:val="24"/>
          <w:szCs w:val="24"/>
        </w:rPr>
        <w:t xml:space="preserve">. Forbes. </w:t>
      </w:r>
      <w:hyperlink r:id="rId27">
        <w:r w:rsidRPr="00F31422">
          <w:rPr>
            <w:color w:val="1155CC"/>
            <w:sz w:val="24"/>
            <w:szCs w:val="24"/>
            <w:u w:val="single"/>
          </w:rPr>
          <w:t>https://www.forbes.com/councils/forbestechcouncil/2022/07/18/how-blockchain-brought-solid-level-security-to-fortune-500-companies/</w:t>
        </w:r>
      </w:hyperlink>
      <w:r w:rsidRPr="00F31422">
        <w:rPr>
          <w:sz w:val="24"/>
          <w:szCs w:val="24"/>
        </w:rPr>
        <w:t xml:space="preserve"> </w:t>
      </w:r>
    </w:p>
    <w:p w14:paraId="20BB4FFF" w14:textId="77777777" w:rsidR="00905DBC" w:rsidRPr="00F31422" w:rsidRDefault="00453400" w:rsidP="00F31422">
      <w:pPr>
        <w:spacing w:after="240" w:line="360" w:lineRule="auto"/>
        <w:ind w:left="720" w:hanging="720"/>
        <w:rPr>
          <w:sz w:val="24"/>
          <w:szCs w:val="24"/>
        </w:rPr>
      </w:pPr>
      <w:r w:rsidRPr="00F31422">
        <w:rPr>
          <w:sz w:val="24"/>
          <w:szCs w:val="24"/>
        </w:rPr>
        <w:t xml:space="preserve">Bibi, M. J., Kavitha, V., Krishnapriya, V., Gowri, K., &amp; Manoj, S. (2025). An Outlook on Universal Quantum Computers. </w:t>
      </w:r>
      <w:r w:rsidRPr="00F31422">
        <w:rPr>
          <w:i/>
          <w:sz w:val="24"/>
          <w:szCs w:val="24"/>
        </w:rPr>
        <w:t>Quantum Computing and Artificial Intelligence</w:t>
      </w:r>
      <w:r w:rsidRPr="00F31422">
        <w:rPr>
          <w:sz w:val="24"/>
          <w:szCs w:val="24"/>
        </w:rPr>
        <w:t xml:space="preserve">, 261–290. </w:t>
      </w:r>
      <w:hyperlink r:id="rId28">
        <w:r w:rsidRPr="00F31422">
          <w:rPr>
            <w:color w:val="1155CC"/>
            <w:sz w:val="24"/>
            <w:szCs w:val="24"/>
            <w:u w:val="single"/>
          </w:rPr>
          <w:t>https://doi.org/10.1002/9781394242399.ch10</w:t>
        </w:r>
      </w:hyperlink>
      <w:r w:rsidRPr="00F31422">
        <w:rPr>
          <w:sz w:val="24"/>
          <w:szCs w:val="24"/>
        </w:rPr>
        <w:t xml:space="preserve"> </w:t>
      </w:r>
    </w:p>
    <w:p w14:paraId="4CF89ED6" w14:textId="77777777" w:rsidR="00905DBC" w:rsidRPr="00F31422" w:rsidRDefault="00453400" w:rsidP="00F31422">
      <w:pPr>
        <w:spacing w:after="240" w:line="360" w:lineRule="auto"/>
        <w:ind w:left="720" w:hanging="720"/>
        <w:rPr>
          <w:sz w:val="24"/>
          <w:szCs w:val="24"/>
        </w:rPr>
      </w:pPr>
      <w:r w:rsidRPr="00F31422">
        <w:rPr>
          <w:sz w:val="24"/>
          <w:szCs w:val="24"/>
        </w:rPr>
        <w:t xml:space="preserve">BIS. (2024). </w:t>
      </w:r>
      <w:r w:rsidRPr="00F31422">
        <w:rPr>
          <w:i/>
          <w:sz w:val="24"/>
          <w:szCs w:val="24"/>
        </w:rPr>
        <w:t>Project Leap: quantum-proofing the financial system</w:t>
      </w:r>
      <w:r w:rsidRPr="00F31422">
        <w:rPr>
          <w:sz w:val="24"/>
          <w:szCs w:val="24"/>
        </w:rPr>
        <w:t xml:space="preserve">. Www.bis.org. </w:t>
      </w:r>
      <w:hyperlink r:id="rId29">
        <w:r w:rsidRPr="00F31422">
          <w:rPr>
            <w:color w:val="1155CC"/>
            <w:sz w:val="24"/>
            <w:szCs w:val="24"/>
            <w:u w:val="single"/>
          </w:rPr>
          <w:t>https://www.bis.org/about/bisih/topics/cyber_security/leap.htm</w:t>
        </w:r>
      </w:hyperlink>
      <w:r w:rsidRPr="00F31422">
        <w:rPr>
          <w:sz w:val="24"/>
          <w:szCs w:val="24"/>
        </w:rPr>
        <w:t xml:space="preserve"> </w:t>
      </w:r>
    </w:p>
    <w:p w14:paraId="78F2503B" w14:textId="77777777" w:rsidR="00905DBC" w:rsidRPr="00F31422" w:rsidRDefault="00453400" w:rsidP="00F31422">
      <w:pPr>
        <w:spacing w:after="240" w:line="360" w:lineRule="auto"/>
        <w:ind w:left="720" w:hanging="720"/>
        <w:rPr>
          <w:sz w:val="24"/>
          <w:szCs w:val="24"/>
        </w:rPr>
      </w:pPr>
      <w:r w:rsidRPr="00F31422">
        <w:rPr>
          <w:sz w:val="24"/>
          <w:szCs w:val="24"/>
        </w:rPr>
        <w:t xml:space="preserve">Congress. Gov. (2021). </w:t>
      </w:r>
      <w:r w:rsidRPr="00F31422">
        <w:rPr>
          <w:i/>
          <w:sz w:val="24"/>
          <w:szCs w:val="24"/>
        </w:rPr>
        <w:t>H.R.7535 - 117th Congress (2021-2022): Quantum Computing Cybersecurity Preparedness Act</w:t>
      </w:r>
      <w:r w:rsidRPr="00F31422">
        <w:rPr>
          <w:sz w:val="24"/>
          <w:szCs w:val="24"/>
        </w:rPr>
        <w:t xml:space="preserve">. Congress.gov. </w:t>
      </w:r>
      <w:hyperlink r:id="rId30">
        <w:r w:rsidRPr="00F31422">
          <w:rPr>
            <w:color w:val="1155CC"/>
            <w:sz w:val="24"/>
            <w:szCs w:val="24"/>
            <w:u w:val="single"/>
          </w:rPr>
          <w:t>https://www.congress.gov/bill/117th-congress/house-bill/7535</w:t>
        </w:r>
      </w:hyperlink>
      <w:r w:rsidRPr="00F31422">
        <w:rPr>
          <w:sz w:val="24"/>
          <w:szCs w:val="24"/>
        </w:rPr>
        <w:t xml:space="preserve"> </w:t>
      </w:r>
    </w:p>
    <w:p w14:paraId="02FCD522" w14:textId="77777777" w:rsidR="00905DBC" w:rsidRPr="00F31422" w:rsidRDefault="00453400" w:rsidP="00F31422">
      <w:pPr>
        <w:spacing w:after="240" w:line="360" w:lineRule="auto"/>
        <w:ind w:left="720" w:hanging="720"/>
        <w:rPr>
          <w:sz w:val="24"/>
          <w:szCs w:val="24"/>
        </w:rPr>
      </w:pPr>
      <w:r w:rsidRPr="00F31422">
        <w:rPr>
          <w:sz w:val="24"/>
          <w:szCs w:val="24"/>
        </w:rPr>
        <w:lastRenderedPageBreak/>
        <w:t xml:space="preserve">Dekker, T., &amp; Martin-Bariteau, F. (2022). Regulating Uncertain States: A Risk-Based Policy Agenda for Quantum Technologies. </w:t>
      </w:r>
      <w:r w:rsidRPr="00F31422">
        <w:rPr>
          <w:i/>
          <w:sz w:val="24"/>
          <w:szCs w:val="24"/>
        </w:rPr>
        <w:t>SSRN Electronic Journal</w:t>
      </w:r>
      <w:r w:rsidRPr="00F31422">
        <w:rPr>
          <w:sz w:val="24"/>
          <w:szCs w:val="24"/>
        </w:rPr>
        <w:t xml:space="preserve">. </w:t>
      </w:r>
      <w:hyperlink r:id="rId31">
        <w:r w:rsidRPr="00F31422">
          <w:rPr>
            <w:color w:val="1155CC"/>
            <w:sz w:val="24"/>
            <w:szCs w:val="24"/>
            <w:u w:val="single"/>
          </w:rPr>
          <w:t>https://doi.org/10.2139/ssrn.4203758</w:t>
        </w:r>
      </w:hyperlink>
      <w:r w:rsidRPr="00F31422">
        <w:rPr>
          <w:sz w:val="24"/>
          <w:szCs w:val="24"/>
        </w:rPr>
        <w:t xml:space="preserve"> </w:t>
      </w:r>
    </w:p>
    <w:p w14:paraId="388929D5" w14:textId="77777777" w:rsidR="00905DBC" w:rsidRPr="00F31422" w:rsidRDefault="00453400" w:rsidP="00F31422">
      <w:pPr>
        <w:spacing w:after="240" w:line="360" w:lineRule="auto"/>
        <w:ind w:left="720" w:hanging="720"/>
        <w:rPr>
          <w:sz w:val="24"/>
          <w:szCs w:val="24"/>
        </w:rPr>
      </w:pPr>
      <w:r w:rsidRPr="00F31422">
        <w:rPr>
          <w:sz w:val="24"/>
          <w:szCs w:val="24"/>
        </w:rPr>
        <w:t xml:space="preserve">Dziechciarz, D., &amp; Niemiec, M. (2024). Efficiency Analysis of NIST-Standardized Post-Quantum Cryptographic Algorithms for Digital Signatures in Various Environments. </w:t>
      </w:r>
      <w:r w:rsidRPr="00F31422">
        <w:rPr>
          <w:i/>
          <w:sz w:val="24"/>
          <w:szCs w:val="24"/>
        </w:rPr>
        <w:t>Electronics</w:t>
      </w:r>
      <w:r w:rsidRPr="00F31422">
        <w:rPr>
          <w:sz w:val="24"/>
          <w:szCs w:val="24"/>
        </w:rPr>
        <w:t xml:space="preserve">, </w:t>
      </w:r>
      <w:r w:rsidRPr="00F31422">
        <w:rPr>
          <w:i/>
          <w:sz w:val="24"/>
          <w:szCs w:val="24"/>
        </w:rPr>
        <w:t>14</w:t>
      </w:r>
      <w:r w:rsidRPr="00F31422">
        <w:rPr>
          <w:sz w:val="24"/>
          <w:szCs w:val="24"/>
        </w:rPr>
        <w:t xml:space="preserve">(1), 70. </w:t>
      </w:r>
      <w:hyperlink r:id="rId32">
        <w:r w:rsidRPr="00F31422">
          <w:rPr>
            <w:color w:val="1155CC"/>
            <w:sz w:val="24"/>
            <w:szCs w:val="24"/>
            <w:u w:val="single"/>
          </w:rPr>
          <w:t>https://doi.org/10.3390/electronics14010070</w:t>
        </w:r>
      </w:hyperlink>
      <w:r w:rsidRPr="00F31422">
        <w:rPr>
          <w:sz w:val="24"/>
          <w:szCs w:val="24"/>
        </w:rPr>
        <w:t xml:space="preserve"> </w:t>
      </w:r>
    </w:p>
    <w:p w14:paraId="011697DE" w14:textId="77777777" w:rsidR="00905DBC" w:rsidRPr="00F31422" w:rsidRDefault="00453400" w:rsidP="00F31422">
      <w:pPr>
        <w:spacing w:after="240" w:line="360" w:lineRule="auto"/>
        <w:ind w:left="720" w:hanging="720"/>
        <w:rPr>
          <w:sz w:val="24"/>
          <w:szCs w:val="24"/>
        </w:rPr>
      </w:pPr>
      <w:r w:rsidRPr="00F31422">
        <w:rPr>
          <w:sz w:val="24"/>
          <w:szCs w:val="24"/>
        </w:rPr>
        <w:t xml:space="preserve">EBA. (2025). </w:t>
      </w:r>
      <w:r w:rsidRPr="00F31422">
        <w:rPr>
          <w:i/>
          <w:sz w:val="24"/>
          <w:szCs w:val="24"/>
        </w:rPr>
        <w:t>Digital finance | European Banking Authority</w:t>
      </w:r>
      <w:r w:rsidRPr="00F31422">
        <w:rPr>
          <w:sz w:val="24"/>
          <w:szCs w:val="24"/>
        </w:rPr>
        <w:t xml:space="preserve">. Www.eba.europa.eu. </w:t>
      </w:r>
      <w:hyperlink r:id="rId33">
        <w:r w:rsidRPr="00F31422">
          <w:rPr>
            <w:color w:val="1155CC"/>
            <w:sz w:val="24"/>
            <w:szCs w:val="24"/>
            <w:u w:val="single"/>
          </w:rPr>
          <w:t>https://www.eba.europa.eu/regulation-and-policy/digital-finance</w:t>
        </w:r>
      </w:hyperlink>
      <w:r w:rsidRPr="00F31422">
        <w:rPr>
          <w:sz w:val="24"/>
          <w:szCs w:val="24"/>
        </w:rPr>
        <w:t xml:space="preserve"> </w:t>
      </w:r>
    </w:p>
    <w:p w14:paraId="5ACCCEB4" w14:textId="77777777" w:rsidR="00905DBC" w:rsidRPr="00F31422" w:rsidRDefault="00453400" w:rsidP="00F31422">
      <w:pPr>
        <w:spacing w:after="240" w:line="360" w:lineRule="auto"/>
        <w:ind w:left="720" w:hanging="720"/>
        <w:rPr>
          <w:sz w:val="24"/>
          <w:szCs w:val="24"/>
        </w:rPr>
      </w:pPr>
      <w:r w:rsidRPr="00F31422">
        <w:rPr>
          <w:sz w:val="24"/>
          <w:szCs w:val="24"/>
        </w:rPr>
        <w:t xml:space="preserve">Fayed, M. H. (2024). Council Post: Fed Versus ECB: A Comparison Of Monetary Policies Over The Last Year. </w:t>
      </w:r>
      <w:r w:rsidRPr="00F31422">
        <w:rPr>
          <w:i/>
          <w:sz w:val="24"/>
          <w:szCs w:val="24"/>
        </w:rPr>
        <w:t>Forbes</w:t>
      </w:r>
      <w:r w:rsidRPr="00F31422">
        <w:rPr>
          <w:sz w:val="24"/>
          <w:szCs w:val="24"/>
        </w:rPr>
        <w:t xml:space="preserve">. </w:t>
      </w:r>
      <w:hyperlink r:id="rId34">
        <w:r w:rsidRPr="00F31422">
          <w:rPr>
            <w:color w:val="1155CC"/>
            <w:sz w:val="24"/>
            <w:szCs w:val="24"/>
            <w:u w:val="single"/>
          </w:rPr>
          <w:t>https://www.forbes.com/councils/forbesfinancecouncil/2024/03/28/fed-versus-ecb-a-comparison-of-monetary-policies-over-the-last-year/</w:t>
        </w:r>
      </w:hyperlink>
      <w:r w:rsidRPr="00F31422">
        <w:rPr>
          <w:sz w:val="24"/>
          <w:szCs w:val="24"/>
        </w:rPr>
        <w:t xml:space="preserve"> </w:t>
      </w:r>
    </w:p>
    <w:p w14:paraId="7E22ABED" w14:textId="77777777" w:rsidR="00905DBC" w:rsidRPr="00F31422" w:rsidRDefault="00453400" w:rsidP="00F31422">
      <w:pPr>
        <w:spacing w:after="240" w:line="360" w:lineRule="auto"/>
        <w:ind w:left="720" w:hanging="720"/>
        <w:rPr>
          <w:sz w:val="24"/>
          <w:szCs w:val="24"/>
        </w:rPr>
      </w:pPr>
      <w:r w:rsidRPr="00F31422">
        <w:rPr>
          <w:sz w:val="24"/>
          <w:szCs w:val="24"/>
        </w:rPr>
        <w:t xml:space="preserve">Firmansyah, B., &amp; Bansal, R. (2024). Standardization and Regulatory Challenges in Modern Cryptography. </w:t>
      </w:r>
      <w:r w:rsidRPr="00F31422">
        <w:rPr>
          <w:i/>
          <w:sz w:val="24"/>
          <w:szCs w:val="24"/>
        </w:rPr>
        <w:t>Advances in Information Security, Privacy, and Ethics Book Series</w:t>
      </w:r>
      <w:r w:rsidRPr="00F31422">
        <w:rPr>
          <w:sz w:val="24"/>
          <w:szCs w:val="24"/>
        </w:rPr>
        <w:t xml:space="preserve">, 145–183. </w:t>
      </w:r>
      <w:hyperlink r:id="rId35">
        <w:r w:rsidRPr="00F31422">
          <w:rPr>
            <w:color w:val="1155CC"/>
            <w:sz w:val="24"/>
            <w:szCs w:val="24"/>
            <w:u w:val="single"/>
          </w:rPr>
          <w:t>https://doi.org/10.4018/979-8-3693-3824-7.ch006</w:t>
        </w:r>
      </w:hyperlink>
      <w:r w:rsidRPr="00F31422">
        <w:rPr>
          <w:sz w:val="24"/>
          <w:szCs w:val="24"/>
        </w:rPr>
        <w:t xml:space="preserve"> </w:t>
      </w:r>
    </w:p>
    <w:p w14:paraId="132A94EB" w14:textId="77777777" w:rsidR="00905DBC" w:rsidRPr="00F31422" w:rsidRDefault="00453400" w:rsidP="00F31422">
      <w:pPr>
        <w:spacing w:after="240" w:line="360" w:lineRule="auto"/>
        <w:ind w:left="720" w:hanging="720"/>
        <w:rPr>
          <w:sz w:val="24"/>
          <w:szCs w:val="24"/>
        </w:rPr>
      </w:pPr>
      <w:r w:rsidRPr="00F31422">
        <w:rPr>
          <w:sz w:val="24"/>
          <w:szCs w:val="24"/>
        </w:rPr>
        <w:t xml:space="preserve">Galatsanos-Dueck, J. (2024). Re-imagining Drug Discovery with Quantum Computing: A Framework and Critical Benchmark Analysis for achieving Quantum Economic Advantage. </w:t>
      </w:r>
      <w:r w:rsidRPr="00F31422">
        <w:rPr>
          <w:i/>
          <w:sz w:val="24"/>
          <w:szCs w:val="24"/>
        </w:rPr>
        <w:t>Mit.edu</w:t>
      </w:r>
      <w:r w:rsidRPr="00F31422">
        <w:rPr>
          <w:sz w:val="24"/>
          <w:szCs w:val="24"/>
        </w:rPr>
        <w:t xml:space="preserve">. </w:t>
      </w:r>
      <w:hyperlink r:id="rId36">
        <w:r w:rsidRPr="00F31422">
          <w:rPr>
            <w:color w:val="1155CC"/>
            <w:sz w:val="24"/>
            <w:szCs w:val="24"/>
            <w:u w:val="single"/>
          </w:rPr>
          <w:t>https://hdl.handle.net/1721.1/156006</w:t>
        </w:r>
      </w:hyperlink>
      <w:r w:rsidRPr="00F31422">
        <w:rPr>
          <w:sz w:val="24"/>
          <w:szCs w:val="24"/>
        </w:rPr>
        <w:t xml:space="preserve"> </w:t>
      </w:r>
    </w:p>
    <w:p w14:paraId="639FAB8C" w14:textId="77777777" w:rsidR="00905DBC" w:rsidRPr="00F31422" w:rsidRDefault="00453400" w:rsidP="00F31422">
      <w:pPr>
        <w:spacing w:after="240" w:line="360" w:lineRule="auto"/>
        <w:ind w:left="720" w:hanging="720"/>
        <w:rPr>
          <w:sz w:val="24"/>
          <w:szCs w:val="24"/>
        </w:rPr>
      </w:pPr>
      <w:r w:rsidRPr="00F31422">
        <w:rPr>
          <w:sz w:val="24"/>
          <w:szCs w:val="24"/>
        </w:rPr>
        <w:t xml:space="preserve">Gbadebo, M. O. (2025). Integrating Post-Quantum Cryptography and Advanced Encryption Standards to Safeguard Sensitive Financial Records from Emerging Cyber Threats. </w:t>
      </w:r>
      <w:r w:rsidRPr="00F31422">
        <w:rPr>
          <w:i/>
          <w:sz w:val="24"/>
          <w:szCs w:val="24"/>
        </w:rPr>
        <w:t>SSRN Electronic Journal</w:t>
      </w:r>
      <w:r w:rsidRPr="00F31422">
        <w:rPr>
          <w:sz w:val="24"/>
          <w:szCs w:val="24"/>
        </w:rPr>
        <w:t xml:space="preserve">. </w:t>
      </w:r>
      <w:hyperlink r:id="rId37">
        <w:r w:rsidRPr="00F31422">
          <w:rPr>
            <w:color w:val="1155CC"/>
            <w:sz w:val="24"/>
            <w:szCs w:val="24"/>
            <w:u w:val="single"/>
          </w:rPr>
          <w:t>https://doi.org/10.2139/ssrn.5168159</w:t>
        </w:r>
      </w:hyperlink>
      <w:r w:rsidRPr="00F31422">
        <w:rPr>
          <w:sz w:val="24"/>
          <w:szCs w:val="24"/>
        </w:rPr>
        <w:t xml:space="preserve"> </w:t>
      </w:r>
    </w:p>
    <w:p w14:paraId="7F851231" w14:textId="77777777" w:rsidR="00905DBC" w:rsidRPr="00F31422" w:rsidRDefault="00453400" w:rsidP="00F31422">
      <w:pPr>
        <w:spacing w:after="240" w:line="360" w:lineRule="auto"/>
        <w:ind w:left="720" w:hanging="720"/>
        <w:rPr>
          <w:sz w:val="24"/>
          <w:szCs w:val="24"/>
        </w:rPr>
      </w:pPr>
      <w:r w:rsidRPr="00F31422">
        <w:rPr>
          <w:sz w:val="24"/>
          <w:szCs w:val="24"/>
        </w:rPr>
        <w:t xml:space="preserve">Gbadebo, M. O., Salako, A. O., Selesi-Aina, O., Ogungbemi, O. S., Olateju, O. O., &amp; Olaniyi, O. O. (2024). Augmenting Data Privacy Protocols and Enacting Regulatory Frameworks for Cryptocurrencies via Advanced Blockchain Methodologies and Artificial Intelligence. </w:t>
      </w:r>
      <w:r w:rsidRPr="00F31422">
        <w:rPr>
          <w:i/>
          <w:sz w:val="24"/>
          <w:szCs w:val="24"/>
        </w:rPr>
        <w:t>Journal of Engineering Research and Reports</w:t>
      </w:r>
      <w:r w:rsidRPr="00F31422">
        <w:rPr>
          <w:sz w:val="24"/>
          <w:szCs w:val="24"/>
        </w:rPr>
        <w:t xml:space="preserve">, </w:t>
      </w:r>
      <w:r w:rsidRPr="00F31422">
        <w:rPr>
          <w:i/>
          <w:sz w:val="24"/>
          <w:szCs w:val="24"/>
        </w:rPr>
        <w:t>26</w:t>
      </w:r>
      <w:r w:rsidRPr="00F31422">
        <w:rPr>
          <w:sz w:val="24"/>
          <w:szCs w:val="24"/>
        </w:rPr>
        <w:t xml:space="preserve">(11), 7–27. </w:t>
      </w:r>
      <w:hyperlink r:id="rId38">
        <w:r w:rsidRPr="00F31422">
          <w:rPr>
            <w:color w:val="1155CC"/>
            <w:sz w:val="24"/>
            <w:szCs w:val="24"/>
            <w:u w:val="single"/>
          </w:rPr>
          <w:t>https://doi.org/10.9734/jerr/2024/v26i111311</w:t>
        </w:r>
      </w:hyperlink>
      <w:r w:rsidRPr="00F31422">
        <w:rPr>
          <w:sz w:val="24"/>
          <w:szCs w:val="24"/>
        </w:rPr>
        <w:t xml:space="preserve"> </w:t>
      </w:r>
    </w:p>
    <w:p w14:paraId="2F17D711" w14:textId="77777777" w:rsidR="00905DBC" w:rsidRPr="00F31422" w:rsidRDefault="00453400" w:rsidP="00F31422">
      <w:pPr>
        <w:spacing w:after="240" w:line="360" w:lineRule="auto"/>
        <w:ind w:left="720" w:hanging="720"/>
        <w:rPr>
          <w:sz w:val="24"/>
          <w:szCs w:val="24"/>
        </w:rPr>
      </w:pPr>
      <w:r w:rsidRPr="00F31422">
        <w:rPr>
          <w:sz w:val="24"/>
          <w:szCs w:val="24"/>
        </w:rPr>
        <w:lastRenderedPageBreak/>
        <w:t xml:space="preserve">Geremew, A., &amp; Mohammad, A. (2024). Preparing Critical Infrastructure for Post-Quantum Cryptography: Strategies for Transitioning Ahead of Cryptanalytically Relevant Quantum Computing. </w:t>
      </w:r>
      <w:r w:rsidRPr="00F31422">
        <w:rPr>
          <w:i/>
          <w:sz w:val="24"/>
          <w:szCs w:val="24"/>
        </w:rPr>
        <w:t>International Journal on Engineering Science and Technology</w:t>
      </w:r>
      <w:r w:rsidRPr="00F31422">
        <w:rPr>
          <w:sz w:val="24"/>
          <w:szCs w:val="24"/>
        </w:rPr>
        <w:t xml:space="preserve">, </w:t>
      </w:r>
      <w:r w:rsidRPr="00F31422">
        <w:rPr>
          <w:i/>
          <w:sz w:val="24"/>
          <w:szCs w:val="24"/>
        </w:rPr>
        <w:t>6</w:t>
      </w:r>
      <w:r w:rsidRPr="00F31422">
        <w:rPr>
          <w:sz w:val="24"/>
          <w:szCs w:val="24"/>
        </w:rPr>
        <w:t xml:space="preserve">(4), 338–365. </w:t>
      </w:r>
      <w:hyperlink r:id="rId39">
        <w:r w:rsidRPr="00F31422">
          <w:rPr>
            <w:color w:val="1155CC"/>
            <w:sz w:val="24"/>
            <w:szCs w:val="24"/>
            <w:u w:val="single"/>
          </w:rPr>
          <w:t>https://doi.org/10.46328/ijonest.240</w:t>
        </w:r>
      </w:hyperlink>
      <w:r w:rsidRPr="00F31422">
        <w:rPr>
          <w:sz w:val="24"/>
          <w:szCs w:val="24"/>
        </w:rPr>
        <w:t xml:space="preserve"> </w:t>
      </w:r>
    </w:p>
    <w:p w14:paraId="40A264FE" w14:textId="77777777" w:rsidR="00905DBC" w:rsidRPr="00F31422" w:rsidRDefault="00453400" w:rsidP="00F31422">
      <w:pPr>
        <w:spacing w:after="240" w:line="360" w:lineRule="auto"/>
        <w:ind w:left="720" w:hanging="720"/>
        <w:rPr>
          <w:sz w:val="24"/>
          <w:szCs w:val="24"/>
        </w:rPr>
      </w:pPr>
      <w:r w:rsidRPr="00F31422">
        <w:rPr>
          <w:sz w:val="24"/>
          <w:szCs w:val="24"/>
        </w:rPr>
        <w:t xml:space="preserve">Gharavi, H., Granjal, J., &amp; Monteiro, E. (2024). Post-Quantum Blockchain Security for the Internet of Things: Survey and Research Directions. </w:t>
      </w:r>
      <w:r w:rsidRPr="00F31422">
        <w:rPr>
          <w:i/>
          <w:sz w:val="24"/>
          <w:szCs w:val="24"/>
        </w:rPr>
        <w:t>IEEE Communications Surveys and Tutorials</w:t>
      </w:r>
      <w:r w:rsidRPr="00F31422">
        <w:rPr>
          <w:sz w:val="24"/>
          <w:szCs w:val="24"/>
        </w:rPr>
        <w:t xml:space="preserve">, </w:t>
      </w:r>
      <w:r w:rsidRPr="00F31422">
        <w:rPr>
          <w:i/>
          <w:sz w:val="24"/>
          <w:szCs w:val="24"/>
        </w:rPr>
        <w:t>26</w:t>
      </w:r>
      <w:r w:rsidRPr="00F31422">
        <w:rPr>
          <w:sz w:val="24"/>
          <w:szCs w:val="24"/>
        </w:rPr>
        <w:t xml:space="preserve">(3), 1–1. </w:t>
      </w:r>
      <w:hyperlink r:id="rId40">
        <w:r w:rsidRPr="00F31422">
          <w:rPr>
            <w:color w:val="1155CC"/>
            <w:sz w:val="24"/>
            <w:szCs w:val="24"/>
            <w:u w:val="single"/>
          </w:rPr>
          <w:t>https://doi.org/10.1109/comst.2024.3355222</w:t>
        </w:r>
      </w:hyperlink>
      <w:r w:rsidRPr="00F31422">
        <w:rPr>
          <w:sz w:val="24"/>
          <w:szCs w:val="24"/>
        </w:rPr>
        <w:t xml:space="preserve"> </w:t>
      </w:r>
    </w:p>
    <w:p w14:paraId="3109387E" w14:textId="77777777" w:rsidR="00905DBC" w:rsidRPr="00F31422" w:rsidRDefault="00453400" w:rsidP="00F31422">
      <w:pPr>
        <w:spacing w:after="240" w:line="360" w:lineRule="auto"/>
        <w:ind w:left="720" w:hanging="720"/>
        <w:rPr>
          <w:sz w:val="24"/>
          <w:szCs w:val="24"/>
        </w:rPr>
      </w:pPr>
      <w:r w:rsidRPr="00F31422">
        <w:rPr>
          <w:sz w:val="24"/>
          <w:szCs w:val="24"/>
        </w:rPr>
        <w:t xml:space="preserve">Gitonga, C. K. (2025). The Impact of Quantum Computing on Cryptographic Systems: Urgency of Quantum-Resistant Algorithms and Practical Applications in Cryptography. </w:t>
      </w:r>
      <w:r w:rsidRPr="00F31422">
        <w:rPr>
          <w:i/>
          <w:sz w:val="24"/>
          <w:szCs w:val="24"/>
        </w:rPr>
        <w:t>European Journal of Information Technologies and Computer Science</w:t>
      </w:r>
      <w:r w:rsidRPr="00F31422">
        <w:rPr>
          <w:sz w:val="24"/>
          <w:szCs w:val="24"/>
        </w:rPr>
        <w:t xml:space="preserve">, </w:t>
      </w:r>
      <w:r w:rsidRPr="00F31422">
        <w:rPr>
          <w:i/>
          <w:sz w:val="24"/>
          <w:szCs w:val="24"/>
        </w:rPr>
        <w:t>5</w:t>
      </w:r>
      <w:r w:rsidRPr="00F31422">
        <w:rPr>
          <w:sz w:val="24"/>
          <w:szCs w:val="24"/>
        </w:rPr>
        <w:t xml:space="preserve">(1), 1–10. </w:t>
      </w:r>
      <w:hyperlink r:id="rId41">
        <w:r w:rsidRPr="00F31422">
          <w:rPr>
            <w:color w:val="1155CC"/>
            <w:sz w:val="24"/>
            <w:szCs w:val="24"/>
            <w:u w:val="single"/>
          </w:rPr>
          <w:t>https://doi.org/10.24018/compute.2025.5.1.146</w:t>
        </w:r>
      </w:hyperlink>
      <w:r w:rsidRPr="00F31422">
        <w:rPr>
          <w:sz w:val="24"/>
          <w:szCs w:val="24"/>
        </w:rPr>
        <w:t xml:space="preserve"> </w:t>
      </w:r>
    </w:p>
    <w:p w14:paraId="49C919E8" w14:textId="77777777" w:rsidR="00905DBC" w:rsidRPr="00F31422" w:rsidRDefault="00453400" w:rsidP="00F31422">
      <w:pPr>
        <w:spacing w:after="240" w:line="360" w:lineRule="auto"/>
        <w:ind w:left="720" w:hanging="720"/>
        <w:rPr>
          <w:sz w:val="24"/>
          <w:szCs w:val="24"/>
        </w:rPr>
      </w:pPr>
      <w:r w:rsidRPr="00F31422">
        <w:rPr>
          <w:sz w:val="24"/>
          <w:szCs w:val="24"/>
        </w:rPr>
        <w:t xml:space="preserve">Graham, T. M., Song, Y., Scott, J., Poole, C., Phuttitarn, L., Jooya, K., Eichler, P., Jiang, X., Marra, A., Grinkemeyer, B., Kwon, M., Ebert, M., Cherek, J., Lichtman, M. T., Gillette, M., Gilbert, J., Bowman, D., Ballance, T., Campbell, C., &amp; Dahl, E. D. (2022). Multi-qubit entanglement and algorithms on a neutral-atom quantum computer. </w:t>
      </w:r>
      <w:r w:rsidRPr="00F31422">
        <w:rPr>
          <w:i/>
          <w:sz w:val="24"/>
          <w:szCs w:val="24"/>
        </w:rPr>
        <w:t>Nature</w:t>
      </w:r>
      <w:r w:rsidRPr="00F31422">
        <w:rPr>
          <w:sz w:val="24"/>
          <w:szCs w:val="24"/>
        </w:rPr>
        <w:t xml:space="preserve">, </w:t>
      </w:r>
      <w:r w:rsidRPr="00F31422">
        <w:rPr>
          <w:i/>
          <w:sz w:val="24"/>
          <w:szCs w:val="24"/>
        </w:rPr>
        <w:t>604</w:t>
      </w:r>
      <w:r w:rsidRPr="00F31422">
        <w:rPr>
          <w:sz w:val="24"/>
          <w:szCs w:val="24"/>
        </w:rPr>
        <w:t xml:space="preserve">(7906), 457–462. </w:t>
      </w:r>
      <w:hyperlink r:id="rId42">
        <w:r w:rsidRPr="00F31422">
          <w:rPr>
            <w:color w:val="1155CC"/>
            <w:sz w:val="24"/>
            <w:szCs w:val="24"/>
            <w:u w:val="single"/>
          </w:rPr>
          <w:t>https://doi.org/10.1038/s41586-022-04603-6</w:t>
        </w:r>
      </w:hyperlink>
      <w:r w:rsidRPr="00F31422">
        <w:rPr>
          <w:sz w:val="24"/>
          <w:szCs w:val="24"/>
        </w:rPr>
        <w:t xml:space="preserve"> </w:t>
      </w:r>
    </w:p>
    <w:p w14:paraId="42F3B4D8" w14:textId="77777777" w:rsidR="00905DBC" w:rsidRPr="00F31422" w:rsidRDefault="00453400" w:rsidP="00F31422">
      <w:pPr>
        <w:spacing w:after="240" w:line="360" w:lineRule="auto"/>
        <w:ind w:left="720" w:hanging="720"/>
        <w:rPr>
          <w:sz w:val="24"/>
          <w:szCs w:val="24"/>
        </w:rPr>
      </w:pPr>
      <w:r w:rsidRPr="00F31422">
        <w:rPr>
          <w:sz w:val="24"/>
          <w:szCs w:val="24"/>
        </w:rPr>
        <w:t xml:space="preserve">How, M.-L., &amp; Cheah, S.-M. (2023). Business Renaissance: Opportunities and Challenges at the Dawn of the Quantum Computing Era. </w:t>
      </w:r>
      <w:r w:rsidRPr="00F31422">
        <w:rPr>
          <w:i/>
          <w:sz w:val="24"/>
          <w:szCs w:val="24"/>
        </w:rPr>
        <w:t>Businesses</w:t>
      </w:r>
      <w:r w:rsidRPr="00F31422">
        <w:rPr>
          <w:sz w:val="24"/>
          <w:szCs w:val="24"/>
        </w:rPr>
        <w:t xml:space="preserve">, </w:t>
      </w:r>
      <w:r w:rsidRPr="00F31422">
        <w:rPr>
          <w:i/>
          <w:sz w:val="24"/>
          <w:szCs w:val="24"/>
        </w:rPr>
        <w:t>3</w:t>
      </w:r>
      <w:r w:rsidRPr="00F31422">
        <w:rPr>
          <w:sz w:val="24"/>
          <w:szCs w:val="24"/>
        </w:rPr>
        <w:t xml:space="preserve">(4), 585–605. </w:t>
      </w:r>
      <w:hyperlink r:id="rId43">
        <w:r w:rsidRPr="00F31422">
          <w:rPr>
            <w:color w:val="1155CC"/>
            <w:sz w:val="24"/>
            <w:szCs w:val="24"/>
            <w:u w:val="single"/>
          </w:rPr>
          <w:t>https://doi.org/10.3390/businesses3040036</w:t>
        </w:r>
      </w:hyperlink>
      <w:r w:rsidRPr="00F31422">
        <w:rPr>
          <w:sz w:val="24"/>
          <w:szCs w:val="24"/>
        </w:rPr>
        <w:t xml:space="preserve"> </w:t>
      </w:r>
    </w:p>
    <w:p w14:paraId="1A6D9AF6" w14:textId="77777777" w:rsidR="00905DBC" w:rsidRPr="00F31422" w:rsidRDefault="00453400" w:rsidP="00F31422">
      <w:pPr>
        <w:spacing w:after="240" w:line="360" w:lineRule="auto"/>
        <w:ind w:left="720" w:hanging="720"/>
        <w:rPr>
          <w:sz w:val="24"/>
          <w:szCs w:val="24"/>
        </w:rPr>
      </w:pPr>
      <w:r w:rsidRPr="00F31422">
        <w:rPr>
          <w:sz w:val="24"/>
          <w:szCs w:val="24"/>
        </w:rPr>
        <w:t xml:space="preserve">IQT. (2023). </w:t>
      </w:r>
      <w:r w:rsidRPr="00F31422">
        <w:rPr>
          <w:i/>
          <w:sz w:val="24"/>
          <w:szCs w:val="24"/>
        </w:rPr>
        <w:t>IQT Research Forecasts Revenues from Post Quantum Cryptography to Reach $6.7 Billion by 2032</w:t>
      </w:r>
      <w:r w:rsidRPr="00F31422">
        <w:rPr>
          <w:sz w:val="24"/>
          <w:szCs w:val="24"/>
        </w:rPr>
        <w:t xml:space="preserve">. Prnewswire.com; Cision PR Newswire. </w:t>
      </w:r>
      <w:hyperlink r:id="rId44">
        <w:r w:rsidRPr="00F31422">
          <w:rPr>
            <w:color w:val="1155CC"/>
            <w:sz w:val="24"/>
            <w:szCs w:val="24"/>
            <w:u w:val="single"/>
          </w:rPr>
          <w:t>https://www.prnewswire.com/news-releases/iqt-research-forecasts-revenues-from-post-quantum-cryptography-to-reach-6-7-billion-by-2032--301884634.html</w:t>
        </w:r>
      </w:hyperlink>
      <w:r w:rsidRPr="00F31422">
        <w:rPr>
          <w:sz w:val="24"/>
          <w:szCs w:val="24"/>
        </w:rPr>
        <w:t xml:space="preserve"> </w:t>
      </w:r>
    </w:p>
    <w:p w14:paraId="79DE96B2" w14:textId="77777777" w:rsidR="00905DBC" w:rsidRPr="00F31422" w:rsidRDefault="00453400" w:rsidP="00F31422">
      <w:pPr>
        <w:spacing w:after="240" w:line="360" w:lineRule="auto"/>
        <w:ind w:left="720" w:hanging="720"/>
        <w:rPr>
          <w:sz w:val="24"/>
          <w:szCs w:val="24"/>
        </w:rPr>
      </w:pPr>
      <w:r w:rsidRPr="00F31422">
        <w:rPr>
          <w:sz w:val="24"/>
          <w:szCs w:val="24"/>
        </w:rPr>
        <w:t xml:space="preserve">Irshad, R. R., Hussain, S., Hussain, I., Nasir, J. A., Zeb, A., Alalayah, K. M., Alattab, A. A., Yousif, A., &amp; Alwayle, I. M. (2023). IoT-Enabled Secure and Scalable Cloud Architecture for Multi-User Systems: A Hybrid Post-Quantum Cryptographic and </w:t>
      </w:r>
      <w:r w:rsidRPr="00F31422">
        <w:rPr>
          <w:sz w:val="24"/>
          <w:szCs w:val="24"/>
        </w:rPr>
        <w:lastRenderedPageBreak/>
        <w:t xml:space="preserve">Blockchain based Approach Towards a Trustworthy Cloud Computing. </w:t>
      </w:r>
      <w:r w:rsidRPr="00F31422">
        <w:rPr>
          <w:i/>
          <w:sz w:val="24"/>
          <w:szCs w:val="24"/>
        </w:rPr>
        <w:t>IEEE Access</w:t>
      </w:r>
      <w:r w:rsidRPr="00F31422">
        <w:rPr>
          <w:sz w:val="24"/>
          <w:szCs w:val="24"/>
        </w:rPr>
        <w:t xml:space="preserve">, </w:t>
      </w:r>
      <w:r w:rsidRPr="00F31422">
        <w:rPr>
          <w:i/>
          <w:sz w:val="24"/>
          <w:szCs w:val="24"/>
        </w:rPr>
        <w:t>11</w:t>
      </w:r>
      <w:r w:rsidRPr="00F31422">
        <w:rPr>
          <w:sz w:val="24"/>
          <w:szCs w:val="24"/>
        </w:rPr>
        <w:t xml:space="preserve">, 105479–105498. </w:t>
      </w:r>
      <w:hyperlink r:id="rId45">
        <w:r w:rsidRPr="00F31422">
          <w:rPr>
            <w:color w:val="1155CC"/>
            <w:sz w:val="24"/>
            <w:szCs w:val="24"/>
            <w:u w:val="single"/>
          </w:rPr>
          <w:t>https://doi.org/10.1109/access.2023.3318755</w:t>
        </w:r>
      </w:hyperlink>
      <w:r w:rsidRPr="00F31422">
        <w:rPr>
          <w:sz w:val="24"/>
          <w:szCs w:val="24"/>
        </w:rPr>
        <w:t xml:space="preserve"> </w:t>
      </w:r>
    </w:p>
    <w:p w14:paraId="6B4827DE" w14:textId="77777777" w:rsidR="00905DBC" w:rsidRPr="00F31422" w:rsidRDefault="00453400" w:rsidP="00F31422">
      <w:pPr>
        <w:spacing w:after="240" w:line="360" w:lineRule="auto"/>
        <w:ind w:left="720" w:hanging="720"/>
        <w:rPr>
          <w:sz w:val="24"/>
          <w:szCs w:val="24"/>
        </w:rPr>
      </w:pPr>
      <w:r w:rsidRPr="00F31422">
        <w:rPr>
          <w:sz w:val="24"/>
          <w:szCs w:val="24"/>
        </w:rPr>
        <w:t xml:space="preserve">Javaid, M. A. R., Ashraf, M., Rehman, T., &amp; Tariq, N. (2024). Impact of Post Quantum Digital Signatures On Block Chain: Comparative Analysis. </w:t>
      </w:r>
      <w:r w:rsidRPr="00F31422">
        <w:rPr>
          <w:i/>
          <w:sz w:val="24"/>
          <w:szCs w:val="24"/>
        </w:rPr>
        <w:t>Deleted Journal</w:t>
      </w:r>
      <w:r w:rsidRPr="00F31422">
        <w:rPr>
          <w:sz w:val="24"/>
          <w:szCs w:val="24"/>
        </w:rPr>
        <w:t xml:space="preserve">, </w:t>
      </w:r>
      <w:r w:rsidRPr="00F31422">
        <w:rPr>
          <w:i/>
          <w:sz w:val="24"/>
          <w:szCs w:val="24"/>
        </w:rPr>
        <w:t>4</w:t>
      </w:r>
      <w:r w:rsidRPr="00F31422">
        <w:rPr>
          <w:sz w:val="24"/>
          <w:szCs w:val="24"/>
        </w:rPr>
        <w:t xml:space="preserve">(1). </w:t>
      </w:r>
      <w:hyperlink r:id="rId46">
        <w:r w:rsidRPr="00F31422">
          <w:rPr>
            <w:color w:val="1155CC"/>
            <w:sz w:val="24"/>
            <w:szCs w:val="24"/>
            <w:u w:val="single"/>
          </w:rPr>
          <w:t>https://doi.org/10.62019/abbdm.v4i1.133</w:t>
        </w:r>
      </w:hyperlink>
      <w:r w:rsidRPr="00F31422">
        <w:rPr>
          <w:sz w:val="24"/>
          <w:szCs w:val="24"/>
        </w:rPr>
        <w:t xml:space="preserve"> </w:t>
      </w:r>
    </w:p>
    <w:p w14:paraId="4A2E5D91" w14:textId="77777777" w:rsidR="00905DBC" w:rsidRPr="00F31422" w:rsidRDefault="00453400" w:rsidP="00F31422">
      <w:pPr>
        <w:spacing w:after="240" w:line="360" w:lineRule="auto"/>
        <w:ind w:left="720" w:hanging="720"/>
        <w:rPr>
          <w:sz w:val="24"/>
          <w:szCs w:val="24"/>
        </w:rPr>
      </w:pPr>
      <w:r w:rsidRPr="00F31422">
        <w:rPr>
          <w:sz w:val="24"/>
          <w:szCs w:val="24"/>
        </w:rPr>
        <w:t xml:space="preserve">Joseph, D., Misoczki, R., Manzano, M., Tricot, J., Pinuaga, F. D., Lacombe, O., Leichenauer, S., Hidary, J., Venables, P., &amp; Hansen, R. (2022). Transitioning organizations to post-quantum cryptography. </w:t>
      </w:r>
      <w:r w:rsidRPr="00F31422">
        <w:rPr>
          <w:i/>
          <w:sz w:val="24"/>
          <w:szCs w:val="24"/>
        </w:rPr>
        <w:t>Nature</w:t>
      </w:r>
      <w:r w:rsidRPr="00F31422">
        <w:rPr>
          <w:sz w:val="24"/>
          <w:szCs w:val="24"/>
        </w:rPr>
        <w:t xml:space="preserve">, </w:t>
      </w:r>
      <w:r w:rsidRPr="00F31422">
        <w:rPr>
          <w:i/>
          <w:sz w:val="24"/>
          <w:szCs w:val="24"/>
        </w:rPr>
        <w:t>605</w:t>
      </w:r>
      <w:r w:rsidRPr="00F31422">
        <w:rPr>
          <w:sz w:val="24"/>
          <w:szCs w:val="24"/>
        </w:rPr>
        <w:t xml:space="preserve">(7909), 237–243. </w:t>
      </w:r>
      <w:hyperlink r:id="rId47">
        <w:r w:rsidRPr="00F31422">
          <w:rPr>
            <w:color w:val="1155CC"/>
            <w:sz w:val="24"/>
            <w:szCs w:val="24"/>
            <w:u w:val="single"/>
          </w:rPr>
          <w:t>https://doi.org/10.1038/s41586-022-04623-2</w:t>
        </w:r>
      </w:hyperlink>
      <w:r w:rsidRPr="00F31422">
        <w:rPr>
          <w:sz w:val="24"/>
          <w:szCs w:val="24"/>
        </w:rPr>
        <w:t xml:space="preserve"> </w:t>
      </w:r>
    </w:p>
    <w:p w14:paraId="6FC86F7F" w14:textId="77777777" w:rsidR="00905DBC" w:rsidRPr="00F31422" w:rsidRDefault="00453400" w:rsidP="00F31422">
      <w:pPr>
        <w:spacing w:after="240" w:line="360" w:lineRule="auto"/>
        <w:ind w:left="720" w:hanging="720"/>
        <w:rPr>
          <w:sz w:val="24"/>
          <w:szCs w:val="24"/>
        </w:rPr>
      </w:pPr>
      <w:r w:rsidRPr="00F31422">
        <w:rPr>
          <w:sz w:val="24"/>
          <w:szCs w:val="24"/>
        </w:rPr>
        <w:t xml:space="preserve">Joseph, S. A. (2024). Balancing Data Privacy and Compliance in Blockchain-Based Financial Systems. </w:t>
      </w:r>
      <w:r w:rsidRPr="00F31422">
        <w:rPr>
          <w:i/>
          <w:sz w:val="24"/>
          <w:szCs w:val="24"/>
        </w:rPr>
        <w:t>Journal of Engineering Research and Reports</w:t>
      </w:r>
      <w:r w:rsidRPr="00F31422">
        <w:rPr>
          <w:sz w:val="24"/>
          <w:szCs w:val="24"/>
        </w:rPr>
        <w:t xml:space="preserve">, </w:t>
      </w:r>
      <w:r w:rsidRPr="00F31422">
        <w:rPr>
          <w:i/>
          <w:sz w:val="24"/>
          <w:szCs w:val="24"/>
        </w:rPr>
        <w:t>26</w:t>
      </w:r>
      <w:r w:rsidRPr="00F31422">
        <w:rPr>
          <w:sz w:val="24"/>
          <w:szCs w:val="24"/>
        </w:rPr>
        <w:t xml:space="preserve">(9), 169–189. </w:t>
      </w:r>
      <w:hyperlink r:id="rId48">
        <w:r w:rsidRPr="00F31422">
          <w:rPr>
            <w:color w:val="1155CC"/>
            <w:sz w:val="24"/>
            <w:szCs w:val="24"/>
            <w:u w:val="single"/>
          </w:rPr>
          <w:t>https://doi.org/10.9734/jerr/2024/v26i91271</w:t>
        </w:r>
      </w:hyperlink>
      <w:r w:rsidRPr="00F31422">
        <w:rPr>
          <w:sz w:val="24"/>
          <w:szCs w:val="24"/>
        </w:rPr>
        <w:t xml:space="preserve"> </w:t>
      </w:r>
    </w:p>
    <w:p w14:paraId="776A4395" w14:textId="77777777" w:rsidR="00905DBC" w:rsidRPr="00F31422" w:rsidRDefault="00453400" w:rsidP="00F31422">
      <w:pPr>
        <w:spacing w:after="240" w:line="360" w:lineRule="auto"/>
        <w:ind w:left="720" w:hanging="720"/>
        <w:rPr>
          <w:sz w:val="24"/>
          <w:szCs w:val="24"/>
        </w:rPr>
      </w:pPr>
      <w:r w:rsidRPr="00F31422">
        <w:rPr>
          <w:sz w:val="24"/>
          <w:szCs w:val="24"/>
        </w:rPr>
        <w:t xml:space="preserve">Kaur, D. (2025). </w:t>
      </w:r>
      <w:r w:rsidRPr="00F31422">
        <w:rPr>
          <w:i/>
          <w:sz w:val="24"/>
          <w:szCs w:val="24"/>
        </w:rPr>
        <w:t>China Blockchain plan powers $54.5B digital infrastructure push</w:t>
      </w:r>
      <w:r w:rsidRPr="00F31422">
        <w:rPr>
          <w:sz w:val="24"/>
          <w:szCs w:val="24"/>
        </w:rPr>
        <w:t xml:space="preserve">. TechWire Asia. </w:t>
      </w:r>
      <w:hyperlink r:id="rId49">
        <w:r w:rsidRPr="00F31422">
          <w:rPr>
            <w:color w:val="1155CC"/>
            <w:sz w:val="24"/>
            <w:szCs w:val="24"/>
            <w:u w:val="single"/>
          </w:rPr>
          <w:t>https://techwireasia.com/2025/01/chinas-digital-infrastructure-gets-54-5b-blockchain-overhaul/</w:t>
        </w:r>
      </w:hyperlink>
      <w:r w:rsidRPr="00F31422">
        <w:rPr>
          <w:sz w:val="24"/>
          <w:szCs w:val="24"/>
        </w:rPr>
        <w:t xml:space="preserve"> </w:t>
      </w:r>
    </w:p>
    <w:p w14:paraId="42AFB36C" w14:textId="77777777" w:rsidR="00905DBC" w:rsidRPr="00F31422" w:rsidRDefault="00453400" w:rsidP="00F31422">
      <w:pPr>
        <w:spacing w:after="240" w:line="360" w:lineRule="auto"/>
        <w:ind w:left="720" w:hanging="720"/>
        <w:rPr>
          <w:sz w:val="24"/>
          <w:szCs w:val="24"/>
        </w:rPr>
      </w:pPr>
      <w:r w:rsidRPr="00F31422">
        <w:rPr>
          <w:sz w:val="24"/>
          <w:szCs w:val="24"/>
        </w:rPr>
        <w:t xml:space="preserve">Kichna, A., &amp; Farchane, A. (2023). Secure and Efficient Code-Based Cryptography for Multi-Party Computation and Digital Signatures. </w:t>
      </w:r>
      <w:r w:rsidRPr="00F31422">
        <w:rPr>
          <w:i/>
          <w:sz w:val="24"/>
          <w:szCs w:val="24"/>
        </w:rPr>
        <w:t>Computer Sciences &amp; Mathematics Forum</w:t>
      </w:r>
      <w:r w:rsidRPr="00F31422">
        <w:rPr>
          <w:sz w:val="24"/>
          <w:szCs w:val="24"/>
        </w:rPr>
        <w:t xml:space="preserve">, </w:t>
      </w:r>
      <w:r w:rsidRPr="00F31422">
        <w:rPr>
          <w:i/>
          <w:sz w:val="24"/>
          <w:szCs w:val="24"/>
        </w:rPr>
        <w:t>6</w:t>
      </w:r>
      <w:r w:rsidRPr="00F31422">
        <w:rPr>
          <w:sz w:val="24"/>
          <w:szCs w:val="24"/>
        </w:rPr>
        <w:t xml:space="preserve">(1), 1. </w:t>
      </w:r>
      <w:hyperlink r:id="rId50">
        <w:r w:rsidRPr="00F31422">
          <w:rPr>
            <w:color w:val="1155CC"/>
            <w:sz w:val="24"/>
            <w:szCs w:val="24"/>
            <w:u w:val="single"/>
          </w:rPr>
          <w:t>https://doi.org/10.3390/cmsf2023006001</w:t>
        </w:r>
      </w:hyperlink>
      <w:r w:rsidRPr="00F31422">
        <w:rPr>
          <w:sz w:val="24"/>
          <w:szCs w:val="24"/>
        </w:rPr>
        <w:t xml:space="preserve"> </w:t>
      </w:r>
    </w:p>
    <w:p w14:paraId="69831FA8" w14:textId="77777777" w:rsidR="00905DBC" w:rsidRPr="00F31422" w:rsidRDefault="00453400" w:rsidP="00F31422">
      <w:pPr>
        <w:spacing w:after="240" w:line="360" w:lineRule="auto"/>
        <w:ind w:left="720" w:hanging="720"/>
        <w:rPr>
          <w:sz w:val="24"/>
          <w:szCs w:val="24"/>
        </w:rPr>
      </w:pPr>
      <w:r w:rsidRPr="00F31422">
        <w:rPr>
          <w:sz w:val="24"/>
          <w:szCs w:val="24"/>
        </w:rPr>
        <w:t xml:space="preserve">Kolade, T. M., Aideyan, N. T., Oyekunle, S. M., Ogungbemi, O. S., &amp; Olaniyi, O. O. (2024). Artificial Intelligence and Information Governance: Strengthening Global Security, through Compliance Frameworks, and Data Security. </w:t>
      </w:r>
      <w:r w:rsidRPr="00F31422">
        <w:rPr>
          <w:i/>
          <w:sz w:val="24"/>
          <w:szCs w:val="24"/>
        </w:rPr>
        <w:t>Asian Journal of Research in Computer Science</w:t>
      </w:r>
      <w:r w:rsidRPr="00F31422">
        <w:rPr>
          <w:sz w:val="24"/>
          <w:szCs w:val="24"/>
        </w:rPr>
        <w:t xml:space="preserve">, </w:t>
      </w:r>
      <w:r w:rsidRPr="00F31422">
        <w:rPr>
          <w:i/>
          <w:sz w:val="24"/>
          <w:szCs w:val="24"/>
        </w:rPr>
        <w:t>17</w:t>
      </w:r>
      <w:r w:rsidRPr="00F31422">
        <w:rPr>
          <w:sz w:val="24"/>
          <w:szCs w:val="24"/>
        </w:rPr>
        <w:t xml:space="preserve">(12), 36–57. </w:t>
      </w:r>
      <w:hyperlink r:id="rId51">
        <w:r w:rsidRPr="00F31422">
          <w:rPr>
            <w:color w:val="1155CC"/>
            <w:sz w:val="24"/>
            <w:szCs w:val="24"/>
            <w:u w:val="single"/>
          </w:rPr>
          <w:t>https://doi.org/10.9734/ajrcos/2024/v17i12528</w:t>
        </w:r>
      </w:hyperlink>
      <w:r w:rsidRPr="00F31422">
        <w:rPr>
          <w:sz w:val="24"/>
          <w:szCs w:val="24"/>
        </w:rPr>
        <w:t xml:space="preserve"> </w:t>
      </w:r>
    </w:p>
    <w:p w14:paraId="66625FAC" w14:textId="77777777" w:rsidR="00905DBC" w:rsidRPr="00F31422" w:rsidRDefault="00453400" w:rsidP="00F31422">
      <w:pPr>
        <w:spacing w:after="240" w:line="360" w:lineRule="auto"/>
        <w:ind w:left="720" w:hanging="720"/>
        <w:rPr>
          <w:sz w:val="24"/>
          <w:szCs w:val="24"/>
        </w:rPr>
      </w:pPr>
      <w:r w:rsidRPr="00F31422">
        <w:rPr>
          <w:sz w:val="24"/>
          <w:szCs w:val="24"/>
        </w:rPr>
        <w:t xml:space="preserve">Kolade, T. M., Obioha-Val, O. A., Balogun, A. Y., Gbadebo, M. O., &amp; Olaniyi, O. O. (2025). AI-Driven Open Source Intelligence in Cyber Defense: A Double-edged Sword for National Security. </w:t>
      </w:r>
      <w:r w:rsidRPr="00F31422">
        <w:rPr>
          <w:i/>
          <w:sz w:val="24"/>
          <w:szCs w:val="24"/>
        </w:rPr>
        <w:t>Asian Journal of Research in Computer Science</w:t>
      </w:r>
      <w:r w:rsidRPr="00F31422">
        <w:rPr>
          <w:sz w:val="24"/>
          <w:szCs w:val="24"/>
        </w:rPr>
        <w:t xml:space="preserve">, </w:t>
      </w:r>
      <w:r w:rsidRPr="00F31422">
        <w:rPr>
          <w:i/>
          <w:sz w:val="24"/>
          <w:szCs w:val="24"/>
        </w:rPr>
        <w:t>18</w:t>
      </w:r>
      <w:r w:rsidRPr="00F31422">
        <w:rPr>
          <w:sz w:val="24"/>
          <w:szCs w:val="24"/>
        </w:rPr>
        <w:t xml:space="preserve">(1), 133–153. </w:t>
      </w:r>
      <w:hyperlink r:id="rId52">
        <w:r w:rsidRPr="00F31422">
          <w:rPr>
            <w:color w:val="1155CC"/>
            <w:sz w:val="24"/>
            <w:szCs w:val="24"/>
            <w:u w:val="single"/>
          </w:rPr>
          <w:t>https://doi.org/10.9734/ajrcos/2025/v18i1554</w:t>
        </w:r>
      </w:hyperlink>
      <w:r w:rsidRPr="00F31422">
        <w:rPr>
          <w:sz w:val="24"/>
          <w:szCs w:val="24"/>
        </w:rPr>
        <w:t xml:space="preserve"> </w:t>
      </w:r>
    </w:p>
    <w:p w14:paraId="66FD3C0C" w14:textId="77777777" w:rsidR="00905DBC" w:rsidRPr="00F31422" w:rsidRDefault="00453400" w:rsidP="00F31422">
      <w:pPr>
        <w:spacing w:after="240" w:line="360" w:lineRule="auto"/>
        <w:ind w:left="720" w:hanging="720"/>
        <w:rPr>
          <w:sz w:val="24"/>
          <w:szCs w:val="24"/>
        </w:rPr>
      </w:pPr>
      <w:r w:rsidRPr="00F31422">
        <w:rPr>
          <w:sz w:val="24"/>
          <w:szCs w:val="24"/>
        </w:rPr>
        <w:lastRenderedPageBreak/>
        <w:t xml:space="preserve">Korn, J. (2023). Record $3.8 billion stolen in crypto hacks last year, report says. </w:t>
      </w:r>
      <w:r w:rsidRPr="00F31422">
        <w:rPr>
          <w:i/>
          <w:sz w:val="24"/>
          <w:szCs w:val="24"/>
        </w:rPr>
        <w:t>CNN</w:t>
      </w:r>
      <w:r w:rsidRPr="00F31422">
        <w:rPr>
          <w:sz w:val="24"/>
          <w:szCs w:val="24"/>
        </w:rPr>
        <w:t xml:space="preserve">. </w:t>
      </w:r>
      <w:hyperlink r:id="rId53">
        <w:r w:rsidRPr="00F31422">
          <w:rPr>
            <w:color w:val="1155CC"/>
            <w:sz w:val="24"/>
            <w:szCs w:val="24"/>
            <w:u w:val="single"/>
          </w:rPr>
          <w:t>https://edition.cnn.com/2023/02/01/tech/crypto-hacks-2022/index.html</w:t>
        </w:r>
      </w:hyperlink>
      <w:r w:rsidRPr="00F31422">
        <w:rPr>
          <w:sz w:val="24"/>
          <w:szCs w:val="24"/>
        </w:rPr>
        <w:t xml:space="preserve"> </w:t>
      </w:r>
    </w:p>
    <w:p w14:paraId="1BF58E26" w14:textId="77777777" w:rsidR="00905DBC" w:rsidRPr="00F31422" w:rsidRDefault="00453400" w:rsidP="00F31422">
      <w:pPr>
        <w:spacing w:after="240" w:line="360" w:lineRule="auto"/>
        <w:ind w:left="720" w:hanging="720"/>
        <w:rPr>
          <w:sz w:val="24"/>
          <w:szCs w:val="24"/>
        </w:rPr>
      </w:pPr>
      <w:r w:rsidRPr="00F31422">
        <w:rPr>
          <w:sz w:val="24"/>
          <w:szCs w:val="24"/>
        </w:rPr>
        <w:t xml:space="preserve">Kukman, T., &amp; Gričar, S. (2025). Blockchain for Quality: Advancing Security, Efficiency, and Transparency in Financial Systems. </w:t>
      </w:r>
      <w:r w:rsidRPr="00F31422">
        <w:rPr>
          <w:i/>
          <w:sz w:val="24"/>
          <w:szCs w:val="24"/>
        </w:rPr>
        <w:t>FinTech</w:t>
      </w:r>
      <w:r w:rsidRPr="00F31422">
        <w:rPr>
          <w:sz w:val="24"/>
          <w:szCs w:val="24"/>
        </w:rPr>
        <w:t xml:space="preserve">, </w:t>
      </w:r>
      <w:r w:rsidRPr="00F31422">
        <w:rPr>
          <w:i/>
          <w:sz w:val="24"/>
          <w:szCs w:val="24"/>
        </w:rPr>
        <w:t>4</w:t>
      </w:r>
      <w:r w:rsidRPr="00F31422">
        <w:rPr>
          <w:sz w:val="24"/>
          <w:szCs w:val="24"/>
        </w:rPr>
        <w:t xml:space="preserve">(1), 7. </w:t>
      </w:r>
      <w:hyperlink r:id="rId54">
        <w:r w:rsidRPr="00F31422">
          <w:rPr>
            <w:color w:val="1155CC"/>
            <w:sz w:val="24"/>
            <w:szCs w:val="24"/>
            <w:u w:val="single"/>
          </w:rPr>
          <w:t>https://doi.org/10.3390/fintech4010007</w:t>
        </w:r>
      </w:hyperlink>
      <w:r w:rsidRPr="00F31422">
        <w:rPr>
          <w:sz w:val="24"/>
          <w:szCs w:val="24"/>
        </w:rPr>
        <w:t xml:space="preserve"> </w:t>
      </w:r>
    </w:p>
    <w:p w14:paraId="365B0FF6" w14:textId="77777777" w:rsidR="00905DBC" w:rsidRPr="00F31422" w:rsidRDefault="00453400" w:rsidP="00F31422">
      <w:pPr>
        <w:spacing w:after="240" w:line="360" w:lineRule="auto"/>
        <w:ind w:left="720" w:hanging="720"/>
        <w:rPr>
          <w:sz w:val="24"/>
          <w:szCs w:val="24"/>
        </w:rPr>
      </w:pPr>
      <w:r w:rsidRPr="00F31422">
        <w:rPr>
          <w:sz w:val="24"/>
          <w:szCs w:val="24"/>
        </w:rPr>
        <w:t xml:space="preserve">Liu, A., &amp; Chen, C. (2024). From real estate financialization to decentralization: A comparative review of REITs and blockchain-based tokenization. </w:t>
      </w:r>
      <w:r w:rsidRPr="00F31422">
        <w:rPr>
          <w:i/>
          <w:sz w:val="24"/>
          <w:szCs w:val="24"/>
        </w:rPr>
        <w:t>Geoforum</w:t>
      </w:r>
      <w:r w:rsidRPr="00F31422">
        <w:rPr>
          <w:sz w:val="24"/>
          <w:szCs w:val="24"/>
        </w:rPr>
        <w:t xml:space="preserve">, </w:t>
      </w:r>
      <w:r w:rsidRPr="00F31422">
        <w:rPr>
          <w:i/>
          <w:sz w:val="24"/>
          <w:szCs w:val="24"/>
        </w:rPr>
        <w:t>159</w:t>
      </w:r>
      <w:r w:rsidRPr="00F31422">
        <w:rPr>
          <w:sz w:val="24"/>
          <w:szCs w:val="24"/>
        </w:rPr>
        <w:t xml:space="preserve">, 104193. </w:t>
      </w:r>
      <w:hyperlink r:id="rId55">
        <w:r w:rsidRPr="00F31422">
          <w:rPr>
            <w:color w:val="1155CC"/>
            <w:sz w:val="24"/>
            <w:szCs w:val="24"/>
            <w:u w:val="single"/>
          </w:rPr>
          <w:t>https://doi.org/10.1016/j.geoforum.2024.104193</w:t>
        </w:r>
      </w:hyperlink>
      <w:r w:rsidRPr="00F31422">
        <w:rPr>
          <w:sz w:val="24"/>
          <w:szCs w:val="24"/>
        </w:rPr>
        <w:t xml:space="preserve"> </w:t>
      </w:r>
    </w:p>
    <w:p w14:paraId="5E802722" w14:textId="77777777" w:rsidR="00905DBC" w:rsidRPr="00F31422" w:rsidRDefault="00453400" w:rsidP="00F31422">
      <w:pPr>
        <w:spacing w:after="240" w:line="360" w:lineRule="auto"/>
        <w:ind w:left="720" w:hanging="720"/>
        <w:rPr>
          <w:sz w:val="24"/>
          <w:szCs w:val="24"/>
        </w:rPr>
      </w:pPr>
      <w:r w:rsidRPr="00F31422">
        <w:rPr>
          <w:sz w:val="24"/>
          <w:szCs w:val="24"/>
        </w:rPr>
        <w:t xml:space="preserve">Mansoor, K., Afzal, M., Iqbal, W., &amp; Abbas, Y. (2024). Securing the future: exploring post-quantum cryptography for authentication and user privacy in IoT devices. </w:t>
      </w:r>
      <w:r w:rsidRPr="00F31422">
        <w:rPr>
          <w:i/>
          <w:sz w:val="24"/>
          <w:szCs w:val="24"/>
        </w:rPr>
        <w:t>Cluster Computing</w:t>
      </w:r>
      <w:r w:rsidRPr="00F31422">
        <w:rPr>
          <w:sz w:val="24"/>
          <w:szCs w:val="24"/>
        </w:rPr>
        <w:t xml:space="preserve">, </w:t>
      </w:r>
      <w:r w:rsidRPr="00F31422">
        <w:rPr>
          <w:i/>
          <w:sz w:val="24"/>
          <w:szCs w:val="24"/>
        </w:rPr>
        <w:t>28</w:t>
      </w:r>
      <w:r w:rsidRPr="00F31422">
        <w:rPr>
          <w:sz w:val="24"/>
          <w:szCs w:val="24"/>
        </w:rPr>
        <w:t xml:space="preserve">(2). </w:t>
      </w:r>
      <w:hyperlink r:id="rId56">
        <w:r w:rsidRPr="00F31422">
          <w:rPr>
            <w:color w:val="1155CC"/>
            <w:sz w:val="24"/>
            <w:szCs w:val="24"/>
            <w:u w:val="single"/>
          </w:rPr>
          <w:t>https://doi.org/10.1007/s10586-024-04799-4</w:t>
        </w:r>
      </w:hyperlink>
      <w:r w:rsidRPr="00F31422">
        <w:rPr>
          <w:sz w:val="24"/>
          <w:szCs w:val="24"/>
        </w:rPr>
        <w:t xml:space="preserve"> </w:t>
      </w:r>
    </w:p>
    <w:p w14:paraId="756A2A3A" w14:textId="77777777" w:rsidR="00905DBC" w:rsidRPr="00F31422" w:rsidRDefault="00453400" w:rsidP="00F31422">
      <w:pPr>
        <w:spacing w:after="240" w:line="360" w:lineRule="auto"/>
        <w:ind w:left="720" w:hanging="720"/>
        <w:rPr>
          <w:sz w:val="24"/>
          <w:szCs w:val="24"/>
        </w:rPr>
      </w:pPr>
      <w:r w:rsidRPr="00F31422">
        <w:rPr>
          <w:sz w:val="24"/>
          <w:szCs w:val="24"/>
        </w:rPr>
        <w:t xml:space="preserve">Marchant, G. E., Bazzi, R., Bowman, D., Connor, J., Aubrey, R., Kang, E., Kaniah Konkoly-Thege, Liu, D., Lloyd-Jones, S., Manwaring, K., Moses, L. B., &amp; Marchant, M. (2024). Learning From Emerging Technology Governance for Guiding Quantum Technology. </w:t>
      </w:r>
      <w:r w:rsidRPr="00F31422">
        <w:rPr>
          <w:i/>
          <w:sz w:val="24"/>
          <w:szCs w:val="24"/>
        </w:rPr>
        <w:t>SSRN</w:t>
      </w:r>
      <w:r w:rsidRPr="00F31422">
        <w:rPr>
          <w:sz w:val="24"/>
          <w:szCs w:val="24"/>
        </w:rPr>
        <w:t xml:space="preserve">. </w:t>
      </w:r>
      <w:hyperlink r:id="rId57">
        <w:r w:rsidRPr="00F31422">
          <w:rPr>
            <w:color w:val="1155CC"/>
            <w:sz w:val="24"/>
            <w:szCs w:val="24"/>
            <w:u w:val="single"/>
          </w:rPr>
          <w:t>https://doi.org/10.2139/ssrn.4923230</w:t>
        </w:r>
      </w:hyperlink>
      <w:r w:rsidRPr="00F31422">
        <w:rPr>
          <w:sz w:val="24"/>
          <w:szCs w:val="24"/>
        </w:rPr>
        <w:t xml:space="preserve"> </w:t>
      </w:r>
    </w:p>
    <w:p w14:paraId="04E2DBF9" w14:textId="77777777" w:rsidR="00905DBC" w:rsidRPr="00F31422" w:rsidRDefault="00453400" w:rsidP="00F31422">
      <w:pPr>
        <w:spacing w:after="240" w:line="360" w:lineRule="auto"/>
        <w:ind w:left="720" w:hanging="720"/>
        <w:rPr>
          <w:sz w:val="24"/>
          <w:szCs w:val="24"/>
        </w:rPr>
      </w:pPr>
      <w:r w:rsidRPr="00F31422">
        <w:rPr>
          <w:sz w:val="24"/>
          <w:szCs w:val="24"/>
        </w:rPr>
        <w:t>Marchsreiter, D. (2025). Towards quantum</w:t>
      </w:r>
      <w:r w:rsidRPr="00F31422">
        <w:rPr>
          <w:rFonts w:ascii="Cambria Math" w:hAnsi="Cambria Math" w:cs="Cambria Math"/>
          <w:sz w:val="24"/>
          <w:szCs w:val="24"/>
        </w:rPr>
        <w:t>‐</w:t>
      </w:r>
      <w:r w:rsidRPr="00F31422">
        <w:rPr>
          <w:sz w:val="24"/>
          <w:szCs w:val="24"/>
        </w:rPr>
        <w:t>safe blockchain: Exploration of PQC and public</w:t>
      </w:r>
      <w:r w:rsidRPr="00F31422">
        <w:rPr>
          <w:rFonts w:ascii="Cambria Math" w:hAnsi="Cambria Math" w:cs="Cambria Math"/>
          <w:sz w:val="24"/>
          <w:szCs w:val="24"/>
        </w:rPr>
        <w:t>‐</w:t>
      </w:r>
      <w:r w:rsidRPr="00F31422">
        <w:rPr>
          <w:sz w:val="24"/>
          <w:szCs w:val="24"/>
        </w:rPr>
        <w:t xml:space="preserve">key recovery on embedded systems. </w:t>
      </w:r>
      <w:r w:rsidRPr="00F31422">
        <w:rPr>
          <w:i/>
          <w:sz w:val="24"/>
          <w:szCs w:val="24"/>
        </w:rPr>
        <w:t>IET Blockchain</w:t>
      </w:r>
      <w:r w:rsidRPr="00F31422">
        <w:rPr>
          <w:sz w:val="24"/>
          <w:szCs w:val="24"/>
        </w:rPr>
        <w:t xml:space="preserve">, </w:t>
      </w:r>
      <w:r w:rsidRPr="00F31422">
        <w:rPr>
          <w:i/>
          <w:sz w:val="24"/>
          <w:szCs w:val="24"/>
        </w:rPr>
        <w:t>5</w:t>
      </w:r>
      <w:r w:rsidRPr="00F31422">
        <w:rPr>
          <w:sz w:val="24"/>
          <w:szCs w:val="24"/>
        </w:rPr>
        <w:t xml:space="preserve">(1). </w:t>
      </w:r>
      <w:hyperlink r:id="rId58">
        <w:r w:rsidRPr="00F31422">
          <w:rPr>
            <w:color w:val="1155CC"/>
            <w:sz w:val="24"/>
            <w:szCs w:val="24"/>
            <w:u w:val="single"/>
          </w:rPr>
          <w:t>https://doi.org/10.1049/blc2.12094</w:t>
        </w:r>
      </w:hyperlink>
      <w:r w:rsidRPr="00F31422">
        <w:rPr>
          <w:sz w:val="24"/>
          <w:szCs w:val="24"/>
        </w:rPr>
        <w:t xml:space="preserve"> </w:t>
      </w:r>
    </w:p>
    <w:p w14:paraId="0E1D9E53" w14:textId="77777777" w:rsidR="00905DBC" w:rsidRPr="00F31422" w:rsidRDefault="00453400" w:rsidP="00F31422">
      <w:pPr>
        <w:spacing w:after="240" w:line="360" w:lineRule="auto"/>
        <w:ind w:left="720" w:hanging="720"/>
        <w:rPr>
          <w:sz w:val="24"/>
          <w:szCs w:val="24"/>
        </w:rPr>
      </w:pPr>
      <w:r w:rsidRPr="00F31422">
        <w:rPr>
          <w:sz w:val="24"/>
          <w:szCs w:val="24"/>
        </w:rPr>
        <w:t xml:space="preserve">Mayeke, N. R., Arigbabu, A. T., Olaniyi, O. O., Okunleye, O. J., &amp; Adigwe, C. S. (2024). Evolving Access Control Paradigms: A Comprehensive Multi-Dimensional Analysis of Security Risks and System Assurance in Cyber Engineering. </w:t>
      </w:r>
      <w:r w:rsidRPr="00F31422">
        <w:rPr>
          <w:i/>
          <w:sz w:val="24"/>
          <w:szCs w:val="24"/>
        </w:rPr>
        <w:t>Asian Journal of Research in Computer Science</w:t>
      </w:r>
      <w:r w:rsidRPr="00F31422">
        <w:rPr>
          <w:sz w:val="24"/>
          <w:szCs w:val="24"/>
        </w:rPr>
        <w:t xml:space="preserve">, </w:t>
      </w:r>
      <w:r w:rsidRPr="00F31422">
        <w:rPr>
          <w:i/>
          <w:sz w:val="24"/>
          <w:szCs w:val="24"/>
        </w:rPr>
        <w:t>17</w:t>
      </w:r>
      <w:r w:rsidRPr="00F31422">
        <w:rPr>
          <w:sz w:val="24"/>
          <w:szCs w:val="24"/>
        </w:rPr>
        <w:t xml:space="preserve">(5), 108–124. </w:t>
      </w:r>
      <w:hyperlink r:id="rId59">
        <w:r w:rsidRPr="00F31422">
          <w:rPr>
            <w:color w:val="1155CC"/>
            <w:sz w:val="24"/>
            <w:szCs w:val="24"/>
            <w:u w:val="single"/>
          </w:rPr>
          <w:t>https://doi.org/10.9734/ajrcos/2024/v17i5442</w:t>
        </w:r>
      </w:hyperlink>
      <w:r w:rsidRPr="00F31422">
        <w:rPr>
          <w:sz w:val="24"/>
          <w:szCs w:val="24"/>
        </w:rPr>
        <w:t xml:space="preserve"> </w:t>
      </w:r>
    </w:p>
    <w:p w14:paraId="214F98D7" w14:textId="77777777" w:rsidR="00905DBC" w:rsidRPr="00F31422" w:rsidRDefault="00453400" w:rsidP="00F31422">
      <w:pPr>
        <w:spacing w:after="240" w:line="360" w:lineRule="auto"/>
        <w:ind w:left="720" w:hanging="720"/>
        <w:rPr>
          <w:sz w:val="24"/>
          <w:szCs w:val="24"/>
        </w:rPr>
      </w:pPr>
      <w:r w:rsidRPr="00F31422">
        <w:rPr>
          <w:sz w:val="24"/>
          <w:szCs w:val="24"/>
        </w:rPr>
        <w:t xml:space="preserve">Mironowicz, P., Shenoy, H. A., Mandarino, A., Ege, Y. A., &amp; Ankenbrand, T. (2024). </w:t>
      </w:r>
      <w:r w:rsidRPr="00F31422">
        <w:rPr>
          <w:i/>
          <w:sz w:val="24"/>
          <w:szCs w:val="24"/>
        </w:rPr>
        <w:t>Applications of Quantum Machine Learning for Quantitative Finance</w:t>
      </w:r>
      <w:r w:rsidRPr="00F31422">
        <w:rPr>
          <w:sz w:val="24"/>
          <w:szCs w:val="24"/>
        </w:rPr>
        <w:t xml:space="preserve">. ArXiv.org. </w:t>
      </w:r>
      <w:hyperlink r:id="rId60">
        <w:r w:rsidRPr="00F31422">
          <w:rPr>
            <w:color w:val="1155CC"/>
            <w:sz w:val="24"/>
            <w:szCs w:val="24"/>
            <w:u w:val="single"/>
          </w:rPr>
          <w:t>https://arxiv.org/abs/2405.10119</w:t>
        </w:r>
      </w:hyperlink>
      <w:r w:rsidRPr="00F31422">
        <w:rPr>
          <w:sz w:val="24"/>
          <w:szCs w:val="24"/>
        </w:rPr>
        <w:t xml:space="preserve"> </w:t>
      </w:r>
    </w:p>
    <w:p w14:paraId="05A73CE9" w14:textId="77777777" w:rsidR="00905DBC" w:rsidRPr="00F31422" w:rsidRDefault="00453400" w:rsidP="00F31422">
      <w:pPr>
        <w:spacing w:after="240" w:line="360" w:lineRule="auto"/>
        <w:ind w:left="720" w:hanging="720"/>
        <w:rPr>
          <w:sz w:val="24"/>
          <w:szCs w:val="24"/>
        </w:rPr>
      </w:pPr>
      <w:r w:rsidRPr="00F31422">
        <w:rPr>
          <w:sz w:val="24"/>
          <w:szCs w:val="24"/>
        </w:rPr>
        <w:lastRenderedPageBreak/>
        <w:t xml:space="preserve">Mishra, S., Agarwal, O., &amp; Patel, S. K. (2024). Quantum Decryption using Shor’s Algorithm. </w:t>
      </w:r>
      <w:r w:rsidRPr="00F31422">
        <w:rPr>
          <w:i/>
          <w:sz w:val="24"/>
          <w:szCs w:val="24"/>
        </w:rPr>
        <w:t>2024 IEEE Pune Section International Conference (PuneCon)</w:t>
      </w:r>
      <w:r w:rsidRPr="00F31422">
        <w:rPr>
          <w:sz w:val="24"/>
          <w:szCs w:val="24"/>
        </w:rPr>
        <w:t xml:space="preserve">, 1–6. </w:t>
      </w:r>
      <w:hyperlink r:id="rId61">
        <w:r w:rsidRPr="00F31422">
          <w:rPr>
            <w:color w:val="1155CC"/>
            <w:sz w:val="24"/>
            <w:szCs w:val="24"/>
            <w:u w:val="single"/>
          </w:rPr>
          <w:t>https://doi.org/10.1109/punecon63413.2024.10895777</w:t>
        </w:r>
      </w:hyperlink>
      <w:r w:rsidRPr="00F31422">
        <w:rPr>
          <w:sz w:val="24"/>
          <w:szCs w:val="24"/>
        </w:rPr>
        <w:t xml:space="preserve"> </w:t>
      </w:r>
    </w:p>
    <w:p w14:paraId="7BD87116" w14:textId="77777777" w:rsidR="00905DBC" w:rsidRPr="00F31422" w:rsidRDefault="00453400" w:rsidP="00F31422">
      <w:pPr>
        <w:spacing w:after="240" w:line="360" w:lineRule="auto"/>
        <w:ind w:left="720" w:hanging="720"/>
        <w:rPr>
          <w:sz w:val="24"/>
          <w:szCs w:val="24"/>
        </w:rPr>
      </w:pPr>
      <w:r w:rsidRPr="00F31422">
        <w:rPr>
          <w:sz w:val="24"/>
          <w:szCs w:val="24"/>
        </w:rPr>
        <w:t xml:space="preserve">Moody's. (2023). </w:t>
      </w:r>
      <w:r w:rsidRPr="00F31422">
        <w:rPr>
          <w:i/>
          <w:sz w:val="24"/>
          <w:szCs w:val="24"/>
        </w:rPr>
        <w:t>BIS and central banks to address cyber threats from quantum computing</w:t>
      </w:r>
      <w:r w:rsidRPr="00F31422">
        <w:rPr>
          <w:sz w:val="24"/>
          <w:szCs w:val="24"/>
        </w:rPr>
        <w:t xml:space="preserve">. Moodys.com. </w:t>
      </w:r>
      <w:hyperlink r:id="rId62">
        <w:r w:rsidRPr="00F31422">
          <w:rPr>
            <w:color w:val="1155CC"/>
            <w:sz w:val="24"/>
            <w:szCs w:val="24"/>
            <w:u w:val="single"/>
          </w:rPr>
          <w:t>https://www.moodys.com/web/en/us/insights/regulatory-news/bis-and-central-banks-to-address-cyber-threats-from-quantum-computing.html</w:t>
        </w:r>
      </w:hyperlink>
      <w:r w:rsidRPr="00F31422">
        <w:rPr>
          <w:sz w:val="24"/>
          <w:szCs w:val="24"/>
        </w:rPr>
        <w:t xml:space="preserve"> </w:t>
      </w:r>
    </w:p>
    <w:p w14:paraId="39774CE8" w14:textId="77777777" w:rsidR="00905DBC" w:rsidRPr="00F31422" w:rsidRDefault="00453400" w:rsidP="00F31422">
      <w:pPr>
        <w:spacing w:after="240" w:line="360" w:lineRule="auto"/>
        <w:ind w:left="720" w:hanging="720"/>
        <w:rPr>
          <w:sz w:val="24"/>
          <w:szCs w:val="24"/>
        </w:rPr>
      </w:pPr>
      <w:r w:rsidRPr="00F31422">
        <w:rPr>
          <w:sz w:val="24"/>
          <w:szCs w:val="24"/>
        </w:rPr>
        <w:t xml:space="preserve">Morgan , S. (2023). </w:t>
      </w:r>
      <w:r w:rsidRPr="00F31422">
        <w:rPr>
          <w:i/>
          <w:sz w:val="24"/>
          <w:szCs w:val="24"/>
        </w:rPr>
        <w:t>2023 Cybersecurity Almanac: 100 Facts, Figures, Predictions, And Statistics</w:t>
      </w:r>
      <w:r w:rsidRPr="00F31422">
        <w:rPr>
          <w:sz w:val="24"/>
          <w:szCs w:val="24"/>
        </w:rPr>
        <w:t xml:space="preserve">. Cybercrime Magazine. </w:t>
      </w:r>
      <w:hyperlink r:id="rId63">
        <w:r w:rsidRPr="00F31422">
          <w:rPr>
            <w:color w:val="1155CC"/>
            <w:sz w:val="24"/>
            <w:szCs w:val="24"/>
            <w:u w:val="single"/>
          </w:rPr>
          <w:t>https://cybersecurityventures.com/cybersecurity-almanac-2023/</w:t>
        </w:r>
      </w:hyperlink>
      <w:r w:rsidRPr="00F31422">
        <w:rPr>
          <w:sz w:val="24"/>
          <w:szCs w:val="24"/>
        </w:rPr>
        <w:t xml:space="preserve"> </w:t>
      </w:r>
    </w:p>
    <w:p w14:paraId="30CE3A1F" w14:textId="77777777" w:rsidR="00905DBC" w:rsidRPr="00F31422" w:rsidRDefault="00453400" w:rsidP="00F31422">
      <w:pPr>
        <w:spacing w:after="240" w:line="360" w:lineRule="auto"/>
        <w:ind w:left="720" w:hanging="720"/>
        <w:rPr>
          <w:sz w:val="24"/>
          <w:szCs w:val="24"/>
        </w:rPr>
      </w:pPr>
      <w:r w:rsidRPr="00F31422">
        <w:rPr>
          <w:sz w:val="24"/>
          <w:szCs w:val="24"/>
        </w:rPr>
        <w:t xml:space="preserve">Mosteanu, N. R., &amp; Faccia, A. (2021). Fintech Frontiers in Quantum Computing, Fractals, and Blockchain Distributed Ledger: Paradigm Shifts and Open Innovation. </w:t>
      </w:r>
      <w:r w:rsidRPr="00F31422">
        <w:rPr>
          <w:i/>
          <w:sz w:val="24"/>
          <w:szCs w:val="24"/>
        </w:rPr>
        <w:t>Journal of Open Innovation: Technology, Market, and Complexity</w:t>
      </w:r>
      <w:r w:rsidRPr="00F31422">
        <w:rPr>
          <w:sz w:val="24"/>
          <w:szCs w:val="24"/>
        </w:rPr>
        <w:t xml:space="preserve">, </w:t>
      </w:r>
      <w:r w:rsidRPr="00F31422">
        <w:rPr>
          <w:i/>
          <w:sz w:val="24"/>
          <w:szCs w:val="24"/>
        </w:rPr>
        <w:t>7</w:t>
      </w:r>
      <w:r w:rsidRPr="00F31422">
        <w:rPr>
          <w:sz w:val="24"/>
          <w:szCs w:val="24"/>
        </w:rPr>
        <w:t xml:space="preserve">(1), 19. </w:t>
      </w:r>
      <w:hyperlink r:id="rId64">
        <w:r w:rsidRPr="00F31422">
          <w:rPr>
            <w:color w:val="1155CC"/>
            <w:sz w:val="24"/>
            <w:szCs w:val="24"/>
            <w:u w:val="single"/>
          </w:rPr>
          <w:t>https://doi.org/10.3390/joitmc7010019</w:t>
        </w:r>
      </w:hyperlink>
      <w:r w:rsidRPr="00F31422">
        <w:rPr>
          <w:sz w:val="24"/>
          <w:szCs w:val="24"/>
        </w:rPr>
        <w:t xml:space="preserve"> </w:t>
      </w:r>
    </w:p>
    <w:p w14:paraId="729888EE" w14:textId="77777777" w:rsidR="00905DBC" w:rsidRPr="00F31422" w:rsidRDefault="00453400" w:rsidP="00F31422">
      <w:pPr>
        <w:spacing w:after="240" w:line="360" w:lineRule="auto"/>
        <w:ind w:left="720" w:hanging="720"/>
        <w:rPr>
          <w:sz w:val="24"/>
          <w:szCs w:val="24"/>
        </w:rPr>
      </w:pPr>
      <w:r w:rsidRPr="00F31422">
        <w:rPr>
          <w:sz w:val="24"/>
          <w:szCs w:val="24"/>
        </w:rPr>
        <w:t xml:space="preserve">Mthembu, L., &amp; Smith, A. (2024). Impacts of Quantum Computing on Cryptographic Algorithms: Challenges and the Future of Cybersecurity. </w:t>
      </w:r>
      <w:r w:rsidRPr="00F31422">
        <w:rPr>
          <w:i/>
          <w:sz w:val="24"/>
          <w:szCs w:val="24"/>
        </w:rPr>
        <w:t>Global Research Perspectives on Cybersecurity Governance, Policy, and Management</w:t>
      </w:r>
      <w:r w:rsidRPr="00F31422">
        <w:rPr>
          <w:sz w:val="24"/>
          <w:szCs w:val="24"/>
        </w:rPr>
        <w:t xml:space="preserve">, </w:t>
      </w:r>
      <w:r w:rsidRPr="00F31422">
        <w:rPr>
          <w:i/>
          <w:sz w:val="24"/>
          <w:szCs w:val="24"/>
        </w:rPr>
        <w:t>8</w:t>
      </w:r>
      <w:r w:rsidRPr="00F31422">
        <w:rPr>
          <w:sz w:val="24"/>
          <w:szCs w:val="24"/>
        </w:rPr>
        <w:t xml:space="preserve">(12), 12–23. </w:t>
      </w:r>
      <w:hyperlink r:id="rId65">
        <w:r w:rsidRPr="00F31422">
          <w:rPr>
            <w:color w:val="1155CC"/>
            <w:sz w:val="24"/>
            <w:szCs w:val="24"/>
            <w:u w:val="single"/>
          </w:rPr>
          <w:t>http://hammingate.com/index.php/GRPCGPM/article/view/2</w:t>
        </w:r>
      </w:hyperlink>
      <w:r w:rsidRPr="00F31422">
        <w:rPr>
          <w:sz w:val="24"/>
          <w:szCs w:val="24"/>
        </w:rPr>
        <w:t xml:space="preserve"> </w:t>
      </w:r>
    </w:p>
    <w:p w14:paraId="60CA1236" w14:textId="77777777" w:rsidR="00905DBC" w:rsidRPr="00F31422" w:rsidRDefault="00453400" w:rsidP="00F31422">
      <w:pPr>
        <w:spacing w:after="240" w:line="360" w:lineRule="auto"/>
        <w:ind w:left="720" w:hanging="720"/>
        <w:rPr>
          <w:sz w:val="24"/>
          <w:szCs w:val="24"/>
        </w:rPr>
      </w:pPr>
      <w:r w:rsidRPr="00F31422">
        <w:rPr>
          <w:sz w:val="24"/>
          <w:szCs w:val="24"/>
        </w:rPr>
        <w:t xml:space="preserve">Mustyala , A. (2023). Leveraging Blockchain for Fraud Risk Reduction in Fintech: Infrastructure Setup and Migration Strategies. </w:t>
      </w:r>
      <w:r w:rsidRPr="00F31422">
        <w:rPr>
          <w:i/>
          <w:sz w:val="24"/>
          <w:szCs w:val="24"/>
        </w:rPr>
        <w:t>EPH - International Journal of Science and Engineering</w:t>
      </w:r>
      <w:r w:rsidRPr="00F31422">
        <w:rPr>
          <w:sz w:val="24"/>
          <w:szCs w:val="24"/>
        </w:rPr>
        <w:t xml:space="preserve">, </w:t>
      </w:r>
      <w:r w:rsidRPr="00F31422">
        <w:rPr>
          <w:i/>
          <w:sz w:val="24"/>
          <w:szCs w:val="24"/>
        </w:rPr>
        <w:t>9</w:t>
      </w:r>
      <w:r w:rsidRPr="00F31422">
        <w:rPr>
          <w:sz w:val="24"/>
          <w:szCs w:val="24"/>
        </w:rPr>
        <w:t xml:space="preserve">(2), 1–10. </w:t>
      </w:r>
      <w:hyperlink r:id="rId66">
        <w:r w:rsidRPr="00F31422">
          <w:rPr>
            <w:color w:val="1155CC"/>
            <w:sz w:val="24"/>
            <w:szCs w:val="24"/>
            <w:u w:val="single"/>
          </w:rPr>
          <w:t>https://doi.org/10.53555/ephijse.v9i2.234</w:t>
        </w:r>
      </w:hyperlink>
      <w:r w:rsidRPr="00F31422">
        <w:rPr>
          <w:sz w:val="24"/>
          <w:szCs w:val="24"/>
        </w:rPr>
        <w:t xml:space="preserve"> </w:t>
      </w:r>
    </w:p>
    <w:p w14:paraId="43299648" w14:textId="77777777" w:rsidR="00905DBC" w:rsidRPr="00F31422" w:rsidRDefault="00453400" w:rsidP="00F31422">
      <w:pPr>
        <w:spacing w:after="240" w:line="360" w:lineRule="auto"/>
        <w:ind w:left="720" w:hanging="720"/>
        <w:rPr>
          <w:sz w:val="24"/>
          <w:szCs w:val="24"/>
        </w:rPr>
      </w:pPr>
      <w:r w:rsidRPr="00F31422">
        <w:rPr>
          <w:sz w:val="24"/>
          <w:szCs w:val="24"/>
        </w:rPr>
        <w:t xml:space="preserve">Nili, C., Patterson, T., &amp; Dukatz, C. (2024). </w:t>
      </w:r>
      <w:r w:rsidRPr="00F31422">
        <w:rPr>
          <w:i/>
          <w:sz w:val="24"/>
          <w:szCs w:val="24"/>
        </w:rPr>
        <w:t>Safeguard CBDC systems in the post-quantum computing age</w:t>
      </w:r>
      <w:r w:rsidRPr="00F31422">
        <w:rPr>
          <w:sz w:val="24"/>
          <w:szCs w:val="24"/>
        </w:rPr>
        <w:t xml:space="preserve">. World Economic Forum. </w:t>
      </w:r>
      <w:hyperlink r:id="rId67">
        <w:r w:rsidRPr="00F31422">
          <w:rPr>
            <w:color w:val="1155CC"/>
            <w:sz w:val="24"/>
            <w:szCs w:val="24"/>
            <w:u w:val="single"/>
          </w:rPr>
          <w:t>https://www.weforum.org/stories/2024/05/safeguarding-central-bank-digital-currency-systems-post-quantum-age/</w:t>
        </w:r>
      </w:hyperlink>
      <w:r w:rsidRPr="00F31422">
        <w:rPr>
          <w:sz w:val="24"/>
          <w:szCs w:val="24"/>
        </w:rPr>
        <w:t xml:space="preserve"> </w:t>
      </w:r>
    </w:p>
    <w:p w14:paraId="2D771AE1" w14:textId="77777777" w:rsidR="00905DBC" w:rsidRPr="00F31422" w:rsidRDefault="00453400" w:rsidP="00F31422">
      <w:pPr>
        <w:spacing w:after="240" w:line="360" w:lineRule="auto"/>
        <w:ind w:left="720" w:hanging="720"/>
        <w:rPr>
          <w:sz w:val="24"/>
          <w:szCs w:val="24"/>
        </w:rPr>
      </w:pPr>
      <w:r w:rsidRPr="00F31422">
        <w:rPr>
          <w:sz w:val="24"/>
          <w:szCs w:val="24"/>
        </w:rPr>
        <w:lastRenderedPageBreak/>
        <w:t xml:space="preserve">NIST. (2024). </w:t>
      </w:r>
      <w:r w:rsidRPr="00F31422">
        <w:rPr>
          <w:i/>
          <w:sz w:val="24"/>
          <w:szCs w:val="24"/>
        </w:rPr>
        <w:t>NIST Releases First 3 Finalized Post-Quantum Encryption Standards | NIST</w:t>
      </w:r>
      <w:r w:rsidRPr="00F31422">
        <w:rPr>
          <w:sz w:val="24"/>
          <w:szCs w:val="24"/>
        </w:rPr>
        <w:t xml:space="preserve">. NIST. </w:t>
      </w:r>
      <w:hyperlink r:id="rId68">
        <w:r w:rsidRPr="00F31422">
          <w:rPr>
            <w:color w:val="1155CC"/>
            <w:sz w:val="24"/>
            <w:szCs w:val="24"/>
            <w:u w:val="single"/>
          </w:rPr>
          <w:t>https://www.nist.gov/news-events/news/2024/08/nist-releases-first-3-finalized-post-quantum-encryption-standards</w:t>
        </w:r>
      </w:hyperlink>
      <w:r w:rsidRPr="00F31422">
        <w:rPr>
          <w:sz w:val="24"/>
          <w:szCs w:val="24"/>
        </w:rPr>
        <w:t xml:space="preserve"> </w:t>
      </w:r>
    </w:p>
    <w:p w14:paraId="4D4EF198" w14:textId="77777777" w:rsidR="00905DBC" w:rsidRPr="00F31422" w:rsidRDefault="00453400" w:rsidP="00F31422">
      <w:pPr>
        <w:spacing w:after="240" w:line="360" w:lineRule="auto"/>
        <w:ind w:left="720" w:hanging="720"/>
        <w:rPr>
          <w:sz w:val="24"/>
          <w:szCs w:val="24"/>
        </w:rPr>
      </w:pPr>
      <w:r w:rsidRPr="00F31422">
        <w:rPr>
          <w:sz w:val="24"/>
          <w:szCs w:val="24"/>
        </w:rPr>
        <w:t xml:space="preserve">NSA. (2022). </w:t>
      </w:r>
      <w:r w:rsidRPr="00F31422">
        <w:rPr>
          <w:i/>
          <w:sz w:val="24"/>
          <w:szCs w:val="24"/>
        </w:rPr>
        <w:t>NSA Releases Future Quantum-Resistant (QR) Algorithm Requirements for National Security Sy</w:t>
      </w:r>
      <w:r w:rsidRPr="00F31422">
        <w:rPr>
          <w:sz w:val="24"/>
          <w:szCs w:val="24"/>
        </w:rPr>
        <w:t xml:space="preserve">. National Security Agency/Central Security Service. </w:t>
      </w:r>
      <w:hyperlink r:id="rId69">
        <w:r w:rsidRPr="00F31422">
          <w:rPr>
            <w:color w:val="1155CC"/>
            <w:sz w:val="24"/>
            <w:szCs w:val="24"/>
            <w:u w:val="single"/>
          </w:rPr>
          <w:t>https://www.nsa.gov/Press-Room/Press-Releases-Statements/Press-Release-View/Article/3148990/nsa-releases-future-quantum-resistant-qr-algorithm-requirements-for-national-se/</w:t>
        </w:r>
      </w:hyperlink>
      <w:r w:rsidRPr="00F31422">
        <w:rPr>
          <w:sz w:val="24"/>
          <w:szCs w:val="24"/>
        </w:rPr>
        <w:t xml:space="preserve"> </w:t>
      </w:r>
    </w:p>
    <w:p w14:paraId="68973579" w14:textId="77777777" w:rsidR="00905DBC" w:rsidRPr="00F31422" w:rsidRDefault="00453400" w:rsidP="00F31422">
      <w:pPr>
        <w:spacing w:after="240" w:line="360" w:lineRule="auto"/>
        <w:ind w:left="720" w:hanging="720"/>
        <w:rPr>
          <w:sz w:val="24"/>
          <w:szCs w:val="24"/>
        </w:rPr>
      </w:pPr>
      <w:r w:rsidRPr="00F31422">
        <w:rPr>
          <w:sz w:val="24"/>
          <w:szCs w:val="24"/>
        </w:rPr>
        <w:t xml:space="preserve">Obioha-Val, O. A. (2025). Bridging Gaps in Cybersecurity Governance: Leveraging Collaborative Digital Solutions. </w:t>
      </w:r>
      <w:r w:rsidRPr="00F31422">
        <w:rPr>
          <w:i/>
          <w:sz w:val="24"/>
          <w:szCs w:val="24"/>
        </w:rPr>
        <w:t>Asian Journal of Research in Computer Science</w:t>
      </w:r>
      <w:r w:rsidRPr="00F31422">
        <w:rPr>
          <w:sz w:val="24"/>
          <w:szCs w:val="24"/>
        </w:rPr>
        <w:t xml:space="preserve">, </w:t>
      </w:r>
      <w:r w:rsidRPr="00F31422">
        <w:rPr>
          <w:i/>
          <w:sz w:val="24"/>
          <w:szCs w:val="24"/>
        </w:rPr>
        <w:t>18</w:t>
      </w:r>
      <w:r w:rsidRPr="00F31422">
        <w:rPr>
          <w:sz w:val="24"/>
          <w:szCs w:val="24"/>
        </w:rPr>
        <w:t xml:space="preserve">(2), 82–100. </w:t>
      </w:r>
      <w:hyperlink r:id="rId70">
        <w:r w:rsidRPr="00F31422">
          <w:rPr>
            <w:color w:val="1155CC"/>
            <w:sz w:val="24"/>
            <w:szCs w:val="24"/>
            <w:u w:val="single"/>
          </w:rPr>
          <w:t>https://doi.org/10.9734/ajrcos/2025/v18i2564</w:t>
        </w:r>
      </w:hyperlink>
      <w:r w:rsidRPr="00F31422">
        <w:rPr>
          <w:sz w:val="24"/>
          <w:szCs w:val="24"/>
        </w:rPr>
        <w:t xml:space="preserve"> </w:t>
      </w:r>
    </w:p>
    <w:p w14:paraId="0BEB5A52" w14:textId="77777777" w:rsidR="00905DBC" w:rsidRPr="00F31422" w:rsidRDefault="00453400" w:rsidP="00F31422">
      <w:pPr>
        <w:spacing w:after="240" w:line="360" w:lineRule="auto"/>
        <w:ind w:left="720" w:hanging="720"/>
        <w:rPr>
          <w:sz w:val="24"/>
          <w:szCs w:val="24"/>
        </w:rPr>
      </w:pPr>
      <w:r w:rsidRPr="00F31422">
        <w:rPr>
          <w:sz w:val="24"/>
          <w:szCs w:val="24"/>
        </w:rPr>
        <w:t xml:space="preserve">Obioha-Val, O. A., Gbadebo, M. O., Olaniyi, O. O., Chinye, N. C., &amp; Balogun, A. Y. (2025). Innovative Regulation of Open Source Intelligence and Deepfakes AI in Managing Public Trust. </w:t>
      </w:r>
      <w:r w:rsidRPr="00F31422">
        <w:rPr>
          <w:i/>
          <w:sz w:val="24"/>
          <w:szCs w:val="24"/>
        </w:rPr>
        <w:t>Journal of Engineering Research and Reports</w:t>
      </w:r>
      <w:r w:rsidRPr="00F31422">
        <w:rPr>
          <w:sz w:val="24"/>
          <w:szCs w:val="24"/>
        </w:rPr>
        <w:t xml:space="preserve">, </w:t>
      </w:r>
      <w:r w:rsidRPr="00F31422">
        <w:rPr>
          <w:i/>
          <w:sz w:val="24"/>
          <w:szCs w:val="24"/>
        </w:rPr>
        <w:t>27</w:t>
      </w:r>
      <w:r w:rsidRPr="00F31422">
        <w:rPr>
          <w:sz w:val="24"/>
          <w:szCs w:val="24"/>
        </w:rPr>
        <w:t xml:space="preserve">(2), 136–156. </w:t>
      </w:r>
      <w:hyperlink r:id="rId71">
        <w:r w:rsidRPr="00F31422">
          <w:rPr>
            <w:color w:val="1155CC"/>
            <w:sz w:val="24"/>
            <w:szCs w:val="24"/>
            <w:u w:val="single"/>
          </w:rPr>
          <w:t>https://doi.org/10.9734/jerr/2025/v27i21400</w:t>
        </w:r>
      </w:hyperlink>
      <w:r w:rsidRPr="00F31422">
        <w:rPr>
          <w:sz w:val="24"/>
          <w:szCs w:val="24"/>
        </w:rPr>
        <w:t xml:space="preserve"> </w:t>
      </w:r>
    </w:p>
    <w:p w14:paraId="5EF4BCD3" w14:textId="77777777" w:rsidR="00905DBC" w:rsidRPr="00F31422" w:rsidRDefault="00453400" w:rsidP="00F31422">
      <w:pPr>
        <w:spacing w:after="240" w:line="360" w:lineRule="auto"/>
        <w:ind w:left="720" w:hanging="720"/>
        <w:rPr>
          <w:sz w:val="24"/>
          <w:szCs w:val="24"/>
        </w:rPr>
      </w:pPr>
      <w:r w:rsidRPr="00F31422">
        <w:rPr>
          <w:sz w:val="24"/>
          <w:szCs w:val="24"/>
        </w:rPr>
        <w:t xml:space="preserve">Obioha-Val, O. A., Lawal, T. I., Olaniyi, O. O., Gbadebo, M. O., &amp; Olisa, A. O. (2025). Investigating the Feasibility and Risks of Leveraging Artificial Intelligence and Open Source Intelligence to Manage Predictive Cyber Threat Models. </w:t>
      </w:r>
      <w:r w:rsidRPr="00F31422">
        <w:rPr>
          <w:i/>
          <w:sz w:val="24"/>
          <w:szCs w:val="24"/>
        </w:rPr>
        <w:t>Journal of Engineering Research and Reports</w:t>
      </w:r>
      <w:r w:rsidRPr="00F31422">
        <w:rPr>
          <w:sz w:val="24"/>
          <w:szCs w:val="24"/>
        </w:rPr>
        <w:t xml:space="preserve">, </w:t>
      </w:r>
      <w:r w:rsidRPr="00F31422">
        <w:rPr>
          <w:i/>
          <w:sz w:val="24"/>
          <w:szCs w:val="24"/>
        </w:rPr>
        <w:t>27</w:t>
      </w:r>
      <w:r w:rsidRPr="00F31422">
        <w:rPr>
          <w:sz w:val="24"/>
          <w:szCs w:val="24"/>
        </w:rPr>
        <w:t xml:space="preserve">(2), 10–28. </w:t>
      </w:r>
      <w:hyperlink r:id="rId72">
        <w:r w:rsidRPr="00F31422">
          <w:rPr>
            <w:color w:val="1155CC"/>
            <w:sz w:val="24"/>
            <w:szCs w:val="24"/>
            <w:u w:val="single"/>
          </w:rPr>
          <w:t>https://doi.org/10.9734/jerr/2025/v27i21390</w:t>
        </w:r>
      </w:hyperlink>
      <w:r w:rsidRPr="00F31422">
        <w:rPr>
          <w:sz w:val="24"/>
          <w:szCs w:val="24"/>
        </w:rPr>
        <w:t xml:space="preserve"> </w:t>
      </w:r>
    </w:p>
    <w:p w14:paraId="6DFCDDF7" w14:textId="77777777" w:rsidR="00905DBC" w:rsidRPr="00F31422" w:rsidRDefault="00453400" w:rsidP="00F31422">
      <w:pPr>
        <w:spacing w:after="240" w:line="360" w:lineRule="auto"/>
        <w:ind w:left="720" w:hanging="720"/>
        <w:rPr>
          <w:sz w:val="24"/>
          <w:szCs w:val="24"/>
        </w:rPr>
      </w:pPr>
      <w:r w:rsidRPr="00F31422">
        <w:rPr>
          <w:sz w:val="24"/>
          <w:szCs w:val="24"/>
        </w:rPr>
        <w:t xml:space="preserve">Obioha-Val, O. A., Olaniyi, O. O., Gbadebo, M. O., Balogun, A. Y., &amp; Olisa, A. O. (2025). Cyber Espionage in the Age of Artificial Intelligence: A Comparative Study of State-Sponsored Campaign. </w:t>
      </w:r>
      <w:r w:rsidRPr="00F31422">
        <w:rPr>
          <w:i/>
          <w:sz w:val="24"/>
          <w:szCs w:val="24"/>
        </w:rPr>
        <w:t>Asian Journal of Research in Computer Science</w:t>
      </w:r>
      <w:r w:rsidRPr="00F31422">
        <w:rPr>
          <w:sz w:val="24"/>
          <w:szCs w:val="24"/>
        </w:rPr>
        <w:t xml:space="preserve">, </w:t>
      </w:r>
      <w:r w:rsidRPr="00F31422">
        <w:rPr>
          <w:i/>
          <w:sz w:val="24"/>
          <w:szCs w:val="24"/>
        </w:rPr>
        <w:t>18</w:t>
      </w:r>
      <w:r w:rsidRPr="00F31422">
        <w:rPr>
          <w:sz w:val="24"/>
          <w:szCs w:val="24"/>
        </w:rPr>
        <w:t xml:space="preserve">(1), 184–204. </w:t>
      </w:r>
      <w:hyperlink r:id="rId73">
        <w:r w:rsidRPr="00F31422">
          <w:rPr>
            <w:color w:val="1155CC"/>
            <w:sz w:val="24"/>
            <w:szCs w:val="24"/>
            <w:u w:val="single"/>
          </w:rPr>
          <w:t>https://doi.org/10.9734/ajrcos/2025/v18i1557</w:t>
        </w:r>
      </w:hyperlink>
      <w:r w:rsidRPr="00F31422">
        <w:rPr>
          <w:sz w:val="24"/>
          <w:szCs w:val="24"/>
        </w:rPr>
        <w:t xml:space="preserve"> </w:t>
      </w:r>
    </w:p>
    <w:p w14:paraId="18DC3B7A" w14:textId="77777777" w:rsidR="00905DBC" w:rsidRPr="00F31422" w:rsidRDefault="00453400" w:rsidP="00F31422">
      <w:pPr>
        <w:spacing w:after="240" w:line="360" w:lineRule="auto"/>
        <w:ind w:left="720" w:hanging="720"/>
        <w:rPr>
          <w:sz w:val="24"/>
          <w:szCs w:val="24"/>
        </w:rPr>
      </w:pPr>
      <w:r w:rsidRPr="00F31422">
        <w:rPr>
          <w:sz w:val="24"/>
          <w:szCs w:val="24"/>
        </w:rPr>
        <w:t xml:space="preserve">Oliva del Moral, J., deMarti iOlius, A., Vidal, G., Crespo, P. M., &amp; Etxezarreta Martinez, J. (2024). Cybersecurity in Critical Infrastructures: A Post-Quantum Cryptography Perspective. </w:t>
      </w:r>
      <w:r w:rsidRPr="00F31422">
        <w:rPr>
          <w:i/>
          <w:sz w:val="24"/>
          <w:szCs w:val="24"/>
        </w:rPr>
        <w:t>IEEE Internet of Things Journal</w:t>
      </w:r>
      <w:r w:rsidRPr="00F31422">
        <w:rPr>
          <w:sz w:val="24"/>
          <w:szCs w:val="24"/>
        </w:rPr>
        <w:t xml:space="preserve">, </w:t>
      </w:r>
      <w:r w:rsidRPr="00F31422">
        <w:rPr>
          <w:i/>
          <w:sz w:val="24"/>
          <w:szCs w:val="24"/>
        </w:rPr>
        <w:t>11</w:t>
      </w:r>
      <w:r w:rsidRPr="00F31422">
        <w:rPr>
          <w:sz w:val="24"/>
          <w:szCs w:val="24"/>
        </w:rPr>
        <w:t xml:space="preserve">(18), 30217–30244. </w:t>
      </w:r>
      <w:hyperlink r:id="rId74">
        <w:r w:rsidRPr="00F31422">
          <w:rPr>
            <w:color w:val="1155CC"/>
            <w:sz w:val="24"/>
            <w:szCs w:val="24"/>
            <w:u w:val="single"/>
          </w:rPr>
          <w:t>https://doi.org/10.1109/jiot.2024.3410702</w:t>
        </w:r>
      </w:hyperlink>
      <w:r w:rsidRPr="00F31422">
        <w:rPr>
          <w:sz w:val="24"/>
          <w:szCs w:val="24"/>
        </w:rPr>
        <w:t xml:space="preserve"> </w:t>
      </w:r>
    </w:p>
    <w:p w14:paraId="53E27CC7" w14:textId="77777777" w:rsidR="00905DBC" w:rsidRPr="00F31422" w:rsidRDefault="00453400" w:rsidP="00F31422">
      <w:pPr>
        <w:spacing w:after="240" w:line="360" w:lineRule="auto"/>
        <w:ind w:left="720" w:hanging="720"/>
        <w:rPr>
          <w:sz w:val="24"/>
          <w:szCs w:val="24"/>
        </w:rPr>
      </w:pPr>
      <w:r w:rsidRPr="00F31422">
        <w:rPr>
          <w:sz w:val="24"/>
          <w:szCs w:val="24"/>
        </w:rPr>
        <w:lastRenderedPageBreak/>
        <w:t xml:space="preserve">Olutimehin, A. T. (2025a). Advancing Cloud Security in Digital Finance: AI-Driven Threat Detection, Cryptographic Solutions, and Privacy Challenges. </w:t>
      </w:r>
      <w:r w:rsidRPr="00F31422">
        <w:rPr>
          <w:i/>
          <w:sz w:val="24"/>
          <w:szCs w:val="24"/>
        </w:rPr>
        <w:t>Journal of Engineering Research and Reports</w:t>
      </w:r>
      <w:r w:rsidRPr="00F31422">
        <w:rPr>
          <w:sz w:val="24"/>
          <w:szCs w:val="24"/>
        </w:rPr>
        <w:t xml:space="preserve">, </w:t>
      </w:r>
      <w:r w:rsidRPr="00F31422">
        <w:rPr>
          <w:i/>
          <w:sz w:val="24"/>
          <w:szCs w:val="24"/>
        </w:rPr>
        <w:t>27</w:t>
      </w:r>
      <w:r w:rsidRPr="00F31422">
        <w:rPr>
          <w:sz w:val="24"/>
          <w:szCs w:val="24"/>
        </w:rPr>
        <w:t xml:space="preserve">(3), 35–55. </w:t>
      </w:r>
      <w:hyperlink r:id="rId75">
        <w:r w:rsidRPr="00F31422">
          <w:rPr>
            <w:color w:val="1155CC"/>
            <w:sz w:val="24"/>
            <w:szCs w:val="24"/>
            <w:u w:val="single"/>
          </w:rPr>
          <w:t>https://doi.org/10.9734/jerr/2025/v27i31416</w:t>
        </w:r>
      </w:hyperlink>
      <w:r w:rsidRPr="00F31422">
        <w:rPr>
          <w:sz w:val="24"/>
          <w:szCs w:val="24"/>
        </w:rPr>
        <w:t xml:space="preserve"> </w:t>
      </w:r>
    </w:p>
    <w:p w14:paraId="32D9C6BE" w14:textId="77777777" w:rsidR="00905DBC" w:rsidRPr="00F31422" w:rsidRDefault="00453400" w:rsidP="00F31422">
      <w:pPr>
        <w:spacing w:after="240" w:line="360" w:lineRule="auto"/>
        <w:ind w:left="720" w:hanging="720"/>
        <w:rPr>
          <w:sz w:val="24"/>
          <w:szCs w:val="24"/>
        </w:rPr>
      </w:pPr>
      <w:r w:rsidRPr="00F31422">
        <w:rPr>
          <w:sz w:val="24"/>
          <w:szCs w:val="24"/>
        </w:rPr>
        <w:t xml:space="preserve">Olutimehin, A. T. (2025b). Assessing the Effectiveness of Cybersecurity Frameworks in Mitigating Cyberattacks in the Banking Sector and its Applicability to Decentralized Finance (DeFi). </w:t>
      </w:r>
      <w:r w:rsidRPr="00F31422">
        <w:rPr>
          <w:i/>
          <w:sz w:val="24"/>
          <w:szCs w:val="24"/>
        </w:rPr>
        <w:t>Asian Journal of Research in Computer Science</w:t>
      </w:r>
      <w:r w:rsidRPr="00F31422">
        <w:rPr>
          <w:sz w:val="24"/>
          <w:szCs w:val="24"/>
        </w:rPr>
        <w:t xml:space="preserve">, </w:t>
      </w:r>
      <w:r w:rsidRPr="00F31422">
        <w:rPr>
          <w:i/>
          <w:sz w:val="24"/>
          <w:szCs w:val="24"/>
        </w:rPr>
        <w:t>18</w:t>
      </w:r>
      <w:r w:rsidRPr="00F31422">
        <w:rPr>
          <w:sz w:val="24"/>
          <w:szCs w:val="24"/>
        </w:rPr>
        <w:t xml:space="preserve">(3), 130–151. </w:t>
      </w:r>
      <w:hyperlink r:id="rId76">
        <w:r w:rsidRPr="00F31422">
          <w:rPr>
            <w:color w:val="1155CC"/>
            <w:sz w:val="24"/>
            <w:szCs w:val="24"/>
            <w:u w:val="single"/>
          </w:rPr>
          <w:t>https://doi.org/10.9734/ajrcos/2025/v18i3583</w:t>
        </w:r>
      </w:hyperlink>
      <w:r w:rsidRPr="00F31422">
        <w:rPr>
          <w:sz w:val="24"/>
          <w:szCs w:val="24"/>
        </w:rPr>
        <w:t xml:space="preserve"> </w:t>
      </w:r>
    </w:p>
    <w:p w14:paraId="67AA48CE" w14:textId="77777777" w:rsidR="00905DBC" w:rsidRPr="00F31422" w:rsidRDefault="00453400" w:rsidP="00F31422">
      <w:pPr>
        <w:spacing w:after="240" w:line="360" w:lineRule="auto"/>
        <w:ind w:left="720" w:hanging="720"/>
        <w:rPr>
          <w:sz w:val="24"/>
          <w:szCs w:val="24"/>
        </w:rPr>
      </w:pPr>
      <w:r w:rsidRPr="00F31422">
        <w:rPr>
          <w:sz w:val="24"/>
          <w:szCs w:val="24"/>
        </w:rPr>
        <w:t xml:space="preserve">Olutimehin, A. T. (2025c). The Synergistic Role of Machine Learning, Deep Learning, and Reinforcement Learning in Strengthening Cyber Security Measures for Crypto Currency Platforms. </w:t>
      </w:r>
      <w:r w:rsidRPr="00F31422">
        <w:rPr>
          <w:i/>
          <w:sz w:val="24"/>
          <w:szCs w:val="24"/>
        </w:rPr>
        <w:t>Asian Journal of Research in Computer Science</w:t>
      </w:r>
      <w:r w:rsidRPr="00F31422">
        <w:rPr>
          <w:sz w:val="24"/>
          <w:szCs w:val="24"/>
        </w:rPr>
        <w:t xml:space="preserve">, </w:t>
      </w:r>
      <w:r w:rsidRPr="00F31422">
        <w:rPr>
          <w:i/>
          <w:sz w:val="24"/>
          <w:szCs w:val="24"/>
        </w:rPr>
        <w:t>18</w:t>
      </w:r>
      <w:r w:rsidRPr="00F31422">
        <w:rPr>
          <w:sz w:val="24"/>
          <w:szCs w:val="24"/>
        </w:rPr>
        <w:t xml:space="preserve">(3), 190–212. </w:t>
      </w:r>
      <w:hyperlink r:id="rId77">
        <w:r w:rsidRPr="00F31422">
          <w:rPr>
            <w:color w:val="1155CC"/>
            <w:sz w:val="24"/>
            <w:szCs w:val="24"/>
            <w:u w:val="single"/>
          </w:rPr>
          <w:t>https://doi.org/10.9734/ajrcos/2025/v18i3586</w:t>
        </w:r>
      </w:hyperlink>
      <w:r w:rsidRPr="00F31422">
        <w:rPr>
          <w:sz w:val="24"/>
          <w:szCs w:val="24"/>
        </w:rPr>
        <w:t xml:space="preserve"> </w:t>
      </w:r>
    </w:p>
    <w:p w14:paraId="0AB7E241" w14:textId="77777777" w:rsidR="00905DBC" w:rsidRPr="00F31422" w:rsidRDefault="00453400" w:rsidP="00F31422">
      <w:pPr>
        <w:spacing w:after="240" w:line="360" w:lineRule="auto"/>
        <w:ind w:left="720" w:hanging="720"/>
        <w:rPr>
          <w:sz w:val="24"/>
          <w:szCs w:val="24"/>
        </w:rPr>
      </w:pPr>
      <w:r w:rsidRPr="00F31422">
        <w:rPr>
          <w:sz w:val="24"/>
          <w:szCs w:val="24"/>
        </w:rPr>
        <w:t xml:space="preserve">Olutimehin, A. T., Ajayi, A. J., Metibemu, O. C., Balogun, A. Y., Oladoyinbo, T. O., &amp; Olaniyi, O. O. (2025). Adversarial Threats to AI-Driven Systems: Exploring the Attack Surface of Machine Learning Models and Countermeasures. </w:t>
      </w:r>
      <w:r w:rsidRPr="00F31422">
        <w:rPr>
          <w:i/>
          <w:sz w:val="24"/>
          <w:szCs w:val="24"/>
        </w:rPr>
        <w:t>Journal of Engineering Research and Reports</w:t>
      </w:r>
      <w:r w:rsidRPr="00F31422">
        <w:rPr>
          <w:sz w:val="24"/>
          <w:szCs w:val="24"/>
        </w:rPr>
        <w:t xml:space="preserve">, </w:t>
      </w:r>
      <w:r w:rsidRPr="00F31422">
        <w:rPr>
          <w:i/>
          <w:sz w:val="24"/>
          <w:szCs w:val="24"/>
        </w:rPr>
        <w:t>27</w:t>
      </w:r>
      <w:r w:rsidRPr="00F31422">
        <w:rPr>
          <w:sz w:val="24"/>
          <w:szCs w:val="24"/>
        </w:rPr>
        <w:t xml:space="preserve">(2), 341–362. </w:t>
      </w:r>
      <w:hyperlink r:id="rId78">
        <w:r w:rsidRPr="00F31422">
          <w:rPr>
            <w:color w:val="1155CC"/>
            <w:sz w:val="24"/>
            <w:szCs w:val="24"/>
            <w:u w:val="single"/>
          </w:rPr>
          <w:t>https://doi.org/10.9734/jerr/2025/v27i21413</w:t>
        </w:r>
      </w:hyperlink>
      <w:r w:rsidRPr="00F31422">
        <w:rPr>
          <w:sz w:val="24"/>
          <w:szCs w:val="24"/>
        </w:rPr>
        <w:t xml:space="preserve"> </w:t>
      </w:r>
    </w:p>
    <w:p w14:paraId="4B6F7BCE" w14:textId="77777777" w:rsidR="00905DBC" w:rsidRPr="00F31422" w:rsidRDefault="00453400" w:rsidP="00F31422">
      <w:pPr>
        <w:spacing w:after="240" w:line="360" w:lineRule="auto"/>
        <w:ind w:left="720" w:hanging="720"/>
        <w:rPr>
          <w:sz w:val="24"/>
          <w:szCs w:val="24"/>
        </w:rPr>
      </w:pPr>
      <w:r w:rsidRPr="00F31422">
        <w:rPr>
          <w:sz w:val="24"/>
          <w:szCs w:val="24"/>
        </w:rPr>
        <w:t xml:space="preserve">Olutimehin, A. T., Joseph, S. A., Ajayi, A. J., Metibemu, O. C., Balogun, A. Y., &amp; Olaniyi, O. O. (2025). Future-Proofing Data: Assessing the Feasibility of Post-Quantum Cryptographic Algorithms to Mitigate “Harvest Now, Decrypt Later” Attacks. </w:t>
      </w:r>
      <w:r w:rsidRPr="00F31422">
        <w:rPr>
          <w:i/>
          <w:sz w:val="24"/>
          <w:szCs w:val="24"/>
        </w:rPr>
        <w:t>SSRN Electronic Journal</w:t>
      </w:r>
      <w:r w:rsidRPr="00F31422">
        <w:rPr>
          <w:sz w:val="24"/>
          <w:szCs w:val="24"/>
        </w:rPr>
        <w:t xml:space="preserve">. </w:t>
      </w:r>
      <w:hyperlink r:id="rId79">
        <w:r w:rsidRPr="00F31422">
          <w:rPr>
            <w:color w:val="1155CC"/>
            <w:sz w:val="24"/>
            <w:szCs w:val="24"/>
            <w:u w:val="single"/>
          </w:rPr>
          <w:t>https://doi.org/10.2139/ssrn.5141513</w:t>
        </w:r>
      </w:hyperlink>
      <w:r w:rsidRPr="00F31422">
        <w:rPr>
          <w:sz w:val="24"/>
          <w:szCs w:val="24"/>
        </w:rPr>
        <w:t xml:space="preserve"> </w:t>
      </w:r>
    </w:p>
    <w:p w14:paraId="0EED5D6A" w14:textId="77777777" w:rsidR="00905DBC" w:rsidRPr="00F31422" w:rsidRDefault="00453400" w:rsidP="00F31422">
      <w:pPr>
        <w:spacing w:after="240" w:line="360" w:lineRule="auto"/>
        <w:ind w:left="720" w:hanging="720"/>
        <w:rPr>
          <w:sz w:val="24"/>
          <w:szCs w:val="24"/>
        </w:rPr>
      </w:pPr>
      <w:r w:rsidRPr="00F31422">
        <w:rPr>
          <w:sz w:val="24"/>
          <w:szCs w:val="24"/>
        </w:rPr>
        <w:t xml:space="preserve">PwC. (2019). </w:t>
      </w:r>
      <w:r w:rsidRPr="00F31422">
        <w:rPr>
          <w:i/>
          <w:sz w:val="24"/>
          <w:szCs w:val="24"/>
        </w:rPr>
        <w:t>The Rise of Central Bank Digital Currencies (CBDCs) What you need to know</w:t>
      </w:r>
      <w:r w:rsidRPr="00F31422">
        <w:rPr>
          <w:sz w:val="24"/>
          <w:szCs w:val="24"/>
        </w:rPr>
        <w:t xml:space="preserve">. </w:t>
      </w:r>
      <w:hyperlink r:id="rId80">
        <w:r w:rsidRPr="00F31422">
          <w:rPr>
            <w:color w:val="1155CC"/>
            <w:sz w:val="24"/>
            <w:szCs w:val="24"/>
            <w:u w:val="single"/>
          </w:rPr>
          <w:t>https://www.pwc.com/gx/en/financial-services/pdf/the-rise-of-central-bank-digital-currencies.pdf</w:t>
        </w:r>
      </w:hyperlink>
      <w:r w:rsidRPr="00F31422">
        <w:rPr>
          <w:sz w:val="24"/>
          <w:szCs w:val="24"/>
        </w:rPr>
        <w:t xml:space="preserve"> </w:t>
      </w:r>
    </w:p>
    <w:p w14:paraId="43255B3D" w14:textId="77777777" w:rsidR="00905DBC" w:rsidRPr="00F31422" w:rsidRDefault="00453400" w:rsidP="00F31422">
      <w:pPr>
        <w:spacing w:after="240" w:line="360" w:lineRule="auto"/>
        <w:ind w:left="720" w:hanging="720"/>
        <w:rPr>
          <w:sz w:val="24"/>
          <w:szCs w:val="24"/>
        </w:rPr>
      </w:pPr>
      <w:r w:rsidRPr="00F31422">
        <w:rPr>
          <w:sz w:val="24"/>
          <w:szCs w:val="24"/>
        </w:rPr>
        <w:t xml:space="preserve">Rajagopalan, S., Sundari, T. M., &amp; Gayathri, M. (2024). Chapter 8 Applications of quantum computing in financial planning and financial control. </w:t>
      </w:r>
      <w:r w:rsidRPr="00F31422">
        <w:rPr>
          <w:i/>
          <w:sz w:val="24"/>
          <w:szCs w:val="24"/>
        </w:rPr>
        <w:t>De Gruyter EBooks</w:t>
      </w:r>
      <w:r w:rsidRPr="00F31422">
        <w:rPr>
          <w:sz w:val="24"/>
          <w:szCs w:val="24"/>
        </w:rPr>
        <w:t xml:space="preserve">, 127–140. </w:t>
      </w:r>
      <w:hyperlink r:id="rId81">
        <w:r w:rsidRPr="00F31422">
          <w:rPr>
            <w:color w:val="1155CC"/>
            <w:sz w:val="24"/>
            <w:szCs w:val="24"/>
            <w:u w:val="single"/>
          </w:rPr>
          <w:t>https://doi.org/10.1515/9783111354842-008</w:t>
        </w:r>
      </w:hyperlink>
      <w:r w:rsidRPr="00F31422">
        <w:rPr>
          <w:sz w:val="24"/>
          <w:szCs w:val="24"/>
        </w:rPr>
        <w:t xml:space="preserve"> </w:t>
      </w:r>
    </w:p>
    <w:p w14:paraId="0B2A01B0" w14:textId="77777777" w:rsidR="00905DBC" w:rsidRPr="00F31422" w:rsidRDefault="00453400" w:rsidP="00F31422">
      <w:pPr>
        <w:spacing w:after="240" w:line="360" w:lineRule="auto"/>
        <w:ind w:left="720" w:hanging="720"/>
        <w:rPr>
          <w:sz w:val="24"/>
          <w:szCs w:val="24"/>
        </w:rPr>
      </w:pPr>
      <w:r w:rsidRPr="00F31422">
        <w:rPr>
          <w:sz w:val="24"/>
          <w:szCs w:val="24"/>
        </w:rPr>
        <w:lastRenderedPageBreak/>
        <w:t xml:space="preserve">Ramakrishna, D., &amp; Shaik, M. A. (2024). A Comprehensive analysis of Cryptographic Algorithms: Evaluating Security, Efficiency, and Future Challenges. </w:t>
      </w:r>
      <w:r w:rsidRPr="00F31422">
        <w:rPr>
          <w:i/>
          <w:sz w:val="24"/>
          <w:szCs w:val="24"/>
        </w:rPr>
        <w:t>IEEE Access</w:t>
      </w:r>
      <w:r w:rsidRPr="00F31422">
        <w:rPr>
          <w:sz w:val="24"/>
          <w:szCs w:val="24"/>
        </w:rPr>
        <w:t xml:space="preserve">, 1–1. </w:t>
      </w:r>
      <w:hyperlink r:id="rId82">
        <w:r w:rsidRPr="00F31422">
          <w:rPr>
            <w:color w:val="1155CC"/>
            <w:sz w:val="24"/>
            <w:szCs w:val="24"/>
            <w:u w:val="single"/>
          </w:rPr>
          <w:t>https://doi.org/10.1109/access.2024.3518533</w:t>
        </w:r>
      </w:hyperlink>
      <w:r w:rsidRPr="00F31422">
        <w:rPr>
          <w:sz w:val="24"/>
          <w:szCs w:val="24"/>
        </w:rPr>
        <w:t xml:space="preserve">   </w:t>
      </w:r>
    </w:p>
    <w:p w14:paraId="658F7E33" w14:textId="77777777" w:rsidR="00905DBC" w:rsidRPr="00F31422" w:rsidRDefault="00453400" w:rsidP="00F31422">
      <w:pPr>
        <w:spacing w:after="240" w:line="360" w:lineRule="auto"/>
        <w:ind w:left="720" w:hanging="720"/>
        <w:rPr>
          <w:sz w:val="24"/>
          <w:szCs w:val="24"/>
        </w:rPr>
      </w:pPr>
      <w:r w:rsidRPr="00F31422">
        <w:rPr>
          <w:sz w:val="24"/>
          <w:szCs w:val="24"/>
        </w:rPr>
        <w:t xml:space="preserve">Rane, N., Choudhary, S., &amp; Rane, J. (2023). Blockchain and Artificial Intelligence (AI) integration for revolutionizing security and transparency in finance. </w:t>
      </w:r>
      <w:r w:rsidRPr="00F31422">
        <w:rPr>
          <w:i/>
          <w:sz w:val="24"/>
          <w:szCs w:val="24"/>
        </w:rPr>
        <w:t>Social Science Research Network</w:t>
      </w:r>
      <w:r w:rsidRPr="00F31422">
        <w:rPr>
          <w:sz w:val="24"/>
          <w:szCs w:val="24"/>
        </w:rPr>
        <w:t xml:space="preserve">. </w:t>
      </w:r>
      <w:hyperlink r:id="rId83">
        <w:r w:rsidRPr="00F31422">
          <w:rPr>
            <w:color w:val="1155CC"/>
            <w:sz w:val="24"/>
            <w:szCs w:val="24"/>
            <w:u w:val="single"/>
          </w:rPr>
          <w:t>https://doi.org/10.2139/ssrn.4644253</w:t>
        </w:r>
      </w:hyperlink>
      <w:r w:rsidRPr="00F31422">
        <w:rPr>
          <w:sz w:val="24"/>
          <w:szCs w:val="24"/>
        </w:rPr>
        <w:t xml:space="preserve"> </w:t>
      </w:r>
    </w:p>
    <w:p w14:paraId="4CE94C62" w14:textId="77777777" w:rsidR="00905DBC" w:rsidRPr="00F31422" w:rsidRDefault="00453400" w:rsidP="00F31422">
      <w:pPr>
        <w:spacing w:after="240" w:line="360" w:lineRule="auto"/>
        <w:ind w:left="720" w:hanging="720"/>
        <w:rPr>
          <w:sz w:val="24"/>
          <w:szCs w:val="24"/>
        </w:rPr>
      </w:pPr>
      <w:r w:rsidRPr="00F31422">
        <w:rPr>
          <w:sz w:val="24"/>
          <w:szCs w:val="24"/>
        </w:rPr>
        <w:t xml:space="preserve">Robert, W., Denis, A., Thomas, A., Samuel, A., Kabiito, S. P., Morish, Z., &amp; Ali, G. (2024). A Comprehensive Review on Cryptographic Techniques for Securing Internet of Medical Things: A State-of-the-Art, Applications, Security Attacks, Mitigation Measures, and Future Research Direction. </w:t>
      </w:r>
      <w:r w:rsidRPr="00F31422">
        <w:rPr>
          <w:i/>
          <w:sz w:val="24"/>
          <w:szCs w:val="24"/>
        </w:rPr>
        <w:t>Mesopotamian Journal of Artificial Intelligence in Healthcare</w:t>
      </w:r>
      <w:r w:rsidRPr="00F31422">
        <w:rPr>
          <w:sz w:val="24"/>
          <w:szCs w:val="24"/>
        </w:rPr>
        <w:t xml:space="preserve">, </w:t>
      </w:r>
      <w:r w:rsidRPr="00F31422">
        <w:rPr>
          <w:i/>
          <w:sz w:val="24"/>
          <w:szCs w:val="24"/>
        </w:rPr>
        <w:t>2024</w:t>
      </w:r>
      <w:r w:rsidRPr="00F31422">
        <w:rPr>
          <w:sz w:val="24"/>
          <w:szCs w:val="24"/>
        </w:rPr>
        <w:t xml:space="preserve">, 135–169. </w:t>
      </w:r>
      <w:hyperlink r:id="rId84">
        <w:r w:rsidRPr="00F31422">
          <w:rPr>
            <w:color w:val="1155CC"/>
            <w:sz w:val="24"/>
            <w:szCs w:val="24"/>
            <w:u w:val="single"/>
          </w:rPr>
          <w:t>https://doi.org/10.58496/MJAIH/2024/016</w:t>
        </w:r>
      </w:hyperlink>
      <w:r w:rsidRPr="00F31422">
        <w:rPr>
          <w:sz w:val="24"/>
          <w:szCs w:val="24"/>
        </w:rPr>
        <w:t xml:space="preserve"> </w:t>
      </w:r>
    </w:p>
    <w:p w14:paraId="2D242DFC" w14:textId="77777777" w:rsidR="00905DBC" w:rsidRPr="00F31422" w:rsidRDefault="00453400" w:rsidP="00F31422">
      <w:pPr>
        <w:spacing w:after="240" w:line="360" w:lineRule="auto"/>
        <w:ind w:left="720" w:hanging="720"/>
        <w:rPr>
          <w:sz w:val="24"/>
          <w:szCs w:val="24"/>
        </w:rPr>
      </w:pPr>
      <w:r w:rsidRPr="00F31422">
        <w:rPr>
          <w:sz w:val="24"/>
          <w:szCs w:val="24"/>
        </w:rPr>
        <w:t xml:space="preserve">Salako, A. O., Fabuyi, J. A., Aideyan, N. T., Selesi-Aina, O., Dapo-Oyewole, D. L., &amp; Olaniyi, O. O. (2024). Advancing Information Governance in AI-Driven Cloud Ecosystem: Strategies for Enhancing Data Security and Meeting Regulatory Compliance. </w:t>
      </w:r>
      <w:r w:rsidRPr="00F31422">
        <w:rPr>
          <w:i/>
          <w:sz w:val="24"/>
          <w:szCs w:val="24"/>
        </w:rPr>
        <w:t>Asian Journal of Research in Computer Science</w:t>
      </w:r>
      <w:r w:rsidRPr="00F31422">
        <w:rPr>
          <w:sz w:val="24"/>
          <w:szCs w:val="24"/>
        </w:rPr>
        <w:t xml:space="preserve">, </w:t>
      </w:r>
      <w:r w:rsidRPr="00F31422">
        <w:rPr>
          <w:i/>
          <w:sz w:val="24"/>
          <w:szCs w:val="24"/>
        </w:rPr>
        <w:t>17</w:t>
      </w:r>
      <w:r w:rsidRPr="00F31422">
        <w:rPr>
          <w:sz w:val="24"/>
          <w:szCs w:val="24"/>
        </w:rPr>
        <w:t xml:space="preserve">(12), 66–88. </w:t>
      </w:r>
      <w:hyperlink r:id="rId85">
        <w:r w:rsidRPr="00F31422">
          <w:rPr>
            <w:color w:val="1155CC"/>
            <w:sz w:val="24"/>
            <w:szCs w:val="24"/>
            <w:u w:val="single"/>
          </w:rPr>
          <w:t>https://doi.org/10.9734/ajrcos/2024/v17i12530</w:t>
        </w:r>
      </w:hyperlink>
      <w:r w:rsidRPr="00F31422">
        <w:rPr>
          <w:sz w:val="24"/>
          <w:szCs w:val="24"/>
        </w:rPr>
        <w:t xml:space="preserve"> </w:t>
      </w:r>
    </w:p>
    <w:p w14:paraId="6004E2FA" w14:textId="77777777" w:rsidR="00905DBC" w:rsidRPr="00F31422" w:rsidRDefault="00453400" w:rsidP="00F31422">
      <w:pPr>
        <w:spacing w:after="240" w:line="360" w:lineRule="auto"/>
        <w:ind w:left="720" w:hanging="720"/>
        <w:rPr>
          <w:sz w:val="24"/>
          <w:szCs w:val="24"/>
        </w:rPr>
      </w:pPr>
      <w:r w:rsidRPr="00F31422">
        <w:rPr>
          <w:sz w:val="24"/>
          <w:szCs w:val="24"/>
        </w:rPr>
        <w:t xml:space="preserve">Samuel-Okon, A. D., Akinola, O. I., Olaniyi, O. O., Olateju, O. O., &amp; Ajayi, S. A. (2024). Assessing the Effectiveness of Network Security Tools in Mitigating the Impact of Deepfakes AI on Public Trust in Media. </w:t>
      </w:r>
      <w:r w:rsidRPr="00F31422">
        <w:rPr>
          <w:i/>
          <w:sz w:val="24"/>
          <w:szCs w:val="24"/>
        </w:rPr>
        <w:t>Archives of Current Research International</w:t>
      </w:r>
      <w:r w:rsidRPr="00F31422">
        <w:rPr>
          <w:sz w:val="24"/>
          <w:szCs w:val="24"/>
        </w:rPr>
        <w:t xml:space="preserve">, </w:t>
      </w:r>
      <w:r w:rsidRPr="00F31422">
        <w:rPr>
          <w:i/>
          <w:sz w:val="24"/>
          <w:szCs w:val="24"/>
        </w:rPr>
        <w:t>24</w:t>
      </w:r>
      <w:r w:rsidRPr="00F31422">
        <w:rPr>
          <w:sz w:val="24"/>
          <w:szCs w:val="24"/>
        </w:rPr>
        <w:t xml:space="preserve">(6), 355–375. </w:t>
      </w:r>
      <w:hyperlink r:id="rId86">
        <w:r w:rsidRPr="00F31422">
          <w:rPr>
            <w:color w:val="1155CC"/>
            <w:sz w:val="24"/>
            <w:szCs w:val="24"/>
            <w:u w:val="single"/>
          </w:rPr>
          <w:t>https://doi.org/10.9734/acri/2024/v24i6794</w:t>
        </w:r>
      </w:hyperlink>
      <w:r w:rsidRPr="00F31422">
        <w:rPr>
          <w:sz w:val="24"/>
          <w:szCs w:val="24"/>
        </w:rPr>
        <w:t xml:space="preserve"> </w:t>
      </w:r>
    </w:p>
    <w:p w14:paraId="36848722" w14:textId="77777777" w:rsidR="00905DBC" w:rsidRPr="00F31422" w:rsidRDefault="00453400" w:rsidP="00F31422">
      <w:pPr>
        <w:spacing w:after="240" w:line="360" w:lineRule="auto"/>
        <w:ind w:left="720" w:hanging="720"/>
        <w:rPr>
          <w:sz w:val="24"/>
          <w:szCs w:val="24"/>
        </w:rPr>
      </w:pPr>
      <w:r w:rsidRPr="00F31422">
        <w:rPr>
          <w:sz w:val="24"/>
          <w:szCs w:val="24"/>
        </w:rPr>
        <w:t xml:space="preserve">Scholten, T. L., Williams, C. J., Moody, D., Mosca, M., Hurley, W., Zeng, W. J., Troyer, M., &amp; Gambetta, J. M. (2024). Assessing the Benefits and Risks of Quantum Computers. </w:t>
      </w:r>
      <w:r w:rsidRPr="00F31422">
        <w:rPr>
          <w:i/>
          <w:sz w:val="24"/>
          <w:szCs w:val="24"/>
        </w:rPr>
        <w:t>ArXiv (Cornell University)</w:t>
      </w:r>
      <w:r w:rsidRPr="00F31422">
        <w:rPr>
          <w:sz w:val="24"/>
          <w:szCs w:val="24"/>
        </w:rPr>
        <w:t xml:space="preserve">. </w:t>
      </w:r>
      <w:hyperlink r:id="rId87">
        <w:r w:rsidRPr="00F31422">
          <w:rPr>
            <w:color w:val="1155CC"/>
            <w:sz w:val="24"/>
            <w:szCs w:val="24"/>
            <w:u w:val="single"/>
          </w:rPr>
          <w:t>https://doi.org/10.48550/arxiv.2401.16317</w:t>
        </w:r>
      </w:hyperlink>
      <w:r w:rsidRPr="00F31422">
        <w:rPr>
          <w:sz w:val="24"/>
          <w:szCs w:val="24"/>
        </w:rPr>
        <w:t xml:space="preserve"> </w:t>
      </w:r>
    </w:p>
    <w:p w14:paraId="1540F5ED" w14:textId="77777777" w:rsidR="00905DBC" w:rsidRPr="00F31422" w:rsidRDefault="00453400" w:rsidP="00F31422">
      <w:pPr>
        <w:spacing w:after="240" w:line="360" w:lineRule="auto"/>
        <w:ind w:left="720" w:hanging="720"/>
        <w:rPr>
          <w:sz w:val="24"/>
          <w:szCs w:val="24"/>
        </w:rPr>
      </w:pPr>
      <w:r w:rsidRPr="00F31422">
        <w:rPr>
          <w:sz w:val="24"/>
          <w:szCs w:val="24"/>
        </w:rPr>
        <w:t xml:space="preserve">SEALSQ. (2025). </w:t>
      </w:r>
      <w:r w:rsidRPr="00F31422">
        <w:rPr>
          <w:i/>
          <w:sz w:val="24"/>
          <w:szCs w:val="24"/>
        </w:rPr>
        <w:t>SEALSQ Enhances Financial Sector Security with Post-Quantum Cryptography Solutions</w:t>
      </w:r>
      <w:r w:rsidRPr="00F31422">
        <w:rPr>
          <w:sz w:val="24"/>
          <w:szCs w:val="24"/>
        </w:rPr>
        <w:t xml:space="preserve">. Sealsq.com; WISeKey SA. </w:t>
      </w:r>
      <w:hyperlink r:id="rId88">
        <w:r w:rsidRPr="00F31422">
          <w:rPr>
            <w:color w:val="1155CC"/>
            <w:sz w:val="24"/>
            <w:szCs w:val="24"/>
            <w:u w:val="single"/>
          </w:rPr>
          <w:t>https://www.sealsq.com/investors/news-releases/sealsq-enhances-financial-sector-security-with-post-quantum-cryptography-solutions</w:t>
        </w:r>
      </w:hyperlink>
      <w:r w:rsidRPr="00F31422">
        <w:rPr>
          <w:sz w:val="24"/>
          <w:szCs w:val="24"/>
        </w:rPr>
        <w:t xml:space="preserve"> </w:t>
      </w:r>
    </w:p>
    <w:p w14:paraId="78273F04" w14:textId="77777777" w:rsidR="00905DBC" w:rsidRPr="00F31422" w:rsidRDefault="00453400" w:rsidP="00F31422">
      <w:pPr>
        <w:spacing w:after="240" w:line="360" w:lineRule="auto"/>
        <w:ind w:left="720" w:hanging="720"/>
        <w:rPr>
          <w:sz w:val="24"/>
          <w:szCs w:val="24"/>
        </w:rPr>
      </w:pPr>
      <w:r w:rsidRPr="00F31422">
        <w:rPr>
          <w:sz w:val="24"/>
          <w:szCs w:val="24"/>
        </w:rPr>
        <w:lastRenderedPageBreak/>
        <w:t xml:space="preserve">Shakib, K. H., Rahman, M., Islam, M., &amp; Chowdhury, M. (2025). Impersonation Attack Using Quantum Shor’s Algorithm Against Blockchain-Based Vehicular Ad-Hoc Network. </w:t>
      </w:r>
      <w:r w:rsidRPr="00F31422">
        <w:rPr>
          <w:i/>
          <w:sz w:val="24"/>
          <w:szCs w:val="24"/>
        </w:rPr>
        <w:t>IEEE Transactions on Intelligent Transportation Systems</w:t>
      </w:r>
      <w:r w:rsidRPr="00F31422">
        <w:rPr>
          <w:sz w:val="24"/>
          <w:szCs w:val="24"/>
        </w:rPr>
        <w:t xml:space="preserve">, 1–15. </w:t>
      </w:r>
      <w:hyperlink r:id="rId89">
        <w:r w:rsidRPr="00F31422">
          <w:rPr>
            <w:color w:val="1155CC"/>
            <w:sz w:val="24"/>
            <w:szCs w:val="24"/>
            <w:u w:val="single"/>
          </w:rPr>
          <w:t>https://doi.org/10.1109/tits.2025.3534656</w:t>
        </w:r>
      </w:hyperlink>
      <w:r w:rsidRPr="00F31422">
        <w:rPr>
          <w:sz w:val="24"/>
          <w:szCs w:val="24"/>
        </w:rPr>
        <w:t xml:space="preserve"> </w:t>
      </w:r>
    </w:p>
    <w:p w14:paraId="14A965F5" w14:textId="77777777" w:rsidR="00905DBC" w:rsidRPr="00F31422" w:rsidRDefault="00453400" w:rsidP="00F31422">
      <w:pPr>
        <w:spacing w:after="240" w:line="360" w:lineRule="auto"/>
        <w:ind w:left="720" w:hanging="720"/>
        <w:rPr>
          <w:sz w:val="24"/>
          <w:szCs w:val="24"/>
        </w:rPr>
      </w:pPr>
      <w:r w:rsidRPr="00F31422">
        <w:rPr>
          <w:sz w:val="24"/>
          <w:szCs w:val="24"/>
        </w:rPr>
        <w:t xml:space="preserve">Shandilya, S. K., Datta, A., Kartik, Y., &amp; Nagar, A. (2024). Navigating the Regulatory Landscape. </w:t>
      </w:r>
      <w:r w:rsidRPr="00F31422">
        <w:rPr>
          <w:i/>
          <w:sz w:val="24"/>
          <w:szCs w:val="24"/>
        </w:rPr>
        <w:t>EAI/Springer Innovations in Communication and Computing</w:t>
      </w:r>
      <w:r w:rsidRPr="00F31422">
        <w:rPr>
          <w:sz w:val="24"/>
          <w:szCs w:val="24"/>
        </w:rPr>
        <w:t xml:space="preserve">, 127–240. </w:t>
      </w:r>
      <w:hyperlink r:id="rId90">
        <w:r w:rsidRPr="00F31422">
          <w:rPr>
            <w:color w:val="1155CC"/>
            <w:sz w:val="24"/>
            <w:szCs w:val="24"/>
            <w:u w:val="single"/>
          </w:rPr>
          <w:t>https://doi.org/10.1007/978-3-031-53290-0_3</w:t>
        </w:r>
      </w:hyperlink>
      <w:r w:rsidRPr="00F31422">
        <w:rPr>
          <w:sz w:val="24"/>
          <w:szCs w:val="24"/>
        </w:rPr>
        <w:t xml:space="preserve"> </w:t>
      </w:r>
    </w:p>
    <w:p w14:paraId="41B911E4" w14:textId="77777777" w:rsidR="00905DBC" w:rsidRPr="00F31422" w:rsidRDefault="00453400" w:rsidP="00F31422">
      <w:pPr>
        <w:spacing w:after="240" w:line="360" w:lineRule="auto"/>
        <w:ind w:left="720" w:hanging="720"/>
        <w:rPr>
          <w:sz w:val="24"/>
          <w:szCs w:val="24"/>
        </w:rPr>
      </w:pPr>
      <w:r w:rsidRPr="00F31422">
        <w:rPr>
          <w:sz w:val="24"/>
          <w:szCs w:val="24"/>
        </w:rPr>
        <w:t xml:space="preserve">Sharma, D. M., Shandilya, S. K., &amp; Satapathy, S. C. (2023). Maximizing blockchain security: Merkle tree hash values generated through advanced vectorized elliptic curve cryptography mechanisms. </w:t>
      </w:r>
      <w:r w:rsidRPr="00F31422">
        <w:rPr>
          <w:i/>
          <w:sz w:val="24"/>
          <w:szCs w:val="24"/>
        </w:rPr>
        <w:t>Concurrency and Computation: Practice and Experience</w:t>
      </w:r>
      <w:r w:rsidRPr="00F31422">
        <w:rPr>
          <w:sz w:val="24"/>
          <w:szCs w:val="24"/>
        </w:rPr>
        <w:t xml:space="preserve">, </w:t>
      </w:r>
      <w:r w:rsidRPr="00F31422">
        <w:rPr>
          <w:i/>
          <w:sz w:val="24"/>
          <w:szCs w:val="24"/>
        </w:rPr>
        <w:t>35</w:t>
      </w:r>
      <w:r w:rsidRPr="00F31422">
        <w:rPr>
          <w:sz w:val="24"/>
          <w:szCs w:val="24"/>
        </w:rPr>
        <w:t xml:space="preserve">(23). </w:t>
      </w:r>
      <w:hyperlink r:id="rId91">
        <w:r w:rsidRPr="00F31422">
          <w:rPr>
            <w:color w:val="1155CC"/>
            <w:sz w:val="24"/>
            <w:szCs w:val="24"/>
            <w:u w:val="single"/>
          </w:rPr>
          <w:t>https://doi.org/10.1002/cpe.7829</w:t>
        </w:r>
      </w:hyperlink>
      <w:r w:rsidRPr="00F31422">
        <w:rPr>
          <w:sz w:val="24"/>
          <w:szCs w:val="24"/>
        </w:rPr>
        <w:t xml:space="preserve"> </w:t>
      </w:r>
    </w:p>
    <w:p w14:paraId="73F01FE8" w14:textId="77777777" w:rsidR="00905DBC" w:rsidRPr="00F31422" w:rsidRDefault="00453400" w:rsidP="00F31422">
      <w:pPr>
        <w:spacing w:after="240" w:line="360" w:lineRule="auto"/>
        <w:ind w:left="720" w:hanging="720"/>
        <w:rPr>
          <w:sz w:val="24"/>
          <w:szCs w:val="24"/>
        </w:rPr>
      </w:pPr>
      <w:r w:rsidRPr="00F31422">
        <w:rPr>
          <w:sz w:val="24"/>
          <w:szCs w:val="24"/>
        </w:rPr>
        <w:t xml:space="preserve">Sood, N. (2024). Cryptography in Post Quantum Computing Era. </w:t>
      </w:r>
      <w:r w:rsidRPr="00F31422">
        <w:rPr>
          <w:i/>
          <w:sz w:val="24"/>
          <w:szCs w:val="24"/>
        </w:rPr>
        <w:t>Social Science Research Network</w:t>
      </w:r>
      <w:r w:rsidRPr="00F31422">
        <w:rPr>
          <w:sz w:val="24"/>
          <w:szCs w:val="24"/>
        </w:rPr>
        <w:t xml:space="preserve">. </w:t>
      </w:r>
      <w:hyperlink r:id="rId92">
        <w:r w:rsidRPr="00F31422">
          <w:rPr>
            <w:color w:val="1155CC"/>
            <w:sz w:val="24"/>
            <w:szCs w:val="24"/>
            <w:u w:val="single"/>
          </w:rPr>
          <w:t>https://doi.org/10.2139/ssrn.4705470</w:t>
        </w:r>
      </w:hyperlink>
      <w:r w:rsidRPr="00F31422">
        <w:rPr>
          <w:sz w:val="24"/>
          <w:szCs w:val="24"/>
        </w:rPr>
        <w:t xml:space="preserve"> </w:t>
      </w:r>
    </w:p>
    <w:p w14:paraId="5E04FD71" w14:textId="77777777" w:rsidR="00905DBC" w:rsidRPr="00F31422" w:rsidRDefault="00453400" w:rsidP="00F31422">
      <w:pPr>
        <w:spacing w:after="240" w:line="360" w:lineRule="auto"/>
        <w:ind w:left="720" w:hanging="720"/>
        <w:rPr>
          <w:sz w:val="24"/>
          <w:szCs w:val="24"/>
        </w:rPr>
      </w:pPr>
      <w:r w:rsidRPr="00F31422">
        <w:rPr>
          <w:sz w:val="24"/>
          <w:szCs w:val="24"/>
        </w:rPr>
        <w:t xml:space="preserve">Swayne, M. (2025). </w:t>
      </w:r>
      <w:r w:rsidRPr="00F31422">
        <w:rPr>
          <w:i/>
          <w:sz w:val="24"/>
          <w:szCs w:val="24"/>
        </w:rPr>
        <w:t>China Launches Its Own Quantum-Resistant Encryption Standards, Bypassing US Efforts</w:t>
      </w:r>
      <w:r w:rsidRPr="00F31422">
        <w:rPr>
          <w:sz w:val="24"/>
          <w:szCs w:val="24"/>
        </w:rPr>
        <w:t xml:space="preserve">. The Quantum Insider. </w:t>
      </w:r>
      <w:hyperlink r:id="rId93">
        <w:r w:rsidRPr="00F31422">
          <w:rPr>
            <w:color w:val="1155CC"/>
            <w:sz w:val="24"/>
            <w:szCs w:val="24"/>
            <w:u w:val="single"/>
          </w:rPr>
          <w:t>https://thequantuminsider.com/2025/02/18/china-launches-its-own-quantum-resistant-encryption-standard-bypassing-us-efforts/</w:t>
        </w:r>
      </w:hyperlink>
      <w:r w:rsidRPr="00F31422">
        <w:rPr>
          <w:sz w:val="24"/>
          <w:szCs w:val="24"/>
        </w:rPr>
        <w:t xml:space="preserve"> </w:t>
      </w:r>
    </w:p>
    <w:p w14:paraId="007BC321" w14:textId="77777777" w:rsidR="00905DBC" w:rsidRPr="00F31422" w:rsidRDefault="00453400" w:rsidP="00F31422">
      <w:pPr>
        <w:spacing w:after="240" w:line="360" w:lineRule="auto"/>
        <w:ind w:left="720" w:hanging="720"/>
        <w:rPr>
          <w:sz w:val="24"/>
          <w:szCs w:val="24"/>
        </w:rPr>
      </w:pPr>
      <w:r w:rsidRPr="00F31422">
        <w:rPr>
          <w:sz w:val="24"/>
          <w:szCs w:val="24"/>
        </w:rPr>
        <w:t xml:space="preserve">Turi , A. N. (2023). Financial Technologies and DeFi. In </w:t>
      </w:r>
      <w:r w:rsidRPr="00F31422">
        <w:rPr>
          <w:i/>
          <w:sz w:val="24"/>
          <w:szCs w:val="24"/>
        </w:rPr>
        <w:t>Springer eBooks</w:t>
      </w:r>
      <w:r w:rsidRPr="00F31422">
        <w:rPr>
          <w:sz w:val="24"/>
          <w:szCs w:val="24"/>
        </w:rPr>
        <w:t xml:space="preserve">. Springer Nature. </w:t>
      </w:r>
      <w:hyperlink r:id="rId94">
        <w:r w:rsidRPr="00F31422">
          <w:rPr>
            <w:color w:val="1155CC"/>
            <w:sz w:val="24"/>
            <w:szCs w:val="24"/>
            <w:u w:val="single"/>
          </w:rPr>
          <w:t>https://doi.org/10.1007/978-3-031-17998-3</w:t>
        </w:r>
      </w:hyperlink>
      <w:r w:rsidRPr="00F31422">
        <w:rPr>
          <w:sz w:val="24"/>
          <w:szCs w:val="24"/>
        </w:rPr>
        <w:t xml:space="preserve">  </w:t>
      </w:r>
    </w:p>
    <w:p w14:paraId="26F96BC2" w14:textId="77777777" w:rsidR="00905DBC" w:rsidRPr="00F31422" w:rsidRDefault="00453400" w:rsidP="00F31422">
      <w:pPr>
        <w:spacing w:after="240" w:line="360" w:lineRule="auto"/>
        <w:ind w:left="720" w:hanging="720"/>
        <w:rPr>
          <w:sz w:val="24"/>
          <w:szCs w:val="24"/>
        </w:rPr>
      </w:pPr>
      <w:r w:rsidRPr="00F31422">
        <w:rPr>
          <w:sz w:val="24"/>
          <w:szCs w:val="24"/>
        </w:rPr>
        <w:t xml:space="preserve">U.S. Department of the Treasury. (2024). </w:t>
      </w:r>
      <w:r w:rsidRPr="00F31422">
        <w:rPr>
          <w:i/>
          <w:sz w:val="24"/>
          <w:szCs w:val="24"/>
        </w:rPr>
        <w:t>G7 Cyber Expert Group Recommends Action to Combat Financial Sector Risks from Quantum Computing</w:t>
      </w:r>
      <w:r w:rsidRPr="00F31422">
        <w:rPr>
          <w:sz w:val="24"/>
          <w:szCs w:val="24"/>
        </w:rPr>
        <w:t xml:space="preserve">. U.S. Department of the Treasury. </w:t>
      </w:r>
      <w:hyperlink r:id="rId95">
        <w:r w:rsidRPr="00F31422">
          <w:rPr>
            <w:color w:val="1155CC"/>
            <w:sz w:val="24"/>
            <w:szCs w:val="24"/>
            <w:u w:val="single"/>
          </w:rPr>
          <w:t>https://home.treasury.gov/news/press-releases/jy2609</w:t>
        </w:r>
      </w:hyperlink>
      <w:r w:rsidRPr="00F31422">
        <w:rPr>
          <w:sz w:val="24"/>
          <w:szCs w:val="24"/>
        </w:rPr>
        <w:t xml:space="preserve"> </w:t>
      </w:r>
    </w:p>
    <w:p w14:paraId="49A7AFBE" w14:textId="77777777" w:rsidR="00905DBC" w:rsidRPr="00F31422" w:rsidRDefault="00453400" w:rsidP="00F31422">
      <w:pPr>
        <w:spacing w:after="240" w:line="360" w:lineRule="auto"/>
        <w:ind w:left="720" w:hanging="720"/>
        <w:rPr>
          <w:sz w:val="24"/>
          <w:szCs w:val="24"/>
        </w:rPr>
      </w:pPr>
      <w:r w:rsidRPr="00F31422">
        <w:rPr>
          <w:sz w:val="24"/>
          <w:szCs w:val="24"/>
        </w:rPr>
        <w:t xml:space="preserve">Val, O. O., Kolade, T. M., Gbadebo, M. O., Selesi-Aina, O., Olateju, O. O., &amp; Olaniyi, O. O. (2024). Strengthening Cybersecurity Measures for the Defense of Critical Infrastructure in the United States. </w:t>
      </w:r>
      <w:r w:rsidRPr="00F31422">
        <w:rPr>
          <w:i/>
          <w:sz w:val="24"/>
          <w:szCs w:val="24"/>
        </w:rPr>
        <w:t>Asian Journal of Research in Computer Science</w:t>
      </w:r>
      <w:r w:rsidRPr="00F31422">
        <w:rPr>
          <w:sz w:val="24"/>
          <w:szCs w:val="24"/>
        </w:rPr>
        <w:t xml:space="preserve">, </w:t>
      </w:r>
      <w:r w:rsidRPr="00F31422">
        <w:rPr>
          <w:i/>
          <w:sz w:val="24"/>
          <w:szCs w:val="24"/>
        </w:rPr>
        <w:t>17</w:t>
      </w:r>
      <w:r w:rsidRPr="00F31422">
        <w:rPr>
          <w:sz w:val="24"/>
          <w:szCs w:val="24"/>
        </w:rPr>
        <w:t xml:space="preserve">(11), 25–45. </w:t>
      </w:r>
      <w:hyperlink r:id="rId96">
        <w:r w:rsidRPr="00F31422">
          <w:rPr>
            <w:color w:val="1155CC"/>
            <w:sz w:val="24"/>
            <w:szCs w:val="24"/>
            <w:u w:val="single"/>
          </w:rPr>
          <w:t>https://doi.org/10.9734/ajrcos/2024/v17i11517</w:t>
        </w:r>
      </w:hyperlink>
      <w:r w:rsidRPr="00F31422">
        <w:rPr>
          <w:sz w:val="24"/>
          <w:szCs w:val="24"/>
        </w:rPr>
        <w:t xml:space="preserve"> </w:t>
      </w:r>
    </w:p>
    <w:p w14:paraId="410DEF31" w14:textId="77777777" w:rsidR="00905DBC" w:rsidRPr="00F31422" w:rsidRDefault="00453400" w:rsidP="00F31422">
      <w:pPr>
        <w:spacing w:after="240" w:line="360" w:lineRule="auto"/>
        <w:ind w:left="720" w:hanging="720"/>
        <w:rPr>
          <w:sz w:val="24"/>
          <w:szCs w:val="24"/>
        </w:rPr>
      </w:pPr>
      <w:r w:rsidRPr="00F31422">
        <w:rPr>
          <w:sz w:val="24"/>
          <w:szCs w:val="24"/>
        </w:rPr>
        <w:lastRenderedPageBreak/>
        <w:t xml:space="preserve">van Daalen, O. (2024). The Technological and Societal Landscape. </w:t>
      </w:r>
      <w:r w:rsidRPr="00F31422">
        <w:rPr>
          <w:i/>
          <w:sz w:val="24"/>
          <w:szCs w:val="24"/>
        </w:rPr>
        <w:t>Information Technology and Law Series/Information Technology &amp; Law Series</w:t>
      </w:r>
      <w:r w:rsidRPr="00F31422">
        <w:rPr>
          <w:sz w:val="24"/>
          <w:szCs w:val="24"/>
        </w:rPr>
        <w:t xml:space="preserve">, 15–84. </w:t>
      </w:r>
      <w:hyperlink r:id="rId97">
        <w:r w:rsidRPr="00F31422">
          <w:rPr>
            <w:color w:val="1155CC"/>
            <w:sz w:val="24"/>
            <w:szCs w:val="24"/>
            <w:u w:val="single"/>
          </w:rPr>
          <w:t>https://doi.org/10.1007/978-94-6265-635-2_2</w:t>
        </w:r>
      </w:hyperlink>
      <w:r w:rsidRPr="00F31422">
        <w:rPr>
          <w:sz w:val="24"/>
          <w:szCs w:val="24"/>
        </w:rPr>
        <w:t xml:space="preserve"> </w:t>
      </w:r>
    </w:p>
    <w:p w14:paraId="4E9E00D1" w14:textId="77777777" w:rsidR="00905DBC" w:rsidRPr="00F31422" w:rsidRDefault="00453400" w:rsidP="00F31422">
      <w:pPr>
        <w:spacing w:after="240" w:line="360" w:lineRule="auto"/>
        <w:ind w:left="720" w:hanging="720"/>
        <w:rPr>
          <w:sz w:val="24"/>
          <w:szCs w:val="24"/>
        </w:rPr>
      </w:pPr>
      <w:r w:rsidRPr="00F31422">
        <w:rPr>
          <w:sz w:val="24"/>
          <w:szCs w:val="24"/>
        </w:rPr>
        <w:t xml:space="preserve">Vasani, V., Prateek, K., Amin, R., Maity, S., &amp; Dwivedi, A. D. (2024). Embracing the quantum frontier: Investigating quantum communication, cryptography, applications and future directions. </w:t>
      </w:r>
      <w:r w:rsidRPr="00F31422">
        <w:rPr>
          <w:i/>
          <w:sz w:val="24"/>
          <w:szCs w:val="24"/>
        </w:rPr>
        <w:t>Journal of Industrial Information Integration (Online)</w:t>
      </w:r>
      <w:r w:rsidRPr="00F31422">
        <w:rPr>
          <w:sz w:val="24"/>
          <w:szCs w:val="24"/>
        </w:rPr>
        <w:t xml:space="preserve">, </w:t>
      </w:r>
      <w:r w:rsidRPr="00F31422">
        <w:rPr>
          <w:i/>
          <w:sz w:val="24"/>
          <w:szCs w:val="24"/>
        </w:rPr>
        <w:t>39</w:t>
      </w:r>
      <w:r w:rsidRPr="00F31422">
        <w:rPr>
          <w:sz w:val="24"/>
          <w:szCs w:val="24"/>
        </w:rPr>
        <w:t xml:space="preserve">, 100594–100594. </w:t>
      </w:r>
      <w:hyperlink r:id="rId98">
        <w:r w:rsidRPr="00F31422">
          <w:rPr>
            <w:color w:val="1155CC"/>
            <w:sz w:val="24"/>
            <w:szCs w:val="24"/>
            <w:u w:val="single"/>
          </w:rPr>
          <w:t>https://doi.org/10.1016/j.jii.2024.100594</w:t>
        </w:r>
      </w:hyperlink>
      <w:r w:rsidRPr="00F31422">
        <w:rPr>
          <w:sz w:val="24"/>
          <w:szCs w:val="24"/>
        </w:rPr>
        <w:t xml:space="preserve"> </w:t>
      </w:r>
    </w:p>
    <w:p w14:paraId="1E923FD9" w14:textId="77777777" w:rsidR="00905DBC" w:rsidRPr="00F31422" w:rsidRDefault="00453400" w:rsidP="00F31422">
      <w:pPr>
        <w:spacing w:after="240" w:line="360" w:lineRule="auto"/>
        <w:ind w:left="720" w:hanging="720"/>
        <w:rPr>
          <w:sz w:val="24"/>
          <w:szCs w:val="24"/>
        </w:rPr>
      </w:pPr>
      <w:r w:rsidRPr="00F31422">
        <w:rPr>
          <w:sz w:val="24"/>
          <w:szCs w:val="24"/>
        </w:rPr>
        <w:t xml:space="preserve">Wang, Z., Yu, L., &amp; Zhou, L. (2024). Navigating the Blockchain-Driven Transformation in Industry 4.0: Opportunities and Challenges for Economic and Management Innovations. </w:t>
      </w:r>
      <w:r w:rsidRPr="00F31422">
        <w:rPr>
          <w:i/>
          <w:sz w:val="24"/>
          <w:szCs w:val="24"/>
        </w:rPr>
        <w:t>Journal of the Knowledge Economy</w:t>
      </w:r>
      <w:r w:rsidRPr="00F31422">
        <w:rPr>
          <w:sz w:val="24"/>
          <w:szCs w:val="24"/>
        </w:rPr>
        <w:t xml:space="preserve">. </w:t>
      </w:r>
      <w:hyperlink r:id="rId99">
        <w:r w:rsidRPr="00F31422">
          <w:rPr>
            <w:color w:val="1155CC"/>
            <w:sz w:val="24"/>
            <w:szCs w:val="24"/>
            <w:u w:val="single"/>
          </w:rPr>
          <w:t>https://doi.org/10.1007/s13132-024-02007-7</w:t>
        </w:r>
      </w:hyperlink>
      <w:r w:rsidRPr="00F31422">
        <w:rPr>
          <w:sz w:val="24"/>
          <w:szCs w:val="24"/>
        </w:rPr>
        <w:t xml:space="preserve"> </w:t>
      </w:r>
    </w:p>
    <w:p w14:paraId="6BA82D37" w14:textId="77777777" w:rsidR="00905DBC" w:rsidRPr="00F31422" w:rsidRDefault="00453400" w:rsidP="00F31422">
      <w:pPr>
        <w:spacing w:after="240" w:line="360" w:lineRule="auto"/>
        <w:ind w:left="720" w:hanging="720"/>
        <w:rPr>
          <w:sz w:val="24"/>
          <w:szCs w:val="24"/>
        </w:rPr>
      </w:pPr>
      <w:r w:rsidRPr="00F31422">
        <w:rPr>
          <w:sz w:val="24"/>
          <w:szCs w:val="24"/>
        </w:rPr>
        <w:t xml:space="preserve">Wewege, L., Lee, J., &amp; Thomsett, M. C. (2020). </w:t>
      </w:r>
      <w:r w:rsidRPr="00F31422">
        <w:rPr>
          <w:i/>
          <w:sz w:val="24"/>
          <w:szCs w:val="24"/>
        </w:rPr>
        <w:t>(PDF) Disruptions and Digital Banking Trends</w:t>
      </w:r>
      <w:r w:rsidRPr="00F31422">
        <w:rPr>
          <w:sz w:val="24"/>
          <w:szCs w:val="24"/>
        </w:rPr>
        <w:t xml:space="preserve">. ResearchGate. </w:t>
      </w:r>
      <w:hyperlink r:id="rId100">
        <w:r w:rsidRPr="00F31422">
          <w:rPr>
            <w:color w:val="1155CC"/>
            <w:sz w:val="24"/>
            <w:szCs w:val="24"/>
            <w:u w:val="single"/>
          </w:rPr>
          <w:t>https://www.researchgate.net/publication/343050625_Disruptions_and_Digital_Banking_Trends</w:t>
        </w:r>
      </w:hyperlink>
      <w:r w:rsidRPr="00F31422">
        <w:rPr>
          <w:sz w:val="24"/>
          <w:szCs w:val="24"/>
        </w:rPr>
        <w:t xml:space="preserve">  </w:t>
      </w:r>
    </w:p>
    <w:p w14:paraId="2DDB7877" w14:textId="77777777" w:rsidR="00905DBC" w:rsidRPr="00F31422" w:rsidRDefault="00453400" w:rsidP="00F31422">
      <w:pPr>
        <w:spacing w:after="240" w:line="360" w:lineRule="auto"/>
        <w:ind w:left="720" w:hanging="720"/>
        <w:rPr>
          <w:sz w:val="24"/>
          <w:szCs w:val="24"/>
        </w:rPr>
      </w:pPr>
      <w:r w:rsidRPr="00F31422">
        <w:rPr>
          <w:sz w:val="24"/>
          <w:szCs w:val="24"/>
        </w:rPr>
        <w:t xml:space="preserve">Yadav, A. K. (2021). Significance of Elliptic Curve Cryptography in Blockchain IoT with Comparative Analysis of RSA Algorithm. </w:t>
      </w:r>
      <w:r w:rsidRPr="00F31422">
        <w:rPr>
          <w:i/>
          <w:sz w:val="24"/>
          <w:szCs w:val="24"/>
        </w:rPr>
        <w:t>2021 International Conference on Computing, Communication, and Intelligent Systems (ICCCIS)</w:t>
      </w:r>
      <w:r w:rsidRPr="00F31422">
        <w:rPr>
          <w:sz w:val="24"/>
          <w:szCs w:val="24"/>
        </w:rPr>
        <w:t xml:space="preserve">. </w:t>
      </w:r>
      <w:hyperlink r:id="rId101">
        <w:r w:rsidRPr="00F31422">
          <w:rPr>
            <w:color w:val="1155CC"/>
            <w:sz w:val="24"/>
            <w:szCs w:val="24"/>
            <w:u w:val="single"/>
          </w:rPr>
          <w:t>https://doi.org/10.1109/icccis51004.2021.9397166</w:t>
        </w:r>
      </w:hyperlink>
      <w:r w:rsidRPr="00F31422">
        <w:rPr>
          <w:sz w:val="24"/>
          <w:szCs w:val="24"/>
        </w:rPr>
        <w:t xml:space="preserve"> </w:t>
      </w:r>
    </w:p>
    <w:p w14:paraId="57A92CD8" w14:textId="77777777" w:rsidR="00905DBC" w:rsidRPr="00F31422" w:rsidRDefault="00905DBC"/>
    <w:sectPr w:rsidR="00905DBC" w:rsidRPr="00F31422">
      <w:headerReference w:type="even" r:id="rId102"/>
      <w:headerReference w:type="default" r:id="rId103"/>
      <w:footerReference w:type="even" r:id="rId104"/>
      <w:footerReference w:type="default" r:id="rId105"/>
      <w:headerReference w:type="first" r:id="rId106"/>
      <w:footerReference w:type="first" r:id="rId10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65141" w14:textId="77777777" w:rsidR="00461338" w:rsidRDefault="00461338" w:rsidP="00C533A9">
      <w:pPr>
        <w:spacing w:line="240" w:lineRule="auto"/>
      </w:pPr>
      <w:r>
        <w:separator/>
      </w:r>
    </w:p>
  </w:endnote>
  <w:endnote w:type="continuationSeparator" w:id="0">
    <w:p w14:paraId="01A6F137" w14:textId="77777777" w:rsidR="00461338" w:rsidRDefault="00461338" w:rsidP="00C533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2DA1E" w14:textId="77777777" w:rsidR="00E669EC" w:rsidRDefault="00E669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7275F" w14:textId="77777777" w:rsidR="00E669EC" w:rsidRDefault="00E669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2C2E4" w14:textId="77777777" w:rsidR="00E669EC" w:rsidRDefault="00E669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55270" w14:textId="77777777" w:rsidR="00461338" w:rsidRDefault="00461338" w:rsidP="00C533A9">
      <w:pPr>
        <w:spacing w:line="240" w:lineRule="auto"/>
      </w:pPr>
      <w:r>
        <w:separator/>
      </w:r>
    </w:p>
  </w:footnote>
  <w:footnote w:type="continuationSeparator" w:id="0">
    <w:p w14:paraId="67E966E7" w14:textId="77777777" w:rsidR="00461338" w:rsidRDefault="00461338" w:rsidP="00C533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DCB61" w14:textId="37F5A229" w:rsidR="00E669EC" w:rsidRDefault="006B1917">
    <w:pPr>
      <w:pStyle w:val="Header"/>
    </w:pPr>
    <w:r>
      <w:rPr>
        <w:noProof/>
      </w:rPr>
      <w:pict w14:anchorId="3920BC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013891"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EEFBD" w14:textId="0B5AA486" w:rsidR="00E669EC" w:rsidRDefault="006B1917">
    <w:pPr>
      <w:pStyle w:val="Header"/>
    </w:pPr>
    <w:r>
      <w:rPr>
        <w:noProof/>
      </w:rPr>
      <w:pict w14:anchorId="774E21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013892"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A33D9" w14:textId="2EA6D61A" w:rsidR="00E669EC" w:rsidRDefault="006B1917">
    <w:pPr>
      <w:pStyle w:val="Header"/>
    </w:pPr>
    <w:r>
      <w:rPr>
        <w:noProof/>
      </w:rPr>
      <w:pict w14:anchorId="15D1DA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013890"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CC584A"/>
    <w:multiLevelType w:val="hybridMultilevel"/>
    <w:tmpl w:val="BF966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681539"/>
    <w:multiLevelType w:val="multilevel"/>
    <w:tmpl w:val="D14AAD8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57BB6BF3"/>
    <w:multiLevelType w:val="multilevel"/>
    <w:tmpl w:val="0C56AC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786732467">
    <w:abstractNumId w:val="2"/>
  </w:num>
  <w:num w:numId="2" w16cid:durableId="267585398">
    <w:abstractNumId w:val="1"/>
  </w:num>
  <w:num w:numId="3" w16cid:durableId="269624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DBC"/>
    <w:rsid w:val="0002024C"/>
    <w:rsid w:val="00024AEA"/>
    <w:rsid w:val="000D3F8C"/>
    <w:rsid w:val="0012010B"/>
    <w:rsid w:val="00122755"/>
    <w:rsid w:val="001D52D4"/>
    <w:rsid w:val="002272AD"/>
    <w:rsid w:val="00241560"/>
    <w:rsid w:val="00356330"/>
    <w:rsid w:val="003B5D95"/>
    <w:rsid w:val="003B7EF2"/>
    <w:rsid w:val="003E539F"/>
    <w:rsid w:val="0040100B"/>
    <w:rsid w:val="00453400"/>
    <w:rsid w:val="00461338"/>
    <w:rsid w:val="0047605A"/>
    <w:rsid w:val="00480B91"/>
    <w:rsid w:val="00487FF5"/>
    <w:rsid w:val="005638C7"/>
    <w:rsid w:val="005A0E51"/>
    <w:rsid w:val="005A570D"/>
    <w:rsid w:val="005A6BE9"/>
    <w:rsid w:val="006107D6"/>
    <w:rsid w:val="006312A8"/>
    <w:rsid w:val="0068368B"/>
    <w:rsid w:val="006B1917"/>
    <w:rsid w:val="006E7588"/>
    <w:rsid w:val="00736125"/>
    <w:rsid w:val="0078253A"/>
    <w:rsid w:val="007F6BFE"/>
    <w:rsid w:val="008313C1"/>
    <w:rsid w:val="008543FB"/>
    <w:rsid w:val="00870598"/>
    <w:rsid w:val="00887DDA"/>
    <w:rsid w:val="008B502A"/>
    <w:rsid w:val="00905DBC"/>
    <w:rsid w:val="00A10ED6"/>
    <w:rsid w:val="00AD29C3"/>
    <w:rsid w:val="00B36E81"/>
    <w:rsid w:val="00BA08C4"/>
    <w:rsid w:val="00C1362C"/>
    <w:rsid w:val="00C432C4"/>
    <w:rsid w:val="00C533A9"/>
    <w:rsid w:val="00C5542C"/>
    <w:rsid w:val="00D25A95"/>
    <w:rsid w:val="00E669EC"/>
    <w:rsid w:val="00ED4248"/>
    <w:rsid w:val="00EF713D"/>
    <w:rsid w:val="00F312CF"/>
    <w:rsid w:val="00F31422"/>
    <w:rsid w:val="00FC4326"/>
    <w:rsid w:val="00FE1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C7E8EF0"/>
  <w15:docId w15:val="{1A143594-5374-4749-A27C-9C777018D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5A6BE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312CF"/>
    <w:rPr>
      <w:b/>
      <w:bCs/>
    </w:rPr>
  </w:style>
  <w:style w:type="character" w:customStyle="1" w:styleId="katex-mathml">
    <w:name w:val="katex-mathml"/>
    <w:basedOn w:val="DefaultParagraphFont"/>
    <w:rsid w:val="00F312CF"/>
  </w:style>
  <w:style w:type="character" w:customStyle="1" w:styleId="mord">
    <w:name w:val="mord"/>
    <w:basedOn w:val="DefaultParagraphFont"/>
    <w:rsid w:val="00F312CF"/>
  </w:style>
  <w:style w:type="character" w:customStyle="1" w:styleId="vlist-s">
    <w:name w:val="vlist-s"/>
    <w:basedOn w:val="DefaultParagraphFont"/>
    <w:rsid w:val="00F312CF"/>
  </w:style>
  <w:style w:type="character" w:customStyle="1" w:styleId="mopen">
    <w:name w:val="mopen"/>
    <w:basedOn w:val="DefaultParagraphFont"/>
    <w:rsid w:val="00F312CF"/>
  </w:style>
  <w:style w:type="character" w:customStyle="1" w:styleId="mclose">
    <w:name w:val="mclose"/>
    <w:basedOn w:val="DefaultParagraphFont"/>
    <w:rsid w:val="00F312CF"/>
  </w:style>
  <w:style w:type="character" w:customStyle="1" w:styleId="mrel">
    <w:name w:val="mrel"/>
    <w:basedOn w:val="DefaultParagraphFont"/>
    <w:rsid w:val="00F312CF"/>
  </w:style>
  <w:style w:type="character" w:customStyle="1" w:styleId="mop">
    <w:name w:val="mop"/>
    <w:basedOn w:val="DefaultParagraphFont"/>
    <w:rsid w:val="00F312CF"/>
  </w:style>
  <w:style w:type="character" w:customStyle="1" w:styleId="mbin">
    <w:name w:val="mbin"/>
    <w:basedOn w:val="DefaultParagraphFont"/>
    <w:rsid w:val="00F312CF"/>
  </w:style>
  <w:style w:type="character" w:styleId="PlaceholderText">
    <w:name w:val="Placeholder Text"/>
    <w:basedOn w:val="DefaultParagraphFont"/>
    <w:uiPriority w:val="99"/>
    <w:semiHidden/>
    <w:rsid w:val="00024AEA"/>
    <w:rPr>
      <w:color w:val="808080"/>
    </w:rPr>
  </w:style>
  <w:style w:type="paragraph" w:styleId="ListParagraph">
    <w:name w:val="List Paragraph"/>
    <w:basedOn w:val="Normal"/>
    <w:uiPriority w:val="34"/>
    <w:qFormat/>
    <w:rsid w:val="003B7EF2"/>
    <w:pPr>
      <w:ind w:left="720"/>
      <w:contextualSpacing/>
    </w:pPr>
  </w:style>
  <w:style w:type="paragraph" w:styleId="NoSpacing">
    <w:name w:val="No Spacing"/>
    <w:uiPriority w:val="1"/>
    <w:qFormat/>
    <w:rsid w:val="006E7588"/>
    <w:pPr>
      <w:spacing w:line="240" w:lineRule="auto"/>
    </w:pPr>
    <w:rPr>
      <w:rFonts w:asciiTheme="minorHAnsi" w:eastAsiaTheme="minorHAnsi" w:hAnsiTheme="minorHAnsi" w:cstheme="minorBidi"/>
      <w:kern w:val="2"/>
      <w:lang w:val="en-US"/>
      <w14:ligatures w14:val="standardContextual"/>
    </w:rPr>
  </w:style>
  <w:style w:type="character" w:styleId="Hyperlink">
    <w:name w:val="Hyperlink"/>
    <w:basedOn w:val="DefaultParagraphFont"/>
    <w:uiPriority w:val="99"/>
    <w:unhideWhenUsed/>
    <w:rsid w:val="00C1362C"/>
    <w:rPr>
      <w:color w:val="0000FF" w:themeColor="hyperlink"/>
      <w:u w:val="single"/>
    </w:rPr>
  </w:style>
  <w:style w:type="character" w:customStyle="1" w:styleId="UnresolvedMention1">
    <w:name w:val="Unresolved Mention1"/>
    <w:basedOn w:val="DefaultParagraphFont"/>
    <w:uiPriority w:val="99"/>
    <w:semiHidden/>
    <w:unhideWhenUsed/>
    <w:rsid w:val="00C1362C"/>
    <w:rPr>
      <w:color w:val="605E5C"/>
      <w:shd w:val="clear" w:color="auto" w:fill="E1DFDD"/>
    </w:rPr>
  </w:style>
  <w:style w:type="paragraph" w:styleId="Header">
    <w:name w:val="header"/>
    <w:basedOn w:val="Normal"/>
    <w:link w:val="HeaderChar"/>
    <w:uiPriority w:val="99"/>
    <w:unhideWhenUsed/>
    <w:rsid w:val="00C533A9"/>
    <w:pPr>
      <w:tabs>
        <w:tab w:val="center" w:pos="4680"/>
        <w:tab w:val="right" w:pos="9360"/>
      </w:tabs>
      <w:spacing w:line="240" w:lineRule="auto"/>
    </w:pPr>
  </w:style>
  <w:style w:type="character" w:customStyle="1" w:styleId="HeaderChar">
    <w:name w:val="Header Char"/>
    <w:basedOn w:val="DefaultParagraphFont"/>
    <w:link w:val="Header"/>
    <w:uiPriority w:val="99"/>
    <w:rsid w:val="00C533A9"/>
  </w:style>
  <w:style w:type="paragraph" w:styleId="Footer">
    <w:name w:val="footer"/>
    <w:basedOn w:val="Normal"/>
    <w:link w:val="FooterChar"/>
    <w:uiPriority w:val="99"/>
    <w:unhideWhenUsed/>
    <w:rsid w:val="00C533A9"/>
    <w:pPr>
      <w:tabs>
        <w:tab w:val="center" w:pos="4680"/>
        <w:tab w:val="right" w:pos="9360"/>
      </w:tabs>
      <w:spacing w:line="240" w:lineRule="auto"/>
    </w:pPr>
  </w:style>
  <w:style w:type="character" w:customStyle="1" w:styleId="FooterChar">
    <w:name w:val="Footer Char"/>
    <w:basedOn w:val="DefaultParagraphFont"/>
    <w:link w:val="Footer"/>
    <w:uiPriority w:val="99"/>
    <w:rsid w:val="00C53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437066">
      <w:bodyDiv w:val="1"/>
      <w:marLeft w:val="0"/>
      <w:marRight w:val="0"/>
      <w:marTop w:val="0"/>
      <w:marBottom w:val="0"/>
      <w:divBdr>
        <w:top w:val="none" w:sz="0" w:space="0" w:color="auto"/>
        <w:left w:val="none" w:sz="0" w:space="0" w:color="auto"/>
        <w:bottom w:val="none" w:sz="0" w:space="0" w:color="auto"/>
        <w:right w:val="none" w:sz="0" w:space="0" w:color="auto"/>
      </w:divBdr>
      <w:divsChild>
        <w:div w:id="123150405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oi.org/10.9734/jerr/2025/v27i21399" TargetMode="External"/><Relationship Id="rId21" Type="http://schemas.openxmlformats.org/officeDocument/2006/relationships/hyperlink" Target="https://doi.org/10.1038/s41598-023-32701-6" TargetMode="External"/><Relationship Id="rId42" Type="http://schemas.openxmlformats.org/officeDocument/2006/relationships/hyperlink" Target="https://doi.org/10.1038/s41586-022-04603-6" TargetMode="External"/><Relationship Id="rId47" Type="http://schemas.openxmlformats.org/officeDocument/2006/relationships/hyperlink" Target="https://doi.org/10.1038/s41586-022-04623-2" TargetMode="External"/><Relationship Id="rId63" Type="http://schemas.openxmlformats.org/officeDocument/2006/relationships/hyperlink" Target="https://cybersecurityventures.com/cybersecurity-almanac-2023/" TargetMode="External"/><Relationship Id="rId68" Type="http://schemas.openxmlformats.org/officeDocument/2006/relationships/hyperlink" Target="https://www.nist.gov/news-events/news/2024/08/nist-releases-first-3-finalized-post-quantum-encryption-standards" TargetMode="External"/><Relationship Id="rId84" Type="http://schemas.openxmlformats.org/officeDocument/2006/relationships/hyperlink" Target="https://doi.org/10.58496/MJAIH/2024/016" TargetMode="External"/><Relationship Id="rId89" Type="http://schemas.openxmlformats.org/officeDocument/2006/relationships/hyperlink" Target="https://doi.org/10.1109/tits.2025.3534656" TargetMode="External"/><Relationship Id="rId16" Type="http://schemas.openxmlformats.org/officeDocument/2006/relationships/hyperlink" Target="https://media.neliti.com/media/publications/593258-enhancing-data-security-and-transparency-b21f006d.pdf" TargetMode="External"/><Relationship Id="rId107" Type="http://schemas.openxmlformats.org/officeDocument/2006/relationships/footer" Target="footer3.xml"/><Relationship Id="rId11" Type="http://schemas.openxmlformats.org/officeDocument/2006/relationships/image" Target="media/image5.png"/><Relationship Id="rId32" Type="http://schemas.openxmlformats.org/officeDocument/2006/relationships/hyperlink" Target="https://doi.org/10.3390/electronics14010070" TargetMode="External"/><Relationship Id="rId37" Type="http://schemas.openxmlformats.org/officeDocument/2006/relationships/hyperlink" Target="https://doi.org/10.2139/ssrn.5168159" TargetMode="External"/><Relationship Id="rId53" Type="http://schemas.openxmlformats.org/officeDocument/2006/relationships/hyperlink" Target="https://edition.cnn.com/2023/02/01/tech/crypto-hacks-2022/index.html" TargetMode="External"/><Relationship Id="rId58" Type="http://schemas.openxmlformats.org/officeDocument/2006/relationships/hyperlink" Target="https://doi.org/10.1049/blc2.12094" TargetMode="External"/><Relationship Id="rId74" Type="http://schemas.openxmlformats.org/officeDocument/2006/relationships/hyperlink" Target="https://doi.org/10.1109/jiot.2024.3410702" TargetMode="External"/><Relationship Id="rId79" Type="http://schemas.openxmlformats.org/officeDocument/2006/relationships/hyperlink" Target="https://doi.org/10.2139/ssrn.5141513" TargetMode="External"/><Relationship Id="rId102" Type="http://schemas.openxmlformats.org/officeDocument/2006/relationships/header" Target="header1.xml"/><Relationship Id="rId5" Type="http://schemas.openxmlformats.org/officeDocument/2006/relationships/footnotes" Target="footnotes.xml"/><Relationship Id="rId90" Type="http://schemas.openxmlformats.org/officeDocument/2006/relationships/hyperlink" Target="https://doi.org/10.1007/978-3-031-53290-0_3" TargetMode="External"/><Relationship Id="rId95" Type="http://schemas.openxmlformats.org/officeDocument/2006/relationships/hyperlink" Target="https://home.treasury.gov/news/press-releases/jy2609" TargetMode="External"/><Relationship Id="rId22" Type="http://schemas.openxmlformats.org/officeDocument/2006/relationships/hyperlink" Target="https://doi.org/10.3390/jrfm17010019" TargetMode="External"/><Relationship Id="rId27" Type="http://schemas.openxmlformats.org/officeDocument/2006/relationships/hyperlink" Target="https://www.forbes.com/councils/forbestechcouncil/2022/07/18/how-blockchain-brought-solid-level-security-to-fortune-500-companies/" TargetMode="External"/><Relationship Id="rId43" Type="http://schemas.openxmlformats.org/officeDocument/2006/relationships/hyperlink" Target="https://doi.org/10.3390/businesses3040036" TargetMode="External"/><Relationship Id="rId48" Type="http://schemas.openxmlformats.org/officeDocument/2006/relationships/hyperlink" Target="https://doi.org/10.9734/jerr/2024/v26i91271" TargetMode="External"/><Relationship Id="rId64" Type="http://schemas.openxmlformats.org/officeDocument/2006/relationships/hyperlink" Target="https://doi.org/10.3390/joitmc7010019" TargetMode="External"/><Relationship Id="rId69" Type="http://schemas.openxmlformats.org/officeDocument/2006/relationships/hyperlink" Target="https://www.nsa.gov/Press-Room/Press-Releases-Statements/Press-Release-View/Article/3148990/nsa-releases-future-quantum-resistant-qr-algorithm-requirements-for-national-se/" TargetMode="External"/><Relationship Id="rId80" Type="http://schemas.openxmlformats.org/officeDocument/2006/relationships/hyperlink" Target="https://www.pwc.com/gx/en/financial-services/pdf/the-rise-of-central-bank-digital-currencies.pdf" TargetMode="External"/><Relationship Id="rId85" Type="http://schemas.openxmlformats.org/officeDocument/2006/relationships/hyperlink" Target="https://doi.org/10.9734/ajrcos/2024/v17i12530" TargetMode="External"/><Relationship Id="rId12" Type="http://schemas.openxmlformats.org/officeDocument/2006/relationships/image" Target="media/image6.png"/><Relationship Id="rId17" Type="http://schemas.openxmlformats.org/officeDocument/2006/relationships/hyperlink" Target="https://doi.org/10.9734/acri/2025/v25i21090" TargetMode="External"/><Relationship Id="rId33" Type="http://schemas.openxmlformats.org/officeDocument/2006/relationships/hyperlink" Target="https://www.eba.europa.eu/regulation-and-policy/digital-finance" TargetMode="External"/><Relationship Id="rId38" Type="http://schemas.openxmlformats.org/officeDocument/2006/relationships/hyperlink" Target="https://doi.org/10.9734/jerr/2024/v26i111311" TargetMode="External"/><Relationship Id="rId59" Type="http://schemas.openxmlformats.org/officeDocument/2006/relationships/hyperlink" Target="https://doi.org/10.9734/ajrcos/2024/v17i5442" TargetMode="External"/><Relationship Id="rId103" Type="http://schemas.openxmlformats.org/officeDocument/2006/relationships/header" Target="header2.xml"/><Relationship Id="rId108" Type="http://schemas.openxmlformats.org/officeDocument/2006/relationships/fontTable" Target="fontTable.xml"/><Relationship Id="rId54" Type="http://schemas.openxmlformats.org/officeDocument/2006/relationships/hyperlink" Target="https://doi.org/10.3390/fintech4010007" TargetMode="External"/><Relationship Id="rId70" Type="http://schemas.openxmlformats.org/officeDocument/2006/relationships/hyperlink" Target="https://doi.org/10.9734/ajrcos/2025/v18i2564" TargetMode="External"/><Relationship Id="rId75" Type="http://schemas.openxmlformats.org/officeDocument/2006/relationships/hyperlink" Target="https://doi.org/10.9734/jerr/2025/v27i31416" TargetMode="External"/><Relationship Id="rId91" Type="http://schemas.openxmlformats.org/officeDocument/2006/relationships/hyperlink" Target="https://doi.org/10.1002/cpe.7829" TargetMode="External"/><Relationship Id="rId96" Type="http://schemas.openxmlformats.org/officeDocument/2006/relationships/hyperlink" Target="https://doi.org/10.9734/ajrcos/2024/v17i11517"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51594/csitrj.v5i6.1194" TargetMode="External"/><Relationship Id="rId23" Type="http://schemas.openxmlformats.org/officeDocument/2006/relationships/hyperlink" Target="https://doi.org/10.33022/ijcs.v13i3.4095" TargetMode="External"/><Relationship Id="rId28" Type="http://schemas.openxmlformats.org/officeDocument/2006/relationships/hyperlink" Target="https://doi.org/10.1002/9781394242399.ch10" TargetMode="External"/><Relationship Id="rId36" Type="http://schemas.openxmlformats.org/officeDocument/2006/relationships/hyperlink" Target="https://hdl.handle.net/1721.1/156006" TargetMode="External"/><Relationship Id="rId49" Type="http://schemas.openxmlformats.org/officeDocument/2006/relationships/hyperlink" Target="https://techwireasia.com/2025/01/chinas-digital-infrastructure-gets-54-5b-blockchain-overhaul/" TargetMode="External"/><Relationship Id="rId57" Type="http://schemas.openxmlformats.org/officeDocument/2006/relationships/hyperlink" Target="https://doi.org/10.2139/ssrn.4923230" TargetMode="External"/><Relationship Id="rId106" Type="http://schemas.openxmlformats.org/officeDocument/2006/relationships/header" Target="header3.xml"/><Relationship Id="rId10" Type="http://schemas.openxmlformats.org/officeDocument/2006/relationships/image" Target="media/image4.png"/><Relationship Id="rId31" Type="http://schemas.openxmlformats.org/officeDocument/2006/relationships/hyperlink" Target="https://doi.org/10.2139/ssrn.4203758" TargetMode="External"/><Relationship Id="rId44" Type="http://schemas.openxmlformats.org/officeDocument/2006/relationships/hyperlink" Target="https://www.prnewswire.com/news-releases/iqt-research-forecasts-revenues-from-post-quantum-cryptography-to-reach-6-7-billion-by-2032--301884634.html" TargetMode="External"/><Relationship Id="rId52" Type="http://schemas.openxmlformats.org/officeDocument/2006/relationships/hyperlink" Target="https://doi.org/10.9734/ajrcos/2025/v18i1554" TargetMode="External"/><Relationship Id="rId60" Type="http://schemas.openxmlformats.org/officeDocument/2006/relationships/hyperlink" Target="https://arxiv.org/abs/2405.10119" TargetMode="External"/><Relationship Id="rId65" Type="http://schemas.openxmlformats.org/officeDocument/2006/relationships/hyperlink" Target="http://hammingate.com/index.php/GRPCGPM/article/view/2" TargetMode="External"/><Relationship Id="rId73" Type="http://schemas.openxmlformats.org/officeDocument/2006/relationships/hyperlink" Target="https://doi.org/10.9734/ajrcos/2025/v18i1557" TargetMode="External"/><Relationship Id="rId78" Type="http://schemas.openxmlformats.org/officeDocument/2006/relationships/hyperlink" Target="https://doi.org/10.9734/jerr/2025/v27i21413" TargetMode="External"/><Relationship Id="rId81" Type="http://schemas.openxmlformats.org/officeDocument/2006/relationships/hyperlink" Target="https://doi.org/10.1515/9783111354842-008" TargetMode="External"/><Relationship Id="rId86" Type="http://schemas.openxmlformats.org/officeDocument/2006/relationships/hyperlink" Target="https://doi.org/10.9734/acri/2024/v24i6794" TargetMode="External"/><Relationship Id="rId94" Type="http://schemas.openxmlformats.org/officeDocument/2006/relationships/hyperlink" Target="https://doi.org/10.1007/978-3-031-17998-3" TargetMode="External"/><Relationship Id="rId99" Type="http://schemas.openxmlformats.org/officeDocument/2006/relationships/hyperlink" Target="https://doi.org/10.1007/s13132-024-02007-7" TargetMode="External"/><Relationship Id="rId101" Type="http://schemas.openxmlformats.org/officeDocument/2006/relationships/hyperlink" Target="https://doi.org/10.1109/icccis51004.2021.9397166" TargetMode="Externa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hyperlink" Target="https://doi.org/10.1007/978-981-97-0088-2_7" TargetMode="External"/><Relationship Id="rId39" Type="http://schemas.openxmlformats.org/officeDocument/2006/relationships/hyperlink" Target="https://doi.org/10.46328/ijonest.240" TargetMode="External"/><Relationship Id="rId109" Type="http://schemas.openxmlformats.org/officeDocument/2006/relationships/theme" Target="theme/theme1.xml"/><Relationship Id="rId34" Type="http://schemas.openxmlformats.org/officeDocument/2006/relationships/hyperlink" Target="https://www.forbes.com/councils/forbesfinancecouncil/2024/03/28/fed-versus-ecb-a-comparison-of-monetary-policies-over-the-last-year/" TargetMode="External"/><Relationship Id="rId50" Type="http://schemas.openxmlformats.org/officeDocument/2006/relationships/hyperlink" Target="https://doi.org/10.3390/cmsf2023006001" TargetMode="External"/><Relationship Id="rId55" Type="http://schemas.openxmlformats.org/officeDocument/2006/relationships/hyperlink" Target="https://doi.org/10.1016/j.geoforum.2024.104193" TargetMode="External"/><Relationship Id="rId76" Type="http://schemas.openxmlformats.org/officeDocument/2006/relationships/hyperlink" Target="https://doi.org/10.9734/ajrcos/2025/v18i3583" TargetMode="External"/><Relationship Id="rId97" Type="http://schemas.openxmlformats.org/officeDocument/2006/relationships/hyperlink" Target="https://doi.org/10.1007/978-94-6265-635-2_2" TargetMode="External"/><Relationship Id="rId104" Type="http://schemas.openxmlformats.org/officeDocument/2006/relationships/footer" Target="footer1.xml"/><Relationship Id="rId7" Type="http://schemas.openxmlformats.org/officeDocument/2006/relationships/image" Target="media/image1.png"/><Relationship Id="rId71" Type="http://schemas.openxmlformats.org/officeDocument/2006/relationships/hyperlink" Target="https://doi.org/10.9734/jerr/2025/v27i21400" TargetMode="External"/><Relationship Id="rId92" Type="http://schemas.openxmlformats.org/officeDocument/2006/relationships/hyperlink" Target="https://doi.org/10.2139/ssrn.4705470" TargetMode="External"/><Relationship Id="rId2" Type="http://schemas.openxmlformats.org/officeDocument/2006/relationships/styles" Target="styles.xml"/><Relationship Id="rId29" Type="http://schemas.openxmlformats.org/officeDocument/2006/relationships/hyperlink" Target="https://www.bis.org/about/bisih/topics/cyber_security/leap.htm" TargetMode="External"/><Relationship Id="rId24" Type="http://schemas.openxmlformats.org/officeDocument/2006/relationships/hyperlink" Target="https://doi.org/10.9734/ajrcos/2025/v18i1555" TargetMode="External"/><Relationship Id="rId40" Type="http://schemas.openxmlformats.org/officeDocument/2006/relationships/hyperlink" Target="https://doi.org/10.1109/comst.2024.3355222" TargetMode="External"/><Relationship Id="rId45" Type="http://schemas.openxmlformats.org/officeDocument/2006/relationships/hyperlink" Target="https://doi.org/10.1109/access.2023.3318755" TargetMode="External"/><Relationship Id="rId66" Type="http://schemas.openxmlformats.org/officeDocument/2006/relationships/hyperlink" Target="https://doi.org/10.53555/ephijse.v9i2.234" TargetMode="External"/><Relationship Id="rId87" Type="http://schemas.openxmlformats.org/officeDocument/2006/relationships/hyperlink" Target="https://doi.org/10.48550/arxiv.2401.16317" TargetMode="External"/><Relationship Id="rId61" Type="http://schemas.openxmlformats.org/officeDocument/2006/relationships/hyperlink" Target="https://doi.org/10.1109/punecon63413.2024.10895777" TargetMode="External"/><Relationship Id="rId82" Type="http://schemas.openxmlformats.org/officeDocument/2006/relationships/hyperlink" Target="https://doi.org/10.1109/access.2024.3518533" TargetMode="External"/><Relationship Id="rId19" Type="http://schemas.openxmlformats.org/officeDocument/2006/relationships/hyperlink" Target="https://www.nist.gov/publications/status-report-first-round-nist-post-quantum-cryptography-standardization-process" TargetMode="External"/><Relationship Id="rId14" Type="http://schemas.openxmlformats.org/officeDocument/2006/relationships/hyperlink" Target="https://doi.org/10.4236/me.2021.121001" TargetMode="External"/><Relationship Id="rId30" Type="http://schemas.openxmlformats.org/officeDocument/2006/relationships/hyperlink" Target="https://www.congress.gov/bill/117th-congress/house-bill/7535" TargetMode="External"/><Relationship Id="rId35" Type="http://schemas.openxmlformats.org/officeDocument/2006/relationships/hyperlink" Target="https://doi.org/10.4018/979-8-3693-3824-7.ch006" TargetMode="External"/><Relationship Id="rId56" Type="http://schemas.openxmlformats.org/officeDocument/2006/relationships/hyperlink" Target="https://doi.org/10.1007/s10586-024-04799-4" TargetMode="External"/><Relationship Id="rId77" Type="http://schemas.openxmlformats.org/officeDocument/2006/relationships/hyperlink" Target="https://doi.org/10.9734/ajrcos/2025/v18i3586" TargetMode="External"/><Relationship Id="rId100" Type="http://schemas.openxmlformats.org/officeDocument/2006/relationships/hyperlink" Target="https://www.researchgate.net/publication/343050625_Disruptions_and_Digital_Banking_Trends" TargetMode="External"/><Relationship Id="rId105" Type="http://schemas.openxmlformats.org/officeDocument/2006/relationships/footer" Target="footer2.xml"/><Relationship Id="rId8" Type="http://schemas.openxmlformats.org/officeDocument/2006/relationships/image" Target="media/image2.png"/><Relationship Id="rId51" Type="http://schemas.openxmlformats.org/officeDocument/2006/relationships/hyperlink" Target="https://doi.org/10.9734/ajrcos/2024/v17i12528" TargetMode="External"/><Relationship Id="rId72" Type="http://schemas.openxmlformats.org/officeDocument/2006/relationships/hyperlink" Target="https://doi.org/10.9734/jerr/2025/v27i21390" TargetMode="External"/><Relationship Id="rId93" Type="http://schemas.openxmlformats.org/officeDocument/2006/relationships/hyperlink" Target="https://thequantuminsider.com/2025/02/18/china-launches-its-own-quantum-resistant-encryption-standard-bypassing-us-efforts/" TargetMode="External"/><Relationship Id="rId98" Type="http://schemas.openxmlformats.org/officeDocument/2006/relationships/hyperlink" Target="https://doi.org/10.1016/j.jii.2024.100594" TargetMode="External"/><Relationship Id="rId3" Type="http://schemas.openxmlformats.org/officeDocument/2006/relationships/settings" Target="settings.xml"/><Relationship Id="rId25" Type="http://schemas.openxmlformats.org/officeDocument/2006/relationships/hyperlink" Target="https://doi.org/10.9734/jerr/2025/v27i31414" TargetMode="External"/><Relationship Id="rId46" Type="http://schemas.openxmlformats.org/officeDocument/2006/relationships/hyperlink" Target="https://doi.org/10.62019/abbdm.v4i1.133" TargetMode="External"/><Relationship Id="rId67" Type="http://schemas.openxmlformats.org/officeDocument/2006/relationships/hyperlink" Target="https://www.weforum.org/stories/2024/05/safeguarding-central-bank-digital-currency-systems-post-quantum-age/" TargetMode="External"/><Relationship Id="rId20" Type="http://schemas.openxmlformats.org/officeDocument/2006/relationships/hyperlink" Target="https://doi.org/10.9734/ajeba/2024/v24i111542" TargetMode="External"/><Relationship Id="rId41" Type="http://schemas.openxmlformats.org/officeDocument/2006/relationships/hyperlink" Target="https://doi.org/10.24018/compute.2025.5.1.146" TargetMode="External"/><Relationship Id="rId62" Type="http://schemas.openxmlformats.org/officeDocument/2006/relationships/hyperlink" Target="https://www.moodys.com/web/en/us/insights/regulatory-news/bis-and-central-banks-to-address-cyber-threats-from-quantum-computing.html" TargetMode="External"/><Relationship Id="rId83" Type="http://schemas.openxmlformats.org/officeDocument/2006/relationships/hyperlink" Target="https://doi.org/10.2139/ssrn.4644253" TargetMode="External"/><Relationship Id="rId88" Type="http://schemas.openxmlformats.org/officeDocument/2006/relationships/hyperlink" Target="https://www.sealsq.com/investors/news-releases/sealsq-enhances-financial-sector-security-with-post-quantum-cryptography-solu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38</Pages>
  <Words>9460</Words>
  <Characters>74925</Characters>
  <Application>Microsoft Office Word</Application>
  <DocSecurity>4</DocSecurity>
  <Lines>624</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Iyanuloluwa</dc:creator>
  <cp:lastModifiedBy>Oluwaseun Olaniyi</cp:lastModifiedBy>
  <cp:revision>2</cp:revision>
  <dcterms:created xsi:type="dcterms:W3CDTF">2025-04-01T02:06:00Z</dcterms:created>
  <dcterms:modified xsi:type="dcterms:W3CDTF">2025-04-01T02:06:00Z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ed490254cf04e09814947da66118d3f5b8799393a523a1c6647b2c704f344dc1</vt:lpwstr>
  </property>
</Properties>
</file>