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6EA6B" w14:textId="2F03A868" w:rsidR="00775392" w:rsidRDefault="00775392" w:rsidP="00775392">
      <w:pPr>
        <w:spacing w:after="0" w:line="240" w:lineRule="auto"/>
        <w:jc w:val="center"/>
        <w:rPr>
          <w:rFonts w:ascii="Arial" w:hAnsi="Arial" w:cs="Arial"/>
          <w:b/>
          <w:bCs/>
        </w:rPr>
      </w:pPr>
      <w:r>
        <w:rPr>
          <w:rFonts w:ascii="Arial" w:hAnsi="Arial" w:cs="Arial"/>
          <w:b/>
          <w:bCs/>
        </w:rPr>
        <w:t>T</w:t>
      </w:r>
      <w:r w:rsidRPr="00775392">
        <w:rPr>
          <w:rFonts w:ascii="Arial" w:hAnsi="Arial" w:cs="Arial"/>
          <w:b/>
          <w:bCs/>
        </w:rPr>
        <w:t>he Influence of World Oil Prices and Inflation on Fuel Subsidies in Indonesia</w:t>
      </w:r>
      <w:r w:rsidR="00E025A9">
        <w:rPr>
          <w:rFonts w:ascii="Arial" w:hAnsi="Arial" w:cs="Arial"/>
          <w:b/>
          <w:bCs/>
        </w:rPr>
        <w:t xml:space="preserve"> 2014-2022</w:t>
      </w:r>
    </w:p>
    <w:p w14:paraId="25CF36D5" w14:textId="77777777" w:rsidR="00EF03B8" w:rsidRPr="001811DD" w:rsidRDefault="00EF03B8" w:rsidP="00775392">
      <w:pPr>
        <w:jc w:val="center"/>
        <w:rPr>
          <w:rFonts w:ascii="Arial" w:hAnsi="Arial" w:cs="Arial"/>
        </w:rPr>
      </w:pPr>
    </w:p>
    <w:p w14:paraId="57597138" w14:textId="77777777" w:rsidR="00EF03B8" w:rsidRPr="00EF03B8" w:rsidRDefault="00EF03B8" w:rsidP="00EF03B8">
      <w:pPr>
        <w:jc w:val="center"/>
        <w:rPr>
          <w:rFonts w:ascii="Arial" w:hAnsi="Arial" w:cs="Arial"/>
          <w:b/>
          <w:bCs/>
        </w:rPr>
      </w:pPr>
      <w:r w:rsidRPr="00EF03B8">
        <w:rPr>
          <w:rFonts w:ascii="Arial" w:hAnsi="Arial" w:cs="Arial"/>
          <w:b/>
          <w:bCs/>
        </w:rPr>
        <w:t>Abstract</w:t>
      </w:r>
    </w:p>
    <w:p w14:paraId="0F5224A1" w14:textId="3770469F" w:rsidR="00EF03B8" w:rsidRDefault="00EF03B8" w:rsidP="00775392">
      <w:pPr>
        <w:spacing w:after="0"/>
        <w:jc w:val="both"/>
        <w:rPr>
          <w:rFonts w:ascii="Arial" w:hAnsi="Arial" w:cs="Arial"/>
        </w:rPr>
      </w:pPr>
      <w:r w:rsidRPr="00EF03B8">
        <w:rPr>
          <w:rFonts w:ascii="Arial" w:hAnsi="Arial" w:cs="Arial"/>
        </w:rPr>
        <w:t xml:space="preserve">This study aims to </w:t>
      </w:r>
      <w:proofErr w:type="spellStart"/>
      <w:r w:rsidRPr="00EF03B8">
        <w:rPr>
          <w:rFonts w:ascii="Arial" w:hAnsi="Arial" w:cs="Arial"/>
        </w:rPr>
        <w:t>analyze</w:t>
      </w:r>
      <w:proofErr w:type="spellEnd"/>
      <w:r w:rsidRPr="00EF03B8">
        <w:rPr>
          <w:rFonts w:ascii="Arial" w:hAnsi="Arial" w:cs="Arial"/>
        </w:rPr>
        <w:t xml:space="preserve"> the influence of world oil prices and inflation on fuel subsidies (BBM) in Indonesia. Given the importance of fuel subsidies in maintaining the purchasing power of the public, this research utilizes secondary data from a specific period and </w:t>
      </w:r>
      <w:proofErr w:type="spellStart"/>
      <w:r w:rsidRPr="00EF03B8">
        <w:rPr>
          <w:rFonts w:ascii="Arial" w:hAnsi="Arial" w:cs="Arial"/>
        </w:rPr>
        <w:t>analyzes</w:t>
      </w:r>
      <w:proofErr w:type="spellEnd"/>
      <w:r w:rsidRPr="00EF03B8">
        <w:rPr>
          <w:rFonts w:ascii="Arial" w:hAnsi="Arial" w:cs="Arial"/>
        </w:rPr>
        <w:t xml:space="preserve"> it using descriptive methods and linear regression. The results of the descriptive analysis indicate that inflation has a positive and significant influence on fuel subsidies, while world oil prices do not have a significant effect. The coefficient of determination shows that approximately 73.03% of the variation in fuel subsidies can be explained by changes in inflation and world oil prices. The F-test affirms that inflation and world oil prices collectively influence fuel subsidies, but the t-test shows that only inflation has a significant effect. This research concludes that adjustments in fuel subsidy policies must consider inflation rates to maintain economic stability and public welfare. Therefore, it is recommended that the government be more responsive in formulating policies that take into account inflationary factors and conduct comprehensive studies on other factors influencing subsidies.</w:t>
      </w:r>
    </w:p>
    <w:p w14:paraId="2ECC8434" w14:textId="374D2CD3" w:rsidR="00775392" w:rsidRDefault="00775392" w:rsidP="00775392">
      <w:pPr>
        <w:spacing w:after="0"/>
        <w:jc w:val="both"/>
        <w:rPr>
          <w:rFonts w:ascii="Arial" w:hAnsi="Arial" w:cs="Arial"/>
          <w:b/>
          <w:bCs/>
        </w:rPr>
      </w:pPr>
      <w:proofErr w:type="gramStart"/>
      <w:r w:rsidRPr="00775392">
        <w:rPr>
          <w:rFonts w:ascii="Arial" w:hAnsi="Arial" w:cs="Arial"/>
          <w:b/>
          <w:bCs/>
        </w:rPr>
        <w:t>Keywords :</w:t>
      </w:r>
      <w:proofErr w:type="gramEnd"/>
      <w:r w:rsidRPr="00775392">
        <w:rPr>
          <w:rFonts w:ascii="Arial" w:hAnsi="Arial" w:cs="Arial"/>
          <w:b/>
          <w:bCs/>
        </w:rPr>
        <w:t xml:space="preserve"> Fuel subsidies, inflation, world oil prices, economic stability, Indonesia</w:t>
      </w:r>
    </w:p>
    <w:p w14:paraId="3DB959C2" w14:textId="77777777" w:rsidR="00775392" w:rsidRPr="00775392" w:rsidRDefault="00775392" w:rsidP="00775392">
      <w:pPr>
        <w:spacing w:after="0"/>
        <w:jc w:val="both"/>
        <w:rPr>
          <w:rFonts w:ascii="Arial" w:hAnsi="Arial" w:cs="Arial"/>
          <w:b/>
          <w:bCs/>
        </w:rPr>
      </w:pPr>
    </w:p>
    <w:p w14:paraId="5F0A6A8B" w14:textId="78001D48" w:rsidR="00EF03B8" w:rsidRPr="00EF03B8" w:rsidRDefault="003C629D" w:rsidP="00EF03B8">
      <w:pPr>
        <w:jc w:val="both"/>
        <w:rPr>
          <w:rFonts w:ascii="Arial" w:hAnsi="Arial" w:cs="Arial"/>
          <w:b/>
          <w:bCs/>
        </w:rPr>
      </w:pPr>
      <w:r w:rsidRPr="00EF03B8">
        <w:rPr>
          <w:rFonts w:ascii="Arial" w:hAnsi="Arial" w:cs="Arial"/>
          <w:b/>
          <w:bCs/>
        </w:rPr>
        <w:t>INTRODUCTION</w:t>
      </w:r>
    </w:p>
    <w:p w14:paraId="467FA484" w14:textId="77777777" w:rsidR="001811DD" w:rsidRPr="001811DD" w:rsidRDefault="00EF03B8" w:rsidP="001811DD">
      <w:pPr>
        <w:jc w:val="both"/>
        <w:rPr>
          <w:rFonts w:ascii="Arial" w:hAnsi="Arial" w:cs="Arial"/>
        </w:rPr>
      </w:pPr>
      <w:r w:rsidRPr="00EF03B8">
        <w:rPr>
          <w:rFonts w:ascii="Arial" w:hAnsi="Arial" w:cs="Arial"/>
        </w:rPr>
        <w:t>Fuel subsidies are an essential policy implemented by the Indonesian government to assist low-income families and maintain energy affordability. In recent years, fluctuations in global oil prices have significantly impacted the economic landscape, and the rising inflation rates pose a challenge to the effectiveness of these subsidies. Understanding the dynamics between world oil prices, inflation, and fuel subsidies is crucial for efficient economic management and ensuring that support reaches those who need it most</w:t>
      </w:r>
      <w:r w:rsidR="001811DD" w:rsidRPr="001811DD">
        <w:rPr>
          <w:rFonts w:ascii="Arial" w:hAnsi="Arial" w:cs="Arial"/>
        </w:rPr>
        <w:t>. the world crude oil price rises then the possibility of fuel prices will also rise, and vice versa. When the price of fuel price increases, it will have an impact on the distribution process. The distribution process requires costs, namely the cost of fuel, if the fuel rises, the goods will reach the community with a doubled increase. Reach the community with a twofold increase. When price of an item increases, it is inevitable that the purchasing power of the community will decrease. When fuel prices rise, inflation cannot be avoided (</w:t>
      </w:r>
      <w:proofErr w:type="spellStart"/>
      <w:r w:rsidR="001811DD" w:rsidRPr="001811DD">
        <w:rPr>
          <w:rFonts w:ascii="Arial" w:hAnsi="Arial" w:cs="Arial"/>
        </w:rPr>
        <w:t>Menpan</w:t>
      </w:r>
      <w:proofErr w:type="spellEnd"/>
      <w:r w:rsidR="001811DD" w:rsidRPr="001811DD">
        <w:rPr>
          <w:rFonts w:ascii="Arial" w:hAnsi="Arial" w:cs="Arial"/>
        </w:rPr>
        <w:t xml:space="preserve">, 2023). </w:t>
      </w:r>
    </w:p>
    <w:p w14:paraId="64E30457" w14:textId="666F190C" w:rsidR="001811DD" w:rsidRPr="001811DD" w:rsidRDefault="001811DD" w:rsidP="001811DD">
      <w:pPr>
        <w:jc w:val="both"/>
        <w:rPr>
          <w:rFonts w:ascii="Arial" w:hAnsi="Arial" w:cs="Arial"/>
        </w:rPr>
      </w:pPr>
      <w:r w:rsidRPr="001811DD">
        <w:rPr>
          <w:rFonts w:ascii="Arial" w:hAnsi="Arial" w:cs="Arial"/>
          <w:noProof/>
        </w:rPr>
        <w:lastRenderedPageBreak/>
        <w:drawing>
          <wp:anchor distT="0" distB="0" distL="114300" distR="114300" simplePos="0" relativeHeight="251658240" behindDoc="0" locked="0" layoutInCell="1" allowOverlap="1" wp14:anchorId="1877B5EF" wp14:editId="60569FE0">
            <wp:simplePos x="0" y="0"/>
            <wp:positionH relativeFrom="column">
              <wp:posOffset>495300</wp:posOffset>
            </wp:positionH>
            <wp:positionV relativeFrom="paragraph">
              <wp:posOffset>0</wp:posOffset>
            </wp:positionV>
            <wp:extent cx="4563745" cy="1796415"/>
            <wp:effectExtent l="0" t="0" r="8255" b="13335"/>
            <wp:wrapSquare wrapText="bothSides"/>
            <wp:docPr id="982876259" name="Chart 1">
              <a:extLst xmlns:a="http://schemas.openxmlformats.org/drawingml/2006/main">
                <a:ext uri="{FF2B5EF4-FFF2-40B4-BE49-F238E27FC236}">
                  <a16:creationId xmlns:a16="http://schemas.microsoft.com/office/drawing/2014/main" id="{794EBD69-1513-87B7-3577-E04FED5E2D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14:paraId="5E64B470" w14:textId="77777777" w:rsidR="001811DD" w:rsidRPr="001811DD" w:rsidRDefault="001811DD" w:rsidP="00EF03B8">
      <w:pPr>
        <w:jc w:val="both"/>
        <w:rPr>
          <w:rFonts w:ascii="Arial" w:hAnsi="Arial" w:cs="Arial"/>
          <w:b/>
          <w:bCs/>
        </w:rPr>
      </w:pPr>
    </w:p>
    <w:p w14:paraId="2052F346" w14:textId="77777777" w:rsidR="001811DD" w:rsidRPr="001811DD" w:rsidRDefault="001811DD" w:rsidP="00EF03B8">
      <w:pPr>
        <w:jc w:val="both"/>
        <w:rPr>
          <w:rFonts w:ascii="Arial" w:hAnsi="Arial" w:cs="Arial"/>
          <w:b/>
          <w:bCs/>
        </w:rPr>
      </w:pPr>
    </w:p>
    <w:p w14:paraId="508E6214" w14:textId="77777777" w:rsidR="001811DD" w:rsidRPr="001811DD" w:rsidRDefault="001811DD" w:rsidP="00EF03B8">
      <w:pPr>
        <w:jc w:val="both"/>
        <w:rPr>
          <w:rFonts w:ascii="Arial" w:hAnsi="Arial" w:cs="Arial"/>
          <w:b/>
          <w:bCs/>
        </w:rPr>
      </w:pPr>
    </w:p>
    <w:p w14:paraId="49D3DA73" w14:textId="77777777" w:rsidR="001811DD" w:rsidRPr="001811DD" w:rsidRDefault="001811DD" w:rsidP="00EF03B8">
      <w:pPr>
        <w:jc w:val="both"/>
        <w:rPr>
          <w:rFonts w:ascii="Arial" w:hAnsi="Arial" w:cs="Arial"/>
          <w:b/>
          <w:bCs/>
        </w:rPr>
      </w:pPr>
    </w:p>
    <w:p w14:paraId="71E8707D" w14:textId="77777777" w:rsidR="001811DD" w:rsidRPr="001811DD" w:rsidRDefault="001811DD" w:rsidP="001811DD">
      <w:pPr>
        <w:spacing w:after="0" w:line="240" w:lineRule="auto"/>
        <w:jc w:val="both"/>
        <w:rPr>
          <w:rFonts w:ascii="Arial" w:hAnsi="Arial" w:cs="Arial"/>
          <w:b/>
          <w:bCs/>
        </w:rPr>
      </w:pPr>
    </w:p>
    <w:p w14:paraId="25A2FA13" w14:textId="77777777" w:rsidR="001811DD" w:rsidRPr="001811DD" w:rsidRDefault="001811DD" w:rsidP="001811DD">
      <w:pPr>
        <w:spacing w:after="0" w:line="240" w:lineRule="auto"/>
        <w:jc w:val="center"/>
        <w:rPr>
          <w:rFonts w:ascii="Arial" w:hAnsi="Arial" w:cs="Arial"/>
          <w:b/>
          <w:bCs/>
        </w:rPr>
      </w:pPr>
    </w:p>
    <w:p w14:paraId="434192F1" w14:textId="1C3575CE" w:rsidR="001811DD" w:rsidRPr="001811DD" w:rsidRDefault="001811DD" w:rsidP="003C629D">
      <w:pPr>
        <w:spacing w:after="0" w:line="240" w:lineRule="auto"/>
        <w:jc w:val="center"/>
        <w:rPr>
          <w:rFonts w:ascii="Arial" w:hAnsi="Arial" w:cs="Arial"/>
          <w:b/>
          <w:bCs/>
        </w:rPr>
      </w:pPr>
      <w:r w:rsidRPr="001811DD">
        <w:rPr>
          <w:rFonts w:ascii="Arial" w:hAnsi="Arial" w:cs="Arial"/>
          <w:b/>
          <w:bCs/>
        </w:rPr>
        <w:t>Figure 1.</w:t>
      </w:r>
      <w:r w:rsidR="003C629D">
        <w:rPr>
          <w:rFonts w:ascii="Arial" w:hAnsi="Arial" w:cs="Arial"/>
          <w:b/>
          <w:bCs/>
        </w:rPr>
        <w:t xml:space="preserve">1 </w:t>
      </w:r>
      <w:r w:rsidRPr="001811DD">
        <w:rPr>
          <w:rFonts w:ascii="Arial" w:hAnsi="Arial" w:cs="Arial"/>
          <w:b/>
          <w:bCs/>
        </w:rPr>
        <w:t>Comparison of Fuel Subsi</w:t>
      </w:r>
      <w:r>
        <w:rPr>
          <w:rFonts w:ascii="Arial" w:hAnsi="Arial" w:cs="Arial"/>
          <w:b/>
          <w:bCs/>
        </w:rPr>
        <w:t>dies</w:t>
      </w:r>
      <w:r w:rsidRPr="001811DD">
        <w:rPr>
          <w:rFonts w:ascii="Arial" w:hAnsi="Arial" w:cs="Arial"/>
          <w:b/>
          <w:bCs/>
        </w:rPr>
        <w:t xml:space="preserve"> and World Oil Price 2014-2022</w:t>
      </w:r>
    </w:p>
    <w:p w14:paraId="64487CD8" w14:textId="2601FC3E" w:rsidR="001811DD" w:rsidRPr="001811DD" w:rsidRDefault="001811DD" w:rsidP="00EF03B8">
      <w:pPr>
        <w:jc w:val="both"/>
        <w:rPr>
          <w:rFonts w:ascii="Arial" w:hAnsi="Arial" w:cs="Arial"/>
        </w:rPr>
      </w:pPr>
      <w:r w:rsidRPr="001811DD">
        <w:rPr>
          <w:rFonts w:ascii="Arial" w:hAnsi="Arial" w:cs="Arial"/>
        </w:rPr>
        <w:t>The year 2014 marked the highest peak in subsidies, which began to decline sharply in 2015 and continued to decrease until 2017. This decline reflects the government's policy of reducing subsidies and shifting toward fuel price adjustments. In 2018, subsidies surged again, likely linked to the spike in global oil prices. Since then, fuel subsidies have stabilized, ranging between 40-50 trillion rupiah in the following years. Global oil prices, represented by an orange line above the subsidy bars, experienced a significant decline from 2014 to 2016, with a peak in late 2018. Afterward, oil prices showed fluctuating recovery, particularly in 2021, when they rose sharply.</w:t>
      </w:r>
    </w:p>
    <w:p w14:paraId="27E26336" w14:textId="2B8CC3B4" w:rsidR="00EF03B8" w:rsidRPr="00EF03B8" w:rsidRDefault="003C629D" w:rsidP="00EF03B8">
      <w:pPr>
        <w:jc w:val="both"/>
        <w:rPr>
          <w:rFonts w:ascii="Arial" w:hAnsi="Arial" w:cs="Arial"/>
          <w:b/>
          <w:bCs/>
        </w:rPr>
      </w:pPr>
      <w:r w:rsidRPr="00EF03B8">
        <w:rPr>
          <w:rFonts w:ascii="Arial" w:hAnsi="Arial" w:cs="Arial"/>
          <w:b/>
          <w:bCs/>
        </w:rPr>
        <w:t>LITERATURE REVIEW</w:t>
      </w:r>
    </w:p>
    <w:p w14:paraId="3304E89B" w14:textId="34E7C594" w:rsidR="00EF03B8" w:rsidRPr="00EF03B8" w:rsidRDefault="00EF03B8" w:rsidP="00EF03B8">
      <w:pPr>
        <w:jc w:val="both"/>
        <w:rPr>
          <w:rFonts w:ascii="Arial" w:hAnsi="Arial" w:cs="Arial"/>
          <w:b/>
          <w:bCs/>
        </w:rPr>
      </w:pPr>
      <w:r w:rsidRPr="00EF03B8">
        <w:rPr>
          <w:rFonts w:ascii="Arial" w:hAnsi="Arial" w:cs="Arial"/>
          <w:b/>
          <w:bCs/>
        </w:rPr>
        <w:t>Theory of Subsidies and Economy</w:t>
      </w:r>
    </w:p>
    <w:p w14:paraId="5E5C61EA" w14:textId="65F82C66" w:rsidR="00EF03B8" w:rsidRPr="00EF03B8" w:rsidRDefault="00EF03B8" w:rsidP="00EF03B8">
      <w:pPr>
        <w:jc w:val="both"/>
        <w:rPr>
          <w:rFonts w:ascii="Arial" w:hAnsi="Arial" w:cs="Arial"/>
        </w:rPr>
      </w:pPr>
      <w:r w:rsidRPr="00EF03B8">
        <w:rPr>
          <w:rFonts w:ascii="Arial" w:hAnsi="Arial" w:cs="Arial"/>
        </w:rPr>
        <w:t>Subsidies can be interpreted as government interventions intended to lower the price of essential goods and services to support public welfare. Fuel subsidies have long been employed in many countries as part of economic policy to cushion the effects of volatile energy prices on consumers and businesses.</w:t>
      </w:r>
    </w:p>
    <w:p w14:paraId="19254585" w14:textId="77777777" w:rsidR="00EF03B8" w:rsidRPr="00EF03B8" w:rsidRDefault="00EF03B8" w:rsidP="00EF03B8">
      <w:pPr>
        <w:jc w:val="both"/>
        <w:rPr>
          <w:rFonts w:ascii="Arial" w:hAnsi="Arial" w:cs="Arial"/>
          <w:b/>
          <w:bCs/>
        </w:rPr>
      </w:pPr>
      <w:r w:rsidRPr="00EF03B8">
        <w:rPr>
          <w:rFonts w:ascii="Arial" w:hAnsi="Arial" w:cs="Arial"/>
          <w:b/>
          <w:bCs/>
        </w:rPr>
        <w:t>Influence of Inflation on Subsidies</w:t>
      </w:r>
    </w:p>
    <w:p w14:paraId="45E8CE4A" w14:textId="77777777" w:rsidR="00EF03B8" w:rsidRPr="00EF03B8" w:rsidRDefault="00EF03B8" w:rsidP="00EF03B8">
      <w:pPr>
        <w:jc w:val="both"/>
        <w:rPr>
          <w:rFonts w:ascii="Arial" w:hAnsi="Arial" w:cs="Arial"/>
        </w:rPr>
      </w:pPr>
      <w:r w:rsidRPr="00EF03B8">
        <w:rPr>
          <w:rFonts w:ascii="Arial" w:hAnsi="Arial" w:cs="Arial"/>
        </w:rPr>
        <w:t>Inflation refers to the rate at which the general level of prices for goods and services rises, eroding purchasing power. High inflation rates can diminish the effectiveness of subsidies by increasing the cost of living and ultimately reducing the real value of the support provided to consumers. Research has shown that inflation can significantly influence the demand for subsidies as households struggle to cope with rising expenses.</w:t>
      </w:r>
    </w:p>
    <w:p w14:paraId="0F3ED7F5" w14:textId="77777777" w:rsidR="00EF03B8" w:rsidRPr="00EF03B8" w:rsidRDefault="00EF03B8" w:rsidP="00EF03B8">
      <w:pPr>
        <w:jc w:val="both"/>
        <w:rPr>
          <w:rFonts w:ascii="Arial" w:hAnsi="Arial" w:cs="Arial"/>
          <w:b/>
          <w:bCs/>
        </w:rPr>
      </w:pPr>
      <w:r w:rsidRPr="00EF03B8">
        <w:rPr>
          <w:rFonts w:ascii="Arial" w:hAnsi="Arial" w:cs="Arial"/>
          <w:b/>
          <w:bCs/>
        </w:rPr>
        <w:t>Oil Prices and Economic Stability</w:t>
      </w:r>
    </w:p>
    <w:p w14:paraId="4DCBE70B" w14:textId="49F51AE1" w:rsidR="001811DD" w:rsidRDefault="00EF03B8" w:rsidP="00EF03B8">
      <w:pPr>
        <w:jc w:val="both"/>
        <w:rPr>
          <w:rFonts w:ascii="Arial" w:hAnsi="Arial" w:cs="Arial"/>
        </w:rPr>
      </w:pPr>
      <w:r w:rsidRPr="00EF03B8">
        <w:rPr>
          <w:rFonts w:ascii="Arial" w:hAnsi="Arial" w:cs="Arial"/>
        </w:rPr>
        <w:t>World oil prices are an essential determinant of national economic health. Increasing oil prices can lead to rising costs in transportation and manufacturing sectors, which may, in turn, lead to increased inflation. Understanding the relationship between oil prices and economic stability is vital for any economy reliant on fossil fuels, particularly in emerging markets like Indonesia.</w:t>
      </w:r>
    </w:p>
    <w:p w14:paraId="50FA8DA5" w14:textId="77777777" w:rsidR="003C629D" w:rsidRDefault="003C629D" w:rsidP="00EF03B8">
      <w:pPr>
        <w:jc w:val="both"/>
        <w:rPr>
          <w:rFonts w:ascii="Arial" w:hAnsi="Arial" w:cs="Arial"/>
        </w:rPr>
      </w:pPr>
    </w:p>
    <w:p w14:paraId="4BA33B47" w14:textId="77777777" w:rsidR="003C629D" w:rsidRDefault="003C629D" w:rsidP="00EF03B8">
      <w:pPr>
        <w:jc w:val="both"/>
        <w:rPr>
          <w:rFonts w:ascii="Arial" w:hAnsi="Arial" w:cs="Arial"/>
        </w:rPr>
      </w:pPr>
    </w:p>
    <w:p w14:paraId="520D4A6F" w14:textId="3DE622E2" w:rsidR="005A5A73" w:rsidRPr="005A5A73" w:rsidRDefault="005A5A73" w:rsidP="00EF03B8">
      <w:pPr>
        <w:jc w:val="both"/>
        <w:rPr>
          <w:rFonts w:ascii="Arial" w:hAnsi="Arial" w:cs="Arial"/>
          <w:b/>
          <w:bCs/>
        </w:rPr>
      </w:pPr>
      <w:r w:rsidRPr="005A5A73">
        <w:rPr>
          <w:rFonts w:ascii="Arial" w:hAnsi="Arial" w:cs="Arial"/>
          <w:b/>
          <w:bCs/>
        </w:rPr>
        <w:lastRenderedPageBreak/>
        <w:t>METHODOLOGY</w:t>
      </w:r>
    </w:p>
    <w:p w14:paraId="554DC790" w14:textId="65788079" w:rsidR="005A5A73" w:rsidRDefault="005A5A73" w:rsidP="00EF03B8">
      <w:pPr>
        <w:jc w:val="both"/>
        <w:rPr>
          <w:rFonts w:ascii="Arial" w:hAnsi="Arial" w:cs="Arial"/>
        </w:rPr>
      </w:pPr>
      <w:r w:rsidRPr="005A5A73">
        <w:rPr>
          <w:rFonts w:ascii="Arial" w:hAnsi="Arial" w:cs="Arial"/>
        </w:rPr>
        <w:t xml:space="preserve">Based on the problem </w:t>
      </w:r>
      <w:proofErr w:type="spellStart"/>
      <w:r w:rsidRPr="005A5A73">
        <w:rPr>
          <w:rFonts w:ascii="Arial" w:hAnsi="Arial" w:cs="Arial"/>
        </w:rPr>
        <w:t>analyzed</w:t>
      </w:r>
      <w:proofErr w:type="spellEnd"/>
      <w:r w:rsidRPr="005A5A73">
        <w:rPr>
          <w:rFonts w:ascii="Arial" w:hAnsi="Arial" w:cs="Arial"/>
        </w:rPr>
        <w:t xml:space="preserve"> by the author in the study titled “Analysis of Fuel Subsidies on Economic Stability: A Case Study of 2014-2022”, this research examines the relationship between fuel subsidies and economic stability using the Ordinary Least Squares (OLS) method. Therefore, this study employs a descriptive quantitative research method with the Ordinary Least Squares (OLS) approach.</w:t>
      </w:r>
    </w:p>
    <w:p w14:paraId="47A60017" w14:textId="77777777" w:rsidR="005A5A73" w:rsidRPr="005A5A73" w:rsidRDefault="005A5A73" w:rsidP="005A5A73">
      <w:pPr>
        <w:jc w:val="both"/>
        <w:rPr>
          <w:rFonts w:ascii="Arial" w:hAnsi="Arial" w:cs="Arial"/>
          <w:b/>
          <w:bCs/>
        </w:rPr>
      </w:pPr>
      <w:r w:rsidRPr="005A5A73">
        <w:rPr>
          <w:rFonts w:ascii="Arial" w:hAnsi="Arial" w:cs="Arial"/>
          <w:b/>
          <w:bCs/>
        </w:rPr>
        <w:t>Ordinary Least Squares (OLS)</w:t>
      </w:r>
    </w:p>
    <w:p w14:paraId="349AC699" w14:textId="465E57F5" w:rsidR="005A5A73" w:rsidRDefault="005A5A73" w:rsidP="005A5A73">
      <w:pPr>
        <w:jc w:val="both"/>
        <w:rPr>
          <w:rFonts w:ascii="Arial" w:hAnsi="Arial" w:cs="Arial"/>
        </w:rPr>
      </w:pPr>
      <w:r w:rsidRPr="005A5A73">
        <w:rPr>
          <w:rFonts w:ascii="Arial" w:hAnsi="Arial" w:cs="Arial"/>
        </w:rPr>
        <w:t xml:space="preserve">Ordinary Least Squares (OLS), or </w:t>
      </w:r>
      <w:proofErr w:type="spellStart"/>
      <w:r w:rsidRPr="005A5A73">
        <w:rPr>
          <w:rFonts w:ascii="Arial" w:hAnsi="Arial" w:cs="Arial"/>
        </w:rPr>
        <w:t>Kuadrat</w:t>
      </w:r>
      <w:proofErr w:type="spellEnd"/>
      <w:r w:rsidRPr="005A5A73">
        <w:rPr>
          <w:rFonts w:ascii="Arial" w:hAnsi="Arial" w:cs="Arial"/>
        </w:rPr>
        <w:t xml:space="preserve"> </w:t>
      </w:r>
      <w:proofErr w:type="spellStart"/>
      <w:r w:rsidRPr="005A5A73">
        <w:rPr>
          <w:rFonts w:ascii="Arial" w:hAnsi="Arial" w:cs="Arial"/>
        </w:rPr>
        <w:t>Terkecil</w:t>
      </w:r>
      <w:proofErr w:type="spellEnd"/>
      <w:r w:rsidRPr="005A5A73">
        <w:rPr>
          <w:rFonts w:ascii="Arial" w:hAnsi="Arial" w:cs="Arial"/>
        </w:rPr>
        <w:t xml:space="preserve"> </w:t>
      </w:r>
      <w:proofErr w:type="spellStart"/>
      <w:r w:rsidRPr="005A5A73">
        <w:rPr>
          <w:rFonts w:ascii="Arial" w:hAnsi="Arial" w:cs="Arial"/>
        </w:rPr>
        <w:t>Biasa</w:t>
      </w:r>
      <w:proofErr w:type="spellEnd"/>
      <w:r w:rsidRPr="005A5A73">
        <w:rPr>
          <w:rFonts w:ascii="Arial" w:hAnsi="Arial" w:cs="Arial"/>
        </w:rPr>
        <w:t xml:space="preserve"> in Indonesian, is a subset of the least squares methods. OLS is one of the most commonly used linear regression methods for estimating the relationship between independent variables (X) and dependent variables (Y). In general, a multiple linear regression model involving k independent variables can be expressed by the following equation:</w:t>
      </w:r>
    </w:p>
    <w:p w14:paraId="79F6F297" w14:textId="628B8F29" w:rsidR="005A5A73" w:rsidRDefault="005A5A73" w:rsidP="005A5A73">
      <w:pPr>
        <w:jc w:val="center"/>
        <w:rPr>
          <w:rFonts w:ascii="Arial" w:hAnsi="Arial" w:cs="Arial"/>
        </w:rPr>
      </w:pPr>
      <w:r w:rsidRPr="005A5A73">
        <w:rPr>
          <w:rFonts w:ascii="Arial" w:hAnsi="Arial" w:cs="Arial"/>
        </w:rPr>
        <w:t>Y=β0​+β1​X1​+β2​X2​+</w:t>
      </w:r>
      <w:r w:rsidRPr="005A5A73">
        <w:rPr>
          <w:rFonts w:ascii="Cambria Math" w:hAnsi="Cambria Math" w:cs="Cambria Math"/>
        </w:rPr>
        <w:t>⋯</w:t>
      </w:r>
      <w:r w:rsidRPr="005A5A73">
        <w:rPr>
          <w:rFonts w:ascii="Arial" w:hAnsi="Arial" w:cs="Arial"/>
        </w:rPr>
        <w:t>+βk​</w:t>
      </w:r>
      <w:proofErr w:type="spellStart"/>
      <w:r w:rsidRPr="005A5A73">
        <w:rPr>
          <w:rFonts w:ascii="Arial" w:hAnsi="Arial" w:cs="Arial"/>
        </w:rPr>
        <w:t>Xk</w:t>
      </w:r>
      <w:proofErr w:type="spellEnd"/>
      <w:r w:rsidRPr="005A5A73">
        <w:rPr>
          <w:rFonts w:ascii="Arial" w:hAnsi="Arial" w:cs="Arial"/>
        </w:rPr>
        <w:t>​+ε</w:t>
      </w:r>
    </w:p>
    <w:p w14:paraId="0C97E54B" w14:textId="704080D7" w:rsidR="005A5A73" w:rsidRPr="005A5A73" w:rsidRDefault="005A5A73" w:rsidP="005A5A73">
      <w:pPr>
        <w:jc w:val="both"/>
        <w:rPr>
          <w:rFonts w:ascii="Arial" w:hAnsi="Arial" w:cs="Arial"/>
          <w:b/>
          <w:bCs/>
        </w:rPr>
      </w:pPr>
      <w:proofErr w:type="gramStart"/>
      <w:r>
        <w:rPr>
          <w:rFonts w:ascii="Arial" w:hAnsi="Arial" w:cs="Arial"/>
        </w:rPr>
        <w:t>Y :</w:t>
      </w:r>
      <w:proofErr w:type="gramEnd"/>
      <w:r>
        <w:rPr>
          <w:rFonts w:ascii="Arial" w:hAnsi="Arial" w:cs="Arial"/>
        </w:rPr>
        <w:t xml:space="preserve"> Fuel Subsidies, X</w:t>
      </w:r>
      <w:proofErr w:type="gramStart"/>
      <w:r>
        <w:rPr>
          <w:rFonts w:ascii="Arial" w:hAnsi="Arial" w:cs="Arial"/>
        </w:rPr>
        <w:t>1 :</w:t>
      </w:r>
      <w:proofErr w:type="gramEnd"/>
      <w:r>
        <w:rPr>
          <w:rFonts w:ascii="Arial" w:hAnsi="Arial" w:cs="Arial"/>
        </w:rPr>
        <w:t xml:space="preserve"> World Oil Prices, X</w:t>
      </w:r>
      <w:proofErr w:type="gramStart"/>
      <w:r>
        <w:rPr>
          <w:rFonts w:ascii="Arial" w:hAnsi="Arial" w:cs="Arial"/>
        </w:rPr>
        <w:t>2 :</w:t>
      </w:r>
      <w:proofErr w:type="gramEnd"/>
      <w:r>
        <w:rPr>
          <w:rFonts w:ascii="Arial" w:hAnsi="Arial" w:cs="Arial"/>
        </w:rPr>
        <w:t xml:space="preserve"> Inflation, </w:t>
      </w:r>
      <w:proofErr w:type="gramStart"/>
      <w:r w:rsidRPr="005A5A73">
        <w:rPr>
          <w:rFonts w:ascii="Arial" w:hAnsi="Arial" w:cs="Arial"/>
        </w:rPr>
        <w:t>ε</w:t>
      </w:r>
      <w:r>
        <w:rPr>
          <w:rFonts w:ascii="Arial" w:hAnsi="Arial" w:cs="Arial"/>
        </w:rPr>
        <w:t xml:space="preserve"> :</w:t>
      </w:r>
      <w:proofErr w:type="gramEnd"/>
      <w:r>
        <w:rPr>
          <w:rFonts w:ascii="Arial" w:hAnsi="Arial" w:cs="Arial"/>
        </w:rPr>
        <w:t xml:space="preserve"> Error term. </w:t>
      </w:r>
      <w:r w:rsidRPr="005A5A73">
        <w:rPr>
          <w:rFonts w:ascii="Arial" w:hAnsi="Arial" w:cs="Arial"/>
        </w:rPr>
        <w:t>Within the Ordinary Least Squares (OLS) method, several steps must be carried out, as outlined below:</w:t>
      </w:r>
    </w:p>
    <w:p w14:paraId="3A441A61" w14:textId="77777777" w:rsidR="005A5A73" w:rsidRPr="005A5A73" w:rsidRDefault="005A5A73" w:rsidP="005A5A73">
      <w:pPr>
        <w:spacing w:after="0" w:line="240" w:lineRule="auto"/>
        <w:jc w:val="both"/>
        <w:rPr>
          <w:rFonts w:ascii="Arial" w:hAnsi="Arial" w:cs="Arial"/>
          <w:b/>
          <w:bCs/>
        </w:rPr>
      </w:pPr>
      <w:r w:rsidRPr="005A5A73">
        <w:rPr>
          <w:rFonts w:ascii="Arial" w:hAnsi="Arial" w:cs="Arial"/>
          <w:b/>
          <w:bCs/>
        </w:rPr>
        <w:t>a. Descriptive Analysis</w:t>
      </w:r>
    </w:p>
    <w:p w14:paraId="61B4D48D" w14:textId="77777777" w:rsidR="005A5A73" w:rsidRPr="005A5A73" w:rsidRDefault="005A5A73" w:rsidP="005A5A73">
      <w:pPr>
        <w:spacing w:after="0" w:line="240" w:lineRule="auto"/>
        <w:jc w:val="both"/>
        <w:rPr>
          <w:rFonts w:ascii="Arial" w:hAnsi="Arial" w:cs="Arial"/>
        </w:rPr>
      </w:pPr>
      <w:r w:rsidRPr="005A5A73">
        <w:rPr>
          <w:rFonts w:ascii="Arial" w:hAnsi="Arial" w:cs="Arial"/>
        </w:rPr>
        <w:t>Descriptive analysis is a method used to describe, summarize, and present data informatively. This method employs measures of central tendency, dispersion, and position to systematically and factually characterize the data without generalizing conclusions. Key descriptive statistics and their calculations include:</w:t>
      </w:r>
    </w:p>
    <w:p w14:paraId="714B12D7" w14:textId="77777777" w:rsidR="005A5A73" w:rsidRPr="005A5A73" w:rsidRDefault="005A5A73" w:rsidP="005A5A73">
      <w:pPr>
        <w:numPr>
          <w:ilvl w:val="0"/>
          <w:numId w:val="4"/>
        </w:numPr>
        <w:spacing w:after="0" w:line="240" w:lineRule="auto"/>
        <w:jc w:val="both"/>
        <w:rPr>
          <w:rFonts w:ascii="Arial" w:hAnsi="Arial" w:cs="Arial"/>
        </w:rPr>
      </w:pPr>
      <w:r w:rsidRPr="005A5A73">
        <w:rPr>
          <w:rFonts w:ascii="Arial" w:hAnsi="Arial" w:cs="Arial"/>
          <w:b/>
          <w:bCs/>
        </w:rPr>
        <w:t>Mean</w:t>
      </w:r>
      <w:r w:rsidRPr="005A5A73">
        <w:rPr>
          <w:rFonts w:ascii="Arial" w:hAnsi="Arial" w:cs="Arial"/>
        </w:rPr>
        <w:br/>
        <w:t>The mean is the most commonly used measure of central tendency, calculated by dividing the sum of all data values by the number of observations. The mean is computed differently for ungrouped and grouped data.</w:t>
      </w:r>
    </w:p>
    <w:p w14:paraId="681EB857" w14:textId="77777777" w:rsidR="005A5A73" w:rsidRPr="005A5A73" w:rsidRDefault="005A5A73" w:rsidP="005A5A73">
      <w:pPr>
        <w:numPr>
          <w:ilvl w:val="0"/>
          <w:numId w:val="4"/>
        </w:numPr>
        <w:spacing w:after="0" w:line="240" w:lineRule="auto"/>
        <w:jc w:val="both"/>
        <w:rPr>
          <w:rFonts w:ascii="Arial" w:hAnsi="Arial" w:cs="Arial"/>
        </w:rPr>
      </w:pPr>
      <w:r w:rsidRPr="005A5A73">
        <w:rPr>
          <w:rFonts w:ascii="Arial" w:hAnsi="Arial" w:cs="Arial"/>
          <w:b/>
          <w:bCs/>
        </w:rPr>
        <w:t>Median</w:t>
      </w:r>
      <w:r w:rsidRPr="005A5A73">
        <w:rPr>
          <w:rFonts w:ascii="Arial" w:hAnsi="Arial" w:cs="Arial"/>
        </w:rPr>
        <w:br/>
        <w:t>The median is the middle value of data sorted in ascending or descending order.</w:t>
      </w:r>
    </w:p>
    <w:p w14:paraId="04D12C30" w14:textId="2702356C" w:rsidR="005A5A73" w:rsidRPr="005A5A73" w:rsidRDefault="005A5A73" w:rsidP="005A5A73">
      <w:pPr>
        <w:numPr>
          <w:ilvl w:val="0"/>
          <w:numId w:val="4"/>
        </w:numPr>
        <w:spacing w:after="0" w:line="240" w:lineRule="auto"/>
        <w:jc w:val="both"/>
        <w:rPr>
          <w:rFonts w:ascii="Arial" w:hAnsi="Arial" w:cs="Arial"/>
        </w:rPr>
      </w:pPr>
      <w:proofErr w:type="spellStart"/>
      <w:r w:rsidRPr="005A5A73">
        <w:rPr>
          <w:rFonts w:ascii="Arial" w:hAnsi="Arial" w:cs="Arial"/>
          <w:b/>
          <w:bCs/>
        </w:rPr>
        <w:t>StandardDeviation</w:t>
      </w:r>
      <w:proofErr w:type="spellEnd"/>
      <w:r w:rsidRPr="005A5A73">
        <w:rPr>
          <w:rFonts w:ascii="Arial" w:hAnsi="Arial" w:cs="Arial"/>
        </w:rPr>
        <w:br/>
        <w:t>Standard deviation measures how far data points deviate from the mean.</w:t>
      </w:r>
    </w:p>
    <w:p w14:paraId="6798E81B" w14:textId="77777777" w:rsidR="005A5A73" w:rsidRPr="005A5A73" w:rsidRDefault="005A5A73" w:rsidP="005A5A73">
      <w:pPr>
        <w:spacing w:after="0" w:line="240" w:lineRule="auto"/>
        <w:jc w:val="both"/>
        <w:rPr>
          <w:rFonts w:ascii="Arial" w:hAnsi="Arial" w:cs="Arial"/>
          <w:b/>
          <w:bCs/>
        </w:rPr>
      </w:pPr>
      <w:r w:rsidRPr="005A5A73">
        <w:rPr>
          <w:rFonts w:ascii="Arial" w:hAnsi="Arial" w:cs="Arial"/>
          <w:b/>
          <w:bCs/>
        </w:rPr>
        <w:t>b. Classical Assumption Tests</w:t>
      </w:r>
    </w:p>
    <w:p w14:paraId="700D3643" w14:textId="77777777" w:rsidR="005A5A73" w:rsidRPr="005A5A73" w:rsidRDefault="005A5A73" w:rsidP="005A5A73">
      <w:pPr>
        <w:spacing w:after="0" w:line="240" w:lineRule="auto"/>
        <w:jc w:val="both"/>
        <w:rPr>
          <w:rFonts w:ascii="Arial" w:hAnsi="Arial" w:cs="Arial"/>
        </w:rPr>
      </w:pPr>
      <w:r w:rsidRPr="005A5A73">
        <w:rPr>
          <w:rFonts w:ascii="Arial" w:hAnsi="Arial" w:cs="Arial"/>
        </w:rPr>
        <w:t>Classical assumption tests are a series of evaluations to ensure that the linear regression model using the OLS approach produces Best Linear Unbiased Estimators (BLUE). The tests and their calculations are as follows:</w:t>
      </w:r>
    </w:p>
    <w:p w14:paraId="45E79C1B" w14:textId="77777777" w:rsidR="005A5A73" w:rsidRPr="005A5A73" w:rsidRDefault="005A5A73" w:rsidP="005A5A73">
      <w:pPr>
        <w:numPr>
          <w:ilvl w:val="0"/>
          <w:numId w:val="5"/>
        </w:numPr>
        <w:spacing w:after="0" w:line="240" w:lineRule="auto"/>
        <w:jc w:val="both"/>
        <w:rPr>
          <w:rFonts w:ascii="Arial" w:hAnsi="Arial" w:cs="Arial"/>
        </w:rPr>
      </w:pPr>
      <w:r w:rsidRPr="005A5A73">
        <w:rPr>
          <w:rFonts w:ascii="Arial" w:hAnsi="Arial" w:cs="Arial"/>
          <w:b/>
          <w:bCs/>
        </w:rPr>
        <w:t>Normality Test</w:t>
      </w:r>
      <w:r w:rsidRPr="005A5A73">
        <w:rPr>
          <w:rFonts w:ascii="Arial" w:hAnsi="Arial" w:cs="Arial"/>
        </w:rPr>
        <w:br/>
        <w:t>A normality test assesses whether the distribution of data (or residuals) follows a normal distribution. Normality of residuals is a critical assumption in OLS. Common normality tests include Chi-Square, Kolmogorov-Smirnov, Lilliefors, Shapiro-Wilk, and Jarque-Bera.</w:t>
      </w:r>
    </w:p>
    <w:p w14:paraId="615C83B6" w14:textId="77777777" w:rsidR="005A5A73" w:rsidRPr="005A5A73" w:rsidRDefault="005A5A73" w:rsidP="005A5A73">
      <w:pPr>
        <w:numPr>
          <w:ilvl w:val="0"/>
          <w:numId w:val="5"/>
        </w:numPr>
        <w:spacing w:after="0" w:line="240" w:lineRule="auto"/>
        <w:jc w:val="both"/>
        <w:rPr>
          <w:rFonts w:ascii="Arial" w:hAnsi="Arial" w:cs="Arial"/>
        </w:rPr>
      </w:pPr>
      <w:r w:rsidRPr="005A5A73">
        <w:rPr>
          <w:rFonts w:ascii="Arial" w:hAnsi="Arial" w:cs="Arial"/>
          <w:b/>
          <w:bCs/>
        </w:rPr>
        <w:t>Heteroscedasticity Test</w:t>
      </w:r>
      <w:r w:rsidRPr="005A5A73">
        <w:rPr>
          <w:rFonts w:ascii="Arial" w:hAnsi="Arial" w:cs="Arial"/>
        </w:rPr>
        <w:br/>
        <w:t>This test detects whether the variance of residuals is constant (homoscedasticity) or varies across observations (heteroscedasticity). Detection methods include the Breusch-Pagan test and White test.</w:t>
      </w:r>
    </w:p>
    <w:p w14:paraId="3535B708" w14:textId="77777777" w:rsidR="005A5A73" w:rsidRPr="005A5A73" w:rsidRDefault="005A5A73" w:rsidP="005A5A73">
      <w:pPr>
        <w:numPr>
          <w:ilvl w:val="0"/>
          <w:numId w:val="5"/>
        </w:numPr>
        <w:spacing w:after="0" w:line="240" w:lineRule="auto"/>
        <w:jc w:val="both"/>
        <w:rPr>
          <w:rFonts w:ascii="Arial" w:hAnsi="Arial" w:cs="Arial"/>
        </w:rPr>
      </w:pPr>
      <w:r w:rsidRPr="005A5A73">
        <w:rPr>
          <w:rFonts w:ascii="Arial" w:hAnsi="Arial" w:cs="Arial"/>
          <w:b/>
          <w:bCs/>
        </w:rPr>
        <w:lastRenderedPageBreak/>
        <w:t>Multicollinearity Test</w:t>
      </w:r>
      <w:r w:rsidRPr="005A5A73">
        <w:rPr>
          <w:rFonts w:ascii="Arial" w:hAnsi="Arial" w:cs="Arial"/>
        </w:rPr>
        <w:br/>
        <w:t>This test identifies strong correlations between independent variables in a regression model. A good regression model should have no multicollinearity. Detection is typically done using Tolerance and Variance Inflation Factor (VIF).</w:t>
      </w:r>
    </w:p>
    <w:p w14:paraId="7D257E20" w14:textId="1D144BDA" w:rsidR="005A5A73" w:rsidRPr="005A5A73" w:rsidRDefault="005A5A73" w:rsidP="005A5A73">
      <w:pPr>
        <w:numPr>
          <w:ilvl w:val="0"/>
          <w:numId w:val="5"/>
        </w:numPr>
        <w:spacing w:after="0" w:line="240" w:lineRule="auto"/>
        <w:jc w:val="both"/>
        <w:rPr>
          <w:rFonts w:ascii="Arial" w:hAnsi="Arial" w:cs="Arial"/>
        </w:rPr>
      </w:pPr>
      <w:r w:rsidRPr="005A5A73">
        <w:rPr>
          <w:rFonts w:ascii="Arial" w:hAnsi="Arial" w:cs="Arial"/>
          <w:b/>
          <w:bCs/>
        </w:rPr>
        <w:t>Autocorrelation Test</w:t>
      </w:r>
      <w:r w:rsidRPr="005A5A73">
        <w:rPr>
          <w:rFonts w:ascii="Arial" w:hAnsi="Arial" w:cs="Arial"/>
        </w:rPr>
        <w:br/>
        <w:t>Autocorrelation tests examine whether residuals in a linear regression model are correlated across time periods (e.g., between error terms at time </w:t>
      </w:r>
      <w:r w:rsidRPr="005A5A73">
        <w:rPr>
          <w:rFonts w:ascii="Arial" w:hAnsi="Arial" w:cs="Arial"/>
          <w:i/>
          <w:iCs/>
        </w:rPr>
        <w:t>t</w:t>
      </w:r>
      <w:r w:rsidRPr="005A5A73">
        <w:rPr>
          <w:rFonts w:ascii="Arial" w:hAnsi="Arial" w:cs="Arial"/>
        </w:rPr>
        <w:t> and </w:t>
      </w:r>
      <w:r w:rsidRPr="005A5A73">
        <w:rPr>
          <w:rFonts w:ascii="Arial" w:hAnsi="Arial" w:cs="Arial"/>
          <w:i/>
          <w:iCs/>
        </w:rPr>
        <w:t>t-1</w:t>
      </w:r>
      <w:r w:rsidRPr="005A5A73">
        <w:rPr>
          <w:rFonts w:ascii="Arial" w:hAnsi="Arial" w:cs="Arial"/>
        </w:rPr>
        <w:t>). A common method is the Durbin-Watson test.</w:t>
      </w:r>
    </w:p>
    <w:p w14:paraId="22648697" w14:textId="77777777" w:rsidR="005A5A73" w:rsidRPr="005A5A73" w:rsidRDefault="005A5A73" w:rsidP="005A5A73">
      <w:pPr>
        <w:spacing w:after="0" w:line="240" w:lineRule="auto"/>
        <w:jc w:val="both"/>
        <w:rPr>
          <w:rFonts w:ascii="Arial" w:hAnsi="Arial" w:cs="Arial"/>
          <w:b/>
          <w:bCs/>
        </w:rPr>
      </w:pPr>
      <w:r w:rsidRPr="005A5A73">
        <w:rPr>
          <w:rFonts w:ascii="Arial" w:hAnsi="Arial" w:cs="Arial"/>
          <w:b/>
          <w:bCs/>
        </w:rPr>
        <w:t>c. Simple Linear Regression Test</w:t>
      </w:r>
    </w:p>
    <w:p w14:paraId="058C172A" w14:textId="77777777" w:rsidR="005A5A73" w:rsidRPr="005A5A73" w:rsidRDefault="005A5A73" w:rsidP="005A5A73">
      <w:pPr>
        <w:spacing w:after="0" w:line="240" w:lineRule="auto"/>
        <w:jc w:val="both"/>
        <w:rPr>
          <w:rFonts w:ascii="Arial" w:hAnsi="Arial" w:cs="Arial"/>
        </w:rPr>
      </w:pPr>
      <w:r w:rsidRPr="005A5A73">
        <w:rPr>
          <w:rFonts w:ascii="Arial" w:hAnsi="Arial" w:cs="Arial"/>
        </w:rPr>
        <w:t>Simple linear regression models and investigates the effect of one independent variable on one dependent variable. The general equation for simple linear regression is:</w:t>
      </w:r>
    </w:p>
    <w:p w14:paraId="6DE4C1C5" w14:textId="77777777" w:rsidR="003C629D" w:rsidRDefault="005A5A73" w:rsidP="003C629D">
      <w:pPr>
        <w:spacing w:line="240" w:lineRule="auto"/>
        <w:jc w:val="center"/>
        <w:rPr>
          <w:rFonts w:ascii="Segoe UI" w:eastAsia="Times New Roman" w:hAnsi="Segoe UI" w:cs="Segoe UI"/>
          <w:b/>
          <w:bCs/>
          <w:color w:val="F8FAFF"/>
          <w:kern w:val="0"/>
          <w:sz w:val="27"/>
          <w:szCs w:val="27"/>
          <w:lang w:eastAsia="en-ID"/>
          <w14:ligatures w14:val="none"/>
        </w:rPr>
      </w:pPr>
      <w:r w:rsidRPr="005A5A73">
        <w:rPr>
          <w:rFonts w:ascii="Arial" w:hAnsi="Arial" w:cs="Arial"/>
        </w:rPr>
        <w:t>Y=β0+β1X+ε</w:t>
      </w:r>
      <w:r w:rsidRPr="005A5A73">
        <w:rPr>
          <w:rFonts w:ascii="Arial" w:hAnsi="Arial" w:cs="Arial"/>
          <w:i/>
          <w:iCs/>
        </w:rPr>
        <w:t>Y</w:t>
      </w:r>
      <w:r w:rsidRPr="005A5A73">
        <w:rPr>
          <w:rFonts w:ascii="Arial" w:hAnsi="Arial" w:cs="Arial"/>
        </w:rPr>
        <w:t>=</w:t>
      </w:r>
      <w:r w:rsidRPr="005A5A73">
        <w:rPr>
          <w:rFonts w:ascii="Arial" w:hAnsi="Arial" w:cs="Arial"/>
          <w:i/>
          <w:iCs/>
        </w:rPr>
        <w:t>β</w:t>
      </w:r>
      <w:r w:rsidRPr="005A5A73">
        <w:rPr>
          <w:rFonts w:ascii="Arial" w:hAnsi="Arial" w:cs="Arial"/>
        </w:rPr>
        <w:t>0​+</w:t>
      </w:r>
      <w:r w:rsidRPr="005A5A73">
        <w:rPr>
          <w:rFonts w:ascii="Arial" w:hAnsi="Arial" w:cs="Arial"/>
          <w:i/>
          <w:iCs/>
        </w:rPr>
        <w:t>β</w:t>
      </w:r>
      <w:r w:rsidRPr="005A5A73">
        <w:rPr>
          <w:rFonts w:ascii="Arial" w:hAnsi="Arial" w:cs="Arial"/>
        </w:rPr>
        <w:t>1​</w:t>
      </w:r>
      <w:proofErr w:type="spellStart"/>
      <w:r w:rsidRPr="005A5A73">
        <w:rPr>
          <w:rFonts w:ascii="Arial" w:hAnsi="Arial" w:cs="Arial"/>
          <w:i/>
          <w:iCs/>
        </w:rPr>
        <w:t>X</w:t>
      </w:r>
      <w:r w:rsidRPr="005A5A73">
        <w:rPr>
          <w:rFonts w:ascii="Arial" w:hAnsi="Arial" w:cs="Arial"/>
        </w:rPr>
        <w:t>+</w:t>
      </w:r>
      <w:r w:rsidRPr="005A5A73">
        <w:rPr>
          <w:rFonts w:ascii="Arial" w:hAnsi="Arial" w:cs="Arial"/>
          <w:i/>
          <w:iCs/>
        </w:rPr>
        <w:t>ε</w:t>
      </w:r>
      <w:proofErr w:type="spellEnd"/>
      <w:r w:rsidR="003C629D" w:rsidRPr="003C629D">
        <w:rPr>
          <w:rFonts w:ascii="Segoe UI" w:eastAsia="Times New Roman" w:hAnsi="Segoe UI" w:cs="Segoe UI"/>
          <w:b/>
          <w:bCs/>
          <w:color w:val="F8FAFF"/>
          <w:kern w:val="0"/>
          <w:sz w:val="27"/>
          <w:szCs w:val="27"/>
          <w:lang w:eastAsia="en-ID"/>
          <w14:ligatures w14:val="none"/>
        </w:rPr>
        <w:t xml:space="preserve"> </w:t>
      </w:r>
    </w:p>
    <w:p w14:paraId="4ED5AD99" w14:textId="189A2E09" w:rsidR="003C629D" w:rsidRPr="003C629D" w:rsidRDefault="003C629D" w:rsidP="003C629D">
      <w:pPr>
        <w:spacing w:after="0" w:line="240" w:lineRule="auto"/>
        <w:jc w:val="both"/>
        <w:rPr>
          <w:rFonts w:ascii="Arial" w:hAnsi="Arial" w:cs="Arial"/>
          <w:b/>
          <w:bCs/>
        </w:rPr>
      </w:pPr>
      <w:r w:rsidRPr="003C629D">
        <w:rPr>
          <w:rFonts w:ascii="Arial" w:hAnsi="Arial" w:cs="Arial"/>
          <w:b/>
          <w:bCs/>
        </w:rPr>
        <w:t>d. Coefficient of Determination Test (R²)</w:t>
      </w:r>
    </w:p>
    <w:p w14:paraId="7E8073C9" w14:textId="70261755" w:rsidR="003C629D" w:rsidRPr="003C629D" w:rsidRDefault="003C629D" w:rsidP="003C629D">
      <w:pPr>
        <w:spacing w:after="0" w:line="240" w:lineRule="auto"/>
        <w:jc w:val="both"/>
        <w:rPr>
          <w:rFonts w:ascii="Arial" w:hAnsi="Arial" w:cs="Arial"/>
        </w:rPr>
      </w:pPr>
      <w:r w:rsidRPr="003C629D">
        <w:rPr>
          <w:rFonts w:ascii="Arial" w:hAnsi="Arial" w:cs="Arial"/>
        </w:rPr>
        <w:t>The coefficient of determination (R²) is a statistical measure that quantifies how well the regression model explains the variation in the dependent variable. R² values range from 0 to 1, where values closer to 1 indicate a better model fit in explaining the variability of the data.</w:t>
      </w:r>
    </w:p>
    <w:p w14:paraId="20E6D9A3" w14:textId="77777777" w:rsidR="003C629D" w:rsidRPr="003C629D" w:rsidRDefault="003C629D" w:rsidP="003C629D">
      <w:pPr>
        <w:spacing w:after="0" w:line="240" w:lineRule="auto"/>
        <w:jc w:val="both"/>
        <w:rPr>
          <w:rFonts w:ascii="Arial" w:hAnsi="Arial" w:cs="Arial"/>
          <w:b/>
          <w:bCs/>
        </w:rPr>
      </w:pPr>
      <w:r w:rsidRPr="003C629D">
        <w:rPr>
          <w:rFonts w:ascii="Arial" w:hAnsi="Arial" w:cs="Arial"/>
          <w:b/>
          <w:bCs/>
        </w:rPr>
        <w:t>e. t-Test</w:t>
      </w:r>
    </w:p>
    <w:p w14:paraId="5338002E" w14:textId="77777777" w:rsidR="003C629D" w:rsidRPr="003C629D" w:rsidRDefault="003C629D" w:rsidP="003C629D">
      <w:pPr>
        <w:spacing w:after="0" w:line="240" w:lineRule="auto"/>
        <w:jc w:val="both"/>
        <w:rPr>
          <w:rFonts w:ascii="Arial" w:hAnsi="Arial" w:cs="Arial"/>
        </w:rPr>
      </w:pPr>
      <w:r w:rsidRPr="003C629D">
        <w:rPr>
          <w:rFonts w:ascii="Arial" w:hAnsi="Arial" w:cs="Arial"/>
        </w:rPr>
        <w:t>The t-test in the context of the OLS method is used to evaluate the statistical significance of the effect of an independent variable on the dependent variable. This test examines the null hypothesis that the regression coefficient equals zero, implying no significant influence of the independent variable on the dependent variable.</w:t>
      </w:r>
    </w:p>
    <w:p w14:paraId="41712EBC" w14:textId="266BC6DE" w:rsidR="005A5A73" w:rsidRPr="00EF03B8" w:rsidRDefault="005A5A73" w:rsidP="003C629D">
      <w:pPr>
        <w:spacing w:line="240" w:lineRule="auto"/>
        <w:jc w:val="center"/>
        <w:rPr>
          <w:rFonts w:ascii="Arial" w:hAnsi="Arial" w:cs="Arial"/>
        </w:rPr>
      </w:pPr>
    </w:p>
    <w:p w14:paraId="622C5FFE" w14:textId="47DC2AB5" w:rsidR="00EF03B8" w:rsidRPr="00EF03B8" w:rsidRDefault="005A5A73" w:rsidP="00EF03B8">
      <w:pPr>
        <w:jc w:val="both"/>
        <w:rPr>
          <w:rFonts w:ascii="Arial" w:hAnsi="Arial" w:cs="Arial"/>
          <w:b/>
          <w:bCs/>
        </w:rPr>
      </w:pPr>
      <w:r w:rsidRPr="00EF03B8">
        <w:rPr>
          <w:rFonts w:ascii="Arial" w:hAnsi="Arial" w:cs="Arial"/>
          <w:b/>
          <w:bCs/>
        </w:rPr>
        <w:t>RESULTS AND DISCUSSION</w:t>
      </w:r>
    </w:p>
    <w:p w14:paraId="5B6B87B6" w14:textId="77777777" w:rsidR="00EF03B8" w:rsidRDefault="00EF03B8" w:rsidP="00EF03B8">
      <w:pPr>
        <w:jc w:val="both"/>
        <w:rPr>
          <w:rFonts w:ascii="Arial" w:hAnsi="Arial" w:cs="Arial"/>
          <w:b/>
          <w:bCs/>
        </w:rPr>
      </w:pPr>
      <w:r w:rsidRPr="00EF03B8">
        <w:rPr>
          <w:rFonts w:ascii="Arial" w:hAnsi="Arial" w:cs="Arial"/>
          <w:b/>
          <w:bCs/>
        </w:rPr>
        <w:t>Descriptive Analysis</w:t>
      </w:r>
    </w:p>
    <w:p w14:paraId="152DEA00" w14:textId="4C0749DA" w:rsidR="003C629D" w:rsidRDefault="003C629D" w:rsidP="003C629D">
      <w:pPr>
        <w:spacing w:after="0"/>
        <w:jc w:val="center"/>
        <w:rPr>
          <w:rFonts w:ascii="Arial" w:hAnsi="Arial" w:cs="Arial"/>
          <w:b/>
          <w:bCs/>
        </w:rPr>
      </w:pPr>
      <w:r w:rsidRPr="003C629D">
        <w:rPr>
          <w:rFonts w:ascii="Arial" w:hAnsi="Arial" w:cs="Arial"/>
          <w:b/>
          <w:bCs/>
        </w:rPr>
        <w:t xml:space="preserve">Table </w:t>
      </w:r>
      <w:r>
        <w:rPr>
          <w:rFonts w:ascii="Arial" w:hAnsi="Arial" w:cs="Arial"/>
          <w:b/>
          <w:bCs/>
        </w:rPr>
        <w:t xml:space="preserve">1.2 </w:t>
      </w:r>
      <w:r w:rsidRPr="003C629D">
        <w:rPr>
          <w:rFonts w:ascii="Arial" w:hAnsi="Arial" w:cs="Arial"/>
          <w:b/>
          <w:bCs/>
        </w:rPr>
        <w:t>Descriptive Statistics Test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1"/>
        <w:gridCol w:w="1313"/>
        <w:gridCol w:w="1317"/>
        <w:gridCol w:w="1317"/>
      </w:tblGrid>
      <w:tr w:rsidR="003C629D" w14:paraId="01699079" w14:textId="77777777" w:rsidTr="00D87E77">
        <w:trPr>
          <w:trHeight w:val="225"/>
          <w:jc w:val="center"/>
        </w:trPr>
        <w:tc>
          <w:tcPr>
            <w:tcW w:w="1671" w:type="dxa"/>
            <w:vAlign w:val="bottom"/>
          </w:tcPr>
          <w:p w14:paraId="1518C309" w14:textId="77777777" w:rsidR="003C629D" w:rsidRPr="00A6491F" w:rsidRDefault="003C629D" w:rsidP="00D87E77">
            <w:pPr>
              <w:autoSpaceDE w:val="0"/>
              <w:autoSpaceDN w:val="0"/>
              <w:adjustRightInd w:val="0"/>
              <w:spacing w:after="0" w:line="240" w:lineRule="auto"/>
              <w:jc w:val="center"/>
              <w:rPr>
                <w:rFonts w:ascii="Times New Roman" w:hAnsi="Times New Roman" w:cs="Times New Roman"/>
                <w:color w:val="000000"/>
                <w:lang w:val="id-ID"/>
              </w:rPr>
            </w:pPr>
          </w:p>
        </w:tc>
        <w:tc>
          <w:tcPr>
            <w:tcW w:w="1313" w:type="dxa"/>
            <w:vAlign w:val="bottom"/>
          </w:tcPr>
          <w:p w14:paraId="71FEE77D" w14:textId="77777777" w:rsidR="003C629D" w:rsidRPr="00A6491F"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Pr>
                <w:rFonts w:ascii="Times New Roman" w:hAnsi="Times New Roman" w:cs="Times New Roman"/>
                <w:color w:val="000000"/>
                <w:lang w:val="id-ID"/>
              </w:rPr>
              <w:t>HMD (X1)</w:t>
            </w:r>
          </w:p>
        </w:tc>
        <w:tc>
          <w:tcPr>
            <w:tcW w:w="1317" w:type="dxa"/>
          </w:tcPr>
          <w:p w14:paraId="5B03A197" w14:textId="77777777" w:rsidR="003C629D"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Pr>
                <w:rFonts w:ascii="Times New Roman" w:hAnsi="Times New Roman" w:cs="Times New Roman"/>
                <w:color w:val="000000"/>
                <w:lang w:val="id-ID"/>
              </w:rPr>
              <w:t>INF(X2)</w:t>
            </w:r>
          </w:p>
        </w:tc>
        <w:tc>
          <w:tcPr>
            <w:tcW w:w="1317" w:type="dxa"/>
            <w:vAlign w:val="bottom"/>
          </w:tcPr>
          <w:p w14:paraId="355B0F5F" w14:textId="77777777" w:rsidR="003C629D" w:rsidRPr="00A6491F"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Pr>
                <w:rFonts w:ascii="Times New Roman" w:hAnsi="Times New Roman" w:cs="Times New Roman"/>
                <w:color w:val="000000"/>
                <w:lang w:val="id-ID"/>
              </w:rPr>
              <w:t>SBBM (Y)</w:t>
            </w:r>
          </w:p>
        </w:tc>
      </w:tr>
      <w:tr w:rsidR="003C629D" w14:paraId="282252C9" w14:textId="77777777" w:rsidTr="00D87E77">
        <w:trPr>
          <w:trHeight w:val="225"/>
          <w:jc w:val="center"/>
        </w:trPr>
        <w:tc>
          <w:tcPr>
            <w:tcW w:w="1671" w:type="dxa"/>
            <w:vAlign w:val="bottom"/>
          </w:tcPr>
          <w:p w14:paraId="49D82715" w14:textId="77777777" w:rsidR="003C629D" w:rsidRPr="00A6491F" w:rsidRDefault="003C629D" w:rsidP="00D87E77">
            <w:pPr>
              <w:autoSpaceDE w:val="0"/>
              <w:autoSpaceDN w:val="0"/>
              <w:adjustRightInd w:val="0"/>
              <w:spacing w:after="0" w:line="240" w:lineRule="auto"/>
              <w:rPr>
                <w:rFonts w:ascii="Times New Roman" w:hAnsi="Times New Roman" w:cs="Times New Roman"/>
                <w:color w:val="000000"/>
                <w:lang w:val="id-ID"/>
              </w:rPr>
            </w:pPr>
            <w:r w:rsidRPr="00A6491F">
              <w:rPr>
                <w:rFonts w:ascii="Times New Roman" w:hAnsi="Times New Roman" w:cs="Times New Roman"/>
                <w:color w:val="000000"/>
                <w:lang w:val="id-ID"/>
              </w:rPr>
              <w:t> Mean</w:t>
            </w:r>
          </w:p>
        </w:tc>
        <w:tc>
          <w:tcPr>
            <w:tcW w:w="1313" w:type="dxa"/>
            <w:shd w:val="clear" w:color="auto" w:fill="auto"/>
          </w:tcPr>
          <w:p w14:paraId="04602228"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rPr>
              <w:t xml:space="preserve"> 862.9333</w:t>
            </w:r>
          </w:p>
        </w:tc>
        <w:tc>
          <w:tcPr>
            <w:tcW w:w="1317" w:type="dxa"/>
            <w:vAlign w:val="bottom"/>
          </w:tcPr>
          <w:p w14:paraId="770B0915"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3.694444</w:t>
            </w:r>
          </w:p>
        </w:tc>
        <w:tc>
          <w:tcPr>
            <w:tcW w:w="1317" w:type="dxa"/>
            <w:vAlign w:val="bottom"/>
          </w:tcPr>
          <w:p w14:paraId="7D685F70"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79.07778</w:t>
            </w:r>
          </w:p>
        </w:tc>
      </w:tr>
      <w:tr w:rsidR="003C629D" w14:paraId="393089D8" w14:textId="77777777" w:rsidTr="00D87E77">
        <w:trPr>
          <w:trHeight w:val="225"/>
          <w:jc w:val="center"/>
        </w:trPr>
        <w:tc>
          <w:tcPr>
            <w:tcW w:w="1671" w:type="dxa"/>
            <w:vAlign w:val="bottom"/>
          </w:tcPr>
          <w:p w14:paraId="47CEAFAD" w14:textId="77777777" w:rsidR="003C629D" w:rsidRPr="00A6491F" w:rsidRDefault="003C629D" w:rsidP="00D87E77">
            <w:pPr>
              <w:autoSpaceDE w:val="0"/>
              <w:autoSpaceDN w:val="0"/>
              <w:adjustRightInd w:val="0"/>
              <w:spacing w:after="0" w:line="240" w:lineRule="auto"/>
              <w:rPr>
                <w:rFonts w:ascii="Times New Roman" w:hAnsi="Times New Roman" w:cs="Times New Roman"/>
                <w:color w:val="000000"/>
                <w:lang w:val="id-ID"/>
              </w:rPr>
            </w:pPr>
            <w:r w:rsidRPr="00A6491F">
              <w:rPr>
                <w:rFonts w:ascii="Times New Roman" w:hAnsi="Times New Roman" w:cs="Times New Roman"/>
                <w:color w:val="000000"/>
                <w:lang w:val="id-ID"/>
              </w:rPr>
              <w:t> Median</w:t>
            </w:r>
          </w:p>
        </w:tc>
        <w:tc>
          <w:tcPr>
            <w:tcW w:w="1313" w:type="dxa"/>
            <w:shd w:val="clear" w:color="auto" w:fill="auto"/>
          </w:tcPr>
          <w:p w14:paraId="5F3664B3"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rPr>
              <w:t xml:space="preserve"> 744.5000</w:t>
            </w:r>
          </w:p>
        </w:tc>
        <w:tc>
          <w:tcPr>
            <w:tcW w:w="1317" w:type="dxa"/>
            <w:vAlign w:val="bottom"/>
          </w:tcPr>
          <w:p w14:paraId="44C21399"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3.130000</w:t>
            </w:r>
          </w:p>
        </w:tc>
        <w:tc>
          <w:tcPr>
            <w:tcW w:w="1317" w:type="dxa"/>
            <w:vAlign w:val="bottom"/>
          </w:tcPr>
          <w:p w14:paraId="6476B5FD"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56.90000</w:t>
            </w:r>
          </w:p>
        </w:tc>
      </w:tr>
      <w:tr w:rsidR="003C629D" w14:paraId="266DA065" w14:textId="77777777" w:rsidTr="00D87E77">
        <w:trPr>
          <w:trHeight w:val="225"/>
          <w:jc w:val="center"/>
        </w:trPr>
        <w:tc>
          <w:tcPr>
            <w:tcW w:w="1671" w:type="dxa"/>
            <w:vAlign w:val="bottom"/>
          </w:tcPr>
          <w:p w14:paraId="162502A1" w14:textId="77777777" w:rsidR="003C629D" w:rsidRPr="00A6491F" w:rsidRDefault="003C629D" w:rsidP="00D87E77">
            <w:pPr>
              <w:autoSpaceDE w:val="0"/>
              <w:autoSpaceDN w:val="0"/>
              <w:adjustRightInd w:val="0"/>
              <w:spacing w:after="0" w:line="240" w:lineRule="auto"/>
              <w:rPr>
                <w:rFonts w:ascii="Times New Roman" w:hAnsi="Times New Roman" w:cs="Times New Roman"/>
                <w:color w:val="000000"/>
                <w:lang w:val="id-ID"/>
              </w:rPr>
            </w:pPr>
            <w:r w:rsidRPr="00A6491F">
              <w:rPr>
                <w:rFonts w:ascii="Times New Roman" w:hAnsi="Times New Roman" w:cs="Times New Roman"/>
                <w:color w:val="000000"/>
                <w:lang w:val="id-ID"/>
              </w:rPr>
              <w:t> Maximum</w:t>
            </w:r>
          </w:p>
        </w:tc>
        <w:tc>
          <w:tcPr>
            <w:tcW w:w="1313" w:type="dxa"/>
            <w:shd w:val="clear" w:color="auto" w:fill="auto"/>
          </w:tcPr>
          <w:p w14:paraId="24E2A831"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rPr>
              <w:t xml:space="preserve"> 1702.000</w:t>
            </w:r>
          </w:p>
        </w:tc>
        <w:tc>
          <w:tcPr>
            <w:tcW w:w="1317" w:type="dxa"/>
            <w:vAlign w:val="bottom"/>
          </w:tcPr>
          <w:p w14:paraId="265B2124"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8.360000</w:t>
            </w:r>
          </w:p>
        </w:tc>
        <w:tc>
          <w:tcPr>
            <w:tcW w:w="1317" w:type="dxa"/>
            <w:vAlign w:val="bottom"/>
          </w:tcPr>
          <w:p w14:paraId="1113248B"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240.0000</w:t>
            </w:r>
          </w:p>
        </w:tc>
      </w:tr>
      <w:tr w:rsidR="003C629D" w14:paraId="5B2FA201" w14:textId="77777777" w:rsidTr="00D87E77">
        <w:trPr>
          <w:trHeight w:val="225"/>
          <w:jc w:val="center"/>
        </w:trPr>
        <w:tc>
          <w:tcPr>
            <w:tcW w:w="1671" w:type="dxa"/>
            <w:vAlign w:val="bottom"/>
          </w:tcPr>
          <w:p w14:paraId="56AF097F" w14:textId="77777777" w:rsidR="003C629D" w:rsidRPr="00A6491F" w:rsidRDefault="003C629D" w:rsidP="00D87E77">
            <w:pPr>
              <w:autoSpaceDE w:val="0"/>
              <w:autoSpaceDN w:val="0"/>
              <w:adjustRightInd w:val="0"/>
              <w:spacing w:after="0" w:line="240" w:lineRule="auto"/>
              <w:rPr>
                <w:rFonts w:ascii="Times New Roman" w:hAnsi="Times New Roman" w:cs="Times New Roman"/>
                <w:color w:val="000000"/>
                <w:lang w:val="id-ID"/>
              </w:rPr>
            </w:pPr>
            <w:r w:rsidRPr="00A6491F">
              <w:rPr>
                <w:rFonts w:ascii="Times New Roman" w:hAnsi="Times New Roman" w:cs="Times New Roman"/>
                <w:color w:val="000000"/>
                <w:lang w:val="id-ID"/>
              </w:rPr>
              <w:t> Minimum</w:t>
            </w:r>
          </w:p>
        </w:tc>
        <w:tc>
          <w:tcPr>
            <w:tcW w:w="1313" w:type="dxa"/>
            <w:shd w:val="clear" w:color="auto" w:fill="auto"/>
          </w:tcPr>
          <w:p w14:paraId="140C3FEE"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rPr>
              <w:t xml:space="preserve"> 571.9000</w:t>
            </w:r>
          </w:p>
        </w:tc>
        <w:tc>
          <w:tcPr>
            <w:tcW w:w="1317" w:type="dxa"/>
            <w:vAlign w:val="bottom"/>
          </w:tcPr>
          <w:p w14:paraId="34FD4B6D"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1.680000</w:t>
            </w:r>
          </w:p>
        </w:tc>
        <w:tc>
          <w:tcPr>
            <w:tcW w:w="1317" w:type="dxa"/>
            <w:vAlign w:val="bottom"/>
          </w:tcPr>
          <w:p w14:paraId="744376C0"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41.10000</w:t>
            </w:r>
          </w:p>
        </w:tc>
      </w:tr>
      <w:tr w:rsidR="003C629D" w14:paraId="54F6D991" w14:textId="77777777" w:rsidTr="00D87E77">
        <w:trPr>
          <w:trHeight w:val="225"/>
          <w:jc w:val="center"/>
        </w:trPr>
        <w:tc>
          <w:tcPr>
            <w:tcW w:w="1671" w:type="dxa"/>
            <w:vAlign w:val="bottom"/>
          </w:tcPr>
          <w:p w14:paraId="4D66DCC0" w14:textId="77777777" w:rsidR="003C629D" w:rsidRPr="00A6491F" w:rsidRDefault="003C629D" w:rsidP="00D87E77">
            <w:pPr>
              <w:autoSpaceDE w:val="0"/>
              <w:autoSpaceDN w:val="0"/>
              <w:adjustRightInd w:val="0"/>
              <w:spacing w:after="0" w:line="240" w:lineRule="auto"/>
              <w:rPr>
                <w:rFonts w:ascii="Times New Roman" w:hAnsi="Times New Roman" w:cs="Times New Roman"/>
                <w:color w:val="000000"/>
                <w:lang w:val="id-ID"/>
              </w:rPr>
            </w:pPr>
            <w:r w:rsidRPr="00A6491F">
              <w:rPr>
                <w:rFonts w:ascii="Times New Roman" w:hAnsi="Times New Roman" w:cs="Times New Roman"/>
                <w:color w:val="000000"/>
                <w:lang w:val="id-ID"/>
              </w:rPr>
              <w:t> Std. Dev.</w:t>
            </w:r>
          </w:p>
        </w:tc>
        <w:tc>
          <w:tcPr>
            <w:tcW w:w="1313" w:type="dxa"/>
            <w:shd w:val="clear" w:color="auto" w:fill="auto"/>
          </w:tcPr>
          <w:p w14:paraId="7E2F8A29"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rPr>
              <w:t xml:space="preserve"> 351.3735</w:t>
            </w:r>
          </w:p>
        </w:tc>
        <w:tc>
          <w:tcPr>
            <w:tcW w:w="1317" w:type="dxa"/>
            <w:vAlign w:val="bottom"/>
          </w:tcPr>
          <w:p w14:paraId="00D453FD"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2.070598</w:t>
            </w:r>
          </w:p>
        </w:tc>
        <w:tc>
          <w:tcPr>
            <w:tcW w:w="1317" w:type="dxa"/>
            <w:vAlign w:val="bottom"/>
          </w:tcPr>
          <w:p w14:paraId="6CA6C595"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63.00103</w:t>
            </w:r>
          </w:p>
        </w:tc>
      </w:tr>
      <w:tr w:rsidR="003C629D" w14:paraId="612C1714" w14:textId="77777777" w:rsidTr="00D87E77">
        <w:trPr>
          <w:trHeight w:val="225"/>
          <w:jc w:val="center"/>
        </w:trPr>
        <w:tc>
          <w:tcPr>
            <w:tcW w:w="1671" w:type="dxa"/>
            <w:vAlign w:val="bottom"/>
          </w:tcPr>
          <w:p w14:paraId="1D057F65" w14:textId="77777777" w:rsidR="003C629D" w:rsidRPr="00A6491F" w:rsidRDefault="003C629D" w:rsidP="00D87E77">
            <w:pPr>
              <w:autoSpaceDE w:val="0"/>
              <w:autoSpaceDN w:val="0"/>
              <w:adjustRightInd w:val="0"/>
              <w:spacing w:after="0" w:line="240" w:lineRule="auto"/>
              <w:rPr>
                <w:rFonts w:ascii="Times New Roman" w:hAnsi="Times New Roman" w:cs="Times New Roman"/>
                <w:color w:val="000000"/>
                <w:lang w:val="id-ID"/>
              </w:rPr>
            </w:pPr>
            <w:r w:rsidRPr="00A6491F">
              <w:rPr>
                <w:rFonts w:ascii="Times New Roman" w:hAnsi="Times New Roman" w:cs="Times New Roman"/>
                <w:color w:val="000000"/>
                <w:lang w:val="id-ID"/>
              </w:rPr>
              <w:t> Skewness</w:t>
            </w:r>
          </w:p>
        </w:tc>
        <w:tc>
          <w:tcPr>
            <w:tcW w:w="1313" w:type="dxa"/>
            <w:shd w:val="clear" w:color="auto" w:fill="auto"/>
          </w:tcPr>
          <w:p w14:paraId="76F518DC"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rPr>
              <w:t xml:space="preserve"> 1.623859</w:t>
            </w:r>
          </w:p>
        </w:tc>
        <w:tc>
          <w:tcPr>
            <w:tcW w:w="1317" w:type="dxa"/>
            <w:vAlign w:val="bottom"/>
          </w:tcPr>
          <w:p w14:paraId="33C7A197"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1.371621</w:t>
            </w:r>
          </w:p>
        </w:tc>
        <w:tc>
          <w:tcPr>
            <w:tcW w:w="1317" w:type="dxa"/>
            <w:vAlign w:val="bottom"/>
          </w:tcPr>
          <w:p w14:paraId="0C8EE677"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2.117116</w:t>
            </w:r>
          </w:p>
        </w:tc>
      </w:tr>
      <w:tr w:rsidR="003C629D" w14:paraId="5E6C0908" w14:textId="77777777" w:rsidTr="00D87E77">
        <w:trPr>
          <w:trHeight w:val="225"/>
          <w:jc w:val="center"/>
        </w:trPr>
        <w:tc>
          <w:tcPr>
            <w:tcW w:w="1671" w:type="dxa"/>
            <w:vAlign w:val="bottom"/>
          </w:tcPr>
          <w:p w14:paraId="737E4EC7" w14:textId="77777777" w:rsidR="003C629D" w:rsidRPr="00A6491F" w:rsidRDefault="003C629D" w:rsidP="00D87E77">
            <w:pPr>
              <w:autoSpaceDE w:val="0"/>
              <w:autoSpaceDN w:val="0"/>
              <w:adjustRightInd w:val="0"/>
              <w:spacing w:after="0" w:line="240" w:lineRule="auto"/>
              <w:rPr>
                <w:rFonts w:ascii="Times New Roman" w:hAnsi="Times New Roman" w:cs="Times New Roman"/>
                <w:color w:val="000000"/>
                <w:lang w:val="id-ID"/>
              </w:rPr>
            </w:pPr>
            <w:r w:rsidRPr="00A6491F">
              <w:rPr>
                <w:rFonts w:ascii="Times New Roman" w:hAnsi="Times New Roman" w:cs="Times New Roman"/>
                <w:color w:val="000000"/>
                <w:lang w:val="id-ID"/>
              </w:rPr>
              <w:t> Kurtosis</w:t>
            </w:r>
          </w:p>
        </w:tc>
        <w:tc>
          <w:tcPr>
            <w:tcW w:w="1313" w:type="dxa"/>
            <w:shd w:val="clear" w:color="auto" w:fill="auto"/>
          </w:tcPr>
          <w:p w14:paraId="4FA11371"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rPr>
              <w:t xml:space="preserve"> 4.723214</w:t>
            </w:r>
          </w:p>
        </w:tc>
        <w:tc>
          <w:tcPr>
            <w:tcW w:w="1317" w:type="dxa"/>
            <w:vAlign w:val="bottom"/>
          </w:tcPr>
          <w:p w14:paraId="7173A64C"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3.928100</w:t>
            </w:r>
          </w:p>
        </w:tc>
        <w:tc>
          <w:tcPr>
            <w:tcW w:w="1317" w:type="dxa"/>
            <w:vAlign w:val="bottom"/>
          </w:tcPr>
          <w:p w14:paraId="7CBFA00D"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6.040724</w:t>
            </w:r>
          </w:p>
        </w:tc>
      </w:tr>
      <w:tr w:rsidR="003C629D" w14:paraId="3DD8B1EA" w14:textId="77777777" w:rsidTr="00D87E77">
        <w:trPr>
          <w:trHeight w:val="225"/>
          <w:jc w:val="center"/>
        </w:trPr>
        <w:tc>
          <w:tcPr>
            <w:tcW w:w="1671" w:type="dxa"/>
            <w:vAlign w:val="bottom"/>
          </w:tcPr>
          <w:p w14:paraId="71A370EA" w14:textId="77777777" w:rsidR="003C629D" w:rsidRPr="00A6491F" w:rsidRDefault="003C629D" w:rsidP="00D87E77">
            <w:pPr>
              <w:autoSpaceDE w:val="0"/>
              <w:autoSpaceDN w:val="0"/>
              <w:adjustRightInd w:val="0"/>
              <w:spacing w:after="0" w:line="240" w:lineRule="auto"/>
              <w:rPr>
                <w:rFonts w:ascii="Times New Roman" w:hAnsi="Times New Roman" w:cs="Times New Roman"/>
                <w:color w:val="000000"/>
                <w:lang w:val="id-ID"/>
              </w:rPr>
            </w:pPr>
            <w:r w:rsidRPr="00A6491F">
              <w:rPr>
                <w:rFonts w:ascii="Times New Roman" w:hAnsi="Times New Roman" w:cs="Times New Roman"/>
                <w:color w:val="000000"/>
                <w:lang w:val="id-ID"/>
              </w:rPr>
              <w:t> Jarque-Bera</w:t>
            </w:r>
          </w:p>
        </w:tc>
        <w:tc>
          <w:tcPr>
            <w:tcW w:w="1313" w:type="dxa"/>
            <w:shd w:val="clear" w:color="auto" w:fill="auto"/>
          </w:tcPr>
          <w:p w14:paraId="262FA843"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rPr>
              <w:t xml:space="preserve"> 5.068929</w:t>
            </w:r>
          </w:p>
        </w:tc>
        <w:tc>
          <w:tcPr>
            <w:tcW w:w="1317" w:type="dxa"/>
            <w:vAlign w:val="bottom"/>
          </w:tcPr>
          <w:p w14:paraId="0D56D182"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3.145030</w:t>
            </w:r>
          </w:p>
        </w:tc>
        <w:tc>
          <w:tcPr>
            <w:tcW w:w="1317" w:type="dxa"/>
            <w:vAlign w:val="bottom"/>
          </w:tcPr>
          <w:p w14:paraId="56B0206C"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10.19052</w:t>
            </w:r>
          </w:p>
        </w:tc>
      </w:tr>
      <w:tr w:rsidR="003C629D" w14:paraId="5827468E" w14:textId="77777777" w:rsidTr="00D87E77">
        <w:trPr>
          <w:trHeight w:val="225"/>
          <w:jc w:val="center"/>
        </w:trPr>
        <w:tc>
          <w:tcPr>
            <w:tcW w:w="1671" w:type="dxa"/>
            <w:vAlign w:val="bottom"/>
          </w:tcPr>
          <w:p w14:paraId="3D2E4050" w14:textId="77777777" w:rsidR="003C629D" w:rsidRPr="00A6491F" w:rsidRDefault="003C629D" w:rsidP="00D87E77">
            <w:pPr>
              <w:autoSpaceDE w:val="0"/>
              <w:autoSpaceDN w:val="0"/>
              <w:adjustRightInd w:val="0"/>
              <w:spacing w:after="0" w:line="240" w:lineRule="auto"/>
              <w:rPr>
                <w:rFonts w:ascii="Times New Roman" w:hAnsi="Times New Roman" w:cs="Times New Roman"/>
                <w:color w:val="000000"/>
                <w:lang w:val="id-ID"/>
              </w:rPr>
            </w:pPr>
            <w:r w:rsidRPr="00A6491F">
              <w:rPr>
                <w:rFonts w:ascii="Times New Roman" w:hAnsi="Times New Roman" w:cs="Times New Roman"/>
                <w:color w:val="000000"/>
                <w:lang w:val="id-ID"/>
              </w:rPr>
              <w:t> Probability</w:t>
            </w:r>
          </w:p>
        </w:tc>
        <w:tc>
          <w:tcPr>
            <w:tcW w:w="1313" w:type="dxa"/>
            <w:shd w:val="clear" w:color="auto" w:fill="auto"/>
          </w:tcPr>
          <w:p w14:paraId="326622E4"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rPr>
              <w:t xml:space="preserve"> 0.079304</w:t>
            </w:r>
          </w:p>
        </w:tc>
        <w:tc>
          <w:tcPr>
            <w:tcW w:w="1317" w:type="dxa"/>
            <w:vAlign w:val="bottom"/>
          </w:tcPr>
          <w:p w14:paraId="135558E7"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0.207523</w:t>
            </w:r>
          </w:p>
        </w:tc>
        <w:tc>
          <w:tcPr>
            <w:tcW w:w="1317" w:type="dxa"/>
            <w:vAlign w:val="bottom"/>
          </w:tcPr>
          <w:p w14:paraId="4C4041C0"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0.006126</w:t>
            </w:r>
          </w:p>
        </w:tc>
      </w:tr>
      <w:tr w:rsidR="003C629D" w14:paraId="49806715" w14:textId="77777777" w:rsidTr="00D87E77">
        <w:trPr>
          <w:trHeight w:val="225"/>
          <w:jc w:val="center"/>
        </w:trPr>
        <w:tc>
          <w:tcPr>
            <w:tcW w:w="1671" w:type="dxa"/>
            <w:vAlign w:val="bottom"/>
          </w:tcPr>
          <w:p w14:paraId="75CA8D53" w14:textId="77777777" w:rsidR="003C629D" w:rsidRPr="00A6491F" w:rsidRDefault="003C629D" w:rsidP="00D87E77">
            <w:pPr>
              <w:autoSpaceDE w:val="0"/>
              <w:autoSpaceDN w:val="0"/>
              <w:adjustRightInd w:val="0"/>
              <w:spacing w:after="0" w:line="240" w:lineRule="auto"/>
              <w:rPr>
                <w:rFonts w:ascii="Times New Roman" w:hAnsi="Times New Roman" w:cs="Times New Roman"/>
                <w:color w:val="000000"/>
                <w:lang w:val="id-ID"/>
              </w:rPr>
            </w:pPr>
            <w:r w:rsidRPr="00A6491F">
              <w:rPr>
                <w:rFonts w:ascii="Times New Roman" w:hAnsi="Times New Roman" w:cs="Times New Roman"/>
                <w:color w:val="000000"/>
                <w:lang w:val="id-ID"/>
              </w:rPr>
              <w:t> Sum</w:t>
            </w:r>
          </w:p>
        </w:tc>
        <w:tc>
          <w:tcPr>
            <w:tcW w:w="1313" w:type="dxa"/>
            <w:shd w:val="clear" w:color="auto" w:fill="auto"/>
          </w:tcPr>
          <w:p w14:paraId="769C9DE3"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rPr>
              <w:t xml:space="preserve"> 7766.400</w:t>
            </w:r>
          </w:p>
        </w:tc>
        <w:tc>
          <w:tcPr>
            <w:tcW w:w="1317" w:type="dxa"/>
            <w:vAlign w:val="bottom"/>
          </w:tcPr>
          <w:p w14:paraId="71620DAA"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33.25000</w:t>
            </w:r>
          </w:p>
        </w:tc>
        <w:tc>
          <w:tcPr>
            <w:tcW w:w="1317" w:type="dxa"/>
            <w:vAlign w:val="bottom"/>
          </w:tcPr>
          <w:p w14:paraId="59B32ADE"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711.7000</w:t>
            </w:r>
          </w:p>
        </w:tc>
      </w:tr>
      <w:tr w:rsidR="003C629D" w14:paraId="652E147E" w14:textId="77777777" w:rsidTr="00D87E77">
        <w:trPr>
          <w:trHeight w:val="225"/>
          <w:jc w:val="center"/>
        </w:trPr>
        <w:tc>
          <w:tcPr>
            <w:tcW w:w="1671" w:type="dxa"/>
            <w:vAlign w:val="bottom"/>
          </w:tcPr>
          <w:p w14:paraId="5DFF61B3" w14:textId="77777777" w:rsidR="003C629D" w:rsidRPr="00A6491F" w:rsidRDefault="003C629D" w:rsidP="00D87E77">
            <w:pPr>
              <w:autoSpaceDE w:val="0"/>
              <w:autoSpaceDN w:val="0"/>
              <w:adjustRightInd w:val="0"/>
              <w:spacing w:after="0" w:line="240" w:lineRule="auto"/>
              <w:rPr>
                <w:rFonts w:ascii="Times New Roman" w:hAnsi="Times New Roman" w:cs="Times New Roman"/>
                <w:color w:val="000000"/>
                <w:lang w:val="id-ID"/>
              </w:rPr>
            </w:pPr>
            <w:r w:rsidRPr="00A6491F">
              <w:rPr>
                <w:rFonts w:ascii="Times New Roman" w:hAnsi="Times New Roman" w:cs="Times New Roman"/>
                <w:color w:val="000000"/>
                <w:lang w:val="id-ID"/>
              </w:rPr>
              <w:t> Sum Sq. Dev.</w:t>
            </w:r>
          </w:p>
        </w:tc>
        <w:tc>
          <w:tcPr>
            <w:tcW w:w="1313" w:type="dxa"/>
            <w:shd w:val="clear" w:color="auto" w:fill="auto"/>
          </w:tcPr>
          <w:p w14:paraId="2953FE66"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rPr>
              <w:t xml:space="preserve"> 987706.6</w:t>
            </w:r>
          </w:p>
        </w:tc>
        <w:tc>
          <w:tcPr>
            <w:tcW w:w="1317" w:type="dxa"/>
            <w:vAlign w:val="bottom"/>
          </w:tcPr>
          <w:p w14:paraId="165357E3"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34.29902</w:t>
            </w:r>
          </w:p>
        </w:tc>
        <w:tc>
          <w:tcPr>
            <w:tcW w:w="1317" w:type="dxa"/>
            <w:vAlign w:val="bottom"/>
          </w:tcPr>
          <w:p w14:paraId="165F6839"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31753.04</w:t>
            </w:r>
          </w:p>
        </w:tc>
      </w:tr>
      <w:tr w:rsidR="003C629D" w14:paraId="7CC01DA5" w14:textId="77777777" w:rsidTr="00D87E77">
        <w:trPr>
          <w:trHeight w:val="225"/>
          <w:jc w:val="center"/>
        </w:trPr>
        <w:tc>
          <w:tcPr>
            <w:tcW w:w="1671" w:type="dxa"/>
            <w:vAlign w:val="bottom"/>
          </w:tcPr>
          <w:p w14:paraId="33D5120C" w14:textId="77777777" w:rsidR="003C629D" w:rsidRPr="00A6491F" w:rsidRDefault="003C629D" w:rsidP="00D87E77">
            <w:pPr>
              <w:autoSpaceDE w:val="0"/>
              <w:autoSpaceDN w:val="0"/>
              <w:adjustRightInd w:val="0"/>
              <w:spacing w:after="0" w:line="240" w:lineRule="auto"/>
              <w:rPr>
                <w:rFonts w:ascii="Times New Roman" w:hAnsi="Times New Roman" w:cs="Times New Roman"/>
                <w:color w:val="000000"/>
                <w:lang w:val="id-ID"/>
              </w:rPr>
            </w:pPr>
            <w:r w:rsidRPr="00A6491F">
              <w:rPr>
                <w:rFonts w:ascii="Times New Roman" w:hAnsi="Times New Roman" w:cs="Times New Roman"/>
                <w:color w:val="000000"/>
                <w:lang w:val="id-ID"/>
              </w:rPr>
              <w:t> Observations</w:t>
            </w:r>
          </w:p>
        </w:tc>
        <w:tc>
          <w:tcPr>
            <w:tcW w:w="1313" w:type="dxa"/>
            <w:shd w:val="clear" w:color="auto" w:fill="auto"/>
            <w:vAlign w:val="bottom"/>
          </w:tcPr>
          <w:p w14:paraId="10221BE5" w14:textId="77777777" w:rsidR="003C629D" w:rsidRPr="00A2157D"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A6491F">
              <w:rPr>
                <w:rFonts w:ascii="Times New Roman" w:hAnsi="Times New Roman" w:cs="Times New Roman"/>
                <w:color w:val="000000"/>
                <w:lang w:val="id-ID"/>
              </w:rPr>
              <w:t> 9</w:t>
            </w:r>
          </w:p>
        </w:tc>
        <w:tc>
          <w:tcPr>
            <w:tcW w:w="1317" w:type="dxa"/>
          </w:tcPr>
          <w:p w14:paraId="0794E940" w14:textId="77777777" w:rsidR="003C629D" w:rsidRPr="00A2157D"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Pr>
                <w:rFonts w:ascii="Times New Roman" w:hAnsi="Times New Roman" w:cs="Times New Roman"/>
                <w:color w:val="000000"/>
                <w:lang w:val="id-ID"/>
              </w:rPr>
              <w:t>9</w:t>
            </w:r>
          </w:p>
        </w:tc>
        <w:tc>
          <w:tcPr>
            <w:tcW w:w="1317" w:type="dxa"/>
            <w:vAlign w:val="bottom"/>
          </w:tcPr>
          <w:p w14:paraId="76C4F38B" w14:textId="77777777" w:rsidR="003C629D" w:rsidRPr="00A6491F"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A2157D">
              <w:rPr>
                <w:rFonts w:ascii="Times New Roman" w:hAnsi="Times New Roman" w:cs="Times New Roman"/>
                <w:color w:val="000000"/>
                <w:lang w:val="id-ID"/>
              </w:rPr>
              <w:t> 9</w:t>
            </w:r>
          </w:p>
        </w:tc>
      </w:tr>
    </w:tbl>
    <w:p w14:paraId="43D31D53" w14:textId="77777777" w:rsidR="003C629D" w:rsidRPr="00EF03B8" w:rsidRDefault="003C629D" w:rsidP="00EF03B8">
      <w:pPr>
        <w:jc w:val="both"/>
        <w:rPr>
          <w:rFonts w:ascii="Arial" w:hAnsi="Arial" w:cs="Arial"/>
          <w:b/>
          <w:bCs/>
        </w:rPr>
      </w:pPr>
    </w:p>
    <w:p w14:paraId="4742354C" w14:textId="77777777" w:rsidR="00EF03B8" w:rsidRPr="00EF03B8" w:rsidRDefault="00EF03B8" w:rsidP="003C629D">
      <w:pPr>
        <w:spacing w:after="0" w:line="240" w:lineRule="auto"/>
        <w:jc w:val="both"/>
        <w:rPr>
          <w:rFonts w:ascii="Arial" w:hAnsi="Arial" w:cs="Arial"/>
        </w:rPr>
      </w:pPr>
      <w:r w:rsidRPr="00EF03B8">
        <w:rPr>
          <w:rFonts w:ascii="Arial" w:hAnsi="Arial" w:cs="Arial"/>
        </w:rPr>
        <w:t>The descriptive analysis revealed the following statistics for the variables:</w:t>
      </w:r>
    </w:p>
    <w:p w14:paraId="520378D4" w14:textId="77777777" w:rsidR="00EF03B8" w:rsidRPr="00EF03B8" w:rsidRDefault="00EF03B8" w:rsidP="003C629D">
      <w:pPr>
        <w:numPr>
          <w:ilvl w:val="0"/>
          <w:numId w:val="1"/>
        </w:numPr>
        <w:spacing w:after="0" w:line="240" w:lineRule="auto"/>
        <w:jc w:val="both"/>
        <w:rPr>
          <w:rFonts w:ascii="Arial" w:hAnsi="Arial" w:cs="Arial"/>
        </w:rPr>
      </w:pPr>
      <w:r w:rsidRPr="00EF03B8">
        <w:rPr>
          <w:rFonts w:ascii="Arial" w:hAnsi="Arial" w:cs="Arial"/>
          <w:b/>
          <w:bCs/>
        </w:rPr>
        <w:t>World Oil Prices (X1)</w:t>
      </w:r>
      <w:r w:rsidRPr="00EF03B8">
        <w:rPr>
          <w:rFonts w:ascii="Arial" w:hAnsi="Arial" w:cs="Arial"/>
        </w:rPr>
        <w:t>: An average price of $862.93 per barrel, with fluctuations posing significant economic implications.</w:t>
      </w:r>
    </w:p>
    <w:p w14:paraId="6A3F3D25" w14:textId="77777777" w:rsidR="00EF03B8" w:rsidRPr="00EF03B8" w:rsidRDefault="00EF03B8" w:rsidP="003C629D">
      <w:pPr>
        <w:numPr>
          <w:ilvl w:val="0"/>
          <w:numId w:val="1"/>
        </w:numPr>
        <w:spacing w:after="0" w:line="240" w:lineRule="auto"/>
        <w:jc w:val="both"/>
        <w:rPr>
          <w:rFonts w:ascii="Arial" w:hAnsi="Arial" w:cs="Arial"/>
        </w:rPr>
      </w:pPr>
      <w:r w:rsidRPr="00EF03B8">
        <w:rPr>
          <w:rFonts w:ascii="Arial" w:hAnsi="Arial" w:cs="Arial"/>
          <w:b/>
          <w:bCs/>
        </w:rPr>
        <w:t>Inflation Rates (X2)</w:t>
      </w:r>
      <w:r w:rsidRPr="00EF03B8">
        <w:rPr>
          <w:rFonts w:ascii="Arial" w:hAnsi="Arial" w:cs="Arial"/>
        </w:rPr>
        <w:t>: An average inflation rate of 3.69%, indicating pressure on consumer prices.</w:t>
      </w:r>
    </w:p>
    <w:p w14:paraId="1719B65F" w14:textId="77777777" w:rsidR="00EF03B8" w:rsidRPr="00EF03B8" w:rsidRDefault="00EF03B8" w:rsidP="003C629D">
      <w:pPr>
        <w:numPr>
          <w:ilvl w:val="0"/>
          <w:numId w:val="1"/>
        </w:numPr>
        <w:spacing w:after="0" w:line="240" w:lineRule="auto"/>
        <w:jc w:val="both"/>
        <w:rPr>
          <w:rFonts w:ascii="Arial" w:hAnsi="Arial" w:cs="Arial"/>
        </w:rPr>
      </w:pPr>
      <w:r w:rsidRPr="00EF03B8">
        <w:rPr>
          <w:rFonts w:ascii="Arial" w:hAnsi="Arial" w:cs="Arial"/>
          <w:b/>
          <w:bCs/>
        </w:rPr>
        <w:lastRenderedPageBreak/>
        <w:t>Fuel Subsidies (Y)</w:t>
      </w:r>
      <w:r w:rsidRPr="00EF03B8">
        <w:rPr>
          <w:rFonts w:ascii="Arial" w:hAnsi="Arial" w:cs="Arial"/>
        </w:rPr>
        <w:t>: An average subsidy amounting to 79.08 IDR, demonstrating how government support has been pivotal for public assistance.</w:t>
      </w:r>
    </w:p>
    <w:p w14:paraId="50760CA3" w14:textId="77777777" w:rsidR="00EF03B8" w:rsidRPr="00EF03B8" w:rsidRDefault="00EF03B8" w:rsidP="003C629D">
      <w:pPr>
        <w:spacing w:after="0" w:line="240" w:lineRule="auto"/>
        <w:jc w:val="both"/>
        <w:rPr>
          <w:rFonts w:ascii="Arial" w:hAnsi="Arial" w:cs="Arial"/>
          <w:b/>
          <w:bCs/>
        </w:rPr>
      </w:pPr>
      <w:r w:rsidRPr="00EF03B8">
        <w:rPr>
          <w:rFonts w:ascii="Arial" w:hAnsi="Arial" w:cs="Arial"/>
          <w:b/>
          <w:bCs/>
        </w:rPr>
        <w:t>Coefficient of Determination Test</w:t>
      </w:r>
    </w:p>
    <w:p w14:paraId="5BCFB6E9" w14:textId="77777777" w:rsidR="00EF03B8" w:rsidRPr="00EF03B8" w:rsidRDefault="00EF03B8" w:rsidP="003C629D">
      <w:pPr>
        <w:spacing w:after="0" w:line="240" w:lineRule="auto"/>
        <w:jc w:val="both"/>
        <w:rPr>
          <w:rFonts w:ascii="Arial" w:hAnsi="Arial" w:cs="Arial"/>
        </w:rPr>
      </w:pPr>
      <w:r w:rsidRPr="00EF03B8">
        <w:rPr>
          <w:rFonts w:ascii="Arial" w:hAnsi="Arial" w:cs="Arial"/>
        </w:rPr>
        <w:t>The regression analysis' R-squared coefficient was found to be 0.7303, indicating that approximately 73.03% of the variability in fuel subsidies can be explained by world oil prices and inflation, while 26.97% is attributed to other factors not included in this model.</w:t>
      </w:r>
    </w:p>
    <w:p w14:paraId="4AA8DF7C" w14:textId="77777777" w:rsidR="00EF03B8" w:rsidRPr="00EF03B8" w:rsidRDefault="00EF03B8" w:rsidP="003C629D">
      <w:pPr>
        <w:spacing w:after="0" w:line="240" w:lineRule="auto"/>
        <w:jc w:val="both"/>
        <w:rPr>
          <w:rFonts w:ascii="Arial" w:hAnsi="Arial" w:cs="Arial"/>
          <w:b/>
          <w:bCs/>
        </w:rPr>
      </w:pPr>
      <w:r w:rsidRPr="00EF03B8">
        <w:rPr>
          <w:rFonts w:ascii="Arial" w:hAnsi="Arial" w:cs="Arial"/>
          <w:b/>
          <w:bCs/>
        </w:rPr>
        <w:t>F-Test and T-Test</w:t>
      </w:r>
    </w:p>
    <w:p w14:paraId="4B9285E4" w14:textId="77777777" w:rsidR="00EF03B8" w:rsidRPr="00EF03B8" w:rsidRDefault="00EF03B8" w:rsidP="003C629D">
      <w:pPr>
        <w:spacing w:after="0" w:line="240" w:lineRule="auto"/>
        <w:jc w:val="both"/>
        <w:rPr>
          <w:rFonts w:ascii="Arial" w:hAnsi="Arial" w:cs="Arial"/>
        </w:rPr>
      </w:pPr>
      <w:r w:rsidRPr="00EF03B8">
        <w:rPr>
          <w:rFonts w:ascii="Arial" w:hAnsi="Arial" w:cs="Arial"/>
        </w:rPr>
        <w:t>The F-test yielded a significant result (p &lt; 0.05), indicating that the model established a significant relationship between the independent variables and the dependent variable. The t-test results showed:</w:t>
      </w:r>
    </w:p>
    <w:p w14:paraId="4F27609B" w14:textId="77777777" w:rsidR="00EF03B8" w:rsidRPr="00EF03B8" w:rsidRDefault="00EF03B8" w:rsidP="003C629D">
      <w:pPr>
        <w:numPr>
          <w:ilvl w:val="0"/>
          <w:numId w:val="2"/>
        </w:numPr>
        <w:spacing w:after="0" w:line="240" w:lineRule="auto"/>
        <w:jc w:val="both"/>
        <w:rPr>
          <w:rFonts w:ascii="Arial" w:hAnsi="Arial" w:cs="Arial"/>
        </w:rPr>
      </w:pPr>
      <w:r w:rsidRPr="00EF03B8">
        <w:rPr>
          <w:rFonts w:ascii="Arial" w:hAnsi="Arial" w:cs="Arial"/>
          <w:b/>
          <w:bCs/>
        </w:rPr>
        <w:t>World Oil Prices (X1)</w:t>
      </w:r>
      <w:r w:rsidRPr="00EF03B8">
        <w:rPr>
          <w:rFonts w:ascii="Arial" w:hAnsi="Arial" w:cs="Arial"/>
        </w:rPr>
        <w:t>: t-value of -1.022 and p-value of 0.3463 (not significant).</w:t>
      </w:r>
    </w:p>
    <w:p w14:paraId="34B1FFEA" w14:textId="77777777" w:rsidR="00EF03B8" w:rsidRPr="00EF03B8" w:rsidRDefault="00EF03B8" w:rsidP="003C629D">
      <w:pPr>
        <w:numPr>
          <w:ilvl w:val="0"/>
          <w:numId w:val="2"/>
        </w:numPr>
        <w:spacing w:after="0" w:line="240" w:lineRule="auto"/>
        <w:jc w:val="both"/>
        <w:rPr>
          <w:rFonts w:ascii="Arial" w:hAnsi="Arial" w:cs="Arial"/>
        </w:rPr>
      </w:pPr>
      <w:r w:rsidRPr="00EF03B8">
        <w:rPr>
          <w:rFonts w:ascii="Arial" w:hAnsi="Arial" w:cs="Arial"/>
          <w:b/>
          <w:bCs/>
        </w:rPr>
        <w:t>Inflation (X2)</w:t>
      </w:r>
      <w:r w:rsidRPr="00EF03B8">
        <w:rPr>
          <w:rFonts w:ascii="Arial" w:hAnsi="Arial" w:cs="Arial"/>
        </w:rPr>
        <w:t>: t-value of 4.8612 and p-value of 0.0028 (significant).</w:t>
      </w:r>
    </w:p>
    <w:p w14:paraId="2BB3732D" w14:textId="77777777" w:rsidR="00EF03B8" w:rsidRPr="00EF03B8" w:rsidRDefault="00EF03B8" w:rsidP="003C629D">
      <w:pPr>
        <w:spacing w:after="0" w:line="240" w:lineRule="auto"/>
        <w:jc w:val="both"/>
        <w:rPr>
          <w:rFonts w:ascii="Arial" w:hAnsi="Arial" w:cs="Arial"/>
        </w:rPr>
      </w:pPr>
      <w:r w:rsidRPr="00EF03B8">
        <w:rPr>
          <w:rFonts w:ascii="Arial" w:hAnsi="Arial" w:cs="Arial"/>
        </w:rPr>
        <w:t>This highlights that inflation has a greater impact on fuel subsidies compared to world oil prices.</w:t>
      </w:r>
    </w:p>
    <w:p w14:paraId="1E563D8C" w14:textId="77777777" w:rsidR="00EF03B8" w:rsidRPr="00EF03B8" w:rsidRDefault="00EF03B8" w:rsidP="00775392">
      <w:pPr>
        <w:spacing w:after="0" w:line="240" w:lineRule="auto"/>
        <w:jc w:val="both"/>
        <w:rPr>
          <w:rFonts w:ascii="Arial" w:hAnsi="Arial" w:cs="Arial"/>
          <w:b/>
          <w:bCs/>
        </w:rPr>
      </w:pPr>
      <w:r w:rsidRPr="00EF03B8">
        <w:rPr>
          <w:rFonts w:ascii="Arial" w:hAnsi="Arial" w:cs="Arial"/>
          <w:b/>
          <w:bCs/>
        </w:rPr>
        <w:t>Economic Implications</w:t>
      </w:r>
    </w:p>
    <w:p w14:paraId="6D83E02D" w14:textId="77777777" w:rsidR="00EF03B8" w:rsidRPr="00EF03B8" w:rsidRDefault="00EF03B8" w:rsidP="00775392">
      <w:pPr>
        <w:spacing w:after="0" w:line="240" w:lineRule="auto"/>
        <w:jc w:val="both"/>
        <w:rPr>
          <w:rFonts w:ascii="Arial" w:hAnsi="Arial" w:cs="Arial"/>
        </w:rPr>
      </w:pPr>
      <w:r w:rsidRPr="00EF03B8">
        <w:rPr>
          <w:rFonts w:ascii="Arial" w:hAnsi="Arial" w:cs="Arial"/>
        </w:rPr>
        <w:t>The findings emphasize the need for the government to adopt a flexible approach in subsidy policies, particularly considering inflation's significant influence. While maintaining fuel subsidies is crucial, adjustments should be made to align public support with the prevailing inflationary context to ensure effectiveness.</w:t>
      </w:r>
    </w:p>
    <w:p w14:paraId="773C00A7" w14:textId="77777777" w:rsidR="00EF03B8" w:rsidRPr="00EF03B8" w:rsidRDefault="00EF03B8" w:rsidP="00775392">
      <w:pPr>
        <w:spacing w:after="0" w:line="240" w:lineRule="auto"/>
        <w:jc w:val="both"/>
        <w:rPr>
          <w:rFonts w:ascii="Arial" w:hAnsi="Arial" w:cs="Arial"/>
          <w:b/>
          <w:bCs/>
        </w:rPr>
      </w:pPr>
      <w:r w:rsidRPr="00EF03B8">
        <w:rPr>
          <w:rFonts w:ascii="Arial" w:hAnsi="Arial" w:cs="Arial"/>
          <w:b/>
          <w:bCs/>
        </w:rPr>
        <w:t>Conclusion</w:t>
      </w:r>
    </w:p>
    <w:p w14:paraId="53F1EC7F" w14:textId="77777777" w:rsidR="00EF03B8" w:rsidRDefault="00EF03B8" w:rsidP="00775392">
      <w:pPr>
        <w:spacing w:after="0" w:line="240" w:lineRule="auto"/>
        <w:jc w:val="both"/>
        <w:rPr>
          <w:rFonts w:ascii="Arial" w:hAnsi="Arial" w:cs="Arial"/>
        </w:rPr>
      </w:pPr>
      <w:r w:rsidRPr="00EF03B8">
        <w:rPr>
          <w:rFonts w:ascii="Arial" w:hAnsi="Arial" w:cs="Arial"/>
        </w:rPr>
        <w:t>The study concludes that inflation significantly influences fuel subsidies in Indonesia, while world oil prices do not exhibit significant effects. Therefore, it is crucial for government policymakers to adjust subsidy mechanisms to reflect current inflation trends and emerging economic conditions. Implementing responsive policies would promote public welfare and contribute to overall economic stability.</w:t>
      </w:r>
    </w:p>
    <w:p w14:paraId="2716FF19" w14:textId="77777777" w:rsidR="005A5A73" w:rsidRPr="00EF03B8" w:rsidRDefault="005A5A73" w:rsidP="00775392">
      <w:pPr>
        <w:spacing w:after="0" w:line="240" w:lineRule="auto"/>
        <w:jc w:val="both"/>
        <w:rPr>
          <w:rFonts w:ascii="Arial" w:hAnsi="Arial" w:cs="Arial"/>
        </w:rPr>
      </w:pPr>
    </w:p>
    <w:p w14:paraId="030A9849" w14:textId="77777777" w:rsidR="00EF03B8" w:rsidRPr="00EF03B8" w:rsidRDefault="00EF03B8" w:rsidP="00775392">
      <w:pPr>
        <w:spacing w:after="0" w:line="240" w:lineRule="auto"/>
        <w:jc w:val="both"/>
        <w:rPr>
          <w:rFonts w:ascii="Arial" w:hAnsi="Arial" w:cs="Arial"/>
          <w:b/>
          <w:bCs/>
        </w:rPr>
      </w:pPr>
      <w:r w:rsidRPr="00EF03B8">
        <w:rPr>
          <w:rFonts w:ascii="Arial" w:hAnsi="Arial" w:cs="Arial"/>
          <w:b/>
          <w:bCs/>
        </w:rPr>
        <w:t>Suggestions</w:t>
      </w:r>
    </w:p>
    <w:p w14:paraId="4880DB52" w14:textId="77777777" w:rsidR="00EF03B8" w:rsidRPr="00EF03B8" w:rsidRDefault="00EF03B8" w:rsidP="00775392">
      <w:pPr>
        <w:numPr>
          <w:ilvl w:val="0"/>
          <w:numId w:val="3"/>
        </w:numPr>
        <w:spacing w:after="0" w:line="240" w:lineRule="auto"/>
        <w:jc w:val="both"/>
        <w:rPr>
          <w:rFonts w:ascii="Arial" w:hAnsi="Arial" w:cs="Arial"/>
        </w:rPr>
      </w:pPr>
      <w:r w:rsidRPr="00EF03B8">
        <w:rPr>
          <w:rFonts w:ascii="Arial" w:hAnsi="Arial" w:cs="Arial"/>
          <w:b/>
          <w:bCs/>
        </w:rPr>
        <w:t>Government Action</w:t>
      </w:r>
      <w:r w:rsidRPr="00EF03B8">
        <w:rPr>
          <w:rFonts w:ascii="Arial" w:hAnsi="Arial" w:cs="Arial"/>
        </w:rPr>
        <w:t>: The government should actively monitor inflation rates and be prepared to adjust fuel subsidy policies in response.</w:t>
      </w:r>
    </w:p>
    <w:p w14:paraId="126AB87A" w14:textId="77777777" w:rsidR="00EF03B8" w:rsidRPr="00EF03B8" w:rsidRDefault="00EF03B8" w:rsidP="00775392">
      <w:pPr>
        <w:numPr>
          <w:ilvl w:val="0"/>
          <w:numId w:val="3"/>
        </w:numPr>
        <w:spacing w:after="0" w:line="240" w:lineRule="auto"/>
        <w:jc w:val="both"/>
        <w:rPr>
          <w:rFonts w:ascii="Arial" w:hAnsi="Arial" w:cs="Arial"/>
        </w:rPr>
      </w:pPr>
      <w:r w:rsidRPr="00EF03B8">
        <w:rPr>
          <w:rFonts w:ascii="Arial" w:hAnsi="Arial" w:cs="Arial"/>
          <w:b/>
          <w:bCs/>
        </w:rPr>
        <w:t>Further Research</w:t>
      </w:r>
      <w:r w:rsidRPr="00EF03B8">
        <w:rPr>
          <w:rFonts w:ascii="Arial" w:hAnsi="Arial" w:cs="Arial"/>
        </w:rPr>
        <w:t>: Future studies should incorporate other influential variables, such as taxation, market regulations, and income levels, to provide a more comprehensive understanding of the factors affecting fuel subsidies.</w:t>
      </w:r>
    </w:p>
    <w:p w14:paraId="40198E4F" w14:textId="7D88D033" w:rsidR="00775392" w:rsidRPr="00775392" w:rsidRDefault="00775392" w:rsidP="00775392">
      <w:pPr>
        <w:spacing w:after="0"/>
        <w:jc w:val="both"/>
        <w:rPr>
          <w:rFonts w:ascii="Arial" w:hAnsi="Arial" w:cs="Arial"/>
          <w:b/>
          <w:bCs/>
        </w:rPr>
      </w:pPr>
      <w:r w:rsidRPr="00775392">
        <w:rPr>
          <w:rFonts w:ascii="Arial" w:hAnsi="Arial" w:cs="Arial"/>
          <w:b/>
          <w:bCs/>
        </w:rPr>
        <w:t>REFERENCES</w:t>
      </w:r>
    </w:p>
    <w:p w14:paraId="3E5CCD9F" w14:textId="0FD6B02F" w:rsidR="00775392" w:rsidRPr="00775392" w:rsidRDefault="00775392" w:rsidP="00775392">
      <w:pPr>
        <w:spacing w:after="0" w:line="240" w:lineRule="auto"/>
        <w:jc w:val="both"/>
        <w:rPr>
          <w:rFonts w:ascii="Arial" w:hAnsi="Arial" w:cs="Arial"/>
        </w:rPr>
      </w:pPr>
      <w:r w:rsidRPr="00775392">
        <w:rPr>
          <w:rFonts w:ascii="Arial" w:hAnsi="Arial" w:cs="Arial"/>
        </w:rPr>
        <w:t xml:space="preserve">Badan Pusat </w:t>
      </w:r>
      <w:proofErr w:type="spellStart"/>
      <w:r w:rsidRPr="00775392">
        <w:rPr>
          <w:rFonts w:ascii="Arial" w:hAnsi="Arial" w:cs="Arial"/>
        </w:rPr>
        <w:t>Statistik</w:t>
      </w:r>
      <w:proofErr w:type="spellEnd"/>
      <w:r w:rsidRPr="00775392">
        <w:rPr>
          <w:rFonts w:ascii="Arial" w:hAnsi="Arial" w:cs="Arial"/>
        </w:rPr>
        <w:t xml:space="preserve">. (2023). </w:t>
      </w:r>
      <w:proofErr w:type="spellStart"/>
      <w:r w:rsidRPr="00775392">
        <w:rPr>
          <w:rFonts w:ascii="Arial" w:hAnsi="Arial" w:cs="Arial"/>
        </w:rPr>
        <w:t>Statistik</w:t>
      </w:r>
      <w:proofErr w:type="spellEnd"/>
      <w:r w:rsidRPr="00775392">
        <w:rPr>
          <w:rFonts w:ascii="Arial" w:hAnsi="Arial" w:cs="Arial"/>
        </w:rPr>
        <w:t xml:space="preserve"> Energi dan </w:t>
      </w:r>
      <w:proofErr w:type="spellStart"/>
      <w:r w:rsidRPr="00775392">
        <w:rPr>
          <w:rFonts w:ascii="Arial" w:hAnsi="Arial" w:cs="Arial"/>
        </w:rPr>
        <w:t>Sumber</w:t>
      </w:r>
      <w:proofErr w:type="spellEnd"/>
      <w:r w:rsidRPr="00775392">
        <w:rPr>
          <w:rFonts w:ascii="Arial" w:hAnsi="Arial" w:cs="Arial"/>
        </w:rPr>
        <w:t xml:space="preserve"> Daya Mineral 2022. Jakarta: BPS.</w:t>
      </w:r>
    </w:p>
    <w:p w14:paraId="52FC5A6A" w14:textId="3A31BA9D" w:rsidR="00775392" w:rsidRPr="00775392" w:rsidRDefault="00775392" w:rsidP="00775392">
      <w:pPr>
        <w:spacing w:after="0" w:line="240" w:lineRule="auto"/>
        <w:jc w:val="both"/>
        <w:rPr>
          <w:rFonts w:ascii="Arial" w:hAnsi="Arial" w:cs="Arial"/>
        </w:rPr>
      </w:pPr>
      <w:r w:rsidRPr="00775392">
        <w:rPr>
          <w:rFonts w:ascii="Arial" w:hAnsi="Arial" w:cs="Arial"/>
        </w:rPr>
        <w:t xml:space="preserve">Kementerian Energi dan </w:t>
      </w:r>
      <w:proofErr w:type="spellStart"/>
      <w:r w:rsidRPr="00775392">
        <w:rPr>
          <w:rFonts w:ascii="Arial" w:hAnsi="Arial" w:cs="Arial"/>
        </w:rPr>
        <w:t>Sumber</w:t>
      </w:r>
      <w:proofErr w:type="spellEnd"/>
      <w:r w:rsidRPr="00775392">
        <w:rPr>
          <w:rFonts w:ascii="Arial" w:hAnsi="Arial" w:cs="Arial"/>
        </w:rPr>
        <w:t xml:space="preserve"> Daya Mineral Republik Indonesia. (2023). </w:t>
      </w:r>
      <w:proofErr w:type="spellStart"/>
      <w:r w:rsidRPr="00775392">
        <w:rPr>
          <w:rFonts w:ascii="Arial" w:hAnsi="Arial" w:cs="Arial"/>
        </w:rPr>
        <w:t>Laporan</w:t>
      </w:r>
      <w:proofErr w:type="spellEnd"/>
      <w:r w:rsidRPr="00775392">
        <w:rPr>
          <w:rFonts w:ascii="Arial" w:hAnsi="Arial" w:cs="Arial"/>
        </w:rPr>
        <w:t xml:space="preserve"> </w:t>
      </w:r>
      <w:proofErr w:type="spellStart"/>
      <w:r w:rsidRPr="00775392">
        <w:rPr>
          <w:rFonts w:ascii="Arial" w:hAnsi="Arial" w:cs="Arial"/>
        </w:rPr>
        <w:t>Tahunan</w:t>
      </w:r>
      <w:proofErr w:type="spellEnd"/>
      <w:r w:rsidRPr="00775392">
        <w:rPr>
          <w:rFonts w:ascii="Arial" w:hAnsi="Arial" w:cs="Arial"/>
        </w:rPr>
        <w:t xml:space="preserve"> Kinerja Energi 2022. Jakarta: Kementerian ESDM.</w:t>
      </w:r>
    </w:p>
    <w:p w14:paraId="56434FC7" w14:textId="20D0F413" w:rsidR="00775392" w:rsidRPr="00775392" w:rsidRDefault="00775392" w:rsidP="00775392">
      <w:pPr>
        <w:spacing w:after="0" w:line="240" w:lineRule="auto"/>
        <w:jc w:val="both"/>
        <w:rPr>
          <w:rFonts w:ascii="Arial" w:hAnsi="Arial" w:cs="Arial"/>
        </w:rPr>
      </w:pPr>
      <w:r w:rsidRPr="00775392">
        <w:rPr>
          <w:rFonts w:ascii="Arial" w:hAnsi="Arial" w:cs="Arial"/>
        </w:rPr>
        <w:t>International Energy Agency. (2023). World Energy Outlook 2022. Paris: IEA.</w:t>
      </w:r>
    </w:p>
    <w:p w14:paraId="2D4361A5" w14:textId="0B304AFB" w:rsidR="00775392" w:rsidRPr="00775392" w:rsidRDefault="00775392" w:rsidP="00775392">
      <w:pPr>
        <w:spacing w:after="0" w:line="240" w:lineRule="auto"/>
        <w:jc w:val="both"/>
        <w:rPr>
          <w:rFonts w:ascii="Arial" w:hAnsi="Arial" w:cs="Arial"/>
        </w:rPr>
      </w:pPr>
      <w:r w:rsidRPr="00775392">
        <w:rPr>
          <w:rFonts w:ascii="Arial" w:hAnsi="Arial" w:cs="Arial"/>
        </w:rPr>
        <w:t>Mankiw, N. G. (2016). Principles of Economics. 7th edition. Cengage Learning.</w:t>
      </w:r>
    </w:p>
    <w:p w14:paraId="3080F8DA" w14:textId="56B93D00" w:rsidR="00775392" w:rsidRPr="00775392" w:rsidRDefault="00775392" w:rsidP="00775392">
      <w:pPr>
        <w:spacing w:after="0" w:line="240" w:lineRule="auto"/>
        <w:jc w:val="both"/>
        <w:rPr>
          <w:rFonts w:ascii="Arial" w:hAnsi="Arial" w:cs="Arial"/>
        </w:rPr>
      </w:pPr>
      <w:r w:rsidRPr="00775392">
        <w:rPr>
          <w:rFonts w:ascii="Arial" w:hAnsi="Arial" w:cs="Arial"/>
        </w:rPr>
        <w:t>Hill, R. C., Griffiths, W. E., &amp; Lim, G. C. (2018). Principles of Econometrics. 5th edition. Wiley.</w:t>
      </w:r>
    </w:p>
    <w:p w14:paraId="0CE49FA8" w14:textId="1B65FD39" w:rsidR="00775392" w:rsidRPr="00775392" w:rsidRDefault="00775392" w:rsidP="00775392">
      <w:pPr>
        <w:spacing w:after="0" w:line="240" w:lineRule="auto"/>
        <w:jc w:val="both"/>
        <w:rPr>
          <w:rFonts w:ascii="Arial" w:hAnsi="Arial" w:cs="Arial"/>
        </w:rPr>
      </w:pPr>
      <w:r w:rsidRPr="00775392">
        <w:rPr>
          <w:rFonts w:ascii="Arial" w:hAnsi="Arial" w:cs="Arial"/>
        </w:rPr>
        <w:t>Gujarati, D. N. &amp; Porter, D. C. (2009). Basic Econometrics. 5th edition. McGraw-Hill.</w:t>
      </w:r>
    </w:p>
    <w:p w14:paraId="22BB703E" w14:textId="32B02D7A" w:rsidR="00775392" w:rsidRPr="00775392" w:rsidRDefault="00775392" w:rsidP="00775392">
      <w:pPr>
        <w:spacing w:after="0" w:line="240" w:lineRule="auto"/>
        <w:jc w:val="both"/>
        <w:rPr>
          <w:rFonts w:ascii="Arial" w:hAnsi="Arial" w:cs="Arial"/>
        </w:rPr>
      </w:pPr>
      <w:proofErr w:type="spellStart"/>
      <w:r w:rsidRPr="00775392">
        <w:rPr>
          <w:rFonts w:ascii="Arial" w:hAnsi="Arial" w:cs="Arial"/>
        </w:rPr>
        <w:t>Kuncoro</w:t>
      </w:r>
      <w:proofErr w:type="spellEnd"/>
      <w:r w:rsidRPr="00775392">
        <w:rPr>
          <w:rFonts w:ascii="Arial" w:hAnsi="Arial" w:cs="Arial"/>
        </w:rPr>
        <w:t xml:space="preserve">, M. (2015). Metode </w:t>
      </w:r>
      <w:proofErr w:type="spellStart"/>
      <w:r w:rsidRPr="00775392">
        <w:rPr>
          <w:rFonts w:ascii="Arial" w:hAnsi="Arial" w:cs="Arial"/>
        </w:rPr>
        <w:t>Penelitian</w:t>
      </w:r>
      <w:proofErr w:type="spellEnd"/>
      <w:r w:rsidRPr="00775392">
        <w:rPr>
          <w:rFonts w:ascii="Arial" w:hAnsi="Arial" w:cs="Arial"/>
        </w:rPr>
        <w:t xml:space="preserve"> </w:t>
      </w:r>
      <w:proofErr w:type="spellStart"/>
      <w:r w:rsidRPr="00775392">
        <w:rPr>
          <w:rFonts w:ascii="Arial" w:hAnsi="Arial" w:cs="Arial"/>
        </w:rPr>
        <w:t>untuk</w:t>
      </w:r>
      <w:proofErr w:type="spellEnd"/>
      <w:r w:rsidRPr="00775392">
        <w:rPr>
          <w:rFonts w:ascii="Arial" w:hAnsi="Arial" w:cs="Arial"/>
        </w:rPr>
        <w:t xml:space="preserve"> </w:t>
      </w:r>
      <w:proofErr w:type="spellStart"/>
      <w:r w:rsidRPr="00775392">
        <w:rPr>
          <w:rFonts w:ascii="Arial" w:hAnsi="Arial" w:cs="Arial"/>
        </w:rPr>
        <w:t>Bisnis</w:t>
      </w:r>
      <w:proofErr w:type="spellEnd"/>
      <w:r w:rsidRPr="00775392">
        <w:rPr>
          <w:rFonts w:ascii="Arial" w:hAnsi="Arial" w:cs="Arial"/>
        </w:rPr>
        <w:t xml:space="preserve"> dan Ekonomi. Yogyakarta: UPP STIM YKPN.</w:t>
      </w:r>
    </w:p>
    <w:p w14:paraId="0BCDC754" w14:textId="77777777" w:rsidR="00775392" w:rsidRPr="00775392" w:rsidRDefault="00775392" w:rsidP="00775392">
      <w:pPr>
        <w:spacing w:after="0" w:line="240" w:lineRule="auto"/>
        <w:jc w:val="both"/>
        <w:rPr>
          <w:rFonts w:ascii="Arial" w:hAnsi="Arial" w:cs="Arial"/>
        </w:rPr>
      </w:pPr>
      <w:r w:rsidRPr="00775392">
        <w:rPr>
          <w:rFonts w:ascii="Arial" w:hAnsi="Arial" w:cs="Arial"/>
        </w:rPr>
        <w:t xml:space="preserve">Breusch, T. S., &amp; Pagan, A. R. (1979). A Simple Test for Heteroscedasticity and Random Coefficient Variation. </w:t>
      </w:r>
      <w:proofErr w:type="spellStart"/>
      <w:r w:rsidRPr="00775392">
        <w:rPr>
          <w:rFonts w:ascii="Arial" w:hAnsi="Arial" w:cs="Arial"/>
        </w:rPr>
        <w:t>Econometrica</w:t>
      </w:r>
      <w:proofErr w:type="spellEnd"/>
      <w:r w:rsidRPr="00775392">
        <w:rPr>
          <w:rFonts w:ascii="Arial" w:hAnsi="Arial" w:cs="Arial"/>
        </w:rPr>
        <w:t>, 47(5), 1287-1294.</w:t>
      </w:r>
    </w:p>
    <w:p w14:paraId="70649BF5" w14:textId="77777777" w:rsidR="00775392" w:rsidRPr="00775392" w:rsidRDefault="00775392" w:rsidP="00775392">
      <w:pPr>
        <w:spacing w:after="0" w:line="240" w:lineRule="auto"/>
        <w:jc w:val="both"/>
        <w:rPr>
          <w:rFonts w:ascii="Arial" w:hAnsi="Arial" w:cs="Arial"/>
        </w:rPr>
      </w:pPr>
    </w:p>
    <w:p w14:paraId="05E38637" w14:textId="2BCD7CE2" w:rsidR="00775392" w:rsidRPr="00775392" w:rsidRDefault="00775392" w:rsidP="00775392">
      <w:pPr>
        <w:spacing w:after="0" w:line="240" w:lineRule="auto"/>
        <w:jc w:val="both"/>
        <w:rPr>
          <w:rFonts w:ascii="Arial" w:hAnsi="Arial" w:cs="Arial"/>
        </w:rPr>
      </w:pPr>
      <w:r w:rsidRPr="00775392">
        <w:rPr>
          <w:rFonts w:ascii="Arial" w:hAnsi="Arial" w:cs="Arial"/>
        </w:rPr>
        <w:t xml:space="preserve">Durbin, J., &amp; Watson, G. S. (1950). Testing for Serial Correlation in Least Squares Regression. </w:t>
      </w:r>
      <w:proofErr w:type="spellStart"/>
      <w:r w:rsidRPr="00775392">
        <w:rPr>
          <w:rFonts w:ascii="Arial" w:hAnsi="Arial" w:cs="Arial"/>
        </w:rPr>
        <w:t>Biometrika</w:t>
      </w:r>
      <w:proofErr w:type="spellEnd"/>
      <w:r w:rsidRPr="00775392">
        <w:rPr>
          <w:rFonts w:ascii="Arial" w:hAnsi="Arial" w:cs="Arial"/>
        </w:rPr>
        <w:t>, 37(3/4), 409-428.</w:t>
      </w:r>
    </w:p>
    <w:p w14:paraId="1FD8CB46" w14:textId="053CC299" w:rsidR="00775392" w:rsidRPr="00775392" w:rsidRDefault="00775392" w:rsidP="00775392">
      <w:pPr>
        <w:spacing w:after="0" w:line="240" w:lineRule="auto"/>
        <w:jc w:val="both"/>
        <w:rPr>
          <w:rFonts w:ascii="Arial" w:hAnsi="Arial" w:cs="Arial"/>
        </w:rPr>
      </w:pPr>
      <w:r w:rsidRPr="00775392">
        <w:rPr>
          <w:rFonts w:ascii="Arial" w:hAnsi="Arial" w:cs="Arial"/>
        </w:rPr>
        <w:lastRenderedPageBreak/>
        <w:t xml:space="preserve">Shapiro, S. S., &amp; Wilk, M. B. (1965). An Analysis of Variance Test for Normality (Complete Samples). </w:t>
      </w:r>
      <w:proofErr w:type="spellStart"/>
      <w:r w:rsidRPr="00775392">
        <w:rPr>
          <w:rFonts w:ascii="Arial" w:hAnsi="Arial" w:cs="Arial"/>
        </w:rPr>
        <w:t>Biometrika</w:t>
      </w:r>
      <w:proofErr w:type="spellEnd"/>
      <w:r w:rsidRPr="00775392">
        <w:rPr>
          <w:rFonts w:ascii="Arial" w:hAnsi="Arial" w:cs="Arial"/>
        </w:rPr>
        <w:t>, 52(3/4), 591-611.</w:t>
      </w:r>
    </w:p>
    <w:p w14:paraId="1E573206" w14:textId="5AFB0AA7" w:rsidR="00EF03B8" w:rsidRPr="001811DD" w:rsidRDefault="00775392" w:rsidP="00775392">
      <w:pPr>
        <w:spacing w:after="0" w:line="240" w:lineRule="auto"/>
        <w:jc w:val="both"/>
        <w:rPr>
          <w:rFonts w:ascii="Arial" w:hAnsi="Arial" w:cs="Arial"/>
        </w:rPr>
      </w:pPr>
      <w:r w:rsidRPr="00775392">
        <w:rPr>
          <w:rFonts w:ascii="Arial" w:hAnsi="Arial" w:cs="Arial"/>
        </w:rPr>
        <w:t>World Bank. (2023). Indonesia Economic Prospects: Enhancing Economic Recovery Post-Pandemic. Washington, D.C.: World Bank Publications.</w:t>
      </w:r>
    </w:p>
    <w:p w14:paraId="0702088E" w14:textId="77777777" w:rsidR="00775392" w:rsidRPr="001811DD" w:rsidRDefault="00775392">
      <w:pPr>
        <w:spacing w:after="0" w:line="240" w:lineRule="auto"/>
        <w:jc w:val="both"/>
        <w:rPr>
          <w:rFonts w:ascii="Arial" w:hAnsi="Arial" w:cs="Arial"/>
        </w:rPr>
      </w:pPr>
    </w:p>
    <w:sectPr w:rsidR="00775392" w:rsidRPr="001811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E7383"/>
    <w:multiLevelType w:val="multilevel"/>
    <w:tmpl w:val="5DF2A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22A39"/>
    <w:multiLevelType w:val="multilevel"/>
    <w:tmpl w:val="09CE7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7755A"/>
    <w:multiLevelType w:val="multilevel"/>
    <w:tmpl w:val="B0461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FF450F"/>
    <w:multiLevelType w:val="multilevel"/>
    <w:tmpl w:val="15EA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330E9E"/>
    <w:multiLevelType w:val="multilevel"/>
    <w:tmpl w:val="D3CE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5135128">
    <w:abstractNumId w:val="4"/>
  </w:num>
  <w:num w:numId="2" w16cid:durableId="1682663564">
    <w:abstractNumId w:val="3"/>
  </w:num>
  <w:num w:numId="3" w16cid:durableId="205072996">
    <w:abstractNumId w:val="0"/>
  </w:num>
  <w:num w:numId="4" w16cid:durableId="1471827162">
    <w:abstractNumId w:val="2"/>
  </w:num>
  <w:num w:numId="5" w16cid:durableId="515120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B8"/>
    <w:rsid w:val="001811DD"/>
    <w:rsid w:val="002510D7"/>
    <w:rsid w:val="003A4082"/>
    <w:rsid w:val="003C629D"/>
    <w:rsid w:val="005A5A73"/>
    <w:rsid w:val="006E6EC5"/>
    <w:rsid w:val="00775392"/>
    <w:rsid w:val="008167BF"/>
    <w:rsid w:val="008D5FF4"/>
    <w:rsid w:val="009006CA"/>
    <w:rsid w:val="009244DA"/>
    <w:rsid w:val="00DB3FE7"/>
    <w:rsid w:val="00E025A9"/>
    <w:rsid w:val="00EF03B8"/>
    <w:rsid w:val="00F4245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D8667"/>
  <w15:chartTrackingRefBased/>
  <w15:docId w15:val="{48AD987B-796B-4000-BE0A-A90D7874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03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03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03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03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03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03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03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03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03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3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03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03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03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03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03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03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03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03B8"/>
    <w:rPr>
      <w:rFonts w:eastAsiaTheme="majorEastAsia" w:cstheme="majorBidi"/>
      <w:color w:val="272727" w:themeColor="text1" w:themeTint="D8"/>
    </w:rPr>
  </w:style>
  <w:style w:type="paragraph" w:styleId="Title">
    <w:name w:val="Title"/>
    <w:basedOn w:val="Normal"/>
    <w:next w:val="Normal"/>
    <w:link w:val="TitleChar"/>
    <w:uiPriority w:val="10"/>
    <w:qFormat/>
    <w:rsid w:val="00EF03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03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03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03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03B8"/>
    <w:pPr>
      <w:spacing w:before="160"/>
      <w:jc w:val="center"/>
    </w:pPr>
    <w:rPr>
      <w:i/>
      <w:iCs/>
      <w:color w:val="404040" w:themeColor="text1" w:themeTint="BF"/>
    </w:rPr>
  </w:style>
  <w:style w:type="character" w:customStyle="1" w:styleId="QuoteChar">
    <w:name w:val="Quote Char"/>
    <w:basedOn w:val="DefaultParagraphFont"/>
    <w:link w:val="Quote"/>
    <w:uiPriority w:val="29"/>
    <w:rsid w:val="00EF03B8"/>
    <w:rPr>
      <w:i/>
      <w:iCs/>
      <w:color w:val="404040" w:themeColor="text1" w:themeTint="BF"/>
    </w:rPr>
  </w:style>
  <w:style w:type="paragraph" w:styleId="ListParagraph">
    <w:name w:val="List Paragraph"/>
    <w:basedOn w:val="Normal"/>
    <w:uiPriority w:val="34"/>
    <w:qFormat/>
    <w:rsid w:val="00EF03B8"/>
    <w:pPr>
      <w:ind w:left="720"/>
      <w:contextualSpacing/>
    </w:pPr>
  </w:style>
  <w:style w:type="character" w:styleId="IntenseEmphasis">
    <w:name w:val="Intense Emphasis"/>
    <w:basedOn w:val="DefaultParagraphFont"/>
    <w:uiPriority w:val="21"/>
    <w:qFormat/>
    <w:rsid w:val="00EF03B8"/>
    <w:rPr>
      <w:i/>
      <w:iCs/>
      <w:color w:val="2F5496" w:themeColor="accent1" w:themeShade="BF"/>
    </w:rPr>
  </w:style>
  <w:style w:type="paragraph" w:styleId="IntenseQuote">
    <w:name w:val="Intense Quote"/>
    <w:basedOn w:val="Normal"/>
    <w:next w:val="Normal"/>
    <w:link w:val="IntenseQuoteChar"/>
    <w:uiPriority w:val="30"/>
    <w:qFormat/>
    <w:rsid w:val="00EF03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03B8"/>
    <w:rPr>
      <w:i/>
      <w:iCs/>
      <w:color w:val="2F5496" w:themeColor="accent1" w:themeShade="BF"/>
    </w:rPr>
  </w:style>
  <w:style w:type="character" w:styleId="IntenseReference">
    <w:name w:val="Intense Reference"/>
    <w:basedOn w:val="DefaultParagraphFont"/>
    <w:uiPriority w:val="32"/>
    <w:qFormat/>
    <w:rsid w:val="00EF03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9158">
      <w:bodyDiv w:val="1"/>
      <w:marLeft w:val="0"/>
      <w:marRight w:val="0"/>
      <w:marTop w:val="0"/>
      <w:marBottom w:val="0"/>
      <w:divBdr>
        <w:top w:val="none" w:sz="0" w:space="0" w:color="auto"/>
        <w:left w:val="none" w:sz="0" w:space="0" w:color="auto"/>
        <w:bottom w:val="none" w:sz="0" w:space="0" w:color="auto"/>
        <w:right w:val="none" w:sz="0" w:space="0" w:color="auto"/>
      </w:divBdr>
    </w:div>
    <w:div w:id="39282837">
      <w:bodyDiv w:val="1"/>
      <w:marLeft w:val="0"/>
      <w:marRight w:val="0"/>
      <w:marTop w:val="0"/>
      <w:marBottom w:val="0"/>
      <w:divBdr>
        <w:top w:val="none" w:sz="0" w:space="0" w:color="auto"/>
        <w:left w:val="none" w:sz="0" w:space="0" w:color="auto"/>
        <w:bottom w:val="none" w:sz="0" w:space="0" w:color="auto"/>
        <w:right w:val="none" w:sz="0" w:space="0" w:color="auto"/>
      </w:divBdr>
    </w:div>
    <w:div w:id="113718236">
      <w:bodyDiv w:val="1"/>
      <w:marLeft w:val="0"/>
      <w:marRight w:val="0"/>
      <w:marTop w:val="0"/>
      <w:marBottom w:val="0"/>
      <w:divBdr>
        <w:top w:val="none" w:sz="0" w:space="0" w:color="auto"/>
        <w:left w:val="none" w:sz="0" w:space="0" w:color="auto"/>
        <w:bottom w:val="none" w:sz="0" w:space="0" w:color="auto"/>
        <w:right w:val="none" w:sz="0" w:space="0" w:color="auto"/>
      </w:divBdr>
    </w:div>
    <w:div w:id="170417011">
      <w:bodyDiv w:val="1"/>
      <w:marLeft w:val="0"/>
      <w:marRight w:val="0"/>
      <w:marTop w:val="0"/>
      <w:marBottom w:val="0"/>
      <w:divBdr>
        <w:top w:val="none" w:sz="0" w:space="0" w:color="auto"/>
        <w:left w:val="none" w:sz="0" w:space="0" w:color="auto"/>
        <w:bottom w:val="none" w:sz="0" w:space="0" w:color="auto"/>
        <w:right w:val="none" w:sz="0" w:space="0" w:color="auto"/>
      </w:divBdr>
    </w:div>
    <w:div w:id="340818050">
      <w:bodyDiv w:val="1"/>
      <w:marLeft w:val="0"/>
      <w:marRight w:val="0"/>
      <w:marTop w:val="0"/>
      <w:marBottom w:val="0"/>
      <w:divBdr>
        <w:top w:val="none" w:sz="0" w:space="0" w:color="auto"/>
        <w:left w:val="none" w:sz="0" w:space="0" w:color="auto"/>
        <w:bottom w:val="none" w:sz="0" w:space="0" w:color="auto"/>
        <w:right w:val="none" w:sz="0" w:space="0" w:color="auto"/>
      </w:divBdr>
    </w:div>
    <w:div w:id="344795660">
      <w:bodyDiv w:val="1"/>
      <w:marLeft w:val="0"/>
      <w:marRight w:val="0"/>
      <w:marTop w:val="0"/>
      <w:marBottom w:val="0"/>
      <w:divBdr>
        <w:top w:val="none" w:sz="0" w:space="0" w:color="auto"/>
        <w:left w:val="none" w:sz="0" w:space="0" w:color="auto"/>
        <w:bottom w:val="none" w:sz="0" w:space="0" w:color="auto"/>
        <w:right w:val="none" w:sz="0" w:space="0" w:color="auto"/>
      </w:divBdr>
    </w:div>
    <w:div w:id="661936362">
      <w:bodyDiv w:val="1"/>
      <w:marLeft w:val="0"/>
      <w:marRight w:val="0"/>
      <w:marTop w:val="0"/>
      <w:marBottom w:val="0"/>
      <w:divBdr>
        <w:top w:val="none" w:sz="0" w:space="0" w:color="auto"/>
        <w:left w:val="none" w:sz="0" w:space="0" w:color="auto"/>
        <w:bottom w:val="none" w:sz="0" w:space="0" w:color="auto"/>
        <w:right w:val="none" w:sz="0" w:space="0" w:color="auto"/>
      </w:divBdr>
    </w:div>
    <w:div w:id="845174755">
      <w:bodyDiv w:val="1"/>
      <w:marLeft w:val="0"/>
      <w:marRight w:val="0"/>
      <w:marTop w:val="0"/>
      <w:marBottom w:val="0"/>
      <w:divBdr>
        <w:top w:val="none" w:sz="0" w:space="0" w:color="auto"/>
        <w:left w:val="none" w:sz="0" w:space="0" w:color="auto"/>
        <w:bottom w:val="none" w:sz="0" w:space="0" w:color="auto"/>
        <w:right w:val="none" w:sz="0" w:space="0" w:color="auto"/>
      </w:divBdr>
    </w:div>
    <w:div w:id="1027484772">
      <w:bodyDiv w:val="1"/>
      <w:marLeft w:val="0"/>
      <w:marRight w:val="0"/>
      <w:marTop w:val="0"/>
      <w:marBottom w:val="0"/>
      <w:divBdr>
        <w:top w:val="none" w:sz="0" w:space="0" w:color="auto"/>
        <w:left w:val="none" w:sz="0" w:space="0" w:color="auto"/>
        <w:bottom w:val="none" w:sz="0" w:space="0" w:color="auto"/>
        <w:right w:val="none" w:sz="0" w:space="0" w:color="auto"/>
      </w:divBdr>
    </w:div>
    <w:div w:id="1127041383">
      <w:bodyDiv w:val="1"/>
      <w:marLeft w:val="0"/>
      <w:marRight w:val="0"/>
      <w:marTop w:val="0"/>
      <w:marBottom w:val="0"/>
      <w:divBdr>
        <w:top w:val="none" w:sz="0" w:space="0" w:color="auto"/>
        <w:left w:val="none" w:sz="0" w:space="0" w:color="auto"/>
        <w:bottom w:val="none" w:sz="0" w:space="0" w:color="auto"/>
        <w:right w:val="none" w:sz="0" w:space="0" w:color="auto"/>
      </w:divBdr>
    </w:div>
    <w:div w:id="1321615413">
      <w:bodyDiv w:val="1"/>
      <w:marLeft w:val="0"/>
      <w:marRight w:val="0"/>
      <w:marTop w:val="0"/>
      <w:marBottom w:val="0"/>
      <w:divBdr>
        <w:top w:val="none" w:sz="0" w:space="0" w:color="auto"/>
        <w:left w:val="none" w:sz="0" w:space="0" w:color="auto"/>
        <w:bottom w:val="none" w:sz="0" w:space="0" w:color="auto"/>
        <w:right w:val="none" w:sz="0" w:space="0" w:color="auto"/>
      </w:divBdr>
    </w:div>
    <w:div w:id="1617523038">
      <w:bodyDiv w:val="1"/>
      <w:marLeft w:val="0"/>
      <w:marRight w:val="0"/>
      <w:marTop w:val="0"/>
      <w:marBottom w:val="0"/>
      <w:divBdr>
        <w:top w:val="none" w:sz="0" w:space="0" w:color="auto"/>
        <w:left w:val="none" w:sz="0" w:space="0" w:color="auto"/>
        <w:bottom w:val="none" w:sz="0" w:space="0" w:color="auto"/>
        <w:right w:val="none" w:sz="0" w:space="0" w:color="auto"/>
      </w:divBdr>
    </w:div>
    <w:div w:id="1759250965">
      <w:bodyDiv w:val="1"/>
      <w:marLeft w:val="0"/>
      <w:marRight w:val="0"/>
      <w:marTop w:val="0"/>
      <w:marBottom w:val="0"/>
      <w:divBdr>
        <w:top w:val="none" w:sz="0" w:space="0" w:color="auto"/>
        <w:left w:val="none" w:sz="0" w:space="0" w:color="auto"/>
        <w:bottom w:val="none" w:sz="0" w:space="0" w:color="auto"/>
        <w:right w:val="none" w:sz="0" w:space="0" w:color="auto"/>
      </w:divBdr>
    </w:div>
    <w:div w:id="1851674622">
      <w:bodyDiv w:val="1"/>
      <w:marLeft w:val="0"/>
      <w:marRight w:val="0"/>
      <w:marTop w:val="0"/>
      <w:marBottom w:val="0"/>
      <w:divBdr>
        <w:top w:val="none" w:sz="0" w:space="0" w:color="auto"/>
        <w:left w:val="none" w:sz="0" w:space="0" w:color="auto"/>
        <w:bottom w:val="none" w:sz="0" w:space="0" w:color="auto"/>
        <w:right w:val="none" w:sz="0" w:space="0" w:color="auto"/>
      </w:divBdr>
    </w:div>
    <w:div w:id="1860921999">
      <w:bodyDiv w:val="1"/>
      <w:marLeft w:val="0"/>
      <w:marRight w:val="0"/>
      <w:marTop w:val="0"/>
      <w:marBottom w:val="0"/>
      <w:divBdr>
        <w:top w:val="none" w:sz="0" w:space="0" w:color="auto"/>
        <w:left w:val="none" w:sz="0" w:space="0" w:color="auto"/>
        <w:bottom w:val="none" w:sz="0" w:space="0" w:color="auto"/>
        <w:right w:val="none" w:sz="0" w:space="0" w:color="auto"/>
      </w:divBdr>
    </w:div>
    <w:div w:id="21139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558981270365828E-2"/>
          <c:y val="8.4939562234563865E-2"/>
          <c:w val="0.76321116366901964"/>
          <c:h val="0.62709319943305031"/>
        </c:manualLayout>
      </c:layout>
      <c:barChart>
        <c:barDir val="col"/>
        <c:grouping val="clustered"/>
        <c:varyColors val="0"/>
        <c:ser>
          <c:idx val="0"/>
          <c:order val="0"/>
          <c:tx>
            <c:strRef>
              <c:f>Sheet1!$B$1</c:f>
              <c:strCache>
                <c:ptCount val="1"/>
                <c:pt idx="0">
                  <c:v>Subsidi BBM</c:v>
                </c:pt>
              </c:strCache>
            </c:strRef>
          </c:tx>
          <c:spPr>
            <a:solidFill>
              <a:schemeClr val="accent1"/>
            </a:solidFill>
            <a:ln>
              <a:noFill/>
            </a:ln>
            <a:effectLst/>
          </c:spPr>
          <c:invertIfNegative val="0"/>
          <c:cat>
            <c:numRef>
              <c:f>Sheet1!$A$2:$A$10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Sheet1!$B$3:$B$10</c:f>
              <c:numCache>
                <c:formatCode>General</c:formatCode>
                <c:ptCount val="8"/>
                <c:pt idx="0">
                  <c:v>60.8</c:v>
                </c:pt>
                <c:pt idx="1">
                  <c:v>43.7</c:v>
                </c:pt>
                <c:pt idx="2">
                  <c:v>47</c:v>
                </c:pt>
                <c:pt idx="3">
                  <c:v>97</c:v>
                </c:pt>
                <c:pt idx="4">
                  <c:v>41.1</c:v>
                </c:pt>
                <c:pt idx="5">
                  <c:v>47.7</c:v>
                </c:pt>
                <c:pt idx="6">
                  <c:v>56.9</c:v>
                </c:pt>
                <c:pt idx="7">
                  <c:v>77.5</c:v>
                </c:pt>
              </c:numCache>
              <c:extLst/>
            </c:numRef>
          </c:val>
          <c:extLst>
            <c:ext xmlns:c16="http://schemas.microsoft.com/office/drawing/2014/chart" uri="{C3380CC4-5D6E-409C-BE32-E72D297353CC}">
              <c16:uniqueId val="{00000000-A92A-4178-925A-FE5645492FD0}"/>
            </c:ext>
          </c:extLst>
        </c:ser>
        <c:dLbls>
          <c:showLegendKey val="0"/>
          <c:showVal val="0"/>
          <c:showCatName val="0"/>
          <c:showSerName val="0"/>
          <c:showPercent val="0"/>
          <c:showBubbleSize val="0"/>
        </c:dLbls>
        <c:gapWidth val="75"/>
        <c:overlap val="-25"/>
        <c:axId val="1908945359"/>
        <c:axId val="1908946799"/>
      </c:barChart>
      <c:lineChart>
        <c:grouping val="standard"/>
        <c:varyColors val="0"/>
        <c:ser>
          <c:idx val="1"/>
          <c:order val="1"/>
          <c:tx>
            <c:strRef>
              <c:f>Sheet1!$C$1</c:f>
              <c:strCache>
                <c:ptCount val="1"/>
                <c:pt idx="0">
                  <c:v>Harga Minyak Dunia </c:v>
                </c:pt>
              </c:strCache>
            </c:strRef>
          </c:tx>
          <c:spPr>
            <a:ln w="28575" cap="rnd">
              <a:solidFill>
                <a:schemeClr val="accent2"/>
              </a:solidFill>
              <a:round/>
            </a:ln>
            <a:effectLst/>
          </c:spPr>
          <c:marker>
            <c:symbol val="none"/>
          </c:marker>
          <c:cat>
            <c:strLit>
              <c:ptCount val="8"/>
              <c:pt idx="0">
                <c:v>2</c:v>
              </c:pt>
              <c:pt idx="1">
                <c:v>3</c:v>
              </c:pt>
              <c:pt idx="2">
                <c:v>4</c:v>
              </c:pt>
              <c:pt idx="3">
                <c:v>5</c:v>
              </c:pt>
              <c:pt idx="4">
                <c:v>6</c:v>
              </c:pt>
              <c:pt idx="5">
                <c:v>7</c:v>
              </c:pt>
              <c:pt idx="6">
                <c:v>8</c:v>
              </c:pt>
              <c:pt idx="7">
                <c:v>9</c:v>
              </c:pt>
              <c:extLst>
                <c:ext xmlns:c15="http://schemas.microsoft.com/office/drawing/2012/chart" uri="{02D57815-91ED-43cb-92C2-25804820EDAC}">
                  <c15:autoCat val="1"/>
                </c:ext>
              </c:extLst>
            </c:strLit>
          </c:cat>
          <c:val>
            <c:numRef>
              <c:f>Sheet1!$C$3:$C$10</c:f>
              <c:numCache>
                <c:formatCode>#,##0.0</c:formatCode>
                <c:ptCount val="8"/>
                <c:pt idx="0">
                  <c:v>633.6</c:v>
                </c:pt>
                <c:pt idx="1">
                  <c:v>571.9</c:v>
                </c:pt>
                <c:pt idx="2">
                  <c:v>665</c:v>
                </c:pt>
                <c:pt idx="3">
                  <c:v>965.6</c:v>
                </c:pt>
                <c:pt idx="4">
                  <c:v>882</c:v>
                </c:pt>
                <c:pt idx="5">
                  <c:v>607.79999999999995</c:v>
                </c:pt>
                <c:pt idx="6">
                  <c:v>994</c:v>
                </c:pt>
                <c:pt idx="7" formatCode="#,##0">
                  <c:v>1702</c:v>
                </c:pt>
              </c:numCache>
              <c:extLst/>
            </c:numRef>
          </c:val>
          <c:smooth val="0"/>
          <c:extLst>
            <c:ext xmlns:c16="http://schemas.microsoft.com/office/drawing/2014/chart" uri="{C3380CC4-5D6E-409C-BE32-E72D297353CC}">
              <c16:uniqueId val="{00000001-A92A-4178-925A-FE5645492FD0}"/>
            </c:ext>
          </c:extLst>
        </c:ser>
        <c:dLbls>
          <c:showLegendKey val="0"/>
          <c:showVal val="0"/>
          <c:showCatName val="0"/>
          <c:showSerName val="0"/>
          <c:showPercent val="0"/>
          <c:showBubbleSize val="0"/>
        </c:dLbls>
        <c:marker val="1"/>
        <c:smooth val="0"/>
        <c:axId val="1908939119"/>
        <c:axId val="1908938159"/>
      </c:lineChart>
      <c:catAx>
        <c:axId val="1908945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8946799"/>
        <c:crosses val="autoZero"/>
        <c:auto val="1"/>
        <c:lblAlgn val="ctr"/>
        <c:lblOffset val="100"/>
        <c:noMultiLvlLbl val="0"/>
      </c:catAx>
      <c:valAx>
        <c:axId val="19089467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8945359"/>
        <c:crosses val="autoZero"/>
        <c:crossBetween val="between"/>
      </c:valAx>
      <c:valAx>
        <c:axId val="1908938159"/>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8939119"/>
        <c:crosses val="max"/>
        <c:crossBetween val="between"/>
      </c:valAx>
      <c:catAx>
        <c:axId val="1908939119"/>
        <c:scaling>
          <c:orientation val="minMax"/>
        </c:scaling>
        <c:delete val="1"/>
        <c:axPos val="b"/>
        <c:numFmt formatCode="General" sourceLinked="1"/>
        <c:majorTickMark val="out"/>
        <c:minorTickMark val="none"/>
        <c:tickLblPos val="nextTo"/>
        <c:crossAx val="190893815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1871</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EL</dc:creator>
  <cp:keywords/>
  <dc:description/>
  <cp:lastModifiedBy>Editor-11</cp:lastModifiedBy>
  <cp:revision>4</cp:revision>
  <cp:lastPrinted>2025-03-07T00:38:00Z</cp:lastPrinted>
  <dcterms:created xsi:type="dcterms:W3CDTF">2025-03-06T23:46:00Z</dcterms:created>
  <dcterms:modified xsi:type="dcterms:W3CDTF">2025-04-09T11:24:00Z</dcterms:modified>
</cp:coreProperties>
</file>