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BE1B" w14:textId="07BE5243" w:rsidR="00D86075" w:rsidRPr="00D748E9" w:rsidRDefault="00D748E9" w:rsidP="00D748E9">
      <w:pPr>
        <w:ind w:left="360"/>
        <w:rPr>
          <w:rFonts w:ascii="Times New Roman" w:hAnsi="Times New Roman" w:cs="Times New Roman"/>
          <w:b/>
          <w:bCs/>
          <w:sz w:val="40"/>
          <w:szCs w:val="40"/>
          <w:lang w:val="en-GB"/>
        </w:rPr>
      </w:pPr>
      <w:bookmarkStart w:id="0" w:name="_Hlk195971741"/>
      <w:r w:rsidRPr="00D748E9">
        <w:rPr>
          <w:rFonts w:ascii="Times New Roman" w:hAnsi="Times New Roman" w:cs="Times New Roman"/>
          <w:b/>
          <w:bCs/>
          <w:sz w:val="40"/>
          <w:szCs w:val="40"/>
          <w:lang w:val="en-GB"/>
        </w:rPr>
        <w:t xml:space="preserve">Impact of Calf Sex and Maternal Lactation Performance on Growth and Behaviour in </w:t>
      </w:r>
      <w:proofErr w:type="spellStart"/>
      <w:r w:rsidRPr="00D748E9">
        <w:rPr>
          <w:rFonts w:ascii="Times New Roman" w:hAnsi="Times New Roman" w:cs="Times New Roman"/>
          <w:b/>
          <w:bCs/>
          <w:sz w:val="40"/>
          <w:szCs w:val="40"/>
          <w:lang w:val="en-GB"/>
        </w:rPr>
        <w:t>Gir</w:t>
      </w:r>
      <w:proofErr w:type="spellEnd"/>
      <w:r w:rsidRPr="00D748E9">
        <w:rPr>
          <w:rFonts w:ascii="Times New Roman" w:hAnsi="Times New Roman" w:cs="Times New Roman"/>
          <w:b/>
          <w:bCs/>
          <w:sz w:val="40"/>
          <w:szCs w:val="40"/>
          <w:lang w:val="en-GB"/>
        </w:rPr>
        <w:t xml:space="preserve"> Calves</w:t>
      </w:r>
      <w:bookmarkEnd w:id="0"/>
    </w:p>
    <w:p w14:paraId="1634F2A8" w14:textId="77777777"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br/>
        <w:t xml:space="preserve">This study investigates the influence of calf sex and dam milk yield on the growth performance and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traits of </w:t>
      </w:r>
      <w:proofErr w:type="spellStart"/>
      <w:r>
        <w:rPr>
          <w:rFonts w:ascii="Times New Roman" w:eastAsia="Times New Roman" w:hAnsi="Times New Roman" w:cs="Times New Roman"/>
          <w:sz w:val="24"/>
          <w:szCs w:val="24"/>
        </w:rPr>
        <w:t>Gir</w:t>
      </w:r>
      <w:proofErr w:type="spellEnd"/>
      <w:r>
        <w:rPr>
          <w:rFonts w:ascii="Times New Roman" w:eastAsia="Times New Roman" w:hAnsi="Times New Roman" w:cs="Times New Roman"/>
          <w:sz w:val="24"/>
          <w:szCs w:val="24"/>
        </w:rPr>
        <w:t xml:space="preserve"> calves. Fourteen Gir calves (7 males and 7 females) were selected post-parturition, and their weight gain, dry matter intake (DMI), and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were monitored over 90 days. Data showed that male calves had significantly higher weight gain in the first month and exhibited greater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compared to females. Dams of male calves also yielded significantly more milk during the early lactation period. These findings suggest sex-specific growth patterns and a potential relationship between calf sex and dam lactation performance, highlighting the need for gender-based management strategies in calf rearing.</w:t>
      </w:r>
    </w:p>
    <w:p w14:paraId="084DD4ED"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xml:space="preserve">: Gir calves, sex difference, dam milk yield, growth performance,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dry matter intake</w:t>
      </w:r>
    </w:p>
    <w:p w14:paraId="2CEE3CEC" w14:textId="77777777" w:rsidR="00D86075" w:rsidRDefault="00E36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64E8FE">
          <v:rect id="_x0000_i1025" style="width:0;height:1.5pt" o:hralign="center" o:hrstd="t" o:hr="t" fillcolor="#a0a0a0" stroked="f"/>
        </w:pict>
      </w:r>
    </w:p>
    <w:p w14:paraId="4AA405BF"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Introduction</w:t>
      </w:r>
    </w:p>
    <w:p w14:paraId="117D4C54" w14:textId="30F29F10" w:rsidR="00D86075" w:rsidRDefault="00442F53">
      <w:pPr>
        <w:pStyle w:val="NormalWeb"/>
        <w:spacing w:line="360" w:lineRule="auto"/>
        <w:jc w:val="both"/>
      </w:pPr>
      <w:r>
        <w:t xml:space="preserve">The Gir cattle (Bos indicus), a prominent Zebu breed native to the Saurashtra region of Gujarat, India, is well known for its high milk yield, disease resistance, and stress tolerance. According to recent Indian livestock census data, the population of Gir cattle stands at approximately 5.1 million, representing 3.38% of the indigenous cattle population. The average lactation yield is 2063 </w:t>
      </w:r>
      <w:proofErr w:type="spellStart"/>
      <w:r>
        <w:t>litres</w:t>
      </w:r>
      <w:proofErr w:type="spellEnd"/>
      <w:r>
        <w:t xml:space="preserve">, with a daily milk yield of 4.98 </w:t>
      </w:r>
      <w:proofErr w:type="spellStart"/>
      <w:r>
        <w:t>litres</w:t>
      </w:r>
      <w:proofErr w:type="spellEnd"/>
      <w:r>
        <w:t xml:space="preserve"> (Gaur et al., 2003</w:t>
      </w:r>
      <w:r w:rsidR="00E36D21">
        <w:t xml:space="preserve">; </w:t>
      </w:r>
      <w:r w:rsidR="00E36D21" w:rsidRPr="00E36D21">
        <w:t>Pérez-</w:t>
      </w:r>
      <w:proofErr w:type="spellStart"/>
      <w:r w:rsidR="00E36D21" w:rsidRPr="00E36D21">
        <w:t>Barbería</w:t>
      </w:r>
      <w:proofErr w:type="spellEnd"/>
      <w:r w:rsidR="00E36D21" w:rsidRPr="00E36D21">
        <w:t xml:space="preserve"> et al., 2022</w:t>
      </w:r>
      <w:r>
        <w:t>). In dairy farming, calf rearing is critical to the future productivity and profitability of the herd. Healthy, well-managed calves not only ensure robust herd replacements but also support sustainable farm economics. Growth and development in calves are influenced by several factors, including genetics, nutrition, and dam milk yield</w:t>
      </w:r>
      <w:r w:rsidR="00E36D21">
        <w:t xml:space="preserve"> </w:t>
      </w:r>
      <w:r w:rsidR="00E36D21" w:rsidRPr="00E36D21">
        <w:t>(Hess et al., 2016)</w:t>
      </w:r>
      <w:r>
        <w:t xml:space="preserve">. Moreover, </w:t>
      </w:r>
      <w:proofErr w:type="spellStart"/>
      <w:r>
        <w:t>behavioural</w:t>
      </w:r>
      <w:proofErr w:type="spellEnd"/>
      <w:r>
        <w:t xml:space="preserve"> indicators, such as play </w:t>
      </w:r>
      <w:proofErr w:type="spellStart"/>
      <w:r>
        <w:t>behaviour</w:t>
      </w:r>
      <w:proofErr w:type="spellEnd"/>
      <w:r>
        <w:t>, serve as important markers of calf welfare and overall health. (Lundy et al., 2019; Khan et al., 2020</w:t>
      </w:r>
      <w:r w:rsidR="00E36D21">
        <w:t xml:space="preserve">; </w:t>
      </w:r>
      <w:r w:rsidR="00E36D21" w:rsidRPr="00E36D21">
        <w:t>Gillespie et al., 2017</w:t>
      </w:r>
      <w:r>
        <w:t>).</w:t>
      </w:r>
    </w:p>
    <w:p w14:paraId="0EE5E120" w14:textId="5DD3E69D" w:rsidR="00D86075" w:rsidRDefault="00442F53">
      <w:pPr>
        <w:spacing w:before="100" w:beforeAutospacing="1" w:after="100" w:afterAutospacing="1"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rPr>
        <w:lastRenderedPageBreak/>
        <w:t xml:space="preserve"> Gender-based variations in growth and development have been reported in several studies. Male </w:t>
      </w:r>
      <w:proofErr w:type="gramStart"/>
      <w:r>
        <w:rPr>
          <w:rFonts w:ascii="Times New Roman" w:eastAsia="Times New Roman" w:hAnsi="Times New Roman" w:cs="Times New Roman"/>
          <w:sz w:val="24"/>
          <w:szCs w:val="24"/>
        </w:rPr>
        <w:t>calves  show</w:t>
      </w:r>
      <w:r>
        <w:rPr>
          <w:rFonts w:ascii="Times New Roman" w:eastAsia="Times New Roman" w:hAnsi="Times New Roman" w:cs="Times New Roman"/>
          <w:sz w:val="24"/>
          <w:szCs w:val="24"/>
          <w:lang w:val="en-IN"/>
        </w:rPr>
        <w:t>s</w:t>
      </w:r>
      <w:proofErr w:type="gramEnd"/>
      <w:r>
        <w:rPr>
          <w:rFonts w:ascii="Times New Roman" w:eastAsia="Times New Roman" w:hAnsi="Times New Roman" w:cs="Times New Roman"/>
          <w:sz w:val="24"/>
          <w:szCs w:val="24"/>
        </w:rPr>
        <w:t xml:space="preserve">  more robust metabolism, and often preferential feeding in certain farming systems. Differences in colostrum intake, thermoregulation, and immune development may contribute to the observed disparities. </w:t>
      </w:r>
      <w:r>
        <w:rPr>
          <w:rFonts w:ascii="Times New Roman" w:hAnsi="Times New Roman" w:cs="Times New Roman"/>
          <w:sz w:val="24"/>
          <w:szCs w:val="24"/>
        </w:rPr>
        <w:t xml:space="preserve">Sexual dimorphism in growth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has been extensively reported in domestic animals</w:t>
      </w:r>
      <w:r w:rsidR="00E36D21">
        <w:rPr>
          <w:rFonts w:ascii="Times New Roman" w:hAnsi="Times New Roman" w:cs="Times New Roman"/>
          <w:sz w:val="24"/>
          <w:szCs w:val="24"/>
        </w:rPr>
        <w:t xml:space="preserve"> </w:t>
      </w:r>
      <w:r w:rsidR="00E36D21" w:rsidRPr="00E36D21">
        <w:rPr>
          <w:rFonts w:ascii="Times New Roman" w:hAnsi="Times New Roman" w:cs="Times New Roman"/>
          <w:sz w:val="24"/>
          <w:szCs w:val="24"/>
        </w:rPr>
        <w:t>(</w:t>
      </w:r>
      <w:proofErr w:type="spellStart"/>
      <w:r w:rsidR="00E36D21" w:rsidRPr="00E36D21">
        <w:rPr>
          <w:rFonts w:ascii="Times New Roman" w:hAnsi="Times New Roman" w:cs="Times New Roman"/>
          <w:sz w:val="24"/>
          <w:szCs w:val="24"/>
        </w:rPr>
        <w:t>Stěhulová</w:t>
      </w:r>
      <w:proofErr w:type="spellEnd"/>
      <w:r w:rsidR="00E36D21" w:rsidRPr="00E36D21">
        <w:rPr>
          <w:rFonts w:ascii="Times New Roman" w:hAnsi="Times New Roman" w:cs="Times New Roman"/>
          <w:sz w:val="24"/>
          <w:szCs w:val="24"/>
        </w:rPr>
        <w:t xml:space="preserve"> et al., 2013)</w:t>
      </w:r>
      <w:bookmarkStart w:id="1" w:name="_GoBack"/>
      <w:bookmarkEnd w:id="1"/>
      <w:r>
        <w:rPr>
          <w:rFonts w:ascii="Times New Roman" w:hAnsi="Times New Roman" w:cs="Times New Roman"/>
          <w:sz w:val="24"/>
          <w:szCs w:val="24"/>
        </w:rPr>
        <w:t xml:space="preserve">. Male calves generally exhibit better growth outcomes, often attributed to hormonal differences and higher birth weights (Mishra et al., 2022). Studies have shown that male calves are more competitive at feeding stations and more explorative (Ahmed et al., 2020), which can influence feed efficiency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development.</w:t>
      </w:r>
    </w:p>
    <w:p w14:paraId="23FA3B5A" w14:textId="77777777" w:rsidR="00D86075" w:rsidRDefault="00442F53">
      <w:pPr>
        <w:pStyle w:val="NormalWeb"/>
        <w:spacing w:line="360" w:lineRule="auto"/>
        <w:jc w:val="both"/>
      </w:pPr>
      <w:r>
        <w:t xml:space="preserve">Despite growing literature on dairy calves, specific studies focused on indigenous breeds like Gir are still limited. The interplay between calf sex and maternal milk yield, in particular, deserves greater attention as it may impact not only calf development but also maternal productivity and herd management. A recent review by Sharma et al. (2023) stressed the need for integrating </w:t>
      </w:r>
      <w:proofErr w:type="spellStart"/>
      <w:r>
        <w:t>behavioural</w:t>
      </w:r>
      <w:proofErr w:type="spellEnd"/>
      <w:r>
        <w:t xml:space="preserve"> and production metrics to formulate more refined breeding and management protocols for Indian </w:t>
      </w:r>
      <w:proofErr w:type="spellStart"/>
      <w:proofErr w:type="gramStart"/>
      <w:r>
        <w:t>cattle.Given</w:t>
      </w:r>
      <w:proofErr w:type="spellEnd"/>
      <w:proofErr w:type="gramEnd"/>
      <w:r>
        <w:t xml:space="preserve"> the lack of specific studies on Gir calves, this research aims to examine the effect of sex and dam milk yield on the growth parameters and play </w:t>
      </w:r>
      <w:proofErr w:type="spellStart"/>
      <w:r>
        <w:t>behaviour</w:t>
      </w:r>
      <w:proofErr w:type="spellEnd"/>
      <w:r>
        <w:t xml:space="preserve"> in </w:t>
      </w:r>
      <w:proofErr w:type="spellStart"/>
      <w:r>
        <w:t>Gir</w:t>
      </w:r>
      <w:proofErr w:type="spellEnd"/>
      <w:r>
        <w:t xml:space="preserve"> calves under semi-intensive management.</w:t>
      </w:r>
    </w:p>
    <w:p w14:paraId="51C3C469" w14:textId="77777777" w:rsidR="00D86075" w:rsidRDefault="00E36D2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A4B2A64">
          <v:rect id="_x0000_i1026" style="width:0;height:1.5pt" o:hralign="center" o:hrstd="t" o:hr="t" fillcolor="#a0a0a0" stroked="f"/>
        </w:pict>
      </w:r>
    </w:p>
    <w:p w14:paraId="5E52CC61"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Materials and Methods</w:t>
      </w:r>
    </w:p>
    <w:p w14:paraId="29779615"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conducted at Shree Surat </w:t>
      </w:r>
      <w:proofErr w:type="spellStart"/>
      <w:r>
        <w:rPr>
          <w:rFonts w:ascii="Times New Roman" w:eastAsia="Times New Roman" w:hAnsi="Times New Roman" w:cs="Times New Roman"/>
          <w:sz w:val="24"/>
          <w:szCs w:val="24"/>
        </w:rPr>
        <w:t>Panjarapole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Bhestan</w:t>
      </w:r>
      <w:proofErr w:type="spellEnd"/>
      <w:r>
        <w:rPr>
          <w:rFonts w:ascii="Times New Roman" w:eastAsia="Times New Roman" w:hAnsi="Times New Roman" w:cs="Times New Roman"/>
          <w:sz w:val="24"/>
          <w:szCs w:val="24"/>
        </w:rPr>
        <w:t>, Surat district, Gujarat. The farm follows a semi-intensive housing system and provides Total Mixed Ration (TMR) feeding.</w:t>
      </w:r>
    </w:p>
    <w:p w14:paraId="6BC56C3B"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Experimental Design:</w:t>
      </w:r>
      <w:r>
        <w:rPr>
          <w:rFonts w:ascii="Times New Roman" w:eastAsia="Times New Roman" w:hAnsi="Times New Roman" w:cs="Times New Roman"/>
          <w:sz w:val="24"/>
          <w:szCs w:val="24"/>
        </w:rPr>
        <w:t xml:space="preserve"> Fourteen Gir calves (7 male and 7 female) were selected post-calving. Observations were recorded for duration of three months.</w:t>
      </w:r>
    </w:p>
    <w:p w14:paraId="0FD61404"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Parameters Studied:</w:t>
      </w:r>
    </w:p>
    <w:p w14:paraId="22CA853E" w14:textId="77777777"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 gain</w:t>
      </w:r>
      <w:r>
        <w:rPr>
          <w:rFonts w:ascii="Times New Roman" w:eastAsia="Times New Roman" w:hAnsi="Times New Roman" w:cs="Times New Roman"/>
          <w:sz w:val="24"/>
          <w:szCs w:val="24"/>
        </w:rPr>
        <w:t xml:space="preserve"> was measured on the 30th, 60th, and 90th day. Average daily gain (ADG) was calculated as:</w:t>
      </w:r>
    </w:p>
    <w:p w14:paraId="4E66604F" w14:textId="77777777"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Milk intake</w:t>
      </w:r>
      <w:r>
        <w:rPr>
          <w:rFonts w:ascii="Times New Roman" w:eastAsia="Times New Roman" w:hAnsi="Times New Roman" w:cs="Times New Roman"/>
          <w:sz w:val="24"/>
          <w:szCs w:val="24"/>
        </w:rPr>
        <w:t xml:space="preserve"> was estimated by weighing the calf before and after suckling.</w:t>
      </w:r>
    </w:p>
    <w:p w14:paraId="488986CC" w14:textId="77777777"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Play </w:t>
      </w:r>
      <w:proofErr w:type="spellStart"/>
      <w:r>
        <w:rPr>
          <w:rFonts w:ascii="Times New Roman" w:eastAsia="Times New Roman" w:hAnsi="Times New Roman" w:cs="Times New Roman"/>
          <w:b/>
          <w:bCs/>
          <w:sz w:val="24"/>
          <w:szCs w:val="24"/>
        </w:rPr>
        <w:t>behaviour</w:t>
      </w:r>
      <w:proofErr w:type="spellEnd"/>
      <w:r>
        <w:rPr>
          <w:rFonts w:ascii="Times New Roman" w:eastAsia="Times New Roman" w:hAnsi="Times New Roman" w:cs="Times New Roman"/>
          <w:sz w:val="24"/>
          <w:szCs w:val="24"/>
        </w:rPr>
        <w:t xml:space="preserve"> was observed 1 hour before the evening milking session. Duration was recorded in minutes.</w:t>
      </w:r>
    </w:p>
    <w:p w14:paraId="5F05209E" w14:textId="77777777"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Milk yield of dams</w:t>
      </w:r>
      <w:r>
        <w:rPr>
          <w:rFonts w:ascii="Times New Roman" w:eastAsia="Times New Roman" w:hAnsi="Times New Roman" w:cs="Times New Roman"/>
          <w:sz w:val="24"/>
          <w:szCs w:val="24"/>
        </w:rPr>
        <w:t xml:space="preserve"> was recorded on the 7th, 15th, 30th, 45th, 60th, and 90th day post-calving.</w:t>
      </w:r>
    </w:p>
    <w:p w14:paraId="62C12570" w14:textId="77777777"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Dry matter intake (DMI)</w:t>
      </w:r>
      <w:r>
        <w:rPr>
          <w:rFonts w:ascii="Times New Roman" w:eastAsia="Times New Roman" w:hAnsi="Times New Roman" w:cs="Times New Roman"/>
          <w:sz w:val="24"/>
          <w:szCs w:val="24"/>
        </w:rPr>
        <w:t xml:space="preserve"> was assessed for both roughage and concentrate components.</w:t>
      </w:r>
    </w:p>
    <w:p w14:paraId="26C623F0"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Statistical Analysis:</w:t>
      </w:r>
      <w:r>
        <w:rPr>
          <w:rFonts w:ascii="Times New Roman" w:eastAsia="Times New Roman" w:hAnsi="Times New Roman" w:cs="Times New Roman"/>
          <w:sz w:val="24"/>
          <w:szCs w:val="24"/>
        </w:rPr>
        <w:t xml:space="preserve"> Data were analyzed using t-tests and Duncan’s Multiple Range Test (DMRT). Significance was considered at p&lt;0.05 and p&lt;0.01.</w:t>
      </w:r>
    </w:p>
    <w:p w14:paraId="1A5D7765" w14:textId="77777777" w:rsidR="00D86075" w:rsidRDefault="00E36D21">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30A64187">
          <v:rect id="_x0000_i1027" style="width:0;height:1.5pt" o:hralign="center" o:hrstd="t" o:hr="t" fillcolor="#a0a0a0" stroked="f"/>
        </w:pict>
      </w:r>
    </w:p>
    <w:p w14:paraId="0EBA22EE" w14:textId="77777777" w:rsidR="00740307" w:rsidRPr="00740307" w:rsidRDefault="00442F53">
      <w:pPr>
        <w:spacing w:before="100" w:beforeAutospacing="1" w:after="100" w:afterAutospacing="1"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Results and Discussion</w:t>
      </w:r>
      <w:r w:rsidR="00740307">
        <w:rPr>
          <w:rFonts w:ascii="Times New Roman" w:eastAsia="Times New Roman" w:hAnsi="Times New Roman" w:cs="Times New Roman"/>
          <w:b/>
          <w:bCs/>
          <w:sz w:val="24"/>
          <w:szCs w:val="24"/>
        </w:rPr>
        <w:t xml:space="preserve"> </w:t>
      </w:r>
    </w:p>
    <w:p w14:paraId="15DAB1A5" w14:textId="77777777"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 Average Weight Gain</w:t>
      </w:r>
    </w:p>
    <w:p w14:paraId="01DDCEBA" w14:textId="77777777"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 calves showed significantly higher weight gain in the first month compared to females (369.04g vs. 302.38g, p&lt;0.05). In subsequent months, although males maintained higher average gains, differences were not statistically significant. A decreasing trend in weight gain over time was noted in males, likely due to a shift from milk to TMR feeding. Female calves peaked in the second month before declining.</w:t>
      </w:r>
    </w:p>
    <w:p w14:paraId="3550697F" w14:textId="77777777" w:rsidR="00D86075" w:rsidRDefault="00442F53">
      <w:pPr>
        <w:pStyle w:val="NormalWeb"/>
        <w:spacing w:line="360" w:lineRule="auto"/>
        <w:jc w:val="both"/>
      </w:pPr>
      <w:r>
        <w:t>These trends may be attributed to reduced suckling and adaptation challenges with TMR. Similar findings were reported by Bharti et al. (2014), where suckling calves had significantly higher weight gain. Recent work by Pathak et al. (2021) also confirmed higher growth rates in male calves under optimal feeding and housing conditions. Additionally, Koirala et al. (2023) suggested that thermoregulatory efficiency in male calves during the neonatal phase might support better nutrient utilization.</w:t>
      </w:r>
    </w:p>
    <w:p w14:paraId="68EC0241" w14:textId="77777777" w:rsidR="00D86075" w:rsidRDefault="00D86075">
      <w:pPr>
        <w:spacing w:before="100" w:beforeAutospacing="1" w:after="100" w:afterAutospacing="1" w:line="360" w:lineRule="auto"/>
        <w:jc w:val="both"/>
        <w:rPr>
          <w:rFonts w:ascii="Times New Roman" w:eastAsia="Times New Roman" w:hAnsi="Times New Roman" w:cs="Times New Roman"/>
          <w:sz w:val="24"/>
          <w:szCs w:val="24"/>
        </w:rPr>
      </w:pPr>
    </w:p>
    <w:p w14:paraId="411F75A5" w14:textId="21C3D484" w:rsidR="00D86075" w:rsidRDefault="00442F5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Table no.1: Mean ± S.E of average weight gain in calves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2278"/>
        <w:gridCol w:w="2278"/>
        <w:gridCol w:w="2229"/>
      </w:tblGrid>
      <w:tr w:rsidR="00D86075" w14:paraId="10F3C936" w14:textId="77777777">
        <w:tc>
          <w:tcPr>
            <w:tcW w:w="2231" w:type="dxa"/>
            <w:vAlign w:val="center"/>
          </w:tcPr>
          <w:p w14:paraId="6EF10258" w14:textId="77777777" w:rsidR="00D86075" w:rsidRDefault="00442F53">
            <w:pPr>
              <w:jc w:val="center"/>
              <w:rPr>
                <w:rFonts w:ascii="Times New Roman" w:hAnsi="Times New Roman" w:cs="Times New Roman"/>
                <w:b/>
                <w:sz w:val="24"/>
                <w:szCs w:val="24"/>
              </w:rPr>
            </w:pPr>
            <w:bookmarkStart w:id="2" w:name="_Hlk31103677"/>
            <w:r>
              <w:rPr>
                <w:rFonts w:ascii="Times New Roman" w:hAnsi="Times New Roman" w:cs="Times New Roman"/>
                <w:b/>
                <w:sz w:val="24"/>
                <w:szCs w:val="24"/>
              </w:rPr>
              <w:t>Month</w:t>
            </w:r>
          </w:p>
        </w:tc>
        <w:tc>
          <w:tcPr>
            <w:tcW w:w="2278" w:type="dxa"/>
            <w:vAlign w:val="center"/>
          </w:tcPr>
          <w:p w14:paraId="2EF3EE25"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Male calves (n=7)</w:t>
            </w:r>
          </w:p>
        </w:tc>
        <w:tc>
          <w:tcPr>
            <w:tcW w:w="2278" w:type="dxa"/>
            <w:vAlign w:val="center"/>
          </w:tcPr>
          <w:p w14:paraId="5F03C4CD"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Female calves (n=7)</w:t>
            </w:r>
          </w:p>
        </w:tc>
        <w:tc>
          <w:tcPr>
            <w:tcW w:w="2229" w:type="dxa"/>
            <w:vAlign w:val="center"/>
          </w:tcPr>
          <w:p w14:paraId="2EA1D1A1"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t-value</w:t>
            </w:r>
          </w:p>
        </w:tc>
      </w:tr>
      <w:tr w:rsidR="00D86075" w14:paraId="79D42745" w14:textId="77777777">
        <w:tc>
          <w:tcPr>
            <w:tcW w:w="2231" w:type="dxa"/>
            <w:vAlign w:val="center"/>
          </w:tcPr>
          <w:p w14:paraId="737AC72C"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78" w:type="dxa"/>
            <w:vAlign w:val="center"/>
          </w:tcPr>
          <w:p w14:paraId="4837E9C8" w14:textId="77777777" w:rsidR="00D86075" w:rsidRPr="00552B20" w:rsidRDefault="00442F53">
            <w:pPr>
              <w:jc w:val="center"/>
              <w:rPr>
                <w:rFonts w:ascii="Times New Roman" w:hAnsi="Times New Roman" w:cs="Times New Roman"/>
                <w:b/>
                <w:sz w:val="24"/>
                <w:szCs w:val="24"/>
              </w:rPr>
            </w:pPr>
            <w:r w:rsidRPr="00552B20">
              <w:rPr>
                <w:rFonts w:ascii="Times New Roman" w:hAnsi="Times New Roman" w:cs="Times New Roman"/>
                <w:b/>
                <w:sz w:val="24"/>
                <w:szCs w:val="24"/>
              </w:rPr>
              <w:t>369.04</w:t>
            </w:r>
            <w:r w:rsidRPr="00552B20">
              <w:rPr>
                <w:rFonts w:ascii="Times New Roman" w:hAnsi="Times New Roman" w:cs="Times New Roman"/>
                <w:b/>
                <w:sz w:val="24"/>
                <w:szCs w:val="24"/>
                <w:vertAlign w:val="superscript"/>
              </w:rPr>
              <w:t>b</w:t>
            </w:r>
            <w:r w:rsidRPr="00552B20">
              <w:rPr>
                <w:rFonts w:ascii="Times New Roman" w:hAnsi="Times New Roman" w:cs="Times New Roman"/>
                <w:b/>
                <w:sz w:val="24"/>
                <w:szCs w:val="24"/>
              </w:rPr>
              <w:t>±14.26</w:t>
            </w:r>
          </w:p>
        </w:tc>
        <w:tc>
          <w:tcPr>
            <w:tcW w:w="2278" w:type="dxa"/>
            <w:vAlign w:val="center"/>
          </w:tcPr>
          <w:p w14:paraId="24106ECE" w14:textId="77777777" w:rsidR="00D86075" w:rsidRPr="00552B20" w:rsidRDefault="00442F53">
            <w:pPr>
              <w:jc w:val="center"/>
              <w:rPr>
                <w:rFonts w:ascii="Times New Roman" w:hAnsi="Times New Roman" w:cs="Times New Roman"/>
                <w:b/>
                <w:sz w:val="24"/>
                <w:szCs w:val="24"/>
              </w:rPr>
            </w:pPr>
            <w:r w:rsidRPr="00552B20">
              <w:rPr>
                <w:rFonts w:ascii="Times New Roman" w:hAnsi="Times New Roman" w:cs="Times New Roman"/>
                <w:b/>
                <w:sz w:val="24"/>
                <w:szCs w:val="24"/>
              </w:rPr>
              <w:t>302.38</w:t>
            </w:r>
            <w:r w:rsidRPr="00552B20">
              <w:rPr>
                <w:rFonts w:ascii="Times New Roman" w:hAnsi="Times New Roman" w:cs="Times New Roman"/>
                <w:b/>
                <w:sz w:val="24"/>
                <w:szCs w:val="24"/>
                <w:vertAlign w:val="superscript"/>
              </w:rPr>
              <w:t>b</w:t>
            </w:r>
            <w:r w:rsidRPr="00552B20">
              <w:rPr>
                <w:rFonts w:ascii="Times New Roman" w:hAnsi="Times New Roman" w:cs="Times New Roman"/>
                <w:b/>
                <w:sz w:val="24"/>
                <w:szCs w:val="24"/>
              </w:rPr>
              <w:t>±17.24</w:t>
            </w:r>
          </w:p>
        </w:tc>
        <w:tc>
          <w:tcPr>
            <w:tcW w:w="2229" w:type="dxa"/>
            <w:vAlign w:val="center"/>
          </w:tcPr>
          <w:p w14:paraId="2577A3D0" w14:textId="77777777" w:rsidR="00D86075" w:rsidRPr="00552B20" w:rsidRDefault="00442F53">
            <w:pPr>
              <w:jc w:val="center"/>
              <w:rPr>
                <w:rFonts w:ascii="Times New Roman" w:hAnsi="Times New Roman" w:cs="Times New Roman"/>
                <w:b/>
                <w:sz w:val="24"/>
                <w:szCs w:val="24"/>
              </w:rPr>
            </w:pPr>
            <w:r w:rsidRPr="00552B20">
              <w:rPr>
                <w:rFonts w:ascii="Times New Roman" w:hAnsi="Times New Roman" w:cs="Times New Roman"/>
                <w:b/>
                <w:sz w:val="24"/>
                <w:szCs w:val="24"/>
              </w:rPr>
              <w:t>2.979*</w:t>
            </w:r>
          </w:p>
        </w:tc>
      </w:tr>
      <w:tr w:rsidR="00D86075" w14:paraId="778FD0BE" w14:textId="77777777">
        <w:tc>
          <w:tcPr>
            <w:tcW w:w="2231" w:type="dxa"/>
            <w:vAlign w:val="center"/>
          </w:tcPr>
          <w:p w14:paraId="5AF3718F"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2</w:t>
            </w:r>
          </w:p>
        </w:tc>
        <w:tc>
          <w:tcPr>
            <w:tcW w:w="2278" w:type="dxa"/>
            <w:vAlign w:val="center"/>
          </w:tcPr>
          <w:p w14:paraId="48585F94"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239.52</w:t>
            </w:r>
            <w:r w:rsidRPr="00552B20">
              <w:rPr>
                <w:rFonts w:ascii="Times New Roman" w:hAnsi="Times New Roman" w:cs="Times New Roman"/>
                <w:sz w:val="24"/>
                <w:szCs w:val="24"/>
                <w:vertAlign w:val="superscript"/>
              </w:rPr>
              <w:t>a</w:t>
            </w:r>
            <w:r w:rsidRPr="00552B20">
              <w:rPr>
                <w:rFonts w:ascii="Times New Roman" w:hAnsi="Times New Roman" w:cs="Times New Roman"/>
                <w:sz w:val="24"/>
                <w:szCs w:val="24"/>
              </w:rPr>
              <w:t>±18.66</w:t>
            </w:r>
          </w:p>
        </w:tc>
        <w:tc>
          <w:tcPr>
            <w:tcW w:w="2278" w:type="dxa"/>
            <w:vAlign w:val="center"/>
          </w:tcPr>
          <w:p w14:paraId="01578870"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286.66</w:t>
            </w:r>
            <w:r w:rsidRPr="00552B20">
              <w:rPr>
                <w:rFonts w:ascii="Times New Roman" w:hAnsi="Times New Roman" w:cs="Times New Roman"/>
                <w:sz w:val="24"/>
                <w:szCs w:val="24"/>
                <w:vertAlign w:val="superscript"/>
              </w:rPr>
              <w:t>b</w:t>
            </w:r>
            <w:r w:rsidRPr="00552B20">
              <w:rPr>
                <w:rFonts w:ascii="Times New Roman" w:hAnsi="Times New Roman" w:cs="Times New Roman"/>
                <w:sz w:val="24"/>
                <w:szCs w:val="24"/>
              </w:rPr>
              <w:t>±16.82</w:t>
            </w:r>
          </w:p>
        </w:tc>
        <w:tc>
          <w:tcPr>
            <w:tcW w:w="2229" w:type="dxa"/>
            <w:vAlign w:val="center"/>
          </w:tcPr>
          <w:p w14:paraId="1619D1BC"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-1.876</w:t>
            </w:r>
          </w:p>
        </w:tc>
      </w:tr>
      <w:tr w:rsidR="00D86075" w14:paraId="580165CB" w14:textId="77777777">
        <w:tc>
          <w:tcPr>
            <w:tcW w:w="2231" w:type="dxa"/>
            <w:vAlign w:val="center"/>
          </w:tcPr>
          <w:p w14:paraId="6347FE3F"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3</w:t>
            </w:r>
          </w:p>
        </w:tc>
        <w:tc>
          <w:tcPr>
            <w:tcW w:w="2278" w:type="dxa"/>
            <w:vAlign w:val="center"/>
          </w:tcPr>
          <w:p w14:paraId="5BF1AACD"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218.57</w:t>
            </w:r>
            <w:r w:rsidRPr="00552B20">
              <w:rPr>
                <w:rFonts w:ascii="Times New Roman" w:hAnsi="Times New Roman" w:cs="Times New Roman"/>
                <w:sz w:val="24"/>
                <w:szCs w:val="24"/>
                <w:vertAlign w:val="superscript"/>
              </w:rPr>
              <w:t>a</w:t>
            </w:r>
            <w:r w:rsidRPr="00552B20">
              <w:rPr>
                <w:rFonts w:ascii="Times New Roman" w:hAnsi="Times New Roman" w:cs="Times New Roman"/>
                <w:sz w:val="24"/>
                <w:szCs w:val="24"/>
              </w:rPr>
              <w:t>±11.49</w:t>
            </w:r>
          </w:p>
        </w:tc>
        <w:tc>
          <w:tcPr>
            <w:tcW w:w="2278" w:type="dxa"/>
            <w:vAlign w:val="center"/>
          </w:tcPr>
          <w:p w14:paraId="6132543C"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186.66</w:t>
            </w:r>
            <w:r w:rsidRPr="00552B20">
              <w:rPr>
                <w:rFonts w:ascii="Times New Roman" w:hAnsi="Times New Roman" w:cs="Times New Roman"/>
                <w:sz w:val="24"/>
                <w:szCs w:val="24"/>
                <w:vertAlign w:val="superscript"/>
              </w:rPr>
              <w:t>a</w:t>
            </w:r>
            <w:r w:rsidRPr="00552B20">
              <w:rPr>
                <w:rFonts w:ascii="Times New Roman" w:hAnsi="Times New Roman" w:cs="Times New Roman"/>
                <w:sz w:val="24"/>
                <w:szCs w:val="24"/>
              </w:rPr>
              <w:t>±18.60</w:t>
            </w:r>
          </w:p>
        </w:tc>
        <w:tc>
          <w:tcPr>
            <w:tcW w:w="2229" w:type="dxa"/>
            <w:vAlign w:val="center"/>
          </w:tcPr>
          <w:p w14:paraId="62D672DD"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1.459</w:t>
            </w:r>
          </w:p>
        </w:tc>
      </w:tr>
      <w:tr w:rsidR="00D86075" w14:paraId="08061B0D" w14:textId="77777777">
        <w:tc>
          <w:tcPr>
            <w:tcW w:w="2231" w:type="dxa"/>
            <w:vAlign w:val="center"/>
          </w:tcPr>
          <w:p w14:paraId="48AB10F6"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Overall</w:t>
            </w:r>
          </w:p>
        </w:tc>
        <w:tc>
          <w:tcPr>
            <w:tcW w:w="2278" w:type="dxa"/>
            <w:vAlign w:val="center"/>
          </w:tcPr>
          <w:p w14:paraId="65B67CA4"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275.71±14.80</w:t>
            </w:r>
          </w:p>
        </w:tc>
        <w:tc>
          <w:tcPr>
            <w:tcW w:w="2278" w:type="dxa"/>
            <w:vAlign w:val="center"/>
          </w:tcPr>
          <w:p w14:paraId="24D8802A"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258.54±17.55</w:t>
            </w:r>
          </w:p>
        </w:tc>
        <w:tc>
          <w:tcPr>
            <w:tcW w:w="2229" w:type="dxa"/>
            <w:vAlign w:val="center"/>
          </w:tcPr>
          <w:p w14:paraId="20B983E8"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1.372</w:t>
            </w:r>
          </w:p>
        </w:tc>
      </w:tr>
      <w:tr w:rsidR="00D86075" w14:paraId="57735D27" w14:textId="77777777">
        <w:tc>
          <w:tcPr>
            <w:tcW w:w="2231" w:type="dxa"/>
            <w:vAlign w:val="center"/>
          </w:tcPr>
          <w:p w14:paraId="6D4864F0"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F-value</w:t>
            </w:r>
          </w:p>
        </w:tc>
        <w:tc>
          <w:tcPr>
            <w:tcW w:w="2278" w:type="dxa"/>
            <w:vAlign w:val="center"/>
          </w:tcPr>
          <w:p w14:paraId="0D553344" w14:textId="77777777" w:rsidR="00D86075" w:rsidRPr="00552B20" w:rsidRDefault="00442F53">
            <w:pPr>
              <w:jc w:val="center"/>
              <w:rPr>
                <w:rFonts w:ascii="Times New Roman" w:hAnsi="Times New Roman" w:cs="Times New Roman"/>
                <w:b/>
                <w:sz w:val="24"/>
                <w:szCs w:val="24"/>
                <w:vertAlign w:val="superscript"/>
              </w:rPr>
            </w:pPr>
            <w:r w:rsidRPr="00552B20">
              <w:rPr>
                <w:rFonts w:ascii="Times New Roman" w:hAnsi="Times New Roman" w:cs="Times New Roman"/>
                <w:b/>
                <w:sz w:val="24"/>
                <w:szCs w:val="24"/>
              </w:rPr>
              <w:t>33.991</w:t>
            </w:r>
            <w:r w:rsidR="00E36D21">
              <w:rPr>
                <w:position w:val="-11"/>
              </w:rPr>
              <w:pict w14:anchorId="752CB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16.5pt" equationxml="&lt;">
                  <v:imagedata r:id="rId8" o:title="" chromakey="white"/>
                </v:shape>
              </w:pict>
            </w:r>
            <w:r w:rsidRPr="00552B20">
              <w:rPr>
                <w:rFonts w:ascii="Times New Roman" w:eastAsia="Times New Roman" w:hAnsi="Times New Roman" w:cs="Times New Roman"/>
                <w:b/>
                <w:sz w:val="24"/>
                <w:szCs w:val="24"/>
              </w:rPr>
              <w:t>*</w:t>
            </w:r>
          </w:p>
        </w:tc>
        <w:tc>
          <w:tcPr>
            <w:tcW w:w="2278" w:type="dxa"/>
            <w:vAlign w:val="center"/>
          </w:tcPr>
          <w:p w14:paraId="189C76B8" w14:textId="77777777" w:rsidR="00D86075" w:rsidRPr="00552B20" w:rsidRDefault="00442F53">
            <w:pPr>
              <w:jc w:val="center"/>
              <w:rPr>
                <w:rFonts w:ascii="Times New Roman" w:hAnsi="Times New Roman" w:cs="Times New Roman"/>
                <w:b/>
                <w:sz w:val="24"/>
                <w:szCs w:val="24"/>
              </w:rPr>
            </w:pPr>
            <w:r w:rsidRPr="00552B20">
              <w:rPr>
                <w:rFonts w:ascii="Times New Roman" w:hAnsi="Times New Roman" w:cs="Times New Roman"/>
                <w:b/>
                <w:sz w:val="24"/>
                <w:szCs w:val="24"/>
              </w:rPr>
              <w:t>22.256**</w:t>
            </w:r>
          </w:p>
        </w:tc>
        <w:tc>
          <w:tcPr>
            <w:tcW w:w="2229" w:type="dxa"/>
            <w:vAlign w:val="center"/>
          </w:tcPr>
          <w:p w14:paraId="45834177" w14:textId="77777777" w:rsidR="00D86075" w:rsidRPr="00552B20" w:rsidRDefault="00442F53">
            <w:pPr>
              <w:jc w:val="center"/>
              <w:rPr>
                <w:rFonts w:ascii="Times New Roman" w:hAnsi="Times New Roman" w:cs="Times New Roman"/>
                <w:sz w:val="24"/>
                <w:szCs w:val="24"/>
              </w:rPr>
            </w:pPr>
            <w:r w:rsidRPr="00552B20">
              <w:rPr>
                <w:rFonts w:ascii="Times New Roman" w:hAnsi="Times New Roman" w:cs="Times New Roman"/>
                <w:sz w:val="24"/>
                <w:szCs w:val="24"/>
              </w:rPr>
              <w:t>5.20</w:t>
            </w:r>
          </w:p>
        </w:tc>
      </w:tr>
      <w:bookmarkEnd w:id="2"/>
    </w:tbl>
    <w:p w14:paraId="7FC982B9"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70A8E013"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Milk Yield of Dams</w:t>
      </w:r>
    </w:p>
    <w:p w14:paraId="19A93643" w14:textId="77777777"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Milk yield was consistently higher in dams of male calves, particularly evident on the 90th day (10.74L vs. 8.51L, p&lt;0.05). Overall, the lactation yield was significantly higher in these dams (p&lt;0.05). Male </w:t>
      </w:r>
      <w:proofErr w:type="spellStart"/>
      <w:r>
        <w:rPr>
          <w:rFonts w:ascii="Times New Roman" w:eastAsia="Times New Roman" w:hAnsi="Times New Roman" w:cs="Times New Roman"/>
          <w:sz w:val="24"/>
          <w:szCs w:val="24"/>
        </w:rPr>
        <w:t>foetuses</w:t>
      </w:r>
      <w:proofErr w:type="spellEnd"/>
      <w:r>
        <w:rPr>
          <w:rFonts w:ascii="Times New Roman" w:eastAsia="Times New Roman" w:hAnsi="Times New Roman" w:cs="Times New Roman"/>
          <w:sz w:val="24"/>
          <w:szCs w:val="24"/>
        </w:rPr>
        <w:t xml:space="preserve"> may stimulate greater mammary development through androgenic hormones like testosterone, leading to increased milk production (Bell et al., 2009).</w:t>
      </w:r>
    </w:p>
    <w:p w14:paraId="0B935779" w14:textId="77777777" w:rsidR="00D86075" w:rsidRDefault="00442F53">
      <w:pPr>
        <w:pStyle w:val="NormalWeb"/>
        <w:spacing w:line="360" w:lineRule="auto"/>
        <w:jc w:val="both"/>
        <w:rPr>
          <w:lang w:val="en-IN"/>
        </w:rPr>
      </w:pPr>
      <w:r>
        <w:t xml:space="preserve">Contrary to some literature (Hinde et al., 2014; Čačić et al., 2022) suggesting higher milk yield in dams of female calves, our findings indicate otherwise. Increased suckling activity and more vigorous udder interaction by male calves may explain the higher yield. Similar findings have been reported in a study on </w:t>
      </w:r>
      <w:proofErr w:type="spellStart"/>
      <w:r>
        <w:t>Kankrej</w:t>
      </w:r>
      <w:proofErr w:type="spellEnd"/>
      <w:r>
        <w:t xml:space="preserve"> cattle by Dubey et al. (2020), highlighting breed-specific trends in maternal response to calf </w:t>
      </w:r>
      <w:proofErr w:type="spellStart"/>
      <w:proofErr w:type="gramStart"/>
      <w:r>
        <w:t>gender.A</w:t>
      </w:r>
      <w:proofErr w:type="spellEnd"/>
      <w:proofErr w:type="gramEnd"/>
      <w:r>
        <w:t xml:space="preserve"> recent multi-breed analysis by Verma and Sahu (2022) also showed variation in milk yield based on calf sex, with indigenous breeds more likely to produce higher yields for male offspring. This could </w:t>
      </w:r>
      <w:proofErr w:type="gramStart"/>
      <w:r>
        <w:t>be a reflection of</w:t>
      </w:r>
      <w:proofErr w:type="gramEnd"/>
      <w:r>
        <w:t xml:space="preserve"> evolutionary investment patterns.</w:t>
      </w:r>
    </w:p>
    <w:p w14:paraId="2E8F7A1A" w14:textId="77777777" w:rsidR="00D86075" w:rsidRDefault="00442F53">
      <w:pPr>
        <w:rPr>
          <w:rFonts w:ascii="Times New Roman" w:hAnsi="Times New Roman" w:cs="Times New Roman"/>
          <w:b/>
          <w:sz w:val="24"/>
          <w:szCs w:val="24"/>
        </w:rPr>
      </w:pPr>
      <w:r>
        <w:rPr>
          <w:rFonts w:ascii="Times New Roman" w:hAnsi="Times New Roman" w:cs="Times New Roman"/>
          <w:b/>
          <w:sz w:val="24"/>
          <w:szCs w:val="24"/>
        </w:rPr>
        <w:t xml:space="preserve">Table No. 2: Mean ± S.E of milk yield of dams: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1570"/>
        <w:gridCol w:w="1520"/>
        <w:gridCol w:w="1490"/>
        <w:gridCol w:w="1410"/>
      </w:tblGrid>
      <w:tr w:rsidR="00D86075" w14:paraId="264F0703" w14:textId="77777777">
        <w:tc>
          <w:tcPr>
            <w:tcW w:w="1634" w:type="dxa"/>
            <w:vAlign w:val="center"/>
          </w:tcPr>
          <w:p w14:paraId="514BF350"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Day of observation</w:t>
            </w:r>
          </w:p>
        </w:tc>
        <w:tc>
          <w:tcPr>
            <w:tcW w:w="1570" w:type="dxa"/>
            <w:vAlign w:val="center"/>
          </w:tcPr>
          <w:p w14:paraId="69C222EB"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Dam of male calves (n=7)</w:t>
            </w:r>
          </w:p>
        </w:tc>
        <w:tc>
          <w:tcPr>
            <w:tcW w:w="1520" w:type="dxa"/>
            <w:vAlign w:val="center"/>
          </w:tcPr>
          <w:p w14:paraId="57C28FED"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Dam of female calves (n=7)</w:t>
            </w:r>
          </w:p>
        </w:tc>
        <w:tc>
          <w:tcPr>
            <w:tcW w:w="1490" w:type="dxa"/>
            <w:vAlign w:val="center"/>
          </w:tcPr>
          <w:p w14:paraId="5E1848EB"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Overall (n=14)</w:t>
            </w:r>
          </w:p>
        </w:tc>
        <w:tc>
          <w:tcPr>
            <w:tcW w:w="1410" w:type="dxa"/>
            <w:vAlign w:val="center"/>
          </w:tcPr>
          <w:p w14:paraId="64B246B2" w14:textId="77777777"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t- value</w:t>
            </w:r>
          </w:p>
        </w:tc>
      </w:tr>
      <w:tr w:rsidR="00D86075" w14:paraId="243C1F12" w14:textId="77777777">
        <w:tc>
          <w:tcPr>
            <w:tcW w:w="1634" w:type="dxa"/>
            <w:vAlign w:val="center"/>
          </w:tcPr>
          <w:p w14:paraId="40CCCA98"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7th</w:t>
            </w:r>
          </w:p>
        </w:tc>
        <w:tc>
          <w:tcPr>
            <w:tcW w:w="1570" w:type="dxa"/>
            <w:vAlign w:val="center"/>
          </w:tcPr>
          <w:p w14:paraId="0B84EE28"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3.0</w:t>
            </w:r>
            <w:r w:rsidRPr="00C63BFE">
              <w:rPr>
                <w:rFonts w:ascii="Times New Roman" w:hAnsi="Times New Roman" w:cs="Times New Roman"/>
                <w:sz w:val="24"/>
                <w:szCs w:val="24"/>
                <w:vertAlign w:val="superscript"/>
              </w:rPr>
              <w:t>a</w:t>
            </w:r>
            <w:r w:rsidRPr="00C63BFE">
              <w:rPr>
                <w:rFonts w:ascii="Times New Roman" w:hAnsi="Times New Roman" w:cs="Times New Roman"/>
                <w:sz w:val="24"/>
                <w:szCs w:val="24"/>
              </w:rPr>
              <w:t>±0.20</w:t>
            </w:r>
          </w:p>
        </w:tc>
        <w:tc>
          <w:tcPr>
            <w:tcW w:w="1520" w:type="dxa"/>
            <w:vAlign w:val="center"/>
          </w:tcPr>
          <w:p w14:paraId="05B12C35"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3.0</w:t>
            </w:r>
            <w:r w:rsidRPr="00C63BFE">
              <w:rPr>
                <w:rFonts w:ascii="Times New Roman" w:hAnsi="Times New Roman" w:cs="Times New Roman"/>
                <w:sz w:val="24"/>
                <w:szCs w:val="24"/>
                <w:vertAlign w:val="superscript"/>
              </w:rPr>
              <w:t>a</w:t>
            </w:r>
            <w:r w:rsidRPr="00C63BFE">
              <w:rPr>
                <w:rFonts w:ascii="Times New Roman" w:hAnsi="Times New Roman" w:cs="Times New Roman"/>
                <w:sz w:val="24"/>
                <w:szCs w:val="24"/>
              </w:rPr>
              <w:t>±0.18</w:t>
            </w:r>
          </w:p>
        </w:tc>
        <w:tc>
          <w:tcPr>
            <w:tcW w:w="1490" w:type="dxa"/>
            <w:vAlign w:val="center"/>
          </w:tcPr>
          <w:p w14:paraId="78F99F27"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3.0±0.13</w:t>
            </w:r>
          </w:p>
        </w:tc>
        <w:tc>
          <w:tcPr>
            <w:tcW w:w="1410" w:type="dxa"/>
            <w:vAlign w:val="center"/>
          </w:tcPr>
          <w:p w14:paraId="1B5B9A53" w14:textId="77777777" w:rsidR="00D86075" w:rsidRPr="00C63BFE" w:rsidRDefault="00442F53">
            <w:pPr>
              <w:jc w:val="center"/>
              <w:rPr>
                <w:rFonts w:ascii="Times New Roman" w:hAnsi="Times New Roman" w:cs="Times New Roman"/>
                <w:sz w:val="24"/>
                <w:szCs w:val="24"/>
                <w:vertAlign w:val="superscript"/>
              </w:rPr>
            </w:pPr>
            <w:r w:rsidRPr="00C63BFE">
              <w:rPr>
                <w:rFonts w:ascii="Times New Roman" w:hAnsi="Times New Roman" w:cs="Times New Roman"/>
                <w:sz w:val="24"/>
                <w:szCs w:val="24"/>
              </w:rPr>
              <w:t>1.71×10</w:t>
            </w:r>
            <w:r w:rsidRPr="00C63BFE">
              <w:rPr>
                <w:rFonts w:ascii="Times New Roman" w:hAnsi="Times New Roman" w:cs="Times New Roman"/>
                <w:sz w:val="24"/>
                <w:szCs w:val="24"/>
                <w:vertAlign w:val="superscript"/>
              </w:rPr>
              <w:t>-16</w:t>
            </w:r>
          </w:p>
        </w:tc>
      </w:tr>
      <w:tr w:rsidR="00D86075" w14:paraId="2422684D" w14:textId="77777777">
        <w:tc>
          <w:tcPr>
            <w:tcW w:w="1634" w:type="dxa"/>
            <w:vAlign w:val="center"/>
          </w:tcPr>
          <w:p w14:paraId="3180C2DE"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15th</w:t>
            </w:r>
          </w:p>
        </w:tc>
        <w:tc>
          <w:tcPr>
            <w:tcW w:w="1570" w:type="dxa"/>
            <w:vAlign w:val="center"/>
          </w:tcPr>
          <w:p w14:paraId="33C08382"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4.71</w:t>
            </w:r>
            <w:r w:rsidRPr="00C63BFE">
              <w:rPr>
                <w:rFonts w:ascii="Times New Roman" w:hAnsi="Times New Roman" w:cs="Times New Roman"/>
                <w:sz w:val="24"/>
                <w:szCs w:val="24"/>
                <w:vertAlign w:val="superscript"/>
              </w:rPr>
              <w:t>ab</w:t>
            </w:r>
            <w:r w:rsidRPr="00C63BFE">
              <w:rPr>
                <w:rFonts w:ascii="Times New Roman" w:hAnsi="Times New Roman" w:cs="Times New Roman"/>
                <w:sz w:val="24"/>
                <w:szCs w:val="24"/>
              </w:rPr>
              <w:t>±0.58</w:t>
            </w:r>
          </w:p>
        </w:tc>
        <w:tc>
          <w:tcPr>
            <w:tcW w:w="1520" w:type="dxa"/>
            <w:vAlign w:val="center"/>
          </w:tcPr>
          <w:p w14:paraId="7B81E94A"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4.48</w:t>
            </w:r>
            <w:r w:rsidRPr="00C63BFE">
              <w:rPr>
                <w:rFonts w:ascii="Times New Roman" w:hAnsi="Times New Roman" w:cs="Times New Roman"/>
                <w:sz w:val="24"/>
                <w:szCs w:val="24"/>
                <w:vertAlign w:val="superscript"/>
              </w:rPr>
              <w:t>ab</w:t>
            </w:r>
            <w:r w:rsidRPr="00C63BFE">
              <w:rPr>
                <w:rFonts w:ascii="Times New Roman" w:hAnsi="Times New Roman" w:cs="Times New Roman"/>
                <w:sz w:val="24"/>
                <w:szCs w:val="24"/>
              </w:rPr>
              <w:t>±0.43</w:t>
            </w:r>
          </w:p>
        </w:tc>
        <w:tc>
          <w:tcPr>
            <w:tcW w:w="1490" w:type="dxa"/>
            <w:vAlign w:val="center"/>
          </w:tcPr>
          <w:p w14:paraId="41DFBEA2"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4.6±0.35</w:t>
            </w:r>
          </w:p>
        </w:tc>
        <w:tc>
          <w:tcPr>
            <w:tcW w:w="1410" w:type="dxa"/>
            <w:vAlign w:val="center"/>
          </w:tcPr>
          <w:p w14:paraId="3FA12558"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0.262</w:t>
            </w:r>
          </w:p>
        </w:tc>
      </w:tr>
      <w:tr w:rsidR="00D86075" w14:paraId="25C53A34" w14:textId="77777777">
        <w:tc>
          <w:tcPr>
            <w:tcW w:w="1634" w:type="dxa"/>
            <w:vAlign w:val="center"/>
          </w:tcPr>
          <w:p w14:paraId="570828D0"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30th</w:t>
            </w:r>
          </w:p>
        </w:tc>
        <w:tc>
          <w:tcPr>
            <w:tcW w:w="1570" w:type="dxa"/>
            <w:vAlign w:val="center"/>
          </w:tcPr>
          <w:p w14:paraId="6F12A168"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6.14</w:t>
            </w:r>
            <w:r w:rsidRPr="00C63BFE">
              <w:rPr>
                <w:rFonts w:ascii="Times New Roman" w:hAnsi="Times New Roman" w:cs="Times New Roman"/>
                <w:sz w:val="24"/>
                <w:szCs w:val="24"/>
                <w:vertAlign w:val="superscript"/>
              </w:rPr>
              <w:t>bc</w:t>
            </w:r>
            <w:r w:rsidRPr="00C63BFE">
              <w:rPr>
                <w:rFonts w:ascii="Times New Roman" w:hAnsi="Times New Roman" w:cs="Times New Roman"/>
                <w:sz w:val="24"/>
                <w:szCs w:val="24"/>
              </w:rPr>
              <w:t>±0.64</w:t>
            </w:r>
          </w:p>
        </w:tc>
        <w:tc>
          <w:tcPr>
            <w:tcW w:w="1520" w:type="dxa"/>
            <w:vAlign w:val="center"/>
          </w:tcPr>
          <w:p w14:paraId="38C6F790"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6.05</w:t>
            </w:r>
            <w:r w:rsidRPr="00C63BFE">
              <w:rPr>
                <w:rFonts w:ascii="Times New Roman" w:hAnsi="Times New Roman" w:cs="Times New Roman"/>
                <w:sz w:val="24"/>
                <w:szCs w:val="24"/>
                <w:vertAlign w:val="superscript"/>
              </w:rPr>
              <w:t>bc</w:t>
            </w:r>
            <w:r w:rsidRPr="00C63BFE">
              <w:rPr>
                <w:rFonts w:ascii="Times New Roman" w:hAnsi="Times New Roman" w:cs="Times New Roman"/>
                <w:sz w:val="24"/>
                <w:szCs w:val="24"/>
              </w:rPr>
              <w:t>±0.75</w:t>
            </w:r>
          </w:p>
        </w:tc>
        <w:tc>
          <w:tcPr>
            <w:tcW w:w="1490" w:type="dxa"/>
            <w:vAlign w:val="center"/>
          </w:tcPr>
          <w:p w14:paraId="44140EA1"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6.1±0.47</w:t>
            </w:r>
          </w:p>
        </w:tc>
        <w:tc>
          <w:tcPr>
            <w:tcW w:w="1410" w:type="dxa"/>
            <w:vAlign w:val="center"/>
          </w:tcPr>
          <w:p w14:paraId="5081FC9F"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0.136</w:t>
            </w:r>
          </w:p>
        </w:tc>
      </w:tr>
      <w:tr w:rsidR="00D86075" w14:paraId="188DA978" w14:textId="77777777">
        <w:tc>
          <w:tcPr>
            <w:tcW w:w="1634" w:type="dxa"/>
            <w:vAlign w:val="center"/>
          </w:tcPr>
          <w:p w14:paraId="1A569996"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lastRenderedPageBreak/>
              <w:t>45th</w:t>
            </w:r>
          </w:p>
        </w:tc>
        <w:tc>
          <w:tcPr>
            <w:tcW w:w="1570" w:type="dxa"/>
            <w:vAlign w:val="center"/>
          </w:tcPr>
          <w:p w14:paraId="074EC7EB"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7.62</w:t>
            </w:r>
            <w:r w:rsidRPr="00C63BFE">
              <w:rPr>
                <w:rFonts w:ascii="Times New Roman" w:hAnsi="Times New Roman" w:cs="Times New Roman"/>
                <w:sz w:val="24"/>
                <w:szCs w:val="24"/>
                <w:vertAlign w:val="superscript"/>
              </w:rPr>
              <w:t>cd</w:t>
            </w:r>
            <w:r w:rsidRPr="00C63BFE">
              <w:rPr>
                <w:rFonts w:ascii="Times New Roman" w:hAnsi="Times New Roman" w:cs="Times New Roman"/>
                <w:sz w:val="24"/>
                <w:szCs w:val="24"/>
              </w:rPr>
              <w:t>±0.72</w:t>
            </w:r>
          </w:p>
        </w:tc>
        <w:tc>
          <w:tcPr>
            <w:tcW w:w="1520" w:type="dxa"/>
            <w:vAlign w:val="center"/>
          </w:tcPr>
          <w:p w14:paraId="74582D3A"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6.8</w:t>
            </w:r>
            <w:r w:rsidRPr="00C63BFE">
              <w:rPr>
                <w:rFonts w:ascii="Times New Roman" w:hAnsi="Times New Roman" w:cs="Times New Roman"/>
                <w:sz w:val="24"/>
                <w:szCs w:val="24"/>
                <w:vertAlign w:val="superscript"/>
              </w:rPr>
              <w:t>c</w:t>
            </w:r>
            <w:r w:rsidRPr="00C63BFE">
              <w:rPr>
                <w:rFonts w:ascii="Times New Roman" w:hAnsi="Times New Roman" w:cs="Times New Roman"/>
                <w:sz w:val="24"/>
                <w:szCs w:val="24"/>
              </w:rPr>
              <w:t>±0.57</w:t>
            </w:r>
          </w:p>
        </w:tc>
        <w:tc>
          <w:tcPr>
            <w:tcW w:w="1490" w:type="dxa"/>
            <w:vAlign w:val="center"/>
          </w:tcPr>
          <w:p w14:paraId="75CC0660"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7.21±0.45</w:t>
            </w:r>
          </w:p>
        </w:tc>
        <w:tc>
          <w:tcPr>
            <w:tcW w:w="1410" w:type="dxa"/>
            <w:vAlign w:val="center"/>
          </w:tcPr>
          <w:p w14:paraId="2F1D77E7"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1.03</w:t>
            </w:r>
          </w:p>
        </w:tc>
      </w:tr>
      <w:tr w:rsidR="00D86075" w14:paraId="0BA40A0B" w14:textId="77777777">
        <w:tc>
          <w:tcPr>
            <w:tcW w:w="1634" w:type="dxa"/>
            <w:vAlign w:val="center"/>
          </w:tcPr>
          <w:p w14:paraId="0DAB1E30"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60th</w:t>
            </w:r>
          </w:p>
        </w:tc>
        <w:tc>
          <w:tcPr>
            <w:tcW w:w="1570" w:type="dxa"/>
            <w:vAlign w:val="center"/>
          </w:tcPr>
          <w:p w14:paraId="78B1D6C0"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8.8</w:t>
            </w:r>
            <w:r w:rsidRPr="00C63BFE">
              <w:rPr>
                <w:rFonts w:ascii="Times New Roman" w:hAnsi="Times New Roman" w:cs="Times New Roman"/>
                <w:sz w:val="24"/>
                <w:szCs w:val="24"/>
                <w:vertAlign w:val="superscript"/>
              </w:rPr>
              <w:t>d</w:t>
            </w:r>
            <w:r w:rsidRPr="00C63BFE">
              <w:rPr>
                <w:rFonts w:ascii="Times New Roman" w:hAnsi="Times New Roman" w:cs="Times New Roman"/>
                <w:sz w:val="24"/>
                <w:szCs w:val="24"/>
              </w:rPr>
              <w:t>±0.78</w:t>
            </w:r>
          </w:p>
        </w:tc>
        <w:tc>
          <w:tcPr>
            <w:tcW w:w="1520" w:type="dxa"/>
            <w:vAlign w:val="center"/>
          </w:tcPr>
          <w:p w14:paraId="5988703F"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7.62</w:t>
            </w:r>
            <w:r w:rsidRPr="00C63BFE">
              <w:rPr>
                <w:rFonts w:ascii="Times New Roman" w:hAnsi="Times New Roman" w:cs="Times New Roman"/>
                <w:sz w:val="24"/>
                <w:szCs w:val="24"/>
                <w:vertAlign w:val="superscript"/>
              </w:rPr>
              <w:t>cd</w:t>
            </w:r>
            <w:r w:rsidRPr="00C63BFE">
              <w:rPr>
                <w:rFonts w:ascii="Times New Roman" w:hAnsi="Times New Roman" w:cs="Times New Roman"/>
                <w:sz w:val="24"/>
                <w:szCs w:val="24"/>
              </w:rPr>
              <w:t>±0.58</w:t>
            </w:r>
          </w:p>
        </w:tc>
        <w:tc>
          <w:tcPr>
            <w:tcW w:w="1490" w:type="dxa"/>
            <w:vAlign w:val="center"/>
          </w:tcPr>
          <w:p w14:paraId="6246FB53"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8.21±0.49</w:t>
            </w:r>
          </w:p>
        </w:tc>
        <w:tc>
          <w:tcPr>
            <w:tcW w:w="1410" w:type="dxa"/>
            <w:vAlign w:val="center"/>
          </w:tcPr>
          <w:p w14:paraId="58248235"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1.49</w:t>
            </w:r>
          </w:p>
        </w:tc>
      </w:tr>
      <w:tr w:rsidR="00D86075" w14:paraId="13CC91C9" w14:textId="77777777">
        <w:tc>
          <w:tcPr>
            <w:tcW w:w="1634" w:type="dxa"/>
            <w:vAlign w:val="center"/>
          </w:tcPr>
          <w:p w14:paraId="2F21F2DB"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90th</w:t>
            </w:r>
          </w:p>
        </w:tc>
        <w:tc>
          <w:tcPr>
            <w:tcW w:w="1570" w:type="dxa"/>
            <w:vAlign w:val="center"/>
          </w:tcPr>
          <w:p w14:paraId="446E9180"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10.74</w:t>
            </w:r>
            <w:r w:rsidRPr="00C63BFE">
              <w:rPr>
                <w:rFonts w:ascii="Times New Roman" w:hAnsi="Times New Roman" w:cs="Times New Roman"/>
                <w:b/>
                <w:sz w:val="24"/>
                <w:szCs w:val="24"/>
                <w:vertAlign w:val="superscript"/>
              </w:rPr>
              <w:t>e</w:t>
            </w:r>
            <w:r w:rsidRPr="00C63BFE">
              <w:rPr>
                <w:rFonts w:ascii="Times New Roman" w:hAnsi="Times New Roman" w:cs="Times New Roman"/>
                <w:b/>
                <w:sz w:val="24"/>
                <w:szCs w:val="24"/>
              </w:rPr>
              <w:t>±0.71</w:t>
            </w:r>
          </w:p>
        </w:tc>
        <w:tc>
          <w:tcPr>
            <w:tcW w:w="1520" w:type="dxa"/>
            <w:vAlign w:val="center"/>
          </w:tcPr>
          <w:p w14:paraId="60D0C273"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8.51</w:t>
            </w:r>
            <w:r w:rsidRPr="00C63BFE">
              <w:rPr>
                <w:rFonts w:ascii="Times New Roman" w:hAnsi="Times New Roman" w:cs="Times New Roman"/>
                <w:b/>
                <w:sz w:val="24"/>
                <w:szCs w:val="24"/>
                <w:vertAlign w:val="superscript"/>
              </w:rPr>
              <w:t>d</w:t>
            </w:r>
            <w:r w:rsidRPr="00C63BFE">
              <w:rPr>
                <w:rFonts w:ascii="Times New Roman" w:hAnsi="Times New Roman" w:cs="Times New Roman"/>
                <w:b/>
                <w:sz w:val="24"/>
                <w:szCs w:val="24"/>
              </w:rPr>
              <w:t>±0.58</w:t>
            </w:r>
          </w:p>
        </w:tc>
        <w:tc>
          <w:tcPr>
            <w:tcW w:w="1490" w:type="dxa"/>
            <w:vAlign w:val="center"/>
          </w:tcPr>
          <w:p w14:paraId="43C0A5A5"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9.62±0.64</w:t>
            </w:r>
          </w:p>
        </w:tc>
        <w:tc>
          <w:tcPr>
            <w:tcW w:w="1410" w:type="dxa"/>
            <w:vAlign w:val="center"/>
          </w:tcPr>
          <w:p w14:paraId="509F8C0C"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2.56*</w:t>
            </w:r>
          </w:p>
        </w:tc>
      </w:tr>
      <w:tr w:rsidR="00D86075" w14:paraId="0DF04F5B" w14:textId="77777777">
        <w:tc>
          <w:tcPr>
            <w:tcW w:w="1634" w:type="dxa"/>
            <w:vAlign w:val="center"/>
          </w:tcPr>
          <w:p w14:paraId="2A01954D"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Overall</w:t>
            </w:r>
          </w:p>
        </w:tc>
        <w:tc>
          <w:tcPr>
            <w:tcW w:w="1570" w:type="dxa"/>
            <w:vAlign w:val="center"/>
          </w:tcPr>
          <w:p w14:paraId="19C9772D"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6.83±0.46</w:t>
            </w:r>
          </w:p>
        </w:tc>
        <w:tc>
          <w:tcPr>
            <w:tcW w:w="1520" w:type="dxa"/>
            <w:vAlign w:val="center"/>
          </w:tcPr>
          <w:p w14:paraId="60EDC8C5"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6.08±0.35</w:t>
            </w:r>
          </w:p>
        </w:tc>
        <w:tc>
          <w:tcPr>
            <w:tcW w:w="1490" w:type="dxa"/>
            <w:vAlign w:val="center"/>
          </w:tcPr>
          <w:p w14:paraId="1D3C1C17"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6.45±0.296</w:t>
            </w:r>
          </w:p>
        </w:tc>
        <w:tc>
          <w:tcPr>
            <w:tcW w:w="1410" w:type="dxa"/>
            <w:vAlign w:val="center"/>
          </w:tcPr>
          <w:p w14:paraId="260E4EC3"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2.45*</w:t>
            </w:r>
          </w:p>
        </w:tc>
      </w:tr>
      <w:tr w:rsidR="00D86075" w14:paraId="665B0408" w14:textId="77777777">
        <w:tc>
          <w:tcPr>
            <w:tcW w:w="1634" w:type="dxa"/>
            <w:vAlign w:val="center"/>
          </w:tcPr>
          <w:p w14:paraId="57211898" w14:textId="77777777" w:rsidR="00D86075" w:rsidRDefault="00442F53">
            <w:pPr>
              <w:jc w:val="center"/>
              <w:rPr>
                <w:rFonts w:ascii="Times New Roman" w:hAnsi="Times New Roman" w:cs="Times New Roman"/>
                <w:sz w:val="24"/>
                <w:szCs w:val="24"/>
              </w:rPr>
            </w:pPr>
            <w:r>
              <w:rPr>
                <w:rFonts w:ascii="Times New Roman" w:hAnsi="Times New Roman" w:cs="Times New Roman"/>
                <w:sz w:val="24"/>
                <w:szCs w:val="24"/>
              </w:rPr>
              <w:t>F value</w:t>
            </w:r>
          </w:p>
        </w:tc>
        <w:tc>
          <w:tcPr>
            <w:tcW w:w="1570" w:type="dxa"/>
            <w:vAlign w:val="center"/>
          </w:tcPr>
          <w:p w14:paraId="2BB96473"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19.25**</w:t>
            </w:r>
          </w:p>
        </w:tc>
        <w:tc>
          <w:tcPr>
            <w:tcW w:w="1520" w:type="dxa"/>
            <w:vAlign w:val="center"/>
          </w:tcPr>
          <w:p w14:paraId="024F5278" w14:textId="77777777" w:rsidR="00D86075" w:rsidRPr="00C63BFE" w:rsidRDefault="00442F53">
            <w:pPr>
              <w:jc w:val="center"/>
              <w:rPr>
                <w:rFonts w:ascii="Times New Roman" w:hAnsi="Times New Roman" w:cs="Times New Roman"/>
                <w:b/>
                <w:sz w:val="24"/>
                <w:szCs w:val="24"/>
              </w:rPr>
            </w:pPr>
            <w:r w:rsidRPr="00C63BFE">
              <w:rPr>
                <w:rFonts w:ascii="Times New Roman" w:hAnsi="Times New Roman" w:cs="Times New Roman"/>
                <w:b/>
                <w:sz w:val="24"/>
                <w:szCs w:val="24"/>
              </w:rPr>
              <w:t>13.87**</w:t>
            </w:r>
          </w:p>
        </w:tc>
        <w:tc>
          <w:tcPr>
            <w:tcW w:w="1490" w:type="dxa"/>
            <w:vAlign w:val="center"/>
          </w:tcPr>
          <w:p w14:paraId="381B6C08"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w:t>
            </w:r>
          </w:p>
        </w:tc>
        <w:tc>
          <w:tcPr>
            <w:tcW w:w="1410" w:type="dxa"/>
            <w:vAlign w:val="center"/>
          </w:tcPr>
          <w:p w14:paraId="0F0C4FB8" w14:textId="77777777" w:rsidR="00D86075" w:rsidRPr="00C63BFE" w:rsidRDefault="00442F53">
            <w:pPr>
              <w:jc w:val="center"/>
              <w:rPr>
                <w:rFonts w:ascii="Times New Roman" w:hAnsi="Times New Roman" w:cs="Times New Roman"/>
                <w:sz w:val="24"/>
                <w:szCs w:val="24"/>
              </w:rPr>
            </w:pPr>
            <w:r w:rsidRPr="00C63BFE">
              <w:rPr>
                <w:rFonts w:ascii="Times New Roman" w:hAnsi="Times New Roman" w:cs="Times New Roman"/>
                <w:sz w:val="24"/>
                <w:szCs w:val="24"/>
              </w:rPr>
              <w:t>-</w:t>
            </w:r>
          </w:p>
        </w:tc>
      </w:tr>
    </w:tbl>
    <w:p w14:paraId="4CB69DF8" w14:textId="77777777" w:rsidR="00D86075" w:rsidRDefault="00442F53">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noProof/>
          <w:sz w:val="24"/>
          <w:szCs w:val="24"/>
        </w:rPr>
        <w:drawing>
          <wp:inline distT="0" distB="0" distL="114300" distR="114300" wp14:anchorId="4F017927" wp14:editId="656EA9C8">
            <wp:extent cx="5943600" cy="3359426"/>
            <wp:effectExtent l="0" t="0" r="0" b="0"/>
            <wp:docPr id="2" name="Picture 2" descr="milk_yield_line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lk_yield_line_graph"/>
                    <pic:cNvPicPr>
                      <a:picLocks noChangeAspect="1"/>
                    </pic:cNvPicPr>
                  </pic:nvPicPr>
                  <pic:blipFill rotWithShape="1">
                    <a:blip r:embed="rId9"/>
                    <a:srcRect t="5797"/>
                    <a:stretch/>
                  </pic:blipFill>
                  <pic:spPr bwMode="auto">
                    <a:xfrm>
                      <a:off x="0" y="0"/>
                      <a:ext cx="5943600" cy="3359426"/>
                    </a:xfrm>
                    <a:prstGeom prst="rect">
                      <a:avLst/>
                    </a:prstGeom>
                    <a:ln>
                      <a:noFill/>
                    </a:ln>
                    <a:extLst>
                      <a:ext uri="{53640926-AAD7-44D8-BBD7-CCE9431645EC}">
                        <a14:shadowObscured xmlns:a14="http://schemas.microsoft.com/office/drawing/2010/main"/>
                      </a:ext>
                    </a:extLst>
                  </pic:spPr>
                </pic:pic>
              </a:graphicData>
            </a:graphic>
          </wp:inline>
        </w:drawing>
      </w:r>
    </w:p>
    <w:p w14:paraId="3B35D94E" w14:textId="2CE144B2" w:rsidR="00577492" w:rsidRDefault="00577492" w:rsidP="0057749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Fig- 1</w:t>
      </w:r>
      <w:r w:rsidR="00C63BFE">
        <w:rPr>
          <w:rFonts w:ascii="Times New Roman" w:eastAsia="Times New Roman" w:hAnsi="Times New Roman" w:cs="Times New Roman"/>
          <w:b/>
          <w:bCs/>
          <w:sz w:val="24"/>
          <w:szCs w:val="24"/>
        </w:rPr>
        <w:t>: Mild Yield of Dams Across Lactation Period</w:t>
      </w:r>
    </w:p>
    <w:p w14:paraId="14D6FEA0" w14:textId="77777777" w:rsidR="00D86075" w:rsidRDefault="00D86075">
      <w:pPr>
        <w:spacing w:before="100" w:beforeAutospacing="1" w:after="100" w:afterAutospacing="1" w:line="240" w:lineRule="auto"/>
        <w:rPr>
          <w:rFonts w:ascii="Times New Roman" w:eastAsia="Times New Roman" w:hAnsi="Times New Roman" w:cs="Times New Roman"/>
          <w:b/>
          <w:bCs/>
          <w:sz w:val="24"/>
          <w:szCs w:val="24"/>
        </w:rPr>
      </w:pPr>
    </w:p>
    <w:p w14:paraId="16F2F733"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 Play </w:t>
      </w:r>
      <w:proofErr w:type="spellStart"/>
      <w:r>
        <w:rPr>
          <w:rFonts w:ascii="Times New Roman" w:eastAsia="Times New Roman" w:hAnsi="Times New Roman" w:cs="Times New Roman"/>
          <w:b/>
          <w:bCs/>
          <w:sz w:val="24"/>
          <w:szCs w:val="24"/>
        </w:rPr>
        <w:t>Behaviour</w:t>
      </w:r>
      <w:proofErr w:type="spellEnd"/>
    </w:p>
    <w:p w14:paraId="0202266A" w14:textId="77777777" w:rsidR="00D86075" w:rsidRDefault="00442F53">
      <w:pPr>
        <w:pStyle w:val="NormalWeb"/>
        <w:spacing w:line="360" w:lineRule="auto"/>
        <w:jc w:val="both"/>
        <w:rPr>
          <w:lang w:val="en-IN"/>
        </w:rPr>
      </w:pPr>
      <w:r>
        <w:t xml:space="preserve">Male calves spent significantly more time playing than females on all observation days (average: 32.74 min vs. 19.52 min, p&lt;0.01). Play is a reliable indicator of calf welfare and energy status. According to </w:t>
      </w:r>
      <w:proofErr w:type="spellStart"/>
      <w:r>
        <w:t>Krachun</w:t>
      </w:r>
      <w:proofErr w:type="spellEnd"/>
      <w:r>
        <w:t xml:space="preserve"> et al. (2010), calves with better milk allowance exhibit more play </w:t>
      </w:r>
      <w:proofErr w:type="spellStart"/>
      <w:proofErr w:type="gramStart"/>
      <w:r>
        <w:t>activity.Recent</w:t>
      </w:r>
      <w:proofErr w:type="spellEnd"/>
      <w:proofErr w:type="gramEnd"/>
      <w:r>
        <w:t xml:space="preserve"> findings by Nogueira et al. (2021) corroborate our results, suggesting that male calves demonstrate higher physical activity and interaction tendencies due to greater energy availability. </w:t>
      </w:r>
      <w:proofErr w:type="spellStart"/>
      <w:r>
        <w:t>Behavioural</w:t>
      </w:r>
      <w:proofErr w:type="spellEnd"/>
      <w:r>
        <w:t xml:space="preserve"> variation was also reported by Nandini et al. (2024), who observed that </w:t>
      </w:r>
      <w:r>
        <w:lastRenderedPageBreak/>
        <w:t>males engaged more frequently in running, jumping, and mock fighting activities compared to females, especially under enriched housing conditions.</w:t>
      </w:r>
    </w:p>
    <w:p w14:paraId="27885D8B" w14:textId="77777777" w:rsidR="00D86075" w:rsidRDefault="00442F53">
      <w:pPr>
        <w:pStyle w:val="NormalWeb"/>
        <w:spacing w:line="360" w:lineRule="auto"/>
        <w:jc w:val="both"/>
      </w:pPr>
      <w:r>
        <w:t xml:space="preserve">Interestingly, the pattern of play in male calves often included social play </w:t>
      </w:r>
      <w:proofErr w:type="spellStart"/>
      <w:r>
        <w:t>behaviours</w:t>
      </w:r>
      <w:proofErr w:type="spellEnd"/>
      <w:r>
        <w:t xml:space="preserve"> such as head butting, mounting, and chasing, which are considered indicators of social bonding and future dominance </w:t>
      </w:r>
      <w:proofErr w:type="spellStart"/>
      <w:r>
        <w:t>behaviour</w:t>
      </w:r>
      <w:proofErr w:type="spellEnd"/>
      <w:r>
        <w:t xml:space="preserve"> (</w:t>
      </w:r>
      <w:proofErr w:type="spellStart"/>
      <w:r>
        <w:t>Lidfors</w:t>
      </w:r>
      <w:proofErr w:type="spellEnd"/>
      <w:r>
        <w:t xml:space="preserve">, 2020). Female calves, although less active, were observed to participate more in exploratory </w:t>
      </w:r>
      <w:proofErr w:type="spellStart"/>
      <w:r>
        <w:t>behaviour</w:t>
      </w:r>
      <w:proofErr w:type="spellEnd"/>
      <w:r>
        <w:t xml:space="preserve"> like sniffing and object manipulation. These distinctions may reflect inherent </w:t>
      </w:r>
      <w:proofErr w:type="spellStart"/>
      <w:r>
        <w:t>behavioural</w:t>
      </w:r>
      <w:proofErr w:type="spellEnd"/>
      <w:r>
        <w:t xml:space="preserve"> tendencies shaped by hormonal and neurological development.</w:t>
      </w:r>
    </w:p>
    <w:p w14:paraId="35795758" w14:textId="77777777" w:rsidR="00D86075" w:rsidRDefault="00442F53">
      <w:pPr>
        <w:pStyle w:val="NormalWeb"/>
        <w:spacing w:line="360" w:lineRule="auto"/>
        <w:jc w:val="both"/>
      </w:pPr>
      <w:r>
        <w:t xml:space="preserve">Additionally, environmental enrichment plays a crucial role in enhancing the frequency and complexity of play </w:t>
      </w:r>
      <w:proofErr w:type="spellStart"/>
      <w:r>
        <w:t>behaviour</w:t>
      </w:r>
      <w:proofErr w:type="spellEnd"/>
      <w:r>
        <w:t xml:space="preserve">. Research by Costa et al. (2022) demonstrated that calves provided with stimulating objects such as brushes, hanging balls, and access to open spaces exhibited more diverse play patterns. Implementing such enrichment in Gir calf management could further improve </w:t>
      </w:r>
      <w:proofErr w:type="spellStart"/>
      <w:r>
        <w:t>behavioural</w:t>
      </w:r>
      <w:proofErr w:type="spellEnd"/>
      <w:r>
        <w:t xml:space="preserve"> expression and welfare outcomes.</w:t>
      </w:r>
    </w:p>
    <w:p w14:paraId="0B189E25" w14:textId="77777777" w:rsidR="00D86075" w:rsidRDefault="00D86075">
      <w:pPr>
        <w:pStyle w:val="NormalWeb"/>
        <w:spacing w:line="360" w:lineRule="auto"/>
        <w:jc w:val="both"/>
        <w:rPr>
          <w:lang w:val="en-IN"/>
        </w:rPr>
      </w:pPr>
    </w:p>
    <w:p w14:paraId="4A779661" w14:textId="19120DE9" w:rsidR="00D86075" w:rsidRDefault="00442F5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no. 3: Mean ± S.E of time spent in play </w:t>
      </w:r>
      <w:proofErr w:type="spellStart"/>
      <w:r>
        <w:rPr>
          <w:rFonts w:ascii="Times New Roman" w:hAnsi="Times New Roman" w:cs="Times New Roman"/>
          <w:b/>
          <w:sz w:val="24"/>
          <w:szCs w:val="24"/>
        </w:rPr>
        <w:t>behaviour</w:t>
      </w:r>
      <w:proofErr w:type="spellEnd"/>
      <w:r>
        <w:rPr>
          <w:rFonts w:ascii="Times New Roman" w:hAnsi="Times New Roman" w:cs="Times New Roman"/>
          <w:b/>
          <w:sz w:val="24"/>
          <w:szCs w:val="24"/>
        </w:rPr>
        <w:t xml:space="preserve"> (min)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684"/>
        <w:gridCol w:w="1697"/>
        <w:gridCol w:w="1689"/>
        <w:gridCol w:w="1376"/>
      </w:tblGrid>
      <w:tr w:rsidR="00D86075" w14:paraId="53DE753B" w14:textId="77777777">
        <w:trPr>
          <w:trHeight w:val="288"/>
        </w:trPr>
        <w:tc>
          <w:tcPr>
            <w:tcW w:w="1649" w:type="dxa"/>
            <w:vAlign w:val="center"/>
          </w:tcPr>
          <w:p w14:paraId="68D0F621"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Days of Observation</w:t>
            </w:r>
          </w:p>
        </w:tc>
        <w:tc>
          <w:tcPr>
            <w:tcW w:w="1684" w:type="dxa"/>
            <w:vAlign w:val="center"/>
          </w:tcPr>
          <w:p w14:paraId="337F4999"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Male calves (n=7)</w:t>
            </w:r>
          </w:p>
        </w:tc>
        <w:tc>
          <w:tcPr>
            <w:tcW w:w="1697" w:type="dxa"/>
            <w:vAlign w:val="center"/>
          </w:tcPr>
          <w:p w14:paraId="353744DB"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Female calves (n=7)</w:t>
            </w:r>
          </w:p>
        </w:tc>
        <w:tc>
          <w:tcPr>
            <w:tcW w:w="1689" w:type="dxa"/>
            <w:vAlign w:val="center"/>
          </w:tcPr>
          <w:p w14:paraId="245949F8"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Overall (n=14)</w:t>
            </w:r>
          </w:p>
        </w:tc>
        <w:tc>
          <w:tcPr>
            <w:tcW w:w="1376" w:type="dxa"/>
            <w:vAlign w:val="center"/>
          </w:tcPr>
          <w:p w14:paraId="107782B8"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t-value</w:t>
            </w:r>
          </w:p>
        </w:tc>
      </w:tr>
      <w:tr w:rsidR="00D86075" w14:paraId="7F6B24E4" w14:textId="77777777">
        <w:trPr>
          <w:trHeight w:val="288"/>
        </w:trPr>
        <w:tc>
          <w:tcPr>
            <w:tcW w:w="1649" w:type="dxa"/>
            <w:vAlign w:val="center"/>
          </w:tcPr>
          <w:p w14:paraId="18442E9B" w14:textId="77777777" w:rsidR="00D86075" w:rsidRDefault="00442F53">
            <w:pPr>
              <w:jc w:val="both"/>
              <w:rPr>
                <w:rFonts w:ascii="Times New Roman" w:hAnsi="Times New Roman" w:cs="Times New Roman"/>
                <w:b/>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p>
        </w:tc>
        <w:tc>
          <w:tcPr>
            <w:tcW w:w="1684" w:type="dxa"/>
            <w:vAlign w:val="center"/>
          </w:tcPr>
          <w:p w14:paraId="0ABC9F71" w14:textId="77777777"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32.14</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4.06</w:t>
            </w:r>
          </w:p>
        </w:tc>
        <w:tc>
          <w:tcPr>
            <w:tcW w:w="1697" w:type="dxa"/>
            <w:vAlign w:val="center"/>
          </w:tcPr>
          <w:p w14:paraId="013D6F32"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b/>
                <w:color w:val="000000"/>
                <w:sz w:val="24"/>
                <w:szCs w:val="24"/>
              </w:rPr>
              <w:t>17.86</w:t>
            </w:r>
            <w:r w:rsidRPr="00E14970">
              <w:rPr>
                <w:rFonts w:ascii="Times New Roman" w:hAnsi="Times New Roman" w:cs="Times New Roman"/>
                <w:b/>
                <w:color w:val="000000"/>
                <w:sz w:val="24"/>
                <w:szCs w:val="24"/>
                <w:vertAlign w:val="superscript"/>
              </w:rPr>
              <w:t>ab</w:t>
            </w:r>
            <w:r w:rsidRPr="00E14970">
              <w:rPr>
                <w:rFonts w:ascii="Times New Roman" w:hAnsi="Times New Roman" w:cs="Times New Roman"/>
                <w:b/>
                <w:color w:val="000000"/>
                <w:sz w:val="24"/>
                <w:szCs w:val="24"/>
                <w:u w:val="single"/>
              </w:rPr>
              <w:t>+</w:t>
            </w:r>
            <w:r w:rsidRPr="00E14970">
              <w:rPr>
                <w:rFonts w:ascii="Times New Roman" w:hAnsi="Times New Roman" w:cs="Times New Roman"/>
                <w:b/>
                <w:color w:val="000000"/>
                <w:sz w:val="24"/>
                <w:szCs w:val="24"/>
              </w:rPr>
              <w:t>2.14</w:t>
            </w:r>
          </w:p>
        </w:tc>
        <w:tc>
          <w:tcPr>
            <w:tcW w:w="1689" w:type="dxa"/>
            <w:vAlign w:val="center"/>
          </w:tcPr>
          <w:p w14:paraId="2CDF8D09"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color w:val="000000"/>
                <w:sz w:val="24"/>
                <w:szCs w:val="24"/>
              </w:rPr>
              <w:t>25.00</w:t>
            </w:r>
            <w:r w:rsidRPr="00E14970">
              <w:rPr>
                <w:rFonts w:ascii="Times New Roman" w:hAnsi="Times New Roman" w:cs="Times New Roman"/>
                <w:color w:val="000000"/>
                <w:sz w:val="24"/>
                <w:szCs w:val="24"/>
                <w:u w:val="single"/>
              </w:rPr>
              <w:t>+</w:t>
            </w:r>
            <w:r w:rsidRPr="00E14970">
              <w:rPr>
                <w:rFonts w:ascii="Times New Roman" w:hAnsi="Times New Roman" w:cs="Times New Roman"/>
                <w:color w:val="000000"/>
                <w:sz w:val="24"/>
                <w:szCs w:val="24"/>
              </w:rPr>
              <w:t>2.96</w:t>
            </w:r>
          </w:p>
        </w:tc>
        <w:tc>
          <w:tcPr>
            <w:tcW w:w="1376" w:type="dxa"/>
            <w:vAlign w:val="center"/>
          </w:tcPr>
          <w:p w14:paraId="17324AC5"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3.111**</w:t>
            </w:r>
          </w:p>
        </w:tc>
      </w:tr>
      <w:tr w:rsidR="00D86075" w14:paraId="3071BC51" w14:textId="77777777">
        <w:trPr>
          <w:trHeight w:val="288"/>
        </w:trPr>
        <w:tc>
          <w:tcPr>
            <w:tcW w:w="1649" w:type="dxa"/>
            <w:vAlign w:val="center"/>
          </w:tcPr>
          <w:p w14:paraId="4C7345A9"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p>
        </w:tc>
        <w:tc>
          <w:tcPr>
            <w:tcW w:w="1684" w:type="dxa"/>
            <w:vAlign w:val="center"/>
          </w:tcPr>
          <w:p w14:paraId="7D444C2B" w14:textId="77777777"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32.86</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4.21</w:t>
            </w:r>
          </w:p>
        </w:tc>
        <w:tc>
          <w:tcPr>
            <w:tcW w:w="1697" w:type="dxa"/>
            <w:vAlign w:val="center"/>
          </w:tcPr>
          <w:p w14:paraId="402AFD6A"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b/>
                <w:color w:val="000000"/>
                <w:sz w:val="24"/>
                <w:szCs w:val="24"/>
              </w:rPr>
              <w:t>20.00</w:t>
            </w:r>
            <w:r w:rsidRPr="00E14970">
              <w:rPr>
                <w:rFonts w:ascii="Times New Roman" w:hAnsi="Times New Roman" w:cs="Times New Roman"/>
                <w:b/>
                <w:color w:val="000000"/>
                <w:sz w:val="24"/>
                <w:szCs w:val="24"/>
                <w:vertAlign w:val="superscript"/>
              </w:rPr>
              <w:t>ab</w:t>
            </w:r>
            <w:r w:rsidRPr="00E14970">
              <w:rPr>
                <w:rFonts w:ascii="Times New Roman" w:hAnsi="Times New Roman" w:cs="Times New Roman"/>
                <w:b/>
                <w:color w:val="000000"/>
                <w:sz w:val="24"/>
                <w:szCs w:val="24"/>
                <w:u w:val="single"/>
              </w:rPr>
              <w:t>+</w:t>
            </w:r>
            <w:r w:rsidRPr="00E14970">
              <w:rPr>
                <w:rFonts w:ascii="Times New Roman" w:hAnsi="Times New Roman" w:cs="Times New Roman"/>
                <w:b/>
                <w:color w:val="000000"/>
                <w:sz w:val="24"/>
                <w:szCs w:val="24"/>
              </w:rPr>
              <w:t>1.54</w:t>
            </w:r>
          </w:p>
        </w:tc>
        <w:tc>
          <w:tcPr>
            <w:tcW w:w="1689" w:type="dxa"/>
            <w:vAlign w:val="center"/>
          </w:tcPr>
          <w:p w14:paraId="4C48A5A5"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color w:val="000000"/>
                <w:sz w:val="24"/>
                <w:szCs w:val="24"/>
              </w:rPr>
              <w:t>26.43</w:t>
            </w:r>
            <w:r w:rsidRPr="00E14970">
              <w:rPr>
                <w:rFonts w:ascii="Times New Roman" w:hAnsi="Times New Roman" w:cs="Times New Roman"/>
                <w:color w:val="000000"/>
                <w:sz w:val="24"/>
                <w:szCs w:val="24"/>
                <w:u w:val="single"/>
              </w:rPr>
              <w:t>+</w:t>
            </w:r>
            <w:r w:rsidRPr="00E14970">
              <w:rPr>
                <w:rFonts w:ascii="Times New Roman" w:hAnsi="Times New Roman" w:cs="Times New Roman"/>
                <w:color w:val="000000"/>
                <w:sz w:val="24"/>
                <w:szCs w:val="24"/>
              </w:rPr>
              <w:t>2.79</w:t>
            </w:r>
          </w:p>
        </w:tc>
        <w:tc>
          <w:tcPr>
            <w:tcW w:w="1376" w:type="dxa"/>
            <w:vAlign w:val="center"/>
          </w:tcPr>
          <w:p w14:paraId="1A07987D"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2.870**</w:t>
            </w:r>
          </w:p>
        </w:tc>
      </w:tr>
      <w:tr w:rsidR="00D86075" w14:paraId="3432243E" w14:textId="77777777">
        <w:trPr>
          <w:trHeight w:val="288"/>
        </w:trPr>
        <w:tc>
          <w:tcPr>
            <w:tcW w:w="1649" w:type="dxa"/>
            <w:vAlign w:val="center"/>
          </w:tcPr>
          <w:p w14:paraId="16523F27"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vertAlign w:val="superscript"/>
              </w:rPr>
              <w:t>th</w:t>
            </w:r>
          </w:p>
        </w:tc>
        <w:tc>
          <w:tcPr>
            <w:tcW w:w="1684" w:type="dxa"/>
            <w:vAlign w:val="center"/>
          </w:tcPr>
          <w:p w14:paraId="6C4D78D5" w14:textId="77777777"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32.50</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3.41</w:t>
            </w:r>
          </w:p>
        </w:tc>
        <w:tc>
          <w:tcPr>
            <w:tcW w:w="1697" w:type="dxa"/>
            <w:vAlign w:val="center"/>
          </w:tcPr>
          <w:p w14:paraId="73217006"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b/>
                <w:color w:val="000000"/>
                <w:sz w:val="24"/>
                <w:szCs w:val="24"/>
              </w:rPr>
              <w:t>22.50</w:t>
            </w:r>
            <w:r w:rsidRPr="00E14970">
              <w:rPr>
                <w:rFonts w:ascii="Times New Roman" w:hAnsi="Times New Roman" w:cs="Times New Roman"/>
                <w:b/>
                <w:color w:val="000000"/>
                <w:sz w:val="24"/>
                <w:szCs w:val="24"/>
                <w:vertAlign w:val="superscript"/>
              </w:rPr>
              <w:t>b</w:t>
            </w:r>
            <w:r w:rsidRPr="00E14970">
              <w:rPr>
                <w:rFonts w:ascii="Times New Roman" w:hAnsi="Times New Roman" w:cs="Times New Roman"/>
                <w:b/>
                <w:color w:val="000000"/>
                <w:sz w:val="24"/>
                <w:szCs w:val="24"/>
                <w:u w:val="single"/>
              </w:rPr>
              <w:t>+</w:t>
            </w:r>
            <w:r w:rsidRPr="00E14970">
              <w:rPr>
                <w:rFonts w:ascii="Times New Roman" w:hAnsi="Times New Roman" w:cs="Times New Roman"/>
                <w:b/>
                <w:color w:val="000000"/>
                <w:sz w:val="24"/>
                <w:szCs w:val="24"/>
              </w:rPr>
              <w:t>1.12</w:t>
            </w:r>
          </w:p>
        </w:tc>
        <w:tc>
          <w:tcPr>
            <w:tcW w:w="1689" w:type="dxa"/>
            <w:vAlign w:val="center"/>
          </w:tcPr>
          <w:p w14:paraId="64D37EB4"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color w:val="000000"/>
                <w:sz w:val="24"/>
                <w:szCs w:val="24"/>
              </w:rPr>
              <w:t>28.21</w:t>
            </w:r>
            <w:r w:rsidRPr="00E14970">
              <w:rPr>
                <w:rFonts w:ascii="Times New Roman" w:hAnsi="Times New Roman" w:cs="Times New Roman"/>
                <w:color w:val="000000"/>
                <w:sz w:val="24"/>
                <w:szCs w:val="24"/>
                <w:u w:val="single"/>
              </w:rPr>
              <w:t>+</w:t>
            </w:r>
            <w:r w:rsidRPr="00E14970">
              <w:rPr>
                <w:rFonts w:ascii="Times New Roman" w:hAnsi="Times New Roman" w:cs="Times New Roman"/>
                <w:color w:val="000000"/>
                <w:sz w:val="24"/>
                <w:szCs w:val="24"/>
              </w:rPr>
              <w:t>2.38</w:t>
            </w:r>
          </w:p>
        </w:tc>
        <w:tc>
          <w:tcPr>
            <w:tcW w:w="1376" w:type="dxa"/>
            <w:vAlign w:val="center"/>
          </w:tcPr>
          <w:p w14:paraId="20B0A838"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3.470**</w:t>
            </w:r>
          </w:p>
        </w:tc>
      </w:tr>
      <w:tr w:rsidR="00D86075" w14:paraId="7AE6094D" w14:textId="77777777">
        <w:trPr>
          <w:trHeight w:val="288"/>
        </w:trPr>
        <w:tc>
          <w:tcPr>
            <w:tcW w:w="1649" w:type="dxa"/>
            <w:vAlign w:val="center"/>
          </w:tcPr>
          <w:p w14:paraId="02A52556"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Overall</w:t>
            </w:r>
          </w:p>
        </w:tc>
        <w:tc>
          <w:tcPr>
            <w:tcW w:w="1684" w:type="dxa"/>
            <w:vAlign w:val="center"/>
          </w:tcPr>
          <w:p w14:paraId="1495FA4F" w14:textId="77777777"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32.74±1.46</w:t>
            </w:r>
          </w:p>
        </w:tc>
        <w:tc>
          <w:tcPr>
            <w:tcW w:w="1697" w:type="dxa"/>
            <w:vAlign w:val="center"/>
          </w:tcPr>
          <w:p w14:paraId="58B066AB"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b/>
                <w:color w:val="000000"/>
                <w:sz w:val="24"/>
                <w:szCs w:val="24"/>
              </w:rPr>
              <w:t>19.52±0.678</w:t>
            </w:r>
          </w:p>
        </w:tc>
        <w:tc>
          <w:tcPr>
            <w:tcW w:w="1689" w:type="dxa"/>
            <w:vAlign w:val="center"/>
          </w:tcPr>
          <w:p w14:paraId="025F80EC" w14:textId="77777777" w:rsidR="00D86075" w:rsidRPr="00E14970" w:rsidRDefault="00442F53">
            <w:pPr>
              <w:jc w:val="both"/>
              <w:rPr>
                <w:rFonts w:ascii="Times New Roman" w:hAnsi="Times New Roman" w:cs="Times New Roman"/>
                <w:color w:val="000000"/>
                <w:sz w:val="24"/>
                <w:szCs w:val="24"/>
              </w:rPr>
            </w:pPr>
            <w:r w:rsidRPr="00E14970">
              <w:rPr>
                <w:rFonts w:ascii="Times New Roman" w:hAnsi="Times New Roman" w:cs="Times New Roman"/>
                <w:color w:val="000000"/>
                <w:sz w:val="24"/>
                <w:szCs w:val="24"/>
              </w:rPr>
              <w:t>26.13±1.069</w:t>
            </w:r>
          </w:p>
        </w:tc>
        <w:tc>
          <w:tcPr>
            <w:tcW w:w="1376" w:type="dxa"/>
            <w:vAlign w:val="center"/>
          </w:tcPr>
          <w:p w14:paraId="24E18633"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3.265**</w:t>
            </w:r>
          </w:p>
        </w:tc>
      </w:tr>
      <w:tr w:rsidR="00D86075" w14:paraId="7C8388C8" w14:textId="77777777">
        <w:trPr>
          <w:trHeight w:val="288"/>
        </w:trPr>
        <w:tc>
          <w:tcPr>
            <w:tcW w:w="1649" w:type="dxa"/>
            <w:vAlign w:val="center"/>
          </w:tcPr>
          <w:p w14:paraId="65FFB759"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F-value</w:t>
            </w:r>
          </w:p>
        </w:tc>
        <w:tc>
          <w:tcPr>
            <w:tcW w:w="1684" w:type="dxa"/>
            <w:vAlign w:val="center"/>
          </w:tcPr>
          <w:p w14:paraId="1E29AC39" w14:textId="77777777" w:rsidR="00D86075" w:rsidRDefault="00442F53">
            <w:pPr>
              <w:jc w:val="both"/>
              <w:rPr>
                <w:rFonts w:ascii="Times New Roman" w:hAnsi="Times New Roman" w:cs="Times New Roman"/>
                <w:color w:val="000000"/>
                <w:sz w:val="24"/>
                <w:szCs w:val="24"/>
              </w:rPr>
            </w:pPr>
            <w:r>
              <w:rPr>
                <w:rFonts w:ascii="Times New Roman" w:hAnsi="Times New Roman" w:cs="Times New Roman"/>
                <w:color w:val="000000"/>
                <w:sz w:val="24"/>
                <w:szCs w:val="24"/>
              </w:rPr>
              <w:t>0.119</w:t>
            </w:r>
          </w:p>
        </w:tc>
        <w:tc>
          <w:tcPr>
            <w:tcW w:w="1697" w:type="dxa"/>
            <w:vAlign w:val="center"/>
          </w:tcPr>
          <w:p w14:paraId="3FC0C6D9" w14:textId="77777777" w:rsidR="00D86075" w:rsidRPr="00E14970" w:rsidRDefault="00442F53">
            <w:pPr>
              <w:jc w:val="both"/>
              <w:rPr>
                <w:rFonts w:ascii="Times New Roman" w:hAnsi="Times New Roman" w:cs="Times New Roman"/>
                <w:b/>
                <w:color w:val="000000"/>
                <w:sz w:val="24"/>
                <w:szCs w:val="24"/>
              </w:rPr>
            </w:pPr>
            <w:r w:rsidRPr="00E14970">
              <w:rPr>
                <w:rFonts w:ascii="Times New Roman" w:hAnsi="Times New Roman" w:cs="Times New Roman"/>
                <w:b/>
                <w:color w:val="000000"/>
                <w:sz w:val="24"/>
                <w:szCs w:val="24"/>
              </w:rPr>
              <w:t>2.760*</w:t>
            </w:r>
          </w:p>
        </w:tc>
        <w:tc>
          <w:tcPr>
            <w:tcW w:w="1689" w:type="dxa"/>
            <w:vAlign w:val="center"/>
          </w:tcPr>
          <w:p w14:paraId="619938E3" w14:textId="77777777" w:rsidR="00D86075" w:rsidRPr="00E14970" w:rsidRDefault="00442F53">
            <w:pPr>
              <w:jc w:val="both"/>
              <w:rPr>
                <w:rFonts w:ascii="Times New Roman" w:hAnsi="Times New Roman" w:cs="Times New Roman"/>
                <w:color w:val="000000"/>
                <w:sz w:val="24"/>
                <w:szCs w:val="24"/>
              </w:rPr>
            </w:pPr>
            <w:r w:rsidRPr="00E14970">
              <w:rPr>
                <w:rFonts w:ascii="Times New Roman" w:hAnsi="Times New Roman" w:cs="Times New Roman"/>
                <w:color w:val="000000"/>
                <w:sz w:val="24"/>
                <w:szCs w:val="24"/>
              </w:rPr>
              <w:t>-</w:t>
            </w:r>
          </w:p>
        </w:tc>
        <w:tc>
          <w:tcPr>
            <w:tcW w:w="1376" w:type="dxa"/>
            <w:vAlign w:val="center"/>
          </w:tcPr>
          <w:p w14:paraId="4E28564C"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w:t>
            </w:r>
          </w:p>
        </w:tc>
      </w:tr>
    </w:tbl>
    <w:p w14:paraId="5D23656D"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31F701B5" w14:textId="77777777" w:rsidR="00D86075" w:rsidRDefault="00442F53">
      <w:pPr>
        <w:spacing w:before="100" w:beforeAutospacing="1" w:after="100" w:afterAutospacing="1" w:line="24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rPr>
        <w:lastRenderedPageBreak/>
        <w:drawing>
          <wp:inline distT="0" distB="0" distL="114300" distR="114300" wp14:anchorId="1CA9CA6F" wp14:editId="476CDC2A">
            <wp:extent cx="5943600" cy="3311718"/>
            <wp:effectExtent l="0" t="0" r="0" b="0"/>
            <wp:docPr id="1" name="Picture 1" descr="play_behaviour_bar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y_behaviour_bar_chart"/>
                    <pic:cNvPicPr>
                      <a:picLocks noChangeAspect="1"/>
                    </pic:cNvPicPr>
                  </pic:nvPicPr>
                  <pic:blipFill rotWithShape="1">
                    <a:blip r:embed="rId10"/>
                    <a:srcRect t="7135"/>
                    <a:stretch/>
                  </pic:blipFill>
                  <pic:spPr bwMode="auto">
                    <a:xfrm>
                      <a:off x="0" y="0"/>
                      <a:ext cx="5943600" cy="3311718"/>
                    </a:xfrm>
                    <a:prstGeom prst="rect">
                      <a:avLst/>
                    </a:prstGeom>
                    <a:ln>
                      <a:noFill/>
                    </a:ln>
                    <a:extLst>
                      <a:ext uri="{53640926-AAD7-44D8-BBD7-CCE9431645EC}">
                        <a14:shadowObscured xmlns:a14="http://schemas.microsoft.com/office/drawing/2010/main"/>
                      </a:ext>
                    </a:extLst>
                  </pic:spPr>
                </pic:pic>
              </a:graphicData>
            </a:graphic>
          </wp:inline>
        </w:drawing>
      </w:r>
    </w:p>
    <w:p w14:paraId="72D96AE2" w14:textId="5DF66B24" w:rsidR="003666C0" w:rsidRDefault="003666C0" w:rsidP="003666C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Fig- 2</w:t>
      </w:r>
      <w:r w:rsidR="00E14970">
        <w:rPr>
          <w:rFonts w:ascii="Times New Roman" w:eastAsia="Times New Roman" w:hAnsi="Times New Roman" w:cs="Times New Roman"/>
          <w:b/>
          <w:bCs/>
          <w:sz w:val="24"/>
          <w:szCs w:val="24"/>
        </w:rPr>
        <w:t xml:space="preserve">: Average Play </w:t>
      </w:r>
      <w:proofErr w:type="spellStart"/>
      <w:r w:rsidR="00E14970">
        <w:rPr>
          <w:rFonts w:ascii="Times New Roman" w:eastAsia="Times New Roman" w:hAnsi="Times New Roman" w:cs="Times New Roman"/>
          <w:b/>
          <w:bCs/>
          <w:sz w:val="24"/>
          <w:szCs w:val="24"/>
        </w:rPr>
        <w:t>Behaviour</w:t>
      </w:r>
      <w:proofErr w:type="spellEnd"/>
      <w:r w:rsidR="00E14970">
        <w:rPr>
          <w:rFonts w:ascii="Times New Roman" w:eastAsia="Times New Roman" w:hAnsi="Times New Roman" w:cs="Times New Roman"/>
          <w:b/>
          <w:bCs/>
          <w:sz w:val="24"/>
          <w:szCs w:val="24"/>
        </w:rPr>
        <w:t xml:space="preserve"> Duration of </w:t>
      </w:r>
      <w:proofErr w:type="spellStart"/>
      <w:r w:rsidR="00E14970">
        <w:rPr>
          <w:rFonts w:ascii="Times New Roman" w:eastAsia="Times New Roman" w:hAnsi="Times New Roman" w:cs="Times New Roman"/>
          <w:b/>
          <w:bCs/>
          <w:sz w:val="24"/>
          <w:szCs w:val="24"/>
        </w:rPr>
        <w:t>Gir</w:t>
      </w:r>
      <w:proofErr w:type="spellEnd"/>
      <w:r w:rsidR="00E14970">
        <w:rPr>
          <w:rFonts w:ascii="Times New Roman" w:eastAsia="Times New Roman" w:hAnsi="Times New Roman" w:cs="Times New Roman"/>
          <w:b/>
          <w:bCs/>
          <w:sz w:val="24"/>
          <w:szCs w:val="24"/>
        </w:rPr>
        <w:t xml:space="preserve"> Calves</w:t>
      </w:r>
    </w:p>
    <w:p w14:paraId="6C0940F0" w14:textId="4356C53C" w:rsidR="00D86075" w:rsidRDefault="00442F5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 Dry Matter Intake (DMI)</w:t>
      </w:r>
    </w:p>
    <w:p w14:paraId="3A0D1C44" w14:textId="77777777" w:rsidR="00D86075" w:rsidRDefault="00442F53">
      <w:pPr>
        <w:pStyle w:val="NormalWeb"/>
        <w:spacing w:line="360" w:lineRule="auto"/>
        <w:jc w:val="both"/>
        <w:rPr>
          <w:lang w:val="en-IN"/>
        </w:rPr>
      </w:pPr>
      <w:r>
        <w:t>Although DMI was numerically higher in female calves, the difference was not statistically significant. Male calves showed a steady increase in DMI, whereas females peaked at 60 days before a slight decline. This may be due to males’ continued dependence on milk, whereas females adapted earlier to TMR feeding (Jasper &amp; Weary, 2002</w:t>
      </w:r>
      <w:proofErr w:type="gramStart"/>
      <w:r>
        <w:t>).Our</w:t>
      </w:r>
      <w:proofErr w:type="gramEnd"/>
      <w:r>
        <w:t xml:space="preserve"> findings align with Gupta et al. (2019), who found similar intake trends in crossbred calves under stall-feeding conditions. A recent study by Menon et al. (2023) suggests that early adaptation to solid feeds in female calves could lead to better rumen development, thereby impacting later-stage feed intake patterns.</w:t>
      </w:r>
    </w:p>
    <w:p w14:paraId="240237E5" w14:textId="77777777" w:rsidR="00D86075" w:rsidRDefault="00442F53">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No. </w:t>
      </w:r>
      <w:proofErr w:type="gramStart"/>
      <w:r>
        <w:rPr>
          <w:rFonts w:ascii="Times New Roman" w:hAnsi="Times New Roman" w:cs="Times New Roman"/>
          <w:b/>
          <w:bCs/>
          <w:sz w:val="24"/>
          <w:szCs w:val="24"/>
        </w:rPr>
        <w:t>4:</w:t>
      </w:r>
      <w:r>
        <w:rPr>
          <w:rFonts w:ascii="Times New Roman" w:hAnsi="Times New Roman" w:cs="Times New Roman"/>
          <w:b/>
          <w:sz w:val="24"/>
          <w:szCs w:val="24"/>
        </w:rPr>
        <w:t>Mean</w:t>
      </w:r>
      <w:proofErr w:type="gramEnd"/>
      <w:r>
        <w:rPr>
          <w:rFonts w:ascii="Times New Roman" w:hAnsi="Times New Roman" w:cs="Times New Roman"/>
          <w:b/>
          <w:sz w:val="24"/>
          <w:szCs w:val="24"/>
        </w:rPr>
        <w:t xml:space="preserve"> ± S.E of dry matter intake in calves (DMI):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2056"/>
        <w:gridCol w:w="1848"/>
        <w:gridCol w:w="1849"/>
      </w:tblGrid>
      <w:tr w:rsidR="00D86075" w14:paraId="48213C14" w14:textId="77777777">
        <w:tc>
          <w:tcPr>
            <w:tcW w:w="1848" w:type="dxa"/>
            <w:vAlign w:val="center"/>
          </w:tcPr>
          <w:p w14:paraId="042701D8"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Observation day</w:t>
            </w:r>
          </w:p>
        </w:tc>
        <w:tc>
          <w:tcPr>
            <w:tcW w:w="2056" w:type="dxa"/>
            <w:vAlign w:val="center"/>
          </w:tcPr>
          <w:p w14:paraId="677E710A"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DMI male calves</w:t>
            </w:r>
          </w:p>
        </w:tc>
        <w:tc>
          <w:tcPr>
            <w:tcW w:w="1848" w:type="dxa"/>
            <w:vAlign w:val="center"/>
          </w:tcPr>
          <w:p w14:paraId="78C387F6"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DMI female calves</w:t>
            </w:r>
          </w:p>
        </w:tc>
        <w:tc>
          <w:tcPr>
            <w:tcW w:w="1849" w:type="dxa"/>
            <w:vAlign w:val="center"/>
          </w:tcPr>
          <w:p w14:paraId="0043E7D3" w14:textId="77777777"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t-values</w:t>
            </w:r>
          </w:p>
        </w:tc>
      </w:tr>
      <w:tr w:rsidR="00D86075" w14:paraId="7E1846DE" w14:textId="77777777">
        <w:tc>
          <w:tcPr>
            <w:tcW w:w="1848" w:type="dxa"/>
            <w:vAlign w:val="center"/>
          </w:tcPr>
          <w:p w14:paraId="3E0AAE79"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3AD42CB4"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82.28</w:t>
            </w:r>
            <w:r w:rsidRPr="00E14970">
              <w:rPr>
                <w:rFonts w:ascii="Times New Roman" w:hAnsi="Times New Roman" w:cs="Times New Roman"/>
                <w:sz w:val="24"/>
                <w:szCs w:val="24"/>
                <w:vertAlign w:val="superscript"/>
              </w:rPr>
              <w:t>a</w:t>
            </w:r>
            <w:r w:rsidRPr="00E14970">
              <w:rPr>
                <w:rFonts w:ascii="Times New Roman" w:hAnsi="Times New Roman" w:cs="Times New Roman"/>
                <w:sz w:val="24"/>
                <w:szCs w:val="24"/>
              </w:rPr>
              <w:t>±10.28</w:t>
            </w:r>
          </w:p>
        </w:tc>
        <w:tc>
          <w:tcPr>
            <w:tcW w:w="1848" w:type="dxa"/>
            <w:vAlign w:val="center"/>
          </w:tcPr>
          <w:p w14:paraId="78C3B992"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97.71</w:t>
            </w:r>
            <w:r w:rsidRPr="00E14970">
              <w:rPr>
                <w:rFonts w:ascii="Times New Roman" w:hAnsi="Times New Roman" w:cs="Times New Roman"/>
                <w:sz w:val="24"/>
                <w:szCs w:val="24"/>
                <w:vertAlign w:val="superscript"/>
              </w:rPr>
              <w:t>a</w:t>
            </w:r>
            <w:r w:rsidRPr="00E14970">
              <w:rPr>
                <w:rFonts w:ascii="Times New Roman" w:hAnsi="Times New Roman" w:cs="Times New Roman"/>
                <w:sz w:val="24"/>
                <w:szCs w:val="24"/>
              </w:rPr>
              <w:t>±6.63</w:t>
            </w:r>
          </w:p>
        </w:tc>
        <w:tc>
          <w:tcPr>
            <w:tcW w:w="1849" w:type="dxa"/>
            <w:vAlign w:val="center"/>
          </w:tcPr>
          <w:p w14:paraId="07B3217C"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-1.161</w:t>
            </w:r>
          </w:p>
        </w:tc>
      </w:tr>
      <w:tr w:rsidR="00D86075" w14:paraId="4B277CBE" w14:textId="77777777">
        <w:tc>
          <w:tcPr>
            <w:tcW w:w="1848" w:type="dxa"/>
            <w:vAlign w:val="center"/>
          </w:tcPr>
          <w:p w14:paraId="0463B507"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0024831F"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145.42</w:t>
            </w:r>
            <w:r w:rsidRPr="00E14970">
              <w:rPr>
                <w:rFonts w:ascii="Times New Roman" w:hAnsi="Times New Roman" w:cs="Times New Roman"/>
                <w:sz w:val="24"/>
                <w:szCs w:val="24"/>
                <w:vertAlign w:val="superscript"/>
              </w:rPr>
              <w:t>a</w:t>
            </w:r>
            <w:r w:rsidRPr="00E14970">
              <w:rPr>
                <w:rFonts w:ascii="Times New Roman" w:hAnsi="Times New Roman" w:cs="Times New Roman"/>
                <w:sz w:val="24"/>
                <w:szCs w:val="24"/>
              </w:rPr>
              <w:t>±40.08</w:t>
            </w:r>
          </w:p>
        </w:tc>
        <w:tc>
          <w:tcPr>
            <w:tcW w:w="1848" w:type="dxa"/>
            <w:vAlign w:val="center"/>
          </w:tcPr>
          <w:p w14:paraId="13C6EADF"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252</w:t>
            </w:r>
            <w:r w:rsidRPr="00E14970">
              <w:rPr>
                <w:rFonts w:ascii="Times New Roman" w:hAnsi="Times New Roman" w:cs="Times New Roman"/>
                <w:sz w:val="24"/>
                <w:szCs w:val="24"/>
                <w:vertAlign w:val="superscript"/>
              </w:rPr>
              <w:t>b</w:t>
            </w:r>
            <w:r w:rsidRPr="00E14970">
              <w:rPr>
                <w:rFonts w:ascii="Times New Roman" w:hAnsi="Times New Roman" w:cs="Times New Roman"/>
                <w:sz w:val="24"/>
                <w:szCs w:val="24"/>
              </w:rPr>
              <w:t>±66.65</w:t>
            </w:r>
          </w:p>
        </w:tc>
        <w:tc>
          <w:tcPr>
            <w:tcW w:w="1849" w:type="dxa"/>
            <w:vAlign w:val="center"/>
          </w:tcPr>
          <w:p w14:paraId="512D1FBD"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-1.481</w:t>
            </w:r>
          </w:p>
        </w:tc>
      </w:tr>
      <w:tr w:rsidR="00D86075" w14:paraId="2E031610" w14:textId="77777777">
        <w:tc>
          <w:tcPr>
            <w:tcW w:w="1848" w:type="dxa"/>
            <w:vAlign w:val="center"/>
          </w:tcPr>
          <w:p w14:paraId="44E96455"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lastRenderedPageBreak/>
              <w:t>90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48BAEC84"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222.42</w:t>
            </w:r>
            <w:r w:rsidRPr="00E14970">
              <w:rPr>
                <w:rFonts w:ascii="Times New Roman" w:hAnsi="Times New Roman" w:cs="Times New Roman"/>
                <w:sz w:val="24"/>
                <w:szCs w:val="24"/>
                <w:vertAlign w:val="superscript"/>
              </w:rPr>
              <w:t>b</w:t>
            </w:r>
            <w:r w:rsidRPr="00E14970">
              <w:rPr>
                <w:rFonts w:ascii="Times New Roman" w:hAnsi="Times New Roman" w:cs="Times New Roman"/>
                <w:sz w:val="24"/>
                <w:szCs w:val="24"/>
              </w:rPr>
              <w:t>±10.70</w:t>
            </w:r>
          </w:p>
        </w:tc>
        <w:tc>
          <w:tcPr>
            <w:tcW w:w="1848" w:type="dxa"/>
            <w:vAlign w:val="center"/>
          </w:tcPr>
          <w:p w14:paraId="46106369"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229.0</w:t>
            </w:r>
            <w:r w:rsidRPr="00E14970">
              <w:rPr>
                <w:rFonts w:ascii="Times New Roman" w:hAnsi="Times New Roman" w:cs="Times New Roman"/>
                <w:sz w:val="24"/>
                <w:szCs w:val="24"/>
                <w:vertAlign w:val="superscript"/>
              </w:rPr>
              <w:t>b</w:t>
            </w:r>
            <w:r w:rsidRPr="00E14970">
              <w:rPr>
                <w:rFonts w:ascii="Times New Roman" w:hAnsi="Times New Roman" w:cs="Times New Roman"/>
                <w:sz w:val="24"/>
                <w:szCs w:val="24"/>
              </w:rPr>
              <w:t>±19.52</w:t>
            </w:r>
          </w:p>
        </w:tc>
        <w:tc>
          <w:tcPr>
            <w:tcW w:w="1849" w:type="dxa"/>
            <w:vAlign w:val="center"/>
          </w:tcPr>
          <w:p w14:paraId="7DC29CB7"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-0.280</w:t>
            </w:r>
          </w:p>
        </w:tc>
      </w:tr>
      <w:tr w:rsidR="00D86075" w14:paraId="0C5138C2" w14:textId="77777777">
        <w:tc>
          <w:tcPr>
            <w:tcW w:w="1848" w:type="dxa"/>
            <w:vAlign w:val="center"/>
          </w:tcPr>
          <w:p w14:paraId="477227C6"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Overall</w:t>
            </w:r>
          </w:p>
        </w:tc>
        <w:tc>
          <w:tcPr>
            <w:tcW w:w="2056" w:type="dxa"/>
            <w:vAlign w:val="center"/>
          </w:tcPr>
          <w:p w14:paraId="016CA71B"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150±0.04±18.62</w:t>
            </w:r>
          </w:p>
        </w:tc>
        <w:tc>
          <w:tcPr>
            <w:tcW w:w="1848" w:type="dxa"/>
            <w:vAlign w:val="center"/>
          </w:tcPr>
          <w:p w14:paraId="405377EC" w14:textId="77777777" w:rsidR="00D86075" w:rsidRPr="00E14970" w:rsidRDefault="00442F53">
            <w:pPr>
              <w:jc w:val="both"/>
              <w:rPr>
                <w:rFonts w:ascii="Times New Roman" w:hAnsi="Times New Roman" w:cs="Times New Roman"/>
                <w:sz w:val="24"/>
                <w:szCs w:val="24"/>
              </w:rPr>
            </w:pPr>
            <w:r w:rsidRPr="00E14970">
              <w:rPr>
                <w:rFonts w:ascii="Times New Roman" w:hAnsi="Times New Roman" w:cs="Times New Roman"/>
                <w:sz w:val="24"/>
                <w:szCs w:val="24"/>
              </w:rPr>
              <w:t>192.90±26.79</w:t>
            </w:r>
          </w:p>
        </w:tc>
        <w:tc>
          <w:tcPr>
            <w:tcW w:w="1849" w:type="dxa"/>
            <w:vAlign w:val="center"/>
          </w:tcPr>
          <w:p w14:paraId="5D2C6CA7"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-1.629</w:t>
            </w:r>
          </w:p>
        </w:tc>
      </w:tr>
      <w:tr w:rsidR="00D86075" w14:paraId="56575915" w14:textId="77777777">
        <w:tc>
          <w:tcPr>
            <w:tcW w:w="1848" w:type="dxa"/>
            <w:vAlign w:val="center"/>
          </w:tcPr>
          <w:p w14:paraId="22FB2825" w14:textId="77777777" w:rsidR="00D86075" w:rsidRDefault="00442F53">
            <w:pPr>
              <w:jc w:val="both"/>
              <w:rPr>
                <w:rFonts w:ascii="Times New Roman" w:hAnsi="Times New Roman" w:cs="Times New Roman"/>
                <w:sz w:val="24"/>
                <w:szCs w:val="24"/>
              </w:rPr>
            </w:pPr>
            <w:r>
              <w:rPr>
                <w:rFonts w:ascii="Times New Roman" w:hAnsi="Times New Roman" w:cs="Times New Roman"/>
                <w:sz w:val="24"/>
                <w:szCs w:val="24"/>
              </w:rPr>
              <w:t>F-value</w:t>
            </w:r>
          </w:p>
        </w:tc>
        <w:tc>
          <w:tcPr>
            <w:tcW w:w="2056" w:type="dxa"/>
            <w:vAlign w:val="center"/>
          </w:tcPr>
          <w:p w14:paraId="183FD9BA"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8.089**</w:t>
            </w:r>
          </w:p>
        </w:tc>
        <w:tc>
          <w:tcPr>
            <w:tcW w:w="1848" w:type="dxa"/>
            <w:vAlign w:val="center"/>
          </w:tcPr>
          <w:p w14:paraId="64907695" w14:textId="77777777" w:rsidR="00D86075" w:rsidRPr="00E14970" w:rsidRDefault="00442F53">
            <w:pPr>
              <w:jc w:val="both"/>
              <w:rPr>
                <w:rFonts w:ascii="Times New Roman" w:hAnsi="Times New Roman" w:cs="Times New Roman"/>
                <w:b/>
                <w:sz w:val="24"/>
                <w:szCs w:val="24"/>
              </w:rPr>
            </w:pPr>
            <w:r w:rsidRPr="00E14970">
              <w:rPr>
                <w:rFonts w:ascii="Times New Roman" w:hAnsi="Times New Roman" w:cs="Times New Roman"/>
                <w:b/>
                <w:sz w:val="24"/>
                <w:szCs w:val="24"/>
              </w:rPr>
              <w:t>4.269*</w:t>
            </w:r>
          </w:p>
        </w:tc>
        <w:tc>
          <w:tcPr>
            <w:tcW w:w="1849" w:type="dxa"/>
            <w:vAlign w:val="center"/>
          </w:tcPr>
          <w:p w14:paraId="15220CF2" w14:textId="77777777" w:rsidR="00D86075" w:rsidRDefault="00D86075">
            <w:pPr>
              <w:jc w:val="both"/>
              <w:rPr>
                <w:rFonts w:ascii="Times New Roman" w:hAnsi="Times New Roman" w:cs="Times New Roman"/>
                <w:sz w:val="24"/>
                <w:szCs w:val="24"/>
              </w:rPr>
            </w:pPr>
          </w:p>
        </w:tc>
      </w:tr>
    </w:tbl>
    <w:p w14:paraId="70016B2B" w14:textId="77777777" w:rsidR="00D86075" w:rsidRDefault="00442F53" w:rsidP="00304B49">
      <w:pPr>
        <w:pStyle w:val="NormalWeb"/>
        <w:jc w:val="both"/>
      </w:pPr>
      <w:r>
        <w:t>While several studies suggest higher milk yield in dams of female calves and more consistent feed intake patterns in female calves (Hinde et al., 2014; Čačić et al., 2022), our results showed higher milk yield in dams of male calves and greater play activity and weight gain in male Gir calves. These contrasting findings may be attributed to:</w:t>
      </w:r>
    </w:p>
    <w:p w14:paraId="01794A16" w14:textId="77777777" w:rsidR="00D86075" w:rsidRDefault="00442F53" w:rsidP="00304B49">
      <w:pPr>
        <w:pStyle w:val="NormalWeb"/>
        <w:numPr>
          <w:ilvl w:val="0"/>
          <w:numId w:val="3"/>
        </w:numPr>
        <w:jc w:val="both"/>
      </w:pPr>
      <w:r>
        <w:rPr>
          <w:rStyle w:val="Strong"/>
        </w:rPr>
        <w:t>Breed-Specific Physiological Responses</w:t>
      </w:r>
      <w:r>
        <w:t>: Gir cattle, being an indigenous Zebu breed, may exhibit different hormonal or maternal responses compared to exotic or crossbred dairy cattle used in previous studies.</w:t>
      </w:r>
    </w:p>
    <w:p w14:paraId="251BCC0A" w14:textId="77777777" w:rsidR="00D86075" w:rsidRDefault="00442F53" w:rsidP="00304B49">
      <w:pPr>
        <w:pStyle w:val="NormalWeb"/>
        <w:numPr>
          <w:ilvl w:val="0"/>
          <w:numId w:val="3"/>
        </w:numPr>
        <w:jc w:val="both"/>
      </w:pPr>
      <w:r>
        <w:rPr>
          <w:rStyle w:val="Strong"/>
        </w:rPr>
        <w:t>Management and Environment</w:t>
      </w:r>
      <w:r>
        <w:t xml:space="preserve">: The study site (Shree Surat </w:t>
      </w:r>
      <w:proofErr w:type="spellStart"/>
      <w:r>
        <w:t>Panjarapole</w:t>
      </w:r>
      <w:proofErr w:type="spellEnd"/>
      <w:r>
        <w:t xml:space="preserve">) implements welfare-enhancing practices such as </w:t>
      </w:r>
      <w:proofErr w:type="spellStart"/>
      <w:r>
        <w:t>Panchgavya</w:t>
      </w:r>
      <w:proofErr w:type="spellEnd"/>
      <w:r>
        <w:t xml:space="preserve"> supplementation and a stress-minimized environment, which may have amplified calf activity and growth.</w:t>
      </w:r>
    </w:p>
    <w:p w14:paraId="366F6F41" w14:textId="77777777" w:rsidR="00D86075" w:rsidRDefault="00442F53" w:rsidP="00304B49">
      <w:pPr>
        <w:pStyle w:val="NormalWeb"/>
        <w:numPr>
          <w:ilvl w:val="0"/>
          <w:numId w:val="3"/>
        </w:numPr>
        <w:jc w:val="both"/>
      </w:pPr>
      <w:r>
        <w:rPr>
          <w:rStyle w:val="Strong"/>
        </w:rPr>
        <w:t xml:space="preserve">Calf </w:t>
      </w:r>
      <w:proofErr w:type="spellStart"/>
      <w:r>
        <w:rPr>
          <w:rStyle w:val="Strong"/>
        </w:rPr>
        <w:t>Behavioural</w:t>
      </w:r>
      <w:proofErr w:type="spellEnd"/>
      <w:r>
        <w:rPr>
          <w:rStyle w:val="Strong"/>
        </w:rPr>
        <w:t xml:space="preserve"> Dynamics</w:t>
      </w:r>
      <w:r>
        <w:t>: Male calves may have shown more vigorous suckling and engagement, influencing maternal let-down reflex and consequently milk yield.</w:t>
      </w:r>
    </w:p>
    <w:p w14:paraId="6C0BEADD" w14:textId="77777777" w:rsidR="00D86075" w:rsidRDefault="00442F53" w:rsidP="00304B49">
      <w:pPr>
        <w:pStyle w:val="NormalWeb"/>
        <w:numPr>
          <w:ilvl w:val="0"/>
          <w:numId w:val="3"/>
        </w:numPr>
        <w:jc w:val="both"/>
      </w:pPr>
      <w:r>
        <w:rPr>
          <w:rStyle w:val="Strong"/>
        </w:rPr>
        <w:t>Nutritional and Rearing Conditions</w:t>
      </w:r>
      <w:r>
        <w:t>: Differences in TMR composition, early suckling, and housing conditions may interact with sex-specific metabolic demands to produce different outcomes than those in intensively managed systems abroad.</w:t>
      </w:r>
    </w:p>
    <w:p w14:paraId="203E0524" w14:textId="77777777" w:rsidR="00D86075" w:rsidRDefault="00442F53" w:rsidP="00304B49">
      <w:pPr>
        <w:pStyle w:val="NormalWeb"/>
        <w:jc w:val="both"/>
      </w:pPr>
      <w:r>
        <w:t>These findings suggest that results from one breed or management style may not universally apply</w:t>
      </w:r>
      <w:r>
        <w:rPr>
          <w:lang w:val="en-IN"/>
        </w:rPr>
        <w:t>.</w:t>
      </w:r>
      <w:r>
        <w:t xml:space="preserve"> More studies on indigenous breeds under diverse rearing conditions are needed to validate or refine these insights.</w:t>
      </w:r>
    </w:p>
    <w:p w14:paraId="0657FC71" w14:textId="77777777" w:rsidR="00D86075" w:rsidRDefault="00E36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C28D04">
          <v:rect id="_x0000_i1029" style="width:0;height:1.5pt" o:hralign="center" o:hrstd="t" o:hr="t" fillcolor="#a0a0a0" stroked="f"/>
        </w:pict>
      </w:r>
    </w:p>
    <w:p w14:paraId="787C1DAA" w14:textId="77777777" w:rsidR="00D86075" w:rsidRDefault="00442F53">
      <w:pPr>
        <w:tabs>
          <w:tab w:val="left" w:pos="22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Conclusion</w:t>
      </w:r>
      <w:r>
        <w:rPr>
          <w:rFonts w:ascii="Times New Roman" w:eastAsia="Times New Roman" w:hAnsi="Times New Roman" w:cs="Times New Roman"/>
          <w:b/>
          <w:bCs/>
          <w:sz w:val="24"/>
          <w:szCs w:val="24"/>
        </w:rPr>
        <w:tab/>
      </w:r>
    </w:p>
    <w:p w14:paraId="4C8AFFD0" w14:textId="77777777" w:rsidR="00D86075" w:rsidRDefault="00442F53">
      <w:pPr>
        <w:pStyle w:val="NormalWeb"/>
        <w:spacing w:line="360" w:lineRule="auto"/>
        <w:jc w:val="both"/>
      </w:pPr>
      <w:r>
        <w:t xml:space="preserve">The study highlights significant gender differences in growth and </w:t>
      </w:r>
      <w:proofErr w:type="spellStart"/>
      <w:r>
        <w:t>behavioural</w:t>
      </w:r>
      <w:proofErr w:type="spellEnd"/>
      <w:r>
        <w:t xml:space="preserve"> traits in </w:t>
      </w:r>
      <w:proofErr w:type="spellStart"/>
      <w:r>
        <w:t>Gir</w:t>
      </w:r>
      <w:proofErr w:type="spellEnd"/>
      <w:r>
        <w:t xml:space="preserve"> calves. Male calves demonstrated superior weight gain, more active play </w:t>
      </w:r>
      <w:proofErr w:type="spellStart"/>
      <w:r>
        <w:t>behaviour</w:t>
      </w:r>
      <w:proofErr w:type="spellEnd"/>
      <w:r>
        <w:t>, and their dams yielded more milk. These findings support the development of gender-specific calf management practices. Early identification of such differences can enhance productivity, optimize feeding strategies, and improve calf welfare.</w:t>
      </w:r>
    </w:p>
    <w:p w14:paraId="0B84AE8D" w14:textId="77777777" w:rsidR="00D86075" w:rsidRDefault="00442F53">
      <w:pPr>
        <w:pStyle w:val="NormalWeb"/>
        <w:spacing w:line="360" w:lineRule="auto"/>
        <w:jc w:val="both"/>
      </w:pPr>
      <w:r>
        <w:t xml:space="preserve">Importantly, this study was conducted at Shree Surat </w:t>
      </w:r>
      <w:proofErr w:type="spellStart"/>
      <w:r>
        <w:t>Panjarapole</w:t>
      </w:r>
      <w:proofErr w:type="spellEnd"/>
      <w:r>
        <w:t xml:space="preserve">, a charitable trust that is actively involved in sustainable agricultural practices such as biogas production and preparation of </w:t>
      </w:r>
      <w:proofErr w:type="spellStart"/>
      <w:r>
        <w:t>Panchgavya</w:t>
      </w:r>
      <w:proofErr w:type="spellEnd"/>
      <w:r>
        <w:t xml:space="preserve">-based materials. These environmentally responsible initiatives contribute to the overall welfare of the animals by ensuring a clean, stress-free environment and nutrient-rich feed </w:t>
      </w:r>
      <w:r>
        <w:lastRenderedPageBreak/>
        <w:t xml:space="preserve">resources. As a result, the male calves in this setting displayed enhanced growth performance and better play </w:t>
      </w:r>
      <w:proofErr w:type="spellStart"/>
      <w:r>
        <w:t>behaviour</w:t>
      </w:r>
      <w:proofErr w:type="spellEnd"/>
      <w:r>
        <w:t>, likely owing to improved nutritional availability and superior management conditions. The nurturing environment provided by this charitable trust further underscores the importance of integrating welfare-based systems in calf rearing protocols to optimize growth, health, and long-term productivity.</w:t>
      </w:r>
    </w:p>
    <w:p w14:paraId="5CD67EA0" w14:textId="77777777" w:rsidR="00465C3C" w:rsidRPr="00E14970" w:rsidRDefault="00465C3C" w:rsidP="00465C3C">
      <w:pPr>
        <w:rPr>
          <w:b/>
          <w:highlight w:val="yellow"/>
        </w:rPr>
      </w:pPr>
      <w:r w:rsidRPr="00E14970">
        <w:rPr>
          <w:b/>
          <w:highlight w:val="yellow"/>
        </w:rPr>
        <w:t>Disclaimer (Artificial intelligence)</w:t>
      </w:r>
    </w:p>
    <w:p w14:paraId="2BC4A834" w14:textId="77777777" w:rsidR="00465C3C" w:rsidRPr="00740879" w:rsidRDefault="00465C3C" w:rsidP="00465C3C">
      <w:pPr>
        <w:rPr>
          <w:highlight w:val="yellow"/>
        </w:rPr>
      </w:pPr>
      <w:r w:rsidRPr="00740879">
        <w:rPr>
          <w:highlight w:val="yellow"/>
        </w:rPr>
        <w:t xml:space="preserve">Option 1: </w:t>
      </w:r>
    </w:p>
    <w:p w14:paraId="327591D5" w14:textId="77777777" w:rsidR="00465C3C" w:rsidRPr="00740879" w:rsidRDefault="00465C3C" w:rsidP="00465C3C">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3686208" w14:textId="77777777" w:rsidR="00465C3C" w:rsidRPr="00740879" w:rsidRDefault="00465C3C" w:rsidP="00465C3C">
      <w:pPr>
        <w:rPr>
          <w:highlight w:val="yellow"/>
        </w:rPr>
      </w:pPr>
      <w:r w:rsidRPr="00740879">
        <w:rPr>
          <w:highlight w:val="yellow"/>
        </w:rPr>
        <w:t xml:space="preserve">Option 2: </w:t>
      </w:r>
    </w:p>
    <w:p w14:paraId="3685BBF3" w14:textId="77777777" w:rsidR="00465C3C" w:rsidRPr="00740879" w:rsidRDefault="00465C3C" w:rsidP="00465C3C">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883A76" w14:textId="77777777" w:rsidR="00465C3C" w:rsidRPr="00740879" w:rsidRDefault="00465C3C" w:rsidP="00465C3C">
      <w:pPr>
        <w:rPr>
          <w:highlight w:val="yellow"/>
        </w:rPr>
      </w:pPr>
      <w:r w:rsidRPr="00740879">
        <w:rPr>
          <w:highlight w:val="yellow"/>
        </w:rPr>
        <w:t>Details of the AI usage are given below:</w:t>
      </w:r>
    </w:p>
    <w:p w14:paraId="5C378AE5" w14:textId="77777777" w:rsidR="00465C3C" w:rsidRPr="00740879" w:rsidRDefault="00465C3C" w:rsidP="00465C3C">
      <w:pPr>
        <w:rPr>
          <w:highlight w:val="yellow"/>
        </w:rPr>
      </w:pPr>
      <w:r w:rsidRPr="00740879">
        <w:rPr>
          <w:highlight w:val="yellow"/>
        </w:rPr>
        <w:t>1.</w:t>
      </w:r>
    </w:p>
    <w:p w14:paraId="59D85EB6" w14:textId="77777777" w:rsidR="00465C3C" w:rsidRPr="00740879" w:rsidRDefault="00465C3C" w:rsidP="00465C3C">
      <w:pPr>
        <w:rPr>
          <w:highlight w:val="yellow"/>
        </w:rPr>
      </w:pPr>
      <w:r w:rsidRPr="00740879">
        <w:rPr>
          <w:highlight w:val="yellow"/>
        </w:rPr>
        <w:t>2.</w:t>
      </w:r>
    </w:p>
    <w:p w14:paraId="5CB65F0E" w14:textId="77777777" w:rsidR="00465C3C" w:rsidRPr="00D047BB" w:rsidRDefault="00465C3C" w:rsidP="00465C3C">
      <w:r w:rsidRPr="00740879">
        <w:rPr>
          <w:highlight w:val="yellow"/>
        </w:rPr>
        <w:t>3.</w:t>
      </w:r>
    </w:p>
    <w:p w14:paraId="75EB2456" w14:textId="77777777" w:rsidR="00465C3C" w:rsidRDefault="00465C3C">
      <w:pPr>
        <w:pStyle w:val="NormalWeb"/>
        <w:spacing w:line="360" w:lineRule="auto"/>
        <w:jc w:val="both"/>
      </w:pPr>
    </w:p>
    <w:p w14:paraId="7C28FE7B"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4BB7BBC7" w14:textId="77777777" w:rsidR="00D86075" w:rsidRDefault="00E36D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A8BA60">
          <v:rect id="_x0000_i1030" style="width:0;height:1.5pt" o:hralign="center" o:hrstd="t" o:hr="t" fillcolor="#a0a0a0" stroked="f"/>
        </w:pict>
      </w:r>
    </w:p>
    <w:p w14:paraId="62ABAE50" w14:textId="77777777" w:rsidR="00D86075" w:rsidRDefault="00442F5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References </w:t>
      </w:r>
    </w:p>
    <w:p w14:paraId="6F4B17EA" w14:textId="77777777" w:rsidR="00D86075" w:rsidRDefault="00442F53">
      <w:pPr>
        <w:pStyle w:val="NormalWeb"/>
        <w:rPr>
          <w:b/>
          <w:bCs/>
        </w:rPr>
      </w:pPr>
      <w:r>
        <w:t xml:space="preserve">Ahmed, S., Younas, M., &amp; Habib, G. (2020). Gender-specific </w:t>
      </w:r>
      <w:proofErr w:type="spellStart"/>
      <w:r>
        <w:t>behaviour</w:t>
      </w:r>
      <w:proofErr w:type="spellEnd"/>
      <w:r>
        <w:t xml:space="preserve"> and growth performance of buffalo calves. Buffalo Journal, 36(2), 115-120.</w:t>
      </w:r>
    </w:p>
    <w:p w14:paraId="2EE15895" w14:textId="77777777" w:rsidR="00D86075" w:rsidRDefault="00442F53">
      <w:pPr>
        <w:pStyle w:val="NormalWeb"/>
      </w:pPr>
      <w:r>
        <w:t xml:space="preserve">Bell, A. W., Greenwood, P. L., &amp; Ehrhardt, R. A. (2009). Regulation of metabolism and growth during prenatal life. In </w:t>
      </w:r>
      <w:r>
        <w:rPr>
          <w:rStyle w:val="Emphasis"/>
        </w:rPr>
        <w:t>Biology of Metabolism in Growing Animals</w:t>
      </w:r>
      <w:r>
        <w:t xml:space="preserve"> (pp. 1–26). Elsevier.</w:t>
      </w:r>
    </w:p>
    <w:p w14:paraId="16100740"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Bharti, P. K., et al. (2014). Influence of suckling on weight gain in indigenous calves. </w:t>
      </w:r>
      <w:r>
        <w:rPr>
          <w:rFonts w:ascii="Times New Roman" w:eastAsia="Times New Roman" w:hAnsi="Times New Roman" w:cs="Times New Roman"/>
          <w:i/>
          <w:iCs/>
          <w:sz w:val="24"/>
          <w:szCs w:val="24"/>
        </w:rPr>
        <w:t>Journal of Dairy Science</w:t>
      </w:r>
      <w:r>
        <w:rPr>
          <w:rFonts w:ascii="Times New Roman" w:eastAsia="Times New Roman" w:hAnsi="Times New Roman" w:cs="Times New Roman"/>
          <w:sz w:val="24"/>
          <w:szCs w:val="24"/>
        </w:rPr>
        <w:t>, 97(3), 1452–1460.</w:t>
      </w:r>
    </w:p>
    <w:p w14:paraId="7FF2E1C9" w14:textId="77777777"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Čačić, M., Grgić, Z., Špehar, M., &amp; Ivanković, A. (2022). The effect of calf gender on milk lactation traits and lactation gain of Holstein and Simmental cows. </w:t>
      </w:r>
      <w:proofErr w:type="spellStart"/>
      <w:r>
        <w:rPr>
          <w:rFonts w:ascii="Times New Roman" w:eastAsia="Times New Roman" w:hAnsi="Times New Roman" w:cs="Times New Roman"/>
          <w:i/>
          <w:iCs/>
          <w:sz w:val="24"/>
          <w:szCs w:val="24"/>
        </w:rPr>
        <w:t>Mljekarstvo</w:t>
      </w:r>
      <w:proofErr w:type="spellEnd"/>
      <w:r>
        <w:rPr>
          <w:rFonts w:ascii="Times New Roman" w:eastAsia="Times New Roman" w:hAnsi="Times New Roman" w:cs="Times New Roman"/>
          <w:sz w:val="24"/>
          <w:szCs w:val="24"/>
        </w:rPr>
        <w:t>, 72(3), 123–130.</w:t>
      </w:r>
    </w:p>
    <w:p w14:paraId="23CCDD6C" w14:textId="77777777" w:rsidR="00D86075" w:rsidRDefault="00442F53">
      <w:pPr>
        <w:pStyle w:val="NormalWeb"/>
        <w:rPr>
          <w:lang w:val="en-IN"/>
        </w:rPr>
      </w:pPr>
      <w:r>
        <w:t>Costa, J. H. C., Cantor, M. C., &amp; Weary, D. M. (2022). Environmental enrichment increases play behavior in dairy calves. Journal of Dairy Science, 105(3), 2301–2308.</w:t>
      </w:r>
    </w:p>
    <w:p w14:paraId="05574663" w14:textId="77777777" w:rsidR="00D86075" w:rsidRDefault="00442F53">
      <w:pPr>
        <w:pStyle w:val="NormalWeb"/>
      </w:pPr>
      <w:r>
        <w:t xml:space="preserve">Dubey, A., Patel, R., &amp; Joshi, M. (2020). Influence of calf sex on milk yield in </w:t>
      </w:r>
      <w:proofErr w:type="spellStart"/>
      <w:r>
        <w:t>Kankrej</w:t>
      </w:r>
      <w:proofErr w:type="spellEnd"/>
      <w:r>
        <w:t xml:space="preserve"> cows. Indian Journal of Animal Research, 54(10), 1265–1270.</w:t>
      </w:r>
    </w:p>
    <w:p w14:paraId="003408C1" w14:textId="77777777"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Gaur, G. K., et al. (2003). Indigenous cattle </w:t>
      </w:r>
      <w:proofErr w:type="gramStart"/>
      <w:r>
        <w:rPr>
          <w:rFonts w:ascii="Times New Roman" w:eastAsia="Times New Roman" w:hAnsi="Times New Roman" w:cs="Times New Roman"/>
          <w:sz w:val="24"/>
          <w:szCs w:val="24"/>
        </w:rPr>
        <w:t>breeds</w:t>
      </w:r>
      <w:proofErr w:type="gramEnd"/>
      <w:r>
        <w:rPr>
          <w:rFonts w:ascii="Times New Roman" w:eastAsia="Times New Roman" w:hAnsi="Times New Roman" w:cs="Times New Roman"/>
          <w:sz w:val="24"/>
          <w:szCs w:val="24"/>
        </w:rPr>
        <w:t xml:space="preserve"> of India—Gir. </w:t>
      </w:r>
      <w:r>
        <w:rPr>
          <w:rFonts w:ascii="Times New Roman" w:eastAsia="Times New Roman" w:hAnsi="Times New Roman" w:cs="Times New Roman"/>
          <w:i/>
          <w:iCs/>
          <w:sz w:val="24"/>
          <w:szCs w:val="24"/>
        </w:rPr>
        <w:t>National Bureau of Animal Genetic Resources</w:t>
      </w:r>
      <w:r>
        <w:rPr>
          <w:rFonts w:ascii="Times New Roman" w:eastAsia="Times New Roman" w:hAnsi="Times New Roman" w:cs="Times New Roman"/>
          <w:sz w:val="24"/>
          <w:szCs w:val="24"/>
        </w:rPr>
        <w:t>.</w:t>
      </w:r>
    </w:p>
    <w:p w14:paraId="67407DD9" w14:textId="77777777" w:rsidR="00D86075" w:rsidRDefault="00442F53">
      <w:pPr>
        <w:pStyle w:val="NormalWeb"/>
        <w:rPr>
          <w:lang w:val="en-IN"/>
        </w:rPr>
      </w:pPr>
      <w:r>
        <w:t>Gupta, A., Mishra, S., &amp; Yadav, S. (2019). Feed intake and growth in crossbred calves under different feeding regimes. Indian Journal of Dairy Science, 72(4), 446–449.</w:t>
      </w:r>
    </w:p>
    <w:p w14:paraId="3028CE58"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Gillespie, A. V., Ehrlich, J. L., &amp; Grove-White, D. H. (2017). Effect of calf gender on milk yield and fatty acid content in Holstein dairy cows.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12(1), e0169503.</w:t>
      </w:r>
    </w:p>
    <w:p w14:paraId="2880C609"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Hess, M. K., Hess, A. S., &amp; Garrick, D. J. (2016). The effect of calf gender on milk production in seasonal calving cows and its impact on genetic evaluations.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11(3), e0151236.</w:t>
      </w:r>
    </w:p>
    <w:p w14:paraId="6F3A065B"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Hinde, K., Carpenter, A. J., Clay, J. S., &amp; Bradford, B. J. (2014). Holsteins favor heifers, not bulls: Biased milk production programed during pregnancy as a function of fetal sex.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xml:space="preserve">, 9(2), e86169. </w:t>
      </w:r>
    </w:p>
    <w:p w14:paraId="2012CF04" w14:textId="77777777" w:rsidR="00D86075" w:rsidRDefault="00442F53">
      <w:pPr>
        <w:pStyle w:val="NormalWeb"/>
        <w:rPr>
          <w:lang w:val="en-IN"/>
        </w:rPr>
      </w:pPr>
      <w:r>
        <w:t xml:space="preserve">Jasper, J., &amp; Weary, D. M. (2002). Effects of ad libitum milk intake on dairy calves. </w:t>
      </w:r>
      <w:r>
        <w:rPr>
          <w:rStyle w:val="Emphasis"/>
        </w:rPr>
        <w:t>Journal of Dairy Science</w:t>
      </w:r>
      <w:r>
        <w:t>, 85(11), 3054–3058.</w:t>
      </w:r>
    </w:p>
    <w:p w14:paraId="0C9C8CF8" w14:textId="77777777" w:rsidR="00D86075" w:rsidRDefault="00442F53">
      <w:pPr>
        <w:pStyle w:val="NormalWeb"/>
      </w:pPr>
      <w:r>
        <w:t>Khan, A. et al. (2020). Nutritional factors influencing calf growth: A review. Veterinary World, 13(7), 1510–1516.</w:t>
      </w:r>
    </w:p>
    <w:p w14:paraId="6CD8C8A1" w14:textId="77777777" w:rsidR="00D86075" w:rsidRDefault="00442F53">
      <w:pPr>
        <w:pStyle w:val="NormalWeb"/>
      </w:pPr>
      <w:r>
        <w:t>Koirala, B., Sharma, N., &amp; Rai, P. (2023). Birth weight, gender and survival of indigenous calves in Nepal. Journal of Animal Husbandry, 62(1), 78–84.</w:t>
      </w:r>
    </w:p>
    <w:p w14:paraId="5395ADB7"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Krachun</w:t>
      </w:r>
      <w:proofErr w:type="spellEnd"/>
      <w:r>
        <w:rPr>
          <w:rFonts w:ascii="Times New Roman" w:eastAsia="Times New Roman" w:hAnsi="Times New Roman" w:cs="Times New Roman"/>
          <w:sz w:val="24"/>
          <w:szCs w:val="24"/>
        </w:rPr>
        <w:t xml:space="preserve">, C., Rushen, J., &amp; de </w:t>
      </w:r>
      <w:proofErr w:type="spellStart"/>
      <w:r>
        <w:rPr>
          <w:rFonts w:ascii="Times New Roman" w:eastAsia="Times New Roman" w:hAnsi="Times New Roman" w:cs="Times New Roman"/>
          <w:sz w:val="24"/>
          <w:szCs w:val="24"/>
        </w:rPr>
        <w:t>Passillé</w:t>
      </w:r>
      <w:proofErr w:type="spellEnd"/>
      <w:r>
        <w:rPr>
          <w:rFonts w:ascii="Times New Roman" w:eastAsia="Times New Roman" w:hAnsi="Times New Roman" w:cs="Times New Roman"/>
          <w:sz w:val="24"/>
          <w:szCs w:val="24"/>
        </w:rPr>
        <w:t xml:space="preserve">, A. M. (2010).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 potential indicator of animal welfare. </w:t>
      </w:r>
      <w:r>
        <w:rPr>
          <w:rFonts w:ascii="Times New Roman" w:eastAsia="Times New Roman" w:hAnsi="Times New Roman" w:cs="Times New Roman"/>
          <w:i/>
          <w:iCs/>
          <w:sz w:val="24"/>
          <w:szCs w:val="24"/>
        </w:rPr>
        <w:t xml:space="preserve">Applied Animal </w:t>
      </w:r>
      <w:proofErr w:type="spellStart"/>
      <w:r>
        <w:rPr>
          <w:rFonts w:ascii="Times New Roman" w:eastAsia="Times New Roman" w:hAnsi="Times New Roman" w:cs="Times New Roman"/>
          <w:i/>
          <w:iCs/>
          <w:sz w:val="24"/>
          <w:szCs w:val="24"/>
        </w:rPr>
        <w:t>Behaviour</w:t>
      </w:r>
      <w:proofErr w:type="spellEnd"/>
      <w:r>
        <w:rPr>
          <w:rFonts w:ascii="Times New Roman" w:eastAsia="Times New Roman" w:hAnsi="Times New Roman" w:cs="Times New Roman"/>
          <w:i/>
          <w:iCs/>
          <w:sz w:val="24"/>
          <w:szCs w:val="24"/>
        </w:rPr>
        <w:t xml:space="preserve"> Science</w:t>
      </w:r>
      <w:r>
        <w:rPr>
          <w:rFonts w:ascii="Times New Roman" w:eastAsia="Times New Roman" w:hAnsi="Times New Roman" w:cs="Times New Roman"/>
          <w:sz w:val="24"/>
          <w:szCs w:val="24"/>
        </w:rPr>
        <w:t xml:space="preserve">, 122(1), 1–7. </w:t>
      </w:r>
    </w:p>
    <w:p w14:paraId="30362E9B" w14:textId="77777777" w:rsidR="00D86075" w:rsidRDefault="00442F53">
      <w:pPr>
        <w:pStyle w:val="NormalWeb"/>
      </w:pPr>
      <w:proofErr w:type="spellStart"/>
      <w:r>
        <w:t>Lidfors</w:t>
      </w:r>
      <w:proofErr w:type="spellEnd"/>
      <w:r>
        <w:t xml:space="preserve">, L. (2020). The development of social and play </w:t>
      </w:r>
      <w:proofErr w:type="spellStart"/>
      <w:r>
        <w:t>behaviours</w:t>
      </w:r>
      <w:proofErr w:type="spellEnd"/>
      <w:r>
        <w:t xml:space="preserve"> in calves. Animal </w:t>
      </w:r>
      <w:proofErr w:type="spellStart"/>
      <w:r>
        <w:t>Behaviour</w:t>
      </w:r>
      <w:proofErr w:type="spellEnd"/>
      <w:r>
        <w:t xml:space="preserve"> Science, 133(1), 45–52.</w:t>
      </w:r>
    </w:p>
    <w:p w14:paraId="29A6C415" w14:textId="77777777" w:rsidR="00D86075" w:rsidRDefault="00442F53">
      <w:pPr>
        <w:pStyle w:val="NormalWeb"/>
        <w:rPr>
          <w:lang w:val="en-IN"/>
        </w:rPr>
      </w:pPr>
      <w:r>
        <w:t xml:space="preserve">Lundy, F. T., Perry, M. J., &amp; Johnston, C. F. (2019). Gender-based immune responses in young calves. </w:t>
      </w:r>
      <w:r>
        <w:rPr>
          <w:rStyle w:val="Emphasis"/>
        </w:rPr>
        <w:t>Veterinary Immunology and Immunopathology</w:t>
      </w:r>
      <w:r>
        <w:t>, 210, 11–18.</w:t>
      </w:r>
    </w:p>
    <w:p w14:paraId="7DBD0FF3" w14:textId="77777777" w:rsidR="00D86075" w:rsidRDefault="00442F53">
      <w:pPr>
        <w:pStyle w:val="NormalWeb"/>
      </w:pPr>
      <w:r>
        <w:lastRenderedPageBreak/>
        <w:t>Menon, M., Das, M., &amp; Rani, S. (2023). Effect of early solid feed on rumen development in heifer calves. Animal Nutrition and Feed Technology, 23(1), 101-108.</w:t>
      </w:r>
    </w:p>
    <w:p w14:paraId="5919D191" w14:textId="77777777" w:rsidR="00D86075" w:rsidRDefault="00442F53">
      <w:pPr>
        <w:pStyle w:val="NormalWeb"/>
        <w:rPr>
          <w:lang w:val="en-IN"/>
        </w:rPr>
      </w:pPr>
      <w:r>
        <w:t>Mishra, A., Yadav, J., &amp; Kumar, V. (2022). Gender-based evaluation of growth traits in Indian dairy calves. Indian Journal of Animal Sciences, 92(5), 600–604.</w:t>
      </w:r>
    </w:p>
    <w:p w14:paraId="4E897DEB" w14:textId="77777777"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Mutua, E. K., &amp; Haskell, M. J. (2022). Factors contributing to milk yield variation among cows in a cow–calf contact system. </w:t>
      </w:r>
      <w:r>
        <w:rPr>
          <w:rFonts w:ascii="Times New Roman" w:eastAsia="Times New Roman" w:hAnsi="Times New Roman" w:cs="Times New Roman"/>
          <w:i/>
          <w:iCs/>
          <w:sz w:val="24"/>
          <w:szCs w:val="24"/>
        </w:rPr>
        <w:t>JDS Communications</w:t>
      </w:r>
      <w:r>
        <w:rPr>
          <w:rFonts w:ascii="Times New Roman" w:eastAsia="Times New Roman" w:hAnsi="Times New Roman" w:cs="Times New Roman"/>
          <w:sz w:val="24"/>
          <w:szCs w:val="24"/>
        </w:rPr>
        <w:t>, 3(1), 55–58.</w:t>
      </w:r>
    </w:p>
    <w:p w14:paraId="0BB07CD6" w14:textId="77777777" w:rsidR="00D86075" w:rsidRDefault="00442F53">
      <w:pPr>
        <w:pStyle w:val="NormalWeb"/>
      </w:pPr>
      <w:r>
        <w:t xml:space="preserve">Nandini, P., Rao, D. S., &amp; Meena, M. (2024). Sex-specific play </w:t>
      </w:r>
      <w:proofErr w:type="spellStart"/>
      <w:r>
        <w:t>behaviour</w:t>
      </w:r>
      <w:proofErr w:type="spellEnd"/>
      <w:r>
        <w:t xml:space="preserve"> in calves under enriched environments. Applied Animal </w:t>
      </w:r>
      <w:proofErr w:type="spellStart"/>
      <w:r>
        <w:t>Behaviour</w:t>
      </w:r>
      <w:proofErr w:type="spellEnd"/>
      <w:r>
        <w:t xml:space="preserve"> Science, 262, 105824.</w:t>
      </w:r>
    </w:p>
    <w:p w14:paraId="0CB1D6C4" w14:textId="77777777" w:rsidR="00D86075" w:rsidRDefault="00442F53">
      <w:pPr>
        <w:pStyle w:val="NormalWeb"/>
        <w:rPr>
          <w:lang w:val="en-IN"/>
        </w:rPr>
      </w:pPr>
      <w:r>
        <w:t>Nogueira, J., Silva, A. M., &amp; Barreto, L. (2021). Influence of gender and housing on activity budgets in dairy calves. Journal of Dairy Research, 88(4), 408–415.</w:t>
      </w:r>
      <w:r>
        <w:rPr>
          <w:lang w:val="en-IN"/>
        </w:rPr>
        <w:t xml:space="preserve"> \</w:t>
      </w:r>
    </w:p>
    <w:p w14:paraId="1D88D973"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Olivera, L. M., et al. (2017). Effects of calf gender on milk production and </w:t>
      </w:r>
      <w:proofErr w:type="spellStart"/>
      <w:r>
        <w:rPr>
          <w:rFonts w:ascii="Times New Roman" w:eastAsia="Times New Roman" w:hAnsi="Times New Roman" w:cs="Times New Roman"/>
          <w:sz w:val="24"/>
          <w:szCs w:val="24"/>
        </w:rPr>
        <w:t>allosuckling</w:t>
      </w:r>
      <w:proofErr w:type="spellEnd"/>
      <w:r>
        <w:rPr>
          <w:rFonts w:ascii="Times New Roman" w:eastAsia="Times New Roman" w:hAnsi="Times New Roman" w:cs="Times New Roman"/>
          <w:sz w:val="24"/>
          <w:szCs w:val="24"/>
        </w:rPr>
        <w:t xml:space="preserve"> in buffalo cows. </w:t>
      </w:r>
      <w:r>
        <w:rPr>
          <w:rFonts w:ascii="Times New Roman" w:eastAsia="Times New Roman" w:hAnsi="Times New Roman" w:cs="Times New Roman"/>
          <w:i/>
          <w:iCs/>
          <w:sz w:val="24"/>
          <w:szCs w:val="24"/>
        </w:rPr>
        <w:t>Buffalo Bulletin</w:t>
      </w:r>
      <w:r>
        <w:rPr>
          <w:rFonts w:ascii="Times New Roman" w:eastAsia="Times New Roman" w:hAnsi="Times New Roman" w:cs="Times New Roman"/>
          <w:sz w:val="24"/>
          <w:szCs w:val="24"/>
        </w:rPr>
        <w:t>, 36(1), 45–52.</w:t>
      </w:r>
    </w:p>
    <w:p w14:paraId="260AC5C1" w14:textId="77777777" w:rsidR="00D86075" w:rsidRDefault="00442F53">
      <w:pPr>
        <w:pStyle w:val="NormalWeb"/>
        <w:rPr>
          <w:lang w:val="en-IN"/>
        </w:rPr>
      </w:pPr>
      <w:r>
        <w:t>Pathak, R., Kumar, S., &amp; Shukla, A. (2021). Comparative growth study of male and female dairy calves. International Journal of Livestock Research, 11(6), 87–92.</w:t>
      </w:r>
    </w:p>
    <w:p w14:paraId="065140B4"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Paranhos da Costa, M. J. R., et al. (2000). Suckling behavior in Zebu calves. </w:t>
      </w:r>
      <w:r>
        <w:rPr>
          <w:rFonts w:ascii="Times New Roman" w:eastAsia="Times New Roman" w:hAnsi="Times New Roman" w:cs="Times New Roman"/>
          <w:i/>
          <w:iCs/>
          <w:sz w:val="24"/>
          <w:szCs w:val="24"/>
        </w:rPr>
        <w:t xml:space="preserve">Applied Animal </w:t>
      </w:r>
      <w:proofErr w:type="spellStart"/>
      <w:r>
        <w:rPr>
          <w:rFonts w:ascii="Times New Roman" w:eastAsia="Times New Roman" w:hAnsi="Times New Roman" w:cs="Times New Roman"/>
          <w:i/>
          <w:iCs/>
          <w:sz w:val="24"/>
          <w:szCs w:val="24"/>
        </w:rPr>
        <w:t>Behaviour</w:t>
      </w:r>
      <w:proofErr w:type="spellEnd"/>
      <w:r>
        <w:rPr>
          <w:rFonts w:ascii="Times New Roman" w:eastAsia="Times New Roman" w:hAnsi="Times New Roman" w:cs="Times New Roman"/>
          <w:i/>
          <w:iCs/>
          <w:sz w:val="24"/>
          <w:szCs w:val="24"/>
        </w:rPr>
        <w:t xml:space="preserve"> Science</w:t>
      </w:r>
      <w:r>
        <w:rPr>
          <w:rFonts w:ascii="Times New Roman" w:eastAsia="Times New Roman" w:hAnsi="Times New Roman" w:cs="Times New Roman"/>
          <w:sz w:val="24"/>
          <w:szCs w:val="24"/>
        </w:rPr>
        <w:t>, 66(1–2), 1–11.</w:t>
      </w:r>
    </w:p>
    <w:p w14:paraId="762BE6B8" w14:textId="77777777"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Rawat, P. S., et al. (2014). Suckling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male and female calves under different rearing systems. </w:t>
      </w:r>
      <w:r>
        <w:rPr>
          <w:rFonts w:ascii="Times New Roman" w:eastAsia="Times New Roman" w:hAnsi="Times New Roman" w:cs="Times New Roman"/>
          <w:i/>
          <w:iCs/>
          <w:sz w:val="24"/>
          <w:szCs w:val="24"/>
        </w:rPr>
        <w:t>Indian Journal of Animal Sciences</w:t>
      </w:r>
      <w:r>
        <w:rPr>
          <w:rFonts w:ascii="Times New Roman" w:eastAsia="Times New Roman" w:hAnsi="Times New Roman" w:cs="Times New Roman"/>
          <w:sz w:val="24"/>
          <w:szCs w:val="24"/>
        </w:rPr>
        <w:t>, 84(2), 209–213.</w:t>
      </w:r>
    </w:p>
    <w:p w14:paraId="0D3F1CEE" w14:textId="77777777" w:rsidR="00D86075" w:rsidRDefault="00D86075">
      <w:pPr>
        <w:pStyle w:val="NormalWeb"/>
        <w:rPr>
          <w:lang w:val="en-IN"/>
        </w:rPr>
      </w:pPr>
    </w:p>
    <w:p w14:paraId="49458225" w14:textId="77777777" w:rsidR="00D86075" w:rsidRDefault="00442F53">
      <w:pPr>
        <w:pStyle w:val="NormalWeb"/>
      </w:pPr>
      <w:r>
        <w:t xml:space="preserve">Sharma, S., Rathore, R., &amp; Singh, N. (2023). Integrating </w:t>
      </w:r>
      <w:proofErr w:type="spellStart"/>
      <w:r>
        <w:t>behaviour</w:t>
      </w:r>
      <w:proofErr w:type="spellEnd"/>
      <w:r>
        <w:t xml:space="preserve"> and production data in Indian dairy systems. Journal of Animal Management, 38(1), 13–22.</w:t>
      </w:r>
    </w:p>
    <w:p w14:paraId="0A9E9B50" w14:textId="01500A97" w:rsidR="00D86075" w:rsidRDefault="00442F53">
      <w:pPr>
        <w:pStyle w:val="NormalWeb"/>
      </w:pPr>
      <w:r>
        <w:t>Verma, N., &amp; Sahu, P. (2022). Effect of fetal sex on milk production: A study of Indian dairy breeds. Animal Reproduction Science, 239, 106935.</w:t>
      </w:r>
    </w:p>
    <w:p w14:paraId="76B2F7C0" w14:textId="3E9C0E95" w:rsidR="00E36D21" w:rsidRDefault="00E36D21">
      <w:pPr>
        <w:pStyle w:val="NormalWeb"/>
      </w:pPr>
      <w:r w:rsidRPr="00E36D21">
        <w:t>Pérez-</w:t>
      </w:r>
      <w:proofErr w:type="spellStart"/>
      <w:r w:rsidRPr="00E36D21">
        <w:t>Barbería</w:t>
      </w:r>
      <w:proofErr w:type="spellEnd"/>
      <w:r w:rsidRPr="00E36D21">
        <w:t xml:space="preserve">, F. J., García, A. J., Brewer, M. J., Cappelli, J., Serrano, M. P., Gallego, L., &amp; </w:t>
      </w:r>
      <w:proofErr w:type="spellStart"/>
      <w:r w:rsidRPr="00E36D21">
        <w:t>Landete-Castillejos</w:t>
      </w:r>
      <w:proofErr w:type="spellEnd"/>
      <w:r w:rsidRPr="00E36D21">
        <w:t xml:space="preserve">, T. (2022). Effects of maternal age and offspring sex on milk yield, composition and calf growth of red deer (Cervus </w:t>
      </w:r>
      <w:proofErr w:type="spellStart"/>
      <w:r w:rsidRPr="00E36D21">
        <w:t>elaphus</w:t>
      </w:r>
      <w:proofErr w:type="spellEnd"/>
      <w:r w:rsidRPr="00E36D21">
        <w:t>). Scientific Reports, 12(1), 14506.</w:t>
      </w:r>
    </w:p>
    <w:p w14:paraId="03E846F8" w14:textId="4A90CD83" w:rsidR="00E36D21" w:rsidRDefault="00E36D21">
      <w:pPr>
        <w:pStyle w:val="NormalWeb"/>
      </w:pPr>
      <w:r w:rsidRPr="00E36D21">
        <w:t xml:space="preserve">Hess, M. K., Hess, A. S., &amp; Garrick, D. J. (2016). The effect of calf gender on milk production in seasonal calving cows and its impact on genetic evaluations. </w:t>
      </w:r>
      <w:proofErr w:type="spellStart"/>
      <w:r w:rsidRPr="00E36D21">
        <w:t>PloS</w:t>
      </w:r>
      <w:proofErr w:type="spellEnd"/>
      <w:r w:rsidRPr="00E36D21">
        <w:t xml:space="preserve"> one, 11(3), e0151236.</w:t>
      </w:r>
    </w:p>
    <w:p w14:paraId="302907D6" w14:textId="23990E3B" w:rsidR="00E36D21" w:rsidRDefault="00E36D21">
      <w:pPr>
        <w:pStyle w:val="NormalWeb"/>
      </w:pPr>
      <w:r w:rsidRPr="00E36D21">
        <w:t xml:space="preserve">Gillespie, A. V., Ehrlich, J. L., &amp; Grove-White, D. H. (2017). Effect of calf gender on milk yield and fatty acid content in Holstein dairy cows. </w:t>
      </w:r>
      <w:proofErr w:type="spellStart"/>
      <w:r w:rsidRPr="00E36D21">
        <w:t>PloS</w:t>
      </w:r>
      <w:proofErr w:type="spellEnd"/>
      <w:r w:rsidRPr="00E36D21">
        <w:t xml:space="preserve"> one, 12(1), e0169503.</w:t>
      </w:r>
    </w:p>
    <w:p w14:paraId="41C3A807" w14:textId="39629C24" w:rsidR="00E36D21" w:rsidRDefault="00E36D21">
      <w:pPr>
        <w:pStyle w:val="NormalWeb"/>
      </w:pPr>
      <w:proofErr w:type="spellStart"/>
      <w:r w:rsidRPr="00E36D21">
        <w:lastRenderedPageBreak/>
        <w:t>Stěhulová</w:t>
      </w:r>
      <w:proofErr w:type="spellEnd"/>
      <w:r w:rsidRPr="00E36D21">
        <w:t xml:space="preserve">, I., </w:t>
      </w:r>
      <w:proofErr w:type="spellStart"/>
      <w:r w:rsidRPr="00E36D21">
        <w:t>Špinka</w:t>
      </w:r>
      <w:proofErr w:type="spellEnd"/>
      <w:r w:rsidRPr="00E36D21">
        <w:t xml:space="preserve">, M., </w:t>
      </w:r>
      <w:proofErr w:type="spellStart"/>
      <w:r w:rsidRPr="00E36D21">
        <w:t>Šárová</w:t>
      </w:r>
      <w:proofErr w:type="spellEnd"/>
      <w:r w:rsidRPr="00E36D21">
        <w:t xml:space="preserve">, R., </w:t>
      </w:r>
      <w:proofErr w:type="spellStart"/>
      <w:r w:rsidRPr="00E36D21">
        <w:t>Máchová</w:t>
      </w:r>
      <w:proofErr w:type="spellEnd"/>
      <w:r w:rsidRPr="00E36D21">
        <w:t xml:space="preserve">, L., </w:t>
      </w:r>
      <w:proofErr w:type="spellStart"/>
      <w:r w:rsidRPr="00E36D21">
        <w:t>Kněz</w:t>
      </w:r>
      <w:proofErr w:type="spellEnd"/>
      <w:r w:rsidRPr="00E36D21">
        <w:t xml:space="preserve">, R., &amp; </w:t>
      </w:r>
      <w:proofErr w:type="spellStart"/>
      <w:r w:rsidRPr="00E36D21">
        <w:t>Firla</w:t>
      </w:r>
      <w:proofErr w:type="spellEnd"/>
      <w:r w:rsidRPr="00E36D21">
        <w:t xml:space="preserve">, P. (2013). Maternal </w:t>
      </w:r>
      <w:proofErr w:type="spellStart"/>
      <w:r w:rsidRPr="00E36D21">
        <w:t>behaviour</w:t>
      </w:r>
      <w:proofErr w:type="spellEnd"/>
      <w:r w:rsidRPr="00E36D21">
        <w:t xml:space="preserve"> in beef cows is individually consistent and sensitive to cow body condition, calf sex and weight. Applied Animal </w:t>
      </w:r>
      <w:proofErr w:type="spellStart"/>
      <w:r w:rsidRPr="00E36D21">
        <w:t>Behaviour</w:t>
      </w:r>
      <w:proofErr w:type="spellEnd"/>
      <w:r w:rsidRPr="00E36D21">
        <w:t xml:space="preserve"> Science, 144(3-4), 89-97.</w:t>
      </w:r>
    </w:p>
    <w:p w14:paraId="01B905B0" w14:textId="77777777" w:rsidR="00D86075" w:rsidRDefault="00D86075">
      <w:pPr>
        <w:spacing w:before="100" w:beforeAutospacing="1" w:after="100" w:afterAutospacing="1" w:line="240" w:lineRule="auto"/>
        <w:rPr>
          <w:rFonts w:ascii="Times New Roman" w:eastAsia="Times New Roman" w:hAnsi="Times New Roman" w:cs="Times New Roman"/>
          <w:sz w:val="24"/>
          <w:szCs w:val="24"/>
          <w:lang w:val="en-IN"/>
        </w:rPr>
      </w:pPr>
    </w:p>
    <w:p w14:paraId="321BD833" w14:textId="77777777" w:rsidR="00D86075" w:rsidRDefault="00E36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02F29B">
          <v:rect id="_x0000_i1031" style="width:0;height:1.5pt" o:hralign="center" o:hrstd="t" o:hr="t" fillcolor="#a0a0a0" stroked="f"/>
        </w:pict>
      </w:r>
    </w:p>
    <w:p w14:paraId="7141FD42" w14:textId="77777777" w:rsidR="00D86075" w:rsidRDefault="00D86075">
      <w:pPr>
        <w:spacing w:before="100" w:beforeAutospacing="1" w:after="100" w:afterAutospacing="1" w:line="240" w:lineRule="auto"/>
        <w:rPr>
          <w:rFonts w:ascii="Times New Roman" w:eastAsia="Times New Roman" w:hAnsi="Times New Roman" w:cs="Times New Roman"/>
          <w:sz w:val="24"/>
          <w:szCs w:val="24"/>
        </w:rPr>
      </w:pPr>
    </w:p>
    <w:p w14:paraId="0B9DD0EE" w14:textId="77777777" w:rsidR="00D86075" w:rsidRDefault="00D86075"/>
    <w:sectPr w:rsidR="00D86075" w:rsidSect="004F5B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E90B" w14:textId="77777777" w:rsidR="00BE38EA" w:rsidRDefault="00BE38EA">
      <w:pPr>
        <w:spacing w:line="240" w:lineRule="auto"/>
      </w:pPr>
      <w:r>
        <w:separator/>
      </w:r>
    </w:p>
  </w:endnote>
  <w:endnote w:type="continuationSeparator" w:id="0">
    <w:p w14:paraId="771F0A17" w14:textId="77777777" w:rsidR="00BE38EA" w:rsidRDefault="00BE3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390E" w14:textId="77777777" w:rsidR="00176513" w:rsidRDefault="0017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494E" w14:textId="77777777" w:rsidR="00176513" w:rsidRDefault="00176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3796" w14:textId="77777777" w:rsidR="00176513" w:rsidRDefault="0017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FEBF" w14:textId="77777777" w:rsidR="00BE38EA" w:rsidRDefault="00BE38EA">
      <w:pPr>
        <w:spacing w:after="0"/>
      </w:pPr>
      <w:r>
        <w:separator/>
      </w:r>
    </w:p>
  </w:footnote>
  <w:footnote w:type="continuationSeparator" w:id="0">
    <w:p w14:paraId="743DE39D" w14:textId="77777777" w:rsidR="00BE38EA" w:rsidRDefault="00BE3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EBC9" w14:textId="77777777" w:rsidR="00176513" w:rsidRDefault="00E36D21">
    <w:pPr>
      <w:pStyle w:val="Header"/>
    </w:pPr>
    <w:r>
      <w:rPr>
        <w:noProof/>
      </w:rPr>
      <w:pict w14:anchorId="3E96F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F7D9" w14:textId="77777777" w:rsidR="00176513" w:rsidRDefault="00E36D21">
    <w:pPr>
      <w:pStyle w:val="Header"/>
    </w:pPr>
    <w:r>
      <w:rPr>
        <w:noProof/>
      </w:rPr>
      <w:pict w14:anchorId="40F5C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FDDA" w14:textId="77777777" w:rsidR="00176513" w:rsidRDefault="00E36D21">
    <w:pPr>
      <w:pStyle w:val="Header"/>
    </w:pPr>
    <w:r>
      <w:rPr>
        <w:noProof/>
      </w:rPr>
      <w:pict w14:anchorId="30AB6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56C0E2"/>
    <w:multiLevelType w:val="singleLevel"/>
    <w:tmpl w:val="D456C0E2"/>
    <w:lvl w:ilvl="0">
      <w:start w:val="1"/>
      <w:numFmt w:val="decimal"/>
      <w:suff w:val="space"/>
      <w:lvlText w:val="%1."/>
      <w:lvlJc w:val="left"/>
    </w:lvl>
  </w:abstractNum>
  <w:abstractNum w:abstractNumId="1" w15:restartNumberingAfterBreak="0">
    <w:nsid w:val="428A7936"/>
    <w:multiLevelType w:val="multilevel"/>
    <w:tmpl w:val="428A79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47E6282"/>
    <w:multiLevelType w:val="multilevel"/>
    <w:tmpl w:val="747E628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8D77B1"/>
    <w:rsid w:val="00005597"/>
    <w:rsid w:val="000638B6"/>
    <w:rsid w:val="00077F20"/>
    <w:rsid w:val="00131CF3"/>
    <w:rsid w:val="00176513"/>
    <w:rsid w:val="001F3859"/>
    <w:rsid w:val="002909F3"/>
    <w:rsid w:val="00304B49"/>
    <w:rsid w:val="003666C0"/>
    <w:rsid w:val="00417395"/>
    <w:rsid w:val="00442F53"/>
    <w:rsid w:val="00465C3C"/>
    <w:rsid w:val="004F5B19"/>
    <w:rsid w:val="00552B20"/>
    <w:rsid w:val="00577492"/>
    <w:rsid w:val="006638A7"/>
    <w:rsid w:val="00740307"/>
    <w:rsid w:val="00745329"/>
    <w:rsid w:val="00747591"/>
    <w:rsid w:val="007835F1"/>
    <w:rsid w:val="00882831"/>
    <w:rsid w:val="008D77B1"/>
    <w:rsid w:val="009D66E7"/>
    <w:rsid w:val="00B06866"/>
    <w:rsid w:val="00B14CBF"/>
    <w:rsid w:val="00BB67B5"/>
    <w:rsid w:val="00BE38EA"/>
    <w:rsid w:val="00C63BFE"/>
    <w:rsid w:val="00CF3121"/>
    <w:rsid w:val="00D01143"/>
    <w:rsid w:val="00D748E9"/>
    <w:rsid w:val="00D803D1"/>
    <w:rsid w:val="00D86075"/>
    <w:rsid w:val="00DA75A8"/>
    <w:rsid w:val="00E14970"/>
    <w:rsid w:val="00E36D21"/>
    <w:rsid w:val="00F65DEB"/>
    <w:rsid w:val="00FB21BB"/>
    <w:rsid w:val="14282EF4"/>
    <w:rsid w:val="23F91EF3"/>
    <w:rsid w:val="72EE53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FD8D62"/>
  <w15:docId w15:val="{FDCD0D53-1666-49DB-9DF4-BA5A37C9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B19"/>
    <w:pPr>
      <w:spacing w:after="200" w:line="276" w:lineRule="auto"/>
    </w:pPr>
    <w:rPr>
      <w:rFonts w:asciiTheme="minorHAnsi" w:eastAsiaTheme="minorHAnsi" w:hAnsiTheme="minorHAnsi" w:cs="Mangal"/>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5B19"/>
    <w:rPr>
      <w:i/>
      <w:iCs/>
    </w:rPr>
  </w:style>
  <w:style w:type="paragraph" w:styleId="NormalWeb">
    <w:name w:val="Normal (Web)"/>
    <w:basedOn w:val="Normal"/>
    <w:uiPriority w:val="99"/>
    <w:unhideWhenUsed/>
    <w:rsid w:val="004F5B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B19"/>
    <w:rPr>
      <w:b/>
      <w:bCs/>
    </w:rPr>
  </w:style>
  <w:style w:type="paragraph" w:styleId="ListParagraph">
    <w:name w:val="List Paragraph"/>
    <w:basedOn w:val="Normal"/>
    <w:uiPriority w:val="34"/>
    <w:qFormat/>
    <w:rsid w:val="004F5B19"/>
    <w:pPr>
      <w:ind w:left="720"/>
      <w:contextualSpacing/>
    </w:pPr>
    <w:rPr>
      <w:rFonts w:ascii="Calibri" w:eastAsia="Calibri" w:hAnsi="Calibri"/>
      <w:szCs w:val="22"/>
      <w:lang w:val="en-IN" w:bidi="ar-SA"/>
    </w:rPr>
  </w:style>
  <w:style w:type="character" w:styleId="Hyperlink">
    <w:name w:val="Hyperlink"/>
    <w:basedOn w:val="DefaultParagraphFont"/>
    <w:uiPriority w:val="99"/>
    <w:unhideWhenUsed/>
    <w:rsid w:val="00131CF3"/>
    <w:rPr>
      <w:color w:val="0000FF" w:themeColor="hyperlink"/>
      <w:u w:val="single"/>
    </w:rPr>
  </w:style>
  <w:style w:type="character" w:customStyle="1" w:styleId="UnresolvedMention1">
    <w:name w:val="Unresolved Mention1"/>
    <w:basedOn w:val="DefaultParagraphFont"/>
    <w:uiPriority w:val="99"/>
    <w:semiHidden/>
    <w:unhideWhenUsed/>
    <w:rsid w:val="00131CF3"/>
    <w:rPr>
      <w:color w:val="605E5C"/>
      <w:shd w:val="clear" w:color="auto" w:fill="E1DFDD"/>
    </w:rPr>
  </w:style>
  <w:style w:type="paragraph" w:styleId="Header">
    <w:name w:val="header"/>
    <w:basedOn w:val="Normal"/>
    <w:link w:val="HeaderChar"/>
    <w:uiPriority w:val="99"/>
    <w:unhideWhenUsed/>
    <w:rsid w:val="001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13"/>
    <w:rPr>
      <w:rFonts w:asciiTheme="minorHAnsi" w:eastAsiaTheme="minorHAnsi" w:hAnsiTheme="minorHAnsi" w:cs="Mangal"/>
      <w:sz w:val="22"/>
      <w:lang w:val="en-US" w:eastAsia="en-US" w:bidi="hi-IN"/>
    </w:rPr>
  </w:style>
  <w:style w:type="paragraph" w:styleId="Footer">
    <w:name w:val="footer"/>
    <w:basedOn w:val="Normal"/>
    <w:link w:val="FooterChar"/>
    <w:uiPriority w:val="99"/>
    <w:unhideWhenUsed/>
    <w:rsid w:val="001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13"/>
    <w:rPr>
      <w:rFonts w:asciiTheme="minorHAnsi" w:eastAsiaTheme="minorHAnsi" w:hAnsiTheme="minorHAnsi" w:cs="Mangal"/>
      <w:sz w:val="22"/>
      <w:lang w:val="en-US" w:eastAsia="en-US" w:bidi="hi-IN"/>
    </w:rPr>
  </w:style>
  <w:style w:type="paragraph" w:styleId="BalloonText">
    <w:name w:val="Balloon Text"/>
    <w:basedOn w:val="Normal"/>
    <w:link w:val="BalloonTextChar"/>
    <w:uiPriority w:val="99"/>
    <w:semiHidden/>
    <w:unhideWhenUsed/>
    <w:rsid w:val="00304B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04B49"/>
    <w:rPr>
      <w:rFonts w:ascii="Tahoma" w:eastAsiaTheme="minorHAnsi" w:hAnsi="Tahoma" w:cs="Mangal"/>
      <w:sz w:val="16"/>
      <w:szCs w:val="14"/>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C464-2CDD-45F7-89BF-5D7CCF4A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20</cp:revision>
  <dcterms:created xsi:type="dcterms:W3CDTF">2025-04-17T19:10:00Z</dcterms:created>
  <dcterms:modified xsi:type="dcterms:W3CDTF">2025-04-26T10:18:00Z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5EC83807C867437FA5B04DA8A4186700_12</vt:lpwstr>
  </property>
</Properties>
</file>