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3EEB" w14:textId="77777777" w:rsidR="00D95B2C" w:rsidRDefault="00C435D0" w:rsidP="004E585F">
      <w:pPr>
        <w:spacing w:line="360" w:lineRule="auto"/>
        <w:ind w:left="-567"/>
        <w:jc w:val="center"/>
        <w:rPr>
          <w:b/>
          <w:bCs/>
        </w:rPr>
      </w:pPr>
      <w:r>
        <w:rPr>
          <w:b/>
          <w:bCs/>
        </w:rPr>
        <w:t>Impact of various Integrated Nutrient M</w:t>
      </w:r>
      <w:r w:rsidRPr="00646642">
        <w:rPr>
          <w:b/>
          <w:bCs/>
        </w:rPr>
        <w:t>odules</w:t>
      </w:r>
      <w:r>
        <w:rPr>
          <w:b/>
          <w:bCs/>
        </w:rPr>
        <w:t xml:space="preserve"> on </w:t>
      </w:r>
      <w:r w:rsidR="00B36DCA">
        <w:rPr>
          <w:b/>
          <w:bCs/>
        </w:rPr>
        <w:t>R</w:t>
      </w:r>
      <w:r w:rsidR="00646642" w:rsidRPr="00646642">
        <w:rPr>
          <w:b/>
          <w:bCs/>
        </w:rPr>
        <w:t xml:space="preserve">ice </w:t>
      </w:r>
      <w:r w:rsidR="00B36DCA" w:rsidRPr="00522E7E">
        <w:rPr>
          <w:b/>
          <w:bCs/>
        </w:rPr>
        <w:t>(</w:t>
      </w:r>
      <w:r w:rsidR="00B36DCA" w:rsidRPr="000C7115">
        <w:rPr>
          <w:b/>
          <w:bCs/>
          <w:i/>
        </w:rPr>
        <w:t>Oryza sativa</w:t>
      </w:r>
      <w:r w:rsidR="00B36DCA" w:rsidRPr="00522E7E">
        <w:rPr>
          <w:b/>
          <w:bCs/>
        </w:rPr>
        <w:t xml:space="preserve"> L</w:t>
      </w:r>
      <w:r w:rsidR="00B36DCA">
        <w:rPr>
          <w:b/>
          <w:bCs/>
        </w:rPr>
        <w:t>)</w:t>
      </w:r>
      <w:r w:rsidR="00DB596D">
        <w:rPr>
          <w:b/>
          <w:bCs/>
        </w:rPr>
        <w:t xml:space="preserve"> varieties</w:t>
      </w:r>
      <w:r>
        <w:rPr>
          <w:b/>
          <w:bCs/>
        </w:rPr>
        <w:t>: Crop Productivity, Nutrient Uptake and Profitability</w:t>
      </w:r>
      <w:r w:rsidR="00B36DCA">
        <w:rPr>
          <w:b/>
          <w:bCs/>
        </w:rPr>
        <w:t xml:space="preserve"> </w:t>
      </w:r>
      <w:r w:rsidR="00E55DA6">
        <w:rPr>
          <w:b/>
          <w:bCs/>
        </w:rPr>
        <w:t>under</w:t>
      </w:r>
      <w:r w:rsidR="00646642" w:rsidRPr="00646642">
        <w:rPr>
          <w:b/>
          <w:bCs/>
        </w:rPr>
        <w:t xml:space="preserve"> SRI method</w:t>
      </w:r>
    </w:p>
    <w:p w14:paraId="3F5DC197" w14:textId="77777777" w:rsidR="007032F1" w:rsidRDefault="007032F1" w:rsidP="004E585F">
      <w:pPr>
        <w:pStyle w:val="ListParagraph"/>
        <w:spacing w:line="360" w:lineRule="auto"/>
        <w:ind w:left="-567"/>
        <w:jc w:val="center"/>
        <w:rPr>
          <w:b/>
          <w:bCs/>
          <w:u w:val="single"/>
        </w:rPr>
      </w:pPr>
    </w:p>
    <w:p w14:paraId="0AD8A230" w14:textId="77777777" w:rsidR="00CB5FB4" w:rsidRPr="004E170E" w:rsidRDefault="004A6355" w:rsidP="004E585F">
      <w:pPr>
        <w:pStyle w:val="ListParagraph"/>
        <w:spacing w:line="360" w:lineRule="auto"/>
        <w:ind w:left="-567"/>
        <w:jc w:val="center"/>
        <w:rPr>
          <w:bCs/>
          <w:u w:val="single"/>
        </w:rPr>
      </w:pPr>
      <w:r w:rsidRPr="004E170E">
        <w:rPr>
          <w:b/>
          <w:bCs/>
          <w:u w:val="single"/>
        </w:rPr>
        <w:t>ABSTRACT</w:t>
      </w:r>
    </w:p>
    <w:p w14:paraId="7112EB51" w14:textId="523731EA" w:rsidR="00A1045C" w:rsidRDefault="00C575EC" w:rsidP="00F6030A">
      <w:pPr>
        <w:spacing w:line="360" w:lineRule="auto"/>
        <w:ind w:left="-567"/>
        <w:jc w:val="both"/>
      </w:pPr>
      <w:r w:rsidRPr="00C575EC">
        <w:t>In order to assess the rice (</w:t>
      </w:r>
      <w:r w:rsidRPr="00A1045C">
        <w:rPr>
          <w:i/>
          <w:iCs/>
        </w:rPr>
        <w:t>Oryza sativa</w:t>
      </w:r>
      <w:r w:rsidRPr="00C575EC">
        <w:t xml:space="preserve"> L) varieties for crop productivity, nutrient uptake, and profitability at various integrated nutrient modules in the SRI method, the current study was conducted during the 2017 (Kharif) season at the Agronomy Research Farm of Narendra Deva University of Agriculture &amp; Technology, </w:t>
      </w:r>
      <w:r w:rsidR="008E56A3">
        <w:t>Ayodhya</w:t>
      </w:r>
      <w:r w:rsidRPr="00C575EC">
        <w:t xml:space="preserve"> (Uttar Pradesh).  The treatment combinations consist of three prominent rice varieties (M1- NDR-97, M2- Sarjoo-52, and M3- Mahsuri) as primary treatments, alongside three distinct nutrient levels (N</w:t>
      </w:r>
      <w:r w:rsidRPr="00A1045C">
        <w:rPr>
          <w:vertAlign w:val="subscript"/>
        </w:rPr>
        <w:t>1</w:t>
      </w:r>
      <w:r w:rsidRPr="00C575EC">
        <w:t>- 100% RDF, N</w:t>
      </w:r>
      <w:r w:rsidRPr="00A1045C">
        <w:rPr>
          <w:vertAlign w:val="subscript"/>
        </w:rPr>
        <w:t>2</w:t>
      </w:r>
      <w:r w:rsidRPr="00C575EC">
        <w:t>- 75% RDF + 25% FYM, and N</w:t>
      </w:r>
      <w:r w:rsidRPr="00A1045C">
        <w:rPr>
          <w:vertAlign w:val="subscript"/>
        </w:rPr>
        <w:t>3</w:t>
      </w:r>
      <w:r w:rsidRPr="00C575EC">
        <w:t>- 75% RDF + 25% Vermicompost) as subplot treatments. These were arranged in a Split Plot design and replicated four times.  The findings demonstrated that grain and straw yield (t ha</w:t>
      </w:r>
      <w:r w:rsidRPr="00A1045C">
        <w:rPr>
          <w:vertAlign w:val="superscript"/>
        </w:rPr>
        <w:t>-1</w:t>
      </w:r>
      <w:r w:rsidRPr="00C575EC">
        <w:t>) and nutrient content and uptake (NPK) in both grain and straw were highest in the Mahsuri variety, which outperformed the Sarjoo-52 and NDR-92 types.  The application of N</w:t>
      </w:r>
      <w:r w:rsidRPr="005E4A68">
        <w:rPr>
          <w:vertAlign w:val="subscript"/>
        </w:rPr>
        <w:t>1</w:t>
      </w:r>
      <w:r w:rsidRPr="00C575EC">
        <w:t>-100% RDF resulted in significantly higher crop yields, including grain and straw yield, as well as nutrient content and uptake (NPK) in both grain and straw, compared to the treatments of N</w:t>
      </w:r>
      <w:r w:rsidRPr="00A1045C">
        <w:rPr>
          <w:vertAlign w:val="subscript"/>
        </w:rPr>
        <w:t>2</w:t>
      </w:r>
      <w:r w:rsidRPr="00C575EC">
        <w:t>-75% RDF+25% FYM and N</w:t>
      </w:r>
      <w:r w:rsidRPr="00A1045C">
        <w:rPr>
          <w:vertAlign w:val="subscript"/>
        </w:rPr>
        <w:t>3</w:t>
      </w:r>
      <w:r w:rsidRPr="00C575EC">
        <w:t>-75% RDF+25% Vermicompost, respectively.  The findings also revealed that the highest gross and net returns were observed with Mahsuri using the full recommended dosage of fertilizers.  The highest benefit-cost ratio (1.13) was observed in Mahsuri with 100% RDF, followed by Sarjoo-52 with 100% RDF, which demonstrated greater profitability than the other treatment combinations evaluated during the study.   Consequently, it can be inferred that the use of 100% RDF in conjunction with the Mahsuri variety is the most effective treatment combination for enhancing crop production, nutrient absorption, and profitability of rice cultivation.</w:t>
      </w:r>
    </w:p>
    <w:p w14:paraId="33D2C73B" w14:textId="01B753B5" w:rsidR="00F6030A" w:rsidRDefault="00BB34DB" w:rsidP="00F6030A">
      <w:pPr>
        <w:spacing w:line="360" w:lineRule="auto"/>
        <w:ind w:left="-567"/>
        <w:jc w:val="both"/>
      </w:pPr>
      <w:r>
        <w:rPr>
          <w:b/>
        </w:rPr>
        <w:t xml:space="preserve">Key words: </w:t>
      </w:r>
      <w:r w:rsidR="000A6AEC" w:rsidRPr="000A6AEC">
        <w:t>Rice,</w:t>
      </w:r>
      <w:r w:rsidR="000A6AEC">
        <w:rPr>
          <w:b/>
        </w:rPr>
        <w:t xml:space="preserve"> </w:t>
      </w:r>
      <w:r w:rsidR="00F6030A" w:rsidRPr="00F6030A">
        <w:t>Crop Productivity, Nutrient Uptake and Profitability</w:t>
      </w:r>
      <w:r w:rsidR="00F6030A">
        <w:t>.</w:t>
      </w:r>
    </w:p>
    <w:p w14:paraId="3831FA53" w14:textId="77777777" w:rsidR="004A6355" w:rsidRPr="00D11FA5" w:rsidRDefault="00D511C7" w:rsidP="00F6030A">
      <w:pPr>
        <w:spacing w:line="360" w:lineRule="auto"/>
        <w:ind w:left="-567"/>
        <w:jc w:val="both"/>
        <w:rPr>
          <w:b/>
        </w:rPr>
      </w:pPr>
      <w:r w:rsidRPr="00D11FA5">
        <w:rPr>
          <w:b/>
        </w:rPr>
        <w:t>INTRODUCTION</w:t>
      </w:r>
    </w:p>
    <w:p w14:paraId="705D1E76" w14:textId="44124A0F" w:rsidR="00C575EC" w:rsidRDefault="00C575EC" w:rsidP="00C575EC">
      <w:pPr>
        <w:spacing w:line="360" w:lineRule="auto"/>
        <w:ind w:left="-567"/>
        <w:jc w:val="both"/>
      </w:pPr>
      <w:r>
        <w:t>Rice (paddy) is a fundamental food crop that sustains over half of the global population and contributes around 19% of the world's nutritional energy</w:t>
      </w:r>
      <w:r w:rsidR="00A1045C">
        <w:t xml:space="preserve"> (Singh </w:t>
      </w:r>
      <w:r w:rsidR="00A1045C" w:rsidRPr="005E4A68">
        <w:rPr>
          <w:i/>
          <w:iCs/>
        </w:rPr>
        <w:t>et al</w:t>
      </w:r>
      <w:r w:rsidR="00A1045C">
        <w:t>.</w:t>
      </w:r>
      <w:r w:rsidR="0095592A">
        <w:t>,</w:t>
      </w:r>
      <w:r w:rsidR="00A1045C">
        <w:t xml:space="preserve"> 2023; Singh </w:t>
      </w:r>
      <w:r w:rsidR="00A1045C" w:rsidRPr="005E4A68">
        <w:rPr>
          <w:i/>
          <w:iCs/>
        </w:rPr>
        <w:t>et al.</w:t>
      </w:r>
      <w:r w:rsidR="0095592A" w:rsidRPr="005E4A68">
        <w:rPr>
          <w:i/>
          <w:iCs/>
        </w:rPr>
        <w:t>,</w:t>
      </w:r>
      <w:r w:rsidR="00A1045C">
        <w:t xml:space="preserve"> 2024).  </w:t>
      </w:r>
      <w:r>
        <w:t xml:space="preserve">Food output must augment by approximately 60% to satisfy world food demand by 2050, as per projections (Tyagi et al., 2020).  India generates roughly 152.6 million </w:t>
      </w:r>
      <w:proofErr w:type="spellStart"/>
      <w:r>
        <w:t>tonnes</w:t>
      </w:r>
      <w:proofErr w:type="spellEnd"/>
      <w:r>
        <w:t xml:space="preserve"> from 42.5 million hectares, yielding an average productivity of 3.57 tons per hectare, while China produces 204.3 million </w:t>
      </w:r>
      <w:proofErr w:type="spellStart"/>
      <w:r>
        <w:t>tonnes</w:t>
      </w:r>
      <w:proofErr w:type="spellEnd"/>
      <w:r>
        <w:t xml:space="preserve"> from 30.3 million hectares, achieving an average productivity of 6.73 tons per hectare (Apon et al., 2018</w:t>
      </w:r>
      <w:r w:rsidR="003A3EAE">
        <w:t xml:space="preserve">: Singh </w:t>
      </w:r>
      <w:r w:rsidR="003A3EAE" w:rsidRPr="005E4A68">
        <w:rPr>
          <w:i/>
          <w:iCs/>
        </w:rPr>
        <w:t>et al</w:t>
      </w:r>
      <w:r w:rsidR="003A3EAE">
        <w:t>.</w:t>
      </w:r>
      <w:r w:rsidR="0095592A">
        <w:t>,</w:t>
      </w:r>
      <w:r w:rsidR="003A3EAE">
        <w:t xml:space="preserve"> 2024</w:t>
      </w:r>
      <w:r>
        <w:t xml:space="preserve">).  To provide food security in rice-consuming nations globally, rice output must be augmented by 50% in these countries by 2025.  The supplementary rice must be cultivated on less area with diminished water, labor, and pesticides to meet the anticipated objective of 771 million </w:t>
      </w:r>
      <w:proofErr w:type="spellStart"/>
      <w:r>
        <w:t>tonnes</w:t>
      </w:r>
      <w:proofErr w:type="spellEnd"/>
      <w:r>
        <w:t xml:space="preserve"> (Mt) by 2030 (</w:t>
      </w:r>
      <w:proofErr w:type="spellStart"/>
      <w:r>
        <w:t>Weijabhandara</w:t>
      </w:r>
      <w:proofErr w:type="spellEnd"/>
      <w:r>
        <w:t xml:space="preserve"> et al., 2011</w:t>
      </w:r>
      <w:r w:rsidR="00A1045C">
        <w:t>; S</w:t>
      </w:r>
      <w:r w:rsidR="00113BEB">
        <w:t>hahi</w:t>
      </w:r>
      <w:r w:rsidR="00A1045C">
        <w:t xml:space="preserve"> </w:t>
      </w:r>
      <w:r w:rsidR="00A1045C" w:rsidRPr="005E4A68">
        <w:rPr>
          <w:i/>
          <w:iCs/>
        </w:rPr>
        <w:t>et al</w:t>
      </w:r>
      <w:r w:rsidR="00A1045C">
        <w:t>.</w:t>
      </w:r>
      <w:r w:rsidR="000E5146">
        <w:t xml:space="preserve">, </w:t>
      </w:r>
      <w:r w:rsidR="00A1045C">
        <w:lastRenderedPageBreak/>
        <w:t xml:space="preserve">2024; Singh </w:t>
      </w:r>
      <w:r w:rsidR="00113BEB" w:rsidRPr="005E4A68">
        <w:rPr>
          <w:i/>
          <w:iCs/>
        </w:rPr>
        <w:t>et al</w:t>
      </w:r>
      <w:r w:rsidR="00A1045C">
        <w:t>.</w:t>
      </w:r>
      <w:r w:rsidR="0095592A">
        <w:t>,</w:t>
      </w:r>
      <w:r w:rsidR="00113BEB">
        <w:t xml:space="preserve"> 2024</w:t>
      </w:r>
      <w:r>
        <w:t xml:space="preserve">).  To address these issues, rice productivity must be enhanced through the implementation of suitable technologies that can minimize irrigation water usage in conventional rice cultivation, specifically by decreasing water losses at the field level and optimizing the utilization of available water (Chandra </w:t>
      </w:r>
      <w:r w:rsidRPr="005E4A68">
        <w:rPr>
          <w:i/>
          <w:iCs/>
        </w:rPr>
        <w:t>et al</w:t>
      </w:r>
      <w:r>
        <w:t>., 2020</w:t>
      </w:r>
      <w:r w:rsidR="00113BEB">
        <w:t>; Singh O. 2023</w:t>
      </w:r>
      <w:r w:rsidR="003A3EAE">
        <w:t xml:space="preserve">; </w:t>
      </w:r>
      <w:r w:rsidR="003A3EAE" w:rsidRPr="003A3EAE">
        <w:rPr>
          <w:color w:val="000000" w:themeColor="text1"/>
        </w:rPr>
        <w:t>Ghazaryan</w:t>
      </w:r>
      <w:r w:rsidR="003A3EAE">
        <w:rPr>
          <w:color w:val="000000" w:themeColor="text1"/>
        </w:rPr>
        <w:t xml:space="preserve"> </w:t>
      </w:r>
      <w:r w:rsidR="003A3EAE" w:rsidRPr="005E4A68">
        <w:rPr>
          <w:i/>
          <w:iCs/>
          <w:color w:val="000000" w:themeColor="text1"/>
        </w:rPr>
        <w:t>et al</w:t>
      </w:r>
      <w:r w:rsidR="003A3EAE">
        <w:rPr>
          <w:color w:val="000000" w:themeColor="text1"/>
        </w:rPr>
        <w:t>.</w:t>
      </w:r>
      <w:r w:rsidR="0095592A">
        <w:rPr>
          <w:color w:val="000000" w:themeColor="text1"/>
        </w:rPr>
        <w:t>,</w:t>
      </w:r>
      <w:r w:rsidR="003A3EAE">
        <w:rPr>
          <w:color w:val="000000" w:themeColor="text1"/>
        </w:rPr>
        <w:t xml:space="preserve"> 2024</w:t>
      </w:r>
      <w:r>
        <w:t xml:space="preserve">).  The System of Rice Intensification (SRI) is an innovative approach to enhance the productivity of irrigated rice through the modification of plant, soil, water, and nutrient management, leading to improved soil and plant health, increased root development, and greater abundance and diversity of soil microorganisms (Kumar and Shivay 2004; </w:t>
      </w:r>
      <w:proofErr w:type="spellStart"/>
      <w:r>
        <w:t>Weijabhandara</w:t>
      </w:r>
      <w:proofErr w:type="spellEnd"/>
      <w:r>
        <w:t xml:space="preserve"> </w:t>
      </w:r>
      <w:r w:rsidRPr="005E4A68">
        <w:rPr>
          <w:i/>
          <w:iCs/>
        </w:rPr>
        <w:t>et al</w:t>
      </w:r>
      <w:r>
        <w:t xml:space="preserve">., 2011). </w:t>
      </w:r>
    </w:p>
    <w:p w14:paraId="3F668CAE" w14:textId="75AFDAF9" w:rsidR="00C575EC" w:rsidRDefault="00C575EC" w:rsidP="00C575EC">
      <w:pPr>
        <w:spacing w:line="360" w:lineRule="auto"/>
        <w:ind w:left="-567"/>
        <w:jc w:val="both"/>
      </w:pPr>
      <w:r>
        <w:t xml:space="preserve"> The paramount challenge confronting Indian farmers is to enhance agricultural output while maintaining soil fertility to achieve greater crop yields, thereby meeting the anticipated food demands of the nation in the coming decades in an economically viable and environmentally sustainable manner.  Organic matter in soil significantly influences its qualities, such as water retention and fertility (Murphy, 2015</w:t>
      </w:r>
      <w:r w:rsidR="00113BEB">
        <w:t xml:space="preserve">; Singh </w:t>
      </w:r>
      <w:r w:rsidR="00113BEB" w:rsidRPr="005E4A68">
        <w:rPr>
          <w:i/>
          <w:iCs/>
        </w:rPr>
        <w:t>et al</w:t>
      </w:r>
      <w:r w:rsidR="00113BEB">
        <w:t>.</w:t>
      </w:r>
      <w:r w:rsidR="00305FFE">
        <w:t>,</w:t>
      </w:r>
      <w:r w:rsidR="00113BEB">
        <w:t xml:space="preserve"> 2024</w:t>
      </w:r>
      <w:r>
        <w:t>).  The principal cause of the deteriorating soil health and sustainability in India's intensive rice-based farming systems is the depletion of soil organic matter (Timsina and Connor, 2001).  Soil functions as a nutrient recycling mechanism capable of degrading dangerous pollutants, necessitating the continual incorporation of organic matter to maintain its health.  To satisfy the worldwide need of the expanding population, rice output must be significantly enhanced through the prioritization of Integrated Nutrient Management (INM) (Kumar et al., 2021</w:t>
      </w:r>
      <w:r w:rsidR="00113BEB">
        <w:t>; Singh O. 2023</w:t>
      </w:r>
      <w:r>
        <w:t>).  Integrated nutrient management employs both inorganic fertilizers and organic sources to enhance the availability of nutrients for plants and to improve the physical, chemical, and biological aspects of soil, thereby directly influencing soil fertility (</w:t>
      </w:r>
      <w:proofErr w:type="spellStart"/>
      <w:r>
        <w:t>Sannathimmappa</w:t>
      </w:r>
      <w:proofErr w:type="spellEnd"/>
      <w:r>
        <w:t xml:space="preserve"> </w:t>
      </w:r>
      <w:r w:rsidRPr="005E4A68">
        <w:rPr>
          <w:i/>
          <w:iCs/>
        </w:rPr>
        <w:t>et al</w:t>
      </w:r>
      <w:r>
        <w:t>., 2015</w:t>
      </w:r>
      <w:r w:rsidR="00113BEB">
        <w:t xml:space="preserve">; </w:t>
      </w:r>
      <w:r w:rsidR="00113BEB" w:rsidRPr="00113BEB">
        <w:t>Saikanth</w:t>
      </w:r>
      <w:r w:rsidR="00113BEB">
        <w:t xml:space="preserve"> </w:t>
      </w:r>
      <w:r w:rsidR="00113BEB" w:rsidRPr="005E4A68">
        <w:rPr>
          <w:i/>
          <w:iCs/>
        </w:rPr>
        <w:t>et al</w:t>
      </w:r>
      <w:r w:rsidR="00113BEB">
        <w:t>.</w:t>
      </w:r>
      <w:r w:rsidR="00305FFE">
        <w:t>,</w:t>
      </w:r>
      <w:r w:rsidR="00113BEB">
        <w:t xml:space="preserve"> 2023</w:t>
      </w:r>
      <w:r>
        <w:t xml:space="preserve">).  Over the long term, the integration of chemical fertilizers and organic sources can enhance soil quality and elevate crop output (Kumar </w:t>
      </w:r>
      <w:r w:rsidRPr="005E4A68">
        <w:rPr>
          <w:i/>
          <w:iCs/>
        </w:rPr>
        <w:t>et al</w:t>
      </w:r>
      <w:r>
        <w:t xml:space="preserve">., 2021).  The application of chemical fertilizers and organic manures has demonstrated efficacy in reversing the decline in soil health and productivity by rectifying marginal deficiencies in primary and secondary nutrients, fauna, and microflora, along with their advantageous effects on the physical, chemical, and biological properties of soil.  An integrated nutrient management system can establish equilibrium between degenerative and regenerative processes within the soil ecosystem (Upadhyay </w:t>
      </w:r>
      <w:r w:rsidRPr="005E4A68">
        <w:rPr>
          <w:i/>
          <w:iCs/>
        </w:rPr>
        <w:t>et al</w:t>
      </w:r>
      <w:r>
        <w:t>.</w:t>
      </w:r>
      <w:r w:rsidR="00785C5D">
        <w:t>,</w:t>
      </w:r>
      <w:r>
        <w:t xml:space="preserve"> 2011).  The combined application of manure and inorganic fertilizer facilitated the maintenance of soil fertility, aggregation, moisture retention, and nutrient balance (Tadesse et al., 2013).  This combination also promotes the rectification of secondary and micronutrient deficiencies, along with the long-term enhancement of soil quality (Ghosh et al., 2022</w:t>
      </w:r>
      <w:r w:rsidR="003A3EAE">
        <w:t xml:space="preserve">; Dutta </w:t>
      </w:r>
      <w:r w:rsidR="003A3EAE" w:rsidRPr="005E4A68">
        <w:rPr>
          <w:i/>
          <w:iCs/>
        </w:rPr>
        <w:t>et al</w:t>
      </w:r>
      <w:r w:rsidR="003A3EAE">
        <w:t>.</w:t>
      </w:r>
      <w:r w:rsidR="00785C5D">
        <w:t>,</w:t>
      </w:r>
      <w:r w:rsidR="003A3EAE">
        <w:t xml:space="preserve"> 2024</w:t>
      </w:r>
      <w:r>
        <w:t>).  Numerous studies have demonstrated enhanced crop yield and improved rice nutrient absorption when organic manure is combined with inorganic fertilizer.</w:t>
      </w:r>
    </w:p>
    <w:p w14:paraId="2D106E20" w14:textId="238055FE" w:rsidR="00C575EC" w:rsidRDefault="00C575EC" w:rsidP="004B6389">
      <w:pPr>
        <w:spacing w:line="360" w:lineRule="auto"/>
        <w:ind w:left="-567"/>
        <w:jc w:val="both"/>
      </w:pPr>
      <w:r>
        <w:lastRenderedPageBreak/>
        <w:t xml:space="preserve"> The environmental consequences of extensive output, excessive pesticide application, and inundated cultivation conditions include significant water consumption and contamination, a pronounced reliance on electricity, and considerable greenhouse gas emissions</w:t>
      </w:r>
      <w:r w:rsidR="003A3EAE">
        <w:t xml:space="preserve"> (Subash </w:t>
      </w:r>
      <w:r w:rsidR="003A3EAE" w:rsidRPr="005E4A68">
        <w:rPr>
          <w:i/>
          <w:iCs/>
        </w:rPr>
        <w:t>et al</w:t>
      </w:r>
      <w:r w:rsidR="003A3EAE">
        <w:t>.</w:t>
      </w:r>
      <w:r w:rsidR="00785C5D">
        <w:t>,</w:t>
      </w:r>
      <w:r w:rsidR="003A3EAE">
        <w:t xml:space="preserve"> 2023)</w:t>
      </w:r>
      <w:r>
        <w:t xml:space="preserve">.  The System of Rice Intensification (SRI) has been extensively advocated for its capacity to provide significant yield enhancements, decrease water use and greenhouse gas emissions, and augment profitability (Gathorne-Hardy </w:t>
      </w:r>
      <w:r w:rsidRPr="005E4A68">
        <w:rPr>
          <w:i/>
          <w:iCs/>
        </w:rPr>
        <w:t>et al</w:t>
      </w:r>
      <w:r>
        <w:t>., 2016).  The objective of this study was to examine the response of rice (Oryza sativa L.) regarding crop productivity, nutrient uptake, and economic returns across several integrated nutrition modules utilizing the SRI method in Uttar Pradesh.</w:t>
      </w:r>
    </w:p>
    <w:p w14:paraId="11DECB18" w14:textId="77777777" w:rsidR="004B6389" w:rsidRDefault="004B6389" w:rsidP="004B6389">
      <w:pPr>
        <w:spacing w:line="360" w:lineRule="auto"/>
        <w:ind w:left="-567"/>
        <w:jc w:val="both"/>
      </w:pPr>
    </w:p>
    <w:p w14:paraId="6A5D8821" w14:textId="77777777" w:rsidR="00C575EC" w:rsidRDefault="00C575EC" w:rsidP="00C575EC">
      <w:pPr>
        <w:spacing w:line="360" w:lineRule="auto"/>
        <w:ind w:left="-567"/>
        <w:jc w:val="both"/>
      </w:pPr>
      <w:r>
        <w:t xml:space="preserve"> 2. MATERIALS AND METHODS</w:t>
      </w:r>
    </w:p>
    <w:p w14:paraId="213C5745" w14:textId="77777777" w:rsidR="00080262" w:rsidRDefault="00B9299E" w:rsidP="00C575EC">
      <w:pPr>
        <w:spacing w:line="360" w:lineRule="auto"/>
        <w:ind w:left="-567"/>
        <w:jc w:val="both"/>
        <w:rPr>
          <w:color w:val="FF0000"/>
        </w:rPr>
      </w:pPr>
      <w:r>
        <w:rPr>
          <w:b/>
          <w:color w:val="000000"/>
        </w:rPr>
        <w:t xml:space="preserve">2.1 </w:t>
      </w:r>
      <w:r w:rsidRPr="00B9299E">
        <w:rPr>
          <w:b/>
          <w:i/>
          <w:color w:val="000000"/>
        </w:rPr>
        <w:t>Location</w:t>
      </w:r>
    </w:p>
    <w:p w14:paraId="22ECC085" w14:textId="2A82BE11" w:rsidR="00080262" w:rsidRPr="00080262" w:rsidRDefault="00C575EC" w:rsidP="00080262">
      <w:pPr>
        <w:spacing w:line="360" w:lineRule="auto"/>
        <w:ind w:left="-567"/>
        <w:jc w:val="both"/>
        <w:rPr>
          <w:color w:val="FF0000"/>
        </w:rPr>
      </w:pPr>
      <w:r>
        <w:t xml:space="preserve">The field study was carried out at the Narendra Deva University of Agriculture &amp; Technology's Agronomy Research Farm in </w:t>
      </w:r>
      <w:r w:rsidR="00814673">
        <w:t>Ayodhya</w:t>
      </w:r>
      <w:r>
        <w:t xml:space="preserve">, Uttar Pradesh, India, during the 2017 kharif season. The terrain was adequately leveled with favorable soil conditions. </w:t>
      </w:r>
      <w:r w:rsidR="00814673">
        <w:t xml:space="preserve">Ayodhya </w:t>
      </w:r>
      <w:r>
        <w:t>(Kumarganj) is located in a subtropical climate at a latitude of 26.470° North and a longitude of 82.120° East, with an elevation of 113 meters above sea level</w:t>
      </w:r>
      <w:r w:rsidR="00080262" w:rsidRPr="00080262">
        <w:rPr>
          <w:color w:val="000000" w:themeColor="text1"/>
        </w:rPr>
        <w:t>.</w:t>
      </w:r>
    </w:p>
    <w:p w14:paraId="6FA2689C" w14:textId="77777777" w:rsidR="00EC68B9" w:rsidRDefault="00B9299E" w:rsidP="004E585F">
      <w:pPr>
        <w:spacing w:line="360" w:lineRule="auto"/>
        <w:ind w:left="-567"/>
        <w:jc w:val="both"/>
        <w:rPr>
          <w:color w:val="FF0000"/>
        </w:rPr>
      </w:pPr>
      <w:r>
        <w:rPr>
          <w:b/>
          <w:color w:val="000000"/>
        </w:rPr>
        <w:t xml:space="preserve">2.2 </w:t>
      </w:r>
      <w:r w:rsidRPr="00B9299E">
        <w:rPr>
          <w:b/>
          <w:i/>
          <w:color w:val="000000"/>
        </w:rPr>
        <w:t>Treatments and design</w:t>
      </w:r>
    </w:p>
    <w:p w14:paraId="2E466667" w14:textId="77777777" w:rsidR="00814673" w:rsidRDefault="00C575EC" w:rsidP="004E585F">
      <w:pPr>
        <w:spacing w:line="360" w:lineRule="auto"/>
        <w:ind w:left="-567"/>
        <w:jc w:val="both"/>
      </w:pPr>
      <w:r w:rsidRPr="00C575EC">
        <w:t>The experiment implemented a split plot design, featuring three rice varieties as main plots and three nutritional levels as subplots, reproduced four times.  The treatment combinations consist of three prevalent rice types (M</w:t>
      </w:r>
      <w:r w:rsidRPr="005E4A68">
        <w:rPr>
          <w:vertAlign w:val="subscript"/>
        </w:rPr>
        <w:t>1</w:t>
      </w:r>
      <w:r w:rsidRPr="00C575EC">
        <w:t>- NDR-97, M</w:t>
      </w:r>
      <w:r w:rsidRPr="005E4A68">
        <w:rPr>
          <w:vertAlign w:val="subscript"/>
        </w:rPr>
        <w:t>2</w:t>
      </w:r>
      <w:r w:rsidRPr="00C575EC">
        <w:t>- Sarjoo-52, and M</w:t>
      </w:r>
      <w:r w:rsidRPr="005E4A68">
        <w:rPr>
          <w:vertAlign w:val="subscript"/>
        </w:rPr>
        <w:t>3</w:t>
      </w:r>
      <w:r w:rsidRPr="00C575EC">
        <w:t>- Mahsuri) as primary treatments and three distinct nutritional levels (N</w:t>
      </w:r>
      <w:r w:rsidRPr="005E4A68">
        <w:rPr>
          <w:vertAlign w:val="subscript"/>
        </w:rPr>
        <w:t>1</w:t>
      </w:r>
      <w:r w:rsidRPr="00C575EC">
        <w:t>- 100% RDF, N</w:t>
      </w:r>
      <w:r w:rsidRPr="005E4A68">
        <w:rPr>
          <w:vertAlign w:val="subscript"/>
        </w:rPr>
        <w:t>2</w:t>
      </w:r>
      <w:r w:rsidRPr="00C575EC">
        <w:t>- 75% RDF + 25% FYM, and N</w:t>
      </w:r>
      <w:r w:rsidRPr="005E4A68">
        <w:rPr>
          <w:vertAlign w:val="subscript"/>
        </w:rPr>
        <w:t>3</w:t>
      </w:r>
      <w:r w:rsidRPr="00C575EC">
        <w:t>- 75% RDF + 25% Vermicompost) as subplot treatments, respectively.  The dimensions of the experimental plot were 5.0 m by 3.0 m.  The seedlings of several rice types, aged 21 days, were transplanted using a spacing of 25 cm × 25 cm.  The experimental field was equipped with enough irrigation channels, and the individual plots were delineated by bunds.</w:t>
      </w:r>
    </w:p>
    <w:p w14:paraId="44940EA6" w14:textId="6F29B660" w:rsidR="00EC68B9" w:rsidRPr="00AB680E" w:rsidRDefault="002F36F0" w:rsidP="004E585F">
      <w:pPr>
        <w:spacing w:line="360" w:lineRule="auto"/>
        <w:ind w:left="-567"/>
        <w:jc w:val="both"/>
        <w:rPr>
          <w:color w:val="000000" w:themeColor="text1"/>
        </w:rPr>
      </w:pPr>
      <w:r w:rsidRPr="00AB680E">
        <w:rPr>
          <w:b/>
          <w:color w:val="000000" w:themeColor="text1"/>
        </w:rPr>
        <w:t xml:space="preserve">2.3 </w:t>
      </w:r>
      <w:r w:rsidR="00232F90" w:rsidRPr="00AB680E">
        <w:rPr>
          <w:b/>
          <w:i/>
          <w:color w:val="000000" w:themeColor="text1"/>
        </w:rPr>
        <w:t>Soil properties</w:t>
      </w:r>
      <w:r w:rsidR="00232F90" w:rsidRPr="00AB680E">
        <w:rPr>
          <w:b/>
          <w:color w:val="000000" w:themeColor="text1"/>
        </w:rPr>
        <w:t xml:space="preserve"> and </w:t>
      </w:r>
      <w:r w:rsidRPr="00AB680E">
        <w:rPr>
          <w:b/>
          <w:i/>
          <w:color w:val="000000" w:themeColor="text1"/>
        </w:rPr>
        <w:t>Fertilizer application</w:t>
      </w:r>
    </w:p>
    <w:p w14:paraId="7F02D862" w14:textId="74C266C4" w:rsidR="00C575EC" w:rsidRDefault="00C575EC" w:rsidP="004E585F">
      <w:pPr>
        <w:spacing w:line="360" w:lineRule="auto"/>
        <w:ind w:left="-567"/>
        <w:jc w:val="both"/>
        <w:rPr>
          <w:color w:val="000000" w:themeColor="text1"/>
        </w:rPr>
      </w:pPr>
      <w:r w:rsidRPr="00C575EC">
        <w:rPr>
          <w:color w:val="000000" w:themeColor="text1"/>
        </w:rPr>
        <w:t>The experimental soil exhibited a silty loam texture, an alkaline response, non-saline characteristics, low organic carbon content, low available nitrogen (N - 161.43 kg ha</w:t>
      </w:r>
      <w:r w:rsidRPr="004B6389">
        <w:rPr>
          <w:color w:val="000000" w:themeColor="text1"/>
          <w:vertAlign w:val="superscript"/>
        </w:rPr>
        <w:t>-1</w:t>
      </w:r>
      <w:r w:rsidRPr="00C575EC">
        <w:rPr>
          <w:color w:val="000000" w:themeColor="text1"/>
        </w:rPr>
        <w:t>), and medium levels of accessible phosphorus (P</w:t>
      </w:r>
      <w:r w:rsidRPr="005E4A68">
        <w:rPr>
          <w:color w:val="000000" w:themeColor="text1"/>
          <w:vertAlign w:val="subscript"/>
        </w:rPr>
        <w:t>2</w:t>
      </w:r>
      <w:r w:rsidRPr="00C575EC">
        <w:rPr>
          <w:color w:val="000000" w:themeColor="text1"/>
        </w:rPr>
        <w:t>O</w:t>
      </w:r>
      <w:r w:rsidRPr="005E4A68">
        <w:rPr>
          <w:color w:val="000000" w:themeColor="text1"/>
          <w:vertAlign w:val="subscript"/>
        </w:rPr>
        <w:t>5</w:t>
      </w:r>
      <w:r w:rsidRPr="00C575EC">
        <w:rPr>
          <w:color w:val="000000" w:themeColor="text1"/>
        </w:rPr>
        <w:t xml:space="preserve"> - 14.71 kg ha</w:t>
      </w:r>
      <w:r w:rsidRPr="004B6389">
        <w:rPr>
          <w:color w:val="000000" w:themeColor="text1"/>
          <w:vertAlign w:val="superscript"/>
        </w:rPr>
        <w:t>-1</w:t>
      </w:r>
      <w:r w:rsidRPr="00C575EC">
        <w:rPr>
          <w:color w:val="000000" w:themeColor="text1"/>
        </w:rPr>
        <w:t>) and potassium (K</w:t>
      </w:r>
      <w:r w:rsidRPr="005E4A68">
        <w:rPr>
          <w:color w:val="000000" w:themeColor="text1"/>
          <w:vertAlign w:val="subscript"/>
        </w:rPr>
        <w:t>2</w:t>
      </w:r>
      <w:r w:rsidRPr="00C575EC">
        <w:rPr>
          <w:color w:val="000000" w:themeColor="text1"/>
        </w:rPr>
        <w:t>O - 240.33 kg ha</w:t>
      </w:r>
      <w:r w:rsidRPr="005E4A68">
        <w:rPr>
          <w:color w:val="000000" w:themeColor="text1"/>
          <w:vertAlign w:val="superscript"/>
        </w:rPr>
        <w:t>-1</w:t>
      </w:r>
      <w:r w:rsidRPr="00C575EC">
        <w:rPr>
          <w:color w:val="000000" w:themeColor="text1"/>
        </w:rPr>
        <w:t>) during the kharif season of 2017.  Nutrient application was conducted according to the treatment protocol.  The advised application rate of fertilizer, specifically N, P</w:t>
      </w:r>
      <w:r w:rsidRPr="005E4A68">
        <w:rPr>
          <w:color w:val="000000" w:themeColor="text1"/>
          <w:vertAlign w:val="subscript"/>
        </w:rPr>
        <w:t>2</w:t>
      </w:r>
      <w:r w:rsidRPr="00C575EC">
        <w:rPr>
          <w:color w:val="000000" w:themeColor="text1"/>
        </w:rPr>
        <w:t>O</w:t>
      </w:r>
      <w:r w:rsidRPr="005E4A68">
        <w:rPr>
          <w:color w:val="000000" w:themeColor="text1"/>
          <w:vertAlign w:val="subscript"/>
        </w:rPr>
        <w:t>5</w:t>
      </w:r>
      <w:r w:rsidRPr="00C575EC">
        <w:rPr>
          <w:color w:val="000000" w:themeColor="text1"/>
        </w:rPr>
        <w:t>, K</w:t>
      </w:r>
      <w:r w:rsidRPr="005E4A68">
        <w:rPr>
          <w:color w:val="000000" w:themeColor="text1"/>
          <w:vertAlign w:val="subscript"/>
        </w:rPr>
        <w:t>2</w:t>
      </w:r>
      <w:r w:rsidRPr="00C575EC">
        <w:rPr>
          <w:color w:val="000000" w:themeColor="text1"/>
        </w:rPr>
        <w:t>O, and ZnSO</w:t>
      </w:r>
      <w:r w:rsidRPr="005E4A68">
        <w:rPr>
          <w:color w:val="000000" w:themeColor="text1"/>
          <w:vertAlign w:val="subscript"/>
        </w:rPr>
        <w:t>4</w:t>
      </w:r>
      <w:r w:rsidRPr="00C575EC">
        <w:rPr>
          <w:color w:val="000000" w:themeColor="text1"/>
        </w:rPr>
        <w:t xml:space="preserve"> at 150, 60, 60, and 25 kg ha</w:t>
      </w:r>
      <w:r w:rsidRPr="005E4A68">
        <w:rPr>
          <w:color w:val="000000" w:themeColor="text1"/>
          <w:vertAlign w:val="superscript"/>
        </w:rPr>
        <w:t>-1</w:t>
      </w:r>
      <w:r w:rsidRPr="00C575EC">
        <w:rPr>
          <w:color w:val="000000" w:themeColor="text1"/>
        </w:rPr>
        <w:t xml:space="preserve">, respectively, was utilized.  In the primary plots, fifty percent of the total nitrogen supply, together with the complete dosage of phosphorus and potassium, was applied just prior to transplanting on a puddled surface and physically integrated into the top 15 cm of soil using a spade.  Zinc sulfate was applied at a rate of 25 kilogram per hectare.  The residual half quantity of </w:t>
      </w:r>
      <w:r w:rsidRPr="00C575EC">
        <w:rPr>
          <w:color w:val="000000" w:themeColor="text1"/>
        </w:rPr>
        <w:lastRenderedPageBreak/>
        <w:t>nitrogen was applied using urea fertilizer in two equal installments during the active tillering stage and 5-7 days prior to panicle commencement.  Farmyard manure and vermicompost were manually integrated into the plots</w:t>
      </w:r>
      <w:r w:rsidR="008E56A3">
        <w:rPr>
          <w:color w:val="000000" w:themeColor="text1"/>
        </w:rPr>
        <w:t xml:space="preserve"> at the time of sowing </w:t>
      </w:r>
      <w:r w:rsidRPr="00C575EC">
        <w:rPr>
          <w:color w:val="000000" w:themeColor="text1"/>
        </w:rPr>
        <w:t>according to the treatment specifications.</w:t>
      </w:r>
    </w:p>
    <w:p w14:paraId="2B341EE4" w14:textId="77777777" w:rsidR="00EC68B9" w:rsidRPr="00F0277F" w:rsidRDefault="00B9299E" w:rsidP="004E585F">
      <w:pPr>
        <w:spacing w:line="360" w:lineRule="auto"/>
        <w:ind w:left="-567"/>
        <w:jc w:val="both"/>
        <w:rPr>
          <w:color w:val="000000" w:themeColor="text1"/>
        </w:rPr>
      </w:pPr>
      <w:r w:rsidRPr="00F0277F">
        <w:rPr>
          <w:b/>
          <w:color w:val="000000" w:themeColor="text1"/>
        </w:rPr>
        <w:t>2.</w:t>
      </w:r>
      <w:r w:rsidR="008F58FC" w:rsidRPr="00F0277F">
        <w:rPr>
          <w:b/>
          <w:color w:val="000000" w:themeColor="text1"/>
        </w:rPr>
        <w:t>4</w:t>
      </w:r>
      <w:r w:rsidRPr="00F0277F">
        <w:rPr>
          <w:b/>
          <w:color w:val="000000" w:themeColor="text1"/>
        </w:rPr>
        <w:t xml:space="preserve"> </w:t>
      </w:r>
      <w:r w:rsidRPr="00F0277F">
        <w:rPr>
          <w:b/>
          <w:i/>
          <w:color w:val="000000" w:themeColor="text1"/>
        </w:rPr>
        <w:t>Calculations and statistical analysis</w:t>
      </w:r>
    </w:p>
    <w:p w14:paraId="0991CAE7" w14:textId="0414DCDA" w:rsidR="00EC68B9" w:rsidRPr="00F0277F" w:rsidRDefault="00500512" w:rsidP="005E4A68">
      <w:pPr>
        <w:spacing w:line="360" w:lineRule="auto"/>
        <w:ind w:left="-567"/>
        <w:jc w:val="both"/>
        <w:rPr>
          <w:color w:val="000000" w:themeColor="text1"/>
        </w:rPr>
      </w:pPr>
      <w:r w:rsidRPr="00F0277F">
        <w:rPr>
          <w:color w:val="000000" w:themeColor="text1"/>
        </w:rPr>
        <w:t>All data obtained from the exper</w:t>
      </w:r>
      <w:r w:rsidR="00F0277F" w:rsidRPr="00F0277F">
        <w:rPr>
          <w:color w:val="000000" w:themeColor="text1"/>
        </w:rPr>
        <w:t>iment, conducted under randomized</w:t>
      </w:r>
      <w:r w:rsidRPr="00F0277F">
        <w:rPr>
          <w:color w:val="000000" w:themeColor="text1"/>
        </w:rPr>
        <w:t xml:space="preserve"> block design were statistically analyzed using the F-test as per the procedure given by Gomez and Gomez (1984). Critical differences (CD) values at P = 0.05 were used to determine the significance of difference between treatment means. Treatment differences that were non-significant were denoted by NS. The </w:t>
      </w:r>
      <w:r w:rsidR="00F0277F" w:rsidRPr="00F0277F">
        <w:rPr>
          <w:color w:val="000000" w:themeColor="text1"/>
        </w:rPr>
        <w:t xml:space="preserve">crop growth, </w:t>
      </w:r>
      <w:r w:rsidRPr="00F0277F">
        <w:rPr>
          <w:color w:val="000000" w:themeColor="text1"/>
        </w:rPr>
        <w:t xml:space="preserve">yield and yield attributes data were recorded, analyzed </w:t>
      </w:r>
      <w:r w:rsidR="00FC237B">
        <w:rPr>
          <w:color w:val="000000" w:themeColor="text1"/>
        </w:rPr>
        <w:t xml:space="preserve">using the software OPSTAT </w:t>
      </w:r>
      <w:r w:rsidRPr="00F0277F">
        <w:rPr>
          <w:color w:val="000000" w:themeColor="text1"/>
        </w:rPr>
        <w:t>and tabulated after statistical test.</w:t>
      </w:r>
    </w:p>
    <w:p w14:paraId="3921AAA1" w14:textId="77777777" w:rsidR="00EC68B9" w:rsidRDefault="00B9299E" w:rsidP="004E585F">
      <w:pPr>
        <w:spacing w:line="360" w:lineRule="auto"/>
        <w:ind w:left="-567"/>
        <w:jc w:val="both"/>
        <w:rPr>
          <w:color w:val="FF0000"/>
        </w:rPr>
      </w:pPr>
      <w:r>
        <w:rPr>
          <w:b/>
          <w:lang w:val="en-IN"/>
        </w:rPr>
        <w:t xml:space="preserve">3. </w:t>
      </w:r>
      <w:r w:rsidR="00B24950" w:rsidRPr="00B24950">
        <w:rPr>
          <w:b/>
          <w:lang w:val="en-IN"/>
        </w:rPr>
        <w:t>RESULT AND DISCUSSION:</w:t>
      </w:r>
    </w:p>
    <w:p w14:paraId="5B9BAA7E" w14:textId="77777777" w:rsidR="00496FAE" w:rsidRDefault="00C028D0" w:rsidP="00F17425">
      <w:pPr>
        <w:autoSpaceDE w:val="0"/>
        <w:autoSpaceDN w:val="0"/>
        <w:adjustRightInd w:val="0"/>
        <w:spacing w:line="360" w:lineRule="auto"/>
        <w:ind w:left="-567"/>
        <w:jc w:val="both"/>
        <w:rPr>
          <w:b/>
        </w:rPr>
      </w:pPr>
      <w:r>
        <w:rPr>
          <w:b/>
        </w:rPr>
        <w:t>3</w:t>
      </w:r>
      <w:r w:rsidR="006333B1" w:rsidRPr="006333B1">
        <w:rPr>
          <w:b/>
        </w:rPr>
        <w:t>.</w:t>
      </w:r>
      <w:r w:rsidR="00697DBE">
        <w:rPr>
          <w:b/>
        </w:rPr>
        <w:t>1</w:t>
      </w:r>
      <w:r w:rsidR="006333B1" w:rsidRPr="006333B1">
        <w:rPr>
          <w:b/>
        </w:rPr>
        <w:t>.</w:t>
      </w:r>
      <w:r w:rsidR="00496FAE">
        <w:rPr>
          <w:b/>
        </w:rPr>
        <w:t xml:space="preserve"> Crop Yield</w:t>
      </w:r>
    </w:p>
    <w:p w14:paraId="5E5AFCD9" w14:textId="60DDFBFF" w:rsidR="00C575EC" w:rsidRDefault="00697DBE" w:rsidP="005E4A68">
      <w:pPr>
        <w:autoSpaceDE w:val="0"/>
        <w:autoSpaceDN w:val="0"/>
        <w:adjustRightInd w:val="0"/>
        <w:spacing w:line="360" w:lineRule="auto"/>
        <w:ind w:left="-567"/>
        <w:jc w:val="both"/>
      </w:pPr>
      <w:r>
        <w:rPr>
          <w:b/>
        </w:rPr>
        <w:t>3.1</w:t>
      </w:r>
      <w:r w:rsidR="00496FAE">
        <w:rPr>
          <w:b/>
        </w:rPr>
        <w:t xml:space="preserve">.1 </w:t>
      </w:r>
      <w:r w:rsidR="006333B1" w:rsidRPr="006333B1">
        <w:rPr>
          <w:b/>
        </w:rPr>
        <w:t>Grain Yield (t</w:t>
      </w:r>
      <w:r w:rsidR="005E4A68">
        <w:rPr>
          <w:b/>
        </w:rPr>
        <w:t xml:space="preserve"> </w:t>
      </w:r>
      <w:r w:rsidR="006333B1" w:rsidRPr="006333B1">
        <w:rPr>
          <w:b/>
        </w:rPr>
        <w:t>ha</w:t>
      </w:r>
      <w:r w:rsidR="006333B1" w:rsidRPr="006333B1">
        <w:rPr>
          <w:b/>
          <w:vertAlign w:val="superscript"/>
        </w:rPr>
        <w:t>-1</w:t>
      </w:r>
      <w:r w:rsidR="006333B1" w:rsidRPr="006333B1">
        <w:rPr>
          <w:b/>
        </w:rPr>
        <w:t>):</w:t>
      </w:r>
      <w:r w:rsidR="005E4A68">
        <w:rPr>
          <w:b/>
        </w:rPr>
        <w:t xml:space="preserve"> </w:t>
      </w:r>
      <w:r w:rsidR="00C575EC">
        <w:t>The</w:t>
      </w:r>
      <w:r w:rsidR="005E4A68">
        <w:t xml:space="preserve"> </w:t>
      </w:r>
      <w:r w:rsidR="00C575EC">
        <w:t>grain yield of the long-duration variety Mahsuri was maximal at 5.17 t ha</w:t>
      </w:r>
      <w:r w:rsidR="00C575EC" w:rsidRPr="005E4A68">
        <w:rPr>
          <w:vertAlign w:val="superscript"/>
        </w:rPr>
        <w:t>-1</w:t>
      </w:r>
      <w:r w:rsidR="00C575EC">
        <w:t>, greatly surpassing the output of variety NDR-97, which was 3.86 t ha</w:t>
      </w:r>
      <w:r w:rsidR="00C575EC" w:rsidRPr="005E4A68">
        <w:rPr>
          <w:vertAlign w:val="superscript"/>
        </w:rPr>
        <w:t>-1</w:t>
      </w:r>
      <w:r w:rsidR="00C575EC">
        <w:t>. The variety Sarjoo-52 achieved a grain yield of 4.97 t ha</w:t>
      </w:r>
      <w:r w:rsidR="00C575EC" w:rsidRPr="005E4A68">
        <w:rPr>
          <w:vertAlign w:val="superscript"/>
        </w:rPr>
        <w:t>-1</w:t>
      </w:r>
      <w:r w:rsidR="00C575EC">
        <w:t>. The data clearly indicate that grain yield was substantially influenced by various combinations of inorganic and organic nutrition sources (</w:t>
      </w:r>
      <w:r w:rsidR="00420B3D">
        <w:t>Fig.</w:t>
      </w:r>
      <w:r w:rsidR="00C575EC">
        <w:t>1). The highest grain production of 4.76 t ha</w:t>
      </w:r>
      <w:r w:rsidR="00C575EC" w:rsidRPr="005E4A68">
        <w:rPr>
          <w:vertAlign w:val="superscript"/>
        </w:rPr>
        <w:t>-1</w:t>
      </w:r>
      <w:r w:rsidR="00C575EC">
        <w:t xml:space="preserve"> was seen in the treatment with 100% RDF, which was considerably superior to the treatments N</w:t>
      </w:r>
      <w:r w:rsidR="00C575EC" w:rsidRPr="005E4A68">
        <w:rPr>
          <w:vertAlign w:val="subscript"/>
        </w:rPr>
        <w:t>2</w:t>
      </w:r>
      <w:r w:rsidR="00C575EC">
        <w:t xml:space="preserve"> (75% RDF + 25% FYM) and N</w:t>
      </w:r>
      <w:r w:rsidR="00C575EC" w:rsidRPr="005E4A68">
        <w:rPr>
          <w:vertAlign w:val="subscript"/>
        </w:rPr>
        <w:t>3</w:t>
      </w:r>
      <w:r w:rsidR="00C575EC">
        <w:t xml:space="preserve"> (75% RDF + 25% vermicompost). The treatment with 100% RDF (N</w:t>
      </w:r>
      <w:r w:rsidR="00C575EC" w:rsidRPr="005E4A68">
        <w:rPr>
          <w:vertAlign w:val="subscript"/>
        </w:rPr>
        <w:t>1</w:t>
      </w:r>
      <w:r w:rsidR="00C575EC">
        <w:t>) exhibited a percentage improvement in grain output of 13.44% over 75% RDF + 25% FYM (N</w:t>
      </w:r>
      <w:r w:rsidR="00C575EC" w:rsidRPr="005E4A68">
        <w:rPr>
          <w:vertAlign w:val="subscript"/>
        </w:rPr>
        <w:t>2</w:t>
      </w:r>
      <w:r w:rsidR="00C575EC">
        <w:t>) and 7.98% over 75% RDF + 25% vermicompost (N</w:t>
      </w:r>
      <w:r w:rsidR="00C575EC" w:rsidRPr="005E4A68">
        <w:rPr>
          <w:vertAlign w:val="subscript"/>
        </w:rPr>
        <w:t>3</w:t>
      </w:r>
      <w:r w:rsidR="00C575EC">
        <w:t>).</w:t>
      </w:r>
    </w:p>
    <w:p w14:paraId="1C230296" w14:textId="1588167B" w:rsidR="00010011" w:rsidRDefault="00010011" w:rsidP="00010011">
      <w:pPr>
        <w:autoSpaceDE w:val="0"/>
        <w:autoSpaceDN w:val="0"/>
        <w:adjustRightInd w:val="0"/>
        <w:spacing w:line="360" w:lineRule="auto"/>
        <w:ind w:left="-567"/>
        <w:jc w:val="center"/>
      </w:pPr>
      <w:r>
        <w:rPr>
          <w:noProof/>
        </w:rPr>
        <w:drawing>
          <wp:inline distT="0" distB="0" distL="0" distR="0" wp14:anchorId="62EADB84" wp14:editId="7F7D62B1">
            <wp:extent cx="4584700" cy="2359660"/>
            <wp:effectExtent l="0" t="0" r="0" b="0"/>
            <wp:docPr id="1226772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359660"/>
                    </a:xfrm>
                    <a:prstGeom prst="rect">
                      <a:avLst/>
                    </a:prstGeom>
                    <a:noFill/>
                  </pic:spPr>
                </pic:pic>
              </a:graphicData>
            </a:graphic>
          </wp:inline>
        </w:drawing>
      </w:r>
    </w:p>
    <w:p w14:paraId="63A2F90E" w14:textId="51895F12" w:rsidR="006333B1" w:rsidRPr="00010011" w:rsidRDefault="00010011" w:rsidP="00010011">
      <w:pPr>
        <w:spacing w:after="120" w:line="276" w:lineRule="auto"/>
        <w:ind w:left="1260" w:hanging="1260"/>
        <w:jc w:val="center"/>
        <w:rPr>
          <w:b/>
          <w:sz w:val="22"/>
          <w:szCs w:val="22"/>
        </w:rPr>
      </w:pPr>
      <w:r w:rsidRPr="00010011">
        <w:rPr>
          <w:b/>
          <w:sz w:val="22"/>
          <w:szCs w:val="22"/>
        </w:rPr>
        <w:t xml:space="preserve">Fig </w:t>
      </w:r>
      <w:r w:rsidR="00D031CE" w:rsidRPr="00010011">
        <w:rPr>
          <w:b/>
          <w:sz w:val="22"/>
          <w:szCs w:val="22"/>
        </w:rPr>
        <w:t>1</w:t>
      </w:r>
      <w:r w:rsidR="006333B1" w:rsidRPr="00010011">
        <w:rPr>
          <w:b/>
          <w:sz w:val="22"/>
          <w:szCs w:val="22"/>
        </w:rPr>
        <w:t>: Yield and harvest index of rice as affected by various treatments.</w:t>
      </w:r>
    </w:p>
    <w:p w14:paraId="3A7EBEB5" w14:textId="77777777" w:rsidR="00C028D0" w:rsidRDefault="00697DBE" w:rsidP="00F17425">
      <w:pPr>
        <w:autoSpaceDE w:val="0"/>
        <w:autoSpaceDN w:val="0"/>
        <w:adjustRightInd w:val="0"/>
        <w:spacing w:before="120" w:line="360" w:lineRule="auto"/>
        <w:ind w:left="-567"/>
        <w:jc w:val="both"/>
        <w:rPr>
          <w:b/>
        </w:rPr>
      </w:pPr>
      <w:r>
        <w:rPr>
          <w:b/>
        </w:rPr>
        <w:t>3.1</w:t>
      </w:r>
      <w:r w:rsidR="00496FAE">
        <w:rPr>
          <w:b/>
        </w:rPr>
        <w:t>.2</w:t>
      </w:r>
      <w:r w:rsidR="006333B1" w:rsidRPr="006333B1">
        <w:rPr>
          <w:b/>
        </w:rPr>
        <w:t>. Straw Yield (t ha</w:t>
      </w:r>
      <w:r w:rsidR="006333B1" w:rsidRPr="006333B1">
        <w:rPr>
          <w:b/>
          <w:vertAlign w:val="superscript"/>
        </w:rPr>
        <w:t>-1</w:t>
      </w:r>
      <w:r w:rsidR="006333B1" w:rsidRPr="006333B1">
        <w:rPr>
          <w:b/>
        </w:rPr>
        <w:t>):</w:t>
      </w:r>
    </w:p>
    <w:p w14:paraId="2B66ED76" w14:textId="541E43D3" w:rsidR="006166BC" w:rsidRDefault="006166BC" w:rsidP="004B6389">
      <w:pPr>
        <w:autoSpaceDE w:val="0"/>
        <w:autoSpaceDN w:val="0"/>
        <w:adjustRightInd w:val="0"/>
        <w:spacing w:before="120" w:line="360" w:lineRule="auto"/>
        <w:ind w:left="-567"/>
        <w:jc w:val="both"/>
      </w:pPr>
      <w:r>
        <w:t>The highest straw yield of 6.62 t ha</w:t>
      </w:r>
      <w:r w:rsidRPr="005E4A68">
        <w:rPr>
          <w:vertAlign w:val="superscript"/>
        </w:rPr>
        <w:t>-1</w:t>
      </w:r>
      <w:r>
        <w:t xml:space="preserve"> was recorded for the variety Mahsuri, while the variety Sarjoo-52 yielded 6.02 t ha</w:t>
      </w:r>
      <w:r w:rsidRPr="005E4A68">
        <w:rPr>
          <w:vertAlign w:val="superscript"/>
        </w:rPr>
        <w:t>-1</w:t>
      </w:r>
      <w:r>
        <w:t xml:space="preserve"> (</w:t>
      </w:r>
      <w:r w:rsidR="00420B3D">
        <w:t>Fig.1</w:t>
      </w:r>
      <w:r>
        <w:t>). The variety NDR-97 yielded a straw production of 4.41 t ha</w:t>
      </w:r>
      <w:r w:rsidRPr="005E4A68">
        <w:rPr>
          <w:vertAlign w:val="superscript"/>
        </w:rPr>
        <w:t>-1</w:t>
      </w:r>
      <w:r>
        <w:t xml:space="preserve">, </w:t>
      </w:r>
      <w:r>
        <w:lastRenderedPageBreak/>
        <w:t>which was the lowest among the three types evaluated in the study. The diverse fertilizer sources significantly influenced straw yield. The treatment utilizing 100% RDF yielded the highest straw production of 5.91 t ha</w:t>
      </w:r>
      <w:r w:rsidRPr="005E4A68">
        <w:rPr>
          <w:vertAlign w:val="superscript"/>
        </w:rPr>
        <w:t>-1</w:t>
      </w:r>
      <w:r>
        <w:t>, greatly surpassing the N</w:t>
      </w:r>
      <w:r w:rsidRPr="005E4A68">
        <w:rPr>
          <w:vertAlign w:val="subscript"/>
        </w:rPr>
        <w:t>3</w:t>
      </w:r>
      <w:r>
        <w:t xml:space="preserve"> (75% RDF + 25% vermicompost) and N</w:t>
      </w:r>
      <w:r w:rsidRPr="005E4A68">
        <w:rPr>
          <w:vertAlign w:val="subscript"/>
        </w:rPr>
        <w:t>2</w:t>
      </w:r>
      <w:r>
        <w:t xml:space="preserve"> (75% RDF + 25% FYM) treatments throughout the study. </w:t>
      </w:r>
      <w:r>
        <w:br/>
        <w:t xml:space="preserve">The yields of grain and straw in rice were greatly impacted by the crop type. The Mahsuri variety produced markedly greater grain and straw yields, followed by Sarjoo-52 and NDR-97, respectively. Yield is a function of the intricate interrelationship between growth during the vegetative period and yield qualities. Mahsuri exhibited superior crop growth and development due to its genetic characteristics, leading to enhanced yield qualities that directly influenced grain and straw production. Enhanced vegetative development, along with superior yield characteristics, led to increased grain and straw yield. The greater number of panicles per unit area, larger panicle size, and higher percentage of filled grains in Mahsuri compared to other types may account for the superiority of this treatment. The genetic composition may have resulted in considerable heterogeneity in grain and straw yield among different types (Singh </w:t>
      </w:r>
      <w:r w:rsidRPr="005E4A68">
        <w:rPr>
          <w:i/>
          <w:iCs/>
        </w:rPr>
        <w:t>et al</w:t>
      </w:r>
      <w:r>
        <w:t xml:space="preserve">., 2012; Das and Chandra, 2013). The yield obtained with 100% RDF was markedly superior than those of the other treatments. This may result from sufficient nutrient availability, which facilitated increased dry matter accumulation. The productivity of a crop is collectively influenced by the vigor of vegetative growth, development, and yield qualities, which arise from enhanced transfer of photosynthates from the leaves and stem to the grains. Seventy-five percent RDF combined with twenty-five percent vermicompost yielded superior grain and straw compared to seventy-five percent RDF with twenty-five percent FYM, likely due to its narrower C:N ratio and consequently enhanced nutrient availability, which may have facilitated increased yield. The findings align with those of Singh </w:t>
      </w:r>
      <w:r w:rsidRPr="005E4A68">
        <w:rPr>
          <w:i/>
          <w:iCs/>
        </w:rPr>
        <w:t>et al</w:t>
      </w:r>
      <w:r>
        <w:t>.</w:t>
      </w:r>
      <w:r w:rsidR="005E143C">
        <w:t>,</w:t>
      </w:r>
      <w:r>
        <w:t xml:space="preserve"> (2013) and Tomar </w:t>
      </w:r>
      <w:r w:rsidRPr="005E4A68">
        <w:rPr>
          <w:i/>
          <w:iCs/>
        </w:rPr>
        <w:t>et al</w:t>
      </w:r>
      <w:r>
        <w:t>.</w:t>
      </w:r>
      <w:r w:rsidR="005E143C">
        <w:t>,</w:t>
      </w:r>
      <w:r>
        <w:t xml:space="preserve"> (2018).</w:t>
      </w:r>
    </w:p>
    <w:p w14:paraId="26B09B30" w14:textId="77777777" w:rsidR="00C028D0" w:rsidRDefault="00496FAE" w:rsidP="00F17425">
      <w:pPr>
        <w:autoSpaceDE w:val="0"/>
        <w:autoSpaceDN w:val="0"/>
        <w:adjustRightInd w:val="0"/>
        <w:spacing w:before="120" w:line="360" w:lineRule="auto"/>
        <w:ind w:left="-567"/>
        <w:jc w:val="both"/>
        <w:rPr>
          <w:b/>
        </w:rPr>
      </w:pPr>
      <w:r>
        <w:rPr>
          <w:b/>
        </w:rPr>
        <w:t>3.3.3</w:t>
      </w:r>
      <w:r w:rsidR="006333B1" w:rsidRPr="006333B1">
        <w:rPr>
          <w:b/>
        </w:rPr>
        <w:t>. Harvest Index:</w:t>
      </w:r>
    </w:p>
    <w:p w14:paraId="603E59AD" w14:textId="742008A4" w:rsidR="006166BC" w:rsidRDefault="006166BC" w:rsidP="006166BC">
      <w:pPr>
        <w:autoSpaceDE w:val="0"/>
        <w:autoSpaceDN w:val="0"/>
        <w:adjustRightInd w:val="0"/>
        <w:spacing w:line="360" w:lineRule="auto"/>
        <w:ind w:left="-567"/>
        <w:jc w:val="both"/>
      </w:pPr>
      <w:r>
        <w:t>The harvest index denotes the correlation between economic yield and biological yield (</w:t>
      </w:r>
      <w:r w:rsidR="00420B3D">
        <w:t>Fig.1</w:t>
      </w:r>
      <w:r>
        <w:t>).  The highest harvest index of 45.21% was seen in Mahsuri, followed by the Sarjoo-52 variety, which recorded a harvest value of 43.85%.  The cultivar NDR-97 exhibited a minimum harvest index of 43.59%.  The statistics clearly indicate that the harvest index was substantially influenced by the different nutrient combinations.  The highest harvest index was recorded with 100% RDF, followed by N3 (75% RDF + 25% Vermicompost), while the lowest was reported with (75% RDF + 25% FYM) throughout the experiment.</w:t>
      </w:r>
    </w:p>
    <w:p w14:paraId="53032880" w14:textId="002B55FE" w:rsidR="006166BC" w:rsidRDefault="006166BC" w:rsidP="006166BC">
      <w:pPr>
        <w:autoSpaceDE w:val="0"/>
        <w:autoSpaceDN w:val="0"/>
        <w:adjustRightInd w:val="0"/>
        <w:spacing w:line="360" w:lineRule="auto"/>
        <w:ind w:left="-567"/>
        <w:jc w:val="both"/>
      </w:pPr>
      <w:r>
        <w:t xml:space="preserve"> The harvest index is the ratio of grain yield to total biological yield (grain plus straw).  The harvest index indicates the efficiency of converting dry matter into the grain component.  The various types and nutritional levels significantly influenced the grain yield of rice per unit of biological yield.  The harvest index was dramatically affected by varying sources and nutrient levels.  The elevated </w:t>
      </w:r>
      <w:r>
        <w:lastRenderedPageBreak/>
        <w:t>harvest index was seen with 100% RDF (44.74%), attributable to the increased grain production of rice per unit of biological yield, resulting in a higher harvest index.  Treatment N</w:t>
      </w:r>
      <w:r w:rsidRPr="005E4A68">
        <w:rPr>
          <w:vertAlign w:val="subscript"/>
        </w:rPr>
        <w:t>3</w:t>
      </w:r>
      <w:r>
        <w:t xml:space="preserve"> (75% RDF + 25% vermicompost) outperformed treatment N</w:t>
      </w:r>
      <w:r w:rsidRPr="005E4A68">
        <w:rPr>
          <w:vertAlign w:val="subscript"/>
        </w:rPr>
        <w:t>2</w:t>
      </w:r>
      <w:r>
        <w:t xml:space="preserve"> (75% RDF + 25% FYM) in terms of grain yield relative to biological yield.  Comparable findings were reported by Singh </w:t>
      </w:r>
      <w:r w:rsidRPr="005E4A68">
        <w:rPr>
          <w:i/>
          <w:iCs/>
        </w:rPr>
        <w:t>et al</w:t>
      </w:r>
      <w:r>
        <w:t>.</w:t>
      </w:r>
      <w:r w:rsidR="00A028D9">
        <w:t>,</w:t>
      </w:r>
      <w:r>
        <w:t xml:space="preserve"> (2012) and Singh A.K. (2017).</w:t>
      </w:r>
    </w:p>
    <w:p w14:paraId="3B358A7F" w14:textId="77777777" w:rsidR="00D66E74" w:rsidRDefault="00F15BE5" w:rsidP="006166BC">
      <w:pPr>
        <w:autoSpaceDE w:val="0"/>
        <w:autoSpaceDN w:val="0"/>
        <w:adjustRightInd w:val="0"/>
        <w:spacing w:line="360" w:lineRule="auto"/>
        <w:ind w:left="-567"/>
        <w:jc w:val="both"/>
      </w:pPr>
      <w:r>
        <w:rPr>
          <w:b/>
        </w:rPr>
        <w:t>3.2</w:t>
      </w:r>
      <w:r w:rsidR="00D66E74" w:rsidRPr="00D66E74">
        <w:rPr>
          <w:b/>
        </w:rPr>
        <w:t xml:space="preserve"> Nutrient content:</w:t>
      </w:r>
      <w:r w:rsidR="00D66E74" w:rsidRPr="00D66E74">
        <w:rPr>
          <w:b/>
        </w:rPr>
        <w:tab/>
      </w:r>
    </w:p>
    <w:p w14:paraId="100EF55E" w14:textId="77777777" w:rsidR="00D66E74" w:rsidRDefault="00F15BE5" w:rsidP="00D66E74">
      <w:pPr>
        <w:autoSpaceDE w:val="0"/>
        <w:autoSpaceDN w:val="0"/>
        <w:adjustRightInd w:val="0"/>
        <w:spacing w:line="360" w:lineRule="auto"/>
        <w:ind w:left="-567"/>
        <w:jc w:val="both"/>
      </w:pPr>
      <w:r>
        <w:rPr>
          <w:b/>
        </w:rPr>
        <w:t>3.2</w:t>
      </w:r>
      <w:r w:rsidR="00D66E74" w:rsidRPr="00D66E74">
        <w:rPr>
          <w:b/>
        </w:rPr>
        <w:t xml:space="preserve">.1. Nitrogen content in grain </w:t>
      </w:r>
      <w:r>
        <w:rPr>
          <w:b/>
        </w:rPr>
        <w:t xml:space="preserve">and straw </w:t>
      </w:r>
      <w:r w:rsidR="00D66E74" w:rsidRPr="00D66E74">
        <w:rPr>
          <w:b/>
        </w:rPr>
        <w:t>(%):</w:t>
      </w:r>
    </w:p>
    <w:p w14:paraId="28E7D8B6" w14:textId="660B38AC" w:rsidR="006166BC" w:rsidRDefault="006166BC" w:rsidP="00D66E74">
      <w:pPr>
        <w:autoSpaceDE w:val="0"/>
        <w:autoSpaceDN w:val="0"/>
        <w:adjustRightInd w:val="0"/>
        <w:spacing w:before="120" w:line="360" w:lineRule="auto"/>
        <w:ind w:left="-567"/>
        <w:jc w:val="both"/>
      </w:pPr>
      <w:r>
        <w:t xml:space="preserve">Nitrogen concentration in grain and straw affected by various cultivars and nutrient levels (Table </w:t>
      </w:r>
      <w:r w:rsidR="009E06B5">
        <w:t>1</w:t>
      </w:r>
      <w:r>
        <w:t>). The varieties exhibited no substantial impact on the nitrogen levels in the grain. The analysis of the data indicated that the nitrogen concentration in the cultivars Mahsuri, Sarjoo-52, and NDR-97 was 1.41%, 1.38%, and 1.35%, respectively. Of the three types, Mahsuri exhibited the highest nitrogen concentration, comparable to that of Sarjoo-52 and NDR-97, respectively. The application of the full recommended amount of fertilizer (RDF: 150, 60, 60 kg NPK ha</w:t>
      </w:r>
      <w:r w:rsidRPr="004B6389">
        <w:rPr>
          <w:vertAlign w:val="superscript"/>
        </w:rPr>
        <w:t>-1</w:t>
      </w:r>
      <w:r>
        <w:t>) resulted in the highest nitrogen concentration in grain, comparable to the treatment with 75% RDF plus 25% vermicompost (1.39%). The nitrogen concentration in the grain was markedly higher in the treatment with 75% RDF plus 25% vermicompost (1.39%) compared to the treatment with 75% RDF plus 25% FYM (1.33%). The various types markedly affected the nitrogen content in the straw. The highest nitrogen concentration (0.52%) was observed in the Mahsuri variety (V</w:t>
      </w:r>
      <w:r w:rsidRPr="005E4A68">
        <w:rPr>
          <w:vertAlign w:val="subscript"/>
        </w:rPr>
        <w:t>3</w:t>
      </w:r>
      <w:r>
        <w:t>), while the lowest (0.49%) was found in the NDR-97 variety (V</w:t>
      </w:r>
      <w:r w:rsidRPr="005E4A68">
        <w:rPr>
          <w:vertAlign w:val="subscript"/>
        </w:rPr>
        <w:t>1</w:t>
      </w:r>
      <w:r>
        <w:t>). The nitrogen concentration in straw was markedly affected by diverse food combinations. The highest nitrogen concentration in straw was observed with (N</w:t>
      </w:r>
      <w:r w:rsidRPr="005E4A68">
        <w:rPr>
          <w:vertAlign w:val="subscript"/>
        </w:rPr>
        <w:t>1</w:t>
      </w:r>
      <w:r>
        <w:t>) 100% RDF (0.52%), which was comparable to (N</w:t>
      </w:r>
      <w:r w:rsidRPr="005E4A68">
        <w:rPr>
          <w:vertAlign w:val="subscript"/>
        </w:rPr>
        <w:t>3</w:t>
      </w:r>
      <w:r>
        <w:t>) 75% RDF + 25% vermicompost, both of which were significantly superior to (N</w:t>
      </w:r>
      <w:r w:rsidRPr="005E4A68">
        <w:rPr>
          <w:vertAlign w:val="subscript"/>
        </w:rPr>
        <w:t>2</w:t>
      </w:r>
      <w:r>
        <w:t xml:space="preserve">) 75% RDF + 25% FYM (0.49%). </w:t>
      </w:r>
      <w:r>
        <w:br/>
        <w:t xml:space="preserve">The highest nitrogen content was observed in the Mahsuri variety, followed by Sarjoo-52 and NDR-97, respectively. The Mahsuri cultivar exhibited superior growth characteristics due to genetic factors, enabling it to effectively absorb larger nutrients from the soil under SRI conditions. Diverse nutritional sources were identified as affecting the nitrogen level of both grain and straw. The treatment receiving 100% RDF exhibited the highest nitrogen uptake in both grain and straw, likely attributable to the immediate availability of nutrients and the absorption of these mineral elements from the soil. The nitrogen concentration in grain and straw was greater in the treatment with 75% RDF plus 25% vermicompost compared to the treatment with 75% RDF plus 25% FYM. This may be attributed to the narrow carbon-to-nitrogen ratio of vermicompost, which, along with the enhanced activity of nitrogen-fixing bacteria during the composting process, likely contributed to the elevated nitrogen content in both grain and straw during vermicomposting (Daniel and Anderson, 1992). This outcome closely aligns with those reported by Singh </w:t>
      </w:r>
      <w:r w:rsidRPr="005E4A68">
        <w:rPr>
          <w:i/>
          <w:iCs/>
        </w:rPr>
        <w:t>et al</w:t>
      </w:r>
      <w:r>
        <w:t>.</w:t>
      </w:r>
      <w:r w:rsidR="00251425">
        <w:t>,</w:t>
      </w:r>
      <w:r>
        <w:t xml:space="preserve"> (2013) and </w:t>
      </w:r>
      <w:proofErr w:type="spellStart"/>
      <w:r>
        <w:t>Wolie</w:t>
      </w:r>
      <w:proofErr w:type="spellEnd"/>
      <w:r>
        <w:t xml:space="preserve"> and Admassu (2016).</w:t>
      </w:r>
    </w:p>
    <w:p w14:paraId="6171957B" w14:textId="77777777" w:rsidR="00D66E74" w:rsidRDefault="004777A7" w:rsidP="00D66E74">
      <w:pPr>
        <w:autoSpaceDE w:val="0"/>
        <w:autoSpaceDN w:val="0"/>
        <w:adjustRightInd w:val="0"/>
        <w:spacing w:before="120" w:line="360" w:lineRule="auto"/>
        <w:ind w:left="-567"/>
        <w:jc w:val="both"/>
        <w:rPr>
          <w:color w:val="000000"/>
        </w:rPr>
      </w:pPr>
      <w:r>
        <w:rPr>
          <w:b/>
        </w:rPr>
        <w:lastRenderedPageBreak/>
        <w:t>3.2</w:t>
      </w:r>
      <w:r w:rsidR="00D66E74" w:rsidRPr="00D66E74">
        <w:rPr>
          <w:b/>
        </w:rPr>
        <w:t>.2. Phosphorus content in grain</w:t>
      </w:r>
      <w:r w:rsidR="00EB2F9B">
        <w:rPr>
          <w:b/>
        </w:rPr>
        <w:t xml:space="preserve"> and straw</w:t>
      </w:r>
      <w:r w:rsidR="00D66E74" w:rsidRPr="00D66E74">
        <w:rPr>
          <w:b/>
        </w:rPr>
        <w:t xml:space="preserve"> (%):</w:t>
      </w:r>
    </w:p>
    <w:p w14:paraId="5D8087F1" w14:textId="63251887" w:rsidR="006166BC" w:rsidRDefault="006166BC" w:rsidP="004B6389">
      <w:pPr>
        <w:autoSpaceDE w:val="0"/>
        <w:autoSpaceDN w:val="0"/>
        <w:adjustRightInd w:val="0"/>
        <w:spacing w:before="120" w:line="360" w:lineRule="auto"/>
        <w:ind w:left="-567"/>
        <w:jc w:val="both"/>
      </w:pPr>
      <w:r>
        <w:t xml:space="preserve">The phosphorus content in grain and straw, affected by varying irrigation and fertility levels, is reported in Table </w:t>
      </w:r>
      <w:r w:rsidR="009E06B5">
        <w:t>1</w:t>
      </w:r>
      <w:r>
        <w:t>. It demonstrates that several cultivars significantly influenced the phosphorus content in the grain. Mahsuri outperformed the NDR-97 variety, exhibiting a phosphorus concentration of 0.31% in its grain. The phosphorus concentration in the grain of Sarjoo-52 was 0.30%, comparable to that of Mahsuri. The highest phosphorus level in grain was recorded at 0.32% with N</w:t>
      </w:r>
      <w:r w:rsidRPr="005E4A68">
        <w:rPr>
          <w:vertAlign w:val="subscript"/>
        </w:rPr>
        <w:t>1</w:t>
      </w:r>
      <w:r>
        <w:t xml:space="preserve"> (100% RDF), followed by N3 (75% RDF + 25% vermicompost). Minimum (0.29%) observed under N</w:t>
      </w:r>
      <w:r w:rsidRPr="005E4A68">
        <w:rPr>
          <w:vertAlign w:val="subscript"/>
        </w:rPr>
        <w:t>2</w:t>
      </w:r>
      <w:r>
        <w:t xml:space="preserve"> (75% RDF + 25% FYM) during the experimentation period. It is evident that differing types do not considerably affect the phosphorus concentration in straw. The highest phosphorus level (0.12%) was observed in Mahsuri (V</w:t>
      </w:r>
      <w:r w:rsidRPr="005E4A68">
        <w:rPr>
          <w:vertAlign w:val="subscript"/>
        </w:rPr>
        <w:t>3</w:t>
      </w:r>
      <w:r>
        <w:t>), while the lowest (0.10%) was recorded in NDR-97 (V1). The phosphorus concentration in the straw of Sarjoo–52 was 0.11%. The phosphorus concentration in straw was dramatically affected by diverse nutrient combinations. Moreover, the maximum phosphorus concentration in straw was observed with (N</w:t>
      </w:r>
      <w:r w:rsidRPr="005E4A68">
        <w:rPr>
          <w:vertAlign w:val="subscript"/>
        </w:rPr>
        <w:t>1</w:t>
      </w:r>
      <w:r>
        <w:t>) 100% RDF (0.121%), which was considerably greater than (N</w:t>
      </w:r>
      <w:r w:rsidRPr="005E4A68">
        <w:rPr>
          <w:vertAlign w:val="subscript"/>
        </w:rPr>
        <w:t>3</w:t>
      </w:r>
      <w:r>
        <w:t>) 75% RDF + 25% vermicompost and (N</w:t>
      </w:r>
      <w:r w:rsidRPr="005E4A68">
        <w:rPr>
          <w:vertAlign w:val="subscript"/>
        </w:rPr>
        <w:t>2</w:t>
      </w:r>
      <w:r>
        <w:t>) 75% RDF + 25% FYM (0.10%), respectively.</w:t>
      </w:r>
      <w:r w:rsidR="004B6389">
        <w:t xml:space="preserve"> </w:t>
      </w:r>
      <w:r>
        <w:t xml:space="preserve">The variety Mahsuri exhibited the highest phosphorus concentration, followed by Sarjoo-52 and NDR-97. The elevated phosphorus level in Mahsuri was mostly attributable to enhanced growth and development resulting from its superior genetic traits. Diverse nutritional sources were identified as affecting the nitrogen level of both grain and straw. The treatment receiving 100% RDF exhibited the highest </w:t>
      </w:r>
      <w:r w:rsidR="00987C36">
        <w:t xml:space="preserve">phosphorus </w:t>
      </w:r>
      <w:r>
        <w:t xml:space="preserve">uptake in both grain and straw. This may result from effective root establishment, enhanced availability and absorption of mineral nutrients from the soil, increased nutrient transfer to grains, and robust plant growth. The phosphorus concentration in grain was higher in the treatment with 75% RDF and 25% vermicompost compared to the treatment with 75% RDF and 25% FYM. The augmentation of phosphorus content in the crop may be attributed to the capacity of organic anions to enhance phosphorus availability to plants. Singh, A.K. (2017) and </w:t>
      </w:r>
      <w:proofErr w:type="spellStart"/>
      <w:r>
        <w:t>Wolie</w:t>
      </w:r>
      <w:proofErr w:type="spellEnd"/>
      <w:r>
        <w:t xml:space="preserve"> and Admassu (2016) obtained similar results.</w:t>
      </w:r>
    </w:p>
    <w:p w14:paraId="26EC16D9"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.3. Potassium content in grain</w:t>
      </w:r>
      <w:r w:rsidRPr="004777A7">
        <w:rPr>
          <w:b/>
        </w:rPr>
        <w:t xml:space="preserve"> </w:t>
      </w:r>
      <w:r>
        <w:rPr>
          <w:b/>
        </w:rPr>
        <w:t>and straw</w:t>
      </w:r>
      <w:r w:rsidR="00D66E74" w:rsidRPr="00D66E74">
        <w:rPr>
          <w:b/>
        </w:rPr>
        <w:t xml:space="preserve"> (%):</w:t>
      </w:r>
    </w:p>
    <w:p w14:paraId="4A3544B2" w14:textId="07440F41" w:rsidR="006166BC" w:rsidRPr="006166BC" w:rsidRDefault="006166BC" w:rsidP="009E06B5">
      <w:pPr>
        <w:autoSpaceDE w:val="0"/>
        <w:autoSpaceDN w:val="0"/>
        <w:adjustRightInd w:val="0"/>
        <w:spacing w:before="120" w:line="360" w:lineRule="auto"/>
        <w:ind w:left="-567"/>
        <w:jc w:val="both"/>
        <w:rPr>
          <w:color w:val="000000"/>
        </w:rPr>
      </w:pPr>
      <w:r w:rsidRPr="006166BC">
        <w:rPr>
          <w:color w:val="000000"/>
        </w:rPr>
        <w:t xml:space="preserve">The potassium concentration in grain and straw, affected by various types and nutritional levels, is presented in Table </w:t>
      </w:r>
      <w:r w:rsidR="009E06B5">
        <w:rPr>
          <w:color w:val="000000"/>
        </w:rPr>
        <w:t>1</w:t>
      </w:r>
      <w:r w:rsidRPr="006166BC">
        <w:rPr>
          <w:color w:val="000000"/>
        </w:rPr>
        <w:t>.  It indicates that several cultivars did not significantly affect the potassium concentration in the grain.  The variety Mahsuri exhibited a higher potassium level of 0.49%, followed closely by the variety Sarjoo-52 at 0.48%. The lowest potassium level in grain was seen in the cultivar NDR-97 (0.47%).  Diverse nutrition sources and their quantities significantly influenced the potassium content of the grain.  The maximum potassium concentration in grain was seen with 100% RDF, surpassing the N</w:t>
      </w:r>
      <w:r w:rsidRPr="00923CFD">
        <w:rPr>
          <w:color w:val="000000"/>
          <w:vertAlign w:val="subscript"/>
        </w:rPr>
        <w:t>3</w:t>
      </w:r>
      <w:r w:rsidRPr="006166BC">
        <w:rPr>
          <w:color w:val="000000"/>
        </w:rPr>
        <w:t xml:space="preserve"> treatment (75% RDF + 25% vermicompost) and N</w:t>
      </w:r>
      <w:r w:rsidRPr="00923CFD">
        <w:rPr>
          <w:color w:val="000000"/>
          <w:vertAlign w:val="subscript"/>
        </w:rPr>
        <w:t>1</w:t>
      </w:r>
      <w:r w:rsidRPr="006166BC">
        <w:rPr>
          <w:color w:val="000000"/>
        </w:rPr>
        <w:t xml:space="preserve"> </w:t>
      </w:r>
      <w:r w:rsidRPr="006166BC">
        <w:rPr>
          <w:color w:val="000000"/>
        </w:rPr>
        <w:lastRenderedPageBreak/>
        <w:t>treatment (75% RDF + 25% FYM).  The various cultivars did not markedly affect the potassium content in straw.  The variety Mahsuri (V</w:t>
      </w:r>
      <w:r w:rsidRPr="004B6389">
        <w:rPr>
          <w:color w:val="000000"/>
          <w:vertAlign w:val="subscript"/>
        </w:rPr>
        <w:t>1</w:t>
      </w:r>
      <w:r w:rsidRPr="006166BC">
        <w:rPr>
          <w:color w:val="000000"/>
        </w:rPr>
        <w:t>) exhibited a higher potassium concentration of 0.12%, followed by the variety Sarjoo-52. The cultivar NDR-97 exhibited the lowest potassium concentration in straw during the test.</w:t>
      </w:r>
      <w:r w:rsidR="004B6389">
        <w:rPr>
          <w:color w:val="000000"/>
        </w:rPr>
        <w:t xml:space="preserve"> </w:t>
      </w:r>
      <w:r w:rsidRPr="006166BC">
        <w:rPr>
          <w:color w:val="000000"/>
        </w:rPr>
        <w:t>The potassium concentration in straw was dramatically affected by different nutrition levels. The maximum potassium concentration in straw was observed in (N</w:t>
      </w:r>
      <w:r w:rsidRPr="00923CFD">
        <w:rPr>
          <w:color w:val="000000"/>
          <w:vertAlign w:val="subscript"/>
        </w:rPr>
        <w:t>1</w:t>
      </w:r>
      <w:r w:rsidRPr="006166BC">
        <w:rPr>
          <w:color w:val="000000"/>
        </w:rPr>
        <w:t>) 100% RDF (1.51%), which was comparable to (N</w:t>
      </w:r>
      <w:r w:rsidRPr="00923CFD">
        <w:rPr>
          <w:color w:val="000000"/>
          <w:vertAlign w:val="subscript"/>
        </w:rPr>
        <w:t>3</w:t>
      </w:r>
      <w:r w:rsidRPr="006166BC">
        <w:rPr>
          <w:color w:val="000000"/>
        </w:rPr>
        <w:t>) 75% RDF + 25% vermicompost, both of which were significantly higher than (N</w:t>
      </w:r>
      <w:r w:rsidRPr="00923CFD">
        <w:rPr>
          <w:color w:val="000000"/>
          <w:vertAlign w:val="subscript"/>
        </w:rPr>
        <w:t>2</w:t>
      </w:r>
      <w:r w:rsidRPr="006166BC">
        <w:rPr>
          <w:color w:val="000000"/>
        </w:rPr>
        <w:t xml:space="preserve">) 75% + 25% FYM (1.45%) throughout the study. </w:t>
      </w:r>
    </w:p>
    <w:p w14:paraId="78992D8A" w14:textId="5B60EBBD" w:rsidR="00A722F6" w:rsidRPr="00A722F6" w:rsidRDefault="006166BC" w:rsidP="006166BC">
      <w:pPr>
        <w:autoSpaceDE w:val="0"/>
        <w:autoSpaceDN w:val="0"/>
        <w:adjustRightInd w:val="0"/>
        <w:spacing w:before="120" w:line="360" w:lineRule="auto"/>
        <w:ind w:left="-567" w:firstLine="567"/>
        <w:jc w:val="both"/>
      </w:pPr>
      <w:r w:rsidRPr="006166BC">
        <w:rPr>
          <w:color w:val="000000"/>
        </w:rPr>
        <w:t xml:space="preserve"> The highest potassium concentration was observed in the Mahsuri cultivar.  The elevated potassium concentration was primarily attributable to enhanced growth and development.  This may be attributed to the more extensive and prolific root system established by young seedlings cultivated using the SRI method, which provided optimal conditions for nutrient absorption, ultimately resulting in elevated potassium levels in both grain and straw.  The Mahsuri variety exhibited superior growth characteristics due to genetic factors, enabling it to effectively absorb larger nutrients from the soil.  Of the two other kinds, Sarjoo-52 had superior potassium content compared to NDR-97, attributable to differences in growth characteristics.</w:t>
      </w:r>
      <w:r w:rsidR="004B6389">
        <w:rPr>
          <w:color w:val="000000"/>
        </w:rPr>
        <w:t xml:space="preserve"> </w:t>
      </w:r>
      <w:r w:rsidRPr="006166BC">
        <w:rPr>
          <w:color w:val="000000"/>
        </w:rPr>
        <w:t>The highest concentration of accessible soil potassium was recorded in N</w:t>
      </w:r>
      <w:r w:rsidRPr="005E4A68">
        <w:rPr>
          <w:color w:val="000000"/>
          <w:vertAlign w:val="subscript"/>
        </w:rPr>
        <w:t>1</w:t>
      </w:r>
      <w:r w:rsidRPr="006166BC">
        <w:rPr>
          <w:color w:val="000000"/>
        </w:rPr>
        <w:t xml:space="preserve"> (100% RDF), followed by N</w:t>
      </w:r>
      <w:r w:rsidR="00DE4886">
        <w:rPr>
          <w:color w:val="000000"/>
          <w:vertAlign w:val="subscript"/>
        </w:rPr>
        <w:t>2</w:t>
      </w:r>
      <w:r w:rsidRPr="006166BC">
        <w:rPr>
          <w:color w:val="000000"/>
        </w:rPr>
        <w:t xml:space="preserve"> (75% RDF + 25% FYM) and N</w:t>
      </w:r>
      <w:r w:rsidRPr="00057EFC">
        <w:rPr>
          <w:color w:val="000000"/>
          <w:vertAlign w:val="subscript"/>
        </w:rPr>
        <w:t>3</w:t>
      </w:r>
      <w:r w:rsidRPr="006166BC">
        <w:rPr>
          <w:color w:val="000000"/>
        </w:rPr>
        <w:t xml:space="preserve"> (75% RDF + 25% vermicompost), attributed to the immediate availability of nutrients during the crop growing period.  The minimal value of accessible soil potassium was observed with treatment N</w:t>
      </w:r>
      <w:r w:rsidRPr="00057EFC">
        <w:rPr>
          <w:color w:val="000000"/>
          <w:vertAlign w:val="subscript"/>
        </w:rPr>
        <w:t>2</w:t>
      </w:r>
      <w:r w:rsidRPr="006166BC">
        <w:rPr>
          <w:color w:val="000000"/>
        </w:rPr>
        <w:t xml:space="preserve"> (75% RDF + 25% FYM), possibly due to the majority of potassium in FYM being retained in organic form.</w:t>
      </w:r>
      <w:r w:rsidR="00A722F6" w:rsidRPr="00A722F6">
        <w:t xml:space="preserve"> This result is in close proximity to those obtained by Singh </w:t>
      </w:r>
      <w:r w:rsidR="00A722F6" w:rsidRPr="00A722F6">
        <w:rPr>
          <w:i/>
          <w:iCs/>
        </w:rPr>
        <w:t>et al</w:t>
      </w:r>
      <w:r w:rsidR="00A722F6" w:rsidRPr="00A722F6">
        <w:t>.</w:t>
      </w:r>
      <w:r w:rsidR="00643C12">
        <w:t>,</w:t>
      </w:r>
      <w:r w:rsidR="00A722F6" w:rsidRPr="00A722F6">
        <w:t xml:space="preserve"> (2013) and </w:t>
      </w:r>
      <w:proofErr w:type="spellStart"/>
      <w:r w:rsidR="00A722F6" w:rsidRPr="00A722F6">
        <w:t>Bejbaruah</w:t>
      </w:r>
      <w:proofErr w:type="spellEnd"/>
      <w:r w:rsidR="00A722F6" w:rsidRPr="00A722F6">
        <w:t xml:space="preserve"> </w:t>
      </w:r>
      <w:r w:rsidR="00A722F6" w:rsidRPr="00A722F6">
        <w:rPr>
          <w:i/>
        </w:rPr>
        <w:t>et al.</w:t>
      </w:r>
      <w:r w:rsidR="00643C12" w:rsidRPr="005E4A68">
        <w:rPr>
          <w:iCs/>
        </w:rPr>
        <w:t>,</w:t>
      </w:r>
      <w:r w:rsidR="00A722F6" w:rsidRPr="00A722F6">
        <w:rPr>
          <w:i/>
        </w:rPr>
        <w:t xml:space="preserve"> </w:t>
      </w:r>
      <w:r w:rsidR="00A722F6" w:rsidRPr="00A722F6">
        <w:t>(2013).</w:t>
      </w:r>
    </w:p>
    <w:p w14:paraId="2774EEE9" w14:textId="66930A42" w:rsidR="00D66E74" w:rsidRDefault="00D66E74" w:rsidP="00D66E74">
      <w:pPr>
        <w:tabs>
          <w:tab w:val="left" w:pos="1170"/>
        </w:tabs>
        <w:ind w:left="1170" w:hanging="1170"/>
        <w:jc w:val="both"/>
        <w:rPr>
          <w:b/>
        </w:rPr>
      </w:pPr>
      <w:r w:rsidRPr="00420B3D">
        <w:rPr>
          <w:b/>
          <w:sz w:val="20"/>
          <w:szCs w:val="20"/>
        </w:rPr>
        <w:t>Table</w:t>
      </w:r>
      <w:r w:rsidR="00A722F6" w:rsidRPr="00420B3D">
        <w:rPr>
          <w:b/>
          <w:sz w:val="20"/>
          <w:szCs w:val="20"/>
        </w:rPr>
        <w:t xml:space="preserve"> </w:t>
      </w:r>
      <w:r w:rsidR="00420B3D" w:rsidRPr="00420B3D">
        <w:rPr>
          <w:b/>
          <w:sz w:val="20"/>
          <w:szCs w:val="20"/>
        </w:rPr>
        <w:t>1</w:t>
      </w:r>
      <w:r w:rsidRPr="00420B3D">
        <w:rPr>
          <w:b/>
          <w:sz w:val="20"/>
          <w:szCs w:val="20"/>
        </w:rPr>
        <w:t>:</w:t>
      </w:r>
      <w:r w:rsidR="00A722F6" w:rsidRPr="00420B3D">
        <w:rPr>
          <w:b/>
          <w:sz w:val="20"/>
          <w:szCs w:val="20"/>
        </w:rPr>
        <w:t xml:space="preserve"> </w:t>
      </w:r>
      <w:r w:rsidRPr="00420B3D">
        <w:rPr>
          <w:b/>
          <w:sz w:val="20"/>
          <w:szCs w:val="20"/>
        </w:rPr>
        <w:t>Nitrogen, phosphorus and potassium content</w:t>
      </w:r>
      <w:r w:rsidR="00420B3D" w:rsidRPr="00420B3D">
        <w:rPr>
          <w:b/>
          <w:sz w:val="20"/>
          <w:szCs w:val="20"/>
        </w:rPr>
        <w:t xml:space="preserve"> and uptake</w:t>
      </w:r>
      <w:r w:rsidRPr="00420B3D">
        <w:rPr>
          <w:b/>
          <w:sz w:val="20"/>
          <w:szCs w:val="20"/>
        </w:rPr>
        <w:t xml:space="preserve"> affected by different treatments</w:t>
      </w:r>
      <w:r w:rsidRPr="00D66E74">
        <w:rPr>
          <w:b/>
        </w:rPr>
        <w:t>.</w:t>
      </w:r>
    </w:p>
    <w:p w14:paraId="633FE4D7" w14:textId="77777777" w:rsidR="00420B3D" w:rsidRPr="00D66E74" w:rsidRDefault="00420B3D" w:rsidP="00D66E74">
      <w:pPr>
        <w:tabs>
          <w:tab w:val="left" w:pos="1170"/>
        </w:tabs>
        <w:ind w:left="1170" w:hanging="1170"/>
        <w:jc w:val="both"/>
        <w:rPr>
          <w:b/>
        </w:rPr>
      </w:pPr>
    </w:p>
    <w:tbl>
      <w:tblPr>
        <w:tblStyle w:val="TableGrid"/>
        <w:tblW w:w="0" w:type="auto"/>
        <w:tblLook w:val="04A0" w:firstRow="1" w:lastRow="0" w:firstColumn="1" w:lastColumn="0" w:noHBand="0" w:noVBand="1"/>
      </w:tblPr>
      <w:tblGrid>
        <w:gridCol w:w="1650"/>
        <w:gridCol w:w="677"/>
        <w:gridCol w:w="676"/>
        <w:gridCol w:w="730"/>
        <w:gridCol w:w="701"/>
        <w:gridCol w:w="677"/>
        <w:gridCol w:w="676"/>
        <w:gridCol w:w="1030"/>
        <w:gridCol w:w="1306"/>
        <w:gridCol w:w="1162"/>
      </w:tblGrid>
      <w:tr w:rsidR="00420B3D" w:rsidRPr="00D66E74" w14:paraId="0D382CF7" w14:textId="07FF731E" w:rsidTr="00420B3D">
        <w:tc>
          <w:tcPr>
            <w:tcW w:w="1650" w:type="dxa"/>
            <w:vMerge w:val="restart"/>
            <w:vAlign w:val="center"/>
          </w:tcPr>
          <w:p w14:paraId="4BFE2A26" w14:textId="77777777" w:rsidR="00420B3D" w:rsidRPr="00420B3D" w:rsidRDefault="00420B3D" w:rsidP="00420B3D">
            <w:pPr>
              <w:jc w:val="center"/>
              <w:rPr>
                <w:b/>
                <w:sz w:val="20"/>
                <w:szCs w:val="20"/>
              </w:rPr>
            </w:pPr>
            <w:r w:rsidRPr="00420B3D">
              <w:rPr>
                <w:b/>
                <w:sz w:val="20"/>
                <w:szCs w:val="20"/>
              </w:rPr>
              <w:t>Treatments</w:t>
            </w:r>
          </w:p>
        </w:tc>
        <w:tc>
          <w:tcPr>
            <w:tcW w:w="1353" w:type="dxa"/>
            <w:gridSpan w:val="2"/>
            <w:vAlign w:val="center"/>
          </w:tcPr>
          <w:p w14:paraId="70A3D4E9" w14:textId="77777777" w:rsidR="00420B3D" w:rsidRPr="00420B3D" w:rsidRDefault="00420B3D" w:rsidP="00420B3D">
            <w:pPr>
              <w:jc w:val="center"/>
              <w:rPr>
                <w:b/>
                <w:sz w:val="20"/>
                <w:szCs w:val="20"/>
              </w:rPr>
            </w:pPr>
            <w:r w:rsidRPr="00420B3D">
              <w:rPr>
                <w:b/>
                <w:sz w:val="20"/>
                <w:szCs w:val="20"/>
              </w:rPr>
              <w:t>Nitrogen content</w:t>
            </w:r>
          </w:p>
          <w:p w14:paraId="582BD811" w14:textId="77777777" w:rsidR="00420B3D" w:rsidRPr="00420B3D" w:rsidRDefault="00420B3D" w:rsidP="00420B3D">
            <w:pPr>
              <w:jc w:val="center"/>
              <w:rPr>
                <w:b/>
                <w:sz w:val="20"/>
                <w:szCs w:val="20"/>
              </w:rPr>
            </w:pPr>
            <w:r w:rsidRPr="00420B3D">
              <w:rPr>
                <w:b/>
                <w:sz w:val="20"/>
                <w:szCs w:val="20"/>
              </w:rPr>
              <w:t>(%)</w:t>
            </w:r>
          </w:p>
        </w:tc>
        <w:tc>
          <w:tcPr>
            <w:tcW w:w="1431" w:type="dxa"/>
            <w:gridSpan w:val="2"/>
            <w:vAlign w:val="center"/>
          </w:tcPr>
          <w:p w14:paraId="250CF3E5" w14:textId="25CC398C" w:rsidR="00420B3D" w:rsidRPr="00420B3D" w:rsidRDefault="00420B3D" w:rsidP="00420B3D">
            <w:pPr>
              <w:jc w:val="center"/>
              <w:rPr>
                <w:b/>
                <w:sz w:val="20"/>
                <w:szCs w:val="20"/>
              </w:rPr>
            </w:pPr>
            <w:r w:rsidRPr="00420B3D">
              <w:rPr>
                <w:b/>
                <w:sz w:val="20"/>
                <w:szCs w:val="20"/>
              </w:rPr>
              <w:t>Phosphorus content (%)</w:t>
            </w:r>
          </w:p>
        </w:tc>
        <w:tc>
          <w:tcPr>
            <w:tcW w:w="1353" w:type="dxa"/>
            <w:gridSpan w:val="2"/>
            <w:vAlign w:val="center"/>
          </w:tcPr>
          <w:p w14:paraId="7CF56B5C" w14:textId="77777777" w:rsidR="00420B3D" w:rsidRPr="00420B3D" w:rsidRDefault="00420B3D" w:rsidP="00420B3D">
            <w:pPr>
              <w:jc w:val="center"/>
              <w:rPr>
                <w:b/>
                <w:sz w:val="20"/>
                <w:szCs w:val="20"/>
              </w:rPr>
            </w:pPr>
            <w:r w:rsidRPr="00420B3D">
              <w:rPr>
                <w:b/>
                <w:sz w:val="20"/>
                <w:szCs w:val="20"/>
              </w:rPr>
              <w:t>Potassium content</w:t>
            </w:r>
          </w:p>
          <w:p w14:paraId="6E249A16" w14:textId="77777777" w:rsidR="00420B3D" w:rsidRPr="00420B3D" w:rsidRDefault="00420B3D" w:rsidP="00420B3D">
            <w:pPr>
              <w:jc w:val="center"/>
              <w:rPr>
                <w:b/>
                <w:sz w:val="20"/>
                <w:szCs w:val="20"/>
              </w:rPr>
            </w:pPr>
            <w:r w:rsidRPr="00420B3D">
              <w:rPr>
                <w:b/>
                <w:sz w:val="20"/>
                <w:szCs w:val="20"/>
              </w:rPr>
              <w:t>(%)</w:t>
            </w:r>
          </w:p>
        </w:tc>
        <w:tc>
          <w:tcPr>
            <w:tcW w:w="1030" w:type="dxa"/>
            <w:vMerge w:val="restart"/>
            <w:vAlign w:val="center"/>
          </w:tcPr>
          <w:p w14:paraId="4B2AE84D" w14:textId="77777777" w:rsidR="00420B3D" w:rsidRPr="00420B3D" w:rsidRDefault="00420B3D" w:rsidP="00420B3D">
            <w:pPr>
              <w:jc w:val="center"/>
              <w:rPr>
                <w:b/>
                <w:sz w:val="20"/>
                <w:szCs w:val="20"/>
              </w:rPr>
            </w:pPr>
            <w:r w:rsidRPr="00420B3D">
              <w:rPr>
                <w:b/>
                <w:sz w:val="20"/>
                <w:szCs w:val="20"/>
              </w:rPr>
              <w:t>Nitrogen</w:t>
            </w:r>
          </w:p>
          <w:p w14:paraId="481EAB5D" w14:textId="77777777" w:rsidR="00420B3D" w:rsidRPr="00420B3D" w:rsidRDefault="00420B3D" w:rsidP="00420B3D">
            <w:pPr>
              <w:jc w:val="center"/>
              <w:rPr>
                <w:b/>
                <w:sz w:val="20"/>
                <w:szCs w:val="20"/>
              </w:rPr>
            </w:pPr>
            <w:r w:rsidRPr="00420B3D">
              <w:rPr>
                <w:b/>
                <w:sz w:val="20"/>
                <w:szCs w:val="20"/>
              </w:rPr>
              <w:t>uptake</w:t>
            </w:r>
          </w:p>
          <w:p w14:paraId="14B3E145" w14:textId="7039970D" w:rsidR="00420B3D" w:rsidRPr="00420B3D" w:rsidRDefault="00420B3D" w:rsidP="00420B3D">
            <w:pPr>
              <w:jc w:val="center"/>
              <w:rPr>
                <w:b/>
                <w:sz w:val="20"/>
                <w:szCs w:val="20"/>
              </w:rPr>
            </w:pPr>
            <w:r w:rsidRPr="00420B3D">
              <w:rPr>
                <w:b/>
                <w:sz w:val="20"/>
                <w:szCs w:val="20"/>
              </w:rPr>
              <w:t>(kg ha</w:t>
            </w:r>
            <w:r w:rsidRPr="00420B3D">
              <w:rPr>
                <w:b/>
                <w:sz w:val="20"/>
                <w:szCs w:val="20"/>
                <w:vertAlign w:val="superscript"/>
              </w:rPr>
              <w:t>-1</w:t>
            </w:r>
            <w:r w:rsidRPr="00420B3D">
              <w:rPr>
                <w:b/>
                <w:sz w:val="20"/>
                <w:szCs w:val="20"/>
              </w:rPr>
              <w:t>)</w:t>
            </w:r>
          </w:p>
        </w:tc>
        <w:tc>
          <w:tcPr>
            <w:tcW w:w="1306" w:type="dxa"/>
            <w:vMerge w:val="restart"/>
            <w:vAlign w:val="center"/>
          </w:tcPr>
          <w:p w14:paraId="454B87D8" w14:textId="77777777" w:rsidR="00420B3D" w:rsidRPr="00420B3D" w:rsidRDefault="00420B3D" w:rsidP="00420B3D">
            <w:pPr>
              <w:jc w:val="center"/>
              <w:rPr>
                <w:b/>
                <w:sz w:val="20"/>
                <w:szCs w:val="20"/>
              </w:rPr>
            </w:pPr>
            <w:r w:rsidRPr="00420B3D">
              <w:rPr>
                <w:b/>
                <w:sz w:val="20"/>
                <w:szCs w:val="20"/>
              </w:rPr>
              <w:t>Phosphorus uptake</w:t>
            </w:r>
          </w:p>
          <w:p w14:paraId="50376704" w14:textId="604272C3" w:rsidR="00420B3D" w:rsidRPr="00420B3D" w:rsidRDefault="00420B3D" w:rsidP="00420B3D">
            <w:pPr>
              <w:jc w:val="center"/>
              <w:rPr>
                <w:b/>
                <w:sz w:val="20"/>
                <w:szCs w:val="20"/>
              </w:rPr>
            </w:pPr>
            <w:r w:rsidRPr="00420B3D">
              <w:rPr>
                <w:b/>
                <w:sz w:val="20"/>
                <w:szCs w:val="20"/>
              </w:rPr>
              <w:t>(kg ha</w:t>
            </w:r>
            <w:r w:rsidRPr="00420B3D">
              <w:rPr>
                <w:b/>
                <w:sz w:val="20"/>
                <w:szCs w:val="20"/>
                <w:vertAlign w:val="superscript"/>
              </w:rPr>
              <w:t>-1</w:t>
            </w:r>
            <w:r w:rsidRPr="00420B3D">
              <w:rPr>
                <w:b/>
                <w:sz w:val="20"/>
                <w:szCs w:val="20"/>
              </w:rPr>
              <w:t>)</w:t>
            </w:r>
          </w:p>
        </w:tc>
        <w:tc>
          <w:tcPr>
            <w:tcW w:w="1162" w:type="dxa"/>
            <w:vMerge w:val="restart"/>
            <w:vAlign w:val="center"/>
          </w:tcPr>
          <w:p w14:paraId="12BA374D" w14:textId="5A5D9B61" w:rsidR="00420B3D" w:rsidRPr="00420B3D" w:rsidRDefault="00420B3D" w:rsidP="00420B3D">
            <w:pPr>
              <w:jc w:val="center"/>
              <w:rPr>
                <w:b/>
                <w:sz w:val="20"/>
                <w:szCs w:val="20"/>
              </w:rPr>
            </w:pPr>
            <w:r w:rsidRPr="00420B3D">
              <w:rPr>
                <w:b/>
                <w:sz w:val="20"/>
                <w:szCs w:val="20"/>
              </w:rPr>
              <w:t>Potassium uptake</w:t>
            </w:r>
          </w:p>
          <w:p w14:paraId="6DEFFF24" w14:textId="30EEED65" w:rsidR="00420B3D" w:rsidRPr="00420B3D" w:rsidRDefault="00420B3D" w:rsidP="00420B3D">
            <w:pPr>
              <w:jc w:val="center"/>
              <w:rPr>
                <w:b/>
                <w:sz w:val="20"/>
                <w:szCs w:val="20"/>
              </w:rPr>
            </w:pPr>
            <w:r w:rsidRPr="00420B3D">
              <w:rPr>
                <w:b/>
                <w:sz w:val="20"/>
                <w:szCs w:val="20"/>
              </w:rPr>
              <w:t>(kg ha</w:t>
            </w:r>
            <w:r w:rsidRPr="00420B3D">
              <w:rPr>
                <w:b/>
                <w:sz w:val="20"/>
                <w:szCs w:val="20"/>
                <w:vertAlign w:val="superscript"/>
              </w:rPr>
              <w:t>-1</w:t>
            </w:r>
            <w:r w:rsidRPr="00420B3D">
              <w:rPr>
                <w:b/>
                <w:sz w:val="20"/>
                <w:szCs w:val="20"/>
              </w:rPr>
              <w:t>)</w:t>
            </w:r>
          </w:p>
        </w:tc>
      </w:tr>
      <w:tr w:rsidR="00420B3D" w:rsidRPr="00D66E74" w14:paraId="47DF494B" w14:textId="2B1BFF97" w:rsidTr="00420B3D">
        <w:tc>
          <w:tcPr>
            <w:tcW w:w="1650" w:type="dxa"/>
            <w:vMerge/>
            <w:vAlign w:val="center"/>
          </w:tcPr>
          <w:p w14:paraId="3F21B3A8" w14:textId="77777777" w:rsidR="00420B3D" w:rsidRPr="00D66E74" w:rsidRDefault="00420B3D" w:rsidP="00420B3D">
            <w:pPr>
              <w:autoSpaceDE w:val="0"/>
              <w:autoSpaceDN w:val="0"/>
              <w:adjustRightInd w:val="0"/>
              <w:spacing w:before="120"/>
              <w:jc w:val="center"/>
              <w:rPr>
                <w:sz w:val="24"/>
                <w:szCs w:val="24"/>
              </w:rPr>
            </w:pPr>
          </w:p>
        </w:tc>
        <w:tc>
          <w:tcPr>
            <w:tcW w:w="677" w:type="dxa"/>
            <w:vAlign w:val="center"/>
          </w:tcPr>
          <w:p w14:paraId="0AF60927"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Grain</w:t>
            </w:r>
          </w:p>
        </w:tc>
        <w:tc>
          <w:tcPr>
            <w:tcW w:w="676" w:type="dxa"/>
            <w:vAlign w:val="center"/>
          </w:tcPr>
          <w:p w14:paraId="1BC9DDD5"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Straw</w:t>
            </w:r>
          </w:p>
        </w:tc>
        <w:tc>
          <w:tcPr>
            <w:tcW w:w="730" w:type="dxa"/>
            <w:vAlign w:val="center"/>
          </w:tcPr>
          <w:p w14:paraId="2A5004DB"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Grain</w:t>
            </w:r>
          </w:p>
        </w:tc>
        <w:tc>
          <w:tcPr>
            <w:tcW w:w="701" w:type="dxa"/>
            <w:vAlign w:val="center"/>
          </w:tcPr>
          <w:p w14:paraId="5AD6FC2E"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Straw</w:t>
            </w:r>
          </w:p>
        </w:tc>
        <w:tc>
          <w:tcPr>
            <w:tcW w:w="677" w:type="dxa"/>
            <w:vAlign w:val="center"/>
          </w:tcPr>
          <w:p w14:paraId="04955A83"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Grain</w:t>
            </w:r>
          </w:p>
        </w:tc>
        <w:tc>
          <w:tcPr>
            <w:tcW w:w="676" w:type="dxa"/>
            <w:vAlign w:val="center"/>
          </w:tcPr>
          <w:p w14:paraId="70BE1958" w14:textId="77777777" w:rsidR="00420B3D" w:rsidRPr="00420B3D" w:rsidRDefault="00420B3D" w:rsidP="00420B3D">
            <w:pPr>
              <w:autoSpaceDE w:val="0"/>
              <w:autoSpaceDN w:val="0"/>
              <w:adjustRightInd w:val="0"/>
              <w:spacing w:before="120"/>
              <w:jc w:val="center"/>
              <w:rPr>
                <w:sz w:val="18"/>
                <w:szCs w:val="18"/>
              </w:rPr>
            </w:pPr>
            <w:r w:rsidRPr="00420B3D">
              <w:rPr>
                <w:b/>
                <w:sz w:val="18"/>
                <w:szCs w:val="18"/>
              </w:rPr>
              <w:t>Straw</w:t>
            </w:r>
          </w:p>
        </w:tc>
        <w:tc>
          <w:tcPr>
            <w:tcW w:w="1030" w:type="dxa"/>
            <w:vMerge/>
          </w:tcPr>
          <w:p w14:paraId="4D8577F3" w14:textId="77777777" w:rsidR="00420B3D" w:rsidRPr="00D66E74" w:rsidRDefault="00420B3D" w:rsidP="00420B3D">
            <w:pPr>
              <w:autoSpaceDE w:val="0"/>
              <w:autoSpaceDN w:val="0"/>
              <w:adjustRightInd w:val="0"/>
              <w:spacing w:before="120"/>
              <w:jc w:val="center"/>
              <w:rPr>
                <w:b/>
              </w:rPr>
            </w:pPr>
          </w:p>
        </w:tc>
        <w:tc>
          <w:tcPr>
            <w:tcW w:w="1306" w:type="dxa"/>
            <w:vMerge/>
          </w:tcPr>
          <w:p w14:paraId="295B57A3" w14:textId="77777777" w:rsidR="00420B3D" w:rsidRPr="00D66E74" w:rsidRDefault="00420B3D" w:rsidP="00420B3D">
            <w:pPr>
              <w:autoSpaceDE w:val="0"/>
              <w:autoSpaceDN w:val="0"/>
              <w:adjustRightInd w:val="0"/>
              <w:spacing w:before="120"/>
              <w:jc w:val="center"/>
              <w:rPr>
                <w:b/>
              </w:rPr>
            </w:pPr>
          </w:p>
        </w:tc>
        <w:tc>
          <w:tcPr>
            <w:tcW w:w="1162" w:type="dxa"/>
            <w:vMerge/>
          </w:tcPr>
          <w:p w14:paraId="6C2912E7" w14:textId="77777777" w:rsidR="00420B3D" w:rsidRPr="00D66E74" w:rsidRDefault="00420B3D" w:rsidP="00420B3D">
            <w:pPr>
              <w:autoSpaceDE w:val="0"/>
              <w:autoSpaceDN w:val="0"/>
              <w:adjustRightInd w:val="0"/>
              <w:spacing w:before="120"/>
              <w:jc w:val="center"/>
              <w:rPr>
                <w:b/>
              </w:rPr>
            </w:pPr>
          </w:p>
        </w:tc>
      </w:tr>
      <w:tr w:rsidR="00420B3D" w:rsidRPr="00D66E74" w14:paraId="432DD826" w14:textId="7EC719F5" w:rsidTr="00E50080">
        <w:tc>
          <w:tcPr>
            <w:tcW w:w="9285" w:type="dxa"/>
            <w:gridSpan w:val="10"/>
          </w:tcPr>
          <w:p w14:paraId="373BB787" w14:textId="51688BFF" w:rsidR="00420B3D" w:rsidRPr="00D66E74" w:rsidRDefault="00420B3D" w:rsidP="00420B3D">
            <w:pPr>
              <w:autoSpaceDE w:val="0"/>
              <w:autoSpaceDN w:val="0"/>
              <w:adjustRightInd w:val="0"/>
              <w:spacing w:before="120"/>
              <w:jc w:val="both"/>
              <w:rPr>
                <w:b/>
              </w:rPr>
            </w:pPr>
            <w:r w:rsidRPr="00D66E74">
              <w:rPr>
                <w:b/>
                <w:sz w:val="24"/>
                <w:szCs w:val="24"/>
              </w:rPr>
              <w:t>Varieties</w:t>
            </w:r>
          </w:p>
        </w:tc>
      </w:tr>
      <w:tr w:rsidR="00420B3D" w:rsidRPr="00D66E74" w14:paraId="065FFD8B" w14:textId="08FC82B3" w:rsidTr="00D11E9C">
        <w:tc>
          <w:tcPr>
            <w:tcW w:w="1650" w:type="dxa"/>
          </w:tcPr>
          <w:p w14:paraId="50CA0464" w14:textId="77777777" w:rsidR="00420B3D" w:rsidRPr="00D66E74" w:rsidRDefault="00420B3D" w:rsidP="00420B3D">
            <w:pPr>
              <w:spacing w:before="120"/>
              <w:rPr>
                <w:sz w:val="24"/>
                <w:szCs w:val="24"/>
              </w:rPr>
            </w:pPr>
            <w:r w:rsidRPr="00D66E74">
              <w:rPr>
                <w:b/>
                <w:sz w:val="24"/>
                <w:szCs w:val="24"/>
              </w:rPr>
              <w:t>V</w:t>
            </w:r>
            <w:proofErr w:type="gramStart"/>
            <w:r w:rsidRPr="005E4A68">
              <w:rPr>
                <w:b/>
                <w:sz w:val="24"/>
                <w:szCs w:val="24"/>
                <w:vertAlign w:val="subscript"/>
              </w:rPr>
              <w:t>1</w:t>
            </w:r>
            <w:r w:rsidRPr="00D66E74">
              <w:rPr>
                <w:b/>
                <w:sz w:val="24"/>
                <w:szCs w:val="24"/>
              </w:rPr>
              <w:t>:</w:t>
            </w:r>
            <w:r w:rsidRPr="00D66E74">
              <w:rPr>
                <w:sz w:val="24"/>
                <w:szCs w:val="24"/>
              </w:rPr>
              <w:t>NDR</w:t>
            </w:r>
            <w:proofErr w:type="gramEnd"/>
            <w:r w:rsidRPr="00D66E74">
              <w:rPr>
                <w:sz w:val="24"/>
                <w:szCs w:val="24"/>
              </w:rPr>
              <w:t>-97</w:t>
            </w:r>
          </w:p>
        </w:tc>
        <w:tc>
          <w:tcPr>
            <w:tcW w:w="677" w:type="dxa"/>
            <w:vAlign w:val="center"/>
          </w:tcPr>
          <w:p w14:paraId="71176151" w14:textId="77777777" w:rsidR="00420B3D" w:rsidRPr="00D66E74" w:rsidRDefault="00420B3D" w:rsidP="00420B3D">
            <w:pPr>
              <w:spacing w:before="120"/>
              <w:jc w:val="center"/>
              <w:rPr>
                <w:color w:val="000000"/>
                <w:sz w:val="24"/>
                <w:szCs w:val="24"/>
              </w:rPr>
            </w:pPr>
            <w:r w:rsidRPr="00D66E74">
              <w:rPr>
                <w:color w:val="000000"/>
                <w:sz w:val="24"/>
                <w:szCs w:val="24"/>
              </w:rPr>
              <w:t>1.35</w:t>
            </w:r>
          </w:p>
        </w:tc>
        <w:tc>
          <w:tcPr>
            <w:tcW w:w="676" w:type="dxa"/>
            <w:vAlign w:val="center"/>
          </w:tcPr>
          <w:p w14:paraId="28FD5D55" w14:textId="77777777" w:rsidR="00420B3D" w:rsidRPr="00D66E74" w:rsidRDefault="00420B3D" w:rsidP="00420B3D">
            <w:pPr>
              <w:spacing w:before="120"/>
              <w:jc w:val="center"/>
              <w:rPr>
                <w:color w:val="000000"/>
                <w:sz w:val="24"/>
                <w:szCs w:val="24"/>
              </w:rPr>
            </w:pPr>
            <w:r w:rsidRPr="00D66E74">
              <w:rPr>
                <w:color w:val="000000"/>
                <w:sz w:val="24"/>
                <w:szCs w:val="24"/>
              </w:rPr>
              <w:t>0.49</w:t>
            </w:r>
          </w:p>
        </w:tc>
        <w:tc>
          <w:tcPr>
            <w:tcW w:w="730" w:type="dxa"/>
            <w:vAlign w:val="center"/>
          </w:tcPr>
          <w:p w14:paraId="1AF257EE" w14:textId="77777777" w:rsidR="00420B3D" w:rsidRPr="00D66E74" w:rsidRDefault="00420B3D" w:rsidP="00420B3D">
            <w:pPr>
              <w:spacing w:before="120"/>
              <w:jc w:val="center"/>
              <w:rPr>
                <w:color w:val="000000"/>
                <w:sz w:val="24"/>
                <w:szCs w:val="24"/>
              </w:rPr>
            </w:pPr>
            <w:r w:rsidRPr="00D66E74">
              <w:rPr>
                <w:color w:val="000000"/>
                <w:sz w:val="24"/>
                <w:szCs w:val="24"/>
              </w:rPr>
              <w:t>0.29</w:t>
            </w:r>
          </w:p>
        </w:tc>
        <w:tc>
          <w:tcPr>
            <w:tcW w:w="701" w:type="dxa"/>
            <w:vAlign w:val="center"/>
          </w:tcPr>
          <w:p w14:paraId="5E23F4F7" w14:textId="77777777" w:rsidR="00420B3D" w:rsidRPr="00D66E74" w:rsidRDefault="00420B3D" w:rsidP="00420B3D">
            <w:pPr>
              <w:spacing w:before="120"/>
              <w:jc w:val="center"/>
              <w:rPr>
                <w:color w:val="000000"/>
                <w:sz w:val="24"/>
                <w:szCs w:val="24"/>
              </w:rPr>
            </w:pPr>
            <w:r w:rsidRPr="00D66E74">
              <w:rPr>
                <w:color w:val="000000"/>
                <w:sz w:val="24"/>
                <w:szCs w:val="24"/>
              </w:rPr>
              <w:t>0.10</w:t>
            </w:r>
          </w:p>
        </w:tc>
        <w:tc>
          <w:tcPr>
            <w:tcW w:w="677" w:type="dxa"/>
            <w:vAlign w:val="center"/>
          </w:tcPr>
          <w:p w14:paraId="247987B7" w14:textId="77777777" w:rsidR="00420B3D" w:rsidRPr="00D66E74" w:rsidRDefault="00420B3D" w:rsidP="00420B3D">
            <w:pPr>
              <w:spacing w:before="120"/>
              <w:jc w:val="center"/>
              <w:rPr>
                <w:color w:val="000000"/>
                <w:sz w:val="24"/>
                <w:szCs w:val="24"/>
              </w:rPr>
            </w:pPr>
            <w:r w:rsidRPr="00D66E74">
              <w:rPr>
                <w:color w:val="000000"/>
                <w:sz w:val="24"/>
                <w:szCs w:val="24"/>
              </w:rPr>
              <w:t>0.47</w:t>
            </w:r>
          </w:p>
        </w:tc>
        <w:tc>
          <w:tcPr>
            <w:tcW w:w="676" w:type="dxa"/>
            <w:vAlign w:val="center"/>
          </w:tcPr>
          <w:p w14:paraId="6558451B" w14:textId="77777777" w:rsidR="00420B3D" w:rsidRPr="00D66E74" w:rsidRDefault="00420B3D" w:rsidP="00420B3D">
            <w:pPr>
              <w:spacing w:before="120"/>
              <w:jc w:val="center"/>
              <w:rPr>
                <w:color w:val="000000"/>
                <w:sz w:val="24"/>
                <w:szCs w:val="24"/>
              </w:rPr>
            </w:pPr>
            <w:r w:rsidRPr="00D66E74">
              <w:rPr>
                <w:color w:val="000000"/>
                <w:sz w:val="24"/>
                <w:szCs w:val="24"/>
              </w:rPr>
              <w:t>1.46</w:t>
            </w:r>
          </w:p>
        </w:tc>
        <w:tc>
          <w:tcPr>
            <w:tcW w:w="1030" w:type="dxa"/>
            <w:vAlign w:val="center"/>
          </w:tcPr>
          <w:p w14:paraId="0A2EBB99" w14:textId="0BA21A1F" w:rsidR="00420B3D" w:rsidRPr="00D66E74" w:rsidRDefault="00420B3D" w:rsidP="00420B3D">
            <w:pPr>
              <w:spacing w:before="120"/>
              <w:jc w:val="center"/>
              <w:rPr>
                <w:color w:val="000000"/>
              </w:rPr>
            </w:pPr>
            <w:r w:rsidRPr="00D66E74">
              <w:rPr>
                <w:color w:val="000000"/>
              </w:rPr>
              <w:t>62.3</w:t>
            </w:r>
          </w:p>
        </w:tc>
        <w:tc>
          <w:tcPr>
            <w:tcW w:w="1306" w:type="dxa"/>
            <w:vAlign w:val="center"/>
          </w:tcPr>
          <w:p w14:paraId="2076A79C" w14:textId="64D0DBAB" w:rsidR="00420B3D" w:rsidRPr="00D66E74" w:rsidRDefault="00420B3D" w:rsidP="00420B3D">
            <w:pPr>
              <w:spacing w:before="120"/>
              <w:jc w:val="center"/>
              <w:rPr>
                <w:color w:val="000000"/>
              </w:rPr>
            </w:pPr>
            <w:r w:rsidRPr="00D66E74">
              <w:rPr>
                <w:color w:val="000000"/>
              </w:rPr>
              <w:t>13.22</w:t>
            </w:r>
          </w:p>
        </w:tc>
        <w:tc>
          <w:tcPr>
            <w:tcW w:w="1162" w:type="dxa"/>
            <w:vAlign w:val="center"/>
          </w:tcPr>
          <w:p w14:paraId="5A2EB989" w14:textId="3B88291B" w:rsidR="00420B3D" w:rsidRPr="00D66E74" w:rsidRDefault="00420B3D" w:rsidP="00420B3D">
            <w:pPr>
              <w:spacing w:before="120"/>
              <w:jc w:val="center"/>
              <w:rPr>
                <w:color w:val="000000"/>
              </w:rPr>
            </w:pPr>
            <w:r w:rsidRPr="00D66E74">
              <w:rPr>
                <w:color w:val="000000"/>
              </w:rPr>
              <w:t>73.46</w:t>
            </w:r>
          </w:p>
        </w:tc>
      </w:tr>
      <w:tr w:rsidR="00420B3D" w:rsidRPr="00D66E74" w14:paraId="0399883A" w14:textId="4D909290" w:rsidTr="00D11E9C">
        <w:tc>
          <w:tcPr>
            <w:tcW w:w="1650" w:type="dxa"/>
          </w:tcPr>
          <w:p w14:paraId="2B8E8415" w14:textId="77777777" w:rsidR="00420B3D" w:rsidRPr="00D66E74" w:rsidRDefault="00420B3D" w:rsidP="00420B3D">
            <w:pPr>
              <w:spacing w:before="120"/>
              <w:rPr>
                <w:sz w:val="24"/>
                <w:szCs w:val="24"/>
              </w:rPr>
            </w:pPr>
            <w:r w:rsidRPr="00D66E74">
              <w:rPr>
                <w:b/>
                <w:sz w:val="24"/>
                <w:szCs w:val="24"/>
              </w:rPr>
              <w:t>V</w:t>
            </w:r>
            <w:proofErr w:type="gramStart"/>
            <w:r w:rsidRPr="005E4A68">
              <w:rPr>
                <w:b/>
                <w:sz w:val="24"/>
                <w:szCs w:val="24"/>
                <w:vertAlign w:val="subscript"/>
              </w:rPr>
              <w:t>2</w:t>
            </w:r>
            <w:r w:rsidRPr="00D66E74">
              <w:rPr>
                <w:b/>
                <w:sz w:val="24"/>
                <w:szCs w:val="24"/>
              </w:rPr>
              <w:t>:</w:t>
            </w:r>
            <w:r w:rsidRPr="00D66E74">
              <w:rPr>
                <w:sz w:val="24"/>
                <w:szCs w:val="24"/>
              </w:rPr>
              <w:t>Sarjoo</w:t>
            </w:r>
            <w:proofErr w:type="gramEnd"/>
            <w:r w:rsidRPr="00D66E74">
              <w:rPr>
                <w:sz w:val="24"/>
                <w:szCs w:val="24"/>
              </w:rPr>
              <w:t>-52</w:t>
            </w:r>
          </w:p>
        </w:tc>
        <w:tc>
          <w:tcPr>
            <w:tcW w:w="677" w:type="dxa"/>
            <w:vAlign w:val="center"/>
          </w:tcPr>
          <w:p w14:paraId="156DD127" w14:textId="77777777" w:rsidR="00420B3D" w:rsidRPr="00D66E74" w:rsidRDefault="00420B3D" w:rsidP="00420B3D">
            <w:pPr>
              <w:spacing w:before="120"/>
              <w:jc w:val="center"/>
              <w:rPr>
                <w:color w:val="000000"/>
                <w:sz w:val="24"/>
                <w:szCs w:val="24"/>
              </w:rPr>
            </w:pPr>
            <w:r w:rsidRPr="00D66E74">
              <w:rPr>
                <w:color w:val="000000"/>
                <w:sz w:val="24"/>
                <w:szCs w:val="24"/>
              </w:rPr>
              <w:t>1.38</w:t>
            </w:r>
          </w:p>
        </w:tc>
        <w:tc>
          <w:tcPr>
            <w:tcW w:w="676" w:type="dxa"/>
            <w:vAlign w:val="center"/>
          </w:tcPr>
          <w:p w14:paraId="30FD8F80" w14:textId="77777777" w:rsidR="00420B3D" w:rsidRPr="00D66E74" w:rsidRDefault="00420B3D" w:rsidP="00420B3D">
            <w:pPr>
              <w:spacing w:before="120"/>
              <w:jc w:val="center"/>
              <w:rPr>
                <w:color w:val="000000"/>
                <w:sz w:val="24"/>
                <w:szCs w:val="24"/>
              </w:rPr>
            </w:pPr>
            <w:r w:rsidRPr="00D66E74">
              <w:rPr>
                <w:color w:val="000000"/>
                <w:sz w:val="24"/>
                <w:szCs w:val="24"/>
              </w:rPr>
              <w:t>0.51</w:t>
            </w:r>
          </w:p>
        </w:tc>
        <w:tc>
          <w:tcPr>
            <w:tcW w:w="730" w:type="dxa"/>
            <w:vAlign w:val="center"/>
          </w:tcPr>
          <w:p w14:paraId="0A76DC2C" w14:textId="77777777" w:rsidR="00420B3D" w:rsidRPr="00D66E74" w:rsidRDefault="00420B3D" w:rsidP="00420B3D">
            <w:pPr>
              <w:spacing w:before="120"/>
              <w:jc w:val="center"/>
              <w:rPr>
                <w:color w:val="000000"/>
                <w:sz w:val="24"/>
                <w:szCs w:val="24"/>
              </w:rPr>
            </w:pPr>
            <w:r w:rsidRPr="00D66E74">
              <w:rPr>
                <w:color w:val="000000"/>
                <w:sz w:val="24"/>
                <w:szCs w:val="24"/>
              </w:rPr>
              <w:t>0.30</w:t>
            </w:r>
          </w:p>
        </w:tc>
        <w:tc>
          <w:tcPr>
            <w:tcW w:w="701" w:type="dxa"/>
            <w:vAlign w:val="center"/>
          </w:tcPr>
          <w:p w14:paraId="0CE94015" w14:textId="77777777" w:rsidR="00420B3D" w:rsidRPr="00D66E74" w:rsidRDefault="00420B3D" w:rsidP="00420B3D">
            <w:pPr>
              <w:spacing w:before="120"/>
              <w:jc w:val="center"/>
              <w:rPr>
                <w:color w:val="000000"/>
                <w:sz w:val="24"/>
                <w:szCs w:val="24"/>
              </w:rPr>
            </w:pPr>
            <w:r w:rsidRPr="00D66E74">
              <w:rPr>
                <w:color w:val="000000"/>
                <w:sz w:val="24"/>
                <w:szCs w:val="24"/>
              </w:rPr>
              <w:t>0.11</w:t>
            </w:r>
          </w:p>
        </w:tc>
        <w:tc>
          <w:tcPr>
            <w:tcW w:w="677" w:type="dxa"/>
            <w:vAlign w:val="center"/>
          </w:tcPr>
          <w:p w14:paraId="6B4C0CAA" w14:textId="77777777" w:rsidR="00420B3D" w:rsidRPr="00D66E74" w:rsidRDefault="00420B3D" w:rsidP="00420B3D">
            <w:pPr>
              <w:spacing w:before="120"/>
              <w:jc w:val="center"/>
              <w:rPr>
                <w:color w:val="000000"/>
                <w:sz w:val="24"/>
                <w:szCs w:val="24"/>
              </w:rPr>
            </w:pPr>
            <w:r w:rsidRPr="00D66E74">
              <w:rPr>
                <w:color w:val="000000"/>
                <w:sz w:val="24"/>
                <w:szCs w:val="24"/>
              </w:rPr>
              <w:t>0.48</w:t>
            </w:r>
          </w:p>
        </w:tc>
        <w:tc>
          <w:tcPr>
            <w:tcW w:w="676" w:type="dxa"/>
            <w:vAlign w:val="center"/>
          </w:tcPr>
          <w:p w14:paraId="5F8EC7F2" w14:textId="77777777" w:rsidR="00420B3D" w:rsidRPr="00D66E74" w:rsidRDefault="00420B3D" w:rsidP="00420B3D">
            <w:pPr>
              <w:spacing w:before="120"/>
              <w:jc w:val="center"/>
              <w:rPr>
                <w:color w:val="000000"/>
                <w:sz w:val="24"/>
                <w:szCs w:val="24"/>
              </w:rPr>
            </w:pPr>
            <w:r w:rsidRPr="00D66E74">
              <w:rPr>
                <w:color w:val="000000"/>
                <w:sz w:val="24"/>
                <w:szCs w:val="24"/>
              </w:rPr>
              <w:t>1.48</w:t>
            </w:r>
          </w:p>
        </w:tc>
        <w:tc>
          <w:tcPr>
            <w:tcW w:w="1030" w:type="dxa"/>
            <w:vAlign w:val="center"/>
          </w:tcPr>
          <w:p w14:paraId="450AFC98" w14:textId="719DBF8E" w:rsidR="00420B3D" w:rsidRPr="00D66E74" w:rsidRDefault="00420B3D" w:rsidP="00420B3D">
            <w:pPr>
              <w:spacing w:before="120"/>
              <w:jc w:val="center"/>
              <w:rPr>
                <w:color w:val="000000"/>
              </w:rPr>
            </w:pPr>
            <w:r w:rsidRPr="00D66E74">
              <w:rPr>
                <w:color w:val="000000"/>
              </w:rPr>
              <w:t>99.11</w:t>
            </w:r>
          </w:p>
        </w:tc>
        <w:tc>
          <w:tcPr>
            <w:tcW w:w="1306" w:type="dxa"/>
            <w:vAlign w:val="center"/>
          </w:tcPr>
          <w:p w14:paraId="01FBA215" w14:textId="4BCAA71E" w:rsidR="00420B3D" w:rsidRPr="00D66E74" w:rsidRDefault="00420B3D" w:rsidP="00420B3D">
            <w:pPr>
              <w:spacing w:before="120"/>
              <w:jc w:val="center"/>
              <w:rPr>
                <w:color w:val="000000"/>
              </w:rPr>
            </w:pPr>
            <w:r w:rsidRPr="00D66E74">
              <w:rPr>
                <w:color w:val="000000"/>
              </w:rPr>
              <w:t>21.70</w:t>
            </w:r>
          </w:p>
        </w:tc>
        <w:tc>
          <w:tcPr>
            <w:tcW w:w="1162" w:type="dxa"/>
            <w:vAlign w:val="center"/>
          </w:tcPr>
          <w:p w14:paraId="3E537754" w14:textId="3879FF8B" w:rsidR="00420B3D" w:rsidRPr="00D66E74" w:rsidRDefault="00420B3D" w:rsidP="00420B3D">
            <w:pPr>
              <w:spacing w:before="120"/>
              <w:jc w:val="center"/>
              <w:rPr>
                <w:color w:val="000000"/>
              </w:rPr>
            </w:pPr>
            <w:r w:rsidRPr="00D66E74">
              <w:rPr>
                <w:color w:val="000000"/>
              </w:rPr>
              <w:t>112.92</w:t>
            </w:r>
          </w:p>
        </w:tc>
      </w:tr>
      <w:tr w:rsidR="00420B3D" w:rsidRPr="00D66E74" w14:paraId="646A80E4" w14:textId="2315A344" w:rsidTr="00D11E9C">
        <w:tc>
          <w:tcPr>
            <w:tcW w:w="1650" w:type="dxa"/>
          </w:tcPr>
          <w:p w14:paraId="340BCF78" w14:textId="77777777" w:rsidR="00420B3D" w:rsidRPr="00D66E74" w:rsidRDefault="00420B3D" w:rsidP="00420B3D">
            <w:pPr>
              <w:spacing w:before="120"/>
              <w:rPr>
                <w:sz w:val="24"/>
                <w:szCs w:val="24"/>
              </w:rPr>
            </w:pPr>
            <w:r w:rsidRPr="00D66E74">
              <w:rPr>
                <w:b/>
                <w:sz w:val="24"/>
                <w:szCs w:val="24"/>
              </w:rPr>
              <w:t>V</w:t>
            </w:r>
            <w:proofErr w:type="gramStart"/>
            <w:r w:rsidRPr="005E4A68">
              <w:rPr>
                <w:b/>
                <w:sz w:val="24"/>
                <w:szCs w:val="24"/>
                <w:vertAlign w:val="subscript"/>
              </w:rPr>
              <w:t>3</w:t>
            </w:r>
            <w:r w:rsidRPr="00D66E74">
              <w:rPr>
                <w:b/>
                <w:sz w:val="24"/>
                <w:szCs w:val="24"/>
              </w:rPr>
              <w:t>:</w:t>
            </w:r>
            <w:r w:rsidRPr="00D66E74">
              <w:rPr>
                <w:sz w:val="24"/>
                <w:szCs w:val="24"/>
              </w:rPr>
              <w:t>Mahsuri</w:t>
            </w:r>
            <w:proofErr w:type="gramEnd"/>
          </w:p>
        </w:tc>
        <w:tc>
          <w:tcPr>
            <w:tcW w:w="677" w:type="dxa"/>
            <w:vAlign w:val="center"/>
          </w:tcPr>
          <w:p w14:paraId="4423037D" w14:textId="77777777" w:rsidR="00420B3D" w:rsidRPr="00D66E74" w:rsidRDefault="00420B3D" w:rsidP="00420B3D">
            <w:pPr>
              <w:spacing w:before="120"/>
              <w:jc w:val="center"/>
              <w:rPr>
                <w:color w:val="000000"/>
                <w:sz w:val="24"/>
                <w:szCs w:val="24"/>
              </w:rPr>
            </w:pPr>
            <w:r w:rsidRPr="00D66E74">
              <w:rPr>
                <w:color w:val="000000"/>
                <w:sz w:val="24"/>
                <w:szCs w:val="24"/>
              </w:rPr>
              <w:t>1.41</w:t>
            </w:r>
          </w:p>
        </w:tc>
        <w:tc>
          <w:tcPr>
            <w:tcW w:w="676" w:type="dxa"/>
            <w:vAlign w:val="center"/>
          </w:tcPr>
          <w:p w14:paraId="0E49A489" w14:textId="77777777" w:rsidR="00420B3D" w:rsidRPr="00D66E74" w:rsidRDefault="00420B3D" w:rsidP="00420B3D">
            <w:pPr>
              <w:spacing w:before="120"/>
              <w:jc w:val="center"/>
              <w:rPr>
                <w:color w:val="000000"/>
                <w:sz w:val="24"/>
                <w:szCs w:val="24"/>
              </w:rPr>
            </w:pPr>
            <w:r w:rsidRPr="00D66E74">
              <w:rPr>
                <w:color w:val="000000"/>
                <w:sz w:val="24"/>
                <w:szCs w:val="24"/>
              </w:rPr>
              <w:t>0.52</w:t>
            </w:r>
          </w:p>
        </w:tc>
        <w:tc>
          <w:tcPr>
            <w:tcW w:w="730" w:type="dxa"/>
            <w:vAlign w:val="center"/>
          </w:tcPr>
          <w:p w14:paraId="3A39D23E" w14:textId="77777777" w:rsidR="00420B3D" w:rsidRPr="00D66E74" w:rsidRDefault="00420B3D" w:rsidP="00420B3D">
            <w:pPr>
              <w:spacing w:before="120"/>
              <w:jc w:val="center"/>
              <w:rPr>
                <w:color w:val="000000"/>
                <w:sz w:val="24"/>
                <w:szCs w:val="24"/>
              </w:rPr>
            </w:pPr>
            <w:r w:rsidRPr="00D66E74">
              <w:rPr>
                <w:color w:val="000000"/>
                <w:sz w:val="24"/>
                <w:szCs w:val="24"/>
              </w:rPr>
              <w:t>0.31</w:t>
            </w:r>
          </w:p>
        </w:tc>
        <w:tc>
          <w:tcPr>
            <w:tcW w:w="701" w:type="dxa"/>
            <w:vAlign w:val="center"/>
          </w:tcPr>
          <w:p w14:paraId="57437062" w14:textId="77777777" w:rsidR="00420B3D" w:rsidRPr="00D66E74" w:rsidRDefault="00420B3D" w:rsidP="00420B3D">
            <w:pPr>
              <w:spacing w:before="120"/>
              <w:jc w:val="center"/>
              <w:rPr>
                <w:color w:val="000000"/>
                <w:sz w:val="24"/>
                <w:szCs w:val="24"/>
              </w:rPr>
            </w:pPr>
            <w:r w:rsidRPr="00D66E74">
              <w:rPr>
                <w:color w:val="000000"/>
                <w:sz w:val="24"/>
                <w:szCs w:val="24"/>
              </w:rPr>
              <w:t>0.12</w:t>
            </w:r>
          </w:p>
        </w:tc>
        <w:tc>
          <w:tcPr>
            <w:tcW w:w="677" w:type="dxa"/>
            <w:vAlign w:val="center"/>
          </w:tcPr>
          <w:p w14:paraId="513B53F7" w14:textId="77777777" w:rsidR="00420B3D" w:rsidRPr="00D66E74" w:rsidRDefault="00420B3D" w:rsidP="00420B3D">
            <w:pPr>
              <w:spacing w:before="120"/>
              <w:jc w:val="center"/>
              <w:rPr>
                <w:color w:val="000000"/>
                <w:sz w:val="24"/>
                <w:szCs w:val="24"/>
              </w:rPr>
            </w:pPr>
            <w:r w:rsidRPr="00D66E74">
              <w:rPr>
                <w:color w:val="000000"/>
                <w:sz w:val="24"/>
                <w:szCs w:val="24"/>
              </w:rPr>
              <w:t>0.49</w:t>
            </w:r>
          </w:p>
        </w:tc>
        <w:tc>
          <w:tcPr>
            <w:tcW w:w="676" w:type="dxa"/>
            <w:vAlign w:val="center"/>
          </w:tcPr>
          <w:p w14:paraId="6C1107F0" w14:textId="77777777" w:rsidR="00420B3D" w:rsidRPr="00D66E74" w:rsidRDefault="00420B3D" w:rsidP="00420B3D">
            <w:pPr>
              <w:spacing w:before="120"/>
              <w:jc w:val="center"/>
              <w:rPr>
                <w:color w:val="000000"/>
                <w:sz w:val="24"/>
                <w:szCs w:val="24"/>
              </w:rPr>
            </w:pPr>
            <w:r w:rsidRPr="00D66E74">
              <w:rPr>
                <w:color w:val="000000"/>
                <w:sz w:val="24"/>
                <w:szCs w:val="24"/>
              </w:rPr>
              <w:t>1.49</w:t>
            </w:r>
          </w:p>
        </w:tc>
        <w:tc>
          <w:tcPr>
            <w:tcW w:w="1030" w:type="dxa"/>
            <w:vAlign w:val="center"/>
          </w:tcPr>
          <w:p w14:paraId="17E2BAFE" w14:textId="3B4D4293" w:rsidR="00420B3D" w:rsidRPr="00D66E74" w:rsidRDefault="00420B3D" w:rsidP="00420B3D">
            <w:pPr>
              <w:spacing w:before="120"/>
              <w:jc w:val="center"/>
              <w:rPr>
                <w:color w:val="000000"/>
              </w:rPr>
            </w:pPr>
            <w:r w:rsidRPr="00D66E74">
              <w:rPr>
                <w:color w:val="000000"/>
              </w:rPr>
              <w:t>107.39</w:t>
            </w:r>
          </w:p>
        </w:tc>
        <w:tc>
          <w:tcPr>
            <w:tcW w:w="1306" w:type="dxa"/>
            <w:vAlign w:val="center"/>
          </w:tcPr>
          <w:p w14:paraId="7F23653B" w14:textId="1DFFDB65" w:rsidR="00420B3D" w:rsidRPr="00D66E74" w:rsidRDefault="00420B3D" w:rsidP="00420B3D">
            <w:pPr>
              <w:spacing w:before="120"/>
              <w:jc w:val="center"/>
              <w:rPr>
                <w:color w:val="000000"/>
              </w:rPr>
            </w:pPr>
            <w:r w:rsidRPr="00D66E74">
              <w:rPr>
                <w:color w:val="000000"/>
              </w:rPr>
              <w:t>24.16</w:t>
            </w:r>
          </w:p>
        </w:tc>
        <w:tc>
          <w:tcPr>
            <w:tcW w:w="1162" w:type="dxa"/>
            <w:vAlign w:val="center"/>
          </w:tcPr>
          <w:p w14:paraId="102521B3" w14:textId="7B906AEF" w:rsidR="00420B3D" w:rsidRPr="00D66E74" w:rsidRDefault="00420B3D" w:rsidP="00420B3D">
            <w:pPr>
              <w:spacing w:before="120"/>
              <w:jc w:val="center"/>
              <w:rPr>
                <w:color w:val="000000"/>
              </w:rPr>
            </w:pPr>
            <w:r w:rsidRPr="00D66E74">
              <w:rPr>
                <w:color w:val="000000"/>
              </w:rPr>
              <w:t>124.45</w:t>
            </w:r>
          </w:p>
        </w:tc>
      </w:tr>
      <w:tr w:rsidR="00420B3D" w:rsidRPr="00D66E74" w14:paraId="4E409585" w14:textId="7B8A9A21" w:rsidTr="00D11E9C">
        <w:tc>
          <w:tcPr>
            <w:tcW w:w="1650" w:type="dxa"/>
          </w:tcPr>
          <w:p w14:paraId="64DF8AA9" w14:textId="77777777" w:rsidR="00420B3D" w:rsidRPr="00D66E74" w:rsidRDefault="00420B3D" w:rsidP="00420B3D">
            <w:pPr>
              <w:spacing w:before="120"/>
              <w:rPr>
                <w:sz w:val="24"/>
                <w:szCs w:val="24"/>
              </w:rPr>
            </w:pPr>
            <w:proofErr w:type="spellStart"/>
            <w:proofErr w:type="gramStart"/>
            <w:r w:rsidRPr="00D66E74">
              <w:rPr>
                <w:sz w:val="24"/>
                <w:szCs w:val="24"/>
              </w:rPr>
              <w:t>S.Em</w:t>
            </w:r>
            <w:proofErr w:type="spellEnd"/>
            <w:proofErr w:type="gramEnd"/>
            <w:r w:rsidRPr="00D66E74">
              <w:rPr>
                <w:sz w:val="24"/>
                <w:szCs w:val="24"/>
                <w:u w:val="single"/>
              </w:rPr>
              <w:t>+</w:t>
            </w:r>
          </w:p>
        </w:tc>
        <w:tc>
          <w:tcPr>
            <w:tcW w:w="677" w:type="dxa"/>
            <w:vAlign w:val="bottom"/>
          </w:tcPr>
          <w:p w14:paraId="6ED75B72" w14:textId="77777777" w:rsidR="00420B3D" w:rsidRPr="00D66E74" w:rsidRDefault="00420B3D" w:rsidP="00420B3D">
            <w:pPr>
              <w:jc w:val="center"/>
              <w:rPr>
                <w:color w:val="000000"/>
                <w:sz w:val="24"/>
                <w:szCs w:val="24"/>
              </w:rPr>
            </w:pPr>
            <w:r w:rsidRPr="00D66E74">
              <w:rPr>
                <w:color w:val="000000"/>
                <w:sz w:val="24"/>
                <w:szCs w:val="24"/>
              </w:rPr>
              <w:t>0.02</w:t>
            </w:r>
          </w:p>
        </w:tc>
        <w:tc>
          <w:tcPr>
            <w:tcW w:w="676" w:type="dxa"/>
            <w:vAlign w:val="bottom"/>
          </w:tcPr>
          <w:p w14:paraId="56DC0D63" w14:textId="77777777" w:rsidR="00420B3D" w:rsidRPr="00D66E74" w:rsidRDefault="00420B3D" w:rsidP="00420B3D">
            <w:pPr>
              <w:jc w:val="center"/>
              <w:rPr>
                <w:color w:val="000000"/>
                <w:sz w:val="24"/>
                <w:szCs w:val="24"/>
              </w:rPr>
            </w:pPr>
            <w:r w:rsidRPr="00D66E74">
              <w:rPr>
                <w:color w:val="000000"/>
                <w:sz w:val="24"/>
                <w:szCs w:val="24"/>
              </w:rPr>
              <w:t>0.01</w:t>
            </w:r>
          </w:p>
        </w:tc>
        <w:tc>
          <w:tcPr>
            <w:tcW w:w="730" w:type="dxa"/>
            <w:vAlign w:val="bottom"/>
          </w:tcPr>
          <w:p w14:paraId="52FA7B3C" w14:textId="77777777" w:rsidR="00420B3D" w:rsidRPr="00D66E74" w:rsidRDefault="00420B3D" w:rsidP="00420B3D">
            <w:pPr>
              <w:jc w:val="center"/>
              <w:rPr>
                <w:color w:val="000000"/>
                <w:sz w:val="24"/>
                <w:szCs w:val="24"/>
              </w:rPr>
            </w:pPr>
            <w:r w:rsidRPr="00D66E74">
              <w:rPr>
                <w:color w:val="000000"/>
                <w:sz w:val="24"/>
                <w:szCs w:val="24"/>
              </w:rPr>
              <w:t>0.00</w:t>
            </w:r>
          </w:p>
        </w:tc>
        <w:tc>
          <w:tcPr>
            <w:tcW w:w="701" w:type="dxa"/>
            <w:vAlign w:val="bottom"/>
          </w:tcPr>
          <w:p w14:paraId="6E5698B1" w14:textId="77777777" w:rsidR="00420B3D" w:rsidRPr="00D66E74" w:rsidRDefault="00420B3D" w:rsidP="00420B3D">
            <w:pPr>
              <w:jc w:val="center"/>
              <w:rPr>
                <w:color w:val="000000"/>
                <w:sz w:val="24"/>
                <w:szCs w:val="24"/>
              </w:rPr>
            </w:pPr>
            <w:r w:rsidRPr="00D66E74">
              <w:rPr>
                <w:color w:val="000000"/>
                <w:sz w:val="24"/>
                <w:szCs w:val="24"/>
              </w:rPr>
              <w:t>0.00</w:t>
            </w:r>
          </w:p>
        </w:tc>
        <w:tc>
          <w:tcPr>
            <w:tcW w:w="677" w:type="dxa"/>
            <w:vAlign w:val="bottom"/>
          </w:tcPr>
          <w:p w14:paraId="0B2CADB9" w14:textId="77777777" w:rsidR="00420B3D" w:rsidRPr="00D66E74" w:rsidRDefault="00420B3D" w:rsidP="00420B3D">
            <w:pPr>
              <w:jc w:val="center"/>
              <w:rPr>
                <w:color w:val="000000"/>
                <w:sz w:val="24"/>
                <w:szCs w:val="24"/>
              </w:rPr>
            </w:pPr>
            <w:r w:rsidRPr="00D66E74">
              <w:rPr>
                <w:color w:val="000000"/>
                <w:sz w:val="24"/>
                <w:szCs w:val="24"/>
              </w:rPr>
              <w:t>0.01</w:t>
            </w:r>
          </w:p>
        </w:tc>
        <w:tc>
          <w:tcPr>
            <w:tcW w:w="676" w:type="dxa"/>
            <w:vAlign w:val="bottom"/>
          </w:tcPr>
          <w:p w14:paraId="4C114994" w14:textId="77777777" w:rsidR="00420B3D" w:rsidRPr="00D66E74" w:rsidRDefault="00420B3D" w:rsidP="00420B3D">
            <w:pPr>
              <w:jc w:val="center"/>
              <w:rPr>
                <w:color w:val="000000"/>
                <w:sz w:val="24"/>
                <w:szCs w:val="24"/>
              </w:rPr>
            </w:pPr>
            <w:r w:rsidRPr="00D66E74">
              <w:rPr>
                <w:color w:val="000000"/>
                <w:sz w:val="24"/>
                <w:szCs w:val="24"/>
              </w:rPr>
              <w:t>0.02</w:t>
            </w:r>
          </w:p>
        </w:tc>
        <w:tc>
          <w:tcPr>
            <w:tcW w:w="1030" w:type="dxa"/>
            <w:vAlign w:val="center"/>
          </w:tcPr>
          <w:p w14:paraId="724C7C9D" w14:textId="6E634A55" w:rsidR="00420B3D" w:rsidRPr="00D66E74" w:rsidRDefault="00420B3D" w:rsidP="00420B3D">
            <w:pPr>
              <w:jc w:val="center"/>
              <w:rPr>
                <w:color w:val="000000"/>
              </w:rPr>
            </w:pPr>
            <w:r w:rsidRPr="00D66E74">
              <w:rPr>
                <w:color w:val="000000"/>
              </w:rPr>
              <w:t>2.73</w:t>
            </w:r>
          </w:p>
        </w:tc>
        <w:tc>
          <w:tcPr>
            <w:tcW w:w="1306" w:type="dxa"/>
            <w:vAlign w:val="center"/>
          </w:tcPr>
          <w:p w14:paraId="7FC9C1FD" w14:textId="7227944A" w:rsidR="00420B3D" w:rsidRPr="00D66E74" w:rsidRDefault="00420B3D" w:rsidP="00420B3D">
            <w:pPr>
              <w:jc w:val="center"/>
              <w:rPr>
                <w:color w:val="000000"/>
              </w:rPr>
            </w:pPr>
            <w:r w:rsidRPr="00D66E74">
              <w:rPr>
                <w:color w:val="000000"/>
              </w:rPr>
              <w:t>0.58</w:t>
            </w:r>
          </w:p>
        </w:tc>
        <w:tc>
          <w:tcPr>
            <w:tcW w:w="1162" w:type="dxa"/>
            <w:vAlign w:val="center"/>
          </w:tcPr>
          <w:p w14:paraId="0F47D67B" w14:textId="7370CCFF" w:rsidR="00420B3D" w:rsidRPr="00D66E74" w:rsidRDefault="00420B3D" w:rsidP="00420B3D">
            <w:pPr>
              <w:jc w:val="center"/>
              <w:rPr>
                <w:color w:val="000000"/>
              </w:rPr>
            </w:pPr>
            <w:r w:rsidRPr="00D66E74">
              <w:rPr>
                <w:color w:val="000000"/>
              </w:rPr>
              <w:t>4.70</w:t>
            </w:r>
          </w:p>
        </w:tc>
      </w:tr>
      <w:tr w:rsidR="00420B3D" w:rsidRPr="00D66E74" w14:paraId="0A36D625" w14:textId="51FBF523" w:rsidTr="00D11E9C">
        <w:tc>
          <w:tcPr>
            <w:tcW w:w="1650" w:type="dxa"/>
          </w:tcPr>
          <w:p w14:paraId="1EB4F898" w14:textId="77777777" w:rsidR="00420B3D" w:rsidRPr="00D66E74" w:rsidRDefault="00420B3D" w:rsidP="00420B3D">
            <w:pPr>
              <w:spacing w:before="120"/>
              <w:rPr>
                <w:sz w:val="24"/>
                <w:szCs w:val="24"/>
              </w:rPr>
            </w:pPr>
            <w:r w:rsidRPr="00D66E74">
              <w:rPr>
                <w:sz w:val="24"/>
                <w:szCs w:val="24"/>
              </w:rPr>
              <w:t>C.D.(p=0.05)</w:t>
            </w:r>
          </w:p>
        </w:tc>
        <w:tc>
          <w:tcPr>
            <w:tcW w:w="677" w:type="dxa"/>
            <w:vAlign w:val="bottom"/>
          </w:tcPr>
          <w:p w14:paraId="1FB19A90" w14:textId="77777777" w:rsidR="00420B3D" w:rsidRPr="00D66E74" w:rsidRDefault="00420B3D" w:rsidP="00420B3D">
            <w:pPr>
              <w:jc w:val="center"/>
              <w:rPr>
                <w:sz w:val="24"/>
                <w:szCs w:val="24"/>
              </w:rPr>
            </w:pPr>
            <w:r w:rsidRPr="00D66E74">
              <w:rPr>
                <w:sz w:val="24"/>
                <w:szCs w:val="24"/>
              </w:rPr>
              <w:t>0.07</w:t>
            </w:r>
          </w:p>
        </w:tc>
        <w:tc>
          <w:tcPr>
            <w:tcW w:w="676" w:type="dxa"/>
            <w:vAlign w:val="bottom"/>
          </w:tcPr>
          <w:p w14:paraId="7B835AC1" w14:textId="77777777" w:rsidR="00420B3D" w:rsidRPr="00D66E74" w:rsidRDefault="00420B3D" w:rsidP="00420B3D">
            <w:pPr>
              <w:jc w:val="center"/>
              <w:rPr>
                <w:sz w:val="24"/>
                <w:szCs w:val="24"/>
              </w:rPr>
            </w:pPr>
            <w:r w:rsidRPr="00D66E74">
              <w:rPr>
                <w:sz w:val="24"/>
                <w:szCs w:val="24"/>
              </w:rPr>
              <w:t>0.01</w:t>
            </w:r>
          </w:p>
        </w:tc>
        <w:tc>
          <w:tcPr>
            <w:tcW w:w="730" w:type="dxa"/>
            <w:vAlign w:val="bottom"/>
          </w:tcPr>
          <w:p w14:paraId="793D9326" w14:textId="77777777" w:rsidR="00420B3D" w:rsidRPr="00D66E74" w:rsidRDefault="00420B3D" w:rsidP="00420B3D">
            <w:pPr>
              <w:jc w:val="center"/>
              <w:rPr>
                <w:sz w:val="24"/>
                <w:szCs w:val="24"/>
              </w:rPr>
            </w:pPr>
            <w:r w:rsidRPr="00D66E74">
              <w:rPr>
                <w:sz w:val="24"/>
                <w:szCs w:val="24"/>
              </w:rPr>
              <w:t>0.02</w:t>
            </w:r>
          </w:p>
        </w:tc>
        <w:tc>
          <w:tcPr>
            <w:tcW w:w="701" w:type="dxa"/>
            <w:vAlign w:val="bottom"/>
          </w:tcPr>
          <w:p w14:paraId="4A430E84" w14:textId="77777777" w:rsidR="00420B3D" w:rsidRPr="00D66E74" w:rsidRDefault="00420B3D" w:rsidP="00420B3D">
            <w:pPr>
              <w:jc w:val="center"/>
              <w:rPr>
                <w:sz w:val="24"/>
                <w:szCs w:val="24"/>
              </w:rPr>
            </w:pPr>
            <w:r w:rsidRPr="00D66E74">
              <w:rPr>
                <w:sz w:val="24"/>
                <w:szCs w:val="24"/>
              </w:rPr>
              <w:t>0.01</w:t>
            </w:r>
          </w:p>
        </w:tc>
        <w:tc>
          <w:tcPr>
            <w:tcW w:w="677" w:type="dxa"/>
            <w:vAlign w:val="bottom"/>
          </w:tcPr>
          <w:p w14:paraId="0990C595" w14:textId="77777777" w:rsidR="00420B3D" w:rsidRPr="00D66E74" w:rsidRDefault="00420B3D" w:rsidP="00420B3D">
            <w:pPr>
              <w:jc w:val="center"/>
              <w:rPr>
                <w:sz w:val="24"/>
                <w:szCs w:val="24"/>
              </w:rPr>
            </w:pPr>
            <w:r w:rsidRPr="00D66E74">
              <w:rPr>
                <w:sz w:val="24"/>
                <w:szCs w:val="24"/>
              </w:rPr>
              <w:t>0.03</w:t>
            </w:r>
          </w:p>
        </w:tc>
        <w:tc>
          <w:tcPr>
            <w:tcW w:w="676" w:type="dxa"/>
            <w:vAlign w:val="bottom"/>
          </w:tcPr>
          <w:p w14:paraId="11F8A0A0" w14:textId="77777777" w:rsidR="00420B3D" w:rsidRPr="00D66E74" w:rsidRDefault="00420B3D" w:rsidP="00420B3D">
            <w:pPr>
              <w:jc w:val="center"/>
              <w:rPr>
                <w:sz w:val="24"/>
                <w:szCs w:val="24"/>
              </w:rPr>
            </w:pPr>
            <w:r w:rsidRPr="00D66E74">
              <w:rPr>
                <w:sz w:val="24"/>
                <w:szCs w:val="24"/>
              </w:rPr>
              <w:t>0.08</w:t>
            </w:r>
          </w:p>
        </w:tc>
        <w:tc>
          <w:tcPr>
            <w:tcW w:w="1030" w:type="dxa"/>
            <w:vAlign w:val="center"/>
          </w:tcPr>
          <w:p w14:paraId="1C6323E5" w14:textId="4975450D" w:rsidR="00420B3D" w:rsidRPr="00D66E74" w:rsidRDefault="00420B3D" w:rsidP="00420B3D">
            <w:pPr>
              <w:jc w:val="center"/>
            </w:pPr>
            <w:r w:rsidRPr="00D66E74">
              <w:rPr>
                <w:color w:val="000000"/>
              </w:rPr>
              <w:t>8.49</w:t>
            </w:r>
          </w:p>
        </w:tc>
        <w:tc>
          <w:tcPr>
            <w:tcW w:w="1306" w:type="dxa"/>
            <w:vAlign w:val="center"/>
          </w:tcPr>
          <w:p w14:paraId="54204A9F" w14:textId="32E6EBA6" w:rsidR="00420B3D" w:rsidRPr="00D66E74" w:rsidRDefault="00420B3D" w:rsidP="00420B3D">
            <w:pPr>
              <w:jc w:val="center"/>
            </w:pPr>
            <w:r w:rsidRPr="00D66E74">
              <w:rPr>
                <w:color w:val="000000"/>
              </w:rPr>
              <w:t>1.81</w:t>
            </w:r>
          </w:p>
        </w:tc>
        <w:tc>
          <w:tcPr>
            <w:tcW w:w="1162" w:type="dxa"/>
            <w:vAlign w:val="center"/>
          </w:tcPr>
          <w:p w14:paraId="49F8325B" w14:textId="5FEB16AB" w:rsidR="00420B3D" w:rsidRPr="00D66E74" w:rsidRDefault="00420B3D" w:rsidP="00420B3D">
            <w:pPr>
              <w:jc w:val="center"/>
            </w:pPr>
            <w:r w:rsidRPr="00D66E74">
              <w:rPr>
                <w:color w:val="000000"/>
              </w:rPr>
              <w:t>14.06</w:t>
            </w:r>
          </w:p>
        </w:tc>
      </w:tr>
      <w:tr w:rsidR="00420B3D" w:rsidRPr="00D66E74" w14:paraId="60E33A8A" w14:textId="51B0A373" w:rsidTr="00721384">
        <w:tc>
          <w:tcPr>
            <w:tcW w:w="9285" w:type="dxa"/>
            <w:gridSpan w:val="10"/>
          </w:tcPr>
          <w:p w14:paraId="007B5D2E" w14:textId="581D2B8D" w:rsidR="00420B3D" w:rsidRPr="00D66E74" w:rsidRDefault="00420B3D" w:rsidP="00420B3D">
            <w:pPr>
              <w:spacing w:before="120"/>
              <w:rPr>
                <w:b/>
              </w:rPr>
            </w:pPr>
            <w:r w:rsidRPr="00D66E74">
              <w:rPr>
                <w:b/>
                <w:sz w:val="24"/>
                <w:szCs w:val="24"/>
              </w:rPr>
              <w:t>Nutrient levels</w:t>
            </w:r>
          </w:p>
        </w:tc>
      </w:tr>
      <w:tr w:rsidR="00420B3D" w:rsidRPr="00D66E74" w14:paraId="05C9B988" w14:textId="17B25E7E" w:rsidTr="00420B3D">
        <w:tc>
          <w:tcPr>
            <w:tcW w:w="1650" w:type="dxa"/>
          </w:tcPr>
          <w:p w14:paraId="0849A5F7" w14:textId="77777777" w:rsidR="00420B3D" w:rsidRPr="00D66E74" w:rsidRDefault="00420B3D" w:rsidP="00420B3D">
            <w:pPr>
              <w:spacing w:before="120"/>
              <w:rPr>
                <w:sz w:val="24"/>
                <w:szCs w:val="24"/>
              </w:rPr>
            </w:pPr>
            <w:r w:rsidRPr="00D66E74">
              <w:rPr>
                <w:b/>
                <w:sz w:val="24"/>
                <w:szCs w:val="24"/>
              </w:rPr>
              <w:t>N</w:t>
            </w:r>
            <w:r w:rsidRPr="005E4A68">
              <w:rPr>
                <w:b/>
                <w:sz w:val="24"/>
                <w:szCs w:val="24"/>
                <w:vertAlign w:val="subscript"/>
              </w:rPr>
              <w:t>1</w:t>
            </w:r>
            <w:r w:rsidRPr="00D66E74">
              <w:rPr>
                <w:b/>
                <w:sz w:val="24"/>
                <w:szCs w:val="24"/>
              </w:rPr>
              <w:t>:</w:t>
            </w:r>
            <w:r w:rsidRPr="00D66E74">
              <w:rPr>
                <w:sz w:val="24"/>
                <w:szCs w:val="24"/>
              </w:rPr>
              <w:t>100% RDF</w:t>
            </w:r>
          </w:p>
        </w:tc>
        <w:tc>
          <w:tcPr>
            <w:tcW w:w="677" w:type="dxa"/>
            <w:vAlign w:val="center"/>
          </w:tcPr>
          <w:p w14:paraId="0C70A271" w14:textId="77777777" w:rsidR="00420B3D" w:rsidRPr="00D66E74" w:rsidRDefault="00420B3D" w:rsidP="00420B3D">
            <w:pPr>
              <w:spacing w:before="120"/>
              <w:jc w:val="center"/>
              <w:rPr>
                <w:sz w:val="24"/>
                <w:szCs w:val="24"/>
              </w:rPr>
            </w:pPr>
            <w:r w:rsidRPr="00D66E74">
              <w:rPr>
                <w:sz w:val="24"/>
                <w:szCs w:val="24"/>
              </w:rPr>
              <w:t>1.42</w:t>
            </w:r>
          </w:p>
        </w:tc>
        <w:tc>
          <w:tcPr>
            <w:tcW w:w="676" w:type="dxa"/>
            <w:vAlign w:val="center"/>
          </w:tcPr>
          <w:p w14:paraId="581474E2" w14:textId="77777777" w:rsidR="00420B3D" w:rsidRPr="00D66E74" w:rsidRDefault="00420B3D" w:rsidP="00420B3D">
            <w:pPr>
              <w:spacing w:before="120"/>
              <w:jc w:val="center"/>
              <w:rPr>
                <w:color w:val="000000"/>
                <w:sz w:val="24"/>
                <w:szCs w:val="24"/>
              </w:rPr>
            </w:pPr>
            <w:r w:rsidRPr="00D66E74">
              <w:rPr>
                <w:color w:val="000000"/>
                <w:sz w:val="24"/>
                <w:szCs w:val="24"/>
              </w:rPr>
              <w:t>0.52</w:t>
            </w:r>
          </w:p>
        </w:tc>
        <w:tc>
          <w:tcPr>
            <w:tcW w:w="730" w:type="dxa"/>
            <w:vAlign w:val="center"/>
          </w:tcPr>
          <w:p w14:paraId="23D4E5E8" w14:textId="77777777" w:rsidR="00420B3D" w:rsidRPr="00D66E74" w:rsidRDefault="00420B3D" w:rsidP="00420B3D">
            <w:pPr>
              <w:spacing w:before="120"/>
              <w:jc w:val="center"/>
              <w:rPr>
                <w:sz w:val="24"/>
                <w:szCs w:val="24"/>
              </w:rPr>
            </w:pPr>
            <w:r w:rsidRPr="00D66E74">
              <w:rPr>
                <w:sz w:val="24"/>
                <w:szCs w:val="24"/>
              </w:rPr>
              <w:t>0.32</w:t>
            </w:r>
          </w:p>
        </w:tc>
        <w:tc>
          <w:tcPr>
            <w:tcW w:w="701" w:type="dxa"/>
            <w:vAlign w:val="center"/>
          </w:tcPr>
          <w:p w14:paraId="3984CD06" w14:textId="77777777" w:rsidR="00420B3D" w:rsidRPr="00D66E74" w:rsidRDefault="00420B3D" w:rsidP="00420B3D">
            <w:pPr>
              <w:spacing w:before="120"/>
              <w:jc w:val="center"/>
              <w:rPr>
                <w:sz w:val="24"/>
                <w:szCs w:val="24"/>
              </w:rPr>
            </w:pPr>
            <w:r w:rsidRPr="00D66E74">
              <w:rPr>
                <w:sz w:val="24"/>
                <w:szCs w:val="24"/>
              </w:rPr>
              <w:t>0.12</w:t>
            </w:r>
          </w:p>
        </w:tc>
        <w:tc>
          <w:tcPr>
            <w:tcW w:w="677" w:type="dxa"/>
            <w:vAlign w:val="center"/>
          </w:tcPr>
          <w:p w14:paraId="36BA2D8E" w14:textId="77777777" w:rsidR="00420B3D" w:rsidRPr="00D66E74" w:rsidRDefault="00420B3D" w:rsidP="00420B3D">
            <w:pPr>
              <w:spacing w:before="120"/>
              <w:jc w:val="center"/>
              <w:rPr>
                <w:sz w:val="24"/>
                <w:szCs w:val="24"/>
              </w:rPr>
            </w:pPr>
            <w:r w:rsidRPr="00D66E74">
              <w:rPr>
                <w:sz w:val="24"/>
                <w:szCs w:val="24"/>
              </w:rPr>
              <w:t>0.50</w:t>
            </w:r>
          </w:p>
        </w:tc>
        <w:tc>
          <w:tcPr>
            <w:tcW w:w="676" w:type="dxa"/>
            <w:vAlign w:val="center"/>
          </w:tcPr>
          <w:p w14:paraId="1F727A47" w14:textId="77777777" w:rsidR="00420B3D" w:rsidRPr="00D66E74" w:rsidRDefault="00420B3D" w:rsidP="00420B3D">
            <w:pPr>
              <w:spacing w:before="120"/>
              <w:jc w:val="center"/>
              <w:rPr>
                <w:sz w:val="24"/>
                <w:szCs w:val="24"/>
              </w:rPr>
            </w:pPr>
            <w:r w:rsidRPr="00D66E74">
              <w:rPr>
                <w:sz w:val="24"/>
                <w:szCs w:val="24"/>
              </w:rPr>
              <w:t>1.51</w:t>
            </w:r>
          </w:p>
        </w:tc>
        <w:tc>
          <w:tcPr>
            <w:tcW w:w="1030" w:type="dxa"/>
          </w:tcPr>
          <w:p w14:paraId="38871B1A" w14:textId="5485E574" w:rsidR="00420B3D" w:rsidRPr="00D66E74" w:rsidRDefault="00420B3D" w:rsidP="00420B3D">
            <w:pPr>
              <w:spacing w:before="120"/>
              <w:jc w:val="center"/>
            </w:pPr>
            <w:r w:rsidRPr="00D66E74">
              <w:rPr>
                <w:color w:val="000000"/>
              </w:rPr>
              <w:t>31.01</w:t>
            </w:r>
          </w:p>
        </w:tc>
        <w:tc>
          <w:tcPr>
            <w:tcW w:w="1306" w:type="dxa"/>
          </w:tcPr>
          <w:p w14:paraId="226146C5" w14:textId="2FC082EF" w:rsidR="00420B3D" w:rsidRPr="00D66E74" w:rsidRDefault="00420B3D" w:rsidP="00420B3D">
            <w:pPr>
              <w:spacing w:before="120"/>
              <w:jc w:val="center"/>
            </w:pPr>
            <w:r w:rsidRPr="00D66E74">
              <w:rPr>
                <w:color w:val="000000"/>
              </w:rPr>
              <w:t>22.46</w:t>
            </w:r>
          </w:p>
        </w:tc>
        <w:tc>
          <w:tcPr>
            <w:tcW w:w="1162" w:type="dxa"/>
          </w:tcPr>
          <w:p w14:paraId="30DFC4C4" w14:textId="076BE4F7" w:rsidR="00420B3D" w:rsidRPr="00D66E74" w:rsidRDefault="00420B3D" w:rsidP="00420B3D">
            <w:pPr>
              <w:spacing w:before="120"/>
              <w:jc w:val="center"/>
            </w:pPr>
            <w:r w:rsidRPr="00D66E74">
              <w:rPr>
                <w:color w:val="000000"/>
              </w:rPr>
              <w:t>113.30</w:t>
            </w:r>
          </w:p>
        </w:tc>
      </w:tr>
      <w:tr w:rsidR="00420B3D" w:rsidRPr="00D66E74" w14:paraId="136C3AF3" w14:textId="138C7301" w:rsidTr="00420B3D">
        <w:tc>
          <w:tcPr>
            <w:tcW w:w="1650" w:type="dxa"/>
          </w:tcPr>
          <w:p w14:paraId="26DF51AD" w14:textId="77777777" w:rsidR="00420B3D" w:rsidRPr="00D66E74" w:rsidRDefault="00420B3D" w:rsidP="00420B3D">
            <w:pPr>
              <w:spacing w:before="120"/>
              <w:rPr>
                <w:sz w:val="24"/>
                <w:szCs w:val="24"/>
              </w:rPr>
            </w:pPr>
            <w:r w:rsidRPr="00D66E74">
              <w:rPr>
                <w:b/>
                <w:sz w:val="24"/>
                <w:szCs w:val="24"/>
              </w:rPr>
              <w:t>N</w:t>
            </w:r>
            <w:r w:rsidRPr="005E4A68">
              <w:rPr>
                <w:b/>
                <w:sz w:val="24"/>
                <w:szCs w:val="24"/>
                <w:vertAlign w:val="subscript"/>
              </w:rPr>
              <w:t>2</w:t>
            </w:r>
            <w:r w:rsidRPr="00D66E74">
              <w:rPr>
                <w:b/>
                <w:sz w:val="24"/>
                <w:szCs w:val="24"/>
              </w:rPr>
              <w:t>:</w:t>
            </w:r>
            <w:r w:rsidRPr="00D66E74">
              <w:rPr>
                <w:sz w:val="24"/>
                <w:szCs w:val="24"/>
              </w:rPr>
              <w:t>75%RDF + 25% FYM</w:t>
            </w:r>
          </w:p>
        </w:tc>
        <w:tc>
          <w:tcPr>
            <w:tcW w:w="677" w:type="dxa"/>
            <w:vAlign w:val="center"/>
          </w:tcPr>
          <w:p w14:paraId="604D2752" w14:textId="77777777" w:rsidR="00420B3D" w:rsidRPr="00D66E74" w:rsidRDefault="00420B3D" w:rsidP="00420B3D">
            <w:pPr>
              <w:spacing w:before="120"/>
              <w:jc w:val="center"/>
              <w:rPr>
                <w:sz w:val="24"/>
                <w:szCs w:val="24"/>
              </w:rPr>
            </w:pPr>
            <w:r w:rsidRPr="00D66E74">
              <w:rPr>
                <w:sz w:val="24"/>
                <w:szCs w:val="24"/>
              </w:rPr>
              <w:t>1.33</w:t>
            </w:r>
          </w:p>
        </w:tc>
        <w:tc>
          <w:tcPr>
            <w:tcW w:w="676" w:type="dxa"/>
            <w:vAlign w:val="center"/>
          </w:tcPr>
          <w:p w14:paraId="0AEA6DF4" w14:textId="77777777" w:rsidR="00420B3D" w:rsidRPr="00D66E74" w:rsidRDefault="00420B3D" w:rsidP="00420B3D">
            <w:pPr>
              <w:spacing w:before="120"/>
              <w:jc w:val="center"/>
              <w:rPr>
                <w:color w:val="000000"/>
                <w:sz w:val="24"/>
                <w:szCs w:val="24"/>
              </w:rPr>
            </w:pPr>
            <w:r w:rsidRPr="00D66E74">
              <w:rPr>
                <w:color w:val="000000"/>
                <w:sz w:val="24"/>
                <w:szCs w:val="24"/>
              </w:rPr>
              <w:t>0.49</w:t>
            </w:r>
          </w:p>
        </w:tc>
        <w:tc>
          <w:tcPr>
            <w:tcW w:w="730" w:type="dxa"/>
            <w:vAlign w:val="center"/>
          </w:tcPr>
          <w:p w14:paraId="5E88D21A" w14:textId="77777777" w:rsidR="00420B3D" w:rsidRPr="00D66E74" w:rsidRDefault="00420B3D" w:rsidP="00420B3D">
            <w:pPr>
              <w:spacing w:before="120"/>
              <w:jc w:val="center"/>
              <w:rPr>
                <w:sz w:val="24"/>
                <w:szCs w:val="24"/>
              </w:rPr>
            </w:pPr>
            <w:r w:rsidRPr="00D66E74">
              <w:rPr>
                <w:sz w:val="24"/>
                <w:szCs w:val="24"/>
              </w:rPr>
              <w:t>0.29</w:t>
            </w:r>
          </w:p>
        </w:tc>
        <w:tc>
          <w:tcPr>
            <w:tcW w:w="701" w:type="dxa"/>
            <w:vAlign w:val="center"/>
          </w:tcPr>
          <w:p w14:paraId="41F10C95" w14:textId="77777777" w:rsidR="00420B3D" w:rsidRPr="00D66E74" w:rsidRDefault="00420B3D" w:rsidP="00420B3D">
            <w:pPr>
              <w:spacing w:before="120"/>
              <w:jc w:val="center"/>
              <w:rPr>
                <w:sz w:val="24"/>
                <w:szCs w:val="24"/>
              </w:rPr>
            </w:pPr>
            <w:r w:rsidRPr="00D66E74">
              <w:rPr>
                <w:sz w:val="24"/>
                <w:szCs w:val="24"/>
              </w:rPr>
              <w:t>0.10</w:t>
            </w:r>
          </w:p>
        </w:tc>
        <w:tc>
          <w:tcPr>
            <w:tcW w:w="677" w:type="dxa"/>
            <w:vAlign w:val="center"/>
          </w:tcPr>
          <w:p w14:paraId="577C8180" w14:textId="77777777" w:rsidR="00420B3D" w:rsidRPr="00D66E74" w:rsidRDefault="00420B3D" w:rsidP="00420B3D">
            <w:pPr>
              <w:spacing w:before="120"/>
              <w:jc w:val="center"/>
              <w:rPr>
                <w:sz w:val="24"/>
                <w:szCs w:val="24"/>
              </w:rPr>
            </w:pPr>
            <w:r w:rsidRPr="00D66E74">
              <w:rPr>
                <w:sz w:val="24"/>
                <w:szCs w:val="24"/>
              </w:rPr>
              <w:t>0.47</w:t>
            </w:r>
          </w:p>
        </w:tc>
        <w:tc>
          <w:tcPr>
            <w:tcW w:w="676" w:type="dxa"/>
            <w:vAlign w:val="center"/>
          </w:tcPr>
          <w:p w14:paraId="5E80EF61" w14:textId="77777777" w:rsidR="00420B3D" w:rsidRPr="00D66E74" w:rsidRDefault="00420B3D" w:rsidP="00420B3D">
            <w:pPr>
              <w:spacing w:before="120"/>
              <w:jc w:val="center"/>
              <w:rPr>
                <w:sz w:val="24"/>
                <w:szCs w:val="24"/>
              </w:rPr>
            </w:pPr>
            <w:r w:rsidRPr="00D66E74">
              <w:rPr>
                <w:sz w:val="24"/>
                <w:szCs w:val="24"/>
              </w:rPr>
              <w:t>1.45</w:t>
            </w:r>
          </w:p>
        </w:tc>
        <w:tc>
          <w:tcPr>
            <w:tcW w:w="1030" w:type="dxa"/>
          </w:tcPr>
          <w:p w14:paraId="32119DA0" w14:textId="513B9EE9" w:rsidR="00420B3D" w:rsidRPr="00D66E74" w:rsidRDefault="00420B3D" w:rsidP="00420B3D">
            <w:pPr>
              <w:spacing w:before="120"/>
              <w:jc w:val="center"/>
            </w:pPr>
            <w:r w:rsidRPr="00D66E74">
              <w:rPr>
                <w:color w:val="000000"/>
              </w:rPr>
              <w:t>25.46</w:t>
            </w:r>
          </w:p>
        </w:tc>
        <w:tc>
          <w:tcPr>
            <w:tcW w:w="1306" w:type="dxa"/>
          </w:tcPr>
          <w:p w14:paraId="4BD42A06" w14:textId="774C3FE9" w:rsidR="00420B3D" w:rsidRPr="00D66E74" w:rsidRDefault="00420B3D" w:rsidP="00420B3D">
            <w:pPr>
              <w:spacing w:before="120"/>
              <w:jc w:val="center"/>
            </w:pPr>
            <w:r w:rsidRPr="00D66E74">
              <w:rPr>
                <w:color w:val="000000"/>
              </w:rPr>
              <w:t>17.24</w:t>
            </w:r>
          </w:p>
        </w:tc>
        <w:tc>
          <w:tcPr>
            <w:tcW w:w="1162" w:type="dxa"/>
          </w:tcPr>
          <w:p w14:paraId="0E249664" w14:textId="433CC3BB" w:rsidR="00420B3D" w:rsidRPr="00D66E74" w:rsidRDefault="00420B3D" w:rsidP="00420B3D">
            <w:pPr>
              <w:spacing w:before="120"/>
              <w:jc w:val="center"/>
            </w:pPr>
            <w:r w:rsidRPr="00D66E74">
              <w:rPr>
                <w:color w:val="000000"/>
              </w:rPr>
              <w:t>95.05</w:t>
            </w:r>
          </w:p>
        </w:tc>
      </w:tr>
      <w:tr w:rsidR="00420B3D" w:rsidRPr="00D66E74" w14:paraId="5B43FFDC" w14:textId="2CAA2BD2" w:rsidTr="00420B3D">
        <w:tc>
          <w:tcPr>
            <w:tcW w:w="1650" w:type="dxa"/>
          </w:tcPr>
          <w:p w14:paraId="3A1E4688" w14:textId="77777777" w:rsidR="00420B3D" w:rsidRPr="00D66E74" w:rsidRDefault="00420B3D" w:rsidP="00420B3D">
            <w:pPr>
              <w:spacing w:before="120"/>
              <w:rPr>
                <w:sz w:val="24"/>
                <w:szCs w:val="24"/>
              </w:rPr>
            </w:pPr>
            <w:r w:rsidRPr="00D66E74">
              <w:rPr>
                <w:b/>
                <w:sz w:val="24"/>
                <w:szCs w:val="24"/>
              </w:rPr>
              <w:lastRenderedPageBreak/>
              <w:t>N</w:t>
            </w:r>
            <w:r w:rsidRPr="005E4A68">
              <w:rPr>
                <w:b/>
                <w:sz w:val="24"/>
                <w:szCs w:val="24"/>
                <w:vertAlign w:val="subscript"/>
              </w:rPr>
              <w:t>3</w:t>
            </w:r>
            <w:r w:rsidRPr="00D66E74">
              <w:rPr>
                <w:b/>
                <w:sz w:val="24"/>
                <w:szCs w:val="24"/>
              </w:rPr>
              <w:t>:</w:t>
            </w:r>
            <w:r w:rsidRPr="00D66E74">
              <w:rPr>
                <w:sz w:val="24"/>
                <w:szCs w:val="24"/>
              </w:rPr>
              <w:t>75%RDF+ Vermicompost</w:t>
            </w:r>
          </w:p>
        </w:tc>
        <w:tc>
          <w:tcPr>
            <w:tcW w:w="677" w:type="dxa"/>
            <w:vAlign w:val="center"/>
          </w:tcPr>
          <w:p w14:paraId="3684A979" w14:textId="77777777" w:rsidR="00420B3D" w:rsidRPr="00D66E74" w:rsidRDefault="00420B3D" w:rsidP="00420B3D">
            <w:pPr>
              <w:spacing w:before="120"/>
              <w:jc w:val="center"/>
              <w:rPr>
                <w:sz w:val="24"/>
                <w:szCs w:val="24"/>
              </w:rPr>
            </w:pPr>
            <w:r w:rsidRPr="00D66E74">
              <w:rPr>
                <w:sz w:val="24"/>
                <w:szCs w:val="24"/>
              </w:rPr>
              <w:t>1.39</w:t>
            </w:r>
          </w:p>
        </w:tc>
        <w:tc>
          <w:tcPr>
            <w:tcW w:w="676" w:type="dxa"/>
            <w:vAlign w:val="center"/>
          </w:tcPr>
          <w:p w14:paraId="1A66472C" w14:textId="77777777" w:rsidR="00420B3D" w:rsidRPr="00D66E74" w:rsidRDefault="00420B3D" w:rsidP="00420B3D">
            <w:pPr>
              <w:spacing w:before="120"/>
              <w:jc w:val="center"/>
              <w:rPr>
                <w:color w:val="000000"/>
                <w:sz w:val="24"/>
                <w:szCs w:val="24"/>
              </w:rPr>
            </w:pPr>
            <w:r w:rsidRPr="00D66E74">
              <w:rPr>
                <w:color w:val="000000"/>
                <w:sz w:val="24"/>
                <w:szCs w:val="24"/>
              </w:rPr>
              <w:t>0.51</w:t>
            </w:r>
          </w:p>
        </w:tc>
        <w:tc>
          <w:tcPr>
            <w:tcW w:w="730" w:type="dxa"/>
            <w:vAlign w:val="center"/>
          </w:tcPr>
          <w:p w14:paraId="60C53002" w14:textId="77777777" w:rsidR="00420B3D" w:rsidRPr="00D66E74" w:rsidRDefault="00420B3D" w:rsidP="00420B3D">
            <w:pPr>
              <w:spacing w:before="120"/>
              <w:jc w:val="center"/>
              <w:rPr>
                <w:sz w:val="24"/>
                <w:szCs w:val="24"/>
              </w:rPr>
            </w:pPr>
            <w:r w:rsidRPr="00D66E74">
              <w:rPr>
                <w:sz w:val="24"/>
                <w:szCs w:val="24"/>
              </w:rPr>
              <w:t>0.30</w:t>
            </w:r>
          </w:p>
        </w:tc>
        <w:tc>
          <w:tcPr>
            <w:tcW w:w="701" w:type="dxa"/>
            <w:vAlign w:val="center"/>
          </w:tcPr>
          <w:p w14:paraId="07CFB271" w14:textId="77777777" w:rsidR="00420B3D" w:rsidRPr="00D66E74" w:rsidRDefault="00420B3D" w:rsidP="00420B3D">
            <w:pPr>
              <w:spacing w:before="120"/>
              <w:jc w:val="center"/>
              <w:rPr>
                <w:sz w:val="24"/>
                <w:szCs w:val="24"/>
              </w:rPr>
            </w:pPr>
            <w:r w:rsidRPr="00D66E74">
              <w:rPr>
                <w:sz w:val="24"/>
                <w:szCs w:val="24"/>
              </w:rPr>
              <w:t>0.11</w:t>
            </w:r>
          </w:p>
        </w:tc>
        <w:tc>
          <w:tcPr>
            <w:tcW w:w="677" w:type="dxa"/>
            <w:vAlign w:val="center"/>
          </w:tcPr>
          <w:p w14:paraId="45FD5A3D" w14:textId="77777777" w:rsidR="00420B3D" w:rsidRPr="00D66E74" w:rsidRDefault="00420B3D" w:rsidP="00420B3D">
            <w:pPr>
              <w:spacing w:before="120"/>
              <w:jc w:val="center"/>
              <w:rPr>
                <w:sz w:val="24"/>
                <w:szCs w:val="24"/>
              </w:rPr>
            </w:pPr>
            <w:r w:rsidRPr="00D66E74">
              <w:rPr>
                <w:sz w:val="24"/>
                <w:szCs w:val="24"/>
              </w:rPr>
              <w:t>0.48</w:t>
            </w:r>
          </w:p>
        </w:tc>
        <w:tc>
          <w:tcPr>
            <w:tcW w:w="676" w:type="dxa"/>
            <w:vAlign w:val="center"/>
          </w:tcPr>
          <w:p w14:paraId="237BB10D" w14:textId="77777777" w:rsidR="00420B3D" w:rsidRPr="00D66E74" w:rsidRDefault="00420B3D" w:rsidP="00420B3D">
            <w:pPr>
              <w:spacing w:before="120"/>
              <w:jc w:val="center"/>
              <w:rPr>
                <w:sz w:val="24"/>
                <w:szCs w:val="24"/>
              </w:rPr>
            </w:pPr>
            <w:r w:rsidRPr="00D66E74">
              <w:rPr>
                <w:sz w:val="24"/>
                <w:szCs w:val="24"/>
              </w:rPr>
              <w:t>1.47</w:t>
            </w:r>
          </w:p>
        </w:tc>
        <w:tc>
          <w:tcPr>
            <w:tcW w:w="1030" w:type="dxa"/>
          </w:tcPr>
          <w:p w14:paraId="5FC1E282" w14:textId="0D2DC0F7" w:rsidR="00420B3D" w:rsidRPr="00D66E74" w:rsidRDefault="00420B3D" w:rsidP="00420B3D">
            <w:pPr>
              <w:spacing w:before="120"/>
              <w:jc w:val="center"/>
            </w:pPr>
            <w:r w:rsidRPr="00D66E74">
              <w:rPr>
                <w:color w:val="000000"/>
              </w:rPr>
              <w:t>28.35</w:t>
            </w:r>
          </w:p>
        </w:tc>
        <w:tc>
          <w:tcPr>
            <w:tcW w:w="1306" w:type="dxa"/>
          </w:tcPr>
          <w:p w14:paraId="7BC74FA0" w14:textId="2F508A04" w:rsidR="00420B3D" w:rsidRPr="00D66E74" w:rsidRDefault="00420B3D" w:rsidP="00420B3D">
            <w:pPr>
              <w:spacing w:before="120"/>
              <w:jc w:val="center"/>
            </w:pPr>
            <w:r w:rsidRPr="00D66E74">
              <w:rPr>
                <w:color w:val="000000"/>
              </w:rPr>
              <w:t>19.39</w:t>
            </w:r>
          </w:p>
        </w:tc>
        <w:tc>
          <w:tcPr>
            <w:tcW w:w="1162" w:type="dxa"/>
          </w:tcPr>
          <w:p w14:paraId="175FDCF0" w14:textId="3FCB7D77" w:rsidR="00420B3D" w:rsidRPr="00D66E74" w:rsidRDefault="00420B3D" w:rsidP="00420B3D">
            <w:pPr>
              <w:spacing w:before="120"/>
              <w:jc w:val="center"/>
            </w:pPr>
            <w:r w:rsidRPr="00D66E74">
              <w:rPr>
                <w:color w:val="000000"/>
              </w:rPr>
              <w:t>102.48</w:t>
            </w:r>
          </w:p>
        </w:tc>
      </w:tr>
      <w:tr w:rsidR="00420B3D" w:rsidRPr="00D66E74" w14:paraId="78087354" w14:textId="53ABA383" w:rsidTr="00420B3D">
        <w:tc>
          <w:tcPr>
            <w:tcW w:w="1650" w:type="dxa"/>
          </w:tcPr>
          <w:p w14:paraId="5ABB8758" w14:textId="77777777" w:rsidR="00420B3D" w:rsidRPr="00D66E74" w:rsidRDefault="00420B3D" w:rsidP="00420B3D">
            <w:pPr>
              <w:spacing w:before="120"/>
              <w:rPr>
                <w:sz w:val="24"/>
                <w:szCs w:val="24"/>
              </w:rPr>
            </w:pPr>
            <w:proofErr w:type="spellStart"/>
            <w:proofErr w:type="gramStart"/>
            <w:r w:rsidRPr="00D66E74">
              <w:rPr>
                <w:sz w:val="24"/>
                <w:szCs w:val="24"/>
              </w:rPr>
              <w:t>S.Em</w:t>
            </w:r>
            <w:proofErr w:type="spellEnd"/>
            <w:proofErr w:type="gramEnd"/>
            <w:r w:rsidRPr="00D66E74">
              <w:rPr>
                <w:sz w:val="24"/>
                <w:szCs w:val="24"/>
                <w:u w:val="single"/>
              </w:rPr>
              <w:t>+</w:t>
            </w:r>
          </w:p>
        </w:tc>
        <w:tc>
          <w:tcPr>
            <w:tcW w:w="677" w:type="dxa"/>
            <w:vAlign w:val="bottom"/>
          </w:tcPr>
          <w:p w14:paraId="67440E70" w14:textId="77777777" w:rsidR="00420B3D" w:rsidRPr="00D66E74" w:rsidRDefault="00420B3D" w:rsidP="00420B3D">
            <w:pPr>
              <w:jc w:val="center"/>
              <w:rPr>
                <w:sz w:val="24"/>
                <w:szCs w:val="24"/>
              </w:rPr>
            </w:pPr>
            <w:r w:rsidRPr="00D66E74">
              <w:rPr>
                <w:sz w:val="24"/>
                <w:szCs w:val="24"/>
              </w:rPr>
              <w:t>0.01</w:t>
            </w:r>
          </w:p>
        </w:tc>
        <w:tc>
          <w:tcPr>
            <w:tcW w:w="676" w:type="dxa"/>
            <w:vAlign w:val="bottom"/>
          </w:tcPr>
          <w:p w14:paraId="38EAC5DD" w14:textId="77777777" w:rsidR="00420B3D" w:rsidRPr="00D66E74" w:rsidRDefault="00420B3D" w:rsidP="00420B3D">
            <w:pPr>
              <w:jc w:val="center"/>
              <w:rPr>
                <w:color w:val="000000"/>
                <w:sz w:val="24"/>
                <w:szCs w:val="24"/>
              </w:rPr>
            </w:pPr>
            <w:r w:rsidRPr="00D66E74">
              <w:rPr>
                <w:color w:val="000000"/>
                <w:sz w:val="24"/>
                <w:szCs w:val="24"/>
              </w:rPr>
              <w:t>0.01</w:t>
            </w:r>
          </w:p>
        </w:tc>
        <w:tc>
          <w:tcPr>
            <w:tcW w:w="730" w:type="dxa"/>
            <w:vAlign w:val="bottom"/>
          </w:tcPr>
          <w:p w14:paraId="21B58DB2" w14:textId="77777777" w:rsidR="00420B3D" w:rsidRPr="00D66E74" w:rsidRDefault="00420B3D" w:rsidP="00420B3D">
            <w:pPr>
              <w:jc w:val="center"/>
              <w:rPr>
                <w:sz w:val="24"/>
                <w:szCs w:val="24"/>
              </w:rPr>
            </w:pPr>
            <w:r w:rsidRPr="00D66E74">
              <w:rPr>
                <w:sz w:val="24"/>
                <w:szCs w:val="24"/>
              </w:rPr>
              <w:t>0.00</w:t>
            </w:r>
          </w:p>
        </w:tc>
        <w:tc>
          <w:tcPr>
            <w:tcW w:w="701" w:type="dxa"/>
            <w:vAlign w:val="bottom"/>
          </w:tcPr>
          <w:p w14:paraId="4D09BA68" w14:textId="77777777" w:rsidR="00420B3D" w:rsidRPr="00D66E74" w:rsidRDefault="00420B3D" w:rsidP="00420B3D">
            <w:pPr>
              <w:jc w:val="center"/>
              <w:rPr>
                <w:sz w:val="24"/>
                <w:szCs w:val="24"/>
              </w:rPr>
            </w:pPr>
            <w:r w:rsidRPr="00D66E74">
              <w:rPr>
                <w:sz w:val="24"/>
                <w:szCs w:val="24"/>
              </w:rPr>
              <w:t>0.00</w:t>
            </w:r>
          </w:p>
        </w:tc>
        <w:tc>
          <w:tcPr>
            <w:tcW w:w="677" w:type="dxa"/>
            <w:vAlign w:val="bottom"/>
          </w:tcPr>
          <w:p w14:paraId="09411255" w14:textId="77777777" w:rsidR="00420B3D" w:rsidRPr="00D66E74" w:rsidRDefault="00420B3D" w:rsidP="00420B3D">
            <w:pPr>
              <w:jc w:val="center"/>
              <w:rPr>
                <w:sz w:val="24"/>
                <w:szCs w:val="24"/>
              </w:rPr>
            </w:pPr>
            <w:r w:rsidRPr="00D66E74">
              <w:rPr>
                <w:sz w:val="24"/>
                <w:szCs w:val="24"/>
              </w:rPr>
              <w:t>0.01</w:t>
            </w:r>
          </w:p>
        </w:tc>
        <w:tc>
          <w:tcPr>
            <w:tcW w:w="676" w:type="dxa"/>
            <w:vAlign w:val="bottom"/>
          </w:tcPr>
          <w:p w14:paraId="20690599" w14:textId="77777777" w:rsidR="00420B3D" w:rsidRPr="00D66E74" w:rsidRDefault="00420B3D" w:rsidP="00420B3D">
            <w:pPr>
              <w:jc w:val="center"/>
              <w:rPr>
                <w:sz w:val="24"/>
                <w:szCs w:val="24"/>
              </w:rPr>
            </w:pPr>
            <w:r w:rsidRPr="00D66E74">
              <w:rPr>
                <w:sz w:val="24"/>
                <w:szCs w:val="24"/>
              </w:rPr>
              <w:t>0.15</w:t>
            </w:r>
          </w:p>
        </w:tc>
        <w:tc>
          <w:tcPr>
            <w:tcW w:w="1030" w:type="dxa"/>
          </w:tcPr>
          <w:p w14:paraId="364F5084" w14:textId="7C99190A" w:rsidR="00420B3D" w:rsidRPr="00D66E74" w:rsidRDefault="00420B3D" w:rsidP="00420B3D">
            <w:pPr>
              <w:jc w:val="center"/>
            </w:pPr>
            <w:r w:rsidRPr="00D66E74">
              <w:rPr>
                <w:color w:val="000000"/>
              </w:rPr>
              <w:t>0.66</w:t>
            </w:r>
          </w:p>
        </w:tc>
        <w:tc>
          <w:tcPr>
            <w:tcW w:w="1306" w:type="dxa"/>
          </w:tcPr>
          <w:p w14:paraId="37272749" w14:textId="18629A88" w:rsidR="00420B3D" w:rsidRPr="00D66E74" w:rsidRDefault="00420B3D" w:rsidP="00420B3D">
            <w:pPr>
              <w:jc w:val="center"/>
            </w:pPr>
            <w:r w:rsidRPr="00D66E74">
              <w:rPr>
                <w:color w:val="000000"/>
              </w:rPr>
              <w:t>0.32</w:t>
            </w:r>
          </w:p>
        </w:tc>
        <w:tc>
          <w:tcPr>
            <w:tcW w:w="1162" w:type="dxa"/>
          </w:tcPr>
          <w:p w14:paraId="7AACC33F" w14:textId="19CF1DAA" w:rsidR="00420B3D" w:rsidRPr="00D66E74" w:rsidRDefault="00420B3D" w:rsidP="00420B3D">
            <w:pPr>
              <w:jc w:val="center"/>
            </w:pPr>
            <w:r w:rsidRPr="00D66E74">
              <w:rPr>
                <w:color w:val="000000"/>
              </w:rPr>
              <w:t>1.40</w:t>
            </w:r>
          </w:p>
        </w:tc>
      </w:tr>
      <w:tr w:rsidR="00420B3D" w:rsidRPr="00D66E74" w14:paraId="65746D7B" w14:textId="50CB4A90" w:rsidTr="009053B7">
        <w:tc>
          <w:tcPr>
            <w:tcW w:w="1650" w:type="dxa"/>
          </w:tcPr>
          <w:p w14:paraId="773D58EB" w14:textId="77777777" w:rsidR="00420B3D" w:rsidRPr="00D66E74" w:rsidRDefault="00420B3D" w:rsidP="00420B3D">
            <w:pPr>
              <w:spacing w:before="120"/>
              <w:jc w:val="center"/>
              <w:rPr>
                <w:sz w:val="24"/>
                <w:szCs w:val="24"/>
              </w:rPr>
            </w:pPr>
            <w:r w:rsidRPr="00D66E74">
              <w:rPr>
                <w:sz w:val="24"/>
                <w:szCs w:val="24"/>
              </w:rPr>
              <w:t>C.D.(p=0.05)</w:t>
            </w:r>
          </w:p>
        </w:tc>
        <w:tc>
          <w:tcPr>
            <w:tcW w:w="677" w:type="dxa"/>
            <w:vAlign w:val="bottom"/>
          </w:tcPr>
          <w:p w14:paraId="078935DF" w14:textId="77777777" w:rsidR="00420B3D" w:rsidRPr="00D66E74" w:rsidRDefault="00420B3D" w:rsidP="00420B3D">
            <w:pPr>
              <w:jc w:val="center"/>
              <w:rPr>
                <w:sz w:val="24"/>
                <w:szCs w:val="24"/>
              </w:rPr>
            </w:pPr>
            <w:r w:rsidRPr="00D66E74">
              <w:rPr>
                <w:sz w:val="24"/>
                <w:szCs w:val="24"/>
              </w:rPr>
              <w:t>0.04</w:t>
            </w:r>
          </w:p>
        </w:tc>
        <w:tc>
          <w:tcPr>
            <w:tcW w:w="676" w:type="dxa"/>
            <w:vAlign w:val="bottom"/>
          </w:tcPr>
          <w:p w14:paraId="35E46149" w14:textId="77777777" w:rsidR="00420B3D" w:rsidRPr="00D66E74" w:rsidRDefault="00420B3D" w:rsidP="00420B3D">
            <w:pPr>
              <w:jc w:val="center"/>
              <w:rPr>
                <w:color w:val="000000"/>
                <w:sz w:val="24"/>
                <w:szCs w:val="24"/>
              </w:rPr>
            </w:pPr>
            <w:r w:rsidRPr="00D66E74">
              <w:rPr>
                <w:color w:val="000000"/>
                <w:sz w:val="24"/>
                <w:szCs w:val="24"/>
              </w:rPr>
              <w:t>0.02</w:t>
            </w:r>
          </w:p>
        </w:tc>
        <w:tc>
          <w:tcPr>
            <w:tcW w:w="730" w:type="dxa"/>
            <w:vAlign w:val="bottom"/>
          </w:tcPr>
          <w:p w14:paraId="15750CFB" w14:textId="77777777" w:rsidR="00420B3D" w:rsidRPr="00D66E74" w:rsidRDefault="00420B3D" w:rsidP="00420B3D">
            <w:pPr>
              <w:jc w:val="center"/>
              <w:rPr>
                <w:sz w:val="24"/>
                <w:szCs w:val="24"/>
              </w:rPr>
            </w:pPr>
            <w:r w:rsidRPr="00D66E74">
              <w:rPr>
                <w:sz w:val="24"/>
                <w:szCs w:val="24"/>
              </w:rPr>
              <w:t>0.01</w:t>
            </w:r>
          </w:p>
        </w:tc>
        <w:tc>
          <w:tcPr>
            <w:tcW w:w="701" w:type="dxa"/>
            <w:vAlign w:val="bottom"/>
          </w:tcPr>
          <w:p w14:paraId="467FBC65" w14:textId="77777777" w:rsidR="00420B3D" w:rsidRPr="00D66E74" w:rsidRDefault="00420B3D" w:rsidP="00420B3D">
            <w:pPr>
              <w:jc w:val="center"/>
              <w:rPr>
                <w:sz w:val="24"/>
                <w:szCs w:val="24"/>
              </w:rPr>
            </w:pPr>
            <w:r w:rsidRPr="00D66E74">
              <w:rPr>
                <w:sz w:val="24"/>
                <w:szCs w:val="24"/>
              </w:rPr>
              <w:t>0.00</w:t>
            </w:r>
          </w:p>
        </w:tc>
        <w:tc>
          <w:tcPr>
            <w:tcW w:w="677" w:type="dxa"/>
            <w:vAlign w:val="bottom"/>
          </w:tcPr>
          <w:p w14:paraId="2D6B45E9" w14:textId="77777777" w:rsidR="00420B3D" w:rsidRPr="00D66E74" w:rsidRDefault="00420B3D" w:rsidP="00420B3D">
            <w:pPr>
              <w:jc w:val="center"/>
              <w:rPr>
                <w:sz w:val="24"/>
                <w:szCs w:val="24"/>
              </w:rPr>
            </w:pPr>
            <w:r w:rsidRPr="00D66E74">
              <w:rPr>
                <w:sz w:val="24"/>
                <w:szCs w:val="24"/>
              </w:rPr>
              <w:t>0.02</w:t>
            </w:r>
          </w:p>
        </w:tc>
        <w:tc>
          <w:tcPr>
            <w:tcW w:w="676" w:type="dxa"/>
            <w:vAlign w:val="bottom"/>
          </w:tcPr>
          <w:p w14:paraId="0765BF9C" w14:textId="77777777" w:rsidR="00420B3D" w:rsidRPr="00D66E74" w:rsidRDefault="00420B3D" w:rsidP="00420B3D">
            <w:pPr>
              <w:jc w:val="center"/>
              <w:rPr>
                <w:sz w:val="24"/>
                <w:szCs w:val="24"/>
              </w:rPr>
            </w:pPr>
            <w:r w:rsidRPr="00D66E74">
              <w:rPr>
                <w:sz w:val="24"/>
                <w:szCs w:val="24"/>
              </w:rPr>
              <w:t>0.05</w:t>
            </w:r>
          </w:p>
        </w:tc>
        <w:tc>
          <w:tcPr>
            <w:tcW w:w="1030" w:type="dxa"/>
            <w:vAlign w:val="center"/>
          </w:tcPr>
          <w:p w14:paraId="310501A0" w14:textId="39B1B676" w:rsidR="00420B3D" w:rsidRPr="00D66E74" w:rsidRDefault="00420B3D" w:rsidP="00420B3D">
            <w:pPr>
              <w:jc w:val="center"/>
            </w:pPr>
            <w:r w:rsidRPr="00D66E74">
              <w:rPr>
                <w:color w:val="000000"/>
              </w:rPr>
              <w:t>2.25</w:t>
            </w:r>
          </w:p>
        </w:tc>
        <w:tc>
          <w:tcPr>
            <w:tcW w:w="1306" w:type="dxa"/>
            <w:vAlign w:val="center"/>
          </w:tcPr>
          <w:p w14:paraId="47D68C85" w14:textId="71B18D14" w:rsidR="00420B3D" w:rsidRPr="00D66E74" w:rsidRDefault="00420B3D" w:rsidP="00420B3D">
            <w:pPr>
              <w:jc w:val="center"/>
            </w:pPr>
            <w:r w:rsidRPr="00D66E74">
              <w:rPr>
                <w:color w:val="000000"/>
              </w:rPr>
              <w:t>1.09</w:t>
            </w:r>
          </w:p>
        </w:tc>
        <w:tc>
          <w:tcPr>
            <w:tcW w:w="1162" w:type="dxa"/>
            <w:vAlign w:val="center"/>
          </w:tcPr>
          <w:p w14:paraId="21F847C3" w14:textId="437E2BA8" w:rsidR="00420B3D" w:rsidRPr="00D66E74" w:rsidRDefault="00420B3D" w:rsidP="00420B3D">
            <w:pPr>
              <w:jc w:val="center"/>
            </w:pPr>
            <w:r w:rsidRPr="00D66E74">
              <w:rPr>
                <w:color w:val="000000"/>
              </w:rPr>
              <w:t>4.75</w:t>
            </w:r>
          </w:p>
        </w:tc>
      </w:tr>
    </w:tbl>
    <w:p w14:paraId="3E98EF29" w14:textId="77777777" w:rsidR="00D66E74" w:rsidRDefault="00D66E74" w:rsidP="00D66E74">
      <w:pPr>
        <w:spacing w:line="360" w:lineRule="auto"/>
        <w:jc w:val="both"/>
        <w:rPr>
          <w:b/>
        </w:rPr>
      </w:pPr>
    </w:p>
    <w:p w14:paraId="0C1BCBD1" w14:textId="77777777" w:rsidR="00D66E74" w:rsidRPr="00D66E74" w:rsidRDefault="0005309B" w:rsidP="0005309B">
      <w:pPr>
        <w:spacing w:line="444" w:lineRule="auto"/>
        <w:ind w:left="-567"/>
        <w:jc w:val="both"/>
        <w:rPr>
          <w:color w:val="000000"/>
        </w:rPr>
      </w:pPr>
      <w:r>
        <w:rPr>
          <w:b/>
          <w:color w:val="000000"/>
        </w:rPr>
        <w:t>3.3</w:t>
      </w:r>
      <w:r w:rsidR="00D66E74" w:rsidRPr="00D66E74">
        <w:rPr>
          <w:b/>
          <w:color w:val="000000"/>
        </w:rPr>
        <w:t xml:space="preserve"> Nutrient Uptake by the crop:</w:t>
      </w:r>
    </w:p>
    <w:p w14:paraId="2166D530" w14:textId="77777777" w:rsidR="0005309B" w:rsidRDefault="0005309B" w:rsidP="0005309B">
      <w:pPr>
        <w:spacing w:line="444" w:lineRule="auto"/>
        <w:ind w:left="-567"/>
        <w:jc w:val="both"/>
        <w:rPr>
          <w:b/>
          <w:color w:val="000000"/>
        </w:rPr>
      </w:pPr>
      <w:r>
        <w:rPr>
          <w:b/>
          <w:color w:val="000000"/>
        </w:rPr>
        <w:t>3.3.1:</w:t>
      </w:r>
      <w:r w:rsidR="00AB4A7A">
        <w:rPr>
          <w:b/>
          <w:color w:val="000000"/>
        </w:rPr>
        <w:t xml:space="preserve"> Nitrogen Uptake </w:t>
      </w:r>
      <w:r w:rsidR="00D66E74" w:rsidRPr="00D66E74">
        <w:rPr>
          <w:b/>
          <w:color w:val="000000"/>
        </w:rPr>
        <w:t>(kg ha</w:t>
      </w:r>
      <w:r w:rsidR="00D66E74" w:rsidRPr="00D66E74">
        <w:rPr>
          <w:b/>
          <w:color w:val="000000"/>
          <w:vertAlign w:val="superscript"/>
        </w:rPr>
        <w:t>-1</w:t>
      </w:r>
      <w:r w:rsidR="00D66E74" w:rsidRPr="00D66E74">
        <w:rPr>
          <w:b/>
          <w:color w:val="000000"/>
        </w:rPr>
        <w:t>):</w:t>
      </w:r>
    </w:p>
    <w:p w14:paraId="010D5820" w14:textId="69DC6AE8" w:rsidR="007606D6" w:rsidRDefault="007606D6" w:rsidP="0005309B">
      <w:pPr>
        <w:spacing w:line="444" w:lineRule="auto"/>
        <w:ind w:left="-567"/>
        <w:jc w:val="both"/>
      </w:pPr>
      <w:r>
        <w:t xml:space="preserve">The crop's nitrogen uptake was markedly influenced by various types and nutrient levels (Table </w:t>
      </w:r>
      <w:r w:rsidR="009E06B5">
        <w:t>1</w:t>
      </w:r>
      <w:r>
        <w:t>). The total nitrogen intake was highest in variety Mahsuri (V</w:t>
      </w:r>
      <w:r w:rsidRPr="007606D6">
        <w:rPr>
          <w:vertAlign w:val="subscript"/>
        </w:rPr>
        <w:t>3</w:t>
      </w:r>
      <w:r>
        <w:t>) at 107.33 kg ha</w:t>
      </w:r>
      <w:r w:rsidRPr="007606D6">
        <w:rPr>
          <w:vertAlign w:val="superscript"/>
        </w:rPr>
        <w:t>-1</w:t>
      </w:r>
      <w:r>
        <w:t>, comparable to variety Sarjoo-52 (V</w:t>
      </w:r>
      <w:r w:rsidRPr="007606D6">
        <w:rPr>
          <w:vertAlign w:val="subscript"/>
        </w:rPr>
        <w:t>2</w:t>
      </w:r>
      <w:r>
        <w:t>), but much more than NDR-97 (V</w:t>
      </w:r>
      <w:r w:rsidRPr="004B6389">
        <w:rPr>
          <w:vertAlign w:val="subscript"/>
        </w:rPr>
        <w:t>1</w:t>
      </w:r>
      <w:r>
        <w:t>). The lowest nitrogen uptake, measured at 62.3 kg ha</w:t>
      </w:r>
      <w:r w:rsidRPr="00C24988">
        <w:rPr>
          <w:vertAlign w:val="superscript"/>
        </w:rPr>
        <w:t>-1</w:t>
      </w:r>
      <w:r>
        <w:t>, was observed in the cultivar NDR-97. The total nitrogen intake in grain and straw was highest under N</w:t>
      </w:r>
      <w:r w:rsidRPr="007606D6">
        <w:rPr>
          <w:vertAlign w:val="subscript"/>
        </w:rPr>
        <w:t>1</w:t>
      </w:r>
      <w:r>
        <w:t xml:space="preserve"> (100% RDF) at 31.01 kg ha</w:t>
      </w:r>
      <w:r w:rsidRPr="006A6F55">
        <w:rPr>
          <w:vertAlign w:val="superscript"/>
        </w:rPr>
        <w:t>-1</w:t>
      </w:r>
      <w:r>
        <w:t>, greatly surpassing N</w:t>
      </w:r>
      <w:r w:rsidRPr="007606D6">
        <w:rPr>
          <w:vertAlign w:val="subscript"/>
        </w:rPr>
        <w:t>2</w:t>
      </w:r>
      <w:r>
        <w:t xml:space="preserve"> (75% RDF + 25% FYM) and N</w:t>
      </w:r>
      <w:r w:rsidR="000E5146">
        <w:rPr>
          <w:vertAlign w:val="subscript"/>
        </w:rPr>
        <w:t>3</w:t>
      </w:r>
      <w:r>
        <w:t xml:space="preserve"> (75% RDF + 25% vermicompost). The total nitrogen intake by crops in N</w:t>
      </w:r>
      <w:r w:rsidRPr="007606D6">
        <w:rPr>
          <w:vertAlign w:val="subscript"/>
        </w:rPr>
        <w:t>1</w:t>
      </w:r>
      <w:r>
        <w:t xml:space="preserve"> (100% RDF) increased by 8.57% compared to N</w:t>
      </w:r>
      <w:r w:rsidRPr="007606D6">
        <w:rPr>
          <w:vertAlign w:val="subscript"/>
        </w:rPr>
        <w:t>3</w:t>
      </w:r>
      <w:r>
        <w:t xml:space="preserve"> and by 17.89% compared to N</w:t>
      </w:r>
      <w:r w:rsidRPr="007606D6">
        <w:rPr>
          <w:vertAlign w:val="subscript"/>
        </w:rPr>
        <w:t>2</w:t>
      </w:r>
      <w:r>
        <w:t>.</w:t>
      </w:r>
    </w:p>
    <w:p w14:paraId="77FA7440" w14:textId="77777777" w:rsidR="0005309B" w:rsidRDefault="00CE0D62" w:rsidP="0005309B">
      <w:pPr>
        <w:spacing w:line="444" w:lineRule="auto"/>
        <w:ind w:left="-567"/>
        <w:jc w:val="both"/>
        <w:rPr>
          <w:b/>
          <w:color w:val="000000"/>
        </w:rPr>
      </w:pPr>
      <w:r>
        <w:rPr>
          <w:b/>
          <w:color w:val="000000"/>
        </w:rPr>
        <w:t>3.3</w:t>
      </w:r>
      <w:r w:rsidR="00D66E74" w:rsidRPr="00D66E74">
        <w:rPr>
          <w:b/>
          <w:color w:val="000000"/>
        </w:rPr>
        <w:t>.2.</w:t>
      </w:r>
      <w:r>
        <w:rPr>
          <w:b/>
          <w:color w:val="000000"/>
        </w:rPr>
        <w:t xml:space="preserve"> </w:t>
      </w:r>
      <w:r w:rsidR="00D66E74" w:rsidRPr="00D66E74">
        <w:rPr>
          <w:b/>
          <w:color w:val="000000"/>
        </w:rPr>
        <w:t>Phosphorus uptake (kg ha</w:t>
      </w:r>
      <w:r w:rsidR="00D66E74" w:rsidRPr="00D66E74">
        <w:rPr>
          <w:b/>
          <w:color w:val="000000"/>
          <w:vertAlign w:val="superscript"/>
        </w:rPr>
        <w:t>-1</w:t>
      </w:r>
      <w:r w:rsidR="00D66E74" w:rsidRPr="00D66E74">
        <w:rPr>
          <w:b/>
          <w:color w:val="000000"/>
        </w:rPr>
        <w:t>):</w:t>
      </w:r>
    </w:p>
    <w:p w14:paraId="5E4AB708" w14:textId="7EFFEA71" w:rsidR="00AB4A7A" w:rsidRDefault="00D66E74" w:rsidP="009E06B5">
      <w:pPr>
        <w:spacing w:line="360" w:lineRule="auto"/>
        <w:ind w:left="-567"/>
        <w:jc w:val="both"/>
        <w:rPr>
          <w:color w:val="000000"/>
        </w:rPr>
      </w:pPr>
      <w:r w:rsidRPr="00D66E74">
        <w:rPr>
          <w:color w:val="000000"/>
        </w:rPr>
        <w:t>Phosphorus uptake by the crop was significantly affected by the different varieties</w:t>
      </w:r>
      <w:r w:rsidR="00377C63">
        <w:rPr>
          <w:color w:val="000000"/>
        </w:rPr>
        <w:t xml:space="preserve"> (Table </w:t>
      </w:r>
      <w:r w:rsidR="009E06B5">
        <w:rPr>
          <w:color w:val="000000"/>
        </w:rPr>
        <w:t>1</w:t>
      </w:r>
      <w:r w:rsidR="00377C63">
        <w:rPr>
          <w:color w:val="000000"/>
        </w:rPr>
        <w:t>)</w:t>
      </w:r>
      <w:r w:rsidR="00377C63" w:rsidRPr="00D66E74">
        <w:rPr>
          <w:color w:val="000000"/>
        </w:rPr>
        <w:t>.</w:t>
      </w:r>
      <w:r w:rsidR="00ED1239">
        <w:rPr>
          <w:color w:val="000000"/>
        </w:rPr>
        <w:t xml:space="preserve"> </w:t>
      </w:r>
      <w:r w:rsidRPr="00D66E74">
        <w:rPr>
          <w:color w:val="000000"/>
        </w:rPr>
        <w:t>It clearly indicated that total phosphorus uptake (24.16 kg ha</w:t>
      </w:r>
      <w:r w:rsidRPr="00D66E74">
        <w:rPr>
          <w:color w:val="000000"/>
          <w:vertAlign w:val="superscript"/>
        </w:rPr>
        <w:t>-1</w:t>
      </w:r>
      <w:r w:rsidRPr="00D66E74">
        <w:rPr>
          <w:color w:val="000000"/>
        </w:rPr>
        <w:t>) was maximum for variety Mahsuri (V</w:t>
      </w:r>
      <w:r w:rsidRPr="00D66E74">
        <w:rPr>
          <w:color w:val="000000"/>
          <w:vertAlign w:val="subscript"/>
        </w:rPr>
        <w:t>1</w:t>
      </w:r>
      <w:r w:rsidRPr="00D66E74">
        <w:rPr>
          <w:color w:val="000000"/>
        </w:rPr>
        <w:t>) which was statistically superior to Sarjoo-52 (V</w:t>
      </w:r>
      <w:r w:rsidRPr="00D66E74">
        <w:rPr>
          <w:color w:val="000000"/>
          <w:vertAlign w:val="subscript"/>
        </w:rPr>
        <w:t>2</w:t>
      </w:r>
      <w:r w:rsidRPr="00D66E74">
        <w:rPr>
          <w:color w:val="000000"/>
        </w:rPr>
        <w:t xml:space="preserve">) and was also significantly superior over variety NDR-97, respectively. </w:t>
      </w:r>
      <w:r w:rsidR="0005309B" w:rsidRPr="00D66E74">
        <w:rPr>
          <w:color w:val="000000"/>
        </w:rPr>
        <w:t>Total phosphorus uptake was maximum with N</w:t>
      </w:r>
      <w:r w:rsidR="0005309B" w:rsidRPr="00D66E74">
        <w:rPr>
          <w:color w:val="000000"/>
          <w:vertAlign w:val="subscript"/>
        </w:rPr>
        <w:t>1</w:t>
      </w:r>
      <w:r w:rsidR="0005309B" w:rsidRPr="00D66E74">
        <w:rPr>
          <w:color w:val="000000"/>
        </w:rPr>
        <w:t xml:space="preserve"> (100% RDF) which was significantly superior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 xml:space="preserve">3 </w:t>
      </w:r>
      <w:r w:rsidR="0005309B" w:rsidRPr="00D66E74">
        <w:rPr>
          <w:color w:val="000000"/>
        </w:rPr>
        <w:t>(75% RDF + 25% vermicompost). The percentage increase in total phosphorus uptake with 100% RDF were 23.24% and 15.83%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3</w:t>
      </w:r>
      <w:r w:rsidR="0005309B" w:rsidRPr="00D66E74">
        <w:rPr>
          <w:color w:val="000000"/>
        </w:rPr>
        <w:t xml:space="preserve"> (75% RDF + 25% vermicompost), respectively.</w:t>
      </w:r>
    </w:p>
    <w:p w14:paraId="735C95FB" w14:textId="77777777" w:rsidR="00AB4A7A" w:rsidRDefault="00CE0D62" w:rsidP="00AB4A7A">
      <w:pPr>
        <w:spacing w:line="444" w:lineRule="auto"/>
        <w:ind w:left="-567"/>
        <w:jc w:val="both"/>
        <w:rPr>
          <w:color w:val="000000"/>
        </w:rPr>
      </w:pPr>
      <w:r>
        <w:rPr>
          <w:b/>
          <w:color w:val="000000"/>
        </w:rPr>
        <w:t>3.3</w:t>
      </w:r>
      <w:r w:rsidR="00AB4A7A" w:rsidRPr="00D66E74">
        <w:rPr>
          <w:b/>
          <w:color w:val="000000"/>
        </w:rPr>
        <w:t>.3</w:t>
      </w:r>
      <w:r w:rsidR="00AB4A7A" w:rsidRPr="00D66E74">
        <w:rPr>
          <w:b/>
          <w:color w:val="000000"/>
        </w:rPr>
        <w:tab/>
        <w:t>Potassium uptake (kg ha</w:t>
      </w:r>
      <w:r w:rsidR="00AB4A7A" w:rsidRPr="00D66E74">
        <w:rPr>
          <w:b/>
          <w:color w:val="000000"/>
          <w:vertAlign w:val="superscript"/>
        </w:rPr>
        <w:t>-1</w:t>
      </w:r>
      <w:r w:rsidR="00AB4A7A" w:rsidRPr="00D66E74">
        <w:rPr>
          <w:b/>
          <w:color w:val="000000"/>
        </w:rPr>
        <w:t>):</w:t>
      </w:r>
    </w:p>
    <w:p w14:paraId="41F2A37D" w14:textId="2354DA09" w:rsidR="00CE0D62" w:rsidRDefault="00AB4A7A" w:rsidP="009E06B5">
      <w:pPr>
        <w:spacing w:line="360" w:lineRule="auto"/>
        <w:ind w:left="-567"/>
        <w:jc w:val="both"/>
        <w:rPr>
          <w:color w:val="000000"/>
        </w:rPr>
      </w:pPr>
      <w:r w:rsidRPr="00D66E74">
        <w:rPr>
          <w:color w:val="000000"/>
        </w:rPr>
        <w:t xml:space="preserve">Total potassium uptake as influenced by different varieties and nutrient levels </w:t>
      </w:r>
      <w:r w:rsidR="00377C63">
        <w:rPr>
          <w:color w:val="000000"/>
        </w:rPr>
        <w:t xml:space="preserve">(Table </w:t>
      </w:r>
      <w:r w:rsidR="009E06B5">
        <w:rPr>
          <w:color w:val="000000"/>
        </w:rPr>
        <w:t>1</w:t>
      </w:r>
      <w:r w:rsidR="00377C63">
        <w:rPr>
          <w:color w:val="000000"/>
        </w:rPr>
        <w:t>)</w:t>
      </w:r>
      <w:r w:rsidR="00377C63" w:rsidRPr="00D66E74">
        <w:rPr>
          <w:color w:val="000000"/>
        </w:rPr>
        <w:t xml:space="preserve">. </w:t>
      </w:r>
      <w:r w:rsidR="00377C63">
        <w:rPr>
          <w:color w:val="000000"/>
        </w:rPr>
        <w:t xml:space="preserve">The </w:t>
      </w:r>
      <w:r w:rsidRPr="00D66E74">
        <w:rPr>
          <w:color w:val="000000"/>
        </w:rPr>
        <w:t>highest potassium uptake (124.45 kg ha</w:t>
      </w:r>
      <w:r w:rsidRPr="00D66E74">
        <w:rPr>
          <w:color w:val="000000"/>
          <w:vertAlign w:val="superscript"/>
        </w:rPr>
        <w:t>-1</w:t>
      </w:r>
      <w:r w:rsidRPr="00D66E74">
        <w:rPr>
          <w:color w:val="000000"/>
        </w:rPr>
        <w:t>) was recorded in variety Mahsuri (V</w:t>
      </w:r>
      <w:r w:rsidRPr="00D66E74">
        <w:rPr>
          <w:color w:val="000000"/>
          <w:vertAlign w:val="subscript"/>
        </w:rPr>
        <w:t>3</w:t>
      </w:r>
      <w:r w:rsidRPr="00D66E74">
        <w:rPr>
          <w:color w:val="000000"/>
        </w:rPr>
        <w:t>) which was significantly superior over NDR-97 (V</w:t>
      </w:r>
      <w:r w:rsidRPr="00D66E74">
        <w:rPr>
          <w:color w:val="000000"/>
          <w:vertAlign w:val="subscript"/>
        </w:rPr>
        <w:t>1</w:t>
      </w:r>
      <w:r w:rsidRPr="00D66E74">
        <w:rPr>
          <w:color w:val="000000"/>
        </w:rPr>
        <w:t>) but, statistically at par with Sarjoo-52. Minimum total potassium uptake (73.46 kg ha</w:t>
      </w:r>
      <w:r w:rsidRPr="00D66E74">
        <w:rPr>
          <w:color w:val="000000"/>
          <w:vertAlign w:val="superscript"/>
        </w:rPr>
        <w:t>-1</w:t>
      </w:r>
      <w:r w:rsidRPr="00D66E74">
        <w:rPr>
          <w:color w:val="000000"/>
        </w:rPr>
        <w:t>) was recorded in</w:t>
      </w:r>
      <w:r>
        <w:rPr>
          <w:color w:val="000000"/>
        </w:rPr>
        <w:t xml:space="preserve"> </w:t>
      </w:r>
      <w:r w:rsidRPr="00D66E74">
        <w:rPr>
          <w:color w:val="000000"/>
        </w:rPr>
        <w:t>variety NDR-97 (V</w:t>
      </w:r>
      <w:r w:rsidRPr="00D66E74">
        <w:rPr>
          <w:color w:val="000000"/>
          <w:vertAlign w:val="subscript"/>
        </w:rPr>
        <w:t>1</w:t>
      </w:r>
      <w:r w:rsidRPr="00D66E74">
        <w:rPr>
          <w:color w:val="000000"/>
        </w:rPr>
        <w:t>), during the course of experimentation.</w:t>
      </w:r>
      <w:r>
        <w:rPr>
          <w:color w:val="000000"/>
        </w:rPr>
        <w:t xml:space="preserve"> </w:t>
      </w:r>
      <w:r w:rsidRPr="00D66E74">
        <w:rPr>
          <w:color w:val="000000"/>
        </w:rPr>
        <w:tab/>
      </w:r>
      <w:r w:rsidR="00CE0D62" w:rsidRPr="00D66E74">
        <w:rPr>
          <w:color w:val="000000"/>
        </w:rPr>
        <w:t>Scanning of</w:t>
      </w:r>
      <w:r w:rsidRPr="00D66E74">
        <w:rPr>
          <w:color w:val="000000"/>
        </w:rPr>
        <w:t xml:space="preserve"> data pertaining to potassium uptake clearly reveals that nutrient levels and sources significantly influenced total potassium uptake. The maximum total potassium uptake (113.30 kg ha</w:t>
      </w:r>
      <w:r w:rsidRPr="00D66E74">
        <w:rPr>
          <w:color w:val="000000"/>
          <w:vertAlign w:val="superscript"/>
        </w:rPr>
        <w:t>-1</w:t>
      </w:r>
      <w:r w:rsidRPr="00D66E74">
        <w:rPr>
          <w:color w:val="000000"/>
        </w:rPr>
        <w:t>) was recorded in N</w:t>
      </w:r>
      <w:r w:rsidRPr="00D66E74">
        <w:rPr>
          <w:color w:val="000000"/>
          <w:vertAlign w:val="subscript"/>
        </w:rPr>
        <w:t>1</w:t>
      </w:r>
      <w:r w:rsidRPr="00D66E74">
        <w:rPr>
          <w:color w:val="000000"/>
        </w:rPr>
        <w:t xml:space="preserve"> (100% RDF) which was significantly superior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The percentage increase in total </w:t>
      </w:r>
      <w:r w:rsidRPr="00D66E74">
        <w:rPr>
          <w:color w:val="000000"/>
        </w:rPr>
        <w:lastRenderedPageBreak/>
        <w:t>potassium uptake with N</w:t>
      </w:r>
      <w:r w:rsidRPr="00D66E74">
        <w:rPr>
          <w:color w:val="000000"/>
          <w:vertAlign w:val="subscript"/>
        </w:rPr>
        <w:t>1</w:t>
      </w:r>
      <w:r w:rsidRPr="00D66E74">
        <w:rPr>
          <w:color w:val="000000"/>
        </w:rPr>
        <w:t xml:space="preserve"> were 9.54% and 16.10%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respectively.</w:t>
      </w:r>
    </w:p>
    <w:p w14:paraId="1476BC11" w14:textId="4639319E" w:rsidR="00CE0D62" w:rsidRPr="00CE0D62" w:rsidRDefault="00CE0D62" w:rsidP="00CE0D62">
      <w:pPr>
        <w:spacing w:line="360" w:lineRule="auto"/>
        <w:ind w:left="-567" w:firstLine="567"/>
        <w:jc w:val="both"/>
      </w:pPr>
      <w:r w:rsidRPr="00CE0D62">
        <w:t>Significant variations among the nutrient uptake were observed mainly due to the variation in the grain and straw yield of the crop. The uptake of nitrogen, phosphorus and potassium was significantly more in long duration variety Mahsuri and was followed by varieties Sarjoo-52 and NDR-97.</w:t>
      </w:r>
      <w:r>
        <w:t xml:space="preserve"> </w:t>
      </w:r>
      <w:r w:rsidRPr="00CE0D62">
        <w:t xml:space="preserve">Integrated </w:t>
      </w:r>
      <w:proofErr w:type="spellStart"/>
      <w:r w:rsidRPr="00CE0D62">
        <w:t>nutrientmodules</w:t>
      </w:r>
      <w:proofErr w:type="spellEnd"/>
      <w:r w:rsidRPr="00CE0D62">
        <w:t xml:space="preserve"> significantly influenced the uptake of nitrogen, phosphorus and potassium. The maximum uptake of NPK by the crop was noted in N</w:t>
      </w:r>
      <w:r w:rsidRPr="00CE0D62">
        <w:rPr>
          <w:vertAlign w:val="subscript"/>
        </w:rPr>
        <w:t>1</w:t>
      </w:r>
      <w:r w:rsidRPr="00CE0D62">
        <w:t>(100% RDF) followed by N</w:t>
      </w:r>
      <w:r w:rsidRPr="00CE0D62">
        <w:rPr>
          <w:vertAlign w:val="subscript"/>
        </w:rPr>
        <w:t>3</w:t>
      </w:r>
      <w:r w:rsidRPr="00CE0D62">
        <w:t xml:space="preserve"> (75% RDF + 25% vermicompost) and N</w:t>
      </w:r>
      <w:r w:rsidRPr="00CE0D62">
        <w:rPr>
          <w:vertAlign w:val="subscript"/>
        </w:rPr>
        <w:t>2</w:t>
      </w:r>
      <w:r w:rsidRPr="00CE0D62">
        <w:t xml:space="preserve"> (75% RDF + 25% FYM). </w:t>
      </w:r>
      <w:r w:rsidRPr="00CE0D62">
        <w:rPr>
          <w:iCs/>
        </w:rPr>
        <w:t>This might be due to adequate availability of nitrogen, phosphorus and potassium which stimulates the metabolism and helped more rapidly in their uptake</w:t>
      </w:r>
      <w:r w:rsidR="005711E2">
        <w:rPr>
          <w:iCs/>
        </w:rPr>
        <w:t xml:space="preserve">. Similar findings </w:t>
      </w:r>
      <w:r w:rsidR="009E06B5">
        <w:rPr>
          <w:iCs/>
        </w:rPr>
        <w:t>were</w:t>
      </w:r>
      <w:r w:rsidR="005711E2">
        <w:rPr>
          <w:iCs/>
        </w:rPr>
        <w:t xml:space="preserve"> reported by</w:t>
      </w:r>
      <w:r w:rsidR="005711E2">
        <w:t xml:space="preserve"> </w:t>
      </w:r>
      <w:r w:rsidR="00FB4734">
        <w:t>Sekhar</w:t>
      </w:r>
      <w:r w:rsidR="00CF6C5F">
        <w:t xml:space="preserve"> </w:t>
      </w:r>
      <w:r w:rsidRPr="00CE0D62">
        <w:rPr>
          <w:i/>
        </w:rPr>
        <w:t>et al</w:t>
      </w:r>
      <w:r w:rsidR="00FB4734">
        <w:t>.</w:t>
      </w:r>
      <w:r w:rsidR="00643C12">
        <w:t>,</w:t>
      </w:r>
      <w:r w:rsidR="00FB4734">
        <w:t xml:space="preserve"> </w:t>
      </w:r>
      <w:r w:rsidR="005711E2">
        <w:t>(</w:t>
      </w:r>
      <w:r w:rsidR="00FB4734">
        <w:t>2014</w:t>
      </w:r>
      <w:r w:rsidRPr="00CE0D62">
        <w:t>)</w:t>
      </w:r>
      <w:r w:rsidR="005711E2">
        <w:t>;</w:t>
      </w:r>
      <w:r w:rsidRPr="00CE0D62">
        <w:t xml:space="preserve"> </w:t>
      </w:r>
      <w:proofErr w:type="spellStart"/>
      <w:r w:rsidR="00CF6C5F" w:rsidRPr="00EB2F9B">
        <w:t>Wolie</w:t>
      </w:r>
      <w:proofErr w:type="spellEnd"/>
      <w:r w:rsidR="00CF6C5F" w:rsidRPr="00EB2F9B">
        <w:t xml:space="preserve"> </w:t>
      </w:r>
      <w:r w:rsidR="00CF6C5F">
        <w:t>and Admassu</w:t>
      </w:r>
      <w:r w:rsidR="00CF6C5F" w:rsidRPr="00EB2F9B">
        <w:rPr>
          <w:i/>
        </w:rPr>
        <w:t xml:space="preserve"> </w:t>
      </w:r>
      <w:r w:rsidR="00CF6C5F" w:rsidRPr="00EB2F9B">
        <w:t>(2016)</w:t>
      </w:r>
      <w:r w:rsidR="005711E2">
        <w:t xml:space="preserve"> Chandra </w:t>
      </w:r>
      <w:r w:rsidR="005711E2" w:rsidRPr="005711E2">
        <w:rPr>
          <w:i/>
          <w:iCs/>
        </w:rPr>
        <w:t>et al</w:t>
      </w:r>
      <w:r w:rsidR="005711E2">
        <w:t>., 2021</w:t>
      </w:r>
      <w:r w:rsidR="00D160F7">
        <w:t xml:space="preserve"> </w:t>
      </w:r>
      <w:r w:rsidR="00D160F7">
        <w:t>and</w:t>
      </w:r>
      <w:r w:rsidR="00D160F7">
        <w:t xml:space="preserve"> Kumar </w:t>
      </w:r>
      <w:r w:rsidR="00D160F7" w:rsidRPr="00D160F7">
        <w:rPr>
          <w:i/>
          <w:iCs/>
        </w:rPr>
        <w:t>et al.,</w:t>
      </w:r>
      <w:r w:rsidR="00D160F7">
        <w:t xml:space="preserve"> 2022.</w:t>
      </w:r>
    </w:p>
    <w:p w14:paraId="7FEB814C" w14:textId="77777777" w:rsidR="00231D71" w:rsidRDefault="00231D71" w:rsidP="00231D71">
      <w:pPr>
        <w:spacing w:line="360" w:lineRule="auto"/>
        <w:ind w:left="-567"/>
        <w:jc w:val="both"/>
        <w:rPr>
          <w:b/>
          <w:color w:val="000000"/>
        </w:rPr>
      </w:pPr>
      <w:r>
        <w:rPr>
          <w:b/>
          <w:color w:val="000000"/>
        </w:rPr>
        <w:t>3.</w:t>
      </w:r>
      <w:r w:rsidR="00D66E74" w:rsidRPr="00D66E74">
        <w:rPr>
          <w:b/>
          <w:color w:val="000000"/>
        </w:rPr>
        <w:t>4.</w:t>
      </w:r>
      <w:r>
        <w:rPr>
          <w:b/>
          <w:color w:val="000000"/>
        </w:rPr>
        <w:t xml:space="preserve"> Profitability</w:t>
      </w:r>
      <w:r w:rsidR="00D66E74" w:rsidRPr="00D66E74">
        <w:rPr>
          <w:b/>
          <w:color w:val="000000"/>
        </w:rPr>
        <w:t>:</w:t>
      </w:r>
    </w:p>
    <w:p w14:paraId="08CC4948" w14:textId="52908EB2" w:rsidR="00231D71" w:rsidRDefault="00231D71" w:rsidP="00231D71">
      <w:pPr>
        <w:spacing w:line="360" w:lineRule="auto"/>
        <w:ind w:left="-567"/>
        <w:jc w:val="both"/>
        <w:rPr>
          <w:b/>
        </w:rPr>
      </w:pPr>
      <w:r>
        <w:rPr>
          <w:b/>
        </w:rPr>
        <w:t>3.4.</w:t>
      </w:r>
      <w:r w:rsidR="00D66E74" w:rsidRPr="00D66E74">
        <w:rPr>
          <w:b/>
        </w:rPr>
        <w:t>1 Cost of cultivation (Rs.</w:t>
      </w:r>
      <w:r w:rsidR="00197A32">
        <w:rPr>
          <w:b/>
        </w:rPr>
        <w:t xml:space="preserve"> </w:t>
      </w:r>
      <w:r w:rsidR="00D66E74" w:rsidRPr="00D66E74">
        <w:rPr>
          <w:b/>
        </w:rPr>
        <w:t>ha</w:t>
      </w:r>
      <w:r w:rsidR="00D66E74" w:rsidRPr="00D66E74">
        <w:rPr>
          <w:b/>
          <w:vertAlign w:val="superscript"/>
        </w:rPr>
        <w:t>-1</w:t>
      </w:r>
      <w:r w:rsidR="00D66E74" w:rsidRPr="00D66E74">
        <w:rPr>
          <w:b/>
        </w:rPr>
        <w:t>):</w:t>
      </w:r>
    </w:p>
    <w:p w14:paraId="20240E9F" w14:textId="3951CD91" w:rsidR="008963BF" w:rsidRDefault="0098258B" w:rsidP="00231D71">
      <w:pPr>
        <w:spacing w:line="360" w:lineRule="auto"/>
        <w:ind w:left="-567"/>
        <w:jc w:val="both"/>
      </w:pPr>
      <w:r>
        <w:t>Fig.2</w:t>
      </w:r>
      <w:r w:rsidR="008963BF" w:rsidRPr="008963BF">
        <w:t xml:space="preserve"> presents the cultivation costs of rice across various treatments.  The expense of farming was unaffected by the varieties.  The lowest cultivation cost (Rs. 38035.2 ha</w:t>
      </w:r>
      <w:r w:rsidR="008963BF" w:rsidRPr="008963BF">
        <w:rPr>
          <w:vertAlign w:val="superscript"/>
        </w:rPr>
        <w:t>-1</w:t>
      </w:r>
      <w:r w:rsidR="008963BF" w:rsidRPr="008963BF">
        <w:t>) occurred with the application of 100% RDF across all kinds, with costs rising in accordance with the varied mixes of organic sources.  The cultivation cost was greatest (Rs. 41203.7 ha</w:t>
      </w:r>
      <w:r w:rsidR="008963BF" w:rsidRPr="008963BF">
        <w:rPr>
          <w:vertAlign w:val="superscript"/>
        </w:rPr>
        <w:t>-1</w:t>
      </w:r>
      <w:r w:rsidR="008963BF" w:rsidRPr="008963BF">
        <w:t>) in the treatment utilizing 75% RDF and 25% farmyard waste across all evaluated types during the trial.</w:t>
      </w:r>
    </w:p>
    <w:p w14:paraId="2251BDD5" w14:textId="0EBF2BA5" w:rsidR="00231D71" w:rsidRDefault="00231D71" w:rsidP="00231D71">
      <w:pPr>
        <w:spacing w:line="360" w:lineRule="auto"/>
        <w:ind w:left="-567"/>
        <w:jc w:val="both"/>
        <w:rPr>
          <w:b/>
        </w:rPr>
      </w:pPr>
      <w:r>
        <w:rPr>
          <w:b/>
        </w:rPr>
        <w:t>3.</w:t>
      </w:r>
      <w:r w:rsidRPr="00D66E74">
        <w:rPr>
          <w:b/>
        </w:rPr>
        <w:t>4.2 Gross return (Rs.</w:t>
      </w:r>
      <w:r w:rsidR="00197A32">
        <w:rPr>
          <w:b/>
        </w:rPr>
        <w:t xml:space="preserve"> </w:t>
      </w:r>
      <w:r w:rsidRPr="00D66E74">
        <w:rPr>
          <w:b/>
        </w:rPr>
        <w:t>ha</w:t>
      </w:r>
      <w:r w:rsidRPr="00D66E74">
        <w:rPr>
          <w:b/>
          <w:vertAlign w:val="superscript"/>
        </w:rPr>
        <w:t>-1</w:t>
      </w:r>
      <w:r w:rsidRPr="00D66E74">
        <w:rPr>
          <w:b/>
        </w:rPr>
        <w:t>):</w:t>
      </w:r>
    </w:p>
    <w:p w14:paraId="34EC6694" w14:textId="2164FBC1" w:rsidR="008963BF" w:rsidRDefault="008963BF" w:rsidP="00231D71">
      <w:pPr>
        <w:spacing w:line="360" w:lineRule="auto"/>
        <w:ind w:left="-567"/>
        <w:jc w:val="both"/>
        <w:outlineLvl w:val="0"/>
      </w:pPr>
      <w:r w:rsidRPr="008963BF">
        <w:t>The data about the gross return of various treatments unequivocally demonstrate that the incorporation of the Mahsuri variety significantly enhanced the gross income of rice (</w:t>
      </w:r>
      <w:r w:rsidR="0098258B">
        <w:t>Fig.2</w:t>
      </w:r>
      <w:r w:rsidRPr="008963BF">
        <w:t>).  The highest gross return of Rs. 81,100 per hectare was observed with the combination of Mahsuri and 100% RDF (V</w:t>
      </w:r>
      <w:r w:rsidRPr="008963BF">
        <w:rPr>
          <w:vertAlign w:val="subscript"/>
        </w:rPr>
        <w:t>3</w:t>
      </w:r>
      <w:r w:rsidRPr="008963BF">
        <w:t>N</w:t>
      </w:r>
      <w:r w:rsidRPr="008963BF">
        <w:rPr>
          <w:vertAlign w:val="subscript"/>
        </w:rPr>
        <w:t>1</w:t>
      </w:r>
      <w:r w:rsidRPr="008963BF">
        <w:t>).  The minimal gross return of Rs. 54,500 ha</w:t>
      </w:r>
      <w:r w:rsidR="00197A32" w:rsidRPr="00197A32">
        <w:rPr>
          <w:vertAlign w:val="superscript"/>
        </w:rPr>
        <w:t>-1</w:t>
      </w:r>
      <w:r w:rsidRPr="008963BF">
        <w:t xml:space="preserve"> was achieved with the combination of NDR-97, 75% RDF, and 25% FYM (V</w:t>
      </w:r>
      <w:r w:rsidRPr="008963BF">
        <w:rPr>
          <w:vertAlign w:val="subscript"/>
        </w:rPr>
        <w:t>1</w:t>
      </w:r>
      <w:r w:rsidRPr="008963BF">
        <w:t>N</w:t>
      </w:r>
      <w:r w:rsidRPr="008963BF">
        <w:rPr>
          <w:vertAlign w:val="subscript"/>
        </w:rPr>
        <w:t>2</w:t>
      </w:r>
      <w:r w:rsidRPr="008963BF">
        <w:t>).</w:t>
      </w:r>
    </w:p>
    <w:p w14:paraId="6C27F934" w14:textId="49884795" w:rsidR="00231D71" w:rsidRDefault="00231D71" w:rsidP="00231D71">
      <w:pPr>
        <w:spacing w:line="360" w:lineRule="auto"/>
        <w:ind w:left="-567"/>
        <w:jc w:val="both"/>
        <w:outlineLvl w:val="0"/>
        <w:rPr>
          <w:b/>
        </w:rPr>
      </w:pPr>
      <w:r>
        <w:rPr>
          <w:b/>
        </w:rPr>
        <w:t>3.</w:t>
      </w:r>
      <w:r w:rsidRPr="00D66E74">
        <w:rPr>
          <w:b/>
        </w:rPr>
        <w:t>4.3 Net return (Rs.</w:t>
      </w:r>
      <w:r w:rsidR="00DB7562">
        <w:rPr>
          <w:b/>
        </w:rPr>
        <w:t xml:space="preserve"> </w:t>
      </w:r>
      <w:r w:rsidRPr="00D66E74">
        <w:rPr>
          <w:b/>
        </w:rPr>
        <w:t>ha</w:t>
      </w:r>
      <w:r w:rsidRPr="00D66E74">
        <w:rPr>
          <w:b/>
          <w:vertAlign w:val="superscript"/>
        </w:rPr>
        <w:t>-1</w:t>
      </w:r>
      <w:r w:rsidRPr="00D66E74">
        <w:rPr>
          <w:b/>
        </w:rPr>
        <w:t>):</w:t>
      </w:r>
    </w:p>
    <w:p w14:paraId="54903DFE" w14:textId="33B32EAA" w:rsidR="00231D71" w:rsidRPr="00D66E74" w:rsidRDefault="000D0758" w:rsidP="00231D71">
      <w:pPr>
        <w:spacing w:line="360" w:lineRule="auto"/>
        <w:ind w:left="-567" w:firstLine="567"/>
        <w:jc w:val="both"/>
        <w:outlineLvl w:val="0"/>
      </w:pPr>
      <w:r>
        <w:t>N</w:t>
      </w:r>
      <w:r w:rsidR="00231D71" w:rsidRPr="00D66E74">
        <w:t>et return also varied with different treatment combinations of varieties and nutrient sources, as well</w:t>
      </w:r>
      <w:r>
        <w:t xml:space="preserve"> (</w:t>
      </w:r>
      <w:r w:rsidR="0098258B">
        <w:t>Fig.2</w:t>
      </w:r>
      <w:r>
        <w:t>)</w:t>
      </w:r>
      <w:r w:rsidR="00231D71" w:rsidRPr="00D66E74">
        <w:t>.</w:t>
      </w:r>
      <w:r w:rsidR="00231D71">
        <w:t xml:space="preserve"> </w:t>
      </w:r>
      <w:r w:rsidR="00231D71" w:rsidRPr="00D66E74">
        <w:t>Minimum net return of Rs. 13296.3 ha</w:t>
      </w:r>
      <w:r w:rsidR="00231D71" w:rsidRPr="00D66E74">
        <w:rPr>
          <w:vertAlign w:val="superscript"/>
        </w:rPr>
        <w:t>-1</w:t>
      </w:r>
      <w:r w:rsidR="00231D71" w:rsidRPr="00D66E74">
        <w:t xml:space="preserve"> was recorded when NDR-97 was clubbed with 75% RDF + 25% FYM. On the other hand, the maximum net return of Rs. 43065 ha</w:t>
      </w:r>
      <w:r w:rsidR="00231D71" w:rsidRPr="00D66E74">
        <w:rPr>
          <w:vertAlign w:val="superscript"/>
        </w:rPr>
        <w:t>-1</w:t>
      </w:r>
      <w:r w:rsidR="00231D71" w:rsidRPr="00D66E74">
        <w:t xml:space="preserve"> was received under treatment combination of V</w:t>
      </w:r>
      <w:r w:rsidR="00231D71" w:rsidRPr="00D66E74">
        <w:rPr>
          <w:vertAlign w:val="subscript"/>
        </w:rPr>
        <w:t>3</w:t>
      </w:r>
      <w:r w:rsidR="00231D71" w:rsidRPr="00D66E74">
        <w:t>N</w:t>
      </w:r>
      <w:r w:rsidR="00231D71" w:rsidRPr="00D66E74">
        <w:rPr>
          <w:vertAlign w:val="subscript"/>
        </w:rPr>
        <w:t>1</w:t>
      </w:r>
      <w:r w:rsidR="00231D71" w:rsidRPr="00D66E74">
        <w:t xml:space="preserve"> (100 % RDF in conjunction with rice variety Mahsuri), respectively.</w:t>
      </w:r>
    </w:p>
    <w:p w14:paraId="3CA72E16" w14:textId="77777777" w:rsidR="00231D71" w:rsidRDefault="00231D71" w:rsidP="00231D71">
      <w:pPr>
        <w:spacing w:line="360" w:lineRule="auto"/>
        <w:ind w:left="-567"/>
        <w:jc w:val="both"/>
        <w:rPr>
          <w:b/>
        </w:rPr>
      </w:pPr>
      <w:r>
        <w:rPr>
          <w:b/>
        </w:rPr>
        <w:t>3.</w:t>
      </w:r>
      <w:r w:rsidRPr="00D66E74">
        <w:rPr>
          <w:b/>
        </w:rPr>
        <w:t>4.4 Benefit- cost ratio:</w:t>
      </w:r>
    </w:p>
    <w:p w14:paraId="749FE2A6" w14:textId="582CE51A" w:rsidR="008963BF" w:rsidRDefault="008963BF" w:rsidP="008963BF">
      <w:pPr>
        <w:spacing w:line="360" w:lineRule="auto"/>
        <w:ind w:left="-567" w:firstLine="567"/>
        <w:jc w:val="both"/>
      </w:pPr>
      <w:r>
        <w:t>The maximum benefit-cost ratio of 1.13 was seen with the combination of 100% RDF and Mahsuri, followed by Sarjoo-52 with 100% RDF (</w:t>
      </w:r>
      <w:r w:rsidR="0098258B">
        <w:t>Fig.2</w:t>
      </w:r>
      <w:r>
        <w:t>).  The lowest benefit-to-cost ratio of 0.3222 was documented in NDR-97, associated with the application of 75% RDF and 25% FYM per hectare.</w:t>
      </w:r>
    </w:p>
    <w:p w14:paraId="34C6E048" w14:textId="4D5DFAC6" w:rsidR="000D0758" w:rsidRPr="000D0758" w:rsidRDefault="008963BF" w:rsidP="008963BF">
      <w:pPr>
        <w:spacing w:line="360" w:lineRule="auto"/>
        <w:ind w:left="-567" w:firstLine="567"/>
        <w:jc w:val="both"/>
      </w:pPr>
      <w:r>
        <w:lastRenderedPageBreak/>
        <w:t xml:space="preserve"> The expense of cultivation is unaffected by varietal changes and is solely influenced by the sources and quantity of nutrients utilized.  The lowest cultivation cost (Rs. 38035.20</w:t>
      </w:r>
      <w:r w:rsidR="0098258B">
        <w:t xml:space="preserve"> </w:t>
      </w:r>
      <w:r>
        <w:t>ha</w:t>
      </w:r>
      <w:r w:rsidRPr="0098258B">
        <w:rPr>
          <w:vertAlign w:val="superscript"/>
        </w:rPr>
        <w:t>-1</w:t>
      </w:r>
      <w:r>
        <w:t>) was seen with the NDR-97 variety combined with 100% RDF (N</w:t>
      </w:r>
      <w:r w:rsidRPr="005E4A68">
        <w:rPr>
          <w:vertAlign w:val="subscript"/>
        </w:rPr>
        <w:t>1</w:t>
      </w:r>
      <w:r>
        <w:t xml:space="preserve">), which escalated with the augmentation of organic nutrient sources.  The highest cultivation cost (Rs. 41,203.7 per hectare) was seen with 75% RDF and 25% FYM, attributed to increased expenditure on FYM.  Tomar </w:t>
      </w:r>
      <w:r w:rsidRPr="005E4A68">
        <w:rPr>
          <w:i/>
          <w:iCs/>
        </w:rPr>
        <w:t>et al</w:t>
      </w:r>
      <w:r>
        <w:t>.</w:t>
      </w:r>
      <w:r w:rsidR="00ED2791">
        <w:t>,</w:t>
      </w:r>
      <w:r>
        <w:t xml:space="preserve"> (2018) documented analogous findings.  The gross monetary return is closely correlated with the market value of the produce.  The lowest gross monetary return of Rs. 54,500 ha</w:t>
      </w:r>
      <w:r w:rsidRPr="005E4A68">
        <w:rPr>
          <w:vertAlign w:val="superscript"/>
        </w:rPr>
        <w:t>-1</w:t>
      </w:r>
      <w:r>
        <w:t xml:space="preserve"> was observed in treatment V</w:t>
      </w:r>
      <w:r w:rsidRPr="005E4A68">
        <w:rPr>
          <w:vertAlign w:val="subscript"/>
        </w:rPr>
        <w:t>1</w:t>
      </w:r>
      <w:r>
        <w:t>N</w:t>
      </w:r>
      <w:r w:rsidRPr="005E4A68">
        <w:rPr>
          <w:vertAlign w:val="subscript"/>
        </w:rPr>
        <w:t>2</w:t>
      </w:r>
      <w:r>
        <w:t>, which involved the combination of Mahsuri with 75% RDF and 25% FYM.  The highest net return of Rs. 43,065.8 per hectare was observed with the Mahsuri variety in conjunction with 100% RDF (V3N1).  Regarding net income and B-C ratio, the Mahsuri variety combined with 100% RDF exhibited the greatest values (Rs. 43065.8 ha</w:t>
      </w:r>
      <w:r w:rsidRPr="0098258B">
        <w:rPr>
          <w:vertAlign w:val="superscript"/>
        </w:rPr>
        <w:t>-1</w:t>
      </w:r>
      <w:r>
        <w:t xml:space="preserve"> and 1.13).</w:t>
      </w:r>
      <w:r w:rsidR="00197A32">
        <w:t xml:space="preserve"> </w:t>
      </w:r>
      <w:r w:rsidR="000D0758" w:rsidRPr="000D0758">
        <w:rPr>
          <w:iCs/>
        </w:rPr>
        <w:t xml:space="preserve">The similar results were also reported by </w:t>
      </w:r>
      <w:r w:rsidR="000D0758" w:rsidRPr="000D0758">
        <w:t xml:space="preserve">Ranjitha </w:t>
      </w:r>
      <w:r w:rsidR="000D0758" w:rsidRPr="000D0758">
        <w:rPr>
          <w:i/>
        </w:rPr>
        <w:t>et al.</w:t>
      </w:r>
      <w:r w:rsidR="00ED2791">
        <w:rPr>
          <w:iCs/>
        </w:rPr>
        <w:t>,</w:t>
      </w:r>
      <w:r w:rsidR="00D9169D">
        <w:t xml:space="preserve"> (2013</w:t>
      </w:r>
      <w:r w:rsidR="000D0758" w:rsidRPr="000D0758">
        <w:t xml:space="preserve">) and Singh </w:t>
      </w:r>
      <w:r w:rsidR="000D0758" w:rsidRPr="00025813">
        <w:rPr>
          <w:i/>
        </w:rPr>
        <w:t>et al</w:t>
      </w:r>
      <w:r w:rsidR="000D0758" w:rsidRPr="000D0758">
        <w:rPr>
          <w:i/>
        </w:rPr>
        <w:t>.</w:t>
      </w:r>
      <w:r w:rsidR="00025813">
        <w:rPr>
          <w:iCs/>
        </w:rPr>
        <w:t>,</w:t>
      </w:r>
      <w:r w:rsidR="000D0758" w:rsidRPr="000D0758">
        <w:rPr>
          <w:i/>
        </w:rPr>
        <w:t xml:space="preserve"> </w:t>
      </w:r>
      <w:r w:rsidR="000D0758" w:rsidRPr="000D0758">
        <w:t>(2018).</w:t>
      </w:r>
    </w:p>
    <w:p w14:paraId="4346F7B9" w14:textId="5721DF81" w:rsidR="00197A32" w:rsidRDefault="00DB7562" w:rsidP="0098258B">
      <w:pPr>
        <w:spacing w:line="360" w:lineRule="auto"/>
        <w:ind w:left="1260" w:hanging="1260"/>
        <w:jc w:val="center"/>
        <w:rPr>
          <w:b/>
        </w:rPr>
      </w:pPr>
      <w:r>
        <w:rPr>
          <w:b/>
          <w:noProof/>
        </w:rPr>
        <w:drawing>
          <wp:inline distT="0" distB="0" distL="0" distR="0" wp14:anchorId="445E0CE8" wp14:editId="531E9408">
            <wp:extent cx="4584700" cy="2712720"/>
            <wp:effectExtent l="0" t="0" r="0" b="0"/>
            <wp:docPr id="74289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12720"/>
                    </a:xfrm>
                    <a:prstGeom prst="rect">
                      <a:avLst/>
                    </a:prstGeom>
                    <a:noFill/>
                  </pic:spPr>
                </pic:pic>
              </a:graphicData>
            </a:graphic>
          </wp:inline>
        </w:drawing>
      </w:r>
    </w:p>
    <w:p w14:paraId="4C970C3D" w14:textId="1731F291" w:rsidR="00D66E74" w:rsidRPr="00197A32" w:rsidRDefault="0098258B" w:rsidP="00231D71">
      <w:pPr>
        <w:spacing w:line="360" w:lineRule="auto"/>
        <w:ind w:left="1260" w:hanging="1260"/>
        <w:jc w:val="both"/>
        <w:rPr>
          <w:b/>
          <w:sz w:val="20"/>
          <w:szCs w:val="20"/>
        </w:rPr>
      </w:pPr>
      <w:r>
        <w:rPr>
          <w:b/>
          <w:sz w:val="20"/>
          <w:szCs w:val="20"/>
        </w:rPr>
        <w:t>Fig</w:t>
      </w:r>
      <w:r w:rsidR="00231D71" w:rsidRPr="00197A32">
        <w:rPr>
          <w:b/>
          <w:sz w:val="20"/>
          <w:szCs w:val="20"/>
        </w:rPr>
        <w:t xml:space="preserve"> </w:t>
      </w:r>
      <w:r>
        <w:rPr>
          <w:b/>
          <w:sz w:val="20"/>
          <w:szCs w:val="20"/>
        </w:rPr>
        <w:t>2</w:t>
      </w:r>
      <w:r w:rsidR="00197A32" w:rsidRPr="00197A32">
        <w:rPr>
          <w:b/>
          <w:sz w:val="20"/>
          <w:szCs w:val="20"/>
        </w:rPr>
        <w:t>: Economics</w:t>
      </w:r>
      <w:r w:rsidR="00D66E74" w:rsidRPr="00197A32">
        <w:rPr>
          <w:b/>
          <w:sz w:val="20"/>
          <w:szCs w:val="20"/>
        </w:rPr>
        <w:t xml:space="preserve"> of various treatment combination of different varieties of rice and nutrient levels</w:t>
      </w:r>
      <w:r w:rsidR="00D66E74" w:rsidRPr="00197A32">
        <w:rPr>
          <w:sz w:val="20"/>
          <w:szCs w:val="20"/>
        </w:rPr>
        <w:t>.</w:t>
      </w:r>
    </w:p>
    <w:p w14:paraId="30B3D74E" w14:textId="77777777" w:rsidR="00705CFF" w:rsidRDefault="00904BC4" w:rsidP="00F17425">
      <w:pPr>
        <w:autoSpaceDE w:val="0"/>
        <w:autoSpaceDN w:val="0"/>
        <w:adjustRightInd w:val="0"/>
        <w:spacing w:before="120" w:line="360" w:lineRule="auto"/>
        <w:ind w:left="-567"/>
        <w:jc w:val="both"/>
        <w:rPr>
          <w:b/>
        </w:rPr>
      </w:pPr>
      <w:r>
        <w:rPr>
          <w:b/>
        </w:rPr>
        <w:t xml:space="preserve">4. </w:t>
      </w:r>
      <w:r w:rsidRPr="00904BC4">
        <w:rPr>
          <w:b/>
        </w:rPr>
        <w:t>Conclusion</w:t>
      </w:r>
    </w:p>
    <w:p w14:paraId="7E57A8EB" w14:textId="38C02F18" w:rsidR="00E5222C" w:rsidRDefault="008963BF" w:rsidP="00ED5A44">
      <w:pPr>
        <w:spacing w:line="360" w:lineRule="auto"/>
        <w:ind w:left="-709"/>
        <w:jc w:val="both"/>
      </w:pPr>
      <w:r>
        <w:t>The findings indicated that the Mahsuri variety had the highest grain and straw production (t ha</w:t>
      </w:r>
      <w:r w:rsidRPr="005E4A68">
        <w:rPr>
          <w:vertAlign w:val="superscript"/>
        </w:rPr>
        <w:t>-1</w:t>
      </w:r>
      <w:r>
        <w:t>) as well as superior nutritional content and absorption (NPK) in both grain and straw, surpassing the Sarjoo-52 and NDR-92 types. The application of (N</w:t>
      </w:r>
      <w:r w:rsidRPr="00330778">
        <w:rPr>
          <w:vertAlign w:val="subscript"/>
        </w:rPr>
        <w:t>1</w:t>
      </w:r>
      <w:r>
        <w:t>) 100 percent RDF led to markedly superior crop yields, including grain and straw yields, along with enhanced nutrient content and uptake (NPK) in both grain and straw, in comparison to the treatments of (N</w:t>
      </w:r>
      <w:r w:rsidRPr="005E4A68">
        <w:rPr>
          <w:vertAlign w:val="subscript"/>
        </w:rPr>
        <w:t>2</w:t>
      </w:r>
      <w:r>
        <w:t>) 75 percent RDF + 25 percent FYM and (N</w:t>
      </w:r>
      <w:r w:rsidRPr="00330778">
        <w:rPr>
          <w:vertAlign w:val="subscript"/>
        </w:rPr>
        <w:t>3</w:t>
      </w:r>
      <w:r>
        <w:t xml:space="preserve">) 75 percent RDF + 25 percent Vermicompost, respectively. The highest gross and net return, with a benefit-cost ratio of 1.13, was observed for Mahsuri at 100 percent RDF, followed by Sarjoo-52 at 100 percent RDF, both demonstrating greater profitability than the other treatment combinations evaluated in the study. Consequently, it can be concluded that employing 100 percent </w:t>
      </w:r>
      <w:r>
        <w:lastRenderedPageBreak/>
        <w:t>RDF alongside the Mahsuri variety is the optimal treatment combination for maximizing rice crop yield while maintaining soil health and profitability in Eastern Uttar Pradesh.</w:t>
      </w:r>
    </w:p>
    <w:p w14:paraId="3FDB7DB1" w14:textId="6271BE33" w:rsidR="00A44D41" w:rsidRDefault="00A44D41" w:rsidP="00ED5A44">
      <w:pPr>
        <w:spacing w:line="360" w:lineRule="auto"/>
        <w:ind w:left="-709"/>
        <w:jc w:val="both"/>
        <w:rPr>
          <w:b/>
        </w:rPr>
      </w:pPr>
    </w:p>
    <w:p w14:paraId="752FF1A3" w14:textId="77777777" w:rsidR="00A44D41" w:rsidRPr="00A44D41" w:rsidRDefault="00A44D41" w:rsidP="00A44D41">
      <w:pPr>
        <w:spacing w:after="200" w:line="276" w:lineRule="auto"/>
        <w:rPr>
          <w:rFonts w:asciiTheme="minorHAnsi" w:eastAsiaTheme="minorHAnsi" w:hAnsiTheme="minorHAnsi" w:cstheme="minorBidi"/>
          <w:kern w:val="2"/>
          <w:sz w:val="22"/>
          <w:szCs w:val="22"/>
          <w:highlight w:val="yellow"/>
        </w:rPr>
      </w:pPr>
      <w:r w:rsidRPr="00A44D41">
        <w:rPr>
          <w:rFonts w:asciiTheme="minorHAnsi" w:eastAsiaTheme="minorHAnsi" w:hAnsiTheme="minorHAnsi" w:cstheme="minorBidi"/>
          <w:kern w:val="2"/>
          <w:sz w:val="22"/>
          <w:szCs w:val="22"/>
          <w:highlight w:val="yellow"/>
        </w:rPr>
        <w:t>Disclaimer (Artificial intelligence)</w:t>
      </w:r>
    </w:p>
    <w:p w14:paraId="4B55E24A" w14:textId="77777777" w:rsidR="00A44D41" w:rsidRPr="00A44D41" w:rsidRDefault="00A44D41" w:rsidP="00A44D41">
      <w:pPr>
        <w:spacing w:after="200" w:line="276" w:lineRule="auto"/>
        <w:rPr>
          <w:rFonts w:asciiTheme="minorHAnsi" w:eastAsiaTheme="minorHAnsi" w:hAnsiTheme="minorHAnsi" w:cstheme="minorBidi"/>
          <w:kern w:val="2"/>
          <w:sz w:val="22"/>
          <w:szCs w:val="22"/>
          <w:highlight w:val="yellow"/>
        </w:rPr>
      </w:pPr>
      <w:r w:rsidRPr="00A44D41">
        <w:rPr>
          <w:rFonts w:asciiTheme="minorHAnsi" w:eastAsiaTheme="minorHAnsi" w:hAnsiTheme="minorHAnsi" w:cstheme="minorBidi"/>
          <w:kern w:val="2"/>
          <w:sz w:val="22"/>
          <w:szCs w:val="22"/>
          <w:highlight w:val="yellow"/>
        </w:rPr>
        <w:t xml:space="preserve">Option 1: </w:t>
      </w:r>
    </w:p>
    <w:p w14:paraId="38D71643" w14:textId="77777777" w:rsidR="00A44D41" w:rsidRPr="00A44D41" w:rsidRDefault="00A44D41" w:rsidP="00A44D41">
      <w:pPr>
        <w:spacing w:after="200" w:line="276" w:lineRule="auto"/>
        <w:rPr>
          <w:rFonts w:asciiTheme="minorHAnsi" w:eastAsiaTheme="minorHAnsi" w:hAnsiTheme="minorHAnsi" w:cstheme="minorBidi"/>
          <w:kern w:val="2"/>
          <w:sz w:val="22"/>
          <w:szCs w:val="22"/>
          <w:highlight w:val="yellow"/>
        </w:rPr>
      </w:pPr>
      <w:r w:rsidRPr="00A44D41">
        <w:rPr>
          <w:rFonts w:asciiTheme="minorHAnsi" w:eastAsiaTheme="minorHAnsi" w:hAnsiTheme="minorHAnsi" w:cstheme="minorBidi"/>
          <w:kern w:val="2"/>
          <w:sz w:val="22"/>
          <w:szCs w:val="22"/>
          <w:highlight w:val="yellow"/>
        </w:rPr>
        <w:t xml:space="preserve">Author(s) hereby </w:t>
      </w:r>
      <w:proofErr w:type="gramStart"/>
      <w:r w:rsidRPr="00A44D41">
        <w:rPr>
          <w:rFonts w:asciiTheme="minorHAnsi" w:eastAsiaTheme="minorHAnsi" w:hAnsiTheme="minorHAnsi" w:cstheme="minorBidi"/>
          <w:kern w:val="2"/>
          <w:sz w:val="22"/>
          <w:szCs w:val="22"/>
          <w:highlight w:val="yellow"/>
        </w:rPr>
        <w:t>declare</w:t>
      </w:r>
      <w:proofErr w:type="gramEnd"/>
      <w:r w:rsidRPr="00A44D41">
        <w:rPr>
          <w:rFonts w:asciiTheme="minorHAnsi" w:eastAsiaTheme="minorHAnsi" w:hAnsiTheme="minorHAnsi" w:cstheme="minorBid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612443B1" w14:textId="71AE6225" w:rsidR="00A75B76" w:rsidRPr="004C2486" w:rsidRDefault="00492C65" w:rsidP="004C2486">
      <w:pPr>
        <w:spacing w:line="360" w:lineRule="auto"/>
        <w:ind w:left="-709"/>
        <w:jc w:val="both"/>
        <w:rPr>
          <w:b/>
        </w:rPr>
      </w:pPr>
      <w:r w:rsidRPr="007612F6">
        <w:rPr>
          <w:b/>
        </w:rPr>
        <w:t>REFERENCES</w:t>
      </w:r>
    </w:p>
    <w:p w14:paraId="12BF9C54" w14:textId="77777777" w:rsidR="00D160F7" w:rsidRPr="00D160F7" w:rsidRDefault="00D160F7" w:rsidP="00C80C20">
      <w:pPr>
        <w:tabs>
          <w:tab w:val="left" w:pos="8910"/>
        </w:tabs>
        <w:spacing w:line="360" w:lineRule="auto"/>
        <w:ind w:left="142" w:right="116" w:hanging="900"/>
        <w:jc w:val="both"/>
      </w:pPr>
      <w:r w:rsidRPr="00D160F7">
        <w:t>Apon M, Gohain T, Apon R, Banik M and Mandal AK. 2018. Effect of integrated nutrient management on growth and yield of local rice (</w:t>
      </w:r>
      <w:r w:rsidRPr="00D160F7">
        <w:rPr>
          <w:i/>
          <w:iCs/>
        </w:rPr>
        <w:t>Oryza sativa</w:t>
      </w:r>
      <w:r w:rsidRPr="00D160F7">
        <w:t xml:space="preserve"> L.) under rainfed upland condition of Nagaland. </w:t>
      </w:r>
      <w:r w:rsidRPr="00D160F7">
        <w:rPr>
          <w:i/>
          <w:iCs/>
        </w:rPr>
        <w:t>The Pharma Innovation Journal</w:t>
      </w:r>
      <w:r w:rsidRPr="00D160F7">
        <w:t>; 7(7): 426-429.</w:t>
      </w:r>
    </w:p>
    <w:p w14:paraId="5BDCEB80" w14:textId="77777777" w:rsidR="00D160F7" w:rsidRPr="00D160F7" w:rsidRDefault="00D160F7" w:rsidP="005D3F47">
      <w:pPr>
        <w:tabs>
          <w:tab w:val="left" w:pos="8910"/>
        </w:tabs>
        <w:spacing w:line="360" w:lineRule="auto"/>
        <w:ind w:left="142" w:right="116" w:hanging="900"/>
        <w:jc w:val="both"/>
      </w:pPr>
      <w:proofErr w:type="spellStart"/>
      <w:r w:rsidRPr="00D160F7">
        <w:t>Bejbaruah</w:t>
      </w:r>
      <w:proofErr w:type="spellEnd"/>
      <w:r w:rsidRPr="00D160F7">
        <w:t xml:space="preserve"> R, Sharma RC, Banik P. 2013. Split application of vermicompost to rice (Oryza sativa L.): its effect on productivity, yield component, and N dynamics. </w:t>
      </w:r>
      <w:r w:rsidRPr="00D160F7">
        <w:rPr>
          <w:i/>
          <w:iCs/>
        </w:rPr>
        <w:t>Organic Agriculture</w:t>
      </w:r>
      <w:r w:rsidRPr="00D160F7">
        <w:t>. 3:123-128.</w:t>
      </w:r>
    </w:p>
    <w:p w14:paraId="4543750D" w14:textId="77777777" w:rsidR="00D160F7" w:rsidRPr="00D160F7" w:rsidRDefault="00D160F7" w:rsidP="0017105C">
      <w:pPr>
        <w:tabs>
          <w:tab w:val="left" w:pos="8910"/>
        </w:tabs>
        <w:spacing w:line="360" w:lineRule="auto"/>
        <w:ind w:left="142" w:right="116" w:hanging="900"/>
        <w:jc w:val="both"/>
      </w:pPr>
      <w:r w:rsidRPr="00D160F7">
        <w:t xml:space="preserve">Chandra M.S., Naresh R. K., Vivek, Singh S.P., </w:t>
      </w:r>
      <w:proofErr w:type="spellStart"/>
      <w:proofErr w:type="gramStart"/>
      <w:r w:rsidRPr="00D160F7">
        <w:t>Purushottam,Vivak</w:t>
      </w:r>
      <w:proofErr w:type="spellEnd"/>
      <w:proofErr w:type="gramEnd"/>
      <w:r w:rsidRPr="00D160F7">
        <w:t xml:space="preserve"> Kumar, Jat P.C. and Himanshu Tiwari. 2021. Effect of Planting Techniques and </w:t>
      </w:r>
      <w:proofErr w:type="spellStart"/>
      <w:r w:rsidRPr="00D160F7">
        <w:t>NutrientManagement</w:t>
      </w:r>
      <w:proofErr w:type="spellEnd"/>
      <w:r w:rsidRPr="00D160F7">
        <w:t xml:space="preserve"> Options on Crop </w:t>
      </w:r>
      <w:proofErr w:type="spellStart"/>
      <w:r w:rsidRPr="00D160F7">
        <w:t>Productivityand</w:t>
      </w:r>
      <w:proofErr w:type="spellEnd"/>
      <w:r w:rsidRPr="00D160F7">
        <w:t xml:space="preserve"> Soil Health of Wet Rice (Oryza sativa </w:t>
      </w:r>
      <w:proofErr w:type="gramStart"/>
      <w:r w:rsidRPr="00D160F7">
        <w:t>L)in</w:t>
      </w:r>
      <w:proofErr w:type="gramEnd"/>
      <w:r w:rsidRPr="00D160F7">
        <w:t xml:space="preserve"> Typic Ustochrept Soils. </w:t>
      </w:r>
      <w:r w:rsidRPr="00D160F7">
        <w:rPr>
          <w:i/>
          <w:iCs/>
        </w:rPr>
        <w:t>International Journal of Plant &amp; Soil Science.</w:t>
      </w:r>
      <w:r w:rsidRPr="00D160F7">
        <w:t xml:space="preserve"> 33(22): 39-54, </w:t>
      </w:r>
    </w:p>
    <w:p w14:paraId="47EE4E9C" w14:textId="77777777" w:rsidR="00D160F7" w:rsidRPr="00D160F7" w:rsidRDefault="00D160F7" w:rsidP="00EE2D95">
      <w:pPr>
        <w:tabs>
          <w:tab w:val="left" w:pos="8910"/>
        </w:tabs>
        <w:spacing w:line="360" w:lineRule="auto"/>
        <w:ind w:left="142" w:right="116" w:hanging="900"/>
        <w:jc w:val="both"/>
      </w:pPr>
      <w:r w:rsidRPr="00D160F7">
        <w:t>Chandra MS, Kumar KA. 2020. Evaluation of rice (</w:t>
      </w:r>
      <w:r w:rsidRPr="00D160F7">
        <w:rPr>
          <w:i/>
        </w:rPr>
        <w:t>Oryza sativa</w:t>
      </w:r>
      <w:r w:rsidRPr="00D160F7">
        <w:t xml:space="preserve"> L.) varieties for yield, yield attributes and quality parameters under alternate wetting and drying method in puddled soil. </w:t>
      </w:r>
      <w:proofErr w:type="spellStart"/>
      <w:r w:rsidRPr="00D160F7">
        <w:t>Multilogic</w:t>
      </w:r>
      <w:proofErr w:type="spellEnd"/>
      <w:r w:rsidRPr="00D160F7">
        <w:t xml:space="preserve"> in Science, 10(23): 689-694.</w:t>
      </w:r>
    </w:p>
    <w:p w14:paraId="1C4A9D2D" w14:textId="77777777" w:rsidR="00D160F7" w:rsidRPr="00D160F7" w:rsidRDefault="00D160F7" w:rsidP="005D3F47">
      <w:pPr>
        <w:tabs>
          <w:tab w:val="left" w:pos="8910"/>
        </w:tabs>
        <w:spacing w:line="360" w:lineRule="auto"/>
        <w:ind w:left="142" w:right="116" w:hanging="900"/>
        <w:jc w:val="both"/>
      </w:pPr>
      <w:r w:rsidRPr="00D160F7">
        <w:t xml:space="preserve">Daniel O, Anderson J.M. 1992. Microbial biomass and activity in contrasting soil material after passage through the gut of earthworm </w:t>
      </w:r>
      <w:proofErr w:type="spellStart"/>
      <w:r w:rsidRPr="00D160F7">
        <w:t>Lumbricus</w:t>
      </w:r>
      <w:proofErr w:type="spellEnd"/>
      <w:r w:rsidRPr="00D160F7">
        <w:t xml:space="preserve"> </w:t>
      </w:r>
      <w:proofErr w:type="spellStart"/>
      <w:r w:rsidRPr="00D160F7">
        <w:t>rubellus</w:t>
      </w:r>
      <w:proofErr w:type="spellEnd"/>
      <w:r w:rsidRPr="00D160F7">
        <w:t xml:space="preserve"> Hoffmeister. </w:t>
      </w:r>
      <w:r w:rsidRPr="00D160F7">
        <w:rPr>
          <w:i/>
          <w:iCs/>
        </w:rPr>
        <w:t xml:space="preserve">Soil Biol </w:t>
      </w:r>
      <w:proofErr w:type="spellStart"/>
      <w:r w:rsidRPr="00D160F7">
        <w:rPr>
          <w:i/>
          <w:iCs/>
        </w:rPr>
        <w:t>Biochem</w:t>
      </w:r>
      <w:proofErr w:type="spellEnd"/>
      <w:r w:rsidRPr="00D160F7">
        <w:t>, 24: 465-470.</w:t>
      </w:r>
    </w:p>
    <w:p w14:paraId="757C8D67" w14:textId="77777777" w:rsidR="00D160F7" w:rsidRPr="00D160F7" w:rsidRDefault="00D160F7" w:rsidP="0081151E">
      <w:pPr>
        <w:tabs>
          <w:tab w:val="left" w:pos="8910"/>
        </w:tabs>
        <w:spacing w:line="360" w:lineRule="auto"/>
        <w:ind w:left="142" w:right="116" w:hanging="900"/>
        <w:jc w:val="both"/>
      </w:pPr>
      <w:r w:rsidRPr="00D160F7">
        <w:t>Dass, A and Chandra, S. 2012. Effect of different components of SRI on yield, quality, nutrient accumulation and economics of rice (</w:t>
      </w:r>
      <w:r w:rsidRPr="00D160F7">
        <w:rPr>
          <w:i/>
        </w:rPr>
        <w:t>Oryza sativa</w:t>
      </w:r>
      <w:r w:rsidRPr="00D160F7">
        <w:t xml:space="preserve">) in </w:t>
      </w:r>
      <w:proofErr w:type="spellStart"/>
      <w:r w:rsidRPr="00D160F7">
        <w:rPr>
          <w:i/>
        </w:rPr>
        <w:t>tarai</w:t>
      </w:r>
      <w:proofErr w:type="spellEnd"/>
      <w:r w:rsidRPr="00D160F7">
        <w:t xml:space="preserve"> belt of Northern India. </w:t>
      </w:r>
      <w:r w:rsidRPr="00D160F7">
        <w:rPr>
          <w:i/>
        </w:rPr>
        <w:t xml:space="preserve">Indian Journal of Agronomy. </w:t>
      </w:r>
      <w:r w:rsidRPr="00D160F7">
        <w:t>57 (3): 250-254.</w:t>
      </w:r>
    </w:p>
    <w:p w14:paraId="4649A240" w14:textId="77777777" w:rsidR="00D160F7" w:rsidRPr="00D160F7" w:rsidRDefault="00D160F7" w:rsidP="003A3EAE">
      <w:pPr>
        <w:tabs>
          <w:tab w:val="left" w:pos="8910"/>
        </w:tabs>
        <w:spacing w:line="360" w:lineRule="auto"/>
        <w:ind w:left="142" w:right="116" w:hanging="900"/>
        <w:jc w:val="both"/>
        <w:rPr>
          <w:color w:val="000000" w:themeColor="text1"/>
        </w:rPr>
      </w:pPr>
      <w:r w:rsidRPr="00D160F7">
        <w:rPr>
          <w:color w:val="000000" w:themeColor="text1"/>
        </w:rPr>
        <w:t xml:space="preserve">Dutta, D., Meena, A. L., Bhanu, C., </w:t>
      </w:r>
      <w:proofErr w:type="spellStart"/>
      <w:r w:rsidRPr="00D160F7">
        <w:rPr>
          <w:color w:val="000000" w:themeColor="text1"/>
        </w:rPr>
        <w:t>Ghasal</w:t>
      </w:r>
      <w:proofErr w:type="spellEnd"/>
      <w:r w:rsidRPr="00D160F7">
        <w:rPr>
          <w:color w:val="000000" w:themeColor="text1"/>
        </w:rPr>
        <w:t xml:space="preserve">, P. C., Choudhary, J., Kumar, S., Mishra, R. P., Ansari, M. A., Raghavendra, K. J., </w:t>
      </w:r>
      <w:proofErr w:type="spellStart"/>
      <w:r w:rsidRPr="00D160F7">
        <w:rPr>
          <w:color w:val="000000" w:themeColor="text1"/>
        </w:rPr>
        <w:t>Prusty</w:t>
      </w:r>
      <w:proofErr w:type="spellEnd"/>
      <w:r w:rsidRPr="00D160F7">
        <w:rPr>
          <w:color w:val="000000" w:themeColor="text1"/>
        </w:rPr>
        <w:t xml:space="preserve">, A. K., Jat, P. C., Kashyap, P., Punia, P., Dixit, M., Singh, O., Rai, A. K., Meena, A. K., Rathi, S., &amp; Yadav, P. (2024). Sustainable soil management for climate resilience: Long- dynamics in a semi-arid tropical </w:t>
      </w:r>
      <w:proofErr w:type="spellStart"/>
      <w:r w:rsidRPr="00D160F7">
        <w:rPr>
          <w:color w:val="000000" w:themeColor="text1"/>
        </w:rPr>
        <w:t>Inceptisol</w:t>
      </w:r>
      <w:proofErr w:type="spellEnd"/>
      <w:r w:rsidRPr="00D160F7">
        <w:rPr>
          <w:color w:val="000000" w:themeColor="text1"/>
        </w:rPr>
        <w:t xml:space="preserve"> of India. Journal of Soil Science and Plant Nutrition. https://doi.org/10.1007/s42729-024-01844-4  </w:t>
      </w:r>
    </w:p>
    <w:p w14:paraId="11E25894" w14:textId="77777777" w:rsidR="00D160F7" w:rsidRPr="00D160F7" w:rsidRDefault="00D160F7" w:rsidP="005D3F47">
      <w:pPr>
        <w:tabs>
          <w:tab w:val="left" w:pos="8910"/>
        </w:tabs>
        <w:spacing w:line="360" w:lineRule="auto"/>
        <w:ind w:left="142" w:right="116" w:hanging="900"/>
        <w:jc w:val="both"/>
      </w:pPr>
      <w:r w:rsidRPr="00D160F7">
        <w:lastRenderedPageBreak/>
        <w:t xml:space="preserve">Gathorne-Hardy A., Narasimha Reddy D., </w:t>
      </w:r>
      <w:proofErr w:type="spellStart"/>
      <w:r w:rsidRPr="00D160F7">
        <w:t>Venkatanarayana</w:t>
      </w:r>
      <w:proofErr w:type="spellEnd"/>
      <w:r w:rsidRPr="00D160F7">
        <w:t xml:space="preserve"> M., Harriss-White B. 2016. System of Rice Intensification provides environmental and economic gains but at the expense of social sustainability — A multidisciplinary analysis in India. </w:t>
      </w:r>
      <w:r w:rsidRPr="00D160F7">
        <w:rPr>
          <w:i/>
          <w:iCs/>
        </w:rPr>
        <w:t>Agricultural Systems</w:t>
      </w:r>
      <w:r w:rsidRPr="00D160F7">
        <w:t xml:space="preserve"> 143: 159–168.</w:t>
      </w:r>
    </w:p>
    <w:p w14:paraId="336CEBC0" w14:textId="77777777" w:rsidR="00D160F7" w:rsidRPr="00D160F7" w:rsidRDefault="00D160F7" w:rsidP="003A3EAE">
      <w:pPr>
        <w:tabs>
          <w:tab w:val="left" w:pos="8910"/>
        </w:tabs>
        <w:spacing w:line="360" w:lineRule="auto"/>
        <w:ind w:left="142" w:right="116" w:hanging="900"/>
        <w:jc w:val="both"/>
        <w:rPr>
          <w:color w:val="000000" w:themeColor="text1"/>
        </w:rPr>
      </w:pPr>
      <w:r w:rsidRPr="00D160F7">
        <w:rPr>
          <w:color w:val="000000" w:themeColor="text1"/>
        </w:rPr>
        <w:t xml:space="preserve">Ghazaryan, K., Pandey, D., Singh, S., </w:t>
      </w:r>
      <w:proofErr w:type="spellStart"/>
      <w:r w:rsidRPr="00D160F7">
        <w:rPr>
          <w:color w:val="000000" w:themeColor="text1"/>
        </w:rPr>
        <w:t>Varagyan</w:t>
      </w:r>
      <w:proofErr w:type="spellEnd"/>
      <w:r w:rsidRPr="00D160F7">
        <w:rPr>
          <w:color w:val="000000" w:themeColor="text1"/>
        </w:rPr>
        <w:t xml:space="preserve">, V., Alexiou, A., Petropoulos, D., </w:t>
      </w:r>
      <w:proofErr w:type="spellStart"/>
      <w:r w:rsidRPr="00D160F7">
        <w:rPr>
          <w:color w:val="000000" w:themeColor="text1"/>
        </w:rPr>
        <w:t>Kriemadis</w:t>
      </w:r>
      <w:proofErr w:type="spellEnd"/>
      <w:r w:rsidRPr="00D160F7">
        <w:rPr>
          <w:color w:val="000000" w:themeColor="text1"/>
        </w:rPr>
        <w:t xml:space="preserve">, A., Rajput, V., </w:t>
      </w:r>
      <w:proofErr w:type="spellStart"/>
      <w:r w:rsidRPr="00D160F7">
        <w:rPr>
          <w:color w:val="000000" w:themeColor="text1"/>
        </w:rPr>
        <w:t>Minkina</w:t>
      </w:r>
      <w:proofErr w:type="spellEnd"/>
      <w:r w:rsidRPr="00D160F7">
        <w:rPr>
          <w:color w:val="000000" w:themeColor="text1"/>
        </w:rPr>
        <w:t>, T., Singh, R., Sousa, J., Kumar, S., El-</w:t>
      </w:r>
      <w:proofErr w:type="spellStart"/>
      <w:r w:rsidRPr="00D160F7">
        <w:rPr>
          <w:color w:val="000000" w:themeColor="text1"/>
        </w:rPr>
        <w:t>Ramady</w:t>
      </w:r>
      <w:proofErr w:type="spellEnd"/>
      <w:r w:rsidRPr="00D160F7">
        <w:rPr>
          <w:color w:val="000000" w:themeColor="text1"/>
        </w:rPr>
        <w:t xml:space="preserve">, H., Singh, O., &amp; Singh, A. (2024). Enhancing Crop Production: Unveiling the Role of </w:t>
      </w:r>
      <w:proofErr w:type="spellStart"/>
      <w:r w:rsidRPr="00D160F7">
        <w:rPr>
          <w:color w:val="000000" w:themeColor="text1"/>
        </w:rPr>
        <w:t>Nanofertilizers</w:t>
      </w:r>
      <w:proofErr w:type="spellEnd"/>
      <w:r w:rsidRPr="00D160F7">
        <w:rPr>
          <w:color w:val="000000" w:themeColor="text1"/>
        </w:rPr>
        <w:t xml:space="preserve"> in Sustainable Agriculture and Precision Nutrient Management. Egyptian Journal of Soil Science, 64(3), 981 – 1007. </w:t>
      </w:r>
      <w:proofErr w:type="spellStart"/>
      <w:r w:rsidRPr="00D160F7">
        <w:rPr>
          <w:color w:val="000000" w:themeColor="text1"/>
        </w:rPr>
        <w:t>doi</w:t>
      </w:r>
      <w:proofErr w:type="spellEnd"/>
      <w:r w:rsidRPr="00D160F7">
        <w:rPr>
          <w:color w:val="000000" w:themeColor="text1"/>
        </w:rPr>
        <w:t>: 10.21608/ejss.2024.282778.1748</w:t>
      </w:r>
    </w:p>
    <w:p w14:paraId="749CF140" w14:textId="77777777" w:rsidR="00D160F7" w:rsidRPr="00D160F7" w:rsidRDefault="00D160F7" w:rsidP="001418E3">
      <w:pPr>
        <w:tabs>
          <w:tab w:val="left" w:pos="8910"/>
        </w:tabs>
        <w:spacing w:line="360" w:lineRule="auto"/>
        <w:ind w:left="142" w:right="116" w:hanging="900"/>
        <w:jc w:val="both"/>
      </w:pPr>
      <w:r w:rsidRPr="00D160F7">
        <w:t xml:space="preserve">Ghosh D, </w:t>
      </w:r>
      <w:proofErr w:type="spellStart"/>
      <w:r w:rsidRPr="00D160F7">
        <w:t>Brahmachari</w:t>
      </w:r>
      <w:proofErr w:type="spellEnd"/>
      <w:r w:rsidRPr="00D160F7">
        <w:t xml:space="preserve"> K, Skalický M, Roy D, Das A, Sarkar S, et al. 2022. The combination of organic and inorganic fertilizers </w:t>
      </w:r>
      <w:proofErr w:type="gramStart"/>
      <w:r w:rsidRPr="00D160F7">
        <w:t>influence</w:t>
      </w:r>
      <w:proofErr w:type="gramEnd"/>
      <w:r w:rsidRPr="00D160F7">
        <w:t xml:space="preserve"> the weed growth, productivity and soil fertility of monsoon rice. </w:t>
      </w:r>
      <w:proofErr w:type="spellStart"/>
      <w:r w:rsidRPr="00D160F7">
        <w:t>PLoS</w:t>
      </w:r>
      <w:proofErr w:type="spellEnd"/>
      <w:r w:rsidRPr="00D160F7">
        <w:t xml:space="preserve"> ONE 17(1): e0262586.   </w:t>
      </w:r>
      <w:hyperlink r:id="rId10" w:history="1">
        <w:r w:rsidRPr="00D160F7">
          <w:rPr>
            <w:rStyle w:val="Hyperlink"/>
          </w:rPr>
          <w:t>https://doi.org/10.1371/journal.pone.0262586</w:t>
        </w:r>
      </w:hyperlink>
      <w:r w:rsidRPr="00D160F7">
        <w:t>.</w:t>
      </w:r>
    </w:p>
    <w:p w14:paraId="43E00F8C" w14:textId="77777777" w:rsidR="00D160F7" w:rsidRPr="00D160F7" w:rsidRDefault="00D160F7" w:rsidP="00BF4E85">
      <w:pPr>
        <w:tabs>
          <w:tab w:val="left" w:pos="8910"/>
        </w:tabs>
        <w:spacing w:line="360" w:lineRule="auto"/>
        <w:ind w:left="142" w:right="116" w:hanging="900"/>
        <w:jc w:val="both"/>
      </w:pPr>
      <w:r w:rsidRPr="00D160F7">
        <w:t>Gomez, K.A. and Gomez, A. (1984) Statistical Procedure for Agricultural Research—Hand Book. John Wiley &amp; Sons, New York.</w:t>
      </w:r>
    </w:p>
    <w:p w14:paraId="05C14BE6" w14:textId="77777777" w:rsidR="00D160F7" w:rsidRPr="00D160F7" w:rsidRDefault="00D160F7" w:rsidP="00D160F7">
      <w:pPr>
        <w:tabs>
          <w:tab w:val="left" w:pos="8910"/>
        </w:tabs>
        <w:spacing w:line="360" w:lineRule="auto"/>
        <w:ind w:left="142" w:right="116" w:hanging="900"/>
        <w:jc w:val="both"/>
        <w:rPr>
          <w:lang w:val="en-GB"/>
        </w:rPr>
      </w:pPr>
      <w:r w:rsidRPr="00D160F7">
        <w:rPr>
          <w:lang w:val="en-GB"/>
        </w:rPr>
        <w:t xml:space="preserve">Kumar KY, Singh V, Singh SK, George SG. </w:t>
      </w:r>
      <w:r w:rsidRPr="00D160F7">
        <w:rPr>
          <w:lang w:val="en-GB"/>
        </w:rPr>
        <w:t xml:space="preserve">(2022). </w:t>
      </w:r>
      <w:r w:rsidRPr="00D160F7">
        <w:rPr>
          <w:lang w:val="en-GB"/>
        </w:rPr>
        <w:t xml:space="preserve">Assessment of Rice (Oryza sativa L.) Hybrids on Growth and Yield under </w:t>
      </w:r>
      <w:proofErr w:type="spellStart"/>
      <w:r w:rsidRPr="00D160F7">
        <w:rPr>
          <w:lang w:val="en-GB"/>
        </w:rPr>
        <w:t>Agro</w:t>
      </w:r>
      <w:proofErr w:type="spellEnd"/>
      <w:r w:rsidRPr="00D160F7">
        <w:rPr>
          <w:lang w:val="en-GB"/>
        </w:rPr>
        <w:t xml:space="preserve">-climatic Conditions of Prayagraj, U. P. </w:t>
      </w:r>
      <w:r w:rsidRPr="00D160F7">
        <w:rPr>
          <w:i/>
          <w:iCs/>
          <w:lang w:val="en-GB"/>
        </w:rPr>
        <w:t>Int. J. Plant Soil Sci.</w:t>
      </w:r>
      <w:r w:rsidRPr="00D160F7">
        <w:rPr>
          <w:lang w:val="en-GB"/>
        </w:rPr>
        <w:t xml:space="preserve">  34(18):45-9. https://journalijpss.com/index.php/IJPSS/article/view/1848</w:t>
      </w:r>
    </w:p>
    <w:p w14:paraId="63896875" w14:textId="77777777" w:rsidR="00D160F7" w:rsidRPr="00D160F7" w:rsidRDefault="00D160F7" w:rsidP="005D3F47">
      <w:pPr>
        <w:tabs>
          <w:tab w:val="left" w:pos="8910"/>
        </w:tabs>
        <w:spacing w:line="360" w:lineRule="auto"/>
        <w:ind w:left="142" w:right="116" w:hanging="900"/>
        <w:jc w:val="both"/>
        <w:rPr>
          <w:sz w:val="26"/>
          <w:szCs w:val="26"/>
          <w:shd w:val="clear" w:color="auto" w:fill="FFFFFF"/>
        </w:rPr>
      </w:pPr>
      <w:r w:rsidRPr="00D160F7">
        <w:t xml:space="preserve">Kumar S.S., Sultan A., Adiba Ejaz and Radha Krishna, J. 2021. </w:t>
      </w:r>
      <w:r w:rsidRPr="00D160F7">
        <w:rPr>
          <w:sz w:val="26"/>
          <w:szCs w:val="26"/>
          <w:shd w:val="clear" w:color="auto" w:fill="FFFFFF"/>
        </w:rPr>
        <w:t xml:space="preserve">Integrated Nutrient Management in Rice- A Critical Review. </w:t>
      </w:r>
      <w:r w:rsidRPr="00D160F7">
        <w:rPr>
          <w:i/>
          <w:iCs/>
          <w:sz w:val="26"/>
          <w:szCs w:val="26"/>
          <w:shd w:val="clear" w:color="auto" w:fill="FFFFFF"/>
        </w:rPr>
        <w:t>Global Scientific Journals</w:t>
      </w:r>
      <w:r w:rsidRPr="00D160F7">
        <w:rPr>
          <w:sz w:val="26"/>
          <w:szCs w:val="26"/>
          <w:shd w:val="clear" w:color="auto" w:fill="FFFFFF"/>
        </w:rPr>
        <w:t xml:space="preserve"> 9(12): 1385-1400.</w:t>
      </w:r>
    </w:p>
    <w:p w14:paraId="2979294C" w14:textId="77777777" w:rsidR="00D160F7" w:rsidRPr="00D160F7" w:rsidRDefault="00D160F7" w:rsidP="00D96744">
      <w:pPr>
        <w:tabs>
          <w:tab w:val="left" w:pos="8910"/>
        </w:tabs>
        <w:spacing w:line="360" w:lineRule="auto"/>
        <w:ind w:left="142" w:right="116" w:hanging="900"/>
        <w:jc w:val="both"/>
      </w:pPr>
      <w:r w:rsidRPr="00D160F7">
        <w:t xml:space="preserve">Kumar, D. and Shivay, Y.S. 2004. System of rice intensification. </w:t>
      </w:r>
      <w:r w:rsidRPr="00D160F7">
        <w:rPr>
          <w:i/>
          <w:iCs/>
        </w:rPr>
        <w:t>Indian Farming</w:t>
      </w:r>
      <w:r w:rsidRPr="00D160F7">
        <w:t>, November, pp.18-21.</w:t>
      </w:r>
    </w:p>
    <w:p w14:paraId="28320574" w14:textId="77777777" w:rsidR="00D160F7" w:rsidRPr="00D160F7" w:rsidRDefault="00D160F7" w:rsidP="001418E3">
      <w:pPr>
        <w:tabs>
          <w:tab w:val="left" w:pos="8910"/>
        </w:tabs>
        <w:spacing w:line="360" w:lineRule="auto"/>
        <w:ind w:left="142" w:right="116" w:hanging="900"/>
        <w:jc w:val="both"/>
      </w:pPr>
      <w:r w:rsidRPr="00D160F7">
        <w:t xml:space="preserve">Murphy B. 2015. Key soil functional properties affected by soil organic matter—evidence from published literature. In IOP Conf. Series: </w:t>
      </w:r>
      <w:r w:rsidRPr="00D160F7">
        <w:rPr>
          <w:i/>
          <w:iCs/>
        </w:rPr>
        <w:t>Earth Env. Sci</w:t>
      </w:r>
      <w:r w:rsidRPr="00D160F7">
        <w:t>, 2015. 25: p. 1–6.</w:t>
      </w:r>
    </w:p>
    <w:p w14:paraId="2207F980" w14:textId="77777777" w:rsidR="00D160F7" w:rsidRPr="00D160F7" w:rsidRDefault="00D160F7" w:rsidP="001472A5">
      <w:pPr>
        <w:tabs>
          <w:tab w:val="left" w:pos="8910"/>
        </w:tabs>
        <w:spacing w:line="360" w:lineRule="auto"/>
        <w:ind w:left="142" w:right="116" w:hanging="900"/>
        <w:jc w:val="both"/>
      </w:pPr>
      <w:r w:rsidRPr="00D160F7">
        <w:t xml:space="preserve">Ranjitha P.S. and Reddy. K.I. 2013. Effect of different nutrient management options on rice under SRI method of cultivation- a review. </w:t>
      </w:r>
      <w:r w:rsidRPr="00D160F7">
        <w:rPr>
          <w:i/>
          <w:iCs/>
        </w:rPr>
        <w:t>International Journal of Plant Animal and Environment Sciences</w:t>
      </w:r>
      <w:r w:rsidRPr="00D160F7">
        <w:t>. 3(4).</w:t>
      </w:r>
    </w:p>
    <w:p w14:paraId="26FB6C7B" w14:textId="77777777" w:rsidR="00D160F7" w:rsidRPr="00D160F7" w:rsidRDefault="00D160F7" w:rsidP="00113BEB">
      <w:pPr>
        <w:tabs>
          <w:tab w:val="left" w:pos="8910"/>
        </w:tabs>
        <w:spacing w:line="360" w:lineRule="auto"/>
        <w:ind w:left="142" w:right="116" w:hanging="900"/>
        <w:jc w:val="both"/>
      </w:pPr>
      <w:r w:rsidRPr="00D160F7">
        <w:t xml:space="preserve">Saikanth, D. R. K., Singh, B. V., Rai, A. K., Kumar, U. S., Surender, Yadav B., &amp; Singh, O. (2023). Biochar implementation in rice paddies for addressing greenhouse gas emissions and nutrient loss: a review. </w:t>
      </w:r>
      <w:r w:rsidRPr="00D160F7">
        <w:rPr>
          <w:i/>
          <w:iCs/>
        </w:rPr>
        <w:t>International Journal of Plant &amp; Soil Science</w:t>
      </w:r>
      <w:r w:rsidRPr="00D160F7">
        <w:t xml:space="preserve">, </w:t>
      </w:r>
      <w:r w:rsidRPr="00D160F7">
        <w:rPr>
          <w:i/>
          <w:iCs/>
        </w:rPr>
        <w:t>35</w:t>
      </w:r>
      <w:r w:rsidRPr="00D160F7">
        <w:t xml:space="preserve">(18), 610–623. https://doi.org/10.9734/ijpss/2023/v35i183326. </w:t>
      </w:r>
    </w:p>
    <w:p w14:paraId="167D8161" w14:textId="77777777" w:rsidR="00D160F7" w:rsidRPr="00D160F7" w:rsidRDefault="00D160F7" w:rsidP="001472A5">
      <w:pPr>
        <w:tabs>
          <w:tab w:val="left" w:pos="8910"/>
        </w:tabs>
        <w:spacing w:line="360" w:lineRule="auto"/>
        <w:ind w:left="142" w:right="116" w:hanging="900"/>
        <w:jc w:val="both"/>
      </w:pPr>
      <w:r w:rsidRPr="00D160F7">
        <w:t xml:space="preserve">Sekhar D., Pradeep Kumar P.B., and </w:t>
      </w:r>
      <w:proofErr w:type="spellStart"/>
      <w:r w:rsidRPr="00D160F7">
        <w:t>Tejeswara</w:t>
      </w:r>
      <w:proofErr w:type="spellEnd"/>
      <w:r w:rsidRPr="00D160F7">
        <w:t xml:space="preserve"> Rao K. 2014. Effect of Coffee Husk Compost on Growth and Yield of Paddy. Journal of Academia and Industrial Research. 3(4): 195-197.</w:t>
      </w:r>
    </w:p>
    <w:p w14:paraId="67D91FC8" w14:textId="77777777" w:rsidR="00D160F7" w:rsidRPr="00D160F7" w:rsidRDefault="00D160F7" w:rsidP="001472A5">
      <w:pPr>
        <w:tabs>
          <w:tab w:val="left" w:pos="8910"/>
        </w:tabs>
        <w:spacing w:line="360" w:lineRule="auto"/>
        <w:ind w:left="142" w:right="116" w:hanging="900"/>
        <w:jc w:val="both"/>
      </w:pPr>
      <w:proofErr w:type="spellStart"/>
      <w:r w:rsidRPr="00D160F7">
        <w:lastRenderedPageBreak/>
        <w:t>Senthilvalavan</w:t>
      </w:r>
      <w:proofErr w:type="spellEnd"/>
      <w:r w:rsidRPr="00D160F7">
        <w:t xml:space="preserve">, P. and Ravichandran, M. 2016. Growth and physiological characters of rice (Oryza sativa) as influenced by integrated nutrient management under SRI in Cauvery Deltaic Zone of Tamil Nadu. </w:t>
      </w:r>
      <w:r w:rsidRPr="00D160F7">
        <w:rPr>
          <w:i/>
          <w:iCs/>
        </w:rPr>
        <w:t>Annals of Plant and Soil Research</w:t>
      </w:r>
      <w:r w:rsidRPr="00D160F7">
        <w:t xml:space="preserve"> 21(3): 210-216.</w:t>
      </w:r>
    </w:p>
    <w:p w14:paraId="0FA528AE" w14:textId="77777777" w:rsidR="00D160F7" w:rsidRPr="00D160F7" w:rsidRDefault="00D160F7" w:rsidP="00113BEB">
      <w:pPr>
        <w:tabs>
          <w:tab w:val="left" w:pos="8910"/>
        </w:tabs>
        <w:spacing w:line="360" w:lineRule="auto"/>
        <w:ind w:left="142" w:right="116" w:hanging="900"/>
        <w:jc w:val="both"/>
      </w:pPr>
      <w:r w:rsidRPr="00D160F7">
        <w:t xml:space="preserve">Shahi, U. P., Singh, O., Singh, V. K., Shivangi, P. K., Singh, R., Singh, V. K., Anand Singh, Rajput, V. D., Rajput, V. D., Singh, A., Ghazaryan, K. A., &amp; Al </w:t>
      </w:r>
      <w:proofErr w:type="spellStart"/>
      <w:r w:rsidRPr="00D160F7">
        <w:t>Tawaha</w:t>
      </w:r>
      <w:proofErr w:type="spellEnd"/>
      <w:r w:rsidRPr="00D160F7">
        <w:t xml:space="preserve">, A. R. M. (2024). Nanotechnology in rice farming: Optimizing nutrient management with </w:t>
      </w:r>
      <w:proofErr w:type="spellStart"/>
      <w:r w:rsidRPr="00D160F7">
        <w:t>nanofertilizers</w:t>
      </w:r>
      <w:proofErr w:type="spellEnd"/>
      <w:r w:rsidRPr="00D160F7">
        <w:t xml:space="preserve">. In: Sustainable Agriculture: Nanotechnology and Biotechnology for Crop Production and Protection. Walter de Gruyter GmbH. DOI: 10.1515/9783111234694-003 </w:t>
      </w:r>
    </w:p>
    <w:p w14:paraId="4E1659B3" w14:textId="77777777" w:rsidR="00D160F7" w:rsidRPr="00D160F7" w:rsidRDefault="00D160F7" w:rsidP="000531C6">
      <w:pPr>
        <w:tabs>
          <w:tab w:val="left" w:pos="8910"/>
        </w:tabs>
        <w:spacing w:line="360" w:lineRule="auto"/>
        <w:ind w:left="142" w:right="116" w:hanging="900"/>
        <w:jc w:val="both"/>
      </w:pPr>
      <w:r w:rsidRPr="00D160F7">
        <w:t xml:space="preserve">Singh A. K., Manibhushan, Meena, M. K., and Upadhyaya, A. 2012. Effect of </w:t>
      </w:r>
      <w:proofErr w:type="spellStart"/>
      <w:r w:rsidRPr="00D160F7">
        <w:t>sulphur</w:t>
      </w:r>
      <w:proofErr w:type="spellEnd"/>
      <w:r w:rsidRPr="00D160F7">
        <w:t xml:space="preserve"> and zinc on rice performance and nutrient dynamics in plants and soil of </w:t>
      </w:r>
      <w:proofErr w:type="spellStart"/>
      <w:r w:rsidRPr="00D160F7">
        <w:t>indo</w:t>
      </w:r>
      <w:proofErr w:type="spellEnd"/>
      <w:r w:rsidRPr="00D160F7">
        <w:t xml:space="preserve"> </w:t>
      </w:r>
      <w:proofErr w:type="spellStart"/>
      <w:r w:rsidRPr="00D160F7">
        <w:t>gangetic</w:t>
      </w:r>
      <w:proofErr w:type="spellEnd"/>
      <w:r w:rsidRPr="00D160F7">
        <w:t xml:space="preserve"> plains. </w:t>
      </w:r>
      <w:r w:rsidRPr="00D160F7">
        <w:rPr>
          <w:i/>
          <w:iCs/>
        </w:rPr>
        <w:t>Journal of Agricultural Science</w:t>
      </w:r>
      <w:r w:rsidRPr="00D160F7">
        <w:t>, 4(11):162-170.</w:t>
      </w:r>
    </w:p>
    <w:p w14:paraId="4A7C1499" w14:textId="77777777" w:rsidR="00D160F7" w:rsidRPr="00D160F7" w:rsidRDefault="00D160F7" w:rsidP="000D0899">
      <w:pPr>
        <w:tabs>
          <w:tab w:val="left" w:pos="8910"/>
        </w:tabs>
        <w:spacing w:line="360" w:lineRule="auto"/>
        <w:ind w:left="142" w:right="116" w:hanging="900"/>
        <w:jc w:val="both"/>
      </w:pPr>
      <w:r w:rsidRPr="00D160F7">
        <w:t xml:space="preserve">Singh, A., Rawat, S., Rajput, V. D., </w:t>
      </w:r>
      <w:proofErr w:type="spellStart"/>
      <w:r w:rsidRPr="00D160F7">
        <w:t>Minkina</w:t>
      </w:r>
      <w:proofErr w:type="spellEnd"/>
      <w:r w:rsidRPr="00D160F7">
        <w:t xml:space="preserve">, T., </w:t>
      </w:r>
      <w:proofErr w:type="spellStart"/>
      <w:r w:rsidRPr="00D160F7">
        <w:t>Mandzhieva</w:t>
      </w:r>
      <w:proofErr w:type="spellEnd"/>
      <w:r w:rsidRPr="00D160F7">
        <w:t xml:space="preserve">, S., </w:t>
      </w:r>
      <w:proofErr w:type="spellStart"/>
      <w:r w:rsidRPr="00D160F7">
        <w:t>Eloyan</w:t>
      </w:r>
      <w:proofErr w:type="spellEnd"/>
      <w:r w:rsidRPr="00D160F7">
        <w:t>, A. S., Singh, R. K., Singh, O., El-</w:t>
      </w:r>
      <w:proofErr w:type="spellStart"/>
      <w:r w:rsidRPr="00D160F7">
        <w:t>Ramady</w:t>
      </w:r>
      <w:proofErr w:type="spellEnd"/>
      <w:r w:rsidRPr="00D160F7">
        <w:t>, H., &amp; Ghazaryan, K. (2024). Nanotechnology products in agriculture and environmental protection: Advances and challenges. Egyptian Journal of Soil Science, 64(4), 1355-1378.</w:t>
      </w:r>
    </w:p>
    <w:p w14:paraId="152F12FE" w14:textId="77777777" w:rsidR="00D160F7" w:rsidRPr="00D160F7" w:rsidRDefault="00D160F7" w:rsidP="00BF4E85">
      <w:pPr>
        <w:tabs>
          <w:tab w:val="left" w:pos="8910"/>
        </w:tabs>
        <w:spacing w:line="360" w:lineRule="auto"/>
        <w:ind w:left="142" w:right="116" w:hanging="900"/>
        <w:jc w:val="both"/>
      </w:pPr>
      <w:r w:rsidRPr="00D160F7">
        <w:t>Singh, A.K. 2017. Effect of balanced use of nutrient on productivity and economics of wheat. Annals of Plant and Soil Research, 19(1): 105- 109.</w:t>
      </w:r>
    </w:p>
    <w:p w14:paraId="49F852D8" w14:textId="77777777" w:rsidR="00D160F7" w:rsidRPr="00D160F7" w:rsidRDefault="00D160F7" w:rsidP="000531C6">
      <w:pPr>
        <w:tabs>
          <w:tab w:val="left" w:pos="8910"/>
        </w:tabs>
        <w:spacing w:line="360" w:lineRule="auto"/>
        <w:ind w:left="142" w:right="116" w:hanging="900"/>
        <w:jc w:val="both"/>
      </w:pPr>
      <w:r w:rsidRPr="00D160F7">
        <w:t xml:space="preserve">Singh, D.K., Pandey, P.C., Nanda, G. and Gupta, S. 2018. Long-term effects of inorganic fertilizer and farmyard manure application on productivity, sustainability and profitability of rice-wheat system in Mollisols. </w:t>
      </w:r>
      <w:r w:rsidRPr="00D160F7">
        <w:rPr>
          <w:i/>
          <w:iCs/>
        </w:rPr>
        <w:t>Archives of Agronomy and Soil Science.</w:t>
      </w:r>
      <w:r w:rsidRPr="00D160F7">
        <w:t xml:space="preserve"> 65, 139–151.</w:t>
      </w:r>
    </w:p>
    <w:p w14:paraId="568F07A0" w14:textId="77777777" w:rsidR="00D160F7" w:rsidRPr="00D160F7" w:rsidRDefault="00D160F7" w:rsidP="00A75B76">
      <w:pPr>
        <w:tabs>
          <w:tab w:val="left" w:pos="8910"/>
        </w:tabs>
        <w:spacing w:line="360" w:lineRule="auto"/>
        <w:ind w:left="142" w:right="116" w:hanging="900"/>
        <w:jc w:val="both"/>
      </w:pPr>
      <w:r w:rsidRPr="00D160F7">
        <w:t xml:space="preserve">Singh, O, Shahi, U. P., Shivangi, Singh, V. K., Singh, P. K., Singh, R. and Singh, A. (2024). Enhancing crop nutrition with zinc nanoparticles: A novel approach to cereal crop micronutrient management. </w:t>
      </w:r>
      <w:proofErr w:type="spellStart"/>
      <w:proofErr w:type="gramStart"/>
      <w:r w:rsidRPr="00D160F7">
        <w:t>In:Sustainable</w:t>
      </w:r>
      <w:proofErr w:type="spellEnd"/>
      <w:proofErr w:type="gramEnd"/>
      <w:r w:rsidRPr="00D160F7">
        <w:t xml:space="preserve"> Agriculture: Nanotechnology and Biotechnology for Crop Production and Protection. Walter de Gruyter GmbH. DOI: 10.1515/9783111234694-006 </w:t>
      </w:r>
    </w:p>
    <w:p w14:paraId="48247930" w14:textId="77777777" w:rsidR="00D160F7" w:rsidRPr="00D160F7" w:rsidDel="00113BEB" w:rsidRDefault="00D160F7" w:rsidP="005E4A68">
      <w:pPr>
        <w:tabs>
          <w:tab w:val="left" w:pos="8910"/>
        </w:tabs>
        <w:spacing w:line="360" w:lineRule="auto"/>
        <w:ind w:left="142" w:right="116" w:hanging="900"/>
        <w:rPr>
          <w:i/>
          <w:iCs/>
        </w:rPr>
      </w:pPr>
      <w:r w:rsidRPr="00D160F7">
        <w:t xml:space="preserve">Singh, O. (2023). Nanotechnology for sustainability and food security in agriculture: A </w:t>
      </w:r>
      <w:proofErr w:type="spellStart"/>
      <w:r w:rsidRPr="00D160F7">
        <w:t>nanopriming</w:t>
      </w:r>
      <w:proofErr w:type="spellEnd"/>
      <w:r w:rsidRPr="00D160F7">
        <w:t xml:space="preserve"> long story in short. In A. Singh, V. Rajput, K. Ghazaryan, S. Gupta, &amp; T. </w:t>
      </w:r>
      <w:proofErr w:type="spellStart"/>
      <w:r w:rsidRPr="00D160F7">
        <w:t>Minkina</w:t>
      </w:r>
      <w:proofErr w:type="spellEnd"/>
      <w:r w:rsidRPr="00D160F7">
        <w:t xml:space="preserve"> (Eds.), </w:t>
      </w:r>
      <w:proofErr w:type="spellStart"/>
      <w:r w:rsidRPr="00D160F7">
        <w:rPr>
          <w:i/>
          <w:iCs/>
        </w:rPr>
        <w:t>Nanopriming</w:t>
      </w:r>
      <w:proofErr w:type="spellEnd"/>
      <w:r w:rsidRPr="00D160F7">
        <w:rPr>
          <w:i/>
          <w:iCs/>
        </w:rPr>
        <w:t xml:space="preserve"> Approach to Sustainable Agriculture (pp. 315-339). IGI Global. https://doi.org/10.4018/978-1-6684-7232-3.ch014.</w:t>
      </w:r>
    </w:p>
    <w:p w14:paraId="3A4A0E24" w14:textId="77777777" w:rsidR="00D160F7" w:rsidRPr="00D160F7" w:rsidRDefault="00D160F7" w:rsidP="00A1045C">
      <w:pPr>
        <w:tabs>
          <w:tab w:val="left" w:pos="8910"/>
        </w:tabs>
        <w:spacing w:line="360" w:lineRule="auto"/>
        <w:ind w:left="142" w:right="116" w:hanging="900"/>
        <w:jc w:val="both"/>
      </w:pPr>
      <w:r w:rsidRPr="00D160F7">
        <w:t xml:space="preserve">Singh, O., Shahi, U.P., Dhyani, B.P., Kumar, S., Vivek, S., </w:t>
      </w:r>
      <w:proofErr w:type="spellStart"/>
      <w:r w:rsidRPr="00D160F7">
        <w:t>Sengar</w:t>
      </w:r>
      <w:proofErr w:type="spellEnd"/>
      <w:r w:rsidRPr="00D160F7">
        <w:t>, R.S., Shivangi, and Singh, A. (2023). Effect of zinc oxide nanoparticles application on growth and yield of basmati rice (</w:t>
      </w:r>
      <w:r w:rsidRPr="00D160F7">
        <w:rPr>
          <w:i/>
          <w:iCs/>
        </w:rPr>
        <w:t>Oryza sativa</w:t>
      </w:r>
      <w:r w:rsidRPr="00D160F7">
        <w:t xml:space="preserve">) in alkaline soil. </w:t>
      </w:r>
      <w:r w:rsidRPr="00D160F7">
        <w:rPr>
          <w:i/>
          <w:iCs/>
        </w:rPr>
        <w:t xml:space="preserve">Indian Journal of Agronomy, </w:t>
      </w:r>
      <w:r w:rsidRPr="00D160F7">
        <w:t xml:space="preserve">68(3), 1-6. </w:t>
      </w:r>
    </w:p>
    <w:p w14:paraId="460D3D8A" w14:textId="77777777" w:rsidR="00D160F7" w:rsidRPr="00D160F7" w:rsidRDefault="00D160F7" w:rsidP="00A1045C">
      <w:pPr>
        <w:tabs>
          <w:tab w:val="left" w:pos="8910"/>
        </w:tabs>
        <w:spacing w:line="360" w:lineRule="auto"/>
        <w:ind w:left="142" w:right="116" w:hanging="900"/>
        <w:jc w:val="both"/>
      </w:pPr>
      <w:r w:rsidRPr="00D160F7">
        <w:t xml:space="preserve">Singh, S., Singh, O., Shahi, U. P., Singh, P. K., Singh, A., Rajput, V. D., </w:t>
      </w:r>
      <w:proofErr w:type="spellStart"/>
      <w:r w:rsidRPr="00D160F7">
        <w:t>Minkina</w:t>
      </w:r>
      <w:proofErr w:type="spellEnd"/>
      <w:r w:rsidRPr="00D160F7">
        <w:t>, T., El-</w:t>
      </w:r>
      <w:proofErr w:type="spellStart"/>
      <w:r w:rsidRPr="00D160F7">
        <w:t>Ramady</w:t>
      </w:r>
      <w:proofErr w:type="spellEnd"/>
      <w:r w:rsidRPr="00D160F7">
        <w:t xml:space="preserve">, H., &amp; Ghazaryan, K. (2024). Carbon sequestration through organic amendments, clay </w:t>
      </w:r>
      <w:r w:rsidRPr="00D160F7">
        <w:lastRenderedPageBreak/>
        <w:t xml:space="preserve">mineralogy and agronomic practices: A review. </w:t>
      </w:r>
      <w:r w:rsidRPr="00D160F7">
        <w:rPr>
          <w:i/>
          <w:iCs/>
        </w:rPr>
        <w:t>Egyptian Journal of Soil Science</w:t>
      </w:r>
      <w:r w:rsidRPr="00D160F7">
        <w:t xml:space="preserve">, 64(2), 581-598. </w:t>
      </w:r>
    </w:p>
    <w:p w14:paraId="04FEB566" w14:textId="77777777" w:rsidR="00D160F7" w:rsidRPr="00D160F7" w:rsidRDefault="00D160F7" w:rsidP="000531C6">
      <w:pPr>
        <w:tabs>
          <w:tab w:val="left" w:pos="8910"/>
        </w:tabs>
        <w:spacing w:line="360" w:lineRule="auto"/>
        <w:ind w:left="142" w:right="116" w:hanging="900"/>
        <w:jc w:val="both"/>
      </w:pPr>
      <w:r w:rsidRPr="00D160F7">
        <w:t>Singh, V.P., Pal, B. Sharma, Y.K. 2013. Response of rice to nitrogen and zinc application irrigated with saline water. Environment and Ecology; 31(1A): 344-349.</w:t>
      </w:r>
    </w:p>
    <w:p w14:paraId="3A81AA80" w14:textId="77777777" w:rsidR="00D160F7" w:rsidRPr="00D160F7" w:rsidRDefault="00D160F7" w:rsidP="001418E3">
      <w:pPr>
        <w:tabs>
          <w:tab w:val="left" w:pos="8910"/>
        </w:tabs>
        <w:spacing w:line="360" w:lineRule="auto"/>
        <w:ind w:left="142" w:right="116" w:hanging="900"/>
        <w:jc w:val="both"/>
      </w:pPr>
      <w:r w:rsidRPr="00D160F7">
        <w:t xml:space="preserve">Srinivasarao C., et al. 2013. Sustainable management of soils of dryland ecosystems of India for enhancing agronomic productivity and sequestering carbon. </w:t>
      </w:r>
      <w:r w:rsidRPr="00D160F7">
        <w:rPr>
          <w:i/>
          <w:iCs/>
        </w:rPr>
        <w:t>Adv. Agron</w:t>
      </w:r>
      <w:r w:rsidRPr="00D160F7">
        <w:t>. 121:253–329.</w:t>
      </w:r>
    </w:p>
    <w:p w14:paraId="1B76BCEE" w14:textId="77777777" w:rsidR="00D160F7" w:rsidRPr="00D160F7" w:rsidDel="003A3EAE" w:rsidRDefault="00D160F7" w:rsidP="003A3EAE">
      <w:pPr>
        <w:tabs>
          <w:tab w:val="left" w:pos="8910"/>
        </w:tabs>
        <w:spacing w:line="360" w:lineRule="auto"/>
        <w:ind w:left="142" w:right="116" w:hanging="900"/>
        <w:jc w:val="both"/>
        <w:rPr>
          <w:color w:val="000000" w:themeColor="text1"/>
        </w:rPr>
      </w:pPr>
      <w:r w:rsidRPr="00D160F7">
        <w:rPr>
          <w:color w:val="000000" w:themeColor="text1"/>
        </w:rPr>
        <w:t xml:space="preserve">Subash, N., Dutta, D., </w:t>
      </w:r>
      <w:proofErr w:type="spellStart"/>
      <w:r w:rsidRPr="00D160F7">
        <w:rPr>
          <w:color w:val="000000" w:themeColor="text1"/>
        </w:rPr>
        <w:t>Ghasal</w:t>
      </w:r>
      <w:proofErr w:type="spellEnd"/>
      <w:r w:rsidRPr="00D160F7">
        <w:rPr>
          <w:color w:val="000000" w:themeColor="text1"/>
        </w:rPr>
        <w:t xml:space="preserve">, P., Ravisankar, N., Chaudhary, V. P., Kumar, S., Meena, L. R., Singh, O., </w:t>
      </w:r>
      <w:proofErr w:type="spellStart"/>
      <w:r w:rsidRPr="00D160F7">
        <w:rPr>
          <w:color w:val="000000" w:themeColor="text1"/>
        </w:rPr>
        <w:t>Brahmdutt</w:t>
      </w:r>
      <w:proofErr w:type="spellEnd"/>
      <w:r w:rsidRPr="00D160F7">
        <w:rPr>
          <w:color w:val="000000" w:themeColor="text1"/>
        </w:rPr>
        <w:t xml:space="preserve">, Singh, S., &amp; Sunita, K. (2023). A Composite Index to Assess the Climate-Carbon-Yield-Sustainability of Cereal Based Cropping System. </w:t>
      </w:r>
      <w:r w:rsidRPr="00D160F7">
        <w:rPr>
          <w:i/>
          <w:iCs/>
          <w:color w:val="000000" w:themeColor="text1"/>
        </w:rPr>
        <w:t xml:space="preserve">International Journal of Plant Production, </w:t>
      </w:r>
      <w:r w:rsidRPr="00D160F7">
        <w:rPr>
          <w:color w:val="000000" w:themeColor="text1"/>
        </w:rPr>
        <w:t>17, 729–755 (2023). https://doi.org/10.1007/s42106-023-00268-x.</w:t>
      </w:r>
    </w:p>
    <w:p w14:paraId="353AB46D" w14:textId="77777777" w:rsidR="00D160F7" w:rsidRPr="00D160F7" w:rsidRDefault="00D160F7" w:rsidP="001418E3">
      <w:pPr>
        <w:tabs>
          <w:tab w:val="left" w:pos="8910"/>
        </w:tabs>
        <w:spacing w:line="360" w:lineRule="auto"/>
        <w:ind w:left="142" w:right="116" w:hanging="900"/>
        <w:jc w:val="both"/>
      </w:pPr>
      <w:r w:rsidRPr="00D160F7">
        <w:t xml:space="preserve">Tadesse T. 2013. Effects of farmyard manure and inorganic fertilizer application on soil </w:t>
      </w:r>
      <w:proofErr w:type="spellStart"/>
      <w:r w:rsidRPr="00D160F7">
        <w:t>physico</w:t>
      </w:r>
      <w:proofErr w:type="spellEnd"/>
      <w:r w:rsidRPr="00D160F7">
        <w:t xml:space="preserve">-chemical properties and nutrient balance in rain-fed lowland rice ecosystem. </w:t>
      </w:r>
      <w:r w:rsidRPr="00D160F7">
        <w:rPr>
          <w:i/>
          <w:iCs/>
        </w:rPr>
        <w:t>Am. J. Plant Sci,</w:t>
      </w:r>
      <w:r w:rsidRPr="00D160F7">
        <w:t xml:space="preserve"> 2013. 4: p. 309– 316. </w:t>
      </w:r>
    </w:p>
    <w:p w14:paraId="28289BC1" w14:textId="77777777" w:rsidR="00D160F7" w:rsidRPr="00D160F7" w:rsidRDefault="00D160F7" w:rsidP="001418E3">
      <w:pPr>
        <w:tabs>
          <w:tab w:val="left" w:pos="8910"/>
        </w:tabs>
        <w:spacing w:line="360" w:lineRule="auto"/>
        <w:ind w:left="142" w:right="116" w:hanging="900"/>
        <w:jc w:val="both"/>
      </w:pPr>
      <w:r w:rsidRPr="00D160F7">
        <w:t xml:space="preserve">Timsina J., and Connor D.J. 2001. Productivity and management of rice–wheat cropping systems: issues and challenges. </w:t>
      </w:r>
      <w:r w:rsidRPr="00D160F7">
        <w:rPr>
          <w:i/>
          <w:iCs/>
        </w:rPr>
        <w:t>Field Crop. Res</w:t>
      </w:r>
      <w:r w:rsidRPr="00D160F7">
        <w:t>., 69(2</w:t>
      </w:r>
      <w:proofErr w:type="gramStart"/>
      <w:r w:rsidRPr="00D160F7">
        <w:t>):p.</w:t>
      </w:r>
      <w:proofErr w:type="gramEnd"/>
      <w:r w:rsidRPr="00D160F7">
        <w:t>93–132.</w:t>
      </w:r>
    </w:p>
    <w:p w14:paraId="38EC1301" w14:textId="77777777" w:rsidR="00D160F7" w:rsidRPr="00D160F7" w:rsidRDefault="00D160F7" w:rsidP="000531C6">
      <w:pPr>
        <w:tabs>
          <w:tab w:val="left" w:pos="8910"/>
        </w:tabs>
        <w:spacing w:line="360" w:lineRule="auto"/>
        <w:ind w:left="142" w:right="116" w:hanging="900"/>
        <w:jc w:val="both"/>
      </w:pPr>
      <w:r w:rsidRPr="00D160F7">
        <w:t xml:space="preserve">Tomar, R., Singh, N. B., Singh, V. and Kumar, D. 2018. Effect of planting and integrated nutrient management on growth parameters, yield and economics of rice. </w:t>
      </w:r>
      <w:r w:rsidRPr="00D160F7">
        <w:rPr>
          <w:i/>
          <w:iCs/>
        </w:rPr>
        <w:t>Journal of Pharmacognosy and Phytochemistry</w:t>
      </w:r>
      <w:r w:rsidRPr="00D160F7">
        <w:t>, 7(2): 520-527.</w:t>
      </w:r>
    </w:p>
    <w:p w14:paraId="53A1E9AD" w14:textId="77777777" w:rsidR="00D160F7" w:rsidRPr="00D160F7" w:rsidRDefault="00D160F7" w:rsidP="00D96744">
      <w:pPr>
        <w:tabs>
          <w:tab w:val="left" w:pos="8910"/>
        </w:tabs>
        <w:spacing w:line="360" w:lineRule="auto"/>
        <w:ind w:left="142" w:right="116" w:hanging="900"/>
        <w:jc w:val="both"/>
      </w:pPr>
      <w:r w:rsidRPr="00D160F7">
        <w:t xml:space="preserve">Tyagi, S.; Naresh, R.K.; Bhatt, R.; Chandra, M.S.; </w:t>
      </w:r>
      <w:proofErr w:type="spellStart"/>
      <w:r w:rsidRPr="00D160F7">
        <w:t>Alrajhi</w:t>
      </w:r>
      <w:proofErr w:type="spellEnd"/>
      <w:r w:rsidRPr="00D160F7">
        <w:t xml:space="preserve">, A.A.; </w:t>
      </w:r>
      <w:proofErr w:type="spellStart"/>
      <w:r w:rsidRPr="00D160F7">
        <w:t>Dewidar</w:t>
      </w:r>
      <w:proofErr w:type="spellEnd"/>
      <w:r w:rsidRPr="00D160F7">
        <w:t xml:space="preserve">, A.Z.; Mattar, M.A. Tillage, Water and Nitrogen Management Strategies Influence the Water Footprint, Nutrient Use Efficiency, Productivity and Profitability of Rice in Typic Ustochrept Soil. Agronomy 2022, 12, 1186. </w:t>
      </w:r>
      <w:hyperlink r:id="rId11" w:history="1">
        <w:r w:rsidRPr="00D160F7">
          <w:rPr>
            <w:rStyle w:val="Hyperlink"/>
          </w:rPr>
          <w:t>https://doi.org/10.3390/agronomy12051186</w:t>
        </w:r>
      </w:hyperlink>
      <w:r w:rsidRPr="00D160F7">
        <w:t>.</w:t>
      </w:r>
    </w:p>
    <w:p w14:paraId="058E634C" w14:textId="77777777" w:rsidR="00D160F7" w:rsidRPr="00D160F7" w:rsidRDefault="00D160F7" w:rsidP="005D3F47">
      <w:pPr>
        <w:tabs>
          <w:tab w:val="left" w:pos="8910"/>
        </w:tabs>
        <w:spacing w:line="360" w:lineRule="auto"/>
        <w:ind w:left="142" w:right="116" w:hanging="900"/>
        <w:jc w:val="both"/>
      </w:pPr>
      <w:r w:rsidRPr="00D160F7">
        <w:t>Upadhyay, V.B., Jain. V., Vishwakarma, S.K. and Kumhar, A.K. 2011. Production potential, soil health, water productivity and economics of rice (Oryza sativa)–based cropping systems under different nutrient sources. Indian Journal of Agronomy. 56(4): 311–16.</w:t>
      </w:r>
    </w:p>
    <w:p w14:paraId="42841F18" w14:textId="77777777" w:rsidR="00D160F7" w:rsidRPr="00D160F7" w:rsidRDefault="00D160F7" w:rsidP="001418E3">
      <w:pPr>
        <w:tabs>
          <w:tab w:val="left" w:pos="8910"/>
        </w:tabs>
        <w:spacing w:line="360" w:lineRule="auto"/>
        <w:ind w:left="142" w:right="116" w:hanging="900"/>
        <w:jc w:val="both"/>
      </w:pPr>
      <w:r w:rsidRPr="00D160F7">
        <w:rPr>
          <w:shd w:val="clear" w:color="auto" w:fill="FFFFFF"/>
        </w:rPr>
        <w:t xml:space="preserve"> </w:t>
      </w:r>
      <w:proofErr w:type="spellStart"/>
      <w:r w:rsidRPr="00D160F7">
        <w:rPr>
          <w:shd w:val="clear" w:color="auto" w:fill="FFFFFF"/>
        </w:rPr>
        <w:t>Weijabhandara</w:t>
      </w:r>
      <w:proofErr w:type="spellEnd"/>
      <w:r w:rsidRPr="00D160F7">
        <w:rPr>
          <w:shd w:val="clear" w:color="auto" w:fill="FFFFFF"/>
        </w:rPr>
        <w:t xml:space="preserve"> D.M.D.I., </w:t>
      </w:r>
      <w:proofErr w:type="spellStart"/>
      <w:r w:rsidRPr="00D160F7">
        <w:rPr>
          <w:shd w:val="clear" w:color="auto" w:fill="FFFFFF"/>
        </w:rPr>
        <w:t>Dasog</w:t>
      </w:r>
      <w:proofErr w:type="spellEnd"/>
      <w:r w:rsidRPr="00D160F7">
        <w:rPr>
          <w:shd w:val="clear" w:color="auto" w:fill="FFFFFF"/>
        </w:rPr>
        <w:t xml:space="preserve"> G.S., Patil P.L. and Manjunath Hebbar. 2011.</w:t>
      </w:r>
      <w:r w:rsidRPr="00D160F7">
        <w:t xml:space="preserve"> </w:t>
      </w:r>
      <w:r w:rsidRPr="00D160F7">
        <w:rPr>
          <w:shd w:val="clear" w:color="auto" w:fill="FFFFFF"/>
        </w:rPr>
        <w:t>Effect of Nutrient Levels on Rice (</w:t>
      </w:r>
      <w:r w:rsidRPr="00D160F7">
        <w:rPr>
          <w:i/>
          <w:iCs/>
          <w:shd w:val="clear" w:color="auto" w:fill="FFFFFF"/>
        </w:rPr>
        <w:t>Oryza sativa</w:t>
      </w:r>
      <w:r w:rsidRPr="00D160F7">
        <w:rPr>
          <w:shd w:val="clear" w:color="auto" w:fill="FFFFFF"/>
        </w:rPr>
        <w:t xml:space="preserve"> L.) under System of Rice Intensification (SRI) and Traditional Methods of Cultivation. </w:t>
      </w:r>
      <w:r w:rsidRPr="00D160F7">
        <w:rPr>
          <w:i/>
          <w:iCs/>
          <w:shd w:val="clear" w:color="auto" w:fill="FFFFFF"/>
        </w:rPr>
        <w:t>Journal of the Indian Society of Soil Science</w:t>
      </w:r>
      <w:r w:rsidRPr="00D160F7">
        <w:rPr>
          <w:shd w:val="clear" w:color="auto" w:fill="FFFFFF"/>
        </w:rPr>
        <w:t>, 59(1): 67-73.</w:t>
      </w:r>
    </w:p>
    <w:p w14:paraId="61A9B64E" w14:textId="77777777" w:rsidR="00D160F7" w:rsidRPr="00D160F7" w:rsidRDefault="00D160F7" w:rsidP="005D3F47">
      <w:pPr>
        <w:tabs>
          <w:tab w:val="left" w:pos="8910"/>
        </w:tabs>
        <w:spacing w:line="360" w:lineRule="auto"/>
        <w:ind w:left="142" w:right="116" w:hanging="900"/>
        <w:jc w:val="both"/>
      </w:pPr>
      <w:proofErr w:type="spellStart"/>
      <w:r w:rsidRPr="00D160F7">
        <w:t>Wolie</w:t>
      </w:r>
      <w:proofErr w:type="spellEnd"/>
      <w:r w:rsidRPr="00D160F7">
        <w:t xml:space="preserve"> AW, Admassu MA. 2016. Effects of Integrated Nutrient Management on Rice (Oryza sativa L) Yield and Yield Attributes, Nutrient Uptake and Some </w:t>
      </w:r>
      <w:proofErr w:type="spellStart"/>
      <w:r w:rsidRPr="00D160F7">
        <w:t>Physico</w:t>
      </w:r>
      <w:proofErr w:type="spellEnd"/>
      <w:r w:rsidRPr="00D160F7">
        <w:t xml:space="preserve">-Chemical Properties of Soil: A Review. </w:t>
      </w:r>
      <w:r w:rsidRPr="00D160F7">
        <w:rPr>
          <w:i/>
          <w:iCs/>
        </w:rPr>
        <w:t>Journal of Biology, Agriculture and Healthcare</w:t>
      </w:r>
      <w:r w:rsidRPr="00D160F7">
        <w:t>. 6:20-26.</w:t>
      </w:r>
    </w:p>
    <w:p w14:paraId="3BABA5FA" w14:textId="5B6B082E" w:rsidR="00D160F7" w:rsidRPr="00D160F7" w:rsidRDefault="00D160F7" w:rsidP="005D3F47">
      <w:pPr>
        <w:tabs>
          <w:tab w:val="left" w:pos="8910"/>
        </w:tabs>
        <w:spacing w:line="360" w:lineRule="auto"/>
        <w:ind w:left="142" w:right="116" w:hanging="900"/>
        <w:jc w:val="both"/>
        <w:rPr>
          <w:lang w:val="en-GB"/>
        </w:rPr>
      </w:pPr>
      <w:r>
        <w:rPr>
          <w:lang w:val="en-GB"/>
        </w:rPr>
        <w:t xml:space="preserve"> </w:t>
      </w:r>
    </w:p>
    <w:p w14:paraId="0B101E18" w14:textId="77777777" w:rsidR="005E5339" w:rsidRPr="00E04C33" w:rsidRDefault="005E5339" w:rsidP="004E585F">
      <w:pPr>
        <w:tabs>
          <w:tab w:val="left" w:pos="8910"/>
        </w:tabs>
        <w:autoSpaceDE w:val="0"/>
        <w:autoSpaceDN w:val="0"/>
        <w:adjustRightInd w:val="0"/>
        <w:spacing w:line="360" w:lineRule="auto"/>
        <w:ind w:left="1184" w:right="116" w:hanging="900"/>
        <w:jc w:val="both"/>
        <w:rPr>
          <w:color w:val="FF0000"/>
        </w:rPr>
      </w:pPr>
    </w:p>
    <w:sectPr w:rsidR="005E5339" w:rsidRPr="00E04C33" w:rsidSect="001C04B1">
      <w:headerReference w:type="even" r:id="rId12"/>
      <w:headerReference w:type="default" r:id="rId13"/>
      <w:footerReference w:type="even" r:id="rId14"/>
      <w:footerReference w:type="default" r:id="rId15"/>
      <w:headerReference w:type="first" r:id="rId16"/>
      <w:footerReference w:type="first" r:id="rId17"/>
      <w:pgSz w:w="11906" w:h="16838"/>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0CC0" w14:textId="77777777" w:rsidR="001350F4" w:rsidRDefault="001350F4" w:rsidP="005878B9">
      <w:r>
        <w:separator/>
      </w:r>
    </w:p>
  </w:endnote>
  <w:endnote w:type="continuationSeparator" w:id="0">
    <w:p w14:paraId="71B8117D" w14:textId="77777777" w:rsidR="001350F4" w:rsidRDefault="001350F4" w:rsidP="005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3E1" w14:textId="77777777" w:rsidR="007606C5" w:rsidRDefault="0076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67B7" w14:textId="77777777" w:rsidR="00F1370D" w:rsidRDefault="00000000">
    <w:pPr>
      <w:pStyle w:val="BodyText"/>
      <w:spacing w:line="14" w:lineRule="auto"/>
      <w:rPr>
        <w:sz w:val="20"/>
      </w:rPr>
    </w:pPr>
    <w:r>
      <w:rPr>
        <w:sz w:val="28"/>
      </w:rPr>
      <w:pict w14:anchorId="6FE1E789">
        <v:shapetype id="_x0000_t202" coordsize="21600,21600" o:spt="202" path="m,l,21600r21600,l21600,xe">
          <v:stroke joinstyle="miter"/>
          <v:path gradientshapeok="t" o:connecttype="rect"/>
        </v:shapetype>
        <v:shape id="_x0000_s1040" type="#_x0000_t202" style="position:absolute;margin-left:307.15pt;margin-top:779.95pt;width:17.3pt;height:13.05pt;z-index:-251658752;mso-position-horizontal-relative:page;mso-position-vertical-relative:page" filled="f" stroked="f">
          <v:textbox style="mso-next-textbox:#_x0000_s1040" inset="0,0,0,0">
            <w:txbxContent>
              <w:p w14:paraId="487C5C1E" w14:textId="77777777" w:rsidR="00F1370D" w:rsidRDefault="00D910A8">
                <w:pPr>
                  <w:spacing w:line="245" w:lineRule="exact"/>
                  <w:ind w:left="60"/>
                  <w:rPr>
                    <w:rFonts w:ascii="Carlito"/>
                  </w:rPr>
                </w:pPr>
                <w:r>
                  <w:fldChar w:fldCharType="begin"/>
                </w:r>
                <w:r w:rsidR="00F1370D">
                  <w:rPr>
                    <w:rFonts w:ascii="Carlito"/>
                    <w:sz w:val="22"/>
                  </w:rPr>
                  <w:instrText xml:space="preserve"> PAGE </w:instrText>
                </w:r>
                <w:r>
                  <w:fldChar w:fldCharType="separate"/>
                </w:r>
                <w:r w:rsidR="008963BF">
                  <w:rPr>
                    <w:rFonts w:ascii="Carlito"/>
                    <w:noProof/>
                    <w:sz w:val="22"/>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FF5B" w14:textId="77777777" w:rsidR="007606C5" w:rsidRDefault="0076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7086" w14:textId="77777777" w:rsidR="001350F4" w:rsidRDefault="001350F4" w:rsidP="005878B9">
      <w:r>
        <w:separator/>
      </w:r>
    </w:p>
  </w:footnote>
  <w:footnote w:type="continuationSeparator" w:id="0">
    <w:p w14:paraId="13A31CBD" w14:textId="77777777" w:rsidR="001350F4" w:rsidRDefault="001350F4" w:rsidP="0058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1A0D" w14:textId="00F55624" w:rsidR="007606C5" w:rsidRDefault="00000000">
    <w:pPr>
      <w:pStyle w:val="Header"/>
    </w:pPr>
    <w:r>
      <w:rPr>
        <w:noProof/>
      </w:rPr>
      <w:pict w14:anchorId="5CF6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4" o:spid="_x0000_s1043" type="#_x0000_t136" style="position:absolute;margin-left:0;margin-top:0;width:575.35pt;height:63.9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B65B" w14:textId="25B8B1A5" w:rsidR="00F1370D" w:rsidRDefault="00000000">
    <w:pPr>
      <w:pStyle w:val="BodyText"/>
      <w:spacing w:line="14" w:lineRule="auto"/>
      <w:rPr>
        <w:sz w:val="20"/>
      </w:rPr>
    </w:pPr>
    <w:r>
      <w:rPr>
        <w:noProof/>
      </w:rPr>
      <w:pict w14:anchorId="2BF65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5" o:spid="_x0000_s1044" type="#_x0000_t136" style="position:absolute;margin-left:0;margin-top:0;width:575.35pt;height:63.9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1066" w14:textId="2E874920" w:rsidR="007606C5" w:rsidRDefault="00000000">
    <w:pPr>
      <w:pStyle w:val="Header"/>
    </w:pPr>
    <w:r>
      <w:rPr>
        <w:noProof/>
      </w:rPr>
      <w:pict w14:anchorId="35BC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3" o:spid="_x0000_s1042" type="#_x0000_t136" style="position:absolute;margin-left:0;margin-top:0;width:575.35pt;height:63.9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15B7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30B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A57D6"/>
    <w:multiLevelType w:val="hybridMultilevel"/>
    <w:tmpl w:val="D99A8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0062B1"/>
    <w:multiLevelType w:val="multilevel"/>
    <w:tmpl w:val="B2B8E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398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2E0D94"/>
    <w:multiLevelType w:val="hybridMultilevel"/>
    <w:tmpl w:val="297006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1C3DF4"/>
    <w:multiLevelType w:val="hybridMultilevel"/>
    <w:tmpl w:val="DD50ED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FE249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025EF2"/>
    <w:multiLevelType w:val="hybridMultilevel"/>
    <w:tmpl w:val="912E31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3C5D19"/>
    <w:multiLevelType w:val="hybridMultilevel"/>
    <w:tmpl w:val="46244A5E"/>
    <w:lvl w:ilvl="0" w:tplc="8BCA496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1ED107B"/>
    <w:multiLevelType w:val="hybridMultilevel"/>
    <w:tmpl w:val="4B5A1B96"/>
    <w:lvl w:ilvl="0" w:tplc="393CFB68">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1" w15:restartNumberingAfterBreak="0">
    <w:nsid w:val="3BD5242A"/>
    <w:multiLevelType w:val="hybridMultilevel"/>
    <w:tmpl w:val="1B3E711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E8E1199"/>
    <w:multiLevelType w:val="hybridMultilevel"/>
    <w:tmpl w:val="84B6B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1618C"/>
    <w:multiLevelType w:val="hybridMultilevel"/>
    <w:tmpl w:val="362227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0F4762"/>
    <w:multiLevelType w:val="hybridMultilevel"/>
    <w:tmpl w:val="C7CC5980"/>
    <w:lvl w:ilvl="0" w:tplc="F1F258C0">
      <w:start w:val="4"/>
      <w:numFmt w:val="decimal"/>
      <w:lvlText w:val="%1"/>
      <w:lvlJc w:val="left"/>
      <w:pPr>
        <w:ind w:left="1062" w:hanging="423"/>
      </w:pPr>
      <w:rPr>
        <w:rFonts w:hint="default"/>
        <w:lang w:val="en-US" w:eastAsia="en-US" w:bidi="ar-SA"/>
      </w:rPr>
    </w:lvl>
    <w:lvl w:ilvl="1" w:tplc="422C00B8">
      <w:numFmt w:val="none"/>
      <w:lvlText w:val=""/>
      <w:lvlJc w:val="left"/>
      <w:pPr>
        <w:tabs>
          <w:tab w:val="num" w:pos="360"/>
        </w:tabs>
      </w:pPr>
    </w:lvl>
    <w:lvl w:ilvl="2" w:tplc="14928512">
      <w:numFmt w:val="none"/>
      <w:lvlText w:val=""/>
      <w:lvlJc w:val="left"/>
      <w:pPr>
        <w:tabs>
          <w:tab w:val="num" w:pos="360"/>
        </w:tabs>
      </w:pPr>
    </w:lvl>
    <w:lvl w:ilvl="3" w:tplc="62AE0624">
      <w:numFmt w:val="bullet"/>
      <w:lvlText w:val="•"/>
      <w:lvlJc w:val="left"/>
      <w:pPr>
        <w:ind w:left="3270" w:hanging="701"/>
      </w:pPr>
      <w:rPr>
        <w:rFonts w:hint="default"/>
        <w:lang w:val="en-US" w:eastAsia="en-US" w:bidi="ar-SA"/>
      </w:rPr>
    </w:lvl>
    <w:lvl w:ilvl="4" w:tplc="CE46F3DC">
      <w:numFmt w:val="bullet"/>
      <w:lvlText w:val="•"/>
      <w:lvlJc w:val="left"/>
      <w:pPr>
        <w:ind w:left="4236" w:hanging="701"/>
      </w:pPr>
      <w:rPr>
        <w:rFonts w:hint="default"/>
        <w:lang w:val="en-US" w:eastAsia="en-US" w:bidi="ar-SA"/>
      </w:rPr>
    </w:lvl>
    <w:lvl w:ilvl="5" w:tplc="DE448C74">
      <w:numFmt w:val="bullet"/>
      <w:lvlText w:val="•"/>
      <w:lvlJc w:val="left"/>
      <w:pPr>
        <w:ind w:left="5201" w:hanging="701"/>
      </w:pPr>
      <w:rPr>
        <w:rFonts w:hint="default"/>
        <w:lang w:val="en-US" w:eastAsia="en-US" w:bidi="ar-SA"/>
      </w:rPr>
    </w:lvl>
    <w:lvl w:ilvl="6" w:tplc="AC80451A">
      <w:numFmt w:val="bullet"/>
      <w:lvlText w:val="•"/>
      <w:lvlJc w:val="left"/>
      <w:pPr>
        <w:ind w:left="6167" w:hanging="701"/>
      </w:pPr>
      <w:rPr>
        <w:rFonts w:hint="default"/>
        <w:lang w:val="en-US" w:eastAsia="en-US" w:bidi="ar-SA"/>
      </w:rPr>
    </w:lvl>
    <w:lvl w:ilvl="7" w:tplc="762CEF6C">
      <w:numFmt w:val="bullet"/>
      <w:lvlText w:val="•"/>
      <w:lvlJc w:val="left"/>
      <w:pPr>
        <w:ind w:left="7132" w:hanging="701"/>
      </w:pPr>
      <w:rPr>
        <w:rFonts w:hint="default"/>
        <w:lang w:val="en-US" w:eastAsia="en-US" w:bidi="ar-SA"/>
      </w:rPr>
    </w:lvl>
    <w:lvl w:ilvl="8" w:tplc="B0A2DA80">
      <w:numFmt w:val="bullet"/>
      <w:lvlText w:val="•"/>
      <w:lvlJc w:val="left"/>
      <w:pPr>
        <w:ind w:left="8097" w:hanging="701"/>
      </w:pPr>
      <w:rPr>
        <w:rFonts w:hint="default"/>
        <w:lang w:val="en-US" w:eastAsia="en-US" w:bidi="ar-SA"/>
      </w:rPr>
    </w:lvl>
  </w:abstractNum>
  <w:abstractNum w:abstractNumId="15" w15:restartNumberingAfterBreak="0">
    <w:nsid w:val="7E3A41A6"/>
    <w:multiLevelType w:val="hybridMultilevel"/>
    <w:tmpl w:val="C5EEF2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25130184">
    <w:abstractNumId w:val="9"/>
  </w:num>
  <w:num w:numId="2" w16cid:durableId="1051609484">
    <w:abstractNumId w:val="15"/>
  </w:num>
  <w:num w:numId="3" w16cid:durableId="1609459031">
    <w:abstractNumId w:val="13"/>
  </w:num>
  <w:num w:numId="4" w16cid:durableId="635917654">
    <w:abstractNumId w:val="5"/>
  </w:num>
  <w:num w:numId="5" w16cid:durableId="869145585">
    <w:abstractNumId w:val="2"/>
  </w:num>
  <w:num w:numId="6" w16cid:durableId="1241793917">
    <w:abstractNumId w:val="12"/>
  </w:num>
  <w:num w:numId="7" w16cid:durableId="908539888">
    <w:abstractNumId w:val="11"/>
  </w:num>
  <w:num w:numId="8" w16cid:durableId="1409036481">
    <w:abstractNumId w:val="6"/>
  </w:num>
  <w:num w:numId="9" w16cid:durableId="139006268">
    <w:abstractNumId w:val="8"/>
  </w:num>
  <w:num w:numId="10" w16cid:durableId="1527518480">
    <w:abstractNumId w:val="14"/>
  </w:num>
  <w:num w:numId="11" w16cid:durableId="842085961">
    <w:abstractNumId w:val="3"/>
  </w:num>
  <w:num w:numId="12" w16cid:durableId="1464076556">
    <w:abstractNumId w:val="10"/>
  </w:num>
  <w:num w:numId="13" w16cid:durableId="2029133137">
    <w:abstractNumId w:val="4"/>
  </w:num>
  <w:num w:numId="14" w16cid:durableId="358506354">
    <w:abstractNumId w:val="1"/>
  </w:num>
  <w:num w:numId="15" w16cid:durableId="843516173">
    <w:abstractNumId w:val="7"/>
  </w:num>
  <w:num w:numId="16" w16cid:durableId="161710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425F"/>
    <w:rsid w:val="000028FD"/>
    <w:rsid w:val="00005D9F"/>
    <w:rsid w:val="00010011"/>
    <w:rsid w:val="0001081E"/>
    <w:rsid w:val="000129E9"/>
    <w:rsid w:val="000132B0"/>
    <w:rsid w:val="00017FA7"/>
    <w:rsid w:val="00020CF4"/>
    <w:rsid w:val="000213B1"/>
    <w:rsid w:val="00023E45"/>
    <w:rsid w:val="00025813"/>
    <w:rsid w:val="00025A7E"/>
    <w:rsid w:val="00030AEA"/>
    <w:rsid w:val="00032619"/>
    <w:rsid w:val="00036D33"/>
    <w:rsid w:val="000455D6"/>
    <w:rsid w:val="00045805"/>
    <w:rsid w:val="00046488"/>
    <w:rsid w:val="0005309B"/>
    <w:rsid w:val="000531C6"/>
    <w:rsid w:val="00054820"/>
    <w:rsid w:val="00054B93"/>
    <w:rsid w:val="00054FBB"/>
    <w:rsid w:val="00057881"/>
    <w:rsid w:val="00057EFC"/>
    <w:rsid w:val="0006326C"/>
    <w:rsid w:val="000666B0"/>
    <w:rsid w:val="0006703B"/>
    <w:rsid w:val="00070701"/>
    <w:rsid w:val="00073340"/>
    <w:rsid w:val="00074375"/>
    <w:rsid w:val="00077E93"/>
    <w:rsid w:val="00080262"/>
    <w:rsid w:val="00080933"/>
    <w:rsid w:val="000815C9"/>
    <w:rsid w:val="00085183"/>
    <w:rsid w:val="000857F4"/>
    <w:rsid w:val="00093112"/>
    <w:rsid w:val="000A37B1"/>
    <w:rsid w:val="000A4040"/>
    <w:rsid w:val="000A6AD3"/>
    <w:rsid w:val="000A6AEC"/>
    <w:rsid w:val="000B2C84"/>
    <w:rsid w:val="000B4FE1"/>
    <w:rsid w:val="000C201F"/>
    <w:rsid w:val="000C3992"/>
    <w:rsid w:val="000C6620"/>
    <w:rsid w:val="000C6B5D"/>
    <w:rsid w:val="000C7115"/>
    <w:rsid w:val="000D0565"/>
    <w:rsid w:val="000D0758"/>
    <w:rsid w:val="000D0899"/>
    <w:rsid w:val="000D1EEF"/>
    <w:rsid w:val="000D3BF5"/>
    <w:rsid w:val="000D4528"/>
    <w:rsid w:val="000E2B01"/>
    <w:rsid w:val="000E2F1D"/>
    <w:rsid w:val="000E3567"/>
    <w:rsid w:val="000E4319"/>
    <w:rsid w:val="000E4B3B"/>
    <w:rsid w:val="000E5146"/>
    <w:rsid w:val="000E5CEF"/>
    <w:rsid w:val="000E622B"/>
    <w:rsid w:val="000E627E"/>
    <w:rsid w:val="000F00DE"/>
    <w:rsid w:val="000F1EC5"/>
    <w:rsid w:val="000F2946"/>
    <w:rsid w:val="000F3B1F"/>
    <w:rsid w:val="000F4D5B"/>
    <w:rsid w:val="000F574B"/>
    <w:rsid w:val="00110734"/>
    <w:rsid w:val="00113BEB"/>
    <w:rsid w:val="00116F24"/>
    <w:rsid w:val="0012042F"/>
    <w:rsid w:val="00122FF4"/>
    <w:rsid w:val="001238F5"/>
    <w:rsid w:val="00124A61"/>
    <w:rsid w:val="00127F9B"/>
    <w:rsid w:val="001329E2"/>
    <w:rsid w:val="0013426D"/>
    <w:rsid w:val="001350F4"/>
    <w:rsid w:val="001370AB"/>
    <w:rsid w:val="001418E3"/>
    <w:rsid w:val="00141C85"/>
    <w:rsid w:val="0014297D"/>
    <w:rsid w:val="001472A5"/>
    <w:rsid w:val="001561D3"/>
    <w:rsid w:val="001577FC"/>
    <w:rsid w:val="00164BB3"/>
    <w:rsid w:val="00164E61"/>
    <w:rsid w:val="001665EC"/>
    <w:rsid w:val="00166CBB"/>
    <w:rsid w:val="00166FB3"/>
    <w:rsid w:val="001703DC"/>
    <w:rsid w:val="00170FAA"/>
    <w:rsid w:val="0017105C"/>
    <w:rsid w:val="00172D03"/>
    <w:rsid w:val="001734DB"/>
    <w:rsid w:val="0017513B"/>
    <w:rsid w:val="00175BB7"/>
    <w:rsid w:val="00177254"/>
    <w:rsid w:val="0017797B"/>
    <w:rsid w:val="00177A73"/>
    <w:rsid w:val="00183A7D"/>
    <w:rsid w:val="0018780A"/>
    <w:rsid w:val="00187BFD"/>
    <w:rsid w:val="00191F3D"/>
    <w:rsid w:val="00194164"/>
    <w:rsid w:val="00196A9D"/>
    <w:rsid w:val="00197A32"/>
    <w:rsid w:val="001A1666"/>
    <w:rsid w:val="001A6751"/>
    <w:rsid w:val="001A71D6"/>
    <w:rsid w:val="001B1163"/>
    <w:rsid w:val="001B2C09"/>
    <w:rsid w:val="001B4040"/>
    <w:rsid w:val="001C04B1"/>
    <w:rsid w:val="001C15FF"/>
    <w:rsid w:val="001C3375"/>
    <w:rsid w:val="001C50A3"/>
    <w:rsid w:val="001C6B2E"/>
    <w:rsid w:val="001D2894"/>
    <w:rsid w:val="001D51CB"/>
    <w:rsid w:val="001D5F4A"/>
    <w:rsid w:val="001D6BD1"/>
    <w:rsid w:val="001E0744"/>
    <w:rsid w:val="001E7373"/>
    <w:rsid w:val="001F3736"/>
    <w:rsid w:val="001F7FBD"/>
    <w:rsid w:val="00201AC7"/>
    <w:rsid w:val="002031D8"/>
    <w:rsid w:val="00203E65"/>
    <w:rsid w:val="00210E6C"/>
    <w:rsid w:val="00213C77"/>
    <w:rsid w:val="00214B98"/>
    <w:rsid w:val="002208DA"/>
    <w:rsid w:val="00222794"/>
    <w:rsid w:val="002230DA"/>
    <w:rsid w:val="00231D71"/>
    <w:rsid w:val="00232F90"/>
    <w:rsid w:val="002508CD"/>
    <w:rsid w:val="00251425"/>
    <w:rsid w:val="00252244"/>
    <w:rsid w:val="00253728"/>
    <w:rsid w:val="00255C2E"/>
    <w:rsid w:val="002569DC"/>
    <w:rsid w:val="00257718"/>
    <w:rsid w:val="00263002"/>
    <w:rsid w:val="00263D97"/>
    <w:rsid w:val="002677D7"/>
    <w:rsid w:val="00267A17"/>
    <w:rsid w:val="00270361"/>
    <w:rsid w:val="0027050E"/>
    <w:rsid w:val="002711B2"/>
    <w:rsid w:val="0027265D"/>
    <w:rsid w:val="00273A5C"/>
    <w:rsid w:val="002763CF"/>
    <w:rsid w:val="002767B4"/>
    <w:rsid w:val="002832F1"/>
    <w:rsid w:val="00284CF5"/>
    <w:rsid w:val="0028638F"/>
    <w:rsid w:val="00287279"/>
    <w:rsid w:val="00287365"/>
    <w:rsid w:val="002972FF"/>
    <w:rsid w:val="002A52A1"/>
    <w:rsid w:val="002A60F3"/>
    <w:rsid w:val="002A7A11"/>
    <w:rsid w:val="002B46AE"/>
    <w:rsid w:val="002B58DB"/>
    <w:rsid w:val="002C3856"/>
    <w:rsid w:val="002C470D"/>
    <w:rsid w:val="002C7DB7"/>
    <w:rsid w:val="002D0CB8"/>
    <w:rsid w:val="002D219B"/>
    <w:rsid w:val="002D30B5"/>
    <w:rsid w:val="002D6480"/>
    <w:rsid w:val="002E2C73"/>
    <w:rsid w:val="002E2F38"/>
    <w:rsid w:val="002F1D12"/>
    <w:rsid w:val="002F2402"/>
    <w:rsid w:val="002F36F0"/>
    <w:rsid w:val="002F7459"/>
    <w:rsid w:val="00302322"/>
    <w:rsid w:val="003024D0"/>
    <w:rsid w:val="00302D21"/>
    <w:rsid w:val="00303E16"/>
    <w:rsid w:val="00305ADA"/>
    <w:rsid w:val="00305FFE"/>
    <w:rsid w:val="00306684"/>
    <w:rsid w:val="00306826"/>
    <w:rsid w:val="00311788"/>
    <w:rsid w:val="00314C5F"/>
    <w:rsid w:val="00315E42"/>
    <w:rsid w:val="00320F9B"/>
    <w:rsid w:val="00321885"/>
    <w:rsid w:val="00322725"/>
    <w:rsid w:val="003240CE"/>
    <w:rsid w:val="00324625"/>
    <w:rsid w:val="00330778"/>
    <w:rsid w:val="00333A97"/>
    <w:rsid w:val="003347D1"/>
    <w:rsid w:val="00334C26"/>
    <w:rsid w:val="003408FC"/>
    <w:rsid w:val="003506A7"/>
    <w:rsid w:val="00350849"/>
    <w:rsid w:val="00352FF2"/>
    <w:rsid w:val="00353BBF"/>
    <w:rsid w:val="00355135"/>
    <w:rsid w:val="00355E95"/>
    <w:rsid w:val="0035607A"/>
    <w:rsid w:val="00356B30"/>
    <w:rsid w:val="00356D2A"/>
    <w:rsid w:val="003610D0"/>
    <w:rsid w:val="00362444"/>
    <w:rsid w:val="003639CE"/>
    <w:rsid w:val="00367071"/>
    <w:rsid w:val="003715E8"/>
    <w:rsid w:val="00373B6D"/>
    <w:rsid w:val="00375F1E"/>
    <w:rsid w:val="00377C63"/>
    <w:rsid w:val="003809A7"/>
    <w:rsid w:val="00381407"/>
    <w:rsid w:val="0038171A"/>
    <w:rsid w:val="003817BE"/>
    <w:rsid w:val="0038301B"/>
    <w:rsid w:val="00383CD3"/>
    <w:rsid w:val="00385164"/>
    <w:rsid w:val="00386AB6"/>
    <w:rsid w:val="00386EA9"/>
    <w:rsid w:val="00393729"/>
    <w:rsid w:val="003A3EAE"/>
    <w:rsid w:val="003B13EB"/>
    <w:rsid w:val="003B39E3"/>
    <w:rsid w:val="003B43A6"/>
    <w:rsid w:val="003B688B"/>
    <w:rsid w:val="003C007D"/>
    <w:rsid w:val="003C105C"/>
    <w:rsid w:val="003C4C24"/>
    <w:rsid w:val="003C5321"/>
    <w:rsid w:val="003C56B5"/>
    <w:rsid w:val="003C607A"/>
    <w:rsid w:val="003C75D8"/>
    <w:rsid w:val="003D41AC"/>
    <w:rsid w:val="003D463C"/>
    <w:rsid w:val="003D7584"/>
    <w:rsid w:val="003D7868"/>
    <w:rsid w:val="003D7BB1"/>
    <w:rsid w:val="003D7DDD"/>
    <w:rsid w:val="003E2AA8"/>
    <w:rsid w:val="003E3E52"/>
    <w:rsid w:val="003E68C1"/>
    <w:rsid w:val="003E7603"/>
    <w:rsid w:val="003F0D44"/>
    <w:rsid w:val="003F4163"/>
    <w:rsid w:val="003F6510"/>
    <w:rsid w:val="003F6E8B"/>
    <w:rsid w:val="003F6F95"/>
    <w:rsid w:val="003F7B94"/>
    <w:rsid w:val="00411109"/>
    <w:rsid w:val="004122B8"/>
    <w:rsid w:val="00412552"/>
    <w:rsid w:val="00413ABA"/>
    <w:rsid w:val="00415849"/>
    <w:rsid w:val="00416C6A"/>
    <w:rsid w:val="00420B3D"/>
    <w:rsid w:val="004224A4"/>
    <w:rsid w:val="00424795"/>
    <w:rsid w:val="004301DA"/>
    <w:rsid w:val="00433E71"/>
    <w:rsid w:val="00434ED8"/>
    <w:rsid w:val="00442249"/>
    <w:rsid w:val="004455EB"/>
    <w:rsid w:val="0044637B"/>
    <w:rsid w:val="00446E1C"/>
    <w:rsid w:val="00450B97"/>
    <w:rsid w:val="00452901"/>
    <w:rsid w:val="00455137"/>
    <w:rsid w:val="0045795C"/>
    <w:rsid w:val="00460B15"/>
    <w:rsid w:val="00460B81"/>
    <w:rsid w:val="00463EBA"/>
    <w:rsid w:val="004654F8"/>
    <w:rsid w:val="00465A17"/>
    <w:rsid w:val="00465DFC"/>
    <w:rsid w:val="004677FC"/>
    <w:rsid w:val="00473593"/>
    <w:rsid w:val="00474029"/>
    <w:rsid w:val="004743FE"/>
    <w:rsid w:val="00474621"/>
    <w:rsid w:val="004749F2"/>
    <w:rsid w:val="00475E01"/>
    <w:rsid w:val="00476CB7"/>
    <w:rsid w:val="004771EC"/>
    <w:rsid w:val="004777A7"/>
    <w:rsid w:val="00483DB7"/>
    <w:rsid w:val="00485562"/>
    <w:rsid w:val="00486D07"/>
    <w:rsid w:val="00487670"/>
    <w:rsid w:val="00492778"/>
    <w:rsid w:val="00492A92"/>
    <w:rsid w:val="00492C65"/>
    <w:rsid w:val="004942D8"/>
    <w:rsid w:val="00496FAE"/>
    <w:rsid w:val="004A14F3"/>
    <w:rsid w:val="004A2CA6"/>
    <w:rsid w:val="004A6355"/>
    <w:rsid w:val="004B0521"/>
    <w:rsid w:val="004B2FFD"/>
    <w:rsid w:val="004B6389"/>
    <w:rsid w:val="004B7216"/>
    <w:rsid w:val="004C2486"/>
    <w:rsid w:val="004C440E"/>
    <w:rsid w:val="004C4A61"/>
    <w:rsid w:val="004D26BE"/>
    <w:rsid w:val="004E0AB6"/>
    <w:rsid w:val="004E170E"/>
    <w:rsid w:val="004E3AAD"/>
    <w:rsid w:val="004E4197"/>
    <w:rsid w:val="004E4E97"/>
    <w:rsid w:val="004E585F"/>
    <w:rsid w:val="004E77C2"/>
    <w:rsid w:val="004F0CC2"/>
    <w:rsid w:val="004F2CFA"/>
    <w:rsid w:val="004F63C3"/>
    <w:rsid w:val="00500512"/>
    <w:rsid w:val="00501B80"/>
    <w:rsid w:val="00504D32"/>
    <w:rsid w:val="00506DB1"/>
    <w:rsid w:val="00506FA0"/>
    <w:rsid w:val="005072F3"/>
    <w:rsid w:val="00507AFA"/>
    <w:rsid w:val="00522E7E"/>
    <w:rsid w:val="0052316E"/>
    <w:rsid w:val="0052590C"/>
    <w:rsid w:val="00526D1E"/>
    <w:rsid w:val="005270AA"/>
    <w:rsid w:val="005323A4"/>
    <w:rsid w:val="00533930"/>
    <w:rsid w:val="00536DA9"/>
    <w:rsid w:val="005378A2"/>
    <w:rsid w:val="005416F6"/>
    <w:rsid w:val="00542F16"/>
    <w:rsid w:val="00546E53"/>
    <w:rsid w:val="00547608"/>
    <w:rsid w:val="00552831"/>
    <w:rsid w:val="0056053A"/>
    <w:rsid w:val="00561987"/>
    <w:rsid w:val="00563B74"/>
    <w:rsid w:val="0056521E"/>
    <w:rsid w:val="00570F08"/>
    <w:rsid w:val="005711E2"/>
    <w:rsid w:val="005720B8"/>
    <w:rsid w:val="00576165"/>
    <w:rsid w:val="00580148"/>
    <w:rsid w:val="00581220"/>
    <w:rsid w:val="0058472A"/>
    <w:rsid w:val="00584778"/>
    <w:rsid w:val="0058765B"/>
    <w:rsid w:val="005878B9"/>
    <w:rsid w:val="0059131C"/>
    <w:rsid w:val="00591F59"/>
    <w:rsid w:val="0059205D"/>
    <w:rsid w:val="00595539"/>
    <w:rsid w:val="00595DB3"/>
    <w:rsid w:val="005A0982"/>
    <w:rsid w:val="005A13C5"/>
    <w:rsid w:val="005A3FDE"/>
    <w:rsid w:val="005A59B3"/>
    <w:rsid w:val="005A77EA"/>
    <w:rsid w:val="005B1D56"/>
    <w:rsid w:val="005B2D5D"/>
    <w:rsid w:val="005B5C32"/>
    <w:rsid w:val="005B69FC"/>
    <w:rsid w:val="005C0E25"/>
    <w:rsid w:val="005C403F"/>
    <w:rsid w:val="005C488A"/>
    <w:rsid w:val="005C5655"/>
    <w:rsid w:val="005C565D"/>
    <w:rsid w:val="005C5A6E"/>
    <w:rsid w:val="005C70E4"/>
    <w:rsid w:val="005D18E3"/>
    <w:rsid w:val="005D2975"/>
    <w:rsid w:val="005D3F47"/>
    <w:rsid w:val="005D4353"/>
    <w:rsid w:val="005D5E9B"/>
    <w:rsid w:val="005E081B"/>
    <w:rsid w:val="005E0AD9"/>
    <w:rsid w:val="005E143C"/>
    <w:rsid w:val="005E1594"/>
    <w:rsid w:val="005E4A68"/>
    <w:rsid w:val="005E5339"/>
    <w:rsid w:val="005E5CBE"/>
    <w:rsid w:val="005F26CD"/>
    <w:rsid w:val="005F6774"/>
    <w:rsid w:val="00600CEB"/>
    <w:rsid w:val="00605AB1"/>
    <w:rsid w:val="00610594"/>
    <w:rsid w:val="00611E94"/>
    <w:rsid w:val="00613AE9"/>
    <w:rsid w:val="00613D06"/>
    <w:rsid w:val="006166BC"/>
    <w:rsid w:val="00620150"/>
    <w:rsid w:val="0062094A"/>
    <w:rsid w:val="006223A6"/>
    <w:rsid w:val="00623600"/>
    <w:rsid w:val="00623DAB"/>
    <w:rsid w:val="00623ED7"/>
    <w:rsid w:val="006251F0"/>
    <w:rsid w:val="00630053"/>
    <w:rsid w:val="006333B1"/>
    <w:rsid w:val="00635A54"/>
    <w:rsid w:val="00636B22"/>
    <w:rsid w:val="00643C12"/>
    <w:rsid w:val="00644C48"/>
    <w:rsid w:val="00646211"/>
    <w:rsid w:val="00646642"/>
    <w:rsid w:val="006517F2"/>
    <w:rsid w:val="006579CB"/>
    <w:rsid w:val="00657AED"/>
    <w:rsid w:val="0066516B"/>
    <w:rsid w:val="006653EE"/>
    <w:rsid w:val="00666C53"/>
    <w:rsid w:val="00667EB6"/>
    <w:rsid w:val="0067025D"/>
    <w:rsid w:val="00672372"/>
    <w:rsid w:val="00672F3A"/>
    <w:rsid w:val="00674A7D"/>
    <w:rsid w:val="0068057D"/>
    <w:rsid w:val="0068176B"/>
    <w:rsid w:val="00682215"/>
    <w:rsid w:val="006878BB"/>
    <w:rsid w:val="006917FC"/>
    <w:rsid w:val="00692C20"/>
    <w:rsid w:val="0069425F"/>
    <w:rsid w:val="00696670"/>
    <w:rsid w:val="00697A75"/>
    <w:rsid w:val="00697DBE"/>
    <w:rsid w:val="006A0B69"/>
    <w:rsid w:val="006A2AEA"/>
    <w:rsid w:val="006A4A2F"/>
    <w:rsid w:val="006A6F55"/>
    <w:rsid w:val="006B220C"/>
    <w:rsid w:val="006B3FA3"/>
    <w:rsid w:val="006C11FD"/>
    <w:rsid w:val="006C20DF"/>
    <w:rsid w:val="006C74D6"/>
    <w:rsid w:val="006D0BE1"/>
    <w:rsid w:val="006D1990"/>
    <w:rsid w:val="006D4CB5"/>
    <w:rsid w:val="006D58AD"/>
    <w:rsid w:val="006D76BA"/>
    <w:rsid w:val="006E246E"/>
    <w:rsid w:val="006E26F7"/>
    <w:rsid w:val="006E34E4"/>
    <w:rsid w:val="006E692D"/>
    <w:rsid w:val="006F0C91"/>
    <w:rsid w:val="006F1EB8"/>
    <w:rsid w:val="006F4244"/>
    <w:rsid w:val="006F5305"/>
    <w:rsid w:val="006F58FD"/>
    <w:rsid w:val="0070059F"/>
    <w:rsid w:val="0070067E"/>
    <w:rsid w:val="007032F1"/>
    <w:rsid w:val="00705CFF"/>
    <w:rsid w:val="00707C21"/>
    <w:rsid w:val="007101C2"/>
    <w:rsid w:val="0071235D"/>
    <w:rsid w:val="007137B5"/>
    <w:rsid w:val="00725FCD"/>
    <w:rsid w:val="00726714"/>
    <w:rsid w:val="00737CDA"/>
    <w:rsid w:val="00740DBF"/>
    <w:rsid w:val="00742C51"/>
    <w:rsid w:val="00744058"/>
    <w:rsid w:val="007476B8"/>
    <w:rsid w:val="007516E1"/>
    <w:rsid w:val="00752D2E"/>
    <w:rsid w:val="00756881"/>
    <w:rsid w:val="007606C5"/>
    <w:rsid w:val="007606D6"/>
    <w:rsid w:val="007610EC"/>
    <w:rsid w:val="007612F6"/>
    <w:rsid w:val="00762E75"/>
    <w:rsid w:val="00764EE6"/>
    <w:rsid w:val="00773A5C"/>
    <w:rsid w:val="00774BC2"/>
    <w:rsid w:val="00780F32"/>
    <w:rsid w:val="00782121"/>
    <w:rsid w:val="00785C4B"/>
    <w:rsid w:val="00785C5D"/>
    <w:rsid w:val="00785EFF"/>
    <w:rsid w:val="007868ED"/>
    <w:rsid w:val="00790A89"/>
    <w:rsid w:val="00793FE0"/>
    <w:rsid w:val="00796A10"/>
    <w:rsid w:val="007A771B"/>
    <w:rsid w:val="007B0D10"/>
    <w:rsid w:val="007B4782"/>
    <w:rsid w:val="007D0E96"/>
    <w:rsid w:val="007D2677"/>
    <w:rsid w:val="007D324F"/>
    <w:rsid w:val="007D4599"/>
    <w:rsid w:val="007D486B"/>
    <w:rsid w:val="007D6264"/>
    <w:rsid w:val="007D6413"/>
    <w:rsid w:val="007D6CBC"/>
    <w:rsid w:val="007D75F0"/>
    <w:rsid w:val="007D76AA"/>
    <w:rsid w:val="007E06EB"/>
    <w:rsid w:val="007E54BC"/>
    <w:rsid w:val="007E7101"/>
    <w:rsid w:val="007F28C5"/>
    <w:rsid w:val="007F359A"/>
    <w:rsid w:val="007F3D8B"/>
    <w:rsid w:val="007F43AB"/>
    <w:rsid w:val="00800C0D"/>
    <w:rsid w:val="00803531"/>
    <w:rsid w:val="0080664B"/>
    <w:rsid w:val="00806FCA"/>
    <w:rsid w:val="00810A3A"/>
    <w:rsid w:val="0081151E"/>
    <w:rsid w:val="00812F8D"/>
    <w:rsid w:val="00813A1A"/>
    <w:rsid w:val="00814673"/>
    <w:rsid w:val="0081537A"/>
    <w:rsid w:val="00821AB9"/>
    <w:rsid w:val="00822676"/>
    <w:rsid w:val="00822A17"/>
    <w:rsid w:val="00824AD2"/>
    <w:rsid w:val="00825B0A"/>
    <w:rsid w:val="00842B20"/>
    <w:rsid w:val="008430C4"/>
    <w:rsid w:val="0084650F"/>
    <w:rsid w:val="008558C6"/>
    <w:rsid w:val="00856B6B"/>
    <w:rsid w:val="00857483"/>
    <w:rsid w:val="00857BA4"/>
    <w:rsid w:val="008642C2"/>
    <w:rsid w:val="008658DA"/>
    <w:rsid w:val="008664EC"/>
    <w:rsid w:val="00866AB3"/>
    <w:rsid w:val="008718A5"/>
    <w:rsid w:val="0087205F"/>
    <w:rsid w:val="00876011"/>
    <w:rsid w:val="008804DA"/>
    <w:rsid w:val="0088235C"/>
    <w:rsid w:val="00883F9F"/>
    <w:rsid w:val="00883FD8"/>
    <w:rsid w:val="0088493F"/>
    <w:rsid w:val="00886E5B"/>
    <w:rsid w:val="00891C2C"/>
    <w:rsid w:val="00892990"/>
    <w:rsid w:val="008963BF"/>
    <w:rsid w:val="008967C6"/>
    <w:rsid w:val="008A16CC"/>
    <w:rsid w:val="008A2FAF"/>
    <w:rsid w:val="008A3068"/>
    <w:rsid w:val="008A67DB"/>
    <w:rsid w:val="008A68E8"/>
    <w:rsid w:val="008A7B4D"/>
    <w:rsid w:val="008B14DB"/>
    <w:rsid w:val="008B2148"/>
    <w:rsid w:val="008B46C4"/>
    <w:rsid w:val="008B764B"/>
    <w:rsid w:val="008C1711"/>
    <w:rsid w:val="008C1AD1"/>
    <w:rsid w:val="008C1F23"/>
    <w:rsid w:val="008E021D"/>
    <w:rsid w:val="008E56A3"/>
    <w:rsid w:val="008E5706"/>
    <w:rsid w:val="008F05AF"/>
    <w:rsid w:val="008F0DB6"/>
    <w:rsid w:val="008F34C3"/>
    <w:rsid w:val="008F58FC"/>
    <w:rsid w:val="00903BDE"/>
    <w:rsid w:val="00904BC4"/>
    <w:rsid w:val="0091040D"/>
    <w:rsid w:val="00910C24"/>
    <w:rsid w:val="009119FA"/>
    <w:rsid w:val="009138F1"/>
    <w:rsid w:val="009144FE"/>
    <w:rsid w:val="00921A40"/>
    <w:rsid w:val="00923CFD"/>
    <w:rsid w:val="0092572A"/>
    <w:rsid w:val="00925AE8"/>
    <w:rsid w:val="00925C00"/>
    <w:rsid w:val="009261DF"/>
    <w:rsid w:val="00935466"/>
    <w:rsid w:val="00937088"/>
    <w:rsid w:val="00937399"/>
    <w:rsid w:val="00942E7A"/>
    <w:rsid w:val="00943FC8"/>
    <w:rsid w:val="0094453E"/>
    <w:rsid w:val="009455A6"/>
    <w:rsid w:val="009526EB"/>
    <w:rsid w:val="0095592A"/>
    <w:rsid w:val="009565AF"/>
    <w:rsid w:val="00956CFC"/>
    <w:rsid w:val="00960628"/>
    <w:rsid w:val="00963B0A"/>
    <w:rsid w:val="009669AA"/>
    <w:rsid w:val="00966E49"/>
    <w:rsid w:val="00970130"/>
    <w:rsid w:val="00970C63"/>
    <w:rsid w:val="00971620"/>
    <w:rsid w:val="009721E2"/>
    <w:rsid w:val="00972896"/>
    <w:rsid w:val="009772F6"/>
    <w:rsid w:val="0098258B"/>
    <w:rsid w:val="009829DD"/>
    <w:rsid w:val="009841BA"/>
    <w:rsid w:val="00986E3A"/>
    <w:rsid w:val="00987C36"/>
    <w:rsid w:val="00987EA8"/>
    <w:rsid w:val="0099135D"/>
    <w:rsid w:val="0099466C"/>
    <w:rsid w:val="00997915"/>
    <w:rsid w:val="009A1336"/>
    <w:rsid w:val="009A1542"/>
    <w:rsid w:val="009A20BA"/>
    <w:rsid w:val="009A2974"/>
    <w:rsid w:val="009A5946"/>
    <w:rsid w:val="009B1B23"/>
    <w:rsid w:val="009B63FA"/>
    <w:rsid w:val="009B7E52"/>
    <w:rsid w:val="009C2A4C"/>
    <w:rsid w:val="009C3A03"/>
    <w:rsid w:val="009C41D3"/>
    <w:rsid w:val="009C457E"/>
    <w:rsid w:val="009C519B"/>
    <w:rsid w:val="009C724A"/>
    <w:rsid w:val="009D2321"/>
    <w:rsid w:val="009D2D66"/>
    <w:rsid w:val="009D4C2B"/>
    <w:rsid w:val="009E06B5"/>
    <w:rsid w:val="009E107B"/>
    <w:rsid w:val="009E1339"/>
    <w:rsid w:val="009E1A0F"/>
    <w:rsid w:val="009E3D9B"/>
    <w:rsid w:val="009E59BA"/>
    <w:rsid w:val="009E6123"/>
    <w:rsid w:val="009F18B5"/>
    <w:rsid w:val="00A028D9"/>
    <w:rsid w:val="00A029BC"/>
    <w:rsid w:val="00A02F29"/>
    <w:rsid w:val="00A05183"/>
    <w:rsid w:val="00A05723"/>
    <w:rsid w:val="00A0573E"/>
    <w:rsid w:val="00A1045C"/>
    <w:rsid w:val="00A10EE5"/>
    <w:rsid w:val="00A12EEC"/>
    <w:rsid w:val="00A22709"/>
    <w:rsid w:val="00A23BDA"/>
    <w:rsid w:val="00A25879"/>
    <w:rsid w:val="00A25D65"/>
    <w:rsid w:val="00A27105"/>
    <w:rsid w:val="00A3087B"/>
    <w:rsid w:val="00A32DCF"/>
    <w:rsid w:val="00A33311"/>
    <w:rsid w:val="00A336A5"/>
    <w:rsid w:val="00A34D44"/>
    <w:rsid w:val="00A37311"/>
    <w:rsid w:val="00A42518"/>
    <w:rsid w:val="00A4277B"/>
    <w:rsid w:val="00A43842"/>
    <w:rsid w:val="00A447D5"/>
    <w:rsid w:val="00A44D41"/>
    <w:rsid w:val="00A45AF9"/>
    <w:rsid w:val="00A46388"/>
    <w:rsid w:val="00A50590"/>
    <w:rsid w:val="00A54EA0"/>
    <w:rsid w:val="00A5648A"/>
    <w:rsid w:val="00A56785"/>
    <w:rsid w:val="00A56874"/>
    <w:rsid w:val="00A605E1"/>
    <w:rsid w:val="00A62CE5"/>
    <w:rsid w:val="00A63C2E"/>
    <w:rsid w:val="00A63FB2"/>
    <w:rsid w:val="00A65526"/>
    <w:rsid w:val="00A66486"/>
    <w:rsid w:val="00A66641"/>
    <w:rsid w:val="00A722F6"/>
    <w:rsid w:val="00A73A0B"/>
    <w:rsid w:val="00A75B76"/>
    <w:rsid w:val="00A77A73"/>
    <w:rsid w:val="00A80F13"/>
    <w:rsid w:val="00A81468"/>
    <w:rsid w:val="00A82137"/>
    <w:rsid w:val="00A848C4"/>
    <w:rsid w:val="00A927FE"/>
    <w:rsid w:val="00A941D7"/>
    <w:rsid w:val="00AA2646"/>
    <w:rsid w:val="00AA3620"/>
    <w:rsid w:val="00AA5996"/>
    <w:rsid w:val="00AA59FA"/>
    <w:rsid w:val="00AB1149"/>
    <w:rsid w:val="00AB4A7A"/>
    <w:rsid w:val="00AB51E7"/>
    <w:rsid w:val="00AB55F0"/>
    <w:rsid w:val="00AB5FC1"/>
    <w:rsid w:val="00AB60C9"/>
    <w:rsid w:val="00AB680E"/>
    <w:rsid w:val="00AB762B"/>
    <w:rsid w:val="00AC1BC7"/>
    <w:rsid w:val="00AC2319"/>
    <w:rsid w:val="00AC5EC0"/>
    <w:rsid w:val="00AD1205"/>
    <w:rsid w:val="00AD2622"/>
    <w:rsid w:val="00AD36B5"/>
    <w:rsid w:val="00AD4F4B"/>
    <w:rsid w:val="00AD4F94"/>
    <w:rsid w:val="00AD629B"/>
    <w:rsid w:val="00AD7F7A"/>
    <w:rsid w:val="00AE3413"/>
    <w:rsid w:val="00AE3C8E"/>
    <w:rsid w:val="00AE4728"/>
    <w:rsid w:val="00AE5E25"/>
    <w:rsid w:val="00AE7767"/>
    <w:rsid w:val="00AF1BF5"/>
    <w:rsid w:val="00B00217"/>
    <w:rsid w:val="00B033F1"/>
    <w:rsid w:val="00B108A3"/>
    <w:rsid w:val="00B15D70"/>
    <w:rsid w:val="00B231DA"/>
    <w:rsid w:val="00B23FBA"/>
    <w:rsid w:val="00B24950"/>
    <w:rsid w:val="00B254D2"/>
    <w:rsid w:val="00B36DCA"/>
    <w:rsid w:val="00B40745"/>
    <w:rsid w:val="00B407F4"/>
    <w:rsid w:val="00B43305"/>
    <w:rsid w:val="00B5096C"/>
    <w:rsid w:val="00B51DE7"/>
    <w:rsid w:val="00B5419C"/>
    <w:rsid w:val="00B54649"/>
    <w:rsid w:val="00B54FFD"/>
    <w:rsid w:val="00B55E34"/>
    <w:rsid w:val="00B56D21"/>
    <w:rsid w:val="00B5703A"/>
    <w:rsid w:val="00B62B55"/>
    <w:rsid w:val="00B63314"/>
    <w:rsid w:val="00B65393"/>
    <w:rsid w:val="00B67BBE"/>
    <w:rsid w:val="00B71E0B"/>
    <w:rsid w:val="00B81BE2"/>
    <w:rsid w:val="00B838EE"/>
    <w:rsid w:val="00B83D16"/>
    <w:rsid w:val="00B83ECB"/>
    <w:rsid w:val="00B8577D"/>
    <w:rsid w:val="00B861BA"/>
    <w:rsid w:val="00B91C0D"/>
    <w:rsid w:val="00B9299E"/>
    <w:rsid w:val="00B94EE2"/>
    <w:rsid w:val="00BA001E"/>
    <w:rsid w:val="00BA5598"/>
    <w:rsid w:val="00BA7418"/>
    <w:rsid w:val="00BB272E"/>
    <w:rsid w:val="00BB34DB"/>
    <w:rsid w:val="00BB37B7"/>
    <w:rsid w:val="00BB4CF1"/>
    <w:rsid w:val="00BC214C"/>
    <w:rsid w:val="00BC4AFA"/>
    <w:rsid w:val="00BC515E"/>
    <w:rsid w:val="00BD1941"/>
    <w:rsid w:val="00BD20EF"/>
    <w:rsid w:val="00BD3F12"/>
    <w:rsid w:val="00BD57DA"/>
    <w:rsid w:val="00BD7278"/>
    <w:rsid w:val="00BE010C"/>
    <w:rsid w:val="00BE042B"/>
    <w:rsid w:val="00BE0631"/>
    <w:rsid w:val="00BE0E26"/>
    <w:rsid w:val="00BE51BD"/>
    <w:rsid w:val="00BE67B5"/>
    <w:rsid w:val="00BE6D3B"/>
    <w:rsid w:val="00BF08FA"/>
    <w:rsid w:val="00BF364D"/>
    <w:rsid w:val="00BF4A53"/>
    <w:rsid w:val="00BF4E85"/>
    <w:rsid w:val="00BF5F50"/>
    <w:rsid w:val="00BF6F37"/>
    <w:rsid w:val="00C016C3"/>
    <w:rsid w:val="00C028D0"/>
    <w:rsid w:val="00C0511E"/>
    <w:rsid w:val="00C07A8F"/>
    <w:rsid w:val="00C1120A"/>
    <w:rsid w:val="00C223F8"/>
    <w:rsid w:val="00C24988"/>
    <w:rsid w:val="00C25296"/>
    <w:rsid w:val="00C2608C"/>
    <w:rsid w:val="00C26C35"/>
    <w:rsid w:val="00C274E9"/>
    <w:rsid w:val="00C31D6C"/>
    <w:rsid w:val="00C33482"/>
    <w:rsid w:val="00C37A11"/>
    <w:rsid w:val="00C435D0"/>
    <w:rsid w:val="00C44FE7"/>
    <w:rsid w:val="00C460B6"/>
    <w:rsid w:val="00C46F2A"/>
    <w:rsid w:val="00C474E1"/>
    <w:rsid w:val="00C5239F"/>
    <w:rsid w:val="00C54590"/>
    <w:rsid w:val="00C54593"/>
    <w:rsid w:val="00C575EC"/>
    <w:rsid w:val="00C578B7"/>
    <w:rsid w:val="00C6274C"/>
    <w:rsid w:val="00C63387"/>
    <w:rsid w:val="00C63ABD"/>
    <w:rsid w:val="00C647AA"/>
    <w:rsid w:val="00C6490C"/>
    <w:rsid w:val="00C64F51"/>
    <w:rsid w:val="00C66728"/>
    <w:rsid w:val="00C676CB"/>
    <w:rsid w:val="00C73608"/>
    <w:rsid w:val="00C73ADB"/>
    <w:rsid w:val="00C75763"/>
    <w:rsid w:val="00C770E7"/>
    <w:rsid w:val="00C7744F"/>
    <w:rsid w:val="00C77ADF"/>
    <w:rsid w:val="00C80C20"/>
    <w:rsid w:val="00C81B2F"/>
    <w:rsid w:val="00C81EEF"/>
    <w:rsid w:val="00C8281B"/>
    <w:rsid w:val="00C85433"/>
    <w:rsid w:val="00C86FA0"/>
    <w:rsid w:val="00C9032B"/>
    <w:rsid w:val="00C91D72"/>
    <w:rsid w:val="00C91ED6"/>
    <w:rsid w:val="00C9250A"/>
    <w:rsid w:val="00C944F6"/>
    <w:rsid w:val="00C94B59"/>
    <w:rsid w:val="00C955C1"/>
    <w:rsid w:val="00C9786F"/>
    <w:rsid w:val="00CA110B"/>
    <w:rsid w:val="00CA1DC6"/>
    <w:rsid w:val="00CA2473"/>
    <w:rsid w:val="00CA2FFD"/>
    <w:rsid w:val="00CA5A72"/>
    <w:rsid w:val="00CA6A40"/>
    <w:rsid w:val="00CB5C07"/>
    <w:rsid w:val="00CB5FB4"/>
    <w:rsid w:val="00CC023F"/>
    <w:rsid w:val="00CC7217"/>
    <w:rsid w:val="00CD1C6F"/>
    <w:rsid w:val="00CE0D62"/>
    <w:rsid w:val="00CE1122"/>
    <w:rsid w:val="00CE45E2"/>
    <w:rsid w:val="00CE4CA0"/>
    <w:rsid w:val="00CE5F15"/>
    <w:rsid w:val="00CE6AB2"/>
    <w:rsid w:val="00CE7548"/>
    <w:rsid w:val="00CF0049"/>
    <w:rsid w:val="00CF2DB2"/>
    <w:rsid w:val="00CF3118"/>
    <w:rsid w:val="00CF324C"/>
    <w:rsid w:val="00CF4C88"/>
    <w:rsid w:val="00CF6C5F"/>
    <w:rsid w:val="00D031CE"/>
    <w:rsid w:val="00D05780"/>
    <w:rsid w:val="00D0774C"/>
    <w:rsid w:val="00D102BB"/>
    <w:rsid w:val="00D11FA5"/>
    <w:rsid w:val="00D14503"/>
    <w:rsid w:val="00D14A3C"/>
    <w:rsid w:val="00D160F7"/>
    <w:rsid w:val="00D20868"/>
    <w:rsid w:val="00D218E5"/>
    <w:rsid w:val="00D2306D"/>
    <w:rsid w:val="00D24877"/>
    <w:rsid w:val="00D324A4"/>
    <w:rsid w:val="00D34246"/>
    <w:rsid w:val="00D35328"/>
    <w:rsid w:val="00D37DB3"/>
    <w:rsid w:val="00D41644"/>
    <w:rsid w:val="00D444D9"/>
    <w:rsid w:val="00D45248"/>
    <w:rsid w:val="00D46A82"/>
    <w:rsid w:val="00D50BA2"/>
    <w:rsid w:val="00D511C7"/>
    <w:rsid w:val="00D66E74"/>
    <w:rsid w:val="00D6780B"/>
    <w:rsid w:val="00D70CD2"/>
    <w:rsid w:val="00D71749"/>
    <w:rsid w:val="00D75875"/>
    <w:rsid w:val="00D77BAF"/>
    <w:rsid w:val="00D84921"/>
    <w:rsid w:val="00D872F1"/>
    <w:rsid w:val="00D910A8"/>
    <w:rsid w:val="00D9169D"/>
    <w:rsid w:val="00D92336"/>
    <w:rsid w:val="00D95B2C"/>
    <w:rsid w:val="00D95E9E"/>
    <w:rsid w:val="00D96744"/>
    <w:rsid w:val="00DA635B"/>
    <w:rsid w:val="00DA6A2A"/>
    <w:rsid w:val="00DA700F"/>
    <w:rsid w:val="00DB07BD"/>
    <w:rsid w:val="00DB2A22"/>
    <w:rsid w:val="00DB4839"/>
    <w:rsid w:val="00DB596D"/>
    <w:rsid w:val="00DB742E"/>
    <w:rsid w:val="00DB7562"/>
    <w:rsid w:val="00DC002C"/>
    <w:rsid w:val="00DC15B4"/>
    <w:rsid w:val="00DC1BE1"/>
    <w:rsid w:val="00DC6698"/>
    <w:rsid w:val="00DC7837"/>
    <w:rsid w:val="00DC79E5"/>
    <w:rsid w:val="00DD0517"/>
    <w:rsid w:val="00DD1FD6"/>
    <w:rsid w:val="00DD41DF"/>
    <w:rsid w:val="00DE086F"/>
    <w:rsid w:val="00DE3EAB"/>
    <w:rsid w:val="00DE4886"/>
    <w:rsid w:val="00DE71AC"/>
    <w:rsid w:val="00DE7AFC"/>
    <w:rsid w:val="00DF0D99"/>
    <w:rsid w:val="00DF1B5E"/>
    <w:rsid w:val="00DF39D5"/>
    <w:rsid w:val="00DF3EDF"/>
    <w:rsid w:val="00DF4121"/>
    <w:rsid w:val="00DF518A"/>
    <w:rsid w:val="00DF555F"/>
    <w:rsid w:val="00E01B4F"/>
    <w:rsid w:val="00E03B4C"/>
    <w:rsid w:val="00E04667"/>
    <w:rsid w:val="00E04C33"/>
    <w:rsid w:val="00E06FAF"/>
    <w:rsid w:val="00E137B2"/>
    <w:rsid w:val="00E16C69"/>
    <w:rsid w:val="00E17A79"/>
    <w:rsid w:val="00E216C0"/>
    <w:rsid w:val="00E21C87"/>
    <w:rsid w:val="00E22B20"/>
    <w:rsid w:val="00E23CA5"/>
    <w:rsid w:val="00E24815"/>
    <w:rsid w:val="00E24A49"/>
    <w:rsid w:val="00E24A6B"/>
    <w:rsid w:val="00E25344"/>
    <w:rsid w:val="00E278DE"/>
    <w:rsid w:val="00E350A5"/>
    <w:rsid w:val="00E3521B"/>
    <w:rsid w:val="00E40A1D"/>
    <w:rsid w:val="00E417E3"/>
    <w:rsid w:val="00E41FBB"/>
    <w:rsid w:val="00E438D1"/>
    <w:rsid w:val="00E44C93"/>
    <w:rsid w:val="00E46F2B"/>
    <w:rsid w:val="00E5222C"/>
    <w:rsid w:val="00E55DA6"/>
    <w:rsid w:val="00E651C9"/>
    <w:rsid w:val="00E744D4"/>
    <w:rsid w:val="00E777B0"/>
    <w:rsid w:val="00E81289"/>
    <w:rsid w:val="00E81F3B"/>
    <w:rsid w:val="00E83F19"/>
    <w:rsid w:val="00E86CF7"/>
    <w:rsid w:val="00E87476"/>
    <w:rsid w:val="00E93716"/>
    <w:rsid w:val="00E94301"/>
    <w:rsid w:val="00EA04B3"/>
    <w:rsid w:val="00EA0C28"/>
    <w:rsid w:val="00EA0E5F"/>
    <w:rsid w:val="00EA1279"/>
    <w:rsid w:val="00EB10F0"/>
    <w:rsid w:val="00EB11C7"/>
    <w:rsid w:val="00EB2F9B"/>
    <w:rsid w:val="00EC3BEF"/>
    <w:rsid w:val="00EC4554"/>
    <w:rsid w:val="00EC5929"/>
    <w:rsid w:val="00EC68B9"/>
    <w:rsid w:val="00ED1239"/>
    <w:rsid w:val="00ED2791"/>
    <w:rsid w:val="00ED3F1B"/>
    <w:rsid w:val="00ED5A44"/>
    <w:rsid w:val="00ED69B3"/>
    <w:rsid w:val="00EE2BDA"/>
    <w:rsid w:val="00EE2D95"/>
    <w:rsid w:val="00EE4A5B"/>
    <w:rsid w:val="00EE6438"/>
    <w:rsid w:val="00EE7A2D"/>
    <w:rsid w:val="00EF1B88"/>
    <w:rsid w:val="00EF4E2D"/>
    <w:rsid w:val="00EF59E0"/>
    <w:rsid w:val="00EF62C1"/>
    <w:rsid w:val="00EF6C4E"/>
    <w:rsid w:val="00EF7439"/>
    <w:rsid w:val="00F0277F"/>
    <w:rsid w:val="00F02BD4"/>
    <w:rsid w:val="00F0332D"/>
    <w:rsid w:val="00F03438"/>
    <w:rsid w:val="00F04B35"/>
    <w:rsid w:val="00F066E2"/>
    <w:rsid w:val="00F06987"/>
    <w:rsid w:val="00F12906"/>
    <w:rsid w:val="00F12D78"/>
    <w:rsid w:val="00F130AA"/>
    <w:rsid w:val="00F1359B"/>
    <w:rsid w:val="00F1370D"/>
    <w:rsid w:val="00F139CF"/>
    <w:rsid w:val="00F14346"/>
    <w:rsid w:val="00F14A71"/>
    <w:rsid w:val="00F155BD"/>
    <w:rsid w:val="00F15BE5"/>
    <w:rsid w:val="00F1609A"/>
    <w:rsid w:val="00F17253"/>
    <w:rsid w:val="00F17425"/>
    <w:rsid w:val="00F217DB"/>
    <w:rsid w:val="00F235E9"/>
    <w:rsid w:val="00F258BB"/>
    <w:rsid w:val="00F25A50"/>
    <w:rsid w:val="00F27C90"/>
    <w:rsid w:val="00F3241A"/>
    <w:rsid w:val="00F353F9"/>
    <w:rsid w:val="00F45332"/>
    <w:rsid w:val="00F45B0D"/>
    <w:rsid w:val="00F509E3"/>
    <w:rsid w:val="00F516D2"/>
    <w:rsid w:val="00F5347B"/>
    <w:rsid w:val="00F5407C"/>
    <w:rsid w:val="00F544A7"/>
    <w:rsid w:val="00F6030A"/>
    <w:rsid w:val="00F60646"/>
    <w:rsid w:val="00F60D6A"/>
    <w:rsid w:val="00F624D8"/>
    <w:rsid w:val="00F6297F"/>
    <w:rsid w:val="00F70B4A"/>
    <w:rsid w:val="00F71829"/>
    <w:rsid w:val="00F77E47"/>
    <w:rsid w:val="00F82ED1"/>
    <w:rsid w:val="00F93034"/>
    <w:rsid w:val="00F93B36"/>
    <w:rsid w:val="00FA2191"/>
    <w:rsid w:val="00FA29F2"/>
    <w:rsid w:val="00FA3FEC"/>
    <w:rsid w:val="00FA5488"/>
    <w:rsid w:val="00FB20E1"/>
    <w:rsid w:val="00FB2ED6"/>
    <w:rsid w:val="00FB4734"/>
    <w:rsid w:val="00FB51DB"/>
    <w:rsid w:val="00FB5703"/>
    <w:rsid w:val="00FB7730"/>
    <w:rsid w:val="00FC237B"/>
    <w:rsid w:val="00FC304F"/>
    <w:rsid w:val="00FC5C91"/>
    <w:rsid w:val="00FD078B"/>
    <w:rsid w:val="00FD6757"/>
    <w:rsid w:val="00FD6E4E"/>
    <w:rsid w:val="00FE0E50"/>
    <w:rsid w:val="00FE3C46"/>
    <w:rsid w:val="00FE44E2"/>
    <w:rsid w:val="00FE5949"/>
    <w:rsid w:val="00FE7534"/>
    <w:rsid w:val="00FE7AA0"/>
    <w:rsid w:val="00FF0DD0"/>
    <w:rsid w:val="00FF38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863D9"/>
  <w15:docId w15:val="{9821BD5A-F4B0-4424-9528-2C949C6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8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2E7A"/>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B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5878B9"/>
    <w:pPr>
      <w:tabs>
        <w:tab w:val="center" w:pos="4513"/>
        <w:tab w:val="right" w:pos="9026"/>
      </w:tabs>
    </w:pPr>
  </w:style>
  <w:style w:type="character" w:customStyle="1" w:styleId="HeaderChar">
    <w:name w:val="Header Char"/>
    <w:basedOn w:val="DefaultParagraphFont"/>
    <w:link w:val="Header"/>
    <w:uiPriority w:val="99"/>
    <w:rsid w:val="00587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78B9"/>
    <w:pPr>
      <w:tabs>
        <w:tab w:val="center" w:pos="4513"/>
        <w:tab w:val="right" w:pos="9026"/>
      </w:tabs>
    </w:pPr>
  </w:style>
  <w:style w:type="character" w:customStyle="1" w:styleId="FooterChar">
    <w:name w:val="Footer Char"/>
    <w:basedOn w:val="DefaultParagraphFont"/>
    <w:link w:val="Footer"/>
    <w:uiPriority w:val="99"/>
    <w:rsid w:val="005878B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878B9"/>
    <w:rPr>
      <w:rFonts w:ascii="Tahoma" w:hAnsi="Tahoma" w:cs="Tahoma"/>
      <w:sz w:val="16"/>
      <w:szCs w:val="16"/>
    </w:rPr>
  </w:style>
  <w:style w:type="character" w:customStyle="1" w:styleId="BalloonTextChar">
    <w:name w:val="Balloon Text Char"/>
    <w:basedOn w:val="DefaultParagraphFont"/>
    <w:link w:val="BalloonText"/>
    <w:uiPriority w:val="99"/>
    <w:semiHidden/>
    <w:rsid w:val="005878B9"/>
    <w:rPr>
      <w:rFonts w:ascii="Tahoma" w:eastAsia="Times New Roman" w:hAnsi="Tahoma" w:cs="Tahoma"/>
      <w:sz w:val="16"/>
      <w:szCs w:val="16"/>
      <w:lang w:val="en-US"/>
    </w:rPr>
  </w:style>
  <w:style w:type="character" w:customStyle="1" w:styleId="A0">
    <w:name w:val="A0"/>
    <w:uiPriority w:val="99"/>
    <w:rsid w:val="00386AB6"/>
    <w:rPr>
      <w:color w:val="000000"/>
      <w:sz w:val="20"/>
      <w:szCs w:val="20"/>
    </w:rPr>
  </w:style>
  <w:style w:type="character" w:customStyle="1" w:styleId="FontStyle30">
    <w:name w:val="Font Style30"/>
    <w:basedOn w:val="DefaultParagraphFont"/>
    <w:uiPriority w:val="99"/>
    <w:rsid w:val="00B83ECB"/>
    <w:rPr>
      <w:rFonts w:ascii="Times New Roman" w:hAnsi="Times New Roman" w:cs="Times New Roman"/>
      <w:b/>
      <w:bCs/>
      <w:sz w:val="30"/>
      <w:szCs w:val="30"/>
    </w:rPr>
  </w:style>
  <w:style w:type="paragraph" w:customStyle="1" w:styleId="Style4">
    <w:name w:val="Style4"/>
    <w:basedOn w:val="Normal"/>
    <w:uiPriority w:val="99"/>
    <w:rsid w:val="00B83ECB"/>
    <w:pPr>
      <w:widowControl w:val="0"/>
      <w:autoSpaceDE w:val="0"/>
      <w:autoSpaceDN w:val="0"/>
      <w:adjustRightInd w:val="0"/>
      <w:spacing w:line="236" w:lineRule="exact"/>
      <w:jc w:val="both"/>
    </w:pPr>
    <w:rPr>
      <w:rFonts w:eastAsiaTheme="minorEastAsia"/>
      <w:lang w:val="en-IN" w:eastAsia="en-IN"/>
    </w:rPr>
  </w:style>
  <w:style w:type="character" w:customStyle="1" w:styleId="FontStyle29">
    <w:name w:val="Font Style29"/>
    <w:basedOn w:val="DefaultParagraphFont"/>
    <w:uiPriority w:val="99"/>
    <w:rsid w:val="00B83ECB"/>
    <w:rPr>
      <w:rFonts w:ascii="Times New Roman" w:hAnsi="Times New Roman" w:cs="Times New Roman"/>
      <w:b/>
      <w:bCs/>
      <w:sz w:val="20"/>
      <w:szCs w:val="20"/>
    </w:rPr>
  </w:style>
  <w:style w:type="character" w:customStyle="1" w:styleId="FontStyle27">
    <w:name w:val="Font Style27"/>
    <w:basedOn w:val="DefaultParagraphFont"/>
    <w:uiPriority w:val="99"/>
    <w:rsid w:val="00B83ECB"/>
    <w:rPr>
      <w:rFonts w:ascii="Times New Roman" w:hAnsi="Times New Roman" w:cs="Times New Roman"/>
      <w:sz w:val="20"/>
      <w:szCs w:val="20"/>
    </w:rPr>
  </w:style>
  <w:style w:type="paragraph" w:styleId="Title">
    <w:name w:val="Title"/>
    <w:basedOn w:val="Normal"/>
    <w:link w:val="TitleChar"/>
    <w:qFormat/>
    <w:rsid w:val="00141C85"/>
    <w:pPr>
      <w:jc w:val="center"/>
    </w:pPr>
    <w:rPr>
      <w:b/>
      <w:szCs w:val="20"/>
    </w:rPr>
  </w:style>
  <w:style w:type="character" w:customStyle="1" w:styleId="TitleChar">
    <w:name w:val="Title Char"/>
    <w:basedOn w:val="DefaultParagraphFont"/>
    <w:link w:val="Title"/>
    <w:rsid w:val="00141C85"/>
    <w:rPr>
      <w:rFonts w:ascii="Times New Roman" w:eastAsia="Times New Roman" w:hAnsi="Times New Roman" w:cs="Times New Roman"/>
      <w:b/>
      <w:sz w:val="24"/>
      <w:szCs w:val="20"/>
      <w:lang w:val="en-US"/>
    </w:rPr>
  </w:style>
  <w:style w:type="paragraph" w:styleId="ListParagraph">
    <w:name w:val="List Paragraph"/>
    <w:basedOn w:val="Normal"/>
    <w:uiPriority w:val="1"/>
    <w:qFormat/>
    <w:rsid w:val="00E87476"/>
    <w:pPr>
      <w:ind w:left="720"/>
      <w:contextualSpacing/>
    </w:pPr>
  </w:style>
  <w:style w:type="character" w:customStyle="1" w:styleId="Heading1Char">
    <w:name w:val="Heading 1 Char"/>
    <w:basedOn w:val="DefaultParagraphFont"/>
    <w:link w:val="Heading1"/>
    <w:rsid w:val="00942E7A"/>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unhideWhenUsed/>
    <w:rsid w:val="002A7A11"/>
    <w:rPr>
      <w:sz w:val="20"/>
      <w:szCs w:val="20"/>
    </w:rPr>
  </w:style>
  <w:style w:type="character" w:customStyle="1" w:styleId="FootnoteTextChar">
    <w:name w:val="Footnote Text Char"/>
    <w:basedOn w:val="DefaultParagraphFont"/>
    <w:link w:val="FootnoteText"/>
    <w:uiPriority w:val="99"/>
    <w:semiHidden/>
    <w:rsid w:val="002A7A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A7A11"/>
    <w:rPr>
      <w:vertAlign w:val="superscript"/>
    </w:rPr>
  </w:style>
  <w:style w:type="character" w:styleId="Hyperlink">
    <w:name w:val="Hyperlink"/>
    <w:basedOn w:val="DefaultParagraphFont"/>
    <w:uiPriority w:val="99"/>
    <w:unhideWhenUsed/>
    <w:rsid w:val="005D4353"/>
    <w:rPr>
      <w:color w:val="0000FF" w:themeColor="hyperlink"/>
      <w:u w:val="single"/>
    </w:rPr>
  </w:style>
  <w:style w:type="paragraph" w:styleId="BodyText">
    <w:name w:val="Body Text"/>
    <w:basedOn w:val="Normal"/>
    <w:link w:val="BodyTextChar"/>
    <w:rsid w:val="007D2677"/>
    <w:pPr>
      <w:spacing w:after="120"/>
    </w:pPr>
  </w:style>
  <w:style w:type="character" w:customStyle="1" w:styleId="BodyTextChar">
    <w:name w:val="Body Text Char"/>
    <w:basedOn w:val="DefaultParagraphFont"/>
    <w:link w:val="BodyText"/>
    <w:rsid w:val="007D2677"/>
    <w:rPr>
      <w:rFonts w:ascii="Times New Roman" w:eastAsia="Times New Roman" w:hAnsi="Times New Roman" w:cs="Times New Roman"/>
      <w:sz w:val="24"/>
      <w:szCs w:val="24"/>
    </w:rPr>
  </w:style>
  <w:style w:type="paragraph" w:customStyle="1" w:styleId="Style14ptBoldBefore6ptAfter6pt">
    <w:name w:val="Style 14 pt Bold Before:  6 pt After:  6 pt"/>
    <w:basedOn w:val="Normal"/>
    <w:rsid w:val="00232F90"/>
    <w:pPr>
      <w:tabs>
        <w:tab w:val="left" w:pos="425"/>
        <w:tab w:val="left" w:pos="567"/>
        <w:tab w:val="left" w:pos="709"/>
        <w:tab w:val="left" w:pos="851"/>
        <w:tab w:val="left" w:pos="992"/>
        <w:tab w:val="left" w:pos="1134"/>
      </w:tabs>
      <w:spacing w:before="160" w:after="240"/>
    </w:pPr>
    <w:rPr>
      <w:b/>
      <w:bCs/>
      <w:sz w:val="28"/>
      <w:szCs w:val="20"/>
    </w:rPr>
  </w:style>
  <w:style w:type="character" w:customStyle="1" w:styleId="BodytextSpacing0pt">
    <w:name w:val="Body text + Spacing 0 pt"/>
    <w:basedOn w:val="DefaultParagraphFont"/>
    <w:rsid w:val="005B5C32"/>
    <w:rPr>
      <w:rFonts w:ascii="Arial" w:eastAsia="Arial" w:hAnsi="Arial" w:cs="Arial"/>
      <w:b w:val="0"/>
      <w:bCs w:val="0"/>
      <w:i w:val="0"/>
      <w:iCs w:val="0"/>
      <w:smallCaps w:val="0"/>
      <w:strike w:val="0"/>
      <w:color w:val="000000"/>
      <w:spacing w:val="-10"/>
      <w:w w:val="100"/>
      <w:position w:val="0"/>
      <w:sz w:val="17"/>
      <w:szCs w:val="17"/>
      <w:u w:val="none"/>
      <w:lang w:val="en-US"/>
    </w:rPr>
  </w:style>
  <w:style w:type="character" w:customStyle="1" w:styleId="Bodytext0">
    <w:name w:val="Body text_"/>
    <w:basedOn w:val="DefaultParagraphFont"/>
    <w:link w:val="BodyText1"/>
    <w:rsid w:val="005B5C32"/>
    <w:rPr>
      <w:rFonts w:ascii="Arial" w:eastAsia="Arial" w:hAnsi="Arial" w:cs="Arial"/>
      <w:sz w:val="17"/>
      <w:szCs w:val="17"/>
      <w:shd w:val="clear" w:color="auto" w:fill="FFFFFF"/>
    </w:rPr>
  </w:style>
  <w:style w:type="paragraph" w:customStyle="1" w:styleId="BodyText1">
    <w:name w:val="Body Text1"/>
    <w:basedOn w:val="Normal"/>
    <w:link w:val="Bodytext0"/>
    <w:rsid w:val="005B5C32"/>
    <w:pPr>
      <w:widowControl w:val="0"/>
      <w:shd w:val="clear" w:color="auto" w:fill="FFFFFF"/>
      <w:spacing w:before="360" w:line="380" w:lineRule="exact"/>
      <w:ind w:hanging="740"/>
      <w:jc w:val="both"/>
    </w:pPr>
    <w:rPr>
      <w:rFonts w:ascii="Arial" w:eastAsia="Arial" w:hAnsi="Arial" w:cs="Arial"/>
      <w:sz w:val="17"/>
      <w:szCs w:val="17"/>
      <w:lang w:val="en-IN"/>
    </w:rPr>
  </w:style>
  <w:style w:type="paragraph" w:customStyle="1" w:styleId="TableParagraph">
    <w:name w:val="Table Paragraph"/>
    <w:basedOn w:val="Normal"/>
    <w:uiPriority w:val="1"/>
    <w:qFormat/>
    <w:rsid w:val="006C11FD"/>
    <w:pPr>
      <w:widowControl w:val="0"/>
      <w:autoSpaceDE w:val="0"/>
      <w:autoSpaceDN w:val="0"/>
      <w:spacing w:line="268" w:lineRule="exact"/>
      <w:jc w:val="center"/>
    </w:pPr>
    <w:rPr>
      <w:sz w:val="22"/>
      <w:szCs w:val="22"/>
    </w:rPr>
  </w:style>
  <w:style w:type="character" w:styleId="UnresolvedMention">
    <w:name w:val="Unresolved Mention"/>
    <w:basedOn w:val="DefaultParagraphFont"/>
    <w:uiPriority w:val="99"/>
    <w:semiHidden/>
    <w:unhideWhenUsed/>
    <w:rsid w:val="00170FAA"/>
    <w:rPr>
      <w:color w:val="605E5C"/>
      <w:shd w:val="clear" w:color="auto" w:fill="E1DFDD"/>
    </w:rPr>
  </w:style>
  <w:style w:type="paragraph" w:styleId="Revision">
    <w:name w:val="Revision"/>
    <w:hidden/>
    <w:uiPriority w:val="99"/>
    <w:semiHidden/>
    <w:rsid w:val="00A1045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3321">
      <w:bodyDiv w:val="1"/>
      <w:marLeft w:val="0"/>
      <w:marRight w:val="0"/>
      <w:marTop w:val="0"/>
      <w:marBottom w:val="0"/>
      <w:divBdr>
        <w:top w:val="none" w:sz="0" w:space="0" w:color="auto"/>
        <w:left w:val="none" w:sz="0" w:space="0" w:color="auto"/>
        <w:bottom w:val="none" w:sz="0" w:space="0" w:color="auto"/>
        <w:right w:val="none" w:sz="0" w:space="0" w:color="auto"/>
      </w:divBdr>
    </w:div>
    <w:div w:id="107819287">
      <w:bodyDiv w:val="1"/>
      <w:marLeft w:val="0"/>
      <w:marRight w:val="0"/>
      <w:marTop w:val="0"/>
      <w:marBottom w:val="0"/>
      <w:divBdr>
        <w:top w:val="none" w:sz="0" w:space="0" w:color="auto"/>
        <w:left w:val="none" w:sz="0" w:space="0" w:color="auto"/>
        <w:bottom w:val="none" w:sz="0" w:space="0" w:color="auto"/>
        <w:right w:val="none" w:sz="0" w:space="0" w:color="auto"/>
      </w:divBdr>
      <w:divsChild>
        <w:div w:id="920795445">
          <w:marLeft w:val="0"/>
          <w:marRight w:val="0"/>
          <w:marTop w:val="0"/>
          <w:marBottom w:val="0"/>
          <w:divBdr>
            <w:top w:val="none" w:sz="0" w:space="0" w:color="auto"/>
            <w:left w:val="none" w:sz="0" w:space="0" w:color="auto"/>
            <w:bottom w:val="none" w:sz="0" w:space="0" w:color="auto"/>
            <w:right w:val="none" w:sz="0" w:space="0" w:color="auto"/>
          </w:divBdr>
        </w:div>
        <w:div w:id="1014377747">
          <w:marLeft w:val="0"/>
          <w:marRight w:val="0"/>
          <w:marTop w:val="0"/>
          <w:marBottom w:val="0"/>
          <w:divBdr>
            <w:top w:val="none" w:sz="0" w:space="0" w:color="auto"/>
            <w:left w:val="none" w:sz="0" w:space="0" w:color="auto"/>
            <w:bottom w:val="none" w:sz="0" w:space="0" w:color="auto"/>
            <w:right w:val="none" w:sz="0" w:space="0" w:color="auto"/>
          </w:divBdr>
        </w:div>
        <w:div w:id="924413416">
          <w:marLeft w:val="0"/>
          <w:marRight w:val="0"/>
          <w:marTop w:val="0"/>
          <w:marBottom w:val="0"/>
          <w:divBdr>
            <w:top w:val="none" w:sz="0" w:space="0" w:color="auto"/>
            <w:left w:val="none" w:sz="0" w:space="0" w:color="auto"/>
            <w:bottom w:val="none" w:sz="0" w:space="0" w:color="auto"/>
            <w:right w:val="none" w:sz="0" w:space="0" w:color="auto"/>
          </w:divBdr>
        </w:div>
        <w:div w:id="397167983">
          <w:marLeft w:val="0"/>
          <w:marRight w:val="0"/>
          <w:marTop w:val="0"/>
          <w:marBottom w:val="0"/>
          <w:divBdr>
            <w:top w:val="none" w:sz="0" w:space="0" w:color="auto"/>
            <w:left w:val="none" w:sz="0" w:space="0" w:color="auto"/>
            <w:bottom w:val="none" w:sz="0" w:space="0" w:color="auto"/>
            <w:right w:val="none" w:sz="0" w:space="0" w:color="auto"/>
          </w:divBdr>
        </w:div>
        <w:div w:id="1116682507">
          <w:marLeft w:val="0"/>
          <w:marRight w:val="0"/>
          <w:marTop w:val="0"/>
          <w:marBottom w:val="0"/>
          <w:divBdr>
            <w:top w:val="none" w:sz="0" w:space="0" w:color="auto"/>
            <w:left w:val="none" w:sz="0" w:space="0" w:color="auto"/>
            <w:bottom w:val="none" w:sz="0" w:space="0" w:color="auto"/>
            <w:right w:val="none" w:sz="0" w:space="0" w:color="auto"/>
          </w:divBdr>
        </w:div>
      </w:divsChild>
    </w:div>
    <w:div w:id="238708663">
      <w:bodyDiv w:val="1"/>
      <w:marLeft w:val="0"/>
      <w:marRight w:val="0"/>
      <w:marTop w:val="0"/>
      <w:marBottom w:val="0"/>
      <w:divBdr>
        <w:top w:val="none" w:sz="0" w:space="0" w:color="auto"/>
        <w:left w:val="none" w:sz="0" w:space="0" w:color="auto"/>
        <w:bottom w:val="none" w:sz="0" w:space="0" w:color="auto"/>
        <w:right w:val="none" w:sz="0" w:space="0" w:color="auto"/>
      </w:divBdr>
      <w:divsChild>
        <w:div w:id="515268194">
          <w:marLeft w:val="0"/>
          <w:marRight w:val="0"/>
          <w:marTop w:val="0"/>
          <w:marBottom w:val="0"/>
          <w:divBdr>
            <w:top w:val="none" w:sz="0" w:space="0" w:color="auto"/>
            <w:left w:val="none" w:sz="0" w:space="0" w:color="auto"/>
            <w:bottom w:val="none" w:sz="0" w:space="0" w:color="auto"/>
            <w:right w:val="none" w:sz="0" w:space="0" w:color="auto"/>
          </w:divBdr>
        </w:div>
        <w:div w:id="109978943">
          <w:marLeft w:val="0"/>
          <w:marRight w:val="0"/>
          <w:marTop w:val="0"/>
          <w:marBottom w:val="0"/>
          <w:divBdr>
            <w:top w:val="none" w:sz="0" w:space="0" w:color="auto"/>
            <w:left w:val="none" w:sz="0" w:space="0" w:color="auto"/>
            <w:bottom w:val="none" w:sz="0" w:space="0" w:color="auto"/>
            <w:right w:val="none" w:sz="0" w:space="0" w:color="auto"/>
          </w:divBdr>
        </w:div>
        <w:div w:id="48305705">
          <w:marLeft w:val="0"/>
          <w:marRight w:val="0"/>
          <w:marTop w:val="0"/>
          <w:marBottom w:val="0"/>
          <w:divBdr>
            <w:top w:val="none" w:sz="0" w:space="0" w:color="auto"/>
            <w:left w:val="none" w:sz="0" w:space="0" w:color="auto"/>
            <w:bottom w:val="none" w:sz="0" w:space="0" w:color="auto"/>
            <w:right w:val="none" w:sz="0" w:space="0" w:color="auto"/>
          </w:divBdr>
        </w:div>
        <w:div w:id="928124856">
          <w:marLeft w:val="0"/>
          <w:marRight w:val="0"/>
          <w:marTop w:val="0"/>
          <w:marBottom w:val="0"/>
          <w:divBdr>
            <w:top w:val="none" w:sz="0" w:space="0" w:color="auto"/>
            <w:left w:val="none" w:sz="0" w:space="0" w:color="auto"/>
            <w:bottom w:val="none" w:sz="0" w:space="0" w:color="auto"/>
            <w:right w:val="none" w:sz="0" w:space="0" w:color="auto"/>
          </w:divBdr>
        </w:div>
        <w:div w:id="205485820">
          <w:marLeft w:val="0"/>
          <w:marRight w:val="0"/>
          <w:marTop w:val="0"/>
          <w:marBottom w:val="0"/>
          <w:divBdr>
            <w:top w:val="none" w:sz="0" w:space="0" w:color="auto"/>
            <w:left w:val="none" w:sz="0" w:space="0" w:color="auto"/>
            <w:bottom w:val="none" w:sz="0" w:space="0" w:color="auto"/>
            <w:right w:val="none" w:sz="0" w:space="0" w:color="auto"/>
          </w:divBdr>
        </w:div>
        <w:div w:id="1046952841">
          <w:marLeft w:val="0"/>
          <w:marRight w:val="0"/>
          <w:marTop w:val="0"/>
          <w:marBottom w:val="0"/>
          <w:divBdr>
            <w:top w:val="none" w:sz="0" w:space="0" w:color="auto"/>
            <w:left w:val="none" w:sz="0" w:space="0" w:color="auto"/>
            <w:bottom w:val="none" w:sz="0" w:space="0" w:color="auto"/>
            <w:right w:val="none" w:sz="0" w:space="0" w:color="auto"/>
          </w:divBdr>
        </w:div>
        <w:div w:id="2134782664">
          <w:marLeft w:val="0"/>
          <w:marRight w:val="0"/>
          <w:marTop w:val="0"/>
          <w:marBottom w:val="0"/>
          <w:divBdr>
            <w:top w:val="none" w:sz="0" w:space="0" w:color="auto"/>
            <w:left w:val="none" w:sz="0" w:space="0" w:color="auto"/>
            <w:bottom w:val="none" w:sz="0" w:space="0" w:color="auto"/>
            <w:right w:val="none" w:sz="0" w:space="0" w:color="auto"/>
          </w:divBdr>
        </w:div>
        <w:div w:id="985473275">
          <w:marLeft w:val="0"/>
          <w:marRight w:val="0"/>
          <w:marTop w:val="0"/>
          <w:marBottom w:val="0"/>
          <w:divBdr>
            <w:top w:val="none" w:sz="0" w:space="0" w:color="auto"/>
            <w:left w:val="none" w:sz="0" w:space="0" w:color="auto"/>
            <w:bottom w:val="none" w:sz="0" w:space="0" w:color="auto"/>
            <w:right w:val="none" w:sz="0" w:space="0" w:color="auto"/>
          </w:divBdr>
        </w:div>
        <w:div w:id="1398241279">
          <w:marLeft w:val="0"/>
          <w:marRight w:val="0"/>
          <w:marTop w:val="0"/>
          <w:marBottom w:val="0"/>
          <w:divBdr>
            <w:top w:val="none" w:sz="0" w:space="0" w:color="auto"/>
            <w:left w:val="none" w:sz="0" w:space="0" w:color="auto"/>
            <w:bottom w:val="none" w:sz="0" w:space="0" w:color="auto"/>
            <w:right w:val="none" w:sz="0" w:space="0" w:color="auto"/>
          </w:divBdr>
        </w:div>
      </w:divsChild>
    </w:div>
    <w:div w:id="242640827">
      <w:bodyDiv w:val="1"/>
      <w:marLeft w:val="0"/>
      <w:marRight w:val="0"/>
      <w:marTop w:val="0"/>
      <w:marBottom w:val="0"/>
      <w:divBdr>
        <w:top w:val="none" w:sz="0" w:space="0" w:color="auto"/>
        <w:left w:val="none" w:sz="0" w:space="0" w:color="auto"/>
        <w:bottom w:val="none" w:sz="0" w:space="0" w:color="auto"/>
        <w:right w:val="none" w:sz="0" w:space="0" w:color="auto"/>
      </w:divBdr>
      <w:divsChild>
        <w:div w:id="968510947">
          <w:marLeft w:val="0"/>
          <w:marRight w:val="0"/>
          <w:marTop w:val="0"/>
          <w:marBottom w:val="0"/>
          <w:divBdr>
            <w:top w:val="none" w:sz="0" w:space="0" w:color="auto"/>
            <w:left w:val="none" w:sz="0" w:space="0" w:color="auto"/>
            <w:bottom w:val="none" w:sz="0" w:space="0" w:color="auto"/>
            <w:right w:val="none" w:sz="0" w:space="0" w:color="auto"/>
          </w:divBdr>
        </w:div>
        <w:div w:id="325210514">
          <w:marLeft w:val="0"/>
          <w:marRight w:val="0"/>
          <w:marTop w:val="0"/>
          <w:marBottom w:val="0"/>
          <w:divBdr>
            <w:top w:val="none" w:sz="0" w:space="0" w:color="auto"/>
            <w:left w:val="none" w:sz="0" w:space="0" w:color="auto"/>
            <w:bottom w:val="none" w:sz="0" w:space="0" w:color="auto"/>
            <w:right w:val="none" w:sz="0" w:space="0" w:color="auto"/>
          </w:divBdr>
        </w:div>
        <w:div w:id="1608393410">
          <w:marLeft w:val="0"/>
          <w:marRight w:val="0"/>
          <w:marTop w:val="0"/>
          <w:marBottom w:val="0"/>
          <w:divBdr>
            <w:top w:val="none" w:sz="0" w:space="0" w:color="auto"/>
            <w:left w:val="none" w:sz="0" w:space="0" w:color="auto"/>
            <w:bottom w:val="none" w:sz="0" w:space="0" w:color="auto"/>
            <w:right w:val="none" w:sz="0" w:space="0" w:color="auto"/>
          </w:divBdr>
        </w:div>
      </w:divsChild>
    </w:div>
    <w:div w:id="255135010">
      <w:bodyDiv w:val="1"/>
      <w:marLeft w:val="0"/>
      <w:marRight w:val="0"/>
      <w:marTop w:val="0"/>
      <w:marBottom w:val="0"/>
      <w:divBdr>
        <w:top w:val="none" w:sz="0" w:space="0" w:color="auto"/>
        <w:left w:val="none" w:sz="0" w:space="0" w:color="auto"/>
        <w:bottom w:val="none" w:sz="0" w:space="0" w:color="auto"/>
        <w:right w:val="none" w:sz="0" w:space="0" w:color="auto"/>
      </w:divBdr>
    </w:div>
    <w:div w:id="820579296">
      <w:bodyDiv w:val="1"/>
      <w:marLeft w:val="0"/>
      <w:marRight w:val="0"/>
      <w:marTop w:val="0"/>
      <w:marBottom w:val="0"/>
      <w:divBdr>
        <w:top w:val="none" w:sz="0" w:space="0" w:color="auto"/>
        <w:left w:val="none" w:sz="0" w:space="0" w:color="auto"/>
        <w:bottom w:val="none" w:sz="0" w:space="0" w:color="auto"/>
        <w:right w:val="none" w:sz="0" w:space="0" w:color="auto"/>
      </w:divBdr>
      <w:divsChild>
        <w:div w:id="521817652">
          <w:marLeft w:val="0"/>
          <w:marRight w:val="0"/>
          <w:marTop w:val="0"/>
          <w:marBottom w:val="0"/>
          <w:divBdr>
            <w:top w:val="none" w:sz="0" w:space="0" w:color="auto"/>
            <w:left w:val="none" w:sz="0" w:space="0" w:color="auto"/>
            <w:bottom w:val="none" w:sz="0" w:space="0" w:color="auto"/>
            <w:right w:val="none" w:sz="0" w:space="0" w:color="auto"/>
          </w:divBdr>
        </w:div>
        <w:div w:id="1211115675">
          <w:marLeft w:val="0"/>
          <w:marRight w:val="0"/>
          <w:marTop w:val="0"/>
          <w:marBottom w:val="0"/>
          <w:divBdr>
            <w:top w:val="none" w:sz="0" w:space="0" w:color="auto"/>
            <w:left w:val="none" w:sz="0" w:space="0" w:color="auto"/>
            <w:bottom w:val="none" w:sz="0" w:space="0" w:color="auto"/>
            <w:right w:val="none" w:sz="0" w:space="0" w:color="auto"/>
          </w:divBdr>
        </w:div>
        <w:div w:id="1661346693">
          <w:marLeft w:val="0"/>
          <w:marRight w:val="0"/>
          <w:marTop w:val="0"/>
          <w:marBottom w:val="0"/>
          <w:divBdr>
            <w:top w:val="none" w:sz="0" w:space="0" w:color="auto"/>
            <w:left w:val="none" w:sz="0" w:space="0" w:color="auto"/>
            <w:bottom w:val="none" w:sz="0" w:space="0" w:color="auto"/>
            <w:right w:val="none" w:sz="0" w:space="0" w:color="auto"/>
          </w:divBdr>
        </w:div>
      </w:divsChild>
    </w:div>
    <w:div w:id="922107745">
      <w:bodyDiv w:val="1"/>
      <w:marLeft w:val="0"/>
      <w:marRight w:val="0"/>
      <w:marTop w:val="0"/>
      <w:marBottom w:val="0"/>
      <w:divBdr>
        <w:top w:val="none" w:sz="0" w:space="0" w:color="auto"/>
        <w:left w:val="none" w:sz="0" w:space="0" w:color="auto"/>
        <w:bottom w:val="none" w:sz="0" w:space="0" w:color="auto"/>
        <w:right w:val="none" w:sz="0" w:space="0" w:color="auto"/>
      </w:divBdr>
      <w:divsChild>
        <w:div w:id="145634277">
          <w:marLeft w:val="0"/>
          <w:marRight w:val="0"/>
          <w:marTop w:val="0"/>
          <w:marBottom w:val="0"/>
          <w:divBdr>
            <w:top w:val="none" w:sz="0" w:space="0" w:color="auto"/>
            <w:left w:val="none" w:sz="0" w:space="0" w:color="auto"/>
            <w:bottom w:val="none" w:sz="0" w:space="0" w:color="auto"/>
            <w:right w:val="none" w:sz="0" w:space="0" w:color="auto"/>
          </w:divBdr>
        </w:div>
        <w:div w:id="1618485041">
          <w:marLeft w:val="0"/>
          <w:marRight w:val="0"/>
          <w:marTop w:val="0"/>
          <w:marBottom w:val="0"/>
          <w:divBdr>
            <w:top w:val="none" w:sz="0" w:space="0" w:color="auto"/>
            <w:left w:val="none" w:sz="0" w:space="0" w:color="auto"/>
            <w:bottom w:val="none" w:sz="0" w:space="0" w:color="auto"/>
            <w:right w:val="none" w:sz="0" w:space="0" w:color="auto"/>
          </w:divBdr>
        </w:div>
        <w:div w:id="612051390">
          <w:marLeft w:val="0"/>
          <w:marRight w:val="0"/>
          <w:marTop w:val="0"/>
          <w:marBottom w:val="0"/>
          <w:divBdr>
            <w:top w:val="none" w:sz="0" w:space="0" w:color="auto"/>
            <w:left w:val="none" w:sz="0" w:space="0" w:color="auto"/>
            <w:bottom w:val="none" w:sz="0" w:space="0" w:color="auto"/>
            <w:right w:val="none" w:sz="0" w:space="0" w:color="auto"/>
          </w:divBdr>
        </w:div>
        <w:div w:id="1998265109">
          <w:marLeft w:val="0"/>
          <w:marRight w:val="0"/>
          <w:marTop w:val="0"/>
          <w:marBottom w:val="0"/>
          <w:divBdr>
            <w:top w:val="none" w:sz="0" w:space="0" w:color="auto"/>
            <w:left w:val="none" w:sz="0" w:space="0" w:color="auto"/>
            <w:bottom w:val="none" w:sz="0" w:space="0" w:color="auto"/>
            <w:right w:val="none" w:sz="0" w:space="0" w:color="auto"/>
          </w:divBdr>
        </w:div>
        <w:div w:id="304895437">
          <w:marLeft w:val="0"/>
          <w:marRight w:val="0"/>
          <w:marTop w:val="0"/>
          <w:marBottom w:val="0"/>
          <w:divBdr>
            <w:top w:val="none" w:sz="0" w:space="0" w:color="auto"/>
            <w:left w:val="none" w:sz="0" w:space="0" w:color="auto"/>
            <w:bottom w:val="none" w:sz="0" w:space="0" w:color="auto"/>
            <w:right w:val="none" w:sz="0" w:space="0" w:color="auto"/>
          </w:divBdr>
        </w:div>
      </w:divsChild>
    </w:div>
    <w:div w:id="1335887238">
      <w:bodyDiv w:val="1"/>
      <w:marLeft w:val="0"/>
      <w:marRight w:val="0"/>
      <w:marTop w:val="0"/>
      <w:marBottom w:val="0"/>
      <w:divBdr>
        <w:top w:val="none" w:sz="0" w:space="0" w:color="auto"/>
        <w:left w:val="none" w:sz="0" w:space="0" w:color="auto"/>
        <w:bottom w:val="none" w:sz="0" w:space="0" w:color="auto"/>
        <w:right w:val="none" w:sz="0" w:space="0" w:color="auto"/>
      </w:divBdr>
      <w:divsChild>
        <w:div w:id="1632058889">
          <w:marLeft w:val="0"/>
          <w:marRight w:val="0"/>
          <w:marTop w:val="0"/>
          <w:marBottom w:val="0"/>
          <w:divBdr>
            <w:top w:val="none" w:sz="0" w:space="0" w:color="auto"/>
            <w:left w:val="none" w:sz="0" w:space="0" w:color="auto"/>
            <w:bottom w:val="none" w:sz="0" w:space="0" w:color="auto"/>
            <w:right w:val="none" w:sz="0" w:space="0" w:color="auto"/>
          </w:divBdr>
        </w:div>
        <w:div w:id="2002155487">
          <w:marLeft w:val="0"/>
          <w:marRight w:val="0"/>
          <w:marTop w:val="0"/>
          <w:marBottom w:val="0"/>
          <w:divBdr>
            <w:top w:val="none" w:sz="0" w:space="0" w:color="auto"/>
            <w:left w:val="none" w:sz="0" w:space="0" w:color="auto"/>
            <w:bottom w:val="none" w:sz="0" w:space="0" w:color="auto"/>
            <w:right w:val="none" w:sz="0" w:space="0" w:color="auto"/>
          </w:divBdr>
        </w:div>
        <w:div w:id="1386176334">
          <w:marLeft w:val="0"/>
          <w:marRight w:val="0"/>
          <w:marTop w:val="0"/>
          <w:marBottom w:val="0"/>
          <w:divBdr>
            <w:top w:val="none" w:sz="0" w:space="0" w:color="auto"/>
            <w:left w:val="none" w:sz="0" w:space="0" w:color="auto"/>
            <w:bottom w:val="none" w:sz="0" w:space="0" w:color="auto"/>
            <w:right w:val="none" w:sz="0" w:space="0" w:color="auto"/>
          </w:divBdr>
        </w:div>
      </w:divsChild>
    </w:div>
    <w:div w:id="1929657401">
      <w:bodyDiv w:val="1"/>
      <w:marLeft w:val="0"/>
      <w:marRight w:val="0"/>
      <w:marTop w:val="0"/>
      <w:marBottom w:val="0"/>
      <w:divBdr>
        <w:top w:val="none" w:sz="0" w:space="0" w:color="auto"/>
        <w:left w:val="none" w:sz="0" w:space="0" w:color="auto"/>
        <w:bottom w:val="none" w:sz="0" w:space="0" w:color="auto"/>
        <w:right w:val="none" w:sz="0" w:space="0" w:color="auto"/>
      </w:divBdr>
      <w:divsChild>
        <w:div w:id="1066684032">
          <w:marLeft w:val="0"/>
          <w:marRight w:val="0"/>
          <w:marTop w:val="0"/>
          <w:marBottom w:val="0"/>
          <w:divBdr>
            <w:top w:val="none" w:sz="0" w:space="0" w:color="auto"/>
            <w:left w:val="none" w:sz="0" w:space="0" w:color="auto"/>
            <w:bottom w:val="none" w:sz="0" w:space="0" w:color="auto"/>
            <w:right w:val="none" w:sz="0" w:space="0" w:color="auto"/>
          </w:divBdr>
        </w:div>
        <w:div w:id="570391150">
          <w:marLeft w:val="0"/>
          <w:marRight w:val="0"/>
          <w:marTop w:val="0"/>
          <w:marBottom w:val="0"/>
          <w:divBdr>
            <w:top w:val="none" w:sz="0" w:space="0" w:color="auto"/>
            <w:left w:val="none" w:sz="0" w:space="0" w:color="auto"/>
            <w:bottom w:val="none" w:sz="0" w:space="0" w:color="auto"/>
            <w:right w:val="none" w:sz="0" w:space="0" w:color="auto"/>
          </w:divBdr>
        </w:div>
        <w:div w:id="2113624517">
          <w:marLeft w:val="0"/>
          <w:marRight w:val="0"/>
          <w:marTop w:val="0"/>
          <w:marBottom w:val="0"/>
          <w:divBdr>
            <w:top w:val="none" w:sz="0" w:space="0" w:color="auto"/>
            <w:left w:val="none" w:sz="0" w:space="0" w:color="auto"/>
            <w:bottom w:val="none" w:sz="0" w:space="0" w:color="auto"/>
            <w:right w:val="none" w:sz="0" w:space="0" w:color="auto"/>
          </w:divBdr>
        </w:div>
        <w:div w:id="2006738047">
          <w:marLeft w:val="0"/>
          <w:marRight w:val="0"/>
          <w:marTop w:val="0"/>
          <w:marBottom w:val="0"/>
          <w:divBdr>
            <w:top w:val="none" w:sz="0" w:space="0" w:color="auto"/>
            <w:left w:val="none" w:sz="0" w:space="0" w:color="auto"/>
            <w:bottom w:val="none" w:sz="0" w:space="0" w:color="auto"/>
            <w:right w:val="none" w:sz="0" w:space="0" w:color="auto"/>
          </w:divBdr>
        </w:div>
        <w:div w:id="1868247751">
          <w:marLeft w:val="0"/>
          <w:marRight w:val="0"/>
          <w:marTop w:val="0"/>
          <w:marBottom w:val="0"/>
          <w:divBdr>
            <w:top w:val="none" w:sz="0" w:space="0" w:color="auto"/>
            <w:left w:val="none" w:sz="0" w:space="0" w:color="auto"/>
            <w:bottom w:val="none" w:sz="0" w:space="0" w:color="auto"/>
            <w:right w:val="none" w:sz="0" w:space="0" w:color="auto"/>
          </w:divBdr>
        </w:div>
        <w:div w:id="210652375">
          <w:marLeft w:val="0"/>
          <w:marRight w:val="0"/>
          <w:marTop w:val="0"/>
          <w:marBottom w:val="0"/>
          <w:divBdr>
            <w:top w:val="none" w:sz="0" w:space="0" w:color="auto"/>
            <w:left w:val="none" w:sz="0" w:space="0" w:color="auto"/>
            <w:bottom w:val="none" w:sz="0" w:space="0" w:color="auto"/>
            <w:right w:val="none" w:sz="0" w:space="0" w:color="auto"/>
          </w:divBdr>
        </w:div>
        <w:div w:id="165433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gronomy120511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371/journal.pone.02625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742E9-844E-428A-964D-509626B8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15</Pages>
  <Words>5992</Words>
  <Characters>34158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byomkesh</dc:creator>
  <cp:keywords/>
  <dc:description/>
  <cp:lastModifiedBy>omkar singh</cp:lastModifiedBy>
  <cp:revision>762</cp:revision>
  <cp:lastPrinted>2017-06-21T07:32:00Z</cp:lastPrinted>
  <dcterms:created xsi:type="dcterms:W3CDTF">2014-05-31T16:43:00Z</dcterms:created>
  <dcterms:modified xsi:type="dcterms:W3CDTF">2025-04-20T10:38:00Z</dcterms:modified>
</cp:coreProperties>
</file>