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F669D" w14:textId="0A148FB2" w:rsidR="008F786C" w:rsidRPr="00842D6C" w:rsidRDefault="00105967" w:rsidP="00842D6C">
      <w:pPr>
        <w:pStyle w:val="TOC3"/>
      </w:pPr>
      <w:r w:rsidRPr="00842D6C">
        <w:t>Comparison</w:t>
      </w:r>
      <w:r w:rsidR="005E5A2B" w:rsidRPr="00842D6C">
        <w:t xml:space="preserve"> of Aridity </w:t>
      </w:r>
      <w:r w:rsidR="003A4342" w:rsidRPr="00842D6C">
        <w:t>Indices</w:t>
      </w:r>
      <w:r w:rsidR="005E5A2B" w:rsidRPr="00842D6C">
        <w:t xml:space="preserve"> in Mahi River Basin </w:t>
      </w:r>
      <w:r w:rsidR="00166721" w:rsidRPr="00842D6C">
        <w:t>under climate change scenario</w:t>
      </w:r>
      <w:r w:rsidR="008F786C" w:rsidRPr="00842D6C">
        <w:t>s</w:t>
      </w:r>
    </w:p>
    <w:p w14:paraId="33B05FE4" w14:textId="77777777" w:rsidR="008F786C" w:rsidRDefault="008F786C" w:rsidP="00842D6C">
      <w:pPr>
        <w:pStyle w:val="TOC3"/>
      </w:pPr>
    </w:p>
    <w:p w14:paraId="5498BCCE" w14:textId="68D52B1E" w:rsidR="00B90709" w:rsidRPr="008638B1" w:rsidRDefault="008F786C" w:rsidP="00842D6C">
      <w:pPr>
        <w:pStyle w:val="TOC3"/>
      </w:pPr>
      <w:r w:rsidRPr="00D164DC">
        <w:rPr>
          <w:noProof/>
        </w:rPr>
        <mc:AlternateContent>
          <mc:Choice Requires="wps">
            <w:drawing>
              <wp:anchor distT="0" distB="0" distL="114300" distR="114300" simplePos="0" relativeHeight="251659264" behindDoc="0" locked="0" layoutInCell="1" allowOverlap="1" wp14:anchorId="54E4134F" wp14:editId="4CC5AFBD">
                <wp:simplePos x="0" y="0"/>
                <wp:positionH relativeFrom="margin">
                  <wp:posOffset>0</wp:posOffset>
                </wp:positionH>
                <wp:positionV relativeFrom="paragraph">
                  <wp:posOffset>0</wp:posOffset>
                </wp:positionV>
                <wp:extent cx="57245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57FA7C"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rq5AEAABoEAAAOAAAAZHJzL2Uyb0RvYy54bWysU8GO2yAQvVfqPyDujZ2oSbtWnD1ktb1U&#10;bdRte2cxxEjAoIHGyd93wF5nd3tq1QsCZubNe49he3t2lp0URgO+5ctFzZnyEjrjjy3/8f3+3UfO&#10;YhK+Exa8avlFRX67e/tmO4RGraAH2ylkBOJjM4SW9ymFpqqi7JUTcQFBeQpqQCcSHfFYdSgGQne2&#10;WtX1phoAu4AgVYx0ezcG+a7ga61k+qp1VInZlhO3VFYs62Neq91WNEcUoTdyoiH+gYUTxlPTGepO&#10;JMF+ofkDyhmJEEGnhQRXgdZGqqKB1CzrV2oeehFU0ULmxDDbFP8frPxyOiAzXcs3nHnh6IkeEgpz&#10;7BPbg/dkICDbZJ+GEBtK3/sDTqcYDphFnzU6pq0JP2kEig0kjJ2Ly5fZZXVOTNLl+sPq/Xq15kxS&#10;7CbvCK4aUTJawJg+KXAsb1pujc8eiEacPsc0pj6l5Gvr2UBtb+p1XdIiWNPdG2tzsMyR2ltkJ0ET&#10;kM7LqdmzLGptPTHI+kZFZZcuVo3435Qmh4j5qO0VppBS+fSEaz1l5zJNDObCiVke6iuZl4VTfi5V&#10;ZW7/pniuKJ3Bp7nYGQ84+vKy+9UKPeY/OTDqzhY8Qncpb12soQEszzR9ljzhz8+l/Pqld78BAAD/&#10;/wMAUEsDBBQABgAIAAAAIQD16FXj2QAAAAMBAAAPAAAAZHJzL2Rvd25yZXYueG1sTI/NTsMwEITv&#10;SLyDtUi9UadI5SfEqaBSpYLooYUH2MRLHDVeR7HbhLdn4QKXkVYzmvm2WE2+U2caYhvYwGKegSKu&#10;g225MfDxvrm+BxUTssUuMBn4ogir8vKiwNyGkfd0PqRGSQnHHA24lPpc61g78hjnoScW7zMMHpOc&#10;Q6PtgKOU+07fZNmt9tiyLDjsae2oPh5O3kD9srvbHQONlbYhvW7t/g2fnTGzq+npEVSiKf2F4Qdf&#10;0KEUpiqc2EbVGZBH0q+K95AtlqAqCS1Bl4X+z15+AwAA//8DAFBLAQItABQABgAIAAAAIQC2gziS&#10;/gAAAOEBAAATAAAAAAAAAAAAAAAAAAAAAABbQ29udGVudF9UeXBlc10ueG1sUEsBAi0AFAAGAAgA&#10;AAAhADj9If/WAAAAlAEAAAsAAAAAAAAAAAAAAAAALwEAAF9yZWxzLy5yZWxzUEsBAi0AFAAGAAgA&#10;AAAhANTsOurkAQAAGgQAAA4AAAAAAAAAAAAAAAAALgIAAGRycy9lMm9Eb2MueG1sUEsBAi0AFAAG&#10;AAgAAAAhAPXoVePZAAAAAwEAAA8AAAAAAAAAAAAAAAAAPgQAAGRycy9kb3ducmV2LnhtbFBLBQYA&#10;AAAABAAEAPMAAABEBQAAAAA=&#10;" strokecolor="black [3213]" strokeweight="1.5pt">
                <v:stroke joinstyle="miter"/>
                <w10:wrap anchorx="margin"/>
              </v:line>
            </w:pict>
          </mc:Fallback>
        </mc:AlternateContent>
      </w:r>
    </w:p>
    <w:p w14:paraId="68045B1B" w14:textId="660F0698" w:rsidR="008E394E" w:rsidRDefault="008F786C" w:rsidP="008E394E">
      <w:pPr>
        <w:spacing w:line="360" w:lineRule="auto"/>
        <w:jc w:val="both"/>
        <w:rPr>
          <w:rFonts w:ascii="Arial" w:hAnsi="Arial" w:cs="Arial"/>
          <w:b/>
          <w:sz w:val="20"/>
          <w:szCs w:val="20"/>
        </w:rPr>
      </w:pPr>
      <w:r w:rsidRPr="00D164DC">
        <w:rPr>
          <w:rFonts w:ascii="Arial" w:hAnsi="Arial" w:cs="Arial"/>
          <w:noProof/>
          <w:color w:val="000000" w:themeColor="text1"/>
          <w:sz w:val="20"/>
          <w:szCs w:val="20"/>
          <w:lang w:val="en-US"/>
        </w:rPr>
        <mc:AlternateContent>
          <mc:Choice Requires="wps">
            <w:drawing>
              <wp:anchor distT="45720" distB="45720" distL="114300" distR="114300" simplePos="0" relativeHeight="251661312" behindDoc="0" locked="0" layoutInCell="1" allowOverlap="1" wp14:anchorId="5CA5F569" wp14:editId="628D2B4F">
                <wp:simplePos x="0" y="0"/>
                <wp:positionH relativeFrom="margin">
                  <wp:align>left</wp:align>
                </wp:positionH>
                <wp:positionV relativeFrom="paragraph">
                  <wp:posOffset>272415</wp:posOffset>
                </wp:positionV>
                <wp:extent cx="6076950" cy="39909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990975"/>
                        </a:xfrm>
                        <a:prstGeom prst="rect">
                          <a:avLst/>
                        </a:prstGeom>
                        <a:solidFill>
                          <a:srgbClr val="FFFFFF"/>
                        </a:solidFill>
                        <a:ln w="9525">
                          <a:solidFill>
                            <a:srgbClr val="000000"/>
                          </a:solidFill>
                          <a:miter lim="800000"/>
                          <a:headEnd/>
                          <a:tailEnd/>
                        </a:ln>
                      </wps:spPr>
                      <wps:txbx>
                        <w:txbxContent>
                          <w:p w14:paraId="41C8676C" w14:textId="1D9C1E56" w:rsidR="008F786C" w:rsidRPr="008F786C" w:rsidRDefault="00E1056C" w:rsidP="008F786C">
                            <w:pPr>
                              <w:spacing w:after="0" w:line="360" w:lineRule="auto"/>
                              <w:jc w:val="both"/>
                              <w:rPr>
                                <w:rFonts w:ascii="Arial" w:hAnsi="Arial" w:cs="Arial"/>
                                <w:bCs/>
                                <w:sz w:val="20"/>
                                <w:szCs w:val="20"/>
                              </w:rPr>
                            </w:pPr>
                            <w:r w:rsidRPr="006E50BC">
                              <w:rPr>
                                <w:rFonts w:ascii="Arial" w:hAnsi="Arial" w:cs="Arial"/>
                                <w:bCs/>
                                <w:sz w:val="20"/>
                                <w:szCs w:val="20"/>
                                <w:highlight w:val="yellow"/>
                              </w:rPr>
                              <w:t>Climate change represents one of the most pressing global challenges of the 21st century, driven by a combination of natural climatic variability and intensified by anthropogenic activities.</w:t>
                            </w:r>
                            <w:r w:rsidRPr="00E1056C">
                              <w:rPr>
                                <w:rFonts w:ascii="Arial" w:hAnsi="Arial" w:cs="Arial"/>
                                <w:bCs/>
                                <w:sz w:val="20"/>
                                <w:szCs w:val="20"/>
                              </w:rPr>
                              <w:t xml:space="preserve"> Since the advent of the Industrial Revolution, the accelerated emiss</w:t>
                            </w:r>
                            <w:r>
                              <w:rPr>
                                <w:rFonts w:ascii="Arial" w:hAnsi="Arial" w:cs="Arial"/>
                                <w:bCs/>
                                <w:sz w:val="20"/>
                                <w:szCs w:val="20"/>
                              </w:rPr>
                              <w:t>ion of greenhouse gases (GHGs)</w:t>
                            </w:r>
                            <w:r w:rsidRPr="00E1056C">
                              <w:rPr>
                                <w:rFonts w:ascii="Arial" w:hAnsi="Arial" w:cs="Arial"/>
                                <w:bCs/>
                                <w:sz w:val="20"/>
                                <w:szCs w:val="20"/>
                              </w:rPr>
                              <w:t xml:space="preserve"> particularly carbon dioxide (CO</w:t>
                            </w:r>
                            <w:r w:rsidRPr="00E1056C">
                              <w:rPr>
                                <w:rFonts w:ascii="Cambria Math" w:hAnsi="Cambria Math" w:cs="Cambria Math"/>
                                <w:bCs/>
                                <w:sz w:val="20"/>
                                <w:szCs w:val="20"/>
                              </w:rPr>
                              <w:t>₂</w:t>
                            </w:r>
                            <w:r w:rsidRPr="00E1056C">
                              <w:rPr>
                                <w:rFonts w:ascii="Arial" w:hAnsi="Arial" w:cs="Arial"/>
                                <w:bCs/>
                                <w:sz w:val="20"/>
                                <w:szCs w:val="20"/>
                              </w:rPr>
                              <w:t>), methane (CH</w:t>
                            </w:r>
                            <w:r w:rsidRPr="00E1056C">
                              <w:rPr>
                                <w:rFonts w:ascii="Cambria Math" w:hAnsi="Cambria Math" w:cs="Cambria Math"/>
                                <w:bCs/>
                                <w:sz w:val="20"/>
                                <w:szCs w:val="20"/>
                              </w:rPr>
                              <w:t>₄</w:t>
                            </w:r>
                            <w:r w:rsidRPr="00E1056C">
                              <w:rPr>
                                <w:rFonts w:ascii="Arial" w:hAnsi="Arial" w:cs="Arial"/>
                                <w:bCs/>
                                <w:sz w:val="20"/>
                                <w:szCs w:val="20"/>
                              </w:rPr>
                              <w:t>), and nitrous oxide (N</w:t>
                            </w:r>
                            <w:r w:rsidRPr="00E1056C">
                              <w:rPr>
                                <w:rFonts w:ascii="Cambria Math" w:hAnsi="Cambria Math" w:cs="Cambria Math"/>
                                <w:bCs/>
                                <w:sz w:val="20"/>
                                <w:szCs w:val="20"/>
                              </w:rPr>
                              <w:t>₂</w:t>
                            </w:r>
                            <w:r w:rsidRPr="00E1056C">
                              <w:rPr>
                                <w:rFonts w:ascii="Arial" w:hAnsi="Arial" w:cs="Arial"/>
                                <w:bCs/>
                                <w:sz w:val="20"/>
                                <w:szCs w:val="20"/>
                              </w:rPr>
                              <w:t xml:space="preserve">O) has significantly contributed to global warming by enhancing the greenhouse effect, wherein long-wave terrestrial radiation is increasingly trapped within the Earth's atmosphere. </w:t>
                            </w:r>
                            <w:r w:rsidR="000F4963" w:rsidRPr="000F4963">
                              <w:rPr>
                                <w:rFonts w:ascii="Arial" w:hAnsi="Arial" w:cs="Arial"/>
                                <w:bCs/>
                                <w:sz w:val="20"/>
                                <w:szCs w:val="20"/>
                                <w:highlight w:val="yellow"/>
                              </w:rPr>
                              <w:t>The combined effects of these processes are increasingly visible worldwide, reflected in rising temperatures, shifting rainfall patterns, and more frequent extreme weather events.</w:t>
                            </w:r>
                            <w:r w:rsidR="008F786C" w:rsidRPr="008F786C">
                              <w:rPr>
                                <w:rFonts w:ascii="Arial" w:hAnsi="Arial" w:cs="Arial"/>
                                <w:bCs/>
                                <w:sz w:val="20"/>
                                <w:szCs w:val="20"/>
                              </w:rPr>
                              <w:t xml:space="preserve"> This warming has been exacerbated by unsustainable land and water resource exploitation, intensifying environmental degradation. Developing nations, often equipped with limited adaptive capacity, are particularly vulnerable to these changes. India, characterized by rapid population growth and development, faces pronounced risks, especially in critical sectors such as water resources. This study investigates shifts in aridity within the Mahi River Basin, a semi-arid, water-scarce region in western India with a catchment area of 34,842 km², under the influence of climate change. Historical (baseline: 1961–1990; present: 1991–2005) and future (2006–2040) dynamically downscaled climate datasets of precipitation and temperature were </w:t>
                            </w:r>
                            <w:proofErr w:type="spellStart"/>
                            <w:r w:rsidR="008F786C" w:rsidRPr="008F786C">
                              <w:rPr>
                                <w:rFonts w:ascii="Arial" w:hAnsi="Arial" w:cs="Arial"/>
                                <w:bCs/>
                                <w:sz w:val="20"/>
                                <w:szCs w:val="20"/>
                              </w:rPr>
                              <w:t>analyzed</w:t>
                            </w:r>
                            <w:proofErr w:type="spellEnd"/>
                            <w:r w:rsidR="008F786C" w:rsidRPr="008F786C">
                              <w:rPr>
                                <w:rFonts w:ascii="Arial" w:hAnsi="Arial" w:cs="Arial"/>
                                <w:bCs/>
                                <w:sz w:val="20"/>
                                <w:szCs w:val="20"/>
                              </w:rPr>
                              <w:t>. Key parameters—rainfall, temperature, potential evapotranspiration (PET), and aridity—were evaluated across these periods. Results indicate a projected decline in rainfall, a rise in mean temperature, and an associated increase in PET, collectively contributing to heightened aridity and drier conditions in the basin over time. Evidence of climate change impacts is already discernible in the baseline and present periods, with future scenarios suggesting intensified water scarcity due to reduced precipitation and elevated PET. Strategic water management, including optimized utilization and conservation of limited water resources, is proposed as a vital approach to mitigate anticipated water shortages in the Mahi Basin.</w:t>
                            </w:r>
                          </w:p>
                          <w:p w14:paraId="27A09714" w14:textId="08806C53" w:rsidR="008F786C" w:rsidRPr="008F786C" w:rsidRDefault="008F786C" w:rsidP="008F786C">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5F569" id="_x0000_t202" coordsize="21600,21600" o:spt="202" path="m,l,21600r21600,l21600,xe">
                <v:stroke joinstyle="miter"/>
                <v:path gradientshapeok="t" o:connecttype="rect"/>
              </v:shapetype>
              <v:shape id="Text Box 2" o:spid="_x0000_s1026" type="#_x0000_t202" style="position:absolute;left:0;text-align:left;margin-left:0;margin-top:21.45pt;width:478.5pt;height:314.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2WJQIAAEcEAAAOAAAAZHJzL2Uyb0RvYy54bWysU9uO2yAQfa/Uf0C8N3bcXNZWnNU221SV&#10;thdptx+AMY5RgXGBxN5+/Q7Ym6a3l6o8IIYZDjPnzGyuB63ISVgnwZR0PkspEYZDLc2hpF8e9q+u&#10;KHGemZopMKKkj8LR6+3LF5u+K0QGLahaWIIgxhV9V9LW+65IEsdboZmbQScMOhuwmnk07SGpLesR&#10;XaskS9NV0oOtOwtcOIe3t6OTbiN+0wjuPzWNE56okmJuPu427lXYk+2GFQfLulbyKQ32D1loJg1+&#10;eoa6ZZ6Ro5W/QWnJLTho/IyDTqBpJBexBqxmnv5SzX3LOhFrQXJcd6bJ/T9Y/vH02RJZlzSbrykx&#10;TKNID2Lw5A0MJAv89J0rMOy+w0A/4DXqHGt13R3wr44Y2LXMHMSNtdC3gtWY3zy8TC6ejjgugFT9&#10;B6jxG3b0EIGGxupAHtJBEB11ejxrE1LheLlK16t8iS6Ovtd5nubrZfyDFc/PO+v8OwGahENJLYof&#10;4dnpzvmQDiueQ8JvDpSs91KpaNhDtVOWnBg2yj6uCf2nMGVIX9J8mS1HBv4Kkcb1JwgtPXa8krqk&#10;V+cgVgTe3po69qNnUo1nTFmZicjA3ciiH6phEqaC+hEptTB2Nk4iHlqw3ynpsatL6r4dmRWUqPcG&#10;Zcnni0UYg2gslusMDXvpqS49zHCEKqmnZDzufBydQJiBG5SvkZHYoPOYyZQrdmvke5qsMA6Xdoz6&#10;Mf/bJwAAAP//AwBQSwMEFAAGAAgAAAAhAJxFnffeAAAABwEAAA8AAABkcnMvZG93bnJldi54bWxM&#10;j8FOwzAQRO9I/IO1SFwQdVpC0oQ4FUICwQ0Kgqsbb5OIeB1sNw1/z3KC486MZt5Wm9kOYkIfekcK&#10;losEBFLjTE+tgrfX+8s1iBA1GT04QgXfGGBTn55UujTuSC84bWMruIRCqRV0MY6llKHp0OqwcCMS&#10;e3vnrY58+lYar49cbge5SpJMWt0TL3R6xLsOm8/twSpYp4/TR3i6en5vsv1QxIt8evjySp2fzbc3&#10;ICLO8S8Mv/iMDjUz7dyBTBCDAn4kKkhXBQh2i+uchZ2CLF+mIOtK/uevfwAAAP//AwBQSwECLQAU&#10;AAYACAAAACEAtoM4kv4AAADhAQAAEwAAAAAAAAAAAAAAAAAAAAAAW0NvbnRlbnRfVHlwZXNdLnht&#10;bFBLAQItABQABgAIAAAAIQA4/SH/1gAAAJQBAAALAAAAAAAAAAAAAAAAAC8BAABfcmVscy8ucmVs&#10;c1BLAQItABQABgAIAAAAIQBsSX2WJQIAAEcEAAAOAAAAAAAAAAAAAAAAAC4CAABkcnMvZTJvRG9j&#10;LnhtbFBLAQItABQABgAIAAAAIQCcRZ333gAAAAcBAAAPAAAAAAAAAAAAAAAAAH8EAABkcnMvZG93&#10;bnJldi54bWxQSwUGAAAAAAQABADzAAAAigUAAAAA&#10;">
                <v:textbox>
                  <w:txbxContent>
                    <w:p w14:paraId="41C8676C" w14:textId="1D9C1E56" w:rsidR="008F786C" w:rsidRPr="008F786C" w:rsidRDefault="00E1056C" w:rsidP="008F786C">
                      <w:pPr>
                        <w:spacing w:after="0" w:line="360" w:lineRule="auto"/>
                        <w:jc w:val="both"/>
                        <w:rPr>
                          <w:rFonts w:ascii="Arial" w:hAnsi="Arial" w:cs="Arial"/>
                          <w:bCs/>
                          <w:sz w:val="20"/>
                          <w:szCs w:val="20"/>
                        </w:rPr>
                      </w:pPr>
                      <w:r w:rsidRPr="006E50BC">
                        <w:rPr>
                          <w:rFonts w:ascii="Arial" w:hAnsi="Arial" w:cs="Arial"/>
                          <w:bCs/>
                          <w:sz w:val="20"/>
                          <w:szCs w:val="20"/>
                          <w:highlight w:val="yellow"/>
                        </w:rPr>
                        <w:t>Climate change represents one of the most pressing global challenges of the 21st century, driven by a combination of natural climatic variability and intensified by anthropogenic activities.</w:t>
                      </w:r>
                      <w:r w:rsidRPr="00E1056C">
                        <w:rPr>
                          <w:rFonts w:ascii="Arial" w:hAnsi="Arial" w:cs="Arial"/>
                          <w:bCs/>
                          <w:sz w:val="20"/>
                          <w:szCs w:val="20"/>
                        </w:rPr>
                        <w:t xml:space="preserve"> Since the advent of the Industrial Revolution, the accelerated emiss</w:t>
                      </w:r>
                      <w:r>
                        <w:rPr>
                          <w:rFonts w:ascii="Arial" w:hAnsi="Arial" w:cs="Arial"/>
                          <w:bCs/>
                          <w:sz w:val="20"/>
                          <w:szCs w:val="20"/>
                        </w:rPr>
                        <w:t>ion of greenhouse gases (GHGs)</w:t>
                      </w:r>
                      <w:r w:rsidRPr="00E1056C">
                        <w:rPr>
                          <w:rFonts w:ascii="Arial" w:hAnsi="Arial" w:cs="Arial"/>
                          <w:bCs/>
                          <w:sz w:val="20"/>
                          <w:szCs w:val="20"/>
                        </w:rPr>
                        <w:t xml:space="preserve"> particularly carbon dioxide (CO</w:t>
                      </w:r>
                      <w:r w:rsidRPr="00E1056C">
                        <w:rPr>
                          <w:rFonts w:ascii="Cambria Math" w:hAnsi="Cambria Math" w:cs="Cambria Math"/>
                          <w:bCs/>
                          <w:sz w:val="20"/>
                          <w:szCs w:val="20"/>
                        </w:rPr>
                        <w:t>₂</w:t>
                      </w:r>
                      <w:r w:rsidRPr="00E1056C">
                        <w:rPr>
                          <w:rFonts w:ascii="Arial" w:hAnsi="Arial" w:cs="Arial"/>
                          <w:bCs/>
                          <w:sz w:val="20"/>
                          <w:szCs w:val="20"/>
                        </w:rPr>
                        <w:t>), methane (CH</w:t>
                      </w:r>
                      <w:r w:rsidRPr="00E1056C">
                        <w:rPr>
                          <w:rFonts w:ascii="Cambria Math" w:hAnsi="Cambria Math" w:cs="Cambria Math"/>
                          <w:bCs/>
                          <w:sz w:val="20"/>
                          <w:szCs w:val="20"/>
                        </w:rPr>
                        <w:t>₄</w:t>
                      </w:r>
                      <w:r w:rsidRPr="00E1056C">
                        <w:rPr>
                          <w:rFonts w:ascii="Arial" w:hAnsi="Arial" w:cs="Arial"/>
                          <w:bCs/>
                          <w:sz w:val="20"/>
                          <w:szCs w:val="20"/>
                        </w:rPr>
                        <w:t>), and nitrous oxide (N</w:t>
                      </w:r>
                      <w:r w:rsidRPr="00E1056C">
                        <w:rPr>
                          <w:rFonts w:ascii="Cambria Math" w:hAnsi="Cambria Math" w:cs="Cambria Math"/>
                          <w:bCs/>
                          <w:sz w:val="20"/>
                          <w:szCs w:val="20"/>
                        </w:rPr>
                        <w:t>₂</w:t>
                      </w:r>
                      <w:r w:rsidRPr="00E1056C">
                        <w:rPr>
                          <w:rFonts w:ascii="Arial" w:hAnsi="Arial" w:cs="Arial"/>
                          <w:bCs/>
                          <w:sz w:val="20"/>
                          <w:szCs w:val="20"/>
                        </w:rPr>
                        <w:t xml:space="preserve">O) has significantly contributed to global warming by enhancing the greenhouse effect, wherein long-wave terrestrial radiation is increasingly trapped within the Earth's atmosphere. </w:t>
                      </w:r>
                      <w:r w:rsidR="000F4963" w:rsidRPr="000F4963">
                        <w:rPr>
                          <w:rFonts w:ascii="Arial" w:hAnsi="Arial" w:cs="Arial"/>
                          <w:bCs/>
                          <w:sz w:val="20"/>
                          <w:szCs w:val="20"/>
                          <w:highlight w:val="yellow"/>
                        </w:rPr>
                        <w:t>The combined effects of these processes are increasingly visible worldwide, reflected in rising temperatures, shifting rainfall patterns, and more frequent extreme weather events.</w:t>
                      </w:r>
                      <w:r w:rsidR="008F786C" w:rsidRPr="008F786C">
                        <w:rPr>
                          <w:rFonts w:ascii="Arial" w:hAnsi="Arial" w:cs="Arial"/>
                          <w:bCs/>
                          <w:sz w:val="20"/>
                          <w:szCs w:val="20"/>
                        </w:rPr>
                        <w:t xml:space="preserve"> This warming has been exacerbated by unsustainable land and water resource exploitation, intensifying environmental degradation. Developing nations, often equipped with limited adaptive capacity, are particularly vulnerable to these changes. India, characterized by rapid population growth and development, faces pronounced risks, especially in critical sectors such as water resources. This study investigates shifts in aridity within the Mahi River Basin, a semi-arid, water-scarce region in western India with a catchment area of 34,842 km², under the influence of climate change. Historical (baseline: 1961–1990; present: 1991–2005) and future (2006–2040) dynamically downscaled climate datasets of precipitation and temperature were </w:t>
                      </w:r>
                      <w:proofErr w:type="spellStart"/>
                      <w:r w:rsidR="008F786C" w:rsidRPr="008F786C">
                        <w:rPr>
                          <w:rFonts w:ascii="Arial" w:hAnsi="Arial" w:cs="Arial"/>
                          <w:bCs/>
                          <w:sz w:val="20"/>
                          <w:szCs w:val="20"/>
                        </w:rPr>
                        <w:t>analyzed</w:t>
                      </w:r>
                      <w:proofErr w:type="spellEnd"/>
                      <w:r w:rsidR="008F786C" w:rsidRPr="008F786C">
                        <w:rPr>
                          <w:rFonts w:ascii="Arial" w:hAnsi="Arial" w:cs="Arial"/>
                          <w:bCs/>
                          <w:sz w:val="20"/>
                          <w:szCs w:val="20"/>
                        </w:rPr>
                        <w:t>. Key parameters—rainfall, temperature, potential evapotranspiration (PET), and aridity—were evaluated across these periods. Results indicate a projected decline in rainfall, a rise in mean temperature, and an associated increase in PET, collectively contributing to heightened aridity and drier conditions in the basin over time. Evidence of climate change impacts is already discernible in the baseline and present periods, with future scenarios suggesting intensified water scarcity due to reduced precipitation and elevated PET. Strategic water management, including optimized utilization and conservation of limited water resources, is proposed as a vital approach to mitigate anticipated water shortages in the Mahi Basin.</w:t>
                      </w:r>
                    </w:p>
                    <w:p w14:paraId="27A09714" w14:textId="08806C53" w:rsidR="008F786C" w:rsidRPr="008F786C" w:rsidRDefault="008F786C" w:rsidP="008F786C">
                      <w:pPr>
                        <w:jc w:val="both"/>
                        <w:rPr>
                          <w:sz w:val="20"/>
                          <w:szCs w:val="20"/>
                        </w:rPr>
                      </w:pPr>
                    </w:p>
                  </w:txbxContent>
                </v:textbox>
                <w10:wrap type="topAndBottom" anchorx="margin"/>
              </v:shape>
            </w:pict>
          </mc:Fallback>
        </mc:AlternateContent>
      </w:r>
      <w:r>
        <w:rPr>
          <w:rFonts w:ascii="Arial" w:hAnsi="Arial" w:cs="Arial"/>
          <w:b/>
          <w:sz w:val="20"/>
          <w:szCs w:val="20"/>
        </w:rPr>
        <w:t>ABSTRACT</w:t>
      </w:r>
    </w:p>
    <w:p w14:paraId="005CE6E1" w14:textId="09AE91BE" w:rsidR="00E33EE9" w:rsidRPr="008F786C" w:rsidRDefault="00B90709" w:rsidP="008601DE">
      <w:pPr>
        <w:spacing w:line="360" w:lineRule="auto"/>
        <w:rPr>
          <w:rFonts w:ascii="Arial" w:hAnsi="Arial" w:cs="Arial"/>
          <w:sz w:val="20"/>
          <w:szCs w:val="20"/>
        </w:rPr>
      </w:pPr>
      <w:r w:rsidRPr="008F786C">
        <w:rPr>
          <w:rFonts w:ascii="Arial" w:hAnsi="Arial" w:cs="Arial"/>
          <w:b/>
          <w:bCs/>
          <w:i/>
          <w:iCs/>
          <w:sz w:val="20"/>
          <w:szCs w:val="20"/>
        </w:rPr>
        <w:t>Keywords</w:t>
      </w:r>
      <w:r w:rsidR="008601DE" w:rsidRPr="008F786C">
        <w:rPr>
          <w:rFonts w:ascii="Arial" w:hAnsi="Arial" w:cs="Arial"/>
          <w:b/>
          <w:bCs/>
          <w:i/>
          <w:iCs/>
          <w:sz w:val="20"/>
          <w:szCs w:val="20"/>
        </w:rPr>
        <w:t xml:space="preserve">; </w:t>
      </w:r>
      <w:r w:rsidR="00384EE9" w:rsidRPr="008F786C">
        <w:rPr>
          <w:rFonts w:ascii="Arial" w:hAnsi="Arial" w:cs="Arial"/>
          <w:sz w:val="20"/>
          <w:szCs w:val="20"/>
        </w:rPr>
        <w:t xml:space="preserve">Aridity, Aridity Index, Climate change, Global warming, Potential Evapotranspiration </w:t>
      </w:r>
    </w:p>
    <w:p w14:paraId="1D1C381D" w14:textId="77777777" w:rsidR="00E33EE9" w:rsidRPr="008638B1" w:rsidRDefault="00E33EE9" w:rsidP="009D28B7">
      <w:pPr>
        <w:spacing w:line="360" w:lineRule="auto"/>
        <w:rPr>
          <w:rFonts w:ascii="Arial" w:hAnsi="Arial" w:cs="Arial"/>
          <w:b/>
          <w:color w:val="000000" w:themeColor="text1"/>
          <w:sz w:val="20"/>
          <w:szCs w:val="20"/>
          <w:shd w:val="clear" w:color="auto" w:fill="FFFFFF"/>
        </w:rPr>
      </w:pPr>
    </w:p>
    <w:p w14:paraId="746C0BE2" w14:textId="77777777" w:rsidR="00E33EE9" w:rsidRPr="008638B1" w:rsidRDefault="00E33EE9" w:rsidP="009D28B7">
      <w:pPr>
        <w:spacing w:line="360" w:lineRule="auto"/>
        <w:rPr>
          <w:rFonts w:ascii="Arial" w:hAnsi="Arial" w:cs="Arial"/>
          <w:b/>
          <w:color w:val="000000" w:themeColor="text1"/>
          <w:sz w:val="20"/>
          <w:szCs w:val="20"/>
          <w:shd w:val="clear" w:color="auto" w:fill="FFFFFF"/>
        </w:rPr>
      </w:pPr>
    </w:p>
    <w:p w14:paraId="7718D582" w14:textId="6D05DE75" w:rsidR="00FB47E5" w:rsidRPr="008638B1" w:rsidRDefault="00FB47E5" w:rsidP="00FB47E5">
      <w:pPr>
        <w:spacing w:line="360" w:lineRule="auto"/>
        <w:rPr>
          <w:rFonts w:ascii="Arial" w:hAnsi="Arial" w:cs="Arial"/>
          <w:b/>
          <w:shd w:val="clear" w:color="auto" w:fill="FFFFFF"/>
        </w:rPr>
      </w:pPr>
      <w:r w:rsidRPr="008638B1">
        <w:rPr>
          <w:rFonts w:ascii="Arial" w:hAnsi="Arial" w:cs="Arial"/>
          <w:b/>
          <w:shd w:val="clear" w:color="auto" w:fill="FFFFFF"/>
        </w:rPr>
        <w:t>1. INTRODUCTION</w:t>
      </w:r>
    </w:p>
    <w:p w14:paraId="69FFE3AE" w14:textId="602CCF73" w:rsidR="00FB47E5" w:rsidRPr="008638B1" w:rsidRDefault="00FB47E5" w:rsidP="00FB47E5">
      <w:pPr>
        <w:rPr>
          <w:rFonts w:ascii="Arial" w:hAnsi="Arial" w:cs="Arial"/>
          <w:b/>
          <w:bCs/>
          <w:sz w:val="20"/>
          <w:szCs w:val="20"/>
          <w:shd w:val="clear" w:color="auto" w:fill="FFFFFF"/>
        </w:rPr>
      </w:pPr>
      <w:r w:rsidRPr="008638B1">
        <w:rPr>
          <w:rFonts w:ascii="Arial" w:hAnsi="Arial" w:cs="Arial"/>
          <w:b/>
          <w:bCs/>
          <w:sz w:val="20"/>
          <w:szCs w:val="20"/>
          <w:shd w:val="clear" w:color="auto" w:fill="FFFFFF"/>
        </w:rPr>
        <w:t>1.1 Weather and climate</w:t>
      </w:r>
    </w:p>
    <w:p w14:paraId="321F49D1" w14:textId="58C153B4" w:rsidR="00FB47E5" w:rsidRPr="008638B1" w:rsidRDefault="00FB47E5" w:rsidP="00E54D9B">
      <w:pPr>
        <w:spacing w:line="360" w:lineRule="auto"/>
        <w:jc w:val="both"/>
        <w:rPr>
          <w:rFonts w:ascii="Arial" w:hAnsi="Arial" w:cs="Arial"/>
          <w:sz w:val="20"/>
          <w:szCs w:val="20"/>
          <w:shd w:val="clear" w:color="auto" w:fill="FFFFFF"/>
        </w:rPr>
      </w:pPr>
      <w:r w:rsidRPr="008638B1">
        <w:rPr>
          <w:rFonts w:ascii="Arial" w:hAnsi="Arial" w:cs="Arial"/>
          <w:sz w:val="20"/>
          <w:szCs w:val="20"/>
          <w:shd w:val="clear" w:color="auto" w:fill="FFFFFF"/>
        </w:rPr>
        <w:t xml:space="preserve">Weather refers to the short-term atmospheric conditions of a region, which can change within minutes to weeks. In contrast, climate represents the long-term average of weather patterns observed over a period typically exceeding 30 </w:t>
      </w:r>
      <w:r w:rsidR="00FC3FC1" w:rsidRPr="008638B1">
        <w:rPr>
          <w:rFonts w:ascii="Arial" w:hAnsi="Arial" w:cs="Arial"/>
          <w:sz w:val="20"/>
          <w:szCs w:val="20"/>
          <w:shd w:val="clear" w:color="auto" w:fill="FFFFFF"/>
        </w:rPr>
        <w:t>years [1,2]</w:t>
      </w:r>
      <w:r w:rsidRPr="008638B1">
        <w:rPr>
          <w:rFonts w:ascii="Arial" w:hAnsi="Arial" w:cs="Arial"/>
          <w:sz w:val="20"/>
          <w:szCs w:val="20"/>
          <w:shd w:val="clear" w:color="auto" w:fill="FFFFFF"/>
        </w:rPr>
        <w:t xml:space="preserve">. It is determined by several meteorological variables such as temperature, precipitation, atmospheric pressure, wind speed, humidity, and sunshine duration. Climate plays a vital role in shaping human activities, particularly in sectors like agriculture, water resources, and </w:t>
      </w:r>
      <w:r w:rsidR="00FC3FC1" w:rsidRPr="008638B1">
        <w:rPr>
          <w:rFonts w:ascii="Arial" w:hAnsi="Arial" w:cs="Arial"/>
          <w:sz w:val="20"/>
          <w:szCs w:val="20"/>
          <w:shd w:val="clear" w:color="auto" w:fill="FFFFFF"/>
        </w:rPr>
        <w:t>health [3,4,5]</w:t>
      </w:r>
      <w:r w:rsidRPr="008638B1">
        <w:rPr>
          <w:rFonts w:ascii="Arial" w:hAnsi="Arial" w:cs="Arial"/>
          <w:sz w:val="20"/>
          <w:szCs w:val="20"/>
          <w:shd w:val="clear" w:color="auto" w:fill="FFFFFF"/>
        </w:rPr>
        <w:t xml:space="preserve">. Climate change refers to significant and long-term shifts in average climatic </w:t>
      </w:r>
      <w:r w:rsidR="00FC3FC1" w:rsidRPr="008638B1">
        <w:rPr>
          <w:rFonts w:ascii="Arial" w:hAnsi="Arial" w:cs="Arial"/>
          <w:sz w:val="20"/>
          <w:szCs w:val="20"/>
          <w:shd w:val="clear" w:color="auto" w:fill="FFFFFF"/>
        </w:rPr>
        <w:t>conditions. [6]</w:t>
      </w:r>
      <w:r w:rsidRPr="008638B1">
        <w:rPr>
          <w:rFonts w:ascii="Arial" w:hAnsi="Arial" w:cs="Arial"/>
          <w:sz w:val="20"/>
          <w:szCs w:val="20"/>
          <w:shd w:val="clear" w:color="auto" w:fill="FFFFFF"/>
        </w:rPr>
        <w:t xml:space="preserve"> The United Nations Framework Convention on Climate Change (UNFCCC) defines it as “a change in climate attributed directly or indirectly to human activity that alters the composition of the </w:t>
      </w:r>
      <w:r w:rsidRPr="008638B1">
        <w:rPr>
          <w:rFonts w:ascii="Arial" w:hAnsi="Arial" w:cs="Arial"/>
          <w:sz w:val="20"/>
          <w:szCs w:val="20"/>
          <w:shd w:val="clear" w:color="auto" w:fill="FFFFFF"/>
        </w:rPr>
        <w:lastRenderedPageBreak/>
        <w:t>global atmosphere, and which is in addition to natural climate variability observed over comparable time periods.” This phenomenon is primarily driven by the increase in greenhouse gases (GHGs) such as carbon dioxide (CO</w:t>
      </w:r>
      <w:r w:rsidRPr="008638B1">
        <w:rPr>
          <w:rFonts w:ascii="Cambria Math" w:hAnsi="Cambria Math" w:cs="Cambria Math"/>
          <w:sz w:val="20"/>
          <w:szCs w:val="20"/>
          <w:shd w:val="clear" w:color="auto" w:fill="FFFFFF"/>
        </w:rPr>
        <w:t>₂</w:t>
      </w:r>
      <w:r w:rsidRPr="008638B1">
        <w:rPr>
          <w:rFonts w:ascii="Arial" w:hAnsi="Arial" w:cs="Arial"/>
          <w:sz w:val="20"/>
          <w:szCs w:val="20"/>
          <w:shd w:val="clear" w:color="auto" w:fill="FFFFFF"/>
        </w:rPr>
        <w:t>), methane (CH</w:t>
      </w:r>
      <w:r w:rsidRPr="008638B1">
        <w:rPr>
          <w:rFonts w:ascii="Cambria Math" w:hAnsi="Cambria Math" w:cs="Cambria Math"/>
          <w:sz w:val="20"/>
          <w:szCs w:val="20"/>
          <w:shd w:val="clear" w:color="auto" w:fill="FFFFFF"/>
        </w:rPr>
        <w:t>₄</w:t>
      </w:r>
      <w:r w:rsidRPr="008638B1">
        <w:rPr>
          <w:rFonts w:ascii="Arial" w:hAnsi="Arial" w:cs="Arial"/>
          <w:sz w:val="20"/>
          <w:szCs w:val="20"/>
          <w:shd w:val="clear" w:color="auto" w:fill="FFFFFF"/>
        </w:rPr>
        <w:t>), nitrous oxide (N</w:t>
      </w:r>
      <w:r w:rsidRPr="008638B1">
        <w:rPr>
          <w:rFonts w:ascii="Cambria Math" w:hAnsi="Cambria Math" w:cs="Cambria Math"/>
          <w:sz w:val="20"/>
          <w:szCs w:val="20"/>
          <w:shd w:val="clear" w:color="auto" w:fill="FFFFFF"/>
        </w:rPr>
        <w:t>₂</w:t>
      </w:r>
      <w:r w:rsidRPr="008638B1">
        <w:rPr>
          <w:rFonts w:ascii="Arial" w:hAnsi="Arial" w:cs="Arial"/>
          <w:sz w:val="20"/>
          <w:szCs w:val="20"/>
          <w:shd w:val="clear" w:color="auto" w:fill="FFFFFF"/>
        </w:rPr>
        <w:t>O), and ozone (O</w:t>
      </w:r>
      <w:r w:rsidRPr="008638B1">
        <w:rPr>
          <w:rFonts w:ascii="Cambria Math" w:hAnsi="Cambria Math" w:cs="Cambria Math"/>
          <w:sz w:val="20"/>
          <w:szCs w:val="20"/>
          <w:shd w:val="clear" w:color="auto" w:fill="FFFFFF"/>
        </w:rPr>
        <w:t>₃</w:t>
      </w:r>
      <w:r w:rsidRPr="008638B1">
        <w:rPr>
          <w:rFonts w:ascii="Arial" w:hAnsi="Arial" w:cs="Arial"/>
          <w:sz w:val="20"/>
          <w:szCs w:val="20"/>
          <w:shd w:val="clear" w:color="auto" w:fill="FFFFFF"/>
        </w:rPr>
        <w:t xml:space="preserve">), which trap heat in the atmosphere by absorbing long-wave </w:t>
      </w:r>
      <w:r w:rsidR="00FC3FC1" w:rsidRPr="008638B1">
        <w:rPr>
          <w:rFonts w:ascii="Arial" w:hAnsi="Arial" w:cs="Arial"/>
          <w:sz w:val="20"/>
          <w:szCs w:val="20"/>
          <w:shd w:val="clear" w:color="auto" w:fill="FFFFFF"/>
        </w:rPr>
        <w:t>radiation [7,8]</w:t>
      </w:r>
      <w:r w:rsidRPr="008638B1">
        <w:rPr>
          <w:rFonts w:ascii="Arial" w:hAnsi="Arial" w:cs="Arial"/>
          <w:sz w:val="20"/>
          <w:szCs w:val="20"/>
          <w:shd w:val="clear" w:color="auto" w:fill="FFFFFF"/>
        </w:rPr>
        <w:t xml:space="preserve">. Changes in aerosols, solar radiation, and land surface properties also contribute to the disturbance of Earth’s energy balance, a process described through radiative </w:t>
      </w:r>
      <w:r w:rsidR="00FC3FC1" w:rsidRPr="008638B1">
        <w:rPr>
          <w:rFonts w:ascii="Arial" w:hAnsi="Arial" w:cs="Arial"/>
          <w:sz w:val="20"/>
          <w:szCs w:val="20"/>
          <w:shd w:val="clear" w:color="auto" w:fill="FFFFFF"/>
        </w:rPr>
        <w:t>forcing [9,10]</w:t>
      </w:r>
      <w:r w:rsidRPr="008638B1">
        <w:rPr>
          <w:rFonts w:ascii="Arial" w:hAnsi="Arial" w:cs="Arial"/>
          <w:sz w:val="20"/>
          <w:szCs w:val="20"/>
          <w:shd w:val="clear" w:color="auto" w:fill="FFFFFF"/>
        </w:rPr>
        <w:t xml:space="preserve">. According to the Fourth Assessment Report (AR4) of the Intergovernmental Panel on Climate Change </w:t>
      </w:r>
      <w:r w:rsidRPr="00A82EB1">
        <w:rPr>
          <w:rFonts w:ascii="Arial" w:hAnsi="Arial" w:cs="Arial"/>
          <w:b/>
          <w:bCs/>
          <w:sz w:val="20"/>
          <w:szCs w:val="20"/>
          <w:shd w:val="clear" w:color="auto" w:fill="FFFFFF"/>
        </w:rPr>
        <w:t>(IPCC, 2007),</w:t>
      </w:r>
      <w:r w:rsidRPr="008638B1">
        <w:rPr>
          <w:rFonts w:ascii="Arial" w:hAnsi="Arial" w:cs="Arial"/>
          <w:sz w:val="20"/>
          <w:szCs w:val="20"/>
          <w:shd w:val="clear" w:color="auto" w:fill="FFFFFF"/>
        </w:rPr>
        <w:t xml:space="preserve"> the global mean surface temperature has increased by 0.74°C over the last century, with a rate of approximately 0.13°C per decade. Projections indicate that global temperatures may rise by 1.1°C to 6.4°C by the end of the 21st century. This rising global temperature affects the hydrological cycle, leading to changes in water availability and distribution. Such shifts impact not only water resources but also public health, agricultural productivity, and industrial and municipal water </w:t>
      </w:r>
      <w:r w:rsidR="00FC3FC1" w:rsidRPr="008638B1">
        <w:rPr>
          <w:rFonts w:ascii="Arial" w:hAnsi="Arial" w:cs="Arial"/>
          <w:sz w:val="20"/>
          <w:szCs w:val="20"/>
          <w:shd w:val="clear" w:color="auto" w:fill="FFFFFF"/>
        </w:rPr>
        <w:t>demands [11,12]</w:t>
      </w:r>
      <w:r w:rsidRPr="008638B1">
        <w:rPr>
          <w:rFonts w:ascii="Arial" w:hAnsi="Arial" w:cs="Arial"/>
          <w:sz w:val="20"/>
          <w:szCs w:val="20"/>
          <w:shd w:val="clear" w:color="auto" w:fill="FFFFFF"/>
        </w:rPr>
        <w:t xml:space="preserve">. Due to the close link between climate and hydrology, variations in temperature and precipitation are expected to alter hydrological variables and increase the occurrence of extreme events such as droughts and floods. Monitoring these changes and implementing effective water resource management and climate adaptation strategies are essential for ensuring food and livelihood security in the face of </w:t>
      </w:r>
      <w:r w:rsidRPr="006E50BC">
        <w:rPr>
          <w:rFonts w:ascii="Arial" w:hAnsi="Arial" w:cs="Arial"/>
          <w:sz w:val="20"/>
          <w:szCs w:val="20"/>
          <w:highlight w:val="yellow"/>
          <w:shd w:val="clear" w:color="auto" w:fill="FFFFFF"/>
        </w:rPr>
        <w:t>future climate uncertainty</w:t>
      </w:r>
      <w:r w:rsidR="00FC3FC1" w:rsidRPr="006E50BC">
        <w:rPr>
          <w:rFonts w:ascii="Arial" w:hAnsi="Arial" w:cs="Arial"/>
          <w:sz w:val="20"/>
          <w:szCs w:val="20"/>
          <w:highlight w:val="yellow"/>
          <w:shd w:val="clear" w:color="auto" w:fill="FFFFFF"/>
        </w:rPr>
        <w:t xml:space="preserve"> [13,14,15]</w:t>
      </w:r>
      <w:r w:rsidRPr="006E50BC">
        <w:rPr>
          <w:rFonts w:ascii="Arial" w:hAnsi="Arial" w:cs="Arial"/>
          <w:sz w:val="20"/>
          <w:szCs w:val="20"/>
          <w:highlight w:val="yellow"/>
          <w:shd w:val="clear" w:color="auto" w:fill="FFFFFF"/>
        </w:rPr>
        <w:t>.</w:t>
      </w:r>
    </w:p>
    <w:p w14:paraId="26F35AE5" w14:textId="3CEDC242" w:rsidR="00734A87" w:rsidRPr="008638B1" w:rsidRDefault="00734A87" w:rsidP="009D28B7">
      <w:pPr>
        <w:autoSpaceDE w:val="0"/>
        <w:autoSpaceDN w:val="0"/>
        <w:adjustRightInd w:val="0"/>
        <w:spacing w:after="0" w:line="360" w:lineRule="auto"/>
        <w:jc w:val="both"/>
        <w:rPr>
          <w:rFonts w:ascii="Arial" w:hAnsi="Arial" w:cs="Arial"/>
          <w:b/>
          <w:sz w:val="20"/>
          <w:szCs w:val="20"/>
        </w:rPr>
      </w:pPr>
      <w:r w:rsidRPr="008638B1">
        <w:rPr>
          <w:rFonts w:ascii="Arial" w:hAnsi="Arial" w:cs="Arial"/>
          <w:b/>
          <w:sz w:val="20"/>
          <w:szCs w:val="20"/>
        </w:rPr>
        <w:t>1.</w:t>
      </w:r>
      <w:r w:rsidR="00D665EB" w:rsidRPr="008638B1">
        <w:rPr>
          <w:rFonts w:ascii="Arial" w:hAnsi="Arial" w:cs="Arial"/>
          <w:b/>
          <w:sz w:val="20"/>
          <w:szCs w:val="20"/>
        </w:rPr>
        <w:t>2</w:t>
      </w:r>
      <w:r w:rsidR="00FB47E5" w:rsidRPr="008638B1">
        <w:rPr>
          <w:rFonts w:ascii="Arial" w:hAnsi="Arial" w:cs="Arial"/>
          <w:b/>
          <w:sz w:val="20"/>
          <w:szCs w:val="20"/>
        </w:rPr>
        <w:t xml:space="preserve"> Aridity</w:t>
      </w:r>
    </w:p>
    <w:p w14:paraId="12481166" w14:textId="4E86D52A" w:rsidR="00FB47E5" w:rsidRPr="008638B1" w:rsidRDefault="00FB47E5" w:rsidP="00FB47E5">
      <w:pPr>
        <w:spacing w:line="360" w:lineRule="auto"/>
        <w:jc w:val="both"/>
        <w:rPr>
          <w:rFonts w:ascii="Arial" w:hAnsi="Arial" w:cs="Arial"/>
          <w:sz w:val="20"/>
          <w:szCs w:val="20"/>
        </w:rPr>
      </w:pPr>
      <w:r w:rsidRPr="008638B1">
        <w:rPr>
          <w:rFonts w:ascii="Arial" w:hAnsi="Arial" w:cs="Arial"/>
          <w:sz w:val="20"/>
          <w:szCs w:val="20"/>
        </w:rPr>
        <w:t>Aridity typically conjures images of dry, desert-like landscapes with minimal surface water, scarce rainfall, and sparse vegetation. In simple terms, aridity refers to a deficiency of water, primarily as a result of climatic conditions</w:t>
      </w:r>
      <w:r w:rsidR="00F20DE0" w:rsidRPr="008638B1">
        <w:rPr>
          <w:rFonts w:ascii="Arial" w:hAnsi="Arial" w:cs="Arial"/>
          <w:sz w:val="20"/>
          <w:szCs w:val="20"/>
        </w:rPr>
        <w:t xml:space="preserve"> [16,17]</w:t>
      </w:r>
      <w:r w:rsidRPr="008638B1">
        <w:rPr>
          <w:rFonts w:ascii="Arial" w:hAnsi="Arial" w:cs="Arial"/>
          <w:sz w:val="20"/>
          <w:szCs w:val="20"/>
        </w:rPr>
        <w:t>. It is defined by a persistent lack of moisture, making it essentially a climatic phenomenon determined by long-term average weather conditions over a region</w:t>
      </w:r>
      <w:r w:rsidR="00F20DE0" w:rsidRPr="008638B1">
        <w:rPr>
          <w:rFonts w:ascii="Arial" w:hAnsi="Arial" w:cs="Arial"/>
          <w:sz w:val="20"/>
          <w:szCs w:val="20"/>
        </w:rPr>
        <w:t xml:space="preserve"> [18]</w:t>
      </w:r>
      <w:r w:rsidRPr="008638B1">
        <w:rPr>
          <w:rFonts w:ascii="Arial" w:hAnsi="Arial" w:cs="Arial"/>
          <w:sz w:val="20"/>
          <w:szCs w:val="20"/>
        </w:rPr>
        <w:t xml:space="preserve">. According to </w:t>
      </w:r>
      <w:r w:rsidR="00A82EB1" w:rsidRPr="00A82EB1">
        <w:rPr>
          <w:rFonts w:ascii="Arial" w:hAnsi="Arial" w:cs="Arial"/>
          <w:sz w:val="20"/>
          <w:szCs w:val="20"/>
        </w:rPr>
        <w:t>[19]</w:t>
      </w:r>
      <w:r w:rsidRPr="00A82EB1">
        <w:rPr>
          <w:rFonts w:ascii="Arial" w:hAnsi="Arial" w:cs="Arial"/>
          <w:sz w:val="20"/>
          <w:szCs w:val="20"/>
        </w:rPr>
        <w:t xml:space="preserve"> </w:t>
      </w:r>
      <w:r w:rsidRPr="008638B1">
        <w:rPr>
          <w:rFonts w:ascii="Arial" w:hAnsi="Arial" w:cs="Arial"/>
          <w:sz w:val="20"/>
          <w:szCs w:val="20"/>
        </w:rPr>
        <w:t>whether a climate is considered ‘moist’ or ‘dry’ depends not only on the total amount of precipitation but also on its adequacy in meeting the atmospheric demand for moisture, known as evapotranspiration—which includes both evaporation and plant transpiration.</w:t>
      </w:r>
      <w:r w:rsidR="001314CD" w:rsidRPr="008638B1">
        <w:rPr>
          <w:rFonts w:ascii="Arial" w:hAnsi="Arial" w:cs="Arial"/>
          <w:sz w:val="20"/>
          <w:szCs w:val="20"/>
        </w:rPr>
        <w:t xml:space="preserve"> </w:t>
      </w:r>
      <w:r w:rsidR="00D857CE">
        <w:rPr>
          <w:rFonts w:ascii="Arial" w:hAnsi="Arial" w:cs="Arial"/>
          <w:sz w:val="20"/>
          <w:szCs w:val="20"/>
        </w:rPr>
        <w:t>According to [19]</w:t>
      </w:r>
      <w:r w:rsidRPr="008638B1">
        <w:rPr>
          <w:rFonts w:ascii="Arial" w:hAnsi="Arial" w:cs="Arial"/>
          <w:sz w:val="20"/>
          <w:szCs w:val="20"/>
        </w:rPr>
        <w:t xml:space="preserve"> introduced the concept of potential evapotranspiration (PET), describing it as the maximum possible water loss to the atmosphere under ideal moisture conditions. </w:t>
      </w:r>
      <w:r w:rsidR="00D857CE" w:rsidRPr="00D857CE">
        <w:rPr>
          <w:rFonts w:ascii="Arial" w:hAnsi="Arial" w:cs="Arial"/>
          <w:sz w:val="20"/>
          <w:szCs w:val="20"/>
          <w:highlight w:val="yellow"/>
        </w:rPr>
        <w:t>According to [20,21</w:t>
      </w:r>
      <w:r w:rsidR="007E5F97">
        <w:rPr>
          <w:rFonts w:ascii="Arial" w:hAnsi="Arial" w:cs="Arial"/>
          <w:sz w:val="20"/>
          <w:szCs w:val="20"/>
          <w:highlight w:val="yellow"/>
        </w:rPr>
        <w:t>,22</w:t>
      </w:r>
      <w:r w:rsidR="00D857CE" w:rsidRPr="00D857CE">
        <w:rPr>
          <w:rFonts w:ascii="Arial" w:hAnsi="Arial" w:cs="Arial"/>
          <w:sz w:val="20"/>
          <w:szCs w:val="20"/>
          <w:highlight w:val="yellow"/>
        </w:rPr>
        <w:t>]</w:t>
      </w:r>
      <w:r w:rsidR="00D857CE">
        <w:rPr>
          <w:rFonts w:ascii="Arial" w:hAnsi="Arial" w:cs="Arial"/>
          <w:sz w:val="20"/>
          <w:szCs w:val="20"/>
        </w:rPr>
        <w:t xml:space="preserve"> </w:t>
      </w:r>
      <w:r w:rsidR="00D857CE" w:rsidRPr="008638B1">
        <w:rPr>
          <w:rFonts w:ascii="Arial" w:hAnsi="Arial" w:cs="Arial"/>
          <w:sz w:val="20"/>
          <w:szCs w:val="20"/>
        </w:rPr>
        <w:t>further</w:t>
      </w:r>
      <w:r w:rsidRPr="008638B1">
        <w:rPr>
          <w:rFonts w:ascii="Arial" w:hAnsi="Arial" w:cs="Arial"/>
          <w:sz w:val="20"/>
          <w:szCs w:val="20"/>
        </w:rPr>
        <w:t xml:space="preserve"> refined this definition, characterizing PET as the water loss from a well-watered, short green crop completely covering the ground. Hence, aridity is fundamentally influenced by both precipitation and PET. Temperature and the seasonal distribution of rainfall are additional critical factors</w:t>
      </w:r>
      <w:r w:rsidR="00B304D1" w:rsidRPr="008638B1">
        <w:rPr>
          <w:rFonts w:ascii="Arial" w:hAnsi="Arial" w:cs="Arial"/>
          <w:sz w:val="20"/>
          <w:szCs w:val="20"/>
        </w:rPr>
        <w:t xml:space="preserve"> [2</w:t>
      </w:r>
      <w:r w:rsidR="00D857CE">
        <w:rPr>
          <w:rFonts w:ascii="Arial" w:hAnsi="Arial" w:cs="Arial"/>
          <w:sz w:val="20"/>
          <w:szCs w:val="20"/>
        </w:rPr>
        <w:t>3</w:t>
      </w:r>
      <w:r w:rsidR="00B304D1" w:rsidRPr="008638B1">
        <w:rPr>
          <w:rFonts w:ascii="Arial" w:hAnsi="Arial" w:cs="Arial"/>
          <w:sz w:val="20"/>
          <w:szCs w:val="20"/>
        </w:rPr>
        <w:t>]</w:t>
      </w:r>
      <w:r w:rsidRPr="008638B1">
        <w:rPr>
          <w:rFonts w:ascii="Arial" w:hAnsi="Arial" w:cs="Arial"/>
          <w:sz w:val="20"/>
          <w:szCs w:val="20"/>
        </w:rPr>
        <w:t xml:space="preserve">. For instance, precipitation occurring during cooler months in warmer regions can enhance plant growth, as lower temperatures reduce direct evapotranspiration </w:t>
      </w:r>
      <w:r w:rsidR="00B304D1" w:rsidRPr="008638B1">
        <w:rPr>
          <w:rFonts w:ascii="Arial" w:hAnsi="Arial" w:cs="Arial"/>
          <w:sz w:val="20"/>
          <w:szCs w:val="20"/>
        </w:rPr>
        <w:t>losses [2</w:t>
      </w:r>
      <w:r w:rsidR="00D857CE">
        <w:rPr>
          <w:rFonts w:ascii="Arial" w:hAnsi="Arial" w:cs="Arial"/>
          <w:sz w:val="20"/>
          <w:szCs w:val="20"/>
        </w:rPr>
        <w:t>4</w:t>
      </w:r>
      <w:r w:rsidR="00B304D1" w:rsidRPr="008638B1">
        <w:rPr>
          <w:rFonts w:ascii="Arial" w:hAnsi="Arial" w:cs="Arial"/>
          <w:sz w:val="20"/>
          <w:szCs w:val="20"/>
        </w:rPr>
        <w:t>]. Aridity</w:t>
      </w:r>
      <w:r w:rsidRPr="008638B1">
        <w:rPr>
          <w:rFonts w:ascii="Arial" w:hAnsi="Arial" w:cs="Arial"/>
          <w:sz w:val="20"/>
          <w:szCs w:val="20"/>
        </w:rPr>
        <w:t xml:space="preserve"> represents an extended period of below-average rainfall, leading to significant hydrological imbalances. These conditions can result in reduced </w:t>
      </w:r>
      <w:r w:rsidR="008638B1" w:rsidRPr="008638B1">
        <w:rPr>
          <w:rFonts w:ascii="Arial" w:hAnsi="Arial" w:cs="Arial"/>
          <w:sz w:val="20"/>
          <w:szCs w:val="20"/>
        </w:rPr>
        <w:t>stream flows</w:t>
      </w:r>
      <w:r w:rsidRPr="008638B1">
        <w:rPr>
          <w:rFonts w:ascii="Arial" w:hAnsi="Arial" w:cs="Arial"/>
          <w:sz w:val="20"/>
          <w:szCs w:val="20"/>
        </w:rPr>
        <w:t>, groundwater depletion, crop failure, and widespread water scarcity</w:t>
      </w:r>
      <w:r w:rsidR="00B304D1" w:rsidRPr="008638B1">
        <w:rPr>
          <w:rFonts w:ascii="Arial" w:hAnsi="Arial" w:cs="Arial"/>
          <w:sz w:val="20"/>
          <w:szCs w:val="20"/>
        </w:rPr>
        <w:t xml:space="preserve"> [2</w:t>
      </w:r>
      <w:r w:rsidR="00D857CE">
        <w:rPr>
          <w:rFonts w:ascii="Arial" w:hAnsi="Arial" w:cs="Arial"/>
          <w:sz w:val="20"/>
          <w:szCs w:val="20"/>
        </w:rPr>
        <w:t>5</w:t>
      </w:r>
      <w:r w:rsidR="00B304D1" w:rsidRPr="008638B1">
        <w:rPr>
          <w:rFonts w:ascii="Arial" w:hAnsi="Arial" w:cs="Arial"/>
          <w:sz w:val="20"/>
          <w:szCs w:val="20"/>
        </w:rPr>
        <w:t>,2</w:t>
      </w:r>
      <w:r w:rsidR="00D857CE">
        <w:rPr>
          <w:rFonts w:ascii="Arial" w:hAnsi="Arial" w:cs="Arial"/>
          <w:sz w:val="20"/>
          <w:szCs w:val="20"/>
        </w:rPr>
        <w:t>6</w:t>
      </w:r>
      <w:r w:rsidR="00B304D1" w:rsidRPr="008638B1">
        <w:rPr>
          <w:rFonts w:ascii="Arial" w:hAnsi="Arial" w:cs="Arial"/>
          <w:sz w:val="20"/>
          <w:szCs w:val="20"/>
        </w:rPr>
        <w:t>]</w:t>
      </w:r>
      <w:r w:rsidRPr="008638B1">
        <w:rPr>
          <w:rFonts w:ascii="Arial" w:hAnsi="Arial" w:cs="Arial"/>
          <w:sz w:val="20"/>
          <w:szCs w:val="20"/>
        </w:rPr>
        <w:t>. A key challenge in arid environments is the disparity between PET and actual evapotranspiration (AET), which depends on the availability of moisture. In many arid regions, AET remains low due to limited water availability, while surface water bodies may experience high AET rates that approach PET, causing substantial water loss. The severity and impact of aridity differ from region to region, depending on the total rainfall, its variability, and local water demand. Both natural variability and anthropogenic activities can influence changes in aridity</w:t>
      </w:r>
      <w:r w:rsidR="00B304D1" w:rsidRPr="008638B1">
        <w:rPr>
          <w:rFonts w:ascii="Arial" w:hAnsi="Arial" w:cs="Arial"/>
          <w:sz w:val="20"/>
          <w:szCs w:val="20"/>
        </w:rPr>
        <w:t xml:space="preserve"> [2</w:t>
      </w:r>
      <w:r w:rsidR="00D857CE">
        <w:rPr>
          <w:rFonts w:ascii="Arial" w:hAnsi="Arial" w:cs="Arial"/>
          <w:sz w:val="20"/>
          <w:szCs w:val="20"/>
        </w:rPr>
        <w:t>7</w:t>
      </w:r>
      <w:r w:rsidR="00B304D1" w:rsidRPr="008638B1">
        <w:rPr>
          <w:rFonts w:ascii="Arial" w:hAnsi="Arial" w:cs="Arial"/>
          <w:sz w:val="20"/>
          <w:szCs w:val="20"/>
        </w:rPr>
        <w:t>,2</w:t>
      </w:r>
      <w:r w:rsidR="00D857CE">
        <w:rPr>
          <w:rFonts w:ascii="Arial" w:hAnsi="Arial" w:cs="Arial"/>
          <w:sz w:val="20"/>
          <w:szCs w:val="20"/>
        </w:rPr>
        <w:t>8</w:t>
      </w:r>
      <w:r w:rsidR="00B304D1" w:rsidRPr="008638B1">
        <w:rPr>
          <w:rFonts w:ascii="Arial" w:hAnsi="Arial" w:cs="Arial"/>
          <w:sz w:val="20"/>
          <w:szCs w:val="20"/>
        </w:rPr>
        <w:t>]</w:t>
      </w:r>
      <w:r w:rsidRPr="008638B1">
        <w:rPr>
          <w:rFonts w:ascii="Arial" w:hAnsi="Arial" w:cs="Arial"/>
          <w:sz w:val="20"/>
          <w:szCs w:val="20"/>
        </w:rPr>
        <w:t xml:space="preserve">. Investigating these changes is particularly important in arid and semi-arid regions, where climate change is projected to significantly alter precipitation </w:t>
      </w:r>
      <w:r w:rsidRPr="008638B1">
        <w:rPr>
          <w:rFonts w:ascii="Arial" w:hAnsi="Arial" w:cs="Arial"/>
          <w:sz w:val="20"/>
          <w:szCs w:val="20"/>
        </w:rPr>
        <w:lastRenderedPageBreak/>
        <w:t>patterns and temperature regimes, thereby affecting the regional water balance and increasing vulnerability to drought</w:t>
      </w:r>
      <w:r w:rsidR="00B304D1" w:rsidRPr="008638B1">
        <w:rPr>
          <w:rFonts w:ascii="Arial" w:hAnsi="Arial" w:cs="Arial"/>
          <w:sz w:val="20"/>
          <w:szCs w:val="20"/>
        </w:rPr>
        <w:t xml:space="preserve"> [2</w:t>
      </w:r>
      <w:r w:rsidR="00D857CE">
        <w:rPr>
          <w:rFonts w:ascii="Arial" w:hAnsi="Arial" w:cs="Arial"/>
          <w:sz w:val="20"/>
          <w:szCs w:val="20"/>
        </w:rPr>
        <w:t>9</w:t>
      </w:r>
      <w:r w:rsidR="00B304D1" w:rsidRPr="008638B1">
        <w:rPr>
          <w:rFonts w:ascii="Arial" w:hAnsi="Arial" w:cs="Arial"/>
          <w:sz w:val="20"/>
          <w:szCs w:val="20"/>
        </w:rPr>
        <w:t>,</w:t>
      </w:r>
      <w:r w:rsidR="00D857CE">
        <w:rPr>
          <w:rFonts w:ascii="Arial" w:hAnsi="Arial" w:cs="Arial"/>
          <w:sz w:val="20"/>
          <w:szCs w:val="20"/>
        </w:rPr>
        <w:t>30</w:t>
      </w:r>
      <w:r w:rsidR="00B304D1" w:rsidRPr="008638B1">
        <w:rPr>
          <w:rFonts w:ascii="Arial" w:hAnsi="Arial" w:cs="Arial"/>
          <w:sz w:val="20"/>
          <w:szCs w:val="20"/>
        </w:rPr>
        <w:t>]</w:t>
      </w:r>
      <w:r w:rsidRPr="008638B1">
        <w:rPr>
          <w:rFonts w:ascii="Arial" w:hAnsi="Arial" w:cs="Arial"/>
          <w:sz w:val="20"/>
          <w:szCs w:val="20"/>
        </w:rPr>
        <w:t>.</w:t>
      </w:r>
      <w:r w:rsidR="00B304D1" w:rsidRPr="008638B1">
        <w:rPr>
          <w:rFonts w:ascii="Arial" w:hAnsi="Arial" w:cs="Arial"/>
          <w:sz w:val="20"/>
          <w:szCs w:val="20"/>
        </w:rPr>
        <w:t xml:space="preserve"> </w:t>
      </w:r>
    </w:p>
    <w:p w14:paraId="78F4A7DF" w14:textId="3FAC1998" w:rsidR="00D30126" w:rsidRPr="008638B1" w:rsidRDefault="00AB6E58" w:rsidP="009D28B7">
      <w:pPr>
        <w:spacing w:line="360" w:lineRule="auto"/>
        <w:rPr>
          <w:rFonts w:ascii="Arial" w:hAnsi="Arial" w:cs="Arial"/>
          <w:b/>
          <w:bCs/>
          <w:sz w:val="20"/>
          <w:szCs w:val="20"/>
        </w:rPr>
      </w:pPr>
      <w:r w:rsidRPr="008638B1">
        <w:rPr>
          <w:rFonts w:ascii="Arial" w:hAnsi="Arial" w:cs="Arial"/>
          <w:b/>
          <w:bCs/>
          <w:sz w:val="20"/>
          <w:szCs w:val="20"/>
        </w:rPr>
        <w:t xml:space="preserve">1.2 Aridity </w:t>
      </w:r>
      <w:r w:rsidR="00574941" w:rsidRPr="008638B1">
        <w:rPr>
          <w:rFonts w:ascii="Arial" w:hAnsi="Arial" w:cs="Arial"/>
          <w:b/>
          <w:bCs/>
          <w:sz w:val="20"/>
          <w:szCs w:val="20"/>
        </w:rPr>
        <w:t xml:space="preserve">Index </w:t>
      </w:r>
    </w:p>
    <w:p w14:paraId="485EB934" w14:textId="420FB5E9" w:rsidR="001314CD" w:rsidRPr="008638B1" w:rsidRDefault="001314CD" w:rsidP="001314CD">
      <w:pPr>
        <w:spacing w:line="360" w:lineRule="auto"/>
        <w:jc w:val="both"/>
        <w:rPr>
          <w:rFonts w:ascii="Arial" w:hAnsi="Arial" w:cs="Arial"/>
          <w:sz w:val="20"/>
          <w:szCs w:val="20"/>
        </w:rPr>
      </w:pPr>
      <w:r w:rsidRPr="008638B1">
        <w:rPr>
          <w:rFonts w:ascii="Arial" w:hAnsi="Arial" w:cs="Arial"/>
          <w:sz w:val="20"/>
          <w:szCs w:val="20"/>
        </w:rPr>
        <w:t>The Aridity Index (AI) is a quantitative measure used to evaluate the degree of dryness or moisture deficiency in a particular region based on climatic variables. It is a key indicator in climate and hydrological studies, especially in assessing the impact of climate variability and change on water availability</w:t>
      </w:r>
      <w:r w:rsidR="005A3FC4" w:rsidRPr="008638B1">
        <w:rPr>
          <w:rFonts w:ascii="Arial" w:hAnsi="Arial" w:cs="Arial"/>
          <w:sz w:val="20"/>
          <w:szCs w:val="20"/>
        </w:rPr>
        <w:t xml:space="preserve"> [3</w:t>
      </w:r>
      <w:r w:rsidR="00D857CE">
        <w:rPr>
          <w:rFonts w:ascii="Arial" w:hAnsi="Arial" w:cs="Arial"/>
          <w:sz w:val="20"/>
          <w:szCs w:val="20"/>
        </w:rPr>
        <w:t>1</w:t>
      </w:r>
      <w:r w:rsidR="005A3FC4" w:rsidRPr="008638B1">
        <w:rPr>
          <w:rFonts w:ascii="Arial" w:hAnsi="Arial" w:cs="Arial"/>
          <w:sz w:val="20"/>
          <w:szCs w:val="20"/>
        </w:rPr>
        <w:t>]</w:t>
      </w:r>
      <w:r w:rsidRPr="008638B1">
        <w:rPr>
          <w:rFonts w:ascii="Arial" w:hAnsi="Arial" w:cs="Arial"/>
          <w:sz w:val="20"/>
          <w:szCs w:val="20"/>
        </w:rPr>
        <w:t>. The concept of aridity index provides a standardized way to classify climatic zones ranging from humid to arid and hyper-arid, which is essential for understanding regional water balance and ecosystem sustainability</w:t>
      </w:r>
      <w:r w:rsidR="005A3FC4" w:rsidRPr="008638B1">
        <w:rPr>
          <w:rFonts w:ascii="Arial" w:hAnsi="Arial" w:cs="Arial"/>
          <w:sz w:val="20"/>
          <w:szCs w:val="20"/>
        </w:rPr>
        <w:t xml:space="preserve"> [3</w:t>
      </w:r>
      <w:r w:rsidR="007E5F97">
        <w:rPr>
          <w:rFonts w:ascii="Arial" w:hAnsi="Arial" w:cs="Arial"/>
          <w:sz w:val="20"/>
          <w:szCs w:val="20"/>
        </w:rPr>
        <w:t>2</w:t>
      </w:r>
      <w:r w:rsidR="005A3FC4" w:rsidRPr="008638B1">
        <w:rPr>
          <w:rFonts w:ascii="Arial" w:hAnsi="Arial" w:cs="Arial"/>
          <w:sz w:val="20"/>
          <w:szCs w:val="20"/>
        </w:rPr>
        <w:t>]</w:t>
      </w:r>
      <w:r w:rsidRPr="008638B1">
        <w:rPr>
          <w:rFonts w:ascii="Arial" w:hAnsi="Arial" w:cs="Arial"/>
          <w:sz w:val="20"/>
          <w:szCs w:val="20"/>
        </w:rPr>
        <w:t xml:space="preserve">. Aridity indices are typically derived from the relationship between precipitation and potential evapotranspiration (PET), where a lower ratio indicates drier conditions. One of the earliest and most widely used indices was proposed by </w:t>
      </w:r>
      <w:proofErr w:type="spellStart"/>
      <w:r w:rsidRPr="007E5F97">
        <w:rPr>
          <w:rFonts w:ascii="Arial" w:hAnsi="Arial" w:cs="Arial"/>
          <w:b/>
          <w:bCs/>
          <w:sz w:val="20"/>
          <w:szCs w:val="20"/>
        </w:rPr>
        <w:t>Thornthwaite</w:t>
      </w:r>
      <w:proofErr w:type="spellEnd"/>
      <w:r w:rsidRPr="007E5F97">
        <w:rPr>
          <w:rFonts w:ascii="Arial" w:hAnsi="Arial" w:cs="Arial"/>
          <w:b/>
          <w:bCs/>
          <w:sz w:val="20"/>
          <w:szCs w:val="20"/>
        </w:rPr>
        <w:t xml:space="preserve"> (1948),</w:t>
      </w:r>
      <w:r w:rsidRPr="008638B1">
        <w:rPr>
          <w:rFonts w:ascii="Arial" w:hAnsi="Arial" w:cs="Arial"/>
          <w:sz w:val="20"/>
          <w:szCs w:val="20"/>
        </w:rPr>
        <w:t xml:space="preserve"> which compares precipitation to PET to classify climates</w:t>
      </w:r>
      <w:r w:rsidR="0029164F">
        <w:rPr>
          <w:rFonts w:ascii="Arial" w:hAnsi="Arial" w:cs="Arial"/>
          <w:b/>
          <w:bCs/>
          <w:sz w:val="20"/>
          <w:szCs w:val="20"/>
        </w:rPr>
        <w:t xml:space="preserve">. </w:t>
      </w:r>
      <w:r w:rsidR="0029164F" w:rsidRPr="0029164F">
        <w:rPr>
          <w:rFonts w:ascii="Arial" w:hAnsi="Arial" w:cs="Arial"/>
          <w:sz w:val="20"/>
          <w:szCs w:val="20"/>
          <w:highlight w:val="yellow"/>
        </w:rPr>
        <w:t>The PET is estimated by Penman (1948) and modified Penman</w:t>
      </w:r>
      <w:r w:rsidRPr="0029164F">
        <w:rPr>
          <w:rFonts w:ascii="Arial" w:hAnsi="Arial" w:cs="Arial"/>
          <w:sz w:val="20"/>
          <w:szCs w:val="20"/>
          <w:highlight w:val="yellow"/>
        </w:rPr>
        <w:t xml:space="preserve"> </w:t>
      </w:r>
      <w:r w:rsidR="0029164F" w:rsidRPr="0029164F">
        <w:rPr>
          <w:rFonts w:ascii="Arial" w:hAnsi="Arial" w:cs="Arial"/>
          <w:sz w:val="20"/>
          <w:szCs w:val="20"/>
          <w:highlight w:val="yellow"/>
        </w:rPr>
        <w:t>(</w:t>
      </w:r>
      <w:r w:rsidRPr="0029164F">
        <w:rPr>
          <w:rFonts w:ascii="Arial" w:hAnsi="Arial" w:cs="Arial"/>
          <w:sz w:val="20"/>
          <w:szCs w:val="20"/>
          <w:highlight w:val="yellow"/>
        </w:rPr>
        <w:t>1956)</w:t>
      </w:r>
      <w:r w:rsidR="0029164F" w:rsidRPr="0029164F">
        <w:rPr>
          <w:rFonts w:ascii="Arial" w:hAnsi="Arial" w:cs="Arial"/>
          <w:sz w:val="20"/>
          <w:szCs w:val="20"/>
          <w:highlight w:val="yellow"/>
        </w:rPr>
        <w:t xml:space="preserve"> consider</w:t>
      </w:r>
      <w:r w:rsidRPr="0029164F">
        <w:rPr>
          <w:rFonts w:ascii="Arial" w:hAnsi="Arial" w:cs="Arial"/>
          <w:sz w:val="20"/>
          <w:szCs w:val="20"/>
        </w:rPr>
        <w:t xml:space="preserve"> </w:t>
      </w:r>
      <w:r w:rsidRPr="008638B1">
        <w:rPr>
          <w:rFonts w:ascii="Arial" w:hAnsi="Arial" w:cs="Arial"/>
          <w:sz w:val="20"/>
          <w:szCs w:val="20"/>
        </w:rPr>
        <w:t xml:space="preserve">energy and aerodynamic factors. Several other indices, including the De </w:t>
      </w:r>
      <w:proofErr w:type="spellStart"/>
      <w:r w:rsidRPr="008638B1">
        <w:rPr>
          <w:rFonts w:ascii="Arial" w:hAnsi="Arial" w:cs="Arial"/>
          <w:sz w:val="20"/>
          <w:szCs w:val="20"/>
        </w:rPr>
        <w:t>Martonne</w:t>
      </w:r>
      <w:proofErr w:type="spellEnd"/>
      <w:r w:rsidRPr="008638B1">
        <w:rPr>
          <w:rFonts w:ascii="Arial" w:hAnsi="Arial" w:cs="Arial"/>
          <w:sz w:val="20"/>
          <w:szCs w:val="20"/>
        </w:rPr>
        <w:t xml:space="preserve"> Index, the UNEP Aridity Index, and the Palmer Drought Severity Index, have been developed to suit specific climatic and regional contexts. The AI plays a crucial role in environmental planning, water resource management, agricultural decision-making, and drought monitoring. It also serves as a critical tool in climate change studies, as shifts in precipitation and temperature patterns directly influence the classification of regions based on aridity levels</w:t>
      </w:r>
      <w:r w:rsidR="005A3FC4" w:rsidRPr="008638B1">
        <w:rPr>
          <w:rFonts w:ascii="Arial" w:hAnsi="Arial" w:cs="Arial"/>
          <w:sz w:val="20"/>
          <w:szCs w:val="20"/>
        </w:rPr>
        <w:t xml:space="preserve"> [3</w:t>
      </w:r>
      <w:r w:rsidR="007E5F97">
        <w:rPr>
          <w:rFonts w:ascii="Arial" w:hAnsi="Arial" w:cs="Arial"/>
          <w:sz w:val="20"/>
          <w:szCs w:val="20"/>
        </w:rPr>
        <w:t>3</w:t>
      </w:r>
      <w:r w:rsidR="005A3FC4" w:rsidRPr="008638B1">
        <w:rPr>
          <w:rFonts w:ascii="Arial" w:hAnsi="Arial" w:cs="Arial"/>
          <w:sz w:val="20"/>
          <w:szCs w:val="20"/>
        </w:rPr>
        <w:t>]</w:t>
      </w:r>
      <w:r w:rsidRPr="008638B1">
        <w:rPr>
          <w:rFonts w:ascii="Arial" w:hAnsi="Arial" w:cs="Arial"/>
          <w:sz w:val="20"/>
          <w:szCs w:val="20"/>
        </w:rPr>
        <w:t>. In arid and semi-arid areas, such as the Mahi River Basin, evaluating aridity through various indices helps identify trends, assess vulnerability, and guide adaptive strategies for sustainable development under changing climatic conditions</w:t>
      </w:r>
      <w:r w:rsidR="005A3FC4" w:rsidRPr="008638B1">
        <w:rPr>
          <w:rFonts w:ascii="Arial" w:hAnsi="Arial" w:cs="Arial"/>
          <w:sz w:val="20"/>
          <w:szCs w:val="20"/>
        </w:rPr>
        <w:t xml:space="preserve"> [3</w:t>
      </w:r>
      <w:r w:rsidR="007E5F97">
        <w:rPr>
          <w:rFonts w:ascii="Arial" w:hAnsi="Arial" w:cs="Arial"/>
          <w:sz w:val="20"/>
          <w:szCs w:val="20"/>
        </w:rPr>
        <w:t>4</w:t>
      </w:r>
      <w:r w:rsidR="005A3FC4" w:rsidRPr="008638B1">
        <w:rPr>
          <w:rFonts w:ascii="Arial" w:hAnsi="Arial" w:cs="Arial"/>
          <w:sz w:val="20"/>
          <w:szCs w:val="20"/>
        </w:rPr>
        <w:t>]</w:t>
      </w:r>
      <w:r w:rsidRPr="008638B1">
        <w:rPr>
          <w:rFonts w:ascii="Arial" w:hAnsi="Arial" w:cs="Arial"/>
          <w:sz w:val="20"/>
          <w:szCs w:val="20"/>
        </w:rPr>
        <w:t>.</w:t>
      </w:r>
    </w:p>
    <w:p w14:paraId="0177C805" w14:textId="68BB73B3" w:rsidR="00734A87" w:rsidRPr="008638B1" w:rsidRDefault="00734A87" w:rsidP="009D28B7">
      <w:pPr>
        <w:pStyle w:val="ListParagraph"/>
        <w:numPr>
          <w:ilvl w:val="0"/>
          <w:numId w:val="7"/>
        </w:numPr>
        <w:spacing w:line="360" w:lineRule="auto"/>
        <w:jc w:val="both"/>
        <w:rPr>
          <w:rFonts w:ascii="Arial" w:hAnsi="Arial" w:cs="Arial"/>
          <w:b/>
        </w:rPr>
      </w:pPr>
      <w:r w:rsidRPr="008638B1">
        <w:rPr>
          <w:rFonts w:ascii="Arial" w:hAnsi="Arial" w:cs="Arial"/>
          <w:b/>
        </w:rPr>
        <w:t>STUDY AREA</w:t>
      </w:r>
    </w:p>
    <w:p w14:paraId="6E52FAFF" w14:textId="4AD557FC" w:rsidR="001314CD" w:rsidRPr="008638B1" w:rsidRDefault="001314CD" w:rsidP="00E54D9B">
      <w:pPr>
        <w:spacing w:line="360" w:lineRule="auto"/>
        <w:jc w:val="both"/>
        <w:rPr>
          <w:rFonts w:ascii="Arial" w:hAnsi="Arial" w:cs="Arial"/>
          <w:sz w:val="20"/>
          <w:szCs w:val="20"/>
        </w:rPr>
      </w:pPr>
      <w:r w:rsidRPr="008638B1">
        <w:rPr>
          <w:rFonts w:ascii="Arial" w:hAnsi="Arial" w:cs="Arial"/>
          <w:sz w:val="20"/>
          <w:szCs w:val="20"/>
        </w:rPr>
        <w:t xml:space="preserve">The Mahi River Basin spans parts of Madhya Pradesh, Rajasthan, and Gujarat, covering a total catchment area of approximately 34,842 square </w:t>
      </w:r>
      <w:proofErr w:type="spellStart"/>
      <w:r w:rsidRPr="008638B1">
        <w:rPr>
          <w:rFonts w:ascii="Arial" w:hAnsi="Arial" w:cs="Arial"/>
          <w:sz w:val="20"/>
          <w:szCs w:val="20"/>
        </w:rPr>
        <w:t>kilometers</w:t>
      </w:r>
      <w:proofErr w:type="spellEnd"/>
      <w:r w:rsidRPr="008638B1">
        <w:rPr>
          <w:rFonts w:ascii="Arial" w:hAnsi="Arial" w:cs="Arial"/>
          <w:sz w:val="20"/>
          <w:szCs w:val="20"/>
        </w:rPr>
        <w:t xml:space="preserve">. The basin stretches nearly 330 </w:t>
      </w:r>
      <w:proofErr w:type="spellStart"/>
      <w:r w:rsidRPr="008638B1">
        <w:rPr>
          <w:rFonts w:ascii="Arial" w:hAnsi="Arial" w:cs="Arial"/>
          <w:sz w:val="20"/>
          <w:szCs w:val="20"/>
        </w:rPr>
        <w:t>kilometers</w:t>
      </w:r>
      <w:proofErr w:type="spellEnd"/>
      <w:r w:rsidRPr="008638B1">
        <w:rPr>
          <w:rFonts w:ascii="Arial" w:hAnsi="Arial" w:cs="Arial"/>
          <w:sz w:val="20"/>
          <w:szCs w:val="20"/>
        </w:rPr>
        <w:t xml:space="preserve"> in length and about 250 </w:t>
      </w:r>
      <w:proofErr w:type="spellStart"/>
      <w:r w:rsidRPr="008638B1">
        <w:rPr>
          <w:rFonts w:ascii="Arial" w:hAnsi="Arial" w:cs="Arial"/>
          <w:sz w:val="20"/>
          <w:szCs w:val="20"/>
        </w:rPr>
        <w:t>kilometers</w:t>
      </w:r>
      <w:proofErr w:type="spellEnd"/>
      <w:r w:rsidRPr="008638B1">
        <w:rPr>
          <w:rFonts w:ascii="Arial" w:hAnsi="Arial" w:cs="Arial"/>
          <w:sz w:val="20"/>
          <w:szCs w:val="20"/>
        </w:rPr>
        <w:t xml:space="preserve"> in width. Geographically, it is located between latitudes 21°46′N to 24°30′N and longitudes 72°21′E to 75°19′E. It is bordered by the Aravalli hills to the north and northwest, the Chambal basin to the east, the Vindhya ranges to the south, and the Gulf of Khambhat to the </w:t>
      </w:r>
      <w:r w:rsidR="005A3FC4" w:rsidRPr="008638B1">
        <w:rPr>
          <w:rFonts w:ascii="Arial" w:hAnsi="Arial" w:cs="Arial"/>
          <w:sz w:val="20"/>
          <w:szCs w:val="20"/>
        </w:rPr>
        <w:t>west [3</w:t>
      </w:r>
      <w:r w:rsidR="007E5F97">
        <w:rPr>
          <w:rFonts w:ascii="Arial" w:hAnsi="Arial" w:cs="Arial"/>
          <w:sz w:val="20"/>
          <w:szCs w:val="20"/>
        </w:rPr>
        <w:t>5</w:t>
      </w:r>
      <w:r w:rsidR="005A3FC4" w:rsidRPr="008638B1">
        <w:rPr>
          <w:rFonts w:ascii="Arial" w:hAnsi="Arial" w:cs="Arial"/>
          <w:sz w:val="20"/>
          <w:szCs w:val="20"/>
        </w:rPr>
        <w:t>]</w:t>
      </w:r>
      <w:r w:rsidRPr="008638B1">
        <w:rPr>
          <w:rFonts w:ascii="Arial" w:hAnsi="Arial" w:cs="Arial"/>
          <w:sz w:val="20"/>
          <w:szCs w:val="20"/>
        </w:rPr>
        <w:t>. An index map illustrating the geographical extent of the Mahi River Basin is provided in Figure 1.</w:t>
      </w:r>
    </w:p>
    <w:p w14:paraId="3D02CF6F" w14:textId="77777777" w:rsidR="00734A87" w:rsidRPr="008638B1" w:rsidRDefault="00734A87" w:rsidP="009D28B7">
      <w:pPr>
        <w:spacing w:line="360" w:lineRule="auto"/>
        <w:jc w:val="both"/>
        <w:rPr>
          <w:rFonts w:ascii="Arial" w:hAnsi="Arial" w:cs="Arial"/>
          <w:sz w:val="20"/>
          <w:szCs w:val="20"/>
        </w:rPr>
      </w:pPr>
      <w:r w:rsidRPr="008638B1">
        <w:rPr>
          <w:rFonts w:ascii="Arial" w:hAnsi="Arial" w:cs="Arial"/>
          <w:noProof/>
          <w:sz w:val="20"/>
          <w:szCs w:val="20"/>
          <w:lang w:val="en-US"/>
        </w:rPr>
        <w:lastRenderedPageBreak/>
        <w:drawing>
          <wp:anchor distT="0" distB="0" distL="114300" distR="114300" simplePos="0" relativeHeight="251662336" behindDoc="0" locked="0" layoutInCell="1" allowOverlap="1" wp14:anchorId="481CDDAF" wp14:editId="35C033BA">
            <wp:simplePos x="0" y="0"/>
            <wp:positionH relativeFrom="margin">
              <wp:align>center</wp:align>
            </wp:positionH>
            <wp:positionV relativeFrom="paragraph">
              <wp:posOffset>0</wp:posOffset>
            </wp:positionV>
            <wp:extent cx="5078095" cy="3261360"/>
            <wp:effectExtent l="0" t="0" r="8255" b="0"/>
            <wp:wrapTopAndBottom/>
            <wp:docPr id="173317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095" cy="3261360"/>
                    </a:xfrm>
                    <a:prstGeom prst="rect">
                      <a:avLst/>
                    </a:prstGeom>
                    <a:noFill/>
                  </pic:spPr>
                </pic:pic>
              </a:graphicData>
            </a:graphic>
          </wp:anchor>
        </w:drawing>
      </w:r>
    </w:p>
    <w:p w14:paraId="41B41EDC" w14:textId="4F409E74" w:rsidR="00734A87" w:rsidRPr="008F786C" w:rsidRDefault="00734A87" w:rsidP="001314CD">
      <w:pPr>
        <w:spacing w:line="360" w:lineRule="auto"/>
        <w:jc w:val="center"/>
        <w:rPr>
          <w:rFonts w:ascii="Arial" w:hAnsi="Arial" w:cs="Arial"/>
          <w:b/>
          <w:bCs/>
          <w:sz w:val="20"/>
          <w:szCs w:val="20"/>
        </w:rPr>
      </w:pPr>
      <w:r w:rsidRPr="008F786C">
        <w:rPr>
          <w:rFonts w:ascii="Arial" w:hAnsi="Arial" w:cs="Arial"/>
          <w:b/>
          <w:bCs/>
          <w:sz w:val="20"/>
          <w:szCs w:val="20"/>
        </w:rPr>
        <w:t xml:space="preserve">Figure 1: </w:t>
      </w:r>
      <w:r w:rsidR="001314CD" w:rsidRPr="008F786C">
        <w:rPr>
          <w:rFonts w:ascii="Arial" w:hAnsi="Arial" w:cs="Arial"/>
          <w:b/>
          <w:bCs/>
          <w:sz w:val="20"/>
          <w:szCs w:val="20"/>
        </w:rPr>
        <w:t xml:space="preserve">Index Map of the Mahi Basin </w:t>
      </w:r>
    </w:p>
    <w:p w14:paraId="3610B06B" w14:textId="77777777" w:rsidR="00734A87" w:rsidRPr="008638B1" w:rsidRDefault="00734A87" w:rsidP="009D28B7">
      <w:pPr>
        <w:spacing w:line="360" w:lineRule="auto"/>
        <w:jc w:val="both"/>
        <w:rPr>
          <w:rFonts w:ascii="Arial" w:hAnsi="Arial" w:cs="Arial"/>
          <w:b/>
          <w:sz w:val="20"/>
          <w:szCs w:val="20"/>
        </w:rPr>
      </w:pPr>
      <w:r w:rsidRPr="008638B1">
        <w:rPr>
          <w:rFonts w:ascii="Arial" w:hAnsi="Arial" w:cs="Arial"/>
          <w:b/>
          <w:sz w:val="20"/>
          <w:szCs w:val="20"/>
        </w:rPr>
        <w:t>2.1 Climatic characteristics</w:t>
      </w:r>
    </w:p>
    <w:p w14:paraId="2EA0D6E3" w14:textId="0D71C0AF" w:rsidR="00E64F80" w:rsidRPr="008638B1" w:rsidRDefault="00E64F80" w:rsidP="009D28B7">
      <w:pPr>
        <w:spacing w:line="360" w:lineRule="auto"/>
        <w:jc w:val="both"/>
        <w:rPr>
          <w:rFonts w:ascii="Arial" w:hAnsi="Arial" w:cs="Arial"/>
          <w:sz w:val="20"/>
          <w:szCs w:val="20"/>
        </w:rPr>
      </w:pPr>
      <w:r w:rsidRPr="008638B1">
        <w:rPr>
          <w:rFonts w:ascii="Arial" w:hAnsi="Arial" w:cs="Arial"/>
          <w:sz w:val="20"/>
          <w:szCs w:val="20"/>
        </w:rPr>
        <w:t>The Mahi River Basin experiences three distinct seasons: summer (March to May), monsoon (June to September), and winter (October to February). Climatically, the basin is divided into two primary zones. The northern portion exhibits a subtropical wet climate, while the larger part of the basin is characterized by a tropical wet climate, largely influenced by the higher elevations and forested areas. Near the river’s origin, the region tends to have a relatively cooler climate with moderate rainfall</w:t>
      </w:r>
      <w:r w:rsidR="005A3FC4" w:rsidRPr="008638B1">
        <w:rPr>
          <w:rFonts w:ascii="Arial" w:hAnsi="Arial" w:cs="Arial"/>
          <w:sz w:val="20"/>
          <w:szCs w:val="20"/>
        </w:rPr>
        <w:t xml:space="preserve"> [3</w:t>
      </w:r>
      <w:r w:rsidR="007E5F97">
        <w:rPr>
          <w:rFonts w:ascii="Arial" w:hAnsi="Arial" w:cs="Arial"/>
          <w:sz w:val="20"/>
          <w:szCs w:val="20"/>
        </w:rPr>
        <w:t>6</w:t>
      </w:r>
      <w:r w:rsidR="005A3FC4" w:rsidRPr="008638B1">
        <w:rPr>
          <w:rFonts w:ascii="Arial" w:hAnsi="Arial" w:cs="Arial"/>
          <w:sz w:val="20"/>
          <w:szCs w:val="20"/>
        </w:rPr>
        <w:t>]</w:t>
      </w:r>
      <w:r w:rsidRPr="008638B1">
        <w:rPr>
          <w:rFonts w:ascii="Arial" w:hAnsi="Arial" w:cs="Arial"/>
          <w:sz w:val="20"/>
          <w:szCs w:val="20"/>
        </w:rPr>
        <w:t>. As the river flows northward into Rajasthan, the climate transitions into a warmer and drier type. Upon curving southwest and entering Gujarat, the climatic conditions gradually revert to a tropical wet pattern.</w:t>
      </w:r>
    </w:p>
    <w:p w14:paraId="532842B2" w14:textId="2F58A85A" w:rsidR="00734A87" w:rsidRPr="008638B1" w:rsidRDefault="00734A87" w:rsidP="009D28B7">
      <w:pPr>
        <w:spacing w:line="360" w:lineRule="auto"/>
        <w:jc w:val="both"/>
        <w:rPr>
          <w:rFonts w:ascii="Arial" w:hAnsi="Arial" w:cs="Arial"/>
          <w:b/>
          <w:sz w:val="20"/>
          <w:szCs w:val="20"/>
        </w:rPr>
      </w:pPr>
      <w:r w:rsidRPr="008638B1">
        <w:rPr>
          <w:rFonts w:ascii="Arial" w:hAnsi="Arial" w:cs="Arial"/>
          <w:b/>
          <w:sz w:val="20"/>
          <w:szCs w:val="20"/>
        </w:rPr>
        <w:t>2.2 Rainfall</w:t>
      </w:r>
    </w:p>
    <w:p w14:paraId="773F480E" w14:textId="69FFEBB5" w:rsidR="00D2111A" w:rsidRPr="008638B1" w:rsidRDefault="00D2111A" w:rsidP="00E54D9B">
      <w:pPr>
        <w:spacing w:line="360" w:lineRule="auto"/>
        <w:jc w:val="both"/>
        <w:rPr>
          <w:rFonts w:ascii="Arial" w:hAnsi="Arial" w:cs="Arial"/>
          <w:bCs/>
          <w:sz w:val="20"/>
          <w:szCs w:val="20"/>
        </w:rPr>
      </w:pPr>
      <w:r w:rsidRPr="008638B1">
        <w:rPr>
          <w:rFonts w:ascii="Arial" w:hAnsi="Arial" w:cs="Arial"/>
          <w:bCs/>
          <w:sz w:val="20"/>
          <w:szCs w:val="20"/>
        </w:rPr>
        <w:t>The Mahi River Basin receives an average annual rainfall of approximately 785 mm, the majority of which is influenced by the southwest monsoon The monsoon typically begins around mid-June and retreats by early October. Nearly 90% of the total annual rainfall occurs during the monsoon period, with July and August alone contributing around 50% of the total precipitation [</w:t>
      </w:r>
      <w:r w:rsidR="00024B06" w:rsidRPr="008638B1">
        <w:rPr>
          <w:rFonts w:ascii="Arial" w:hAnsi="Arial" w:cs="Arial"/>
          <w:bCs/>
          <w:sz w:val="20"/>
          <w:szCs w:val="20"/>
        </w:rPr>
        <w:t>3</w:t>
      </w:r>
      <w:r w:rsidR="007E5F97">
        <w:rPr>
          <w:rFonts w:ascii="Arial" w:hAnsi="Arial" w:cs="Arial"/>
          <w:bCs/>
          <w:sz w:val="20"/>
          <w:szCs w:val="20"/>
        </w:rPr>
        <w:t>6</w:t>
      </w:r>
      <w:r w:rsidR="00024B06" w:rsidRPr="008638B1">
        <w:rPr>
          <w:rFonts w:ascii="Arial" w:hAnsi="Arial" w:cs="Arial"/>
          <w:bCs/>
          <w:sz w:val="20"/>
          <w:szCs w:val="20"/>
        </w:rPr>
        <w:t>,</w:t>
      </w:r>
      <w:r w:rsidRPr="008638B1">
        <w:rPr>
          <w:rFonts w:ascii="Arial" w:hAnsi="Arial" w:cs="Arial"/>
          <w:bCs/>
          <w:sz w:val="20"/>
          <w:szCs w:val="20"/>
        </w:rPr>
        <w:t>3</w:t>
      </w:r>
      <w:r w:rsidR="007E5F97">
        <w:rPr>
          <w:rFonts w:ascii="Arial" w:hAnsi="Arial" w:cs="Arial"/>
          <w:bCs/>
          <w:sz w:val="20"/>
          <w:szCs w:val="20"/>
        </w:rPr>
        <w:t>7</w:t>
      </w:r>
      <w:r w:rsidRPr="008638B1">
        <w:rPr>
          <w:rFonts w:ascii="Arial" w:hAnsi="Arial" w:cs="Arial"/>
          <w:bCs/>
          <w:sz w:val="20"/>
          <w:szCs w:val="20"/>
        </w:rPr>
        <w:t>].</w:t>
      </w:r>
    </w:p>
    <w:p w14:paraId="079DE4B6" w14:textId="0673477C" w:rsidR="00E54D9B" w:rsidRPr="008638B1" w:rsidRDefault="00E54D9B" w:rsidP="00E54D9B">
      <w:pPr>
        <w:pStyle w:val="ListParagraph"/>
        <w:numPr>
          <w:ilvl w:val="1"/>
          <w:numId w:val="7"/>
        </w:numPr>
        <w:spacing w:line="360" w:lineRule="auto"/>
        <w:jc w:val="both"/>
        <w:rPr>
          <w:rFonts w:ascii="Arial" w:hAnsi="Arial" w:cs="Arial"/>
          <w:b/>
          <w:sz w:val="20"/>
          <w:szCs w:val="20"/>
        </w:rPr>
      </w:pPr>
      <w:r w:rsidRPr="008638B1">
        <w:rPr>
          <w:rFonts w:ascii="Arial" w:hAnsi="Arial" w:cs="Arial"/>
          <w:b/>
          <w:sz w:val="20"/>
          <w:szCs w:val="20"/>
        </w:rPr>
        <w:t>Temperature Profile of the Mahi River Basin</w:t>
      </w:r>
    </w:p>
    <w:p w14:paraId="163757BD" w14:textId="6CE44DA4" w:rsidR="00734A87" w:rsidRPr="008638B1" w:rsidRDefault="00E54D9B" w:rsidP="00E54D9B">
      <w:pPr>
        <w:spacing w:line="360" w:lineRule="auto"/>
        <w:ind w:left="142"/>
        <w:jc w:val="both"/>
        <w:rPr>
          <w:rFonts w:ascii="Arial" w:hAnsi="Arial" w:cs="Arial"/>
          <w:bCs/>
          <w:sz w:val="20"/>
          <w:szCs w:val="20"/>
        </w:rPr>
      </w:pPr>
      <w:r w:rsidRPr="008638B1">
        <w:rPr>
          <w:rFonts w:ascii="Arial" w:hAnsi="Arial" w:cs="Arial"/>
          <w:bCs/>
          <w:sz w:val="20"/>
          <w:szCs w:val="20"/>
        </w:rPr>
        <w:t>May is typically the hottest month in the Mahi River Basin, with an average maximum temperature of 39.8 °C, while January is the coldest, recording an average minimum temperature of 11.1 °C. Based on data from 1969 to 2004, the basin’s average annual minimum temperature is 19.36 °C, and the average annual maximum temperature is 32.82 °C. The overall mean annual temperature for this period stands at 26.09 °C</w:t>
      </w:r>
      <w:r w:rsidR="00024B06" w:rsidRPr="008638B1">
        <w:rPr>
          <w:rFonts w:ascii="Arial" w:hAnsi="Arial" w:cs="Arial"/>
          <w:bCs/>
          <w:sz w:val="20"/>
          <w:szCs w:val="20"/>
        </w:rPr>
        <w:t xml:space="preserve"> [3</w:t>
      </w:r>
      <w:r w:rsidR="007E5F97">
        <w:rPr>
          <w:rFonts w:ascii="Arial" w:hAnsi="Arial" w:cs="Arial"/>
          <w:bCs/>
          <w:sz w:val="20"/>
          <w:szCs w:val="20"/>
        </w:rPr>
        <w:t>6</w:t>
      </w:r>
      <w:r w:rsidR="00024B06" w:rsidRPr="008638B1">
        <w:rPr>
          <w:rFonts w:ascii="Arial" w:hAnsi="Arial" w:cs="Arial"/>
          <w:bCs/>
          <w:sz w:val="20"/>
          <w:szCs w:val="20"/>
        </w:rPr>
        <w:t>]</w:t>
      </w:r>
      <w:r w:rsidRPr="008638B1">
        <w:rPr>
          <w:rFonts w:ascii="Arial" w:hAnsi="Arial" w:cs="Arial"/>
          <w:bCs/>
          <w:sz w:val="20"/>
          <w:szCs w:val="20"/>
        </w:rPr>
        <w:t>.</w:t>
      </w:r>
    </w:p>
    <w:p w14:paraId="4720DB27" w14:textId="77777777" w:rsidR="00734A87" w:rsidRPr="008638B1" w:rsidRDefault="00734A87" w:rsidP="009D28B7">
      <w:pPr>
        <w:spacing w:line="360" w:lineRule="auto"/>
        <w:jc w:val="both"/>
        <w:rPr>
          <w:rFonts w:ascii="Arial" w:hAnsi="Arial" w:cs="Arial"/>
          <w:b/>
          <w:bCs/>
          <w:sz w:val="20"/>
          <w:szCs w:val="20"/>
        </w:rPr>
      </w:pPr>
      <w:r w:rsidRPr="008638B1">
        <w:rPr>
          <w:rFonts w:ascii="Arial" w:hAnsi="Arial" w:cs="Arial"/>
          <w:b/>
          <w:bCs/>
          <w:sz w:val="20"/>
          <w:szCs w:val="20"/>
        </w:rPr>
        <w:t>2.4 Data Collection</w:t>
      </w:r>
    </w:p>
    <w:p w14:paraId="52843AF0" w14:textId="76ED48AF" w:rsidR="00734A87" w:rsidRDefault="00E54D9B" w:rsidP="009D28B7">
      <w:pPr>
        <w:spacing w:line="360" w:lineRule="auto"/>
        <w:jc w:val="both"/>
        <w:rPr>
          <w:rFonts w:ascii="Arial" w:hAnsi="Arial" w:cs="Arial"/>
          <w:b/>
          <w:bCs/>
          <w:sz w:val="20"/>
          <w:szCs w:val="20"/>
        </w:rPr>
      </w:pPr>
      <w:r w:rsidRPr="008638B1">
        <w:rPr>
          <w:rFonts w:ascii="Arial" w:hAnsi="Arial" w:cs="Arial"/>
          <w:sz w:val="20"/>
          <w:szCs w:val="20"/>
        </w:rPr>
        <w:lastRenderedPageBreak/>
        <w:t>To assess the climatic variables of the Mahi River Basin, a minimum of 30 years of data was considered essential for reliable analysis. Daily rainfall and temperature data spanning the period from 1951 to 2022 were sourced from the Indian Meteorological Department (IMD) [</w:t>
      </w:r>
      <w:r w:rsidR="00024B06" w:rsidRPr="008638B1">
        <w:rPr>
          <w:rFonts w:ascii="Arial" w:hAnsi="Arial" w:cs="Arial"/>
          <w:sz w:val="20"/>
          <w:szCs w:val="20"/>
        </w:rPr>
        <w:t>3</w:t>
      </w:r>
      <w:r w:rsidR="007E5F97">
        <w:rPr>
          <w:rFonts w:ascii="Arial" w:hAnsi="Arial" w:cs="Arial"/>
          <w:sz w:val="20"/>
          <w:szCs w:val="20"/>
        </w:rPr>
        <w:t>8</w:t>
      </w:r>
      <w:r w:rsidRPr="008638B1">
        <w:rPr>
          <w:rFonts w:ascii="Arial" w:hAnsi="Arial" w:cs="Arial"/>
          <w:sz w:val="20"/>
          <w:szCs w:val="20"/>
        </w:rPr>
        <w:t xml:space="preserve">]. Additionally, future climate projections were obtained using data from </w:t>
      </w:r>
      <w:r w:rsidRPr="00887A66">
        <w:rPr>
          <w:rFonts w:ascii="Arial" w:hAnsi="Arial" w:cs="Arial"/>
          <w:sz w:val="20"/>
          <w:szCs w:val="20"/>
        </w:rPr>
        <w:t xml:space="preserve">the CORDEX </w:t>
      </w:r>
      <w:r w:rsidRPr="006E50BC">
        <w:rPr>
          <w:rFonts w:ascii="Arial" w:hAnsi="Arial" w:cs="Arial"/>
          <w:sz w:val="20"/>
          <w:szCs w:val="20"/>
          <w:highlight w:val="yellow"/>
        </w:rPr>
        <w:t>(Coordinated Regional Climate Downscaling</w:t>
      </w:r>
      <w:r w:rsidRPr="00887A66">
        <w:rPr>
          <w:rFonts w:ascii="Arial" w:hAnsi="Arial" w:cs="Arial"/>
          <w:sz w:val="20"/>
          <w:szCs w:val="20"/>
        </w:rPr>
        <w:t xml:space="preserve"> Experiment)</w:t>
      </w:r>
      <w:r w:rsidR="00887A66" w:rsidRPr="00887A66">
        <w:rPr>
          <w:rFonts w:ascii="Arial" w:hAnsi="Arial" w:cs="Arial"/>
          <w:sz w:val="20"/>
          <w:szCs w:val="20"/>
        </w:rPr>
        <w:t xml:space="preserve"> framework</w:t>
      </w:r>
      <w:r w:rsidR="00887A66" w:rsidRPr="00887A66">
        <w:rPr>
          <w:rFonts w:ascii="Arial" w:eastAsia="Calibri" w:hAnsi="Arial" w:cs="Arial"/>
          <w:sz w:val="20"/>
          <w:szCs w:val="20"/>
        </w:rPr>
        <w:t xml:space="preserve"> </w:t>
      </w:r>
      <w:r w:rsidR="00887A66" w:rsidRPr="008638B1">
        <w:rPr>
          <w:rFonts w:ascii="Arial" w:eastAsia="Calibri" w:hAnsi="Arial" w:cs="Arial"/>
          <w:sz w:val="20"/>
          <w:szCs w:val="20"/>
        </w:rPr>
        <w:t xml:space="preserve">based on the widely adopted </w:t>
      </w:r>
      <w:r w:rsidR="00887A66" w:rsidRPr="00887A66">
        <w:rPr>
          <w:rFonts w:ascii="Arial" w:eastAsia="Calibri" w:hAnsi="Arial" w:cs="Arial"/>
          <w:sz w:val="20"/>
          <w:szCs w:val="20"/>
          <w:highlight w:val="yellow"/>
        </w:rPr>
        <w:t>Regional Climate Model (RCM) CCSM4</w:t>
      </w:r>
      <w:r w:rsidR="00887A66">
        <w:rPr>
          <w:rFonts w:ascii="Arial" w:eastAsia="Calibri" w:hAnsi="Arial" w:cs="Arial"/>
          <w:sz w:val="20"/>
          <w:szCs w:val="20"/>
        </w:rPr>
        <w:t xml:space="preserve"> </w:t>
      </w:r>
      <w:r w:rsidR="00734A87" w:rsidRPr="00887A66">
        <w:rPr>
          <w:rFonts w:ascii="Arial" w:hAnsi="Arial" w:cs="Arial"/>
          <w:sz w:val="20"/>
          <w:szCs w:val="20"/>
        </w:rPr>
        <w:t>[</w:t>
      </w:r>
      <w:r w:rsidR="00024B06" w:rsidRPr="00887A66">
        <w:rPr>
          <w:rFonts w:ascii="Arial" w:hAnsi="Arial" w:cs="Arial"/>
          <w:sz w:val="20"/>
          <w:szCs w:val="20"/>
        </w:rPr>
        <w:t>3</w:t>
      </w:r>
      <w:r w:rsidR="007E5F97" w:rsidRPr="00887A66">
        <w:rPr>
          <w:rFonts w:ascii="Arial" w:hAnsi="Arial" w:cs="Arial"/>
          <w:sz w:val="20"/>
          <w:szCs w:val="20"/>
        </w:rPr>
        <w:t>9</w:t>
      </w:r>
      <w:r w:rsidR="00734A87" w:rsidRPr="00887A66">
        <w:rPr>
          <w:rFonts w:ascii="Arial" w:hAnsi="Arial" w:cs="Arial"/>
          <w:sz w:val="20"/>
          <w:szCs w:val="20"/>
        </w:rPr>
        <w:t>]</w:t>
      </w:r>
      <w:r w:rsidRPr="00887A66">
        <w:rPr>
          <w:rFonts w:ascii="Arial" w:hAnsi="Arial" w:cs="Arial"/>
          <w:sz w:val="20"/>
          <w:szCs w:val="20"/>
        </w:rPr>
        <w:t>.</w:t>
      </w:r>
    </w:p>
    <w:p w14:paraId="3ECA7790" w14:textId="77777777" w:rsidR="00F77465" w:rsidRPr="008638B1" w:rsidRDefault="00F77465" w:rsidP="009D28B7">
      <w:pPr>
        <w:spacing w:after="240" w:line="360" w:lineRule="auto"/>
        <w:jc w:val="both"/>
        <w:rPr>
          <w:rFonts w:ascii="Arial" w:eastAsia="Calibri" w:hAnsi="Arial" w:cs="Arial"/>
          <w:b/>
        </w:rPr>
      </w:pPr>
      <w:r w:rsidRPr="008638B1">
        <w:rPr>
          <w:rFonts w:ascii="Arial" w:eastAsia="Calibri" w:hAnsi="Arial" w:cs="Arial"/>
          <w:b/>
        </w:rPr>
        <w:t xml:space="preserve">3. MATERIALS AND METHODS </w:t>
      </w:r>
    </w:p>
    <w:p w14:paraId="7859A999" w14:textId="77777777" w:rsidR="00F77465" w:rsidRPr="008638B1" w:rsidRDefault="00F77465" w:rsidP="009D28B7">
      <w:pPr>
        <w:numPr>
          <w:ilvl w:val="1"/>
          <w:numId w:val="2"/>
        </w:numPr>
        <w:spacing w:after="240" w:line="360" w:lineRule="auto"/>
        <w:contextualSpacing/>
        <w:jc w:val="both"/>
        <w:rPr>
          <w:rFonts w:ascii="Arial" w:eastAsia="Calibri" w:hAnsi="Arial" w:cs="Arial"/>
          <w:b/>
          <w:sz w:val="20"/>
          <w:szCs w:val="20"/>
        </w:rPr>
      </w:pPr>
      <w:r w:rsidRPr="008638B1">
        <w:rPr>
          <w:rFonts w:ascii="Arial" w:eastAsia="Calibri" w:hAnsi="Arial" w:cs="Arial"/>
          <w:b/>
          <w:sz w:val="20"/>
          <w:szCs w:val="20"/>
        </w:rPr>
        <w:t>Rainfall</w:t>
      </w:r>
      <w:bookmarkStart w:id="0" w:name="_GoBack"/>
      <w:bookmarkEnd w:id="0"/>
    </w:p>
    <w:p w14:paraId="1938D2F1" w14:textId="0C7EC20C" w:rsidR="00E54D9B" w:rsidRPr="008638B1" w:rsidRDefault="00E54D9B" w:rsidP="00E54D9B">
      <w:pPr>
        <w:spacing w:line="360" w:lineRule="auto"/>
        <w:rPr>
          <w:rFonts w:ascii="Arial" w:eastAsia="Calibri" w:hAnsi="Arial" w:cs="Arial"/>
          <w:sz w:val="20"/>
          <w:szCs w:val="20"/>
        </w:rPr>
      </w:pPr>
      <w:r w:rsidRPr="008638B1">
        <w:rPr>
          <w:rFonts w:ascii="Arial" w:eastAsia="Calibri" w:hAnsi="Arial" w:cs="Arial"/>
          <w:sz w:val="20"/>
          <w:szCs w:val="20"/>
        </w:rPr>
        <w:t>Daily rainfall data were utilized to calculate both monthly and annual rainfall totals by aggregating the values over the corresponding time periods [</w:t>
      </w:r>
      <w:r w:rsidR="007E5F97">
        <w:rPr>
          <w:rFonts w:ascii="Arial" w:eastAsia="Calibri" w:hAnsi="Arial" w:cs="Arial"/>
          <w:sz w:val="20"/>
          <w:szCs w:val="20"/>
        </w:rPr>
        <w:t>40</w:t>
      </w:r>
      <w:r w:rsidRPr="008638B1">
        <w:rPr>
          <w:rFonts w:ascii="Arial" w:eastAsia="Calibri" w:hAnsi="Arial" w:cs="Arial"/>
          <w:sz w:val="20"/>
          <w:szCs w:val="20"/>
        </w:rPr>
        <w:t>]. The equation used for computing monthly rainfall is provided in Equation 1, while the formula for determining annual rainfall is presented in Equation 2.</w:t>
      </w:r>
    </w:p>
    <w:p w14:paraId="12DBA2D8" w14:textId="77777777" w:rsidR="00F77465" w:rsidRPr="008638B1" w:rsidRDefault="002E1B51" w:rsidP="009D28B7">
      <w:pPr>
        <w:autoSpaceDE w:val="0"/>
        <w:autoSpaceDN w:val="0"/>
        <w:adjustRightInd w:val="0"/>
        <w:spacing w:after="240" w:line="360" w:lineRule="auto"/>
        <w:jc w:val="center"/>
        <w:rPr>
          <w:rFonts w:ascii="Arial" w:eastAsia="Calibri" w:hAnsi="Arial" w:cs="Arial"/>
          <w:sz w:val="20"/>
          <w:szCs w:val="20"/>
        </w:rPr>
      </w:pPr>
      <m:oMath>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P</m:t>
            </m:r>
          </m:e>
          <m:sub>
            <m:r>
              <m:rPr>
                <m:sty m:val="p"/>
              </m:rPr>
              <w:rPr>
                <w:rFonts w:ascii="Cambria Math" w:eastAsia="Calibri" w:hAnsi="Cambria Math" w:cs="Arial"/>
                <w:sz w:val="20"/>
                <w:szCs w:val="20"/>
              </w:rPr>
              <m:t>mon</m:t>
            </m:r>
          </m:sub>
        </m:sSub>
        <m:r>
          <m:rPr>
            <m:sty m:val="p"/>
          </m:rPr>
          <w:rPr>
            <w:rFonts w:ascii="Cambria Math" w:eastAsia="Calibri" w:hAnsi="Cambria Math" w:cs="Arial"/>
            <w:sz w:val="20"/>
            <w:szCs w:val="20"/>
          </w:rPr>
          <m:t>=</m:t>
        </m:r>
        <m:nary>
          <m:naryPr>
            <m:chr m:val="∑"/>
            <m:limLoc m:val="undOvr"/>
            <m:ctrlPr>
              <w:rPr>
                <w:rFonts w:ascii="Cambria Math" w:eastAsia="Calibri" w:hAnsi="Cambria Math" w:cs="Arial"/>
                <w:sz w:val="20"/>
                <w:szCs w:val="20"/>
              </w:rPr>
            </m:ctrlPr>
          </m:naryPr>
          <m:sub>
            <m:r>
              <m:rPr>
                <m:sty m:val="p"/>
              </m:rPr>
              <w:rPr>
                <w:rFonts w:ascii="Cambria Math" w:eastAsia="Calibri" w:hAnsi="Cambria Math" w:cs="Arial"/>
                <w:sz w:val="20"/>
                <w:szCs w:val="20"/>
              </w:rPr>
              <m:t>i=1</m:t>
            </m:r>
          </m:sub>
          <m:sup>
            <m:r>
              <m:rPr>
                <m:sty m:val="p"/>
              </m:rPr>
              <w:rPr>
                <w:rFonts w:ascii="Cambria Math" w:eastAsia="Calibri" w:hAnsi="Cambria Math" w:cs="Arial"/>
                <w:sz w:val="20"/>
                <w:szCs w:val="20"/>
              </w:rPr>
              <m:t>i=n days</m:t>
            </m:r>
          </m:sup>
          <m:e>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P</m:t>
                </m:r>
              </m:e>
              <m:sub>
                <m:r>
                  <m:rPr>
                    <m:sty m:val="p"/>
                  </m:rPr>
                  <w:rPr>
                    <w:rFonts w:ascii="Cambria Math" w:eastAsia="Calibri" w:hAnsi="Cambria Math" w:cs="Arial"/>
                    <w:sz w:val="20"/>
                    <w:szCs w:val="20"/>
                  </w:rPr>
                  <m:t>daily</m:t>
                </m:r>
              </m:sub>
            </m:sSub>
          </m:e>
        </m:nary>
      </m:oMath>
      <w:r w:rsidR="00F77465" w:rsidRPr="008638B1">
        <w:rPr>
          <w:rFonts w:ascii="Arial" w:eastAsia="Calibri" w:hAnsi="Arial" w:cs="Arial"/>
          <w:sz w:val="20"/>
          <w:szCs w:val="20"/>
        </w:rPr>
        <w:t xml:space="preserve">               </w:t>
      </w:r>
      <w:r w:rsidR="00F77465" w:rsidRPr="008638B1">
        <w:rPr>
          <w:rFonts w:ascii="Arial" w:eastAsia="Calibri" w:hAnsi="Arial" w:cs="Arial"/>
          <w:sz w:val="20"/>
          <w:szCs w:val="20"/>
        </w:rPr>
        <w:tab/>
        <w:t xml:space="preserve">                        …………… (1)</w:t>
      </w:r>
    </w:p>
    <w:p w14:paraId="0F02E295" w14:textId="77777777" w:rsidR="00F77465" w:rsidRPr="008638B1" w:rsidRDefault="00F77465" w:rsidP="009D28B7">
      <w:pPr>
        <w:spacing w:after="240" w:line="360" w:lineRule="auto"/>
        <w:jc w:val="both"/>
        <w:rPr>
          <w:rFonts w:ascii="Arial" w:eastAsia="Calibri" w:hAnsi="Arial" w:cs="Arial"/>
          <w:sz w:val="20"/>
          <w:szCs w:val="20"/>
        </w:rPr>
      </w:pPr>
      <w:proofErr w:type="spellStart"/>
      <w:r w:rsidRPr="008638B1">
        <w:rPr>
          <w:rFonts w:ascii="Arial" w:eastAsia="Calibri" w:hAnsi="Arial" w:cs="Arial"/>
          <w:sz w:val="20"/>
          <w:szCs w:val="20"/>
        </w:rPr>
        <w:t>P</w:t>
      </w:r>
      <w:r w:rsidRPr="008638B1">
        <w:rPr>
          <w:rFonts w:ascii="Arial" w:eastAsia="Calibri" w:hAnsi="Arial" w:cs="Arial"/>
          <w:sz w:val="20"/>
          <w:szCs w:val="20"/>
          <w:vertAlign w:val="subscript"/>
        </w:rPr>
        <w:t>mon</w:t>
      </w:r>
      <w:proofErr w:type="spellEnd"/>
      <w:r w:rsidRPr="008638B1">
        <w:rPr>
          <w:rFonts w:ascii="Arial" w:eastAsia="Calibri" w:hAnsi="Arial" w:cs="Arial"/>
          <w:sz w:val="20"/>
          <w:szCs w:val="20"/>
          <w:vertAlign w:val="subscript"/>
        </w:rPr>
        <w:t xml:space="preserve"> </w:t>
      </w:r>
      <w:r w:rsidRPr="008638B1">
        <w:rPr>
          <w:rFonts w:ascii="Arial" w:eastAsia="Calibri" w:hAnsi="Arial" w:cs="Arial"/>
          <w:sz w:val="20"/>
          <w:szCs w:val="20"/>
        </w:rPr>
        <w:t xml:space="preserve">=Monthly rainfall (mm)       </w:t>
      </w:r>
    </w:p>
    <w:p w14:paraId="7CBB24C0" w14:textId="77777777" w:rsidR="00F77465" w:rsidRPr="008638B1" w:rsidRDefault="00F77465" w:rsidP="009D28B7">
      <w:pPr>
        <w:spacing w:after="240" w:line="360" w:lineRule="auto"/>
        <w:jc w:val="both"/>
        <w:rPr>
          <w:rFonts w:ascii="Arial" w:eastAsia="Calibri" w:hAnsi="Arial" w:cs="Arial"/>
          <w:sz w:val="20"/>
          <w:szCs w:val="20"/>
        </w:rPr>
      </w:pPr>
      <w:proofErr w:type="spellStart"/>
      <w:r w:rsidRPr="008638B1">
        <w:rPr>
          <w:rFonts w:ascii="Arial" w:eastAsia="Calibri" w:hAnsi="Arial" w:cs="Arial"/>
          <w:sz w:val="20"/>
          <w:szCs w:val="20"/>
        </w:rPr>
        <w:t>P</w:t>
      </w:r>
      <w:r w:rsidRPr="008638B1">
        <w:rPr>
          <w:rFonts w:ascii="Arial" w:eastAsia="Calibri" w:hAnsi="Arial" w:cs="Arial"/>
          <w:sz w:val="20"/>
          <w:szCs w:val="20"/>
          <w:vertAlign w:val="subscript"/>
        </w:rPr>
        <w:t>daily</w:t>
      </w:r>
      <w:proofErr w:type="spellEnd"/>
      <w:r w:rsidRPr="008638B1">
        <w:rPr>
          <w:rFonts w:ascii="Arial" w:eastAsia="Calibri" w:hAnsi="Arial" w:cs="Arial"/>
          <w:sz w:val="20"/>
          <w:szCs w:val="20"/>
        </w:rPr>
        <w:t xml:space="preserve"> =Daily rainfall (mm)     </w:t>
      </w:r>
    </w:p>
    <w:p w14:paraId="327DC38D" w14:textId="633C670C" w:rsidR="00F77465" w:rsidRPr="008638B1" w:rsidRDefault="00F77465" w:rsidP="009D28B7">
      <w:pPr>
        <w:spacing w:after="240" w:line="360" w:lineRule="auto"/>
        <w:jc w:val="both"/>
        <w:rPr>
          <w:rFonts w:ascii="Arial" w:eastAsia="Calibri" w:hAnsi="Arial" w:cs="Arial"/>
          <w:sz w:val="20"/>
          <w:szCs w:val="20"/>
        </w:rPr>
      </w:pPr>
      <w:proofErr w:type="spellStart"/>
      <w:r w:rsidRPr="008638B1">
        <w:rPr>
          <w:rFonts w:ascii="Arial" w:eastAsia="Calibri" w:hAnsi="Arial" w:cs="Arial"/>
          <w:sz w:val="20"/>
          <w:szCs w:val="20"/>
        </w:rPr>
        <w:t>i</w:t>
      </w:r>
      <w:proofErr w:type="spellEnd"/>
      <w:r w:rsidRPr="008638B1">
        <w:rPr>
          <w:rFonts w:ascii="Arial" w:eastAsia="Calibri" w:hAnsi="Arial" w:cs="Arial"/>
          <w:sz w:val="20"/>
          <w:szCs w:val="20"/>
        </w:rPr>
        <w:t xml:space="preserve"> = No. of day</w:t>
      </w:r>
      <w:r w:rsidR="006627D5" w:rsidRPr="008638B1">
        <w:rPr>
          <w:rFonts w:ascii="Arial" w:eastAsia="Calibri" w:hAnsi="Arial" w:cs="Arial"/>
          <w:sz w:val="20"/>
          <w:szCs w:val="20"/>
        </w:rPr>
        <w:t>s</w:t>
      </w:r>
    </w:p>
    <w:p w14:paraId="1DC3BDFC" w14:textId="77777777" w:rsidR="00F77465" w:rsidRPr="008638B1" w:rsidRDefault="00F77465" w:rsidP="009D28B7">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n days = No. of days in a month i.e. 31 days for: January, March, July, August and 30 days for: April, June, September, Number and 28 or 29 days for February for non-leap and leap year respectively </w:t>
      </w:r>
    </w:p>
    <w:p w14:paraId="795C2424" w14:textId="13A3DE0D" w:rsidR="00F77465" w:rsidRPr="008638B1" w:rsidRDefault="002E1B51" w:rsidP="009D28B7">
      <w:pPr>
        <w:spacing w:after="240" w:line="360" w:lineRule="auto"/>
        <w:jc w:val="center"/>
        <w:rPr>
          <w:rFonts w:ascii="Arial" w:eastAsia="Calibri" w:hAnsi="Arial" w:cs="Arial"/>
          <w:sz w:val="20"/>
          <w:szCs w:val="20"/>
        </w:rPr>
      </w:pPr>
      <m:oMath>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P</m:t>
            </m:r>
          </m:e>
          <m:sub>
            <m:r>
              <m:rPr>
                <m:sty m:val="p"/>
              </m:rPr>
              <w:rPr>
                <w:rFonts w:ascii="Cambria Math" w:eastAsia="Calibri" w:hAnsi="Cambria Math" w:cs="Arial"/>
                <w:sz w:val="20"/>
                <w:szCs w:val="20"/>
              </w:rPr>
              <m:t>annual</m:t>
            </m:r>
          </m:sub>
        </m:sSub>
        <m:r>
          <m:rPr>
            <m:sty m:val="p"/>
          </m:rPr>
          <w:rPr>
            <w:rFonts w:ascii="Cambria Math" w:eastAsia="Calibri" w:hAnsi="Cambria Math" w:cs="Arial"/>
            <w:sz w:val="20"/>
            <w:szCs w:val="20"/>
          </w:rPr>
          <m:t>=</m:t>
        </m:r>
        <m:nary>
          <m:naryPr>
            <m:chr m:val="∑"/>
            <m:limLoc m:val="undOvr"/>
            <m:ctrlPr>
              <w:rPr>
                <w:rFonts w:ascii="Cambria Math" w:eastAsia="Calibri" w:hAnsi="Cambria Math" w:cs="Arial"/>
                <w:sz w:val="20"/>
                <w:szCs w:val="20"/>
              </w:rPr>
            </m:ctrlPr>
          </m:naryPr>
          <m:sub>
            <m:r>
              <m:rPr>
                <m:sty m:val="p"/>
              </m:rPr>
              <w:rPr>
                <w:rFonts w:ascii="Cambria Math" w:eastAsia="Calibri" w:hAnsi="Cambria Math" w:cs="Arial"/>
                <w:sz w:val="20"/>
                <w:szCs w:val="20"/>
              </w:rPr>
              <m:t>i=1</m:t>
            </m:r>
          </m:sub>
          <m:sup>
            <m:r>
              <m:rPr>
                <m:sty m:val="p"/>
              </m:rPr>
              <w:rPr>
                <w:rFonts w:ascii="Cambria Math" w:eastAsia="Calibri" w:hAnsi="Cambria Math" w:cs="Arial"/>
                <w:sz w:val="20"/>
                <w:szCs w:val="20"/>
              </w:rPr>
              <m:t>i=12</m:t>
            </m:r>
          </m:sup>
          <m:e>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P</m:t>
                </m:r>
              </m:e>
              <m:sub>
                <m:r>
                  <m:rPr>
                    <m:sty m:val="p"/>
                  </m:rPr>
                  <w:rPr>
                    <w:rFonts w:ascii="Cambria Math" w:eastAsia="Calibri" w:hAnsi="Cambria Math" w:cs="Arial"/>
                    <w:sz w:val="20"/>
                    <w:szCs w:val="20"/>
                  </w:rPr>
                  <m:t>mon</m:t>
                </m:r>
              </m:sub>
            </m:sSub>
          </m:e>
        </m:nary>
      </m:oMath>
      <w:r w:rsidR="00F77465" w:rsidRPr="008638B1">
        <w:rPr>
          <w:rFonts w:ascii="Arial" w:eastAsia="Calibri" w:hAnsi="Arial" w:cs="Arial"/>
          <w:sz w:val="20"/>
          <w:szCs w:val="20"/>
        </w:rPr>
        <w:t xml:space="preserve">                                              </w:t>
      </w:r>
      <w:r w:rsidR="00266059" w:rsidRPr="008638B1">
        <w:rPr>
          <w:rFonts w:ascii="Arial" w:eastAsia="Calibri" w:hAnsi="Arial" w:cs="Arial"/>
          <w:sz w:val="20"/>
          <w:szCs w:val="20"/>
        </w:rPr>
        <w:t xml:space="preserve">                       </w:t>
      </w:r>
      <w:r w:rsidR="00F77465" w:rsidRPr="008638B1">
        <w:rPr>
          <w:rFonts w:ascii="Arial" w:eastAsia="Calibri" w:hAnsi="Arial" w:cs="Arial"/>
          <w:sz w:val="20"/>
          <w:szCs w:val="20"/>
        </w:rPr>
        <w:t xml:space="preserve"> ……………… (2)</w:t>
      </w:r>
    </w:p>
    <w:p w14:paraId="5EE370BD" w14:textId="77777777" w:rsidR="00F77465" w:rsidRPr="008638B1" w:rsidRDefault="00F77465" w:rsidP="009D28B7">
      <w:pPr>
        <w:spacing w:after="240" w:line="360" w:lineRule="auto"/>
        <w:jc w:val="both"/>
        <w:rPr>
          <w:rFonts w:ascii="Arial" w:eastAsia="Calibri" w:hAnsi="Arial" w:cs="Arial"/>
          <w:b/>
          <w:bCs/>
          <w:sz w:val="20"/>
          <w:szCs w:val="20"/>
        </w:rPr>
      </w:pPr>
      <w:r w:rsidRPr="008638B1">
        <w:rPr>
          <w:rFonts w:ascii="Arial" w:eastAsia="Calibri" w:hAnsi="Arial" w:cs="Arial"/>
          <w:b/>
          <w:bCs/>
          <w:sz w:val="20"/>
          <w:szCs w:val="20"/>
        </w:rPr>
        <w:t xml:space="preserve">3.2 Temperature                    </w:t>
      </w:r>
    </w:p>
    <w:p w14:paraId="5668DFA5" w14:textId="72F4DEE6" w:rsidR="00F77465" w:rsidRPr="008638B1" w:rsidRDefault="00266059" w:rsidP="009D28B7">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  </w:t>
      </w:r>
      <w:r w:rsidR="00F77465" w:rsidRPr="008638B1">
        <w:rPr>
          <w:rFonts w:ascii="Arial" w:eastAsia="Calibri" w:hAnsi="Arial" w:cs="Arial"/>
          <w:sz w:val="20"/>
          <w:szCs w:val="20"/>
        </w:rPr>
        <w:t xml:space="preserve">The mean temperature is the average of the </w:t>
      </w:r>
      <w:proofErr w:type="spellStart"/>
      <w:r w:rsidR="00F77465" w:rsidRPr="008638B1">
        <w:rPr>
          <w:rFonts w:ascii="Arial" w:eastAsia="Calibri" w:hAnsi="Arial" w:cs="Arial"/>
          <w:sz w:val="20"/>
          <w:szCs w:val="20"/>
        </w:rPr>
        <w:t>T</w:t>
      </w:r>
      <w:r w:rsidR="00F77465" w:rsidRPr="008638B1">
        <w:rPr>
          <w:rFonts w:ascii="Arial" w:eastAsia="Calibri" w:hAnsi="Arial" w:cs="Arial"/>
          <w:sz w:val="20"/>
          <w:szCs w:val="20"/>
          <w:vertAlign w:val="subscript"/>
        </w:rPr>
        <w:t>max</w:t>
      </w:r>
      <w:proofErr w:type="spellEnd"/>
      <w:r w:rsidR="00F77465" w:rsidRPr="008638B1">
        <w:rPr>
          <w:rFonts w:ascii="Arial" w:eastAsia="Calibri" w:hAnsi="Arial" w:cs="Arial"/>
          <w:sz w:val="20"/>
          <w:szCs w:val="20"/>
        </w:rPr>
        <w:t xml:space="preserve"> and </w:t>
      </w:r>
      <w:proofErr w:type="spellStart"/>
      <w:r w:rsidR="00F77465" w:rsidRPr="008638B1">
        <w:rPr>
          <w:rFonts w:ascii="Arial" w:eastAsia="Calibri" w:hAnsi="Arial" w:cs="Arial"/>
          <w:sz w:val="20"/>
          <w:szCs w:val="20"/>
        </w:rPr>
        <w:t>T</w:t>
      </w:r>
      <w:r w:rsidR="00F77465" w:rsidRPr="008638B1">
        <w:rPr>
          <w:rFonts w:ascii="Arial" w:eastAsia="Calibri" w:hAnsi="Arial" w:cs="Arial"/>
          <w:sz w:val="20"/>
          <w:szCs w:val="20"/>
          <w:vertAlign w:val="subscript"/>
        </w:rPr>
        <w:t>min</w:t>
      </w:r>
      <w:proofErr w:type="spellEnd"/>
      <w:r w:rsidR="00F77465" w:rsidRPr="008638B1">
        <w:rPr>
          <w:rFonts w:ascii="Arial" w:eastAsia="Calibri" w:hAnsi="Arial" w:cs="Arial"/>
          <w:sz w:val="20"/>
          <w:szCs w:val="20"/>
          <w:vertAlign w:val="subscript"/>
        </w:rPr>
        <w:t xml:space="preserve"> </w:t>
      </w:r>
      <w:r w:rsidR="00F77465" w:rsidRPr="008638B1">
        <w:rPr>
          <w:rFonts w:ascii="Arial" w:eastAsia="Calibri" w:hAnsi="Arial" w:cs="Arial"/>
          <w:sz w:val="20"/>
          <w:szCs w:val="20"/>
        </w:rPr>
        <w:t>which is calculated by the following formula:</w:t>
      </w:r>
    </w:p>
    <w:p w14:paraId="1058A6BE" w14:textId="06C355A3" w:rsidR="00F77465" w:rsidRPr="008638B1" w:rsidRDefault="002E1B51" w:rsidP="009D28B7">
      <w:pPr>
        <w:spacing w:line="360" w:lineRule="auto"/>
        <w:jc w:val="center"/>
        <w:rPr>
          <w:rFonts w:ascii="Arial" w:eastAsia="Times New Roman" w:hAnsi="Arial" w:cs="Arial"/>
          <w:sz w:val="20"/>
          <w:szCs w:val="20"/>
          <w:highlight w:val="yellow"/>
          <w:vertAlign w:val="subscript"/>
        </w:rPr>
      </w:pPr>
      <m:oMath>
        <m:sSub>
          <m:sSubPr>
            <m:ctrlPr>
              <w:rPr>
                <w:rFonts w:ascii="Cambria Math" w:eastAsia="Times New Roman" w:hAnsi="Cambria Math" w:cs="Arial"/>
                <w:sz w:val="20"/>
                <w:szCs w:val="20"/>
                <w:vertAlign w:val="subscript"/>
              </w:rPr>
            </m:ctrlPr>
          </m:sSubPr>
          <m:e>
            <m:r>
              <m:rPr>
                <m:sty m:val="p"/>
              </m:rPr>
              <w:rPr>
                <w:rFonts w:ascii="Cambria Math" w:eastAsia="Times New Roman" w:hAnsi="Cambria Math" w:cs="Arial"/>
                <w:sz w:val="20"/>
                <w:szCs w:val="20"/>
                <w:vertAlign w:val="subscript"/>
              </w:rPr>
              <m:t>T</m:t>
            </m:r>
          </m:e>
          <m:sub>
            <m:r>
              <m:rPr>
                <m:sty m:val="p"/>
              </m:rPr>
              <w:rPr>
                <w:rFonts w:ascii="Cambria Math" w:eastAsia="Times New Roman" w:hAnsi="Cambria Math" w:cs="Arial"/>
                <w:sz w:val="20"/>
                <w:szCs w:val="20"/>
                <w:vertAlign w:val="subscript"/>
              </w:rPr>
              <m:t>mean</m:t>
            </m:r>
          </m:sub>
        </m:sSub>
        <m:r>
          <m:rPr>
            <m:sty m:val="p"/>
          </m:rPr>
          <w:rPr>
            <w:rFonts w:ascii="Cambria Math" w:eastAsia="Times New Roman" w:hAnsi="Cambria Math" w:cs="Arial"/>
            <w:sz w:val="20"/>
            <w:szCs w:val="20"/>
            <w:vertAlign w:val="subscript"/>
          </w:rPr>
          <m:t>=</m:t>
        </m:r>
        <m:f>
          <m:fPr>
            <m:ctrlPr>
              <w:rPr>
                <w:rFonts w:ascii="Cambria Math" w:eastAsia="Times New Roman" w:hAnsi="Cambria Math" w:cs="Arial"/>
                <w:sz w:val="20"/>
                <w:szCs w:val="20"/>
                <w:vertAlign w:val="subscript"/>
              </w:rPr>
            </m:ctrlPr>
          </m:fPr>
          <m:num>
            <m:sSub>
              <m:sSubPr>
                <m:ctrlPr>
                  <w:rPr>
                    <w:rFonts w:ascii="Cambria Math" w:eastAsia="Times New Roman" w:hAnsi="Cambria Math" w:cs="Arial"/>
                    <w:sz w:val="20"/>
                    <w:szCs w:val="20"/>
                    <w:vertAlign w:val="subscript"/>
                  </w:rPr>
                </m:ctrlPr>
              </m:sSubPr>
              <m:e>
                <m:r>
                  <m:rPr>
                    <m:sty m:val="p"/>
                  </m:rPr>
                  <w:rPr>
                    <w:rFonts w:ascii="Cambria Math" w:eastAsia="Times New Roman" w:hAnsi="Cambria Math" w:cs="Arial"/>
                    <w:sz w:val="20"/>
                    <w:szCs w:val="20"/>
                    <w:vertAlign w:val="subscript"/>
                  </w:rPr>
                  <m:t>T</m:t>
                </m:r>
              </m:e>
              <m:sub>
                <m:r>
                  <m:rPr>
                    <m:sty m:val="p"/>
                  </m:rPr>
                  <w:rPr>
                    <w:rFonts w:ascii="Cambria Math" w:eastAsia="Times New Roman" w:hAnsi="Cambria Math" w:cs="Arial"/>
                    <w:sz w:val="20"/>
                    <w:szCs w:val="20"/>
                    <w:vertAlign w:val="subscript"/>
                  </w:rPr>
                  <m:t>max+</m:t>
                </m:r>
                <m:sSub>
                  <m:sSubPr>
                    <m:ctrlPr>
                      <w:rPr>
                        <w:rFonts w:ascii="Cambria Math" w:eastAsia="Times New Roman" w:hAnsi="Cambria Math" w:cs="Arial"/>
                        <w:sz w:val="20"/>
                        <w:szCs w:val="20"/>
                        <w:vertAlign w:val="subscript"/>
                      </w:rPr>
                    </m:ctrlPr>
                  </m:sSubPr>
                  <m:e>
                    <m:r>
                      <m:rPr>
                        <m:sty m:val="p"/>
                      </m:rPr>
                      <w:rPr>
                        <w:rFonts w:ascii="Cambria Math" w:eastAsia="Times New Roman" w:hAnsi="Cambria Math" w:cs="Arial"/>
                        <w:sz w:val="20"/>
                        <w:szCs w:val="20"/>
                        <w:vertAlign w:val="subscript"/>
                      </w:rPr>
                      <m:t>T</m:t>
                    </m:r>
                  </m:e>
                  <m:sub>
                    <m:r>
                      <m:rPr>
                        <m:sty m:val="p"/>
                      </m:rPr>
                      <w:rPr>
                        <w:rFonts w:ascii="Cambria Math" w:eastAsia="Times New Roman" w:hAnsi="Cambria Math" w:cs="Arial"/>
                        <w:sz w:val="20"/>
                        <w:szCs w:val="20"/>
                        <w:vertAlign w:val="subscript"/>
                      </w:rPr>
                      <m:t>min</m:t>
                    </m:r>
                  </m:sub>
                </m:sSub>
              </m:sub>
            </m:sSub>
          </m:num>
          <m:den>
            <m:r>
              <m:rPr>
                <m:sty m:val="p"/>
              </m:rPr>
              <w:rPr>
                <w:rFonts w:ascii="Cambria Math" w:eastAsia="Times New Roman" w:hAnsi="Cambria Math" w:cs="Arial"/>
                <w:sz w:val="20"/>
                <w:szCs w:val="20"/>
                <w:vertAlign w:val="subscript"/>
              </w:rPr>
              <m:t>2</m:t>
            </m:r>
          </m:den>
        </m:f>
      </m:oMath>
      <w:r w:rsidR="00F77465" w:rsidRPr="008638B1">
        <w:rPr>
          <w:rFonts w:ascii="Arial" w:eastAsia="Times New Roman" w:hAnsi="Arial" w:cs="Arial"/>
          <w:sz w:val="20"/>
          <w:szCs w:val="20"/>
          <w:vertAlign w:val="subscript"/>
        </w:rPr>
        <w:tab/>
      </w:r>
      <w:r w:rsidR="00F77465" w:rsidRPr="008638B1">
        <w:rPr>
          <w:rFonts w:ascii="Arial" w:eastAsia="Times New Roman" w:hAnsi="Arial" w:cs="Arial"/>
          <w:sz w:val="20"/>
          <w:szCs w:val="20"/>
          <w:vertAlign w:val="subscript"/>
        </w:rPr>
        <w:tab/>
      </w:r>
      <w:r w:rsidR="00F77465" w:rsidRPr="008638B1">
        <w:rPr>
          <w:rFonts w:ascii="Arial" w:eastAsia="Times New Roman" w:hAnsi="Arial" w:cs="Arial"/>
          <w:sz w:val="20"/>
          <w:szCs w:val="20"/>
          <w:vertAlign w:val="subscript"/>
        </w:rPr>
        <w:tab/>
        <w:t xml:space="preserve">       </w:t>
      </w:r>
      <w:r w:rsidR="00F77465" w:rsidRPr="008638B1">
        <w:rPr>
          <w:rFonts w:ascii="Arial" w:eastAsia="Times New Roman" w:hAnsi="Arial" w:cs="Arial"/>
          <w:sz w:val="20"/>
          <w:szCs w:val="20"/>
          <w:vertAlign w:val="subscript"/>
        </w:rPr>
        <w:tab/>
      </w:r>
      <w:r w:rsidR="00F77465" w:rsidRPr="008638B1">
        <w:rPr>
          <w:rFonts w:ascii="Arial" w:eastAsia="Calibri" w:hAnsi="Arial" w:cs="Arial"/>
          <w:sz w:val="20"/>
          <w:szCs w:val="20"/>
        </w:rPr>
        <w:t xml:space="preserve">                         </w:t>
      </w:r>
      <w:r w:rsidR="00266059" w:rsidRPr="008638B1">
        <w:rPr>
          <w:rFonts w:ascii="Arial" w:eastAsia="Calibri" w:hAnsi="Arial" w:cs="Arial"/>
          <w:sz w:val="20"/>
          <w:szCs w:val="20"/>
        </w:rPr>
        <w:t xml:space="preserve"> </w:t>
      </w:r>
      <w:r w:rsidR="00F77465" w:rsidRPr="008638B1">
        <w:rPr>
          <w:rFonts w:ascii="Arial" w:eastAsia="Calibri" w:hAnsi="Arial" w:cs="Arial"/>
          <w:sz w:val="20"/>
          <w:szCs w:val="20"/>
        </w:rPr>
        <w:t xml:space="preserve">   ……….… (3)</w:t>
      </w:r>
    </w:p>
    <w:p w14:paraId="3A82B29E" w14:textId="27B92E40" w:rsidR="00F77465" w:rsidRPr="008638B1" w:rsidRDefault="002E1B51" w:rsidP="00266059">
      <w:pPr>
        <w:spacing w:line="360" w:lineRule="auto"/>
        <w:jc w:val="center"/>
        <w:rPr>
          <w:rFonts w:ascii="Arial" w:eastAsia="Times New Roman" w:hAnsi="Arial" w:cs="Arial"/>
          <w:sz w:val="20"/>
          <w:szCs w:val="20"/>
          <w:vertAlign w:val="subscript"/>
        </w:rPr>
      </w:pP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T</m:t>
            </m:r>
          </m:e>
          <m:sub>
            <m:r>
              <m:rPr>
                <m:sty m:val="p"/>
              </m:rPr>
              <w:rPr>
                <w:rFonts w:ascii="Cambria Math" w:eastAsia="Times New Roman" w:hAnsi="Cambria Math" w:cs="Arial"/>
                <w:sz w:val="20"/>
                <w:szCs w:val="20"/>
              </w:rPr>
              <m:t>max</m:t>
            </m:r>
          </m:sub>
        </m:sSub>
        <m:r>
          <m:rPr>
            <m:sty m:val="p"/>
          </m:rPr>
          <w:rPr>
            <w:rFonts w:ascii="Cambria Math" w:eastAsia="Times New Roman" w:hAnsi="Cambria Math" w:cs="Arial"/>
            <w:sz w:val="20"/>
            <w:szCs w:val="20"/>
          </w:rPr>
          <m:t>=</m:t>
        </m:r>
        <m:f>
          <m:fPr>
            <m:ctrlPr>
              <w:rPr>
                <w:rFonts w:ascii="Cambria Math" w:eastAsia="Times New Roman" w:hAnsi="Cambria Math" w:cs="Arial"/>
                <w:sz w:val="20"/>
                <w:szCs w:val="20"/>
              </w:rPr>
            </m:ctrlPr>
          </m:fPr>
          <m:num>
            <m:r>
              <m:rPr>
                <m:sty m:val="p"/>
              </m:rPr>
              <w:rPr>
                <w:rFonts w:ascii="Cambria Math" w:eastAsia="Times New Roman" w:hAnsi="Cambria Math" w:cs="Arial"/>
                <w:sz w:val="20"/>
                <w:szCs w:val="20"/>
              </w:rPr>
              <m:t xml:space="preserve">Sum of all </m:t>
            </m:r>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T</m:t>
                </m:r>
              </m:e>
              <m:sub>
                <m:r>
                  <m:rPr>
                    <m:sty m:val="p"/>
                  </m:rPr>
                  <w:rPr>
                    <w:rFonts w:ascii="Cambria Math" w:eastAsia="Times New Roman" w:hAnsi="Cambria Math" w:cs="Arial"/>
                    <w:sz w:val="20"/>
                    <w:szCs w:val="20"/>
                  </w:rPr>
                  <m:t>max</m:t>
                </m:r>
              </m:sub>
            </m:sSub>
            <m:r>
              <m:rPr>
                <m:sty m:val="p"/>
              </m:rPr>
              <w:rPr>
                <w:rFonts w:ascii="Cambria Math" w:eastAsia="Times New Roman" w:hAnsi="Cambria Math" w:cs="Arial"/>
                <w:sz w:val="20"/>
                <w:szCs w:val="20"/>
              </w:rPr>
              <m:t xml:space="preserve"> values during the month</m:t>
            </m:r>
          </m:num>
          <m:den>
            <m:r>
              <m:rPr>
                <m:sty m:val="p"/>
              </m:rPr>
              <w:rPr>
                <w:rFonts w:ascii="Cambria Math" w:eastAsia="Calibri" w:hAnsi="Cambria Math" w:cs="Arial"/>
                <w:sz w:val="20"/>
                <w:szCs w:val="20"/>
              </w:rPr>
              <m:t>Number of days of the month</m:t>
            </m:r>
          </m:den>
        </m:f>
      </m:oMath>
      <w:r w:rsidR="006627D5" w:rsidRPr="008638B1">
        <w:rPr>
          <w:rFonts w:ascii="Arial" w:eastAsia="Times New Roman" w:hAnsi="Arial" w:cs="Arial"/>
          <w:sz w:val="20"/>
          <w:szCs w:val="20"/>
        </w:rPr>
        <w:tab/>
      </w:r>
      <w:r w:rsidR="006627D5" w:rsidRPr="008638B1">
        <w:rPr>
          <w:rFonts w:ascii="Arial" w:eastAsia="Times New Roman" w:hAnsi="Arial" w:cs="Arial"/>
          <w:sz w:val="20"/>
          <w:szCs w:val="20"/>
        </w:rPr>
        <w:tab/>
      </w:r>
      <w:r w:rsidR="00266059" w:rsidRPr="008638B1">
        <w:rPr>
          <w:rFonts w:ascii="Arial" w:eastAsia="Times New Roman" w:hAnsi="Arial" w:cs="Arial"/>
          <w:sz w:val="20"/>
          <w:szCs w:val="20"/>
        </w:rPr>
        <w:t xml:space="preserve">              </w:t>
      </w:r>
      <w:r w:rsidR="00F77465" w:rsidRPr="008638B1">
        <w:rPr>
          <w:rFonts w:ascii="Arial" w:eastAsia="Calibri" w:hAnsi="Arial" w:cs="Arial"/>
          <w:sz w:val="20"/>
          <w:szCs w:val="20"/>
        </w:rPr>
        <w:t xml:space="preserve"> ………… (4)</w:t>
      </w:r>
    </w:p>
    <w:p w14:paraId="1E251194" w14:textId="02E42DF2" w:rsidR="00F77465" w:rsidRPr="008638B1" w:rsidRDefault="002E1B51" w:rsidP="00266059">
      <w:pPr>
        <w:spacing w:line="360" w:lineRule="auto"/>
        <w:jc w:val="center"/>
        <w:rPr>
          <w:rFonts w:ascii="Arial" w:eastAsia="Calibri" w:hAnsi="Arial" w:cs="Arial"/>
          <w:sz w:val="20"/>
          <w:szCs w:val="20"/>
        </w:rPr>
      </w:pPr>
      <m:oMath>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T</m:t>
            </m:r>
          </m:e>
          <m:sub>
            <m:r>
              <m:rPr>
                <m:sty m:val="p"/>
              </m:rPr>
              <w:rPr>
                <w:rFonts w:ascii="Cambria Math" w:eastAsia="Calibri" w:hAnsi="Cambria Math" w:cs="Arial"/>
                <w:sz w:val="20"/>
                <w:szCs w:val="20"/>
              </w:rPr>
              <m:t>min</m:t>
            </m:r>
          </m:sub>
        </m:sSub>
        <m:r>
          <m:rPr>
            <m:sty m:val="p"/>
          </m:rPr>
          <w:rPr>
            <w:rFonts w:ascii="Cambria Math" w:eastAsia="Calibri" w:hAnsi="Cambria Math" w:cs="Arial"/>
            <w:sz w:val="20"/>
            <w:szCs w:val="20"/>
          </w:rPr>
          <m:t>=</m:t>
        </m:r>
        <m:f>
          <m:fPr>
            <m:ctrlPr>
              <w:rPr>
                <w:rFonts w:ascii="Cambria Math" w:eastAsia="Calibri" w:hAnsi="Cambria Math" w:cs="Arial"/>
                <w:sz w:val="20"/>
                <w:szCs w:val="20"/>
              </w:rPr>
            </m:ctrlPr>
          </m:fPr>
          <m:num>
            <m:r>
              <m:rPr>
                <m:sty m:val="p"/>
              </m:rPr>
              <w:rPr>
                <w:rFonts w:ascii="Cambria Math" w:eastAsia="Calibri" w:hAnsi="Cambria Math" w:cs="Arial"/>
                <w:sz w:val="20"/>
                <w:szCs w:val="20"/>
              </w:rPr>
              <m:t xml:space="preserve">Sum of all Tmin values during the month </m:t>
            </m:r>
          </m:num>
          <m:den>
            <m:r>
              <m:rPr>
                <m:sty m:val="p"/>
              </m:rPr>
              <w:rPr>
                <w:rFonts w:ascii="Cambria Math" w:eastAsia="Calibri" w:hAnsi="Cambria Math" w:cs="Arial"/>
                <w:sz w:val="20"/>
                <w:szCs w:val="20"/>
              </w:rPr>
              <m:t>Number of days of the month</m:t>
            </m:r>
          </m:den>
        </m:f>
      </m:oMath>
      <w:r w:rsidR="00F77465" w:rsidRPr="008638B1">
        <w:rPr>
          <w:rFonts w:ascii="Arial" w:eastAsia="Times New Roman" w:hAnsi="Arial" w:cs="Arial"/>
          <w:sz w:val="20"/>
          <w:szCs w:val="20"/>
        </w:rPr>
        <w:tab/>
        <w:t xml:space="preserve">                        </w:t>
      </w:r>
      <w:r w:rsidR="00266059" w:rsidRPr="008638B1">
        <w:rPr>
          <w:rFonts w:ascii="Arial" w:eastAsia="Times New Roman" w:hAnsi="Arial" w:cs="Arial"/>
          <w:sz w:val="20"/>
          <w:szCs w:val="20"/>
        </w:rPr>
        <w:t xml:space="preserve">   </w:t>
      </w:r>
      <w:r w:rsidR="00F77465" w:rsidRPr="008638B1">
        <w:rPr>
          <w:rFonts w:ascii="Arial" w:eastAsia="Times New Roman" w:hAnsi="Arial" w:cs="Arial"/>
          <w:sz w:val="20"/>
          <w:szCs w:val="20"/>
        </w:rPr>
        <w:t xml:space="preserve">  </w:t>
      </w:r>
      <w:r w:rsidR="00266059" w:rsidRPr="008638B1">
        <w:rPr>
          <w:rFonts w:ascii="Arial" w:eastAsia="Calibri" w:hAnsi="Arial" w:cs="Arial"/>
          <w:sz w:val="20"/>
          <w:szCs w:val="20"/>
        </w:rPr>
        <w:t>………… (5)</w:t>
      </w:r>
    </w:p>
    <w:p w14:paraId="0F20173C" w14:textId="77777777" w:rsidR="00F77465" w:rsidRPr="008638B1" w:rsidRDefault="00F77465" w:rsidP="009D28B7">
      <w:pPr>
        <w:spacing w:after="240" w:line="360" w:lineRule="auto"/>
        <w:jc w:val="both"/>
        <w:rPr>
          <w:rFonts w:ascii="Arial" w:eastAsia="Calibri" w:hAnsi="Arial" w:cs="Arial"/>
          <w:b/>
          <w:sz w:val="20"/>
          <w:szCs w:val="20"/>
        </w:rPr>
      </w:pPr>
      <w:r w:rsidRPr="008638B1">
        <w:rPr>
          <w:rFonts w:ascii="Arial" w:eastAsia="Calibri" w:hAnsi="Arial" w:cs="Arial"/>
          <w:b/>
          <w:sz w:val="20"/>
          <w:szCs w:val="20"/>
        </w:rPr>
        <w:t xml:space="preserve">3.3 Potential Evapotranspiration </w:t>
      </w:r>
    </w:p>
    <w:p w14:paraId="5D2822AD" w14:textId="77777777" w:rsidR="00F77465" w:rsidRPr="008638B1" w:rsidRDefault="00F77465" w:rsidP="00266059">
      <w:pPr>
        <w:spacing w:after="0" w:line="360" w:lineRule="auto"/>
        <w:jc w:val="both"/>
        <w:rPr>
          <w:rFonts w:ascii="Arial" w:eastAsia="Calibri" w:hAnsi="Arial" w:cs="Arial"/>
          <w:sz w:val="20"/>
          <w:szCs w:val="20"/>
        </w:rPr>
      </w:pPr>
      <w:r w:rsidRPr="008638B1">
        <w:rPr>
          <w:rFonts w:ascii="Arial" w:eastAsia="Calibri" w:hAnsi="Arial" w:cs="Arial"/>
          <w:b/>
          <w:sz w:val="20"/>
          <w:szCs w:val="20"/>
        </w:rPr>
        <w:tab/>
      </w:r>
      <w:r w:rsidRPr="008638B1">
        <w:rPr>
          <w:rFonts w:ascii="Arial" w:eastAsia="Calibri" w:hAnsi="Arial" w:cs="Arial"/>
          <w:sz w:val="20"/>
          <w:szCs w:val="20"/>
        </w:rPr>
        <w:t>Potential evapotranspiration (PET) is the potential water requirement for vegetation growth under no scarcity of water. The principal factors influencing evapotranspiration are temperature, wind velocity, humidity, and sunshine. In India, evapotranspiration varies with season. The rates of evapotranspiration reach peak during the summer months of April and May. The following methods have been used for the computation of PET.</w:t>
      </w:r>
    </w:p>
    <w:p w14:paraId="67C7246E" w14:textId="039BC2A4" w:rsidR="00F77465" w:rsidRPr="008638B1" w:rsidRDefault="00F77465" w:rsidP="00266059">
      <w:pPr>
        <w:spacing w:after="0" w:line="360" w:lineRule="auto"/>
        <w:jc w:val="both"/>
        <w:rPr>
          <w:rFonts w:ascii="Arial" w:eastAsia="Calibri" w:hAnsi="Arial" w:cs="Arial"/>
          <w:b/>
          <w:sz w:val="20"/>
          <w:szCs w:val="20"/>
        </w:rPr>
      </w:pPr>
      <w:r w:rsidRPr="008638B1">
        <w:rPr>
          <w:rFonts w:ascii="Arial" w:eastAsia="Calibri" w:hAnsi="Arial" w:cs="Arial"/>
          <w:b/>
          <w:sz w:val="20"/>
          <w:szCs w:val="20"/>
        </w:rPr>
        <w:t>3.3.1</w:t>
      </w:r>
      <w:r w:rsidRPr="008638B1">
        <w:rPr>
          <w:rFonts w:ascii="Arial" w:eastAsia="Calibri" w:hAnsi="Arial" w:cs="Arial"/>
          <w:sz w:val="20"/>
          <w:szCs w:val="20"/>
        </w:rPr>
        <w:t xml:space="preserve"> </w:t>
      </w:r>
      <w:proofErr w:type="spellStart"/>
      <w:r w:rsidRPr="008638B1">
        <w:rPr>
          <w:rFonts w:ascii="Arial" w:eastAsia="Calibri" w:hAnsi="Arial" w:cs="Arial"/>
          <w:b/>
          <w:sz w:val="20"/>
          <w:szCs w:val="20"/>
        </w:rPr>
        <w:t>Thornthwaite</w:t>
      </w:r>
      <w:proofErr w:type="spellEnd"/>
      <w:r w:rsidRPr="008638B1">
        <w:rPr>
          <w:rFonts w:ascii="Arial" w:eastAsia="Calibri" w:hAnsi="Arial" w:cs="Arial"/>
          <w:sz w:val="20"/>
          <w:szCs w:val="20"/>
        </w:rPr>
        <w:t xml:space="preserve"> </w:t>
      </w:r>
      <w:r w:rsidRPr="008638B1">
        <w:rPr>
          <w:rFonts w:ascii="Arial" w:eastAsia="Calibri" w:hAnsi="Arial" w:cs="Arial"/>
          <w:b/>
          <w:sz w:val="20"/>
          <w:szCs w:val="20"/>
        </w:rPr>
        <w:t xml:space="preserve">Equation  </w:t>
      </w:r>
    </w:p>
    <w:p w14:paraId="0986B777" w14:textId="77777777" w:rsidR="00266059" w:rsidRPr="008638B1" w:rsidRDefault="00266059" w:rsidP="00266059">
      <w:pPr>
        <w:spacing w:after="0" w:line="360" w:lineRule="auto"/>
        <w:jc w:val="both"/>
        <w:rPr>
          <w:rFonts w:ascii="Arial" w:eastAsia="Calibri" w:hAnsi="Arial" w:cs="Arial"/>
          <w:b/>
          <w:sz w:val="20"/>
          <w:szCs w:val="20"/>
        </w:rPr>
      </w:pPr>
    </w:p>
    <w:p w14:paraId="3E7C3CCA" w14:textId="73AECBDA" w:rsidR="00266059" w:rsidRPr="008638B1" w:rsidRDefault="00266059" w:rsidP="00266059">
      <w:pPr>
        <w:autoSpaceDE w:val="0"/>
        <w:autoSpaceDN w:val="0"/>
        <w:adjustRightInd w:val="0"/>
        <w:spacing w:after="0" w:line="360" w:lineRule="auto"/>
        <w:jc w:val="both"/>
        <w:rPr>
          <w:rFonts w:ascii="Arial" w:eastAsia="Calibri" w:hAnsi="Arial" w:cs="Arial"/>
          <w:sz w:val="20"/>
          <w:szCs w:val="20"/>
        </w:rPr>
      </w:pPr>
      <w:proofErr w:type="spellStart"/>
      <w:r w:rsidRPr="008638B1">
        <w:rPr>
          <w:rFonts w:ascii="Arial" w:eastAsia="Calibri" w:hAnsi="Arial" w:cs="Arial"/>
          <w:sz w:val="20"/>
          <w:szCs w:val="20"/>
        </w:rPr>
        <w:t>Thornthwaite</w:t>
      </w:r>
      <w:proofErr w:type="spellEnd"/>
      <w:r w:rsidRPr="008638B1">
        <w:rPr>
          <w:rFonts w:ascii="Arial" w:eastAsia="Calibri" w:hAnsi="Arial" w:cs="Arial"/>
          <w:sz w:val="20"/>
          <w:szCs w:val="20"/>
        </w:rPr>
        <w:t xml:space="preserve"> proposed an exponential relationship between mean monthly temperature and mean monthly potential evapotranspiration (PET), based primarily on climatological observations from the central and eastern regions of the United States. The original method did not account for variations in crop type or land use. It was initially designed to support a systematic classification of global climatic zones. To enhance the accuracy of crop evapotranspiration estimates, region-specific adjustment coefficients have since been introduced. The first step in this method involves calculating the monthly </w:t>
      </w:r>
      <w:proofErr w:type="spellStart"/>
      <w:r w:rsidRPr="008638B1">
        <w:rPr>
          <w:rFonts w:ascii="Arial" w:eastAsia="Calibri" w:hAnsi="Arial" w:cs="Arial"/>
          <w:sz w:val="20"/>
          <w:szCs w:val="20"/>
        </w:rPr>
        <w:t>Thornthwaite</w:t>
      </w:r>
      <w:proofErr w:type="spellEnd"/>
      <w:r w:rsidRPr="008638B1">
        <w:rPr>
          <w:rFonts w:ascii="Arial" w:eastAsia="Calibri" w:hAnsi="Arial" w:cs="Arial"/>
          <w:sz w:val="20"/>
          <w:szCs w:val="20"/>
        </w:rPr>
        <w:t xml:space="preserve"> Heat Index (</w:t>
      </w:r>
      <w:proofErr w:type="spellStart"/>
      <w:r w:rsidRPr="008638B1">
        <w:rPr>
          <w:rFonts w:ascii="Arial" w:eastAsia="Calibri" w:hAnsi="Arial" w:cs="Arial"/>
          <w:sz w:val="20"/>
          <w:szCs w:val="20"/>
        </w:rPr>
        <w:t>i</w:t>
      </w:r>
      <w:proofErr w:type="spellEnd"/>
      <w:r w:rsidRPr="008638B1">
        <w:rPr>
          <w:rFonts w:ascii="Arial" w:eastAsia="Calibri" w:hAnsi="Arial" w:cs="Arial"/>
          <w:sz w:val="20"/>
          <w:szCs w:val="20"/>
        </w:rPr>
        <w:t>), as shown in Equation-6.</w:t>
      </w:r>
    </w:p>
    <w:p w14:paraId="315FD599" w14:textId="13CF6634" w:rsidR="00F77465" w:rsidRPr="008638B1" w:rsidRDefault="00F77465" w:rsidP="00266059">
      <w:pPr>
        <w:autoSpaceDE w:val="0"/>
        <w:autoSpaceDN w:val="0"/>
        <w:adjustRightInd w:val="0"/>
        <w:spacing w:after="0" w:line="360" w:lineRule="auto"/>
        <w:jc w:val="center"/>
        <w:rPr>
          <w:rFonts w:ascii="Arial" w:eastAsia="Calibri" w:hAnsi="Arial" w:cs="Arial"/>
          <w:sz w:val="20"/>
          <w:szCs w:val="20"/>
        </w:rPr>
      </w:pPr>
      <m:oMath>
        <m:r>
          <m:rPr>
            <m:sty m:val="p"/>
          </m:rPr>
          <w:rPr>
            <w:rFonts w:ascii="Cambria Math" w:eastAsia="Calibri" w:hAnsi="Cambria Math" w:cs="Arial"/>
            <w:sz w:val="20"/>
            <w:szCs w:val="20"/>
          </w:rPr>
          <m:t>i=</m:t>
        </m:r>
        <m:sSup>
          <m:sSupPr>
            <m:ctrlPr>
              <w:rPr>
                <w:rFonts w:ascii="Cambria Math" w:eastAsia="Calibri" w:hAnsi="Cambria Math" w:cs="Arial"/>
                <w:sz w:val="20"/>
                <w:szCs w:val="20"/>
              </w:rPr>
            </m:ctrlPr>
          </m:sSupPr>
          <m:e>
            <m:d>
              <m:dPr>
                <m:ctrlPr>
                  <w:rPr>
                    <w:rFonts w:ascii="Cambria Math" w:eastAsia="Calibri" w:hAnsi="Cambria Math" w:cs="Arial"/>
                    <w:sz w:val="20"/>
                    <w:szCs w:val="20"/>
                  </w:rPr>
                </m:ctrlPr>
              </m:dPr>
              <m:e>
                <m:f>
                  <m:fPr>
                    <m:ctrlPr>
                      <w:rPr>
                        <w:rFonts w:ascii="Cambria Math" w:eastAsia="Calibri" w:hAnsi="Cambria Math" w:cs="Arial"/>
                        <w:sz w:val="20"/>
                        <w:szCs w:val="20"/>
                      </w:rPr>
                    </m:ctrlPr>
                  </m:fPr>
                  <m:num>
                    <m:r>
                      <m:rPr>
                        <m:sty m:val="p"/>
                      </m:rPr>
                      <w:rPr>
                        <w:rFonts w:ascii="Cambria Math" w:eastAsia="Calibri" w:hAnsi="Cambria Math" w:cs="Arial"/>
                        <w:sz w:val="20"/>
                        <w:szCs w:val="20"/>
                      </w:rPr>
                      <m:t>t</m:t>
                    </m:r>
                  </m:num>
                  <m:den>
                    <m:r>
                      <m:rPr>
                        <m:sty m:val="p"/>
                      </m:rPr>
                      <w:rPr>
                        <w:rFonts w:ascii="Cambria Math" w:eastAsia="Calibri" w:hAnsi="Cambria Math" w:cs="Arial"/>
                        <w:sz w:val="20"/>
                        <w:szCs w:val="20"/>
                      </w:rPr>
                      <m:t>5</m:t>
                    </m:r>
                  </m:den>
                </m:f>
              </m:e>
            </m:d>
          </m:e>
          <m:sup>
            <m:r>
              <m:rPr>
                <m:sty m:val="p"/>
              </m:rPr>
              <w:rPr>
                <w:rFonts w:ascii="Cambria Math" w:eastAsia="Calibri" w:hAnsi="Cambria Math" w:cs="Arial"/>
                <w:sz w:val="20"/>
                <w:szCs w:val="20"/>
              </w:rPr>
              <m:t>1.514</m:t>
            </m:r>
          </m:sup>
        </m:sSup>
      </m:oMath>
      <w:r w:rsidRPr="008638B1">
        <w:rPr>
          <w:rFonts w:ascii="Arial" w:eastAsia="Calibri" w:hAnsi="Arial" w:cs="Arial"/>
          <w:sz w:val="20"/>
          <w:szCs w:val="20"/>
        </w:rPr>
        <w:tab/>
        <w:t xml:space="preserve">           </w:t>
      </w:r>
      <w:r w:rsidRPr="008638B1">
        <w:rPr>
          <w:rFonts w:ascii="Arial" w:eastAsia="Calibri" w:hAnsi="Arial" w:cs="Arial"/>
          <w:sz w:val="20"/>
          <w:szCs w:val="20"/>
        </w:rPr>
        <w:tab/>
        <w:t xml:space="preserve">           </w:t>
      </w:r>
      <w:r w:rsidRPr="008638B1">
        <w:rPr>
          <w:rFonts w:ascii="Arial" w:eastAsia="Calibri" w:hAnsi="Arial" w:cs="Arial"/>
          <w:sz w:val="20"/>
          <w:szCs w:val="20"/>
        </w:rPr>
        <w:tab/>
        <w:t xml:space="preserve">                                                 …………… (6)</w:t>
      </w:r>
    </w:p>
    <w:p w14:paraId="4492092D" w14:textId="77777777" w:rsidR="00F77465" w:rsidRPr="008638B1" w:rsidRDefault="00F77465" w:rsidP="00266059">
      <w:pPr>
        <w:autoSpaceDE w:val="0"/>
        <w:autoSpaceDN w:val="0"/>
        <w:adjustRightInd w:val="0"/>
        <w:spacing w:after="0" w:line="360" w:lineRule="auto"/>
        <w:jc w:val="both"/>
        <w:rPr>
          <w:rFonts w:ascii="Arial" w:eastAsia="Calibri" w:hAnsi="Arial" w:cs="Arial"/>
          <w:sz w:val="20"/>
          <w:szCs w:val="20"/>
        </w:rPr>
      </w:pPr>
      <w:r w:rsidRPr="008638B1">
        <w:rPr>
          <w:rFonts w:ascii="Arial" w:eastAsia="Calibri" w:hAnsi="Arial" w:cs="Arial"/>
          <w:sz w:val="20"/>
          <w:szCs w:val="20"/>
        </w:rPr>
        <w:t xml:space="preserve">where, </w:t>
      </w:r>
      <w:r w:rsidRPr="008638B1">
        <w:rPr>
          <w:rFonts w:ascii="Arial" w:eastAsia="Calibri" w:hAnsi="Arial" w:cs="Arial"/>
          <w:iCs/>
          <w:sz w:val="20"/>
          <w:szCs w:val="20"/>
        </w:rPr>
        <w:t>t</w:t>
      </w:r>
      <w:r w:rsidRPr="008638B1">
        <w:rPr>
          <w:rFonts w:ascii="Arial" w:eastAsia="Calibri" w:hAnsi="Arial" w:cs="Arial"/>
          <w:i/>
          <w:iCs/>
          <w:sz w:val="20"/>
          <w:szCs w:val="20"/>
        </w:rPr>
        <w:t xml:space="preserve"> </w:t>
      </w:r>
      <w:r w:rsidRPr="008638B1">
        <w:rPr>
          <w:rFonts w:ascii="Arial" w:eastAsia="Calibri" w:hAnsi="Arial" w:cs="Arial"/>
          <w:sz w:val="20"/>
          <w:szCs w:val="20"/>
        </w:rPr>
        <w:t>is the mean monthly temperature.</w:t>
      </w:r>
    </w:p>
    <w:p w14:paraId="3176DED6" w14:textId="77777777" w:rsidR="00F77465" w:rsidRPr="008638B1" w:rsidRDefault="00F77465" w:rsidP="00266059">
      <w:pPr>
        <w:autoSpaceDE w:val="0"/>
        <w:autoSpaceDN w:val="0"/>
        <w:adjustRightInd w:val="0"/>
        <w:spacing w:after="0" w:line="360" w:lineRule="auto"/>
        <w:jc w:val="both"/>
        <w:rPr>
          <w:rFonts w:ascii="Arial" w:eastAsia="Calibri" w:hAnsi="Arial" w:cs="Arial"/>
          <w:sz w:val="20"/>
          <w:szCs w:val="20"/>
        </w:rPr>
      </w:pPr>
      <w:r w:rsidRPr="008638B1">
        <w:rPr>
          <w:rFonts w:ascii="Arial" w:eastAsia="Calibri" w:hAnsi="Arial" w:cs="Arial"/>
          <w:sz w:val="20"/>
          <w:szCs w:val="20"/>
        </w:rPr>
        <w:t>The Annual Heat Index (</w:t>
      </w:r>
      <w:r w:rsidRPr="008638B1">
        <w:rPr>
          <w:rFonts w:ascii="Arial" w:eastAsia="Calibri" w:hAnsi="Arial" w:cs="Arial"/>
          <w:iCs/>
          <w:sz w:val="20"/>
          <w:szCs w:val="20"/>
        </w:rPr>
        <w:t>I</w:t>
      </w:r>
      <w:r w:rsidRPr="008638B1">
        <w:rPr>
          <w:rFonts w:ascii="Arial" w:eastAsia="Calibri" w:hAnsi="Arial" w:cs="Arial"/>
          <w:sz w:val="20"/>
          <w:szCs w:val="20"/>
        </w:rPr>
        <w:t xml:space="preserve">) is then calculated as the sum of the monthly heat indices using Equation 7,        </w:t>
      </w:r>
    </w:p>
    <w:p w14:paraId="384F8944" w14:textId="77777777"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Times New Roman" w:hAnsi="Arial" w:cs="Arial"/>
          <w:sz w:val="20"/>
          <w:szCs w:val="20"/>
        </w:rPr>
        <w:tab/>
      </w:r>
      <w:r w:rsidRPr="008638B1">
        <w:rPr>
          <w:rFonts w:ascii="Arial" w:eastAsia="Times New Roman" w:hAnsi="Arial" w:cs="Arial"/>
          <w:sz w:val="20"/>
          <w:szCs w:val="20"/>
        </w:rPr>
        <w:tab/>
      </w:r>
      <m:oMath>
        <m:r>
          <m:rPr>
            <m:sty m:val="p"/>
          </m:rPr>
          <w:rPr>
            <w:rFonts w:ascii="Cambria Math" w:eastAsia="Times New Roman" w:hAnsi="Cambria Math" w:cs="Arial"/>
            <w:sz w:val="20"/>
            <w:szCs w:val="20"/>
          </w:rPr>
          <m:t>I=</m:t>
        </m:r>
        <m:nary>
          <m:naryPr>
            <m:chr m:val="∑"/>
            <m:limLoc m:val="undOvr"/>
            <m:ctrlPr>
              <w:rPr>
                <w:rFonts w:ascii="Cambria Math" w:eastAsia="Times New Roman" w:hAnsi="Cambria Math" w:cs="Arial"/>
                <w:sz w:val="20"/>
                <w:szCs w:val="20"/>
              </w:rPr>
            </m:ctrlPr>
          </m:naryPr>
          <m:sub>
            <m:r>
              <m:rPr>
                <m:sty m:val="p"/>
              </m:rPr>
              <w:rPr>
                <w:rFonts w:ascii="Cambria Math" w:eastAsia="Times New Roman" w:hAnsi="Cambria Math" w:cs="Arial"/>
                <w:sz w:val="20"/>
                <w:szCs w:val="20"/>
              </w:rPr>
              <m:t>i=1</m:t>
            </m:r>
          </m:sub>
          <m:sup>
            <m:r>
              <m:rPr>
                <m:sty m:val="p"/>
              </m:rPr>
              <w:rPr>
                <w:rFonts w:ascii="Cambria Math" w:eastAsia="Times New Roman" w:hAnsi="Cambria Math" w:cs="Arial"/>
                <w:sz w:val="20"/>
                <w:szCs w:val="20"/>
              </w:rPr>
              <m:t>12</m:t>
            </m:r>
          </m:sup>
          <m:e>
            <m:r>
              <m:rPr>
                <m:sty m:val="p"/>
              </m:rPr>
              <w:rPr>
                <w:rFonts w:ascii="Cambria Math" w:eastAsia="Times New Roman" w:hAnsi="Cambria Math" w:cs="Arial"/>
                <w:sz w:val="20"/>
                <w:szCs w:val="20"/>
              </w:rPr>
              <m:t>i</m:t>
            </m:r>
          </m:e>
        </m:nary>
      </m:oMath>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Calibri" w:hAnsi="Arial" w:cs="Arial"/>
          <w:sz w:val="20"/>
          <w:szCs w:val="20"/>
        </w:rPr>
        <w:t>…………… (7)</w:t>
      </w:r>
    </w:p>
    <w:p w14:paraId="5E51C128" w14:textId="77777777" w:rsidR="00F77465" w:rsidRPr="008638B1" w:rsidRDefault="00F77465" w:rsidP="009D28B7">
      <w:pPr>
        <w:autoSpaceDE w:val="0"/>
        <w:autoSpaceDN w:val="0"/>
        <w:adjustRightInd w:val="0"/>
        <w:spacing w:after="240" w:line="360" w:lineRule="auto"/>
        <w:jc w:val="both"/>
        <w:rPr>
          <w:rFonts w:ascii="Arial" w:eastAsia="Times New Roman" w:hAnsi="Arial" w:cs="Arial"/>
          <w:sz w:val="20"/>
          <w:szCs w:val="20"/>
          <w:vertAlign w:val="superscript"/>
        </w:rPr>
      </w:pPr>
      <w:r w:rsidRPr="008638B1">
        <w:rPr>
          <w:rFonts w:ascii="Arial" w:eastAsia="Calibri" w:hAnsi="Arial" w:cs="Arial"/>
          <w:sz w:val="20"/>
          <w:szCs w:val="20"/>
        </w:rPr>
        <w:t xml:space="preserve">The PET is estimated for each month, considering a month of 30 days with 12 theoretical sunshine hours per day. The PET has been estimated using Equation 8,  </w:t>
      </w:r>
    </w:p>
    <w:p w14:paraId="016BF201" w14:textId="77777777" w:rsidR="00F77465" w:rsidRPr="008638B1" w:rsidRDefault="00F77465" w:rsidP="009D28B7">
      <w:pPr>
        <w:autoSpaceDE w:val="0"/>
        <w:autoSpaceDN w:val="0"/>
        <w:adjustRightInd w:val="0"/>
        <w:spacing w:after="240" w:line="360" w:lineRule="auto"/>
        <w:ind w:left="720" w:firstLine="720"/>
        <w:jc w:val="both"/>
        <w:rPr>
          <w:rFonts w:ascii="Arial" w:eastAsia="Calibri" w:hAnsi="Arial" w:cs="Arial"/>
          <w:sz w:val="20"/>
          <w:szCs w:val="20"/>
        </w:rPr>
      </w:pPr>
      <w:r w:rsidRPr="008638B1">
        <w:rPr>
          <w:rFonts w:ascii="Arial" w:eastAsia="Times New Roman" w:hAnsi="Arial" w:cs="Arial"/>
          <w:b/>
          <w:sz w:val="20"/>
          <w:szCs w:val="20"/>
          <w:vertAlign w:val="superscript"/>
        </w:rPr>
        <w:t xml:space="preserve">  </w:t>
      </w:r>
      <m:oMath>
        <m:sSub>
          <m:sSubPr>
            <m:ctrlPr>
              <w:rPr>
                <w:rFonts w:ascii="Cambria Math" w:eastAsia="Times New Roman" w:hAnsi="Cambria Math" w:cs="Arial"/>
                <w:sz w:val="20"/>
                <w:szCs w:val="20"/>
                <w:vertAlign w:val="superscript"/>
              </w:rPr>
            </m:ctrlPr>
          </m:sSubPr>
          <m:e>
            <m:r>
              <m:rPr>
                <m:sty m:val="p"/>
              </m:rPr>
              <w:rPr>
                <w:rFonts w:ascii="Cambria Math" w:eastAsia="Times New Roman" w:hAnsi="Cambria Math" w:cs="Arial"/>
                <w:sz w:val="20"/>
                <w:szCs w:val="20"/>
                <w:vertAlign w:val="superscript"/>
              </w:rPr>
              <m:t>PET</m:t>
            </m:r>
          </m:e>
          <m:sub>
            <m:r>
              <m:rPr>
                <m:sty m:val="p"/>
              </m:rPr>
              <w:rPr>
                <w:rFonts w:ascii="Cambria Math" w:eastAsia="Times New Roman" w:hAnsi="Cambria Math" w:cs="Arial"/>
                <w:sz w:val="20"/>
                <w:szCs w:val="20"/>
                <w:vertAlign w:val="superscript"/>
              </w:rPr>
              <m:t>non-corrected</m:t>
            </m:r>
          </m:sub>
        </m:sSub>
        <m:r>
          <m:rPr>
            <m:sty m:val="p"/>
          </m:rPr>
          <w:rPr>
            <w:rFonts w:ascii="Cambria Math" w:eastAsia="Times New Roman" w:hAnsi="Cambria Math" w:cs="Arial"/>
            <w:sz w:val="20"/>
            <w:szCs w:val="20"/>
            <w:vertAlign w:val="superscript"/>
          </w:rPr>
          <m:t>=16</m:t>
        </m:r>
        <m:sSup>
          <m:sSupPr>
            <m:ctrlPr>
              <w:rPr>
                <w:rFonts w:ascii="Cambria Math" w:eastAsia="Times New Roman" w:hAnsi="Cambria Math" w:cs="Arial"/>
                <w:sz w:val="20"/>
                <w:szCs w:val="20"/>
                <w:vertAlign w:val="superscript"/>
              </w:rPr>
            </m:ctrlPr>
          </m:sSupPr>
          <m:e>
            <m:d>
              <m:dPr>
                <m:ctrlPr>
                  <w:rPr>
                    <w:rFonts w:ascii="Cambria Math" w:eastAsia="Times New Roman" w:hAnsi="Cambria Math" w:cs="Arial"/>
                    <w:sz w:val="20"/>
                    <w:szCs w:val="20"/>
                    <w:vertAlign w:val="superscript"/>
                  </w:rPr>
                </m:ctrlPr>
              </m:dPr>
              <m:e>
                <m:f>
                  <m:fPr>
                    <m:ctrlPr>
                      <w:rPr>
                        <w:rFonts w:ascii="Cambria Math" w:eastAsia="Times New Roman" w:hAnsi="Cambria Math" w:cs="Arial"/>
                        <w:sz w:val="20"/>
                        <w:szCs w:val="20"/>
                        <w:vertAlign w:val="superscript"/>
                      </w:rPr>
                    </m:ctrlPr>
                  </m:fPr>
                  <m:num>
                    <m:r>
                      <m:rPr>
                        <m:sty m:val="p"/>
                      </m:rPr>
                      <w:rPr>
                        <w:rFonts w:ascii="Cambria Math" w:eastAsia="Times New Roman" w:hAnsi="Cambria Math" w:cs="Arial"/>
                        <w:sz w:val="20"/>
                        <w:szCs w:val="20"/>
                        <w:vertAlign w:val="subscript"/>
                      </w:rPr>
                      <m:t>10.t</m:t>
                    </m:r>
                  </m:num>
                  <m:den>
                    <m:r>
                      <m:rPr>
                        <m:sty m:val="p"/>
                      </m:rPr>
                      <w:rPr>
                        <w:rFonts w:ascii="Cambria Math" w:eastAsia="Times New Roman" w:hAnsi="Cambria Math" w:cs="Arial"/>
                        <w:sz w:val="20"/>
                        <w:szCs w:val="20"/>
                        <w:vertAlign w:val="subscript"/>
                      </w:rPr>
                      <m:t>I</m:t>
                    </m:r>
                  </m:den>
                </m:f>
              </m:e>
            </m:d>
          </m:e>
          <m:sup>
            <m:r>
              <m:rPr>
                <m:sty m:val="p"/>
              </m:rPr>
              <w:rPr>
                <w:rFonts w:ascii="Cambria Math" w:eastAsia="Times New Roman" w:hAnsi="Cambria Math" w:cs="Arial"/>
                <w:sz w:val="20"/>
                <w:szCs w:val="20"/>
                <w:vertAlign w:val="superscript"/>
              </w:rPr>
              <m:t>α</m:t>
            </m:r>
          </m:sup>
        </m:sSup>
      </m:oMath>
      <w:r w:rsidRPr="008638B1">
        <w:rPr>
          <w:rFonts w:ascii="Arial" w:eastAsia="Calibri" w:hAnsi="Arial" w:cs="Arial"/>
          <w:sz w:val="20"/>
          <w:szCs w:val="20"/>
        </w:rPr>
        <w:t xml:space="preserve"> </w:t>
      </w:r>
      <w:r w:rsidRPr="008638B1">
        <w:rPr>
          <w:rFonts w:ascii="Arial" w:eastAsia="Calibri" w:hAnsi="Arial" w:cs="Arial"/>
          <w:sz w:val="20"/>
          <w:szCs w:val="20"/>
        </w:rPr>
        <w:tab/>
      </w:r>
      <w:r w:rsidRPr="008638B1">
        <w:rPr>
          <w:rFonts w:ascii="Arial" w:eastAsia="Calibri" w:hAnsi="Arial" w:cs="Arial"/>
          <w:sz w:val="20"/>
          <w:szCs w:val="20"/>
        </w:rPr>
        <w:tab/>
      </w:r>
      <w:r w:rsidRPr="008638B1">
        <w:rPr>
          <w:rFonts w:ascii="Arial" w:eastAsia="Calibri" w:hAnsi="Arial" w:cs="Arial"/>
          <w:sz w:val="20"/>
          <w:szCs w:val="20"/>
        </w:rPr>
        <w:tab/>
      </w:r>
      <w:r w:rsidRPr="008638B1">
        <w:rPr>
          <w:rFonts w:ascii="Arial" w:eastAsia="Calibri" w:hAnsi="Arial" w:cs="Arial"/>
          <w:sz w:val="20"/>
          <w:szCs w:val="20"/>
        </w:rPr>
        <w:tab/>
        <w:t>…………… (8)</w:t>
      </w:r>
    </w:p>
    <w:p w14:paraId="252FB501" w14:textId="77777777" w:rsidR="00F77465" w:rsidRPr="008638B1" w:rsidRDefault="00F77465" w:rsidP="009D28B7">
      <w:pPr>
        <w:autoSpaceDE w:val="0"/>
        <w:autoSpaceDN w:val="0"/>
        <w:adjustRightInd w:val="0"/>
        <w:spacing w:after="240" w:line="360" w:lineRule="auto"/>
        <w:jc w:val="both"/>
        <w:rPr>
          <w:rFonts w:ascii="Arial" w:eastAsia="Times New Roman" w:hAnsi="Arial" w:cs="Arial"/>
          <w:sz w:val="20"/>
          <w:szCs w:val="20"/>
          <w:vertAlign w:val="superscript"/>
        </w:rPr>
      </w:pPr>
      <w:r w:rsidRPr="008638B1">
        <w:rPr>
          <w:rFonts w:ascii="Arial" w:eastAsia="Calibri" w:hAnsi="Arial" w:cs="Arial"/>
          <w:sz w:val="20"/>
          <w:szCs w:val="20"/>
        </w:rPr>
        <w:t>where α is given by Equation 9,</w:t>
      </w:r>
    </w:p>
    <w:p w14:paraId="323FBA63" w14:textId="77777777" w:rsidR="00F77465" w:rsidRPr="008638B1" w:rsidRDefault="00F77465" w:rsidP="009D28B7">
      <w:pPr>
        <w:autoSpaceDE w:val="0"/>
        <w:autoSpaceDN w:val="0"/>
        <w:adjustRightInd w:val="0"/>
        <w:spacing w:after="240" w:line="360" w:lineRule="auto"/>
        <w:ind w:left="720" w:firstLine="720"/>
        <w:jc w:val="both"/>
        <w:rPr>
          <w:rFonts w:ascii="Arial" w:eastAsia="Calibri" w:hAnsi="Arial" w:cs="Arial"/>
          <w:sz w:val="20"/>
          <w:szCs w:val="20"/>
        </w:rPr>
      </w:pPr>
      <w:r w:rsidRPr="008638B1">
        <w:rPr>
          <w:rFonts w:ascii="Arial" w:eastAsia="Calibri" w:hAnsi="Arial" w:cs="Arial"/>
          <w:sz w:val="20"/>
          <w:szCs w:val="20"/>
        </w:rPr>
        <w:t xml:space="preserve">    α=675*10</w:t>
      </w:r>
      <w:r w:rsidRPr="008638B1">
        <w:rPr>
          <w:rFonts w:ascii="Arial" w:eastAsia="Calibri" w:hAnsi="Arial" w:cs="Arial"/>
          <w:sz w:val="20"/>
          <w:szCs w:val="20"/>
          <w:vertAlign w:val="superscript"/>
        </w:rPr>
        <w:t>-9</w:t>
      </w:r>
      <w:r w:rsidRPr="008638B1">
        <w:rPr>
          <w:rFonts w:ascii="Arial" w:eastAsia="Calibri" w:hAnsi="Arial" w:cs="Arial"/>
          <w:sz w:val="20"/>
          <w:szCs w:val="20"/>
        </w:rPr>
        <w:t>*I</w:t>
      </w:r>
      <w:r w:rsidRPr="008638B1">
        <w:rPr>
          <w:rFonts w:ascii="Arial" w:eastAsia="Calibri" w:hAnsi="Arial" w:cs="Arial"/>
          <w:sz w:val="20"/>
          <w:szCs w:val="20"/>
          <w:vertAlign w:val="superscript"/>
        </w:rPr>
        <w:t>3</w:t>
      </w:r>
      <w:r w:rsidRPr="008638B1">
        <w:rPr>
          <w:rFonts w:ascii="Arial" w:eastAsia="Calibri" w:hAnsi="Arial" w:cs="Arial"/>
          <w:sz w:val="20"/>
          <w:szCs w:val="20"/>
        </w:rPr>
        <w:t>-771*10</w:t>
      </w:r>
      <w:r w:rsidRPr="008638B1">
        <w:rPr>
          <w:rFonts w:ascii="Arial" w:eastAsia="Calibri" w:hAnsi="Arial" w:cs="Arial"/>
          <w:sz w:val="20"/>
          <w:szCs w:val="20"/>
          <w:vertAlign w:val="superscript"/>
        </w:rPr>
        <w:t>-7</w:t>
      </w:r>
      <w:r w:rsidRPr="008638B1">
        <w:rPr>
          <w:rFonts w:ascii="Arial" w:eastAsia="Calibri" w:hAnsi="Arial" w:cs="Arial"/>
          <w:sz w:val="20"/>
          <w:szCs w:val="20"/>
        </w:rPr>
        <w:t>*I</w:t>
      </w:r>
      <w:r w:rsidRPr="008638B1">
        <w:rPr>
          <w:rFonts w:ascii="Arial" w:eastAsia="Calibri" w:hAnsi="Arial" w:cs="Arial"/>
          <w:sz w:val="20"/>
          <w:szCs w:val="20"/>
          <w:vertAlign w:val="superscript"/>
        </w:rPr>
        <w:t>2</w:t>
      </w:r>
      <w:r w:rsidRPr="008638B1">
        <w:rPr>
          <w:rFonts w:ascii="Arial" w:eastAsia="Calibri" w:hAnsi="Arial" w:cs="Arial"/>
          <w:sz w:val="20"/>
          <w:szCs w:val="20"/>
        </w:rPr>
        <w:t>+1792*10</w:t>
      </w:r>
      <w:r w:rsidRPr="008638B1">
        <w:rPr>
          <w:rFonts w:ascii="Arial" w:eastAsia="Calibri" w:hAnsi="Arial" w:cs="Arial"/>
          <w:sz w:val="20"/>
          <w:szCs w:val="20"/>
          <w:vertAlign w:val="superscript"/>
        </w:rPr>
        <w:t>-5</w:t>
      </w:r>
      <w:r w:rsidRPr="008638B1">
        <w:rPr>
          <w:rFonts w:ascii="Arial" w:eastAsia="Calibri" w:hAnsi="Arial" w:cs="Arial"/>
          <w:sz w:val="20"/>
          <w:szCs w:val="20"/>
        </w:rPr>
        <w:t>I+0.49239</w:t>
      </w:r>
      <w:r w:rsidRPr="008638B1">
        <w:rPr>
          <w:rFonts w:ascii="Arial" w:eastAsia="Calibri" w:hAnsi="Arial" w:cs="Arial"/>
          <w:sz w:val="20"/>
          <w:szCs w:val="20"/>
        </w:rPr>
        <w:tab/>
      </w:r>
      <w:r w:rsidRPr="008638B1">
        <w:rPr>
          <w:rFonts w:ascii="Arial" w:eastAsia="Calibri" w:hAnsi="Arial" w:cs="Arial"/>
          <w:sz w:val="20"/>
          <w:szCs w:val="20"/>
        </w:rPr>
        <w:tab/>
        <w:t>…………… (9)</w:t>
      </w:r>
    </w:p>
    <w:p w14:paraId="51DE30D5" w14:textId="60284EF5" w:rsidR="00F77465" w:rsidRPr="008638B1" w:rsidRDefault="00266059" w:rsidP="00266059">
      <w:pPr>
        <w:spacing w:line="360" w:lineRule="auto"/>
        <w:jc w:val="both"/>
        <w:rPr>
          <w:rFonts w:ascii="Arial" w:eastAsia="Calibri" w:hAnsi="Arial" w:cs="Arial"/>
          <w:sz w:val="20"/>
          <w:szCs w:val="20"/>
          <w:vertAlign w:val="superscript"/>
        </w:rPr>
      </w:pPr>
      <w:r w:rsidRPr="008638B1">
        <w:rPr>
          <w:rFonts w:ascii="Arial" w:eastAsia="Calibri" w:hAnsi="Arial" w:cs="Arial"/>
          <w:sz w:val="20"/>
          <w:szCs w:val="20"/>
        </w:rPr>
        <w:t>These estimated PET values are subsequently adjusted based on the actual number of days in each month and the theoretical sunshine duration for the given latitude (or actual sunshine hours, if available), as calculated using Equation 10.</w:t>
      </w:r>
      <w:r w:rsidR="00F77465" w:rsidRPr="008638B1">
        <w:rPr>
          <w:rFonts w:ascii="Arial" w:eastAsia="Calibri" w:hAnsi="Arial" w:cs="Arial"/>
          <w:sz w:val="20"/>
          <w:szCs w:val="20"/>
          <w:vertAlign w:val="superscript"/>
        </w:rPr>
        <w:tab/>
        <w:t xml:space="preserve">                    </w:t>
      </w:r>
    </w:p>
    <w:p w14:paraId="54043ACD" w14:textId="6B47744A"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Times New Roman" w:hAnsi="Arial" w:cs="Arial"/>
          <w:sz w:val="20"/>
          <w:szCs w:val="20"/>
        </w:rPr>
        <w:tab/>
      </w:r>
      <w:r w:rsidRPr="008638B1">
        <w:rPr>
          <w:rFonts w:ascii="Arial" w:eastAsia="Times New Roman" w:hAnsi="Arial" w:cs="Arial"/>
          <w:sz w:val="20"/>
          <w:szCs w:val="20"/>
        </w:rPr>
        <w:tab/>
      </w:r>
      <m:oMath>
        <m:r>
          <m:rPr>
            <m:sty m:val="p"/>
          </m:rPr>
          <w:rPr>
            <w:rFonts w:ascii="Cambria Math" w:eastAsia="Times New Roman" w:hAnsi="Cambria Math" w:cs="Arial"/>
            <w:sz w:val="20"/>
            <w:szCs w:val="20"/>
          </w:rPr>
          <m:t>PET=</m:t>
        </m:r>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PET</m:t>
            </m:r>
          </m:e>
          <m:sub>
            <m:r>
              <m:rPr>
                <m:sty m:val="p"/>
              </m:rPr>
              <w:rPr>
                <w:rFonts w:ascii="Cambria Math" w:eastAsia="Times New Roman" w:hAnsi="Cambria Math" w:cs="Arial"/>
                <w:sz w:val="20"/>
                <w:szCs w:val="20"/>
              </w:rPr>
              <m:t>non-corrected</m:t>
            </m:r>
          </m:sub>
        </m:sSub>
        <m:d>
          <m:dPr>
            <m:ctrlPr>
              <w:rPr>
                <w:rFonts w:ascii="Cambria Math" w:eastAsia="Times New Roman" w:hAnsi="Cambria Math" w:cs="Arial"/>
                <w:sz w:val="20"/>
                <w:szCs w:val="20"/>
              </w:rPr>
            </m:ctrlPr>
          </m:dPr>
          <m:e>
            <m:f>
              <m:fPr>
                <m:ctrlPr>
                  <w:rPr>
                    <w:rFonts w:ascii="Cambria Math" w:eastAsia="Times New Roman" w:hAnsi="Cambria Math" w:cs="Arial"/>
                    <w:sz w:val="20"/>
                    <w:szCs w:val="20"/>
                  </w:rPr>
                </m:ctrlPr>
              </m:fPr>
              <m:num>
                <m:r>
                  <m:rPr>
                    <m:sty m:val="p"/>
                  </m:rPr>
                  <w:rPr>
                    <w:rFonts w:ascii="Cambria Math" w:eastAsia="Times New Roman" w:hAnsi="Cambria Math" w:cs="Arial"/>
                    <w:sz w:val="20"/>
                    <w:szCs w:val="20"/>
                  </w:rPr>
                  <m:t>N</m:t>
                </m:r>
              </m:num>
              <m:den>
                <m:r>
                  <m:rPr>
                    <m:sty m:val="p"/>
                  </m:rPr>
                  <w:rPr>
                    <w:rFonts w:ascii="Cambria Math" w:eastAsia="Times New Roman" w:hAnsi="Cambria Math" w:cs="Arial"/>
                    <w:sz w:val="20"/>
                    <w:szCs w:val="20"/>
                  </w:rPr>
                  <m:t>12</m:t>
                </m:r>
              </m:den>
            </m:f>
            <m:r>
              <m:rPr>
                <m:sty m:val="p"/>
              </m:rPr>
              <w:rPr>
                <w:rFonts w:ascii="Cambria Math" w:eastAsia="Times New Roman" w:hAnsi="Cambria Math" w:cs="Arial"/>
                <w:sz w:val="20"/>
                <w:szCs w:val="20"/>
              </w:rPr>
              <m:t>.</m:t>
            </m:r>
            <m:f>
              <m:fPr>
                <m:ctrlPr>
                  <w:rPr>
                    <w:rFonts w:ascii="Cambria Math" w:eastAsia="Times New Roman" w:hAnsi="Cambria Math" w:cs="Arial"/>
                    <w:sz w:val="20"/>
                    <w:szCs w:val="20"/>
                  </w:rPr>
                </m:ctrlPr>
              </m:fPr>
              <m:num>
                <m:r>
                  <m:rPr>
                    <m:sty m:val="p"/>
                  </m:rPr>
                  <w:rPr>
                    <w:rFonts w:ascii="Cambria Math" w:eastAsia="Times New Roman" w:hAnsi="Cambria Math" w:cs="Arial"/>
                    <w:sz w:val="20"/>
                    <w:szCs w:val="20"/>
                  </w:rPr>
                  <m:t>d</m:t>
                </m:r>
              </m:num>
              <m:den>
                <m:r>
                  <m:rPr>
                    <m:sty m:val="p"/>
                  </m:rPr>
                  <w:rPr>
                    <w:rFonts w:ascii="Cambria Math" w:eastAsia="Times New Roman" w:hAnsi="Cambria Math" w:cs="Arial"/>
                    <w:sz w:val="20"/>
                    <w:szCs w:val="20"/>
                  </w:rPr>
                  <m:t>30</m:t>
                </m:r>
              </m:den>
            </m:f>
          </m:e>
        </m:d>
      </m:oMath>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006E4489" w:rsidRPr="008638B1">
        <w:rPr>
          <w:rFonts w:ascii="Arial" w:eastAsia="Times New Roman" w:hAnsi="Arial" w:cs="Arial"/>
          <w:sz w:val="20"/>
          <w:szCs w:val="20"/>
        </w:rPr>
        <w:t xml:space="preserve">           </w:t>
      </w:r>
      <w:r w:rsidRPr="008638B1">
        <w:rPr>
          <w:rFonts w:ascii="Arial" w:eastAsia="Calibri" w:hAnsi="Arial" w:cs="Arial"/>
          <w:sz w:val="20"/>
          <w:szCs w:val="20"/>
        </w:rPr>
        <w:t>…………… (10)</w:t>
      </w:r>
    </w:p>
    <w:p w14:paraId="4CB10EC3" w14:textId="3C595EDC" w:rsidR="00F77465" w:rsidRPr="008638B1" w:rsidRDefault="00F77465" w:rsidP="00266059">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where, </w:t>
      </w:r>
      <w:r w:rsidRPr="008638B1">
        <w:rPr>
          <w:rFonts w:ascii="Arial" w:eastAsia="Calibri" w:hAnsi="Arial" w:cs="Arial"/>
          <w:iCs/>
          <w:sz w:val="20"/>
          <w:szCs w:val="20"/>
        </w:rPr>
        <w:t>N</w:t>
      </w:r>
      <w:r w:rsidRPr="008638B1">
        <w:rPr>
          <w:rFonts w:ascii="Arial" w:eastAsia="Calibri" w:hAnsi="Arial" w:cs="Arial"/>
          <w:i/>
          <w:iCs/>
          <w:sz w:val="20"/>
          <w:szCs w:val="20"/>
        </w:rPr>
        <w:t xml:space="preserve"> </w:t>
      </w:r>
      <w:r w:rsidRPr="008638B1">
        <w:rPr>
          <w:rFonts w:ascii="Arial" w:eastAsia="Calibri" w:hAnsi="Arial" w:cs="Arial"/>
          <w:iCs/>
          <w:sz w:val="20"/>
          <w:szCs w:val="20"/>
        </w:rPr>
        <w:t>is</w:t>
      </w:r>
      <w:r w:rsidRPr="008638B1">
        <w:rPr>
          <w:rFonts w:ascii="Arial" w:eastAsia="Calibri" w:hAnsi="Arial" w:cs="Arial"/>
          <w:sz w:val="20"/>
          <w:szCs w:val="20"/>
        </w:rPr>
        <w:t xml:space="preserve"> the theoretical sunshine hours for each month and </w:t>
      </w:r>
      <w:r w:rsidRPr="008638B1">
        <w:rPr>
          <w:rFonts w:ascii="Arial" w:eastAsia="Calibri" w:hAnsi="Arial" w:cs="Arial"/>
          <w:i/>
          <w:iCs/>
          <w:sz w:val="20"/>
          <w:szCs w:val="20"/>
        </w:rPr>
        <w:t xml:space="preserve">d </w:t>
      </w:r>
      <w:r w:rsidR="00266059" w:rsidRPr="008638B1">
        <w:rPr>
          <w:rFonts w:ascii="Arial" w:eastAsia="Calibri" w:hAnsi="Arial" w:cs="Arial"/>
          <w:sz w:val="20"/>
          <w:szCs w:val="20"/>
        </w:rPr>
        <w:t>number of days for each month.</w:t>
      </w:r>
    </w:p>
    <w:p w14:paraId="61FD1BA8" w14:textId="77777777" w:rsidR="00F77465" w:rsidRPr="008638B1" w:rsidRDefault="00F77465" w:rsidP="009D28B7">
      <w:pPr>
        <w:spacing w:line="360" w:lineRule="auto"/>
        <w:rPr>
          <w:rFonts w:ascii="Arial" w:eastAsia="Calibri" w:hAnsi="Arial" w:cs="Arial"/>
          <w:b/>
          <w:sz w:val="20"/>
          <w:szCs w:val="20"/>
        </w:rPr>
      </w:pPr>
      <w:r w:rsidRPr="008638B1">
        <w:rPr>
          <w:rFonts w:ascii="Arial" w:eastAsia="Calibri" w:hAnsi="Arial" w:cs="Arial"/>
          <w:b/>
          <w:sz w:val="20"/>
          <w:szCs w:val="20"/>
        </w:rPr>
        <w:t>3.4 Aridity indices</w:t>
      </w:r>
    </w:p>
    <w:p w14:paraId="461ADCB0" w14:textId="77777777" w:rsidR="00F77465" w:rsidRPr="008638B1" w:rsidRDefault="00F77465" w:rsidP="009D28B7">
      <w:pPr>
        <w:spacing w:line="360" w:lineRule="auto"/>
        <w:rPr>
          <w:rFonts w:ascii="Arial" w:eastAsia="Calibri" w:hAnsi="Arial" w:cs="Arial"/>
          <w:b/>
          <w:sz w:val="20"/>
          <w:szCs w:val="20"/>
        </w:rPr>
      </w:pPr>
      <w:r w:rsidRPr="008638B1">
        <w:rPr>
          <w:rFonts w:ascii="Arial" w:eastAsia="Calibri" w:hAnsi="Arial" w:cs="Arial"/>
          <w:b/>
          <w:sz w:val="20"/>
          <w:szCs w:val="20"/>
        </w:rPr>
        <w:t>3.4.1 UNEP Aridity Index (AI)</w:t>
      </w:r>
    </w:p>
    <w:p w14:paraId="0F9131EB" w14:textId="649111F0" w:rsidR="00F77465" w:rsidRPr="008638B1" w:rsidRDefault="00F77465" w:rsidP="009D28B7">
      <w:pPr>
        <w:spacing w:line="360" w:lineRule="auto"/>
        <w:jc w:val="both"/>
        <w:rPr>
          <w:rFonts w:ascii="Arial" w:eastAsia="Calibri" w:hAnsi="Arial" w:cs="Arial"/>
          <w:bCs/>
          <w:sz w:val="20"/>
          <w:szCs w:val="20"/>
        </w:rPr>
      </w:pPr>
      <w:r w:rsidRPr="008638B1">
        <w:rPr>
          <w:rFonts w:ascii="Arial" w:eastAsia="Calibri" w:hAnsi="Arial" w:cs="Arial"/>
          <w:bCs/>
          <w:sz w:val="20"/>
          <w:szCs w:val="20"/>
        </w:rPr>
        <w:t>The United Nation Environmental Program [</w:t>
      </w:r>
      <w:r w:rsidR="00024B06" w:rsidRPr="008638B1">
        <w:rPr>
          <w:rFonts w:ascii="Arial" w:eastAsia="Calibri" w:hAnsi="Arial" w:cs="Arial"/>
          <w:bCs/>
          <w:sz w:val="20"/>
          <w:szCs w:val="20"/>
        </w:rPr>
        <w:t>4</w:t>
      </w:r>
      <w:r w:rsidR="007E5F97">
        <w:rPr>
          <w:rFonts w:ascii="Arial" w:eastAsia="Calibri" w:hAnsi="Arial" w:cs="Arial"/>
          <w:bCs/>
          <w:sz w:val="20"/>
          <w:szCs w:val="20"/>
        </w:rPr>
        <w:t>1</w:t>
      </w:r>
      <w:r w:rsidR="000F7696" w:rsidRPr="008638B1">
        <w:rPr>
          <w:rFonts w:ascii="Arial" w:eastAsia="Calibri" w:hAnsi="Arial" w:cs="Arial"/>
          <w:bCs/>
          <w:sz w:val="20"/>
          <w:szCs w:val="20"/>
        </w:rPr>
        <w:t xml:space="preserve">]. </w:t>
      </w:r>
      <w:r w:rsidR="007E5F97">
        <w:rPr>
          <w:rFonts w:ascii="Arial" w:eastAsia="Calibri" w:hAnsi="Arial" w:cs="Arial"/>
          <w:bCs/>
          <w:sz w:val="20"/>
          <w:szCs w:val="20"/>
        </w:rPr>
        <w:t>A</w:t>
      </w:r>
      <w:r w:rsidR="000F7696" w:rsidRPr="008638B1">
        <w:rPr>
          <w:rFonts w:ascii="Arial" w:eastAsia="Calibri" w:hAnsi="Arial" w:cs="Arial"/>
          <w:bCs/>
          <w:sz w:val="20"/>
          <w:szCs w:val="20"/>
        </w:rPr>
        <w:t>ridity</w:t>
      </w:r>
      <w:r w:rsidRPr="008638B1">
        <w:rPr>
          <w:rFonts w:ascii="Arial" w:eastAsia="Calibri" w:hAnsi="Arial" w:cs="Arial"/>
          <w:bCs/>
          <w:sz w:val="20"/>
          <w:szCs w:val="20"/>
        </w:rPr>
        <w:t xml:space="preserve"> index (AI) is based on the ratio of annual precipitation (P) and annual potential evapotranspiration (PET) calculated using Equation 11</w:t>
      </w:r>
    </w:p>
    <w:p w14:paraId="12B72369" w14:textId="3B107AE1" w:rsidR="00F77465" w:rsidRPr="008638B1" w:rsidRDefault="006E4489" w:rsidP="00266059">
      <w:pPr>
        <w:spacing w:line="360" w:lineRule="auto"/>
        <w:jc w:val="center"/>
        <w:rPr>
          <w:rFonts w:ascii="Arial" w:eastAsia="Calibri" w:hAnsi="Arial" w:cs="Arial"/>
          <w:bCs/>
          <w:sz w:val="20"/>
          <w:szCs w:val="20"/>
        </w:rPr>
      </w:pPr>
      <w:r w:rsidRPr="008638B1">
        <w:rPr>
          <w:rFonts w:ascii="Arial" w:eastAsia="Calibri" w:hAnsi="Arial" w:cs="Arial"/>
          <w:sz w:val="20"/>
          <w:szCs w:val="20"/>
        </w:rPr>
        <w:t xml:space="preserve">         </w:t>
      </w:r>
      <m:oMath>
        <m:r>
          <m:rPr>
            <m:sty m:val="p"/>
          </m:rPr>
          <w:rPr>
            <w:rFonts w:ascii="Cambria Math" w:eastAsia="Calibri" w:hAnsi="Cambria Math" w:cs="Arial"/>
            <w:sz w:val="20"/>
            <w:szCs w:val="20"/>
          </w:rPr>
          <m:t>AI=</m:t>
        </m:r>
        <m:f>
          <m:fPr>
            <m:ctrlPr>
              <w:rPr>
                <w:rFonts w:ascii="Cambria Math" w:eastAsia="Calibri" w:hAnsi="Cambria Math" w:cs="Arial"/>
                <w:bCs/>
                <w:sz w:val="20"/>
                <w:szCs w:val="20"/>
              </w:rPr>
            </m:ctrlPr>
          </m:fPr>
          <m:num>
            <m:r>
              <m:rPr>
                <m:sty m:val="p"/>
              </m:rPr>
              <w:rPr>
                <w:rFonts w:ascii="Cambria Math" w:eastAsia="Calibri" w:hAnsi="Cambria Math" w:cs="Arial"/>
                <w:sz w:val="20"/>
                <w:szCs w:val="20"/>
              </w:rPr>
              <m:t>P</m:t>
            </m:r>
          </m:num>
          <m:den>
            <m:r>
              <m:rPr>
                <m:sty m:val="p"/>
              </m:rPr>
              <w:rPr>
                <w:rFonts w:ascii="Cambria Math" w:eastAsia="Calibri" w:hAnsi="Cambria Math" w:cs="Arial"/>
                <w:sz w:val="20"/>
                <w:szCs w:val="20"/>
              </w:rPr>
              <m:t>PET</m:t>
            </m:r>
          </m:den>
        </m:f>
      </m:oMath>
      <w:r w:rsidR="00266059" w:rsidRPr="008638B1">
        <w:rPr>
          <w:rFonts w:ascii="Arial" w:eastAsia="Calibri" w:hAnsi="Arial" w:cs="Arial"/>
          <w:bCs/>
          <w:sz w:val="20"/>
          <w:szCs w:val="20"/>
        </w:rPr>
        <w:tab/>
      </w:r>
      <w:r w:rsidR="00266059" w:rsidRPr="008638B1">
        <w:rPr>
          <w:rFonts w:ascii="Arial" w:eastAsia="Calibri" w:hAnsi="Arial" w:cs="Arial"/>
          <w:bCs/>
          <w:sz w:val="20"/>
          <w:szCs w:val="20"/>
        </w:rPr>
        <w:tab/>
      </w:r>
      <w:r w:rsidR="00266059" w:rsidRPr="008638B1">
        <w:rPr>
          <w:rFonts w:ascii="Arial" w:eastAsia="Calibri" w:hAnsi="Arial" w:cs="Arial"/>
          <w:bCs/>
          <w:sz w:val="20"/>
          <w:szCs w:val="20"/>
        </w:rPr>
        <w:tab/>
      </w:r>
      <w:r w:rsidRPr="008638B1">
        <w:rPr>
          <w:rFonts w:ascii="Arial" w:eastAsia="Calibri" w:hAnsi="Arial" w:cs="Arial"/>
          <w:bCs/>
          <w:sz w:val="20"/>
          <w:szCs w:val="20"/>
        </w:rPr>
        <w:t xml:space="preserve">                                        </w:t>
      </w:r>
      <w:r w:rsidR="00266059" w:rsidRPr="008638B1">
        <w:rPr>
          <w:rFonts w:ascii="Arial" w:eastAsia="Calibri" w:hAnsi="Arial" w:cs="Arial"/>
          <w:bCs/>
          <w:sz w:val="20"/>
          <w:szCs w:val="20"/>
        </w:rPr>
        <w:t>…………… (11)</w:t>
      </w:r>
    </w:p>
    <w:p w14:paraId="108A2E09" w14:textId="7E5C297F" w:rsidR="00266059" w:rsidRPr="008638B1" w:rsidRDefault="00266059" w:rsidP="000E737B">
      <w:pPr>
        <w:spacing w:after="0" w:line="360" w:lineRule="auto"/>
        <w:jc w:val="both"/>
        <w:rPr>
          <w:rFonts w:ascii="Arial" w:eastAsia="Calibri" w:hAnsi="Arial" w:cs="Arial"/>
          <w:bCs/>
          <w:sz w:val="20"/>
          <w:szCs w:val="20"/>
        </w:rPr>
      </w:pPr>
      <w:r w:rsidRPr="008638B1">
        <w:rPr>
          <w:rFonts w:ascii="Arial" w:eastAsia="Calibri" w:hAnsi="Arial" w:cs="Arial"/>
          <w:bCs/>
          <w:sz w:val="20"/>
          <w:szCs w:val="20"/>
        </w:rPr>
        <w:t>In this study, potential evapotranspiration (PET) was calculated using the method outlined by [15], which provides a reliable estimation based on temperature and other climatic variables. Building upon this, [3</w:t>
      </w:r>
      <w:r w:rsidR="007E5F97">
        <w:rPr>
          <w:rFonts w:ascii="Arial" w:eastAsia="Calibri" w:hAnsi="Arial" w:cs="Arial"/>
          <w:bCs/>
          <w:sz w:val="20"/>
          <w:szCs w:val="20"/>
        </w:rPr>
        <w:t>9</w:t>
      </w:r>
      <w:r w:rsidRPr="008638B1">
        <w:rPr>
          <w:rFonts w:ascii="Arial" w:eastAsia="Calibri" w:hAnsi="Arial" w:cs="Arial"/>
          <w:bCs/>
          <w:sz w:val="20"/>
          <w:szCs w:val="20"/>
        </w:rPr>
        <w:t xml:space="preserve">] proposed a widely accepted classification system for climate zones based on the Aridity Index (AI). According to this classification, regions with an AI value below 0.20 are categorized as arid. The </w:t>
      </w:r>
      <w:r w:rsidRPr="008638B1">
        <w:rPr>
          <w:rFonts w:ascii="Arial" w:eastAsia="Calibri" w:hAnsi="Arial" w:cs="Arial"/>
          <w:bCs/>
          <w:sz w:val="20"/>
          <w:szCs w:val="20"/>
        </w:rPr>
        <w:lastRenderedPageBreak/>
        <w:t>complete UNEP (United Nations Environment Programme) classification of climatic zones based on AI values is presented in Table 1.</w:t>
      </w:r>
    </w:p>
    <w:p w14:paraId="322F80F1" w14:textId="00C00EB8" w:rsidR="00F77465" w:rsidRPr="008F786C" w:rsidRDefault="00F77465" w:rsidP="009D28B7">
      <w:pPr>
        <w:spacing w:line="360" w:lineRule="auto"/>
        <w:jc w:val="center"/>
        <w:rPr>
          <w:rFonts w:ascii="Arial" w:eastAsia="Calibri" w:hAnsi="Arial" w:cs="Arial"/>
          <w:b/>
          <w:sz w:val="20"/>
          <w:szCs w:val="20"/>
        </w:rPr>
      </w:pPr>
      <w:r w:rsidRPr="008F786C">
        <w:rPr>
          <w:rFonts w:ascii="Arial" w:eastAsia="Calibri" w:hAnsi="Arial" w:cs="Arial"/>
          <w:b/>
          <w:sz w:val="20"/>
          <w:szCs w:val="20"/>
        </w:rPr>
        <w:t xml:space="preserve">Table 1: UNEP </w:t>
      </w:r>
      <w:r w:rsidR="00266059" w:rsidRPr="008F786C">
        <w:rPr>
          <w:rFonts w:ascii="Arial" w:eastAsia="Calibri" w:hAnsi="Arial" w:cs="Arial"/>
          <w:b/>
          <w:sz w:val="20"/>
          <w:szCs w:val="20"/>
        </w:rPr>
        <w:t xml:space="preserve">based </w:t>
      </w:r>
      <w:r w:rsidRPr="008F786C">
        <w:rPr>
          <w:rFonts w:ascii="Arial" w:eastAsia="Calibri" w:hAnsi="Arial" w:cs="Arial"/>
          <w:b/>
          <w:sz w:val="20"/>
          <w:szCs w:val="20"/>
        </w:rPr>
        <w:t>climate classification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2960"/>
        <w:gridCol w:w="2620"/>
      </w:tblGrid>
      <w:tr w:rsidR="009F4CD0" w:rsidRPr="008638B1" w14:paraId="2DEC1D46" w14:textId="77777777" w:rsidTr="00266059">
        <w:trPr>
          <w:jc w:val="center"/>
        </w:trPr>
        <w:tc>
          <w:tcPr>
            <w:tcW w:w="2960" w:type="dxa"/>
            <w:tcBorders>
              <w:top w:val="single" w:sz="4" w:space="0" w:color="auto"/>
              <w:bottom w:val="single" w:sz="4" w:space="0" w:color="auto"/>
            </w:tcBorders>
          </w:tcPr>
          <w:p w14:paraId="63726914"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Aridity Index (AI)</w:t>
            </w:r>
          </w:p>
        </w:tc>
        <w:tc>
          <w:tcPr>
            <w:tcW w:w="2620" w:type="dxa"/>
            <w:tcBorders>
              <w:top w:val="single" w:sz="4" w:space="0" w:color="auto"/>
              <w:bottom w:val="single" w:sz="4" w:space="0" w:color="auto"/>
            </w:tcBorders>
          </w:tcPr>
          <w:p w14:paraId="373601B4"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Climate Type</w:t>
            </w:r>
          </w:p>
        </w:tc>
      </w:tr>
      <w:tr w:rsidR="009F4CD0" w:rsidRPr="008638B1" w14:paraId="03AE0175" w14:textId="77777777" w:rsidTr="00266059">
        <w:trPr>
          <w:jc w:val="center"/>
        </w:trPr>
        <w:tc>
          <w:tcPr>
            <w:tcW w:w="2960" w:type="dxa"/>
            <w:tcBorders>
              <w:top w:val="single" w:sz="4" w:space="0" w:color="auto"/>
            </w:tcBorders>
          </w:tcPr>
          <w:p w14:paraId="562BD9D3"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0.050 ≤ AI &lt; 0.20</w:t>
            </w:r>
          </w:p>
        </w:tc>
        <w:tc>
          <w:tcPr>
            <w:tcW w:w="2620" w:type="dxa"/>
            <w:tcBorders>
              <w:top w:val="single" w:sz="4" w:space="0" w:color="auto"/>
            </w:tcBorders>
          </w:tcPr>
          <w:p w14:paraId="6B5053DC"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Arid</w:t>
            </w:r>
          </w:p>
        </w:tc>
      </w:tr>
      <w:tr w:rsidR="009F4CD0" w:rsidRPr="008638B1" w14:paraId="6C7F30D1" w14:textId="77777777" w:rsidTr="00266059">
        <w:trPr>
          <w:jc w:val="center"/>
        </w:trPr>
        <w:tc>
          <w:tcPr>
            <w:tcW w:w="2960" w:type="dxa"/>
          </w:tcPr>
          <w:p w14:paraId="457A9396"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0.20 ≤ AI &lt; 0.50</w:t>
            </w:r>
          </w:p>
        </w:tc>
        <w:tc>
          <w:tcPr>
            <w:tcW w:w="2620" w:type="dxa"/>
          </w:tcPr>
          <w:p w14:paraId="0A7CB02C"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Semi-Arid</w:t>
            </w:r>
          </w:p>
        </w:tc>
      </w:tr>
      <w:tr w:rsidR="009F4CD0" w:rsidRPr="008638B1" w14:paraId="110B181D" w14:textId="77777777" w:rsidTr="00266059">
        <w:trPr>
          <w:jc w:val="center"/>
        </w:trPr>
        <w:tc>
          <w:tcPr>
            <w:tcW w:w="2960" w:type="dxa"/>
          </w:tcPr>
          <w:p w14:paraId="6680C1E7"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0.50 ≤ AI &lt; 0.65</w:t>
            </w:r>
          </w:p>
        </w:tc>
        <w:tc>
          <w:tcPr>
            <w:tcW w:w="2620" w:type="dxa"/>
          </w:tcPr>
          <w:p w14:paraId="749B9E0C"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Dry Sub- Humid</w:t>
            </w:r>
          </w:p>
        </w:tc>
      </w:tr>
    </w:tbl>
    <w:p w14:paraId="16E92B49" w14:textId="32AA0E89" w:rsidR="00F77465" w:rsidRPr="008638B1" w:rsidRDefault="00574941" w:rsidP="009D28B7">
      <w:pPr>
        <w:spacing w:after="240" w:line="360" w:lineRule="auto"/>
        <w:jc w:val="both"/>
        <w:rPr>
          <w:rFonts w:ascii="Arial" w:eastAsia="Calibri" w:hAnsi="Arial" w:cs="Arial"/>
          <w:b/>
          <w:sz w:val="20"/>
          <w:szCs w:val="20"/>
        </w:rPr>
      </w:pPr>
      <w:r w:rsidRPr="008638B1">
        <w:rPr>
          <w:rFonts w:ascii="Arial" w:eastAsia="Calibri" w:hAnsi="Arial" w:cs="Arial"/>
          <w:b/>
          <w:sz w:val="20"/>
          <w:szCs w:val="20"/>
        </w:rPr>
        <w:t xml:space="preserve">3.4.2 </w:t>
      </w:r>
      <w:r w:rsidR="00F77465" w:rsidRPr="008638B1">
        <w:rPr>
          <w:rFonts w:ascii="Arial" w:eastAsia="Calibri" w:hAnsi="Arial" w:cs="Arial"/>
          <w:b/>
          <w:sz w:val="20"/>
          <w:szCs w:val="20"/>
        </w:rPr>
        <w:t xml:space="preserve">The De </w:t>
      </w:r>
      <w:proofErr w:type="spellStart"/>
      <w:r w:rsidR="00F77465" w:rsidRPr="008638B1">
        <w:rPr>
          <w:rFonts w:ascii="Arial" w:eastAsia="Calibri" w:hAnsi="Arial" w:cs="Arial"/>
          <w:b/>
          <w:sz w:val="20"/>
          <w:szCs w:val="20"/>
        </w:rPr>
        <w:t>Martonne</w:t>
      </w:r>
      <w:proofErr w:type="spellEnd"/>
      <w:r w:rsidR="00F77465" w:rsidRPr="008638B1">
        <w:rPr>
          <w:rFonts w:ascii="Arial" w:eastAsia="Calibri" w:hAnsi="Arial" w:cs="Arial"/>
          <w:b/>
          <w:sz w:val="20"/>
          <w:szCs w:val="20"/>
        </w:rPr>
        <w:t xml:space="preserve"> Aridity index (I</w:t>
      </w:r>
      <w:r w:rsidR="00F77465" w:rsidRPr="008638B1">
        <w:rPr>
          <w:rFonts w:ascii="Arial" w:eastAsia="Calibri" w:hAnsi="Arial" w:cs="Arial"/>
          <w:b/>
          <w:sz w:val="20"/>
          <w:szCs w:val="20"/>
          <w:vertAlign w:val="subscript"/>
        </w:rPr>
        <w:t>DM</w:t>
      </w:r>
      <w:r w:rsidR="00F77465" w:rsidRPr="008638B1">
        <w:rPr>
          <w:rFonts w:ascii="Arial" w:eastAsia="Calibri" w:hAnsi="Arial" w:cs="Arial"/>
          <w:b/>
          <w:sz w:val="20"/>
          <w:szCs w:val="20"/>
        </w:rPr>
        <w:t>)</w:t>
      </w:r>
    </w:p>
    <w:p w14:paraId="0A2E59DA" w14:textId="7F38590D" w:rsidR="00F77465" w:rsidRPr="008638B1" w:rsidRDefault="00E82DC2" w:rsidP="009D28B7">
      <w:pPr>
        <w:autoSpaceDE w:val="0"/>
        <w:autoSpaceDN w:val="0"/>
        <w:adjustRightInd w:val="0"/>
        <w:spacing w:after="120" w:line="360" w:lineRule="auto"/>
        <w:jc w:val="both"/>
        <w:rPr>
          <w:rFonts w:ascii="Arial" w:eastAsia="Calibri" w:hAnsi="Arial" w:cs="Arial"/>
          <w:sz w:val="20"/>
          <w:szCs w:val="20"/>
        </w:rPr>
      </w:pPr>
      <w:r w:rsidRPr="008638B1">
        <w:rPr>
          <w:rFonts w:ascii="Arial" w:eastAsia="Calibri" w:hAnsi="Arial" w:cs="Arial"/>
          <w:sz w:val="20"/>
          <w:szCs w:val="20"/>
        </w:rPr>
        <w:t xml:space="preserve">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is one of the most recognized and widely applied indices in the field of applied climatology. It plays a significant role in distinguishing between arid and humid climatic conditions. Although it is one of the earliest developed indices, it continues to be effectively used across various regions worldwide to assess moisture availability and classify climate zones. The index is calculated using the formula presented in Equation 12.</w:t>
      </w:r>
    </w:p>
    <w:p w14:paraId="2F39BADE" w14:textId="11E9DAD7" w:rsidR="00F77465" w:rsidRPr="008638B1" w:rsidRDefault="002E1B51" w:rsidP="009D28B7">
      <w:pPr>
        <w:autoSpaceDE w:val="0"/>
        <w:autoSpaceDN w:val="0"/>
        <w:adjustRightInd w:val="0"/>
        <w:spacing w:after="240" w:line="360" w:lineRule="auto"/>
        <w:ind w:left="720" w:firstLine="720"/>
        <w:jc w:val="both"/>
        <w:rPr>
          <w:rFonts w:ascii="Arial" w:eastAsia="Calibri" w:hAnsi="Arial" w:cs="Arial"/>
          <w:sz w:val="20"/>
          <w:szCs w:val="20"/>
        </w:rPr>
      </w:pPr>
      <m:oMath>
        <m:sSub>
          <m:sSubPr>
            <m:ctrlPr>
              <w:rPr>
                <w:rFonts w:ascii="Cambria Math" w:eastAsia="Times New Roman" w:hAnsi="Cambria Math" w:cs="Arial"/>
                <w:sz w:val="20"/>
                <w:szCs w:val="20"/>
                <w:vertAlign w:val="subscript"/>
              </w:rPr>
            </m:ctrlPr>
          </m:sSubPr>
          <m:e>
            <m:r>
              <m:rPr>
                <m:sty m:val="p"/>
              </m:rPr>
              <w:rPr>
                <w:rFonts w:ascii="Cambria Math" w:eastAsia="Times New Roman" w:hAnsi="Cambria Math" w:cs="Arial"/>
                <w:sz w:val="20"/>
                <w:szCs w:val="20"/>
                <w:vertAlign w:val="subscript"/>
              </w:rPr>
              <m:t>I</m:t>
            </m:r>
          </m:e>
          <m:sub>
            <m:r>
              <m:rPr>
                <m:sty m:val="p"/>
              </m:rPr>
              <w:rPr>
                <w:rFonts w:ascii="Cambria Math" w:eastAsia="Times New Roman" w:hAnsi="Cambria Math" w:cs="Arial"/>
                <w:sz w:val="20"/>
                <w:szCs w:val="20"/>
                <w:vertAlign w:val="subscript"/>
              </w:rPr>
              <m:t xml:space="preserve">DM </m:t>
            </m:r>
          </m:sub>
        </m:sSub>
        <m:r>
          <m:rPr>
            <m:sty m:val="p"/>
          </m:rPr>
          <w:rPr>
            <w:rFonts w:ascii="Cambria Math" w:eastAsia="Times New Roman" w:hAnsi="Cambria Math" w:cs="Arial"/>
            <w:sz w:val="20"/>
            <w:szCs w:val="20"/>
            <w:vertAlign w:val="subscript"/>
          </w:rPr>
          <m:t xml:space="preserve">= </m:t>
        </m:r>
        <m:f>
          <m:fPr>
            <m:ctrlPr>
              <w:rPr>
                <w:rFonts w:ascii="Cambria Math" w:eastAsia="Times New Roman" w:hAnsi="Cambria Math" w:cs="Arial"/>
                <w:sz w:val="20"/>
                <w:szCs w:val="20"/>
                <w:vertAlign w:val="subscript"/>
              </w:rPr>
            </m:ctrlPr>
          </m:fPr>
          <m:num>
            <m:r>
              <m:rPr>
                <m:sty m:val="p"/>
              </m:rPr>
              <w:rPr>
                <w:rFonts w:ascii="Cambria Math" w:eastAsia="Times New Roman" w:hAnsi="Cambria Math" w:cs="Arial"/>
                <w:sz w:val="20"/>
                <w:szCs w:val="20"/>
                <w:vertAlign w:val="subscript"/>
              </w:rPr>
              <m:t>P</m:t>
            </m:r>
          </m:num>
          <m:den>
            <m:r>
              <m:rPr>
                <m:sty m:val="p"/>
              </m:rPr>
              <w:rPr>
                <w:rFonts w:ascii="Cambria Math" w:eastAsia="Times New Roman" w:hAnsi="Cambria Math" w:cs="Arial"/>
                <w:sz w:val="20"/>
                <w:szCs w:val="20"/>
                <w:vertAlign w:val="subscript"/>
              </w:rPr>
              <m:t>T+10</m:t>
            </m:r>
          </m:den>
        </m:f>
      </m:oMath>
      <w:r w:rsidR="006E4489" w:rsidRPr="008638B1">
        <w:rPr>
          <w:rFonts w:ascii="Arial" w:eastAsia="Times New Roman" w:hAnsi="Arial" w:cs="Arial"/>
          <w:sz w:val="20"/>
          <w:szCs w:val="20"/>
          <w:vertAlign w:val="subscript"/>
        </w:rPr>
        <w:tab/>
      </w:r>
      <w:r w:rsidR="006E4489" w:rsidRPr="008638B1">
        <w:rPr>
          <w:rFonts w:ascii="Arial" w:eastAsia="Times New Roman" w:hAnsi="Arial" w:cs="Arial"/>
          <w:sz w:val="20"/>
          <w:szCs w:val="20"/>
          <w:vertAlign w:val="subscript"/>
        </w:rPr>
        <w:tab/>
      </w:r>
      <w:r w:rsidR="006E4489" w:rsidRPr="008638B1">
        <w:rPr>
          <w:rFonts w:ascii="Arial" w:eastAsia="Times New Roman" w:hAnsi="Arial" w:cs="Arial"/>
          <w:sz w:val="20"/>
          <w:szCs w:val="20"/>
          <w:vertAlign w:val="subscript"/>
        </w:rPr>
        <w:tab/>
      </w:r>
      <w:r w:rsidR="006E4489" w:rsidRPr="008638B1">
        <w:rPr>
          <w:rFonts w:ascii="Arial" w:eastAsia="Times New Roman" w:hAnsi="Arial" w:cs="Arial"/>
          <w:sz w:val="20"/>
          <w:szCs w:val="20"/>
          <w:vertAlign w:val="subscript"/>
        </w:rPr>
        <w:tab/>
        <w:t xml:space="preserve"> </w:t>
      </w:r>
      <w:r w:rsidR="006E4489" w:rsidRPr="008638B1">
        <w:rPr>
          <w:rFonts w:ascii="Arial" w:eastAsia="Calibri" w:hAnsi="Arial" w:cs="Arial"/>
          <w:sz w:val="20"/>
          <w:szCs w:val="20"/>
        </w:rPr>
        <w:t xml:space="preserve">                     </w:t>
      </w:r>
      <w:r w:rsidR="00F77465" w:rsidRPr="008638B1">
        <w:rPr>
          <w:rFonts w:ascii="Arial" w:eastAsia="Calibri" w:hAnsi="Arial" w:cs="Arial"/>
          <w:sz w:val="20"/>
          <w:szCs w:val="20"/>
        </w:rPr>
        <w:t>…………… (1</w:t>
      </w:r>
      <w:r w:rsidR="009D28B7" w:rsidRPr="008638B1">
        <w:rPr>
          <w:rFonts w:ascii="Arial" w:eastAsia="Calibri" w:hAnsi="Arial" w:cs="Arial"/>
          <w:sz w:val="20"/>
          <w:szCs w:val="20"/>
        </w:rPr>
        <w:t>2</w:t>
      </w:r>
      <w:r w:rsidR="00F77465" w:rsidRPr="008638B1">
        <w:rPr>
          <w:rFonts w:ascii="Arial" w:eastAsia="Calibri" w:hAnsi="Arial" w:cs="Arial"/>
          <w:sz w:val="20"/>
          <w:szCs w:val="20"/>
        </w:rPr>
        <w:t>)</w:t>
      </w:r>
    </w:p>
    <w:p w14:paraId="54C292BD" w14:textId="31C6FE3C"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where I</w:t>
      </w:r>
      <w:r w:rsidRPr="008638B1">
        <w:rPr>
          <w:rFonts w:ascii="Arial" w:eastAsia="Calibri" w:hAnsi="Arial" w:cs="Arial"/>
          <w:sz w:val="20"/>
          <w:szCs w:val="20"/>
          <w:vertAlign w:val="subscript"/>
        </w:rPr>
        <w:t xml:space="preserve">DM is the </w:t>
      </w:r>
      <w:r w:rsidRPr="008638B1">
        <w:rPr>
          <w:rFonts w:ascii="Arial" w:eastAsia="Calibri" w:hAnsi="Arial" w:cs="Arial"/>
          <w:sz w:val="20"/>
          <w:szCs w:val="20"/>
        </w:rPr>
        <w:t xml:space="preserve">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P and T are the annual amount of precipitation and mean annual surface temperature in mm and in </w:t>
      </w:r>
      <w:proofErr w:type="spellStart"/>
      <w:r w:rsidRPr="008638B1">
        <w:rPr>
          <w:rFonts w:ascii="Arial" w:eastAsia="Calibri" w:hAnsi="Arial" w:cs="Arial"/>
          <w:sz w:val="20"/>
          <w:szCs w:val="20"/>
          <w:vertAlign w:val="superscript"/>
        </w:rPr>
        <w:t>o</w:t>
      </w:r>
      <w:r w:rsidRPr="008638B1">
        <w:rPr>
          <w:rFonts w:ascii="Arial" w:eastAsia="Calibri" w:hAnsi="Arial" w:cs="Arial"/>
          <w:sz w:val="20"/>
          <w:szCs w:val="20"/>
        </w:rPr>
        <w:t>C</w:t>
      </w:r>
      <w:proofErr w:type="spellEnd"/>
      <w:r w:rsidRPr="008638B1">
        <w:rPr>
          <w:rFonts w:ascii="Arial" w:eastAsia="Calibri" w:hAnsi="Arial" w:cs="Arial"/>
          <w:sz w:val="20"/>
          <w:szCs w:val="20"/>
        </w:rPr>
        <w:t xml:space="preserve"> respectively.</w:t>
      </w:r>
    </w:p>
    <w:p w14:paraId="3A0E316D" w14:textId="0FCFE5DF" w:rsidR="00F77465" w:rsidRPr="008638B1" w:rsidRDefault="00E82DC2" w:rsidP="008E5EF6">
      <w:pPr>
        <w:spacing w:line="360" w:lineRule="auto"/>
        <w:jc w:val="both"/>
        <w:rPr>
          <w:rFonts w:ascii="Arial" w:eastAsia="Calibri" w:hAnsi="Arial" w:cs="Arial"/>
          <w:sz w:val="20"/>
          <w:szCs w:val="20"/>
        </w:rPr>
      </w:pPr>
      <w:r w:rsidRPr="008638B1">
        <w:rPr>
          <w:rFonts w:ascii="Arial" w:eastAsia="Calibri" w:hAnsi="Arial" w:cs="Arial"/>
          <w:sz w:val="20"/>
          <w:szCs w:val="20"/>
        </w:rPr>
        <w:t xml:space="preserve">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proposed a climate classification system based on the Aridity Index. According to this classification, regions with an I</w:t>
      </w:r>
      <w:r w:rsidRPr="008638B1">
        <w:rPr>
          <w:rFonts w:ascii="Arial" w:eastAsia="Calibri" w:hAnsi="Arial" w:cs="Arial"/>
          <w:sz w:val="20"/>
          <w:szCs w:val="20"/>
          <w:vertAlign w:val="subscript"/>
        </w:rPr>
        <w:t>DM</w:t>
      </w:r>
      <w:r w:rsidRPr="008638B1">
        <w:rPr>
          <w:rFonts w:ascii="Arial" w:eastAsia="Calibri" w:hAnsi="Arial" w:cs="Arial"/>
          <w:sz w:val="20"/>
          <w:szCs w:val="20"/>
        </w:rPr>
        <w:t xml:space="preserve"> value below 24 are considered to have a dry climate, while those with values above 24 are categorized as humid</w:t>
      </w:r>
      <w:r w:rsidR="00640666" w:rsidRPr="008638B1">
        <w:rPr>
          <w:rFonts w:ascii="Arial" w:eastAsia="Calibri" w:hAnsi="Arial" w:cs="Arial"/>
          <w:sz w:val="20"/>
          <w:szCs w:val="20"/>
        </w:rPr>
        <w:t xml:space="preserve"> [4</w:t>
      </w:r>
      <w:r w:rsidR="007E5F97">
        <w:rPr>
          <w:rFonts w:ascii="Arial" w:eastAsia="Calibri" w:hAnsi="Arial" w:cs="Arial"/>
          <w:sz w:val="20"/>
          <w:szCs w:val="20"/>
        </w:rPr>
        <w:t>2</w:t>
      </w:r>
      <w:r w:rsidR="00640666" w:rsidRPr="008638B1">
        <w:rPr>
          <w:rFonts w:ascii="Arial" w:eastAsia="Calibri" w:hAnsi="Arial" w:cs="Arial"/>
          <w:sz w:val="20"/>
          <w:szCs w:val="20"/>
        </w:rPr>
        <w:t>]</w:t>
      </w:r>
      <w:r w:rsidRPr="008638B1">
        <w:rPr>
          <w:rFonts w:ascii="Arial" w:eastAsia="Calibri" w:hAnsi="Arial" w:cs="Arial"/>
          <w:sz w:val="20"/>
          <w:szCs w:val="20"/>
        </w:rPr>
        <w:t>. The detailed classification criteria are presented in Table 2.</w:t>
      </w:r>
    </w:p>
    <w:p w14:paraId="4D8AF58B" w14:textId="17177B19" w:rsidR="00F77465" w:rsidRPr="008F786C" w:rsidRDefault="00F77465" w:rsidP="009D28B7">
      <w:pPr>
        <w:autoSpaceDE w:val="0"/>
        <w:autoSpaceDN w:val="0"/>
        <w:adjustRightInd w:val="0"/>
        <w:spacing w:before="240" w:after="120" w:line="360" w:lineRule="auto"/>
        <w:jc w:val="center"/>
        <w:rPr>
          <w:rFonts w:ascii="Arial" w:eastAsia="Calibri" w:hAnsi="Arial" w:cs="Arial"/>
          <w:b/>
          <w:bCs/>
          <w:sz w:val="20"/>
          <w:szCs w:val="20"/>
        </w:rPr>
      </w:pPr>
      <w:r w:rsidRPr="008F786C">
        <w:rPr>
          <w:rFonts w:ascii="Arial" w:eastAsia="Calibri" w:hAnsi="Arial" w:cs="Arial"/>
          <w:b/>
          <w:bCs/>
          <w:sz w:val="20"/>
          <w:szCs w:val="20"/>
        </w:rPr>
        <w:t xml:space="preserve">Table </w:t>
      </w:r>
      <w:r w:rsidR="009D28B7" w:rsidRPr="008F786C">
        <w:rPr>
          <w:rFonts w:ascii="Arial" w:eastAsia="Calibri" w:hAnsi="Arial" w:cs="Arial"/>
          <w:b/>
          <w:bCs/>
          <w:sz w:val="20"/>
          <w:szCs w:val="20"/>
        </w:rPr>
        <w:t>2</w:t>
      </w:r>
      <w:r w:rsidRPr="008F786C">
        <w:rPr>
          <w:rFonts w:ascii="Arial" w:eastAsia="Calibri" w:hAnsi="Arial" w:cs="Arial"/>
          <w:b/>
          <w:bCs/>
          <w:sz w:val="20"/>
          <w:szCs w:val="20"/>
        </w:rPr>
        <w:t xml:space="preserve">: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climate classification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2780"/>
        <w:gridCol w:w="2890"/>
      </w:tblGrid>
      <w:tr w:rsidR="009F4CD0" w:rsidRPr="008638B1" w14:paraId="0FFED723" w14:textId="77777777" w:rsidTr="00E82DC2">
        <w:trPr>
          <w:jc w:val="center"/>
        </w:trPr>
        <w:tc>
          <w:tcPr>
            <w:tcW w:w="2780" w:type="dxa"/>
            <w:tcBorders>
              <w:top w:val="single" w:sz="4" w:space="0" w:color="auto"/>
              <w:bottom w:val="single" w:sz="4" w:space="0" w:color="auto"/>
            </w:tcBorders>
          </w:tcPr>
          <w:p w14:paraId="66FAB241" w14:textId="77777777" w:rsidR="00F77465" w:rsidRPr="008638B1" w:rsidRDefault="00F77465" w:rsidP="00E82DC2">
            <w:pPr>
              <w:autoSpaceDE w:val="0"/>
              <w:autoSpaceDN w:val="0"/>
              <w:adjustRightInd w:val="0"/>
              <w:spacing w:line="360" w:lineRule="auto"/>
              <w:jc w:val="center"/>
              <w:rPr>
                <w:rFonts w:ascii="Arial" w:eastAsia="Calibri" w:hAnsi="Arial" w:cs="Arial"/>
                <w:b/>
                <w:sz w:val="20"/>
                <w:szCs w:val="20"/>
              </w:rPr>
            </w:pPr>
            <w:r w:rsidRPr="008638B1">
              <w:rPr>
                <w:rFonts w:ascii="Arial" w:eastAsia="Calibri" w:hAnsi="Arial" w:cs="Arial"/>
                <w:b/>
                <w:sz w:val="20"/>
                <w:szCs w:val="20"/>
              </w:rPr>
              <w:t>Aridity Index (I</w:t>
            </w:r>
            <w:r w:rsidRPr="008638B1">
              <w:rPr>
                <w:rFonts w:ascii="Arial" w:eastAsia="Calibri" w:hAnsi="Arial" w:cs="Arial"/>
                <w:b/>
                <w:sz w:val="20"/>
                <w:szCs w:val="20"/>
                <w:vertAlign w:val="subscript"/>
              </w:rPr>
              <w:t>DM</w:t>
            </w:r>
            <w:r w:rsidRPr="008638B1">
              <w:rPr>
                <w:rFonts w:ascii="Arial" w:eastAsia="Calibri" w:hAnsi="Arial" w:cs="Arial"/>
                <w:b/>
                <w:sz w:val="20"/>
                <w:szCs w:val="20"/>
              </w:rPr>
              <w:t>)</w:t>
            </w:r>
          </w:p>
        </w:tc>
        <w:tc>
          <w:tcPr>
            <w:tcW w:w="2890" w:type="dxa"/>
            <w:tcBorders>
              <w:top w:val="single" w:sz="4" w:space="0" w:color="auto"/>
              <w:bottom w:val="single" w:sz="4" w:space="0" w:color="auto"/>
            </w:tcBorders>
          </w:tcPr>
          <w:p w14:paraId="3A9562DF" w14:textId="77777777" w:rsidR="00F77465" w:rsidRPr="008638B1" w:rsidRDefault="00F77465" w:rsidP="009D28B7">
            <w:pPr>
              <w:autoSpaceDE w:val="0"/>
              <w:autoSpaceDN w:val="0"/>
              <w:adjustRightInd w:val="0"/>
              <w:spacing w:line="360" w:lineRule="auto"/>
              <w:jc w:val="both"/>
              <w:rPr>
                <w:rFonts w:ascii="Arial" w:eastAsia="Calibri" w:hAnsi="Arial" w:cs="Arial"/>
                <w:b/>
                <w:sz w:val="20"/>
                <w:szCs w:val="20"/>
              </w:rPr>
            </w:pPr>
            <w:r w:rsidRPr="008638B1">
              <w:rPr>
                <w:rFonts w:ascii="Arial" w:eastAsia="Calibri" w:hAnsi="Arial" w:cs="Arial"/>
                <w:b/>
                <w:sz w:val="20"/>
                <w:szCs w:val="20"/>
              </w:rPr>
              <w:t xml:space="preserve">Climate Type </w:t>
            </w:r>
          </w:p>
        </w:tc>
      </w:tr>
      <w:tr w:rsidR="009F4CD0" w:rsidRPr="008638B1" w14:paraId="563BA0F9" w14:textId="77777777" w:rsidTr="00E82DC2">
        <w:trPr>
          <w:jc w:val="center"/>
        </w:trPr>
        <w:tc>
          <w:tcPr>
            <w:tcW w:w="2780" w:type="dxa"/>
            <w:tcBorders>
              <w:top w:val="single" w:sz="4" w:space="0" w:color="auto"/>
            </w:tcBorders>
          </w:tcPr>
          <w:p w14:paraId="3E901030"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 10</w:t>
            </w:r>
          </w:p>
        </w:tc>
        <w:tc>
          <w:tcPr>
            <w:tcW w:w="2890" w:type="dxa"/>
            <w:tcBorders>
              <w:top w:val="single" w:sz="4" w:space="0" w:color="auto"/>
            </w:tcBorders>
          </w:tcPr>
          <w:p w14:paraId="37C9DD4D"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Arid</w:t>
            </w:r>
          </w:p>
        </w:tc>
      </w:tr>
      <w:tr w:rsidR="009F4CD0" w:rsidRPr="008638B1" w14:paraId="4AB09BA0" w14:textId="77777777" w:rsidTr="00E82DC2">
        <w:trPr>
          <w:jc w:val="center"/>
        </w:trPr>
        <w:tc>
          <w:tcPr>
            <w:tcW w:w="2780" w:type="dxa"/>
          </w:tcPr>
          <w:p w14:paraId="489B4DAB"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10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 20</w:t>
            </w:r>
          </w:p>
        </w:tc>
        <w:tc>
          <w:tcPr>
            <w:tcW w:w="2890" w:type="dxa"/>
          </w:tcPr>
          <w:p w14:paraId="08FF7177"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Semi-Arid</w:t>
            </w:r>
          </w:p>
        </w:tc>
      </w:tr>
      <w:tr w:rsidR="009F4CD0" w:rsidRPr="008638B1" w14:paraId="25515028" w14:textId="77777777" w:rsidTr="00E82DC2">
        <w:trPr>
          <w:jc w:val="center"/>
        </w:trPr>
        <w:tc>
          <w:tcPr>
            <w:tcW w:w="2780" w:type="dxa"/>
          </w:tcPr>
          <w:p w14:paraId="744F2835"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20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 24</w:t>
            </w:r>
          </w:p>
        </w:tc>
        <w:tc>
          <w:tcPr>
            <w:tcW w:w="2890" w:type="dxa"/>
          </w:tcPr>
          <w:p w14:paraId="1BC6665A"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Mediterranean</w:t>
            </w:r>
          </w:p>
        </w:tc>
      </w:tr>
      <w:tr w:rsidR="009F4CD0" w:rsidRPr="008638B1" w14:paraId="6F25031F" w14:textId="77777777" w:rsidTr="00E82DC2">
        <w:trPr>
          <w:jc w:val="center"/>
        </w:trPr>
        <w:tc>
          <w:tcPr>
            <w:tcW w:w="2780" w:type="dxa"/>
          </w:tcPr>
          <w:p w14:paraId="3B7CD09E"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24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 28</w:t>
            </w:r>
          </w:p>
        </w:tc>
        <w:tc>
          <w:tcPr>
            <w:tcW w:w="2890" w:type="dxa"/>
          </w:tcPr>
          <w:p w14:paraId="3E5C1F2E"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Semi- Humid</w:t>
            </w:r>
          </w:p>
        </w:tc>
      </w:tr>
      <w:tr w:rsidR="009F4CD0" w:rsidRPr="008638B1" w14:paraId="1398DF90" w14:textId="77777777" w:rsidTr="00E82DC2">
        <w:trPr>
          <w:jc w:val="center"/>
        </w:trPr>
        <w:tc>
          <w:tcPr>
            <w:tcW w:w="2780" w:type="dxa"/>
          </w:tcPr>
          <w:p w14:paraId="79F5AD2D"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28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 35</w:t>
            </w:r>
          </w:p>
        </w:tc>
        <w:tc>
          <w:tcPr>
            <w:tcW w:w="2890" w:type="dxa"/>
          </w:tcPr>
          <w:p w14:paraId="61018D5C"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Humid</w:t>
            </w:r>
          </w:p>
        </w:tc>
      </w:tr>
      <w:tr w:rsidR="009F4CD0" w:rsidRPr="008638B1" w14:paraId="6494A9E7" w14:textId="77777777" w:rsidTr="00E82DC2">
        <w:trPr>
          <w:jc w:val="center"/>
        </w:trPr>
        <w:tc>
          <w:tcPr>
            <w:tcW w:w="2780" w:type="dxa"/>
          </w:tcPr>
          <w:p w14:paraId="6AC54252"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35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 55</w:t>
            </w:r>
          </w:p>
        </w:tc>
        <w:tc>
          <w:tcPr>
            <w:tcW w:w="2890" w:type="dxa"/>
          </w:tcPr>
          <w:p w14:paraId="2C8E27AC"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Very- Humid</w:t>
            </w:r>
          </w:p>
        </w:tc>
      </w:tr>
      <w:tr w:rsidR="00F77465" w:rsidRPr="008638B1" w14:paraId="466351CA" w14:textId="77777777" w:rsidTr="00E82DC2">
        <w:trPr>
          <w:jc w:val="center"/>
        </w:trPr>
        <w:tc>
          <w:tcPr>
            <w:tcW w:w="2780" w:type="dxa"/>
          </w:tcPr>
          <w:p w14:paraId="3646FA81" w14:textId="291D88FF"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&gt; 55</w:t>
            </w:r>
          </w:p>
        </w:tc>
        <w:tc>
          <w:tcPr>
            <w:tcW w:w="2890" w:type="dxa"/>
          </w:tcPr>
          <w:p w14:paraId="5C04FCCE"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Extremely Humid</w:t>
            </w:r>
          </w:p>
        </w:tc>
      </w:tr>
    </w:tbl>
    <w:p w14:paraId="6B457BE3" w14:textId="77777777" w:rsidR="00F77465" w:rsidRPr="008638B1" w:rsidRDefault="00F77465" w:rsidP="009D28B7">
      <w:pPr>
        <w:autoSpaceDE w:val="0"/>
        <w:autoSpaceDN w:val="0"/>
        <w:adjustRightInd w:val="0"/>
        <w:spacing w:after="240" w:line="360" w:lineRule="auto"/>
        <w:jc w:val="both"/>
        <w:rPr>
          <w:rFonts w:ascii="Arial" w:eastAsia="Calibri" w:hAnsi="Arial" w:cs="Arial"/>
          <w:b/>
          <w:sz w:val="20"/>
          <w:szCs w:val="20"/>
        </w:rPr>
      </w:pPr>
    </w:p>
    <w:p w14:paraId="63AE9492" w14:textId="13415F04" w:rsidR="00F77465" w:rsidRPr="008638B1" w:rsidRDefault="00574941"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b/>
          <w:sz w:val="20"/>
          <w:szCs w:val="20"/>
        </w:rPr>
        <w:lastRenderedPageBreak/>
        <w:t xml:space="preserve">3.4.3 </w:t>
      </w:r>
      <w:r w:rsidR="00F77465" w:rsidRPr="008638B1">
        <w:rPr>
          <w:rFonts w:ascii="Arial" w:eastAsia="Calibri" w:hAnsi="Arial" w:cs="Arial"/>
          <w:b/>
          <w:sz w:val="20"/>
          <w:szCs w:val="20"/>
        </w:rPr>
        <w:t>The Pinna Combinative Index (I</w:t>
      </w:r>
      <w:r w:rsidR="00F77465" w:rsidRPr="008638B1">
        <w:rPr>
          <w:rFonts w:ascii="Arial" w:eastAsia="Calibri" w:hAnsi="Arial" w:cs="Arial"/>
          <w:b/>
          <w:sz w:val="20"/>
          <w:szCs w:val="20"/>
          <w:vertAlign w:val="subscript"/>
        </w:rPr>
        <w:t>P</w:t>
      </w:r>
      <w:r w:rsidR="00F77465" w:rsidRPr="008638B1">
        <w:rPr>
          <w:rFonts w:ascii="Arial" w:eastAsia="Calibri" w:hAnsi="Arial" w:cs="Arial"/>
          <w:b/>
          <w:sz w:val="20"/>
          <w:szCs w:val="20"/>
        </w:rPr>
        <w:t>)</w:t>
      </w:r>
    </w:p>
    <w:p w14:paraId="3B868E77" w14:textId="0771905D"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Pinna Combinative Index is a direct method to find out the Aridity Index. The Pinna Combinative Aridity Index is calculated using Equation </w:t>
      </w:r>
      <w:r w:rsidR="009D28B7" w:rsidRPr="008638B1">
        <w:rPr>
          <w:rFonts w:ascii="Arial" w:eastAsia="Calibri" w:hAnsi="Arial" w:cs="Arial"/>
          <w:sz w:val="20"/>
          <w:szCs w:val="20"/>
        </w:rPr>
        <w:t>13</w:t>
      </w:r>
      <w:r w:rsidRPr="008638B1">
        <w:rPr>
          <w:rFonts w:ascii="Arial" w:eastAsia="Calibri" w:hAnsi="Arial" w:cs="Arial"/>
          <w:sz w:val="20"/>
          <w:szCs w:val="20"/>
        </w:rPr>
        <w:t>,</w:t>
      </w:r>
    </w:p>
    <w:p w14:paraId="34143483" w14:textId="12F2609E"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 </w:t>
      </w:r>
      <w:r w:rsidRPr="008638B1">
        <w:rPr>
          <w:rFonts w:ascii="Arial" w:eastAsia="Calibri" w:hAnsi="Arial" w:cs="Arial"/>
          <w:sz w:val="20"/>
          <w:szCs w:val="20"/>
        </w:rPr>
        <w:tab/>
      </w:r>
      <w:r w:rsidRPr="008638B1">
        <w:rPr>
          <w:rFonts w:ascii="Arial" w:eastAsia="Calibri" w:hAnsi="Arial" w:cs="Arial"/>
          <w:sz w:val="20"/>
          <w:szCs w:val="20"/>
        </w:rPr>
        <w:tab/>
        <w:t xml:space="preserve">   </w:t>
      </w:r>
      <m:oMath>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I</m:t>
            </m:r>
          </m:e>
          <m:sub>
            <m:r>
              <m:rPr>
                <m:sty m:val="p"/>
              </m:rPr>
              <w:rPr>
                <w:rFonts w:ascii="Cambria Math" w:eastAsia="Calibri" w:hAnsi="Cambria Math" w:cs="Arial"/>
                <w:sz w:val="20"/>
                <w:szCs w:val="20"/>
              </w:rPr>
              <m:t>P</m:t>
            </m:r>
          </m:sub>
        </m:sSub>
        <m:r>
          <m:rPr>
            <m:sty m:val="p"/>
          </m:rPr>
          <w:rPr>
            <w:rFonts w:ascii="Cambria Math" w:eastAsia="Times New Roman" w:hAnsi="Cambria Math" w:cs="Arial"/>
            <w:sz w:val="20"/>
            <w:szCs w:val="20"/>
          </w:rPr>
          <m:t>=</m:t>
        </m:r>
        <m:d>
          <m:dPr>
            <m:ctrlPr>
              <w:rPr>
                <w:rFonts w:ascii="Cambria Math" w:eastAsia="Times New Roman" w:hAnsi="Cambria Math" w:cs="Arial"/>
                <w:sz w:val="20"/>
                <w:szCs w:val="20"/>
              </w:rPr>
            </m:ctrlPr>
          </m:dPr>
          <m:e>
            <m:f>
              <m:fPr>
                <m:ctrlPr>
                  <w:rPr>
                    <w:rFonts w:ascii="Cambria Math" w:eastAsia="Times New Roman" w:hAnsi="Cambria Math" w:cs="Arial"/>
                    <w:sz w:val="20"/>
                    <w:szCs w:val="20"/>
                  </w:rPr>
                </m:ctrlPr>
              </m:fPr>
              <m:num>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P</m:t>
                    </m:r>
                  </m:e>
                  <m:sub>
                    <m:r>
                      <m:rPr>
                        <m:sty m:val="p"/>
                      </m:rPr>
                      <w:rPr>
                        <w:rFonts w:ascii="Cambria Math" w:eastAsia="Times New Roman" w:hAnsi="Cambria Math" w:cs="Arial"/>
                        <w:sz w:val="20"/>
                        <w:szCs w:val="20"/>
                      </w:rPr>
                      <m:t>ma</m:t>
                    </m:r>
                  </m:sub>
                </m:sSub>
              </m:num>
              <m:den>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T</m:t>
                    </m:r>
                  </m:e>
                  <m:sub>
                    <m:r>
                      <m:rPr>
                        <m:sty m:val="p"/>
                      </m:rPr>
                      <w:rPr>
                        <w:rFonts w:ascii="Cambria Math" w:eastAsia="Times New Roman" w:hAnsi="Cambria Math" w:cs="Arial"/>
                        <w:sz w:val="20"/>
                        <w:szCs w:val="20"/>
                      </w:rPr>
                      <m:t>ma+10</m:t>
                    </m:r>
                  </m:sub>
                </m:sSub>
              </m:den>
            </m:f>
            <m:r>
              <m:rPr>
                <m:sty m:val="p"/>
              </m:rPr>
              <w:rPr>
                <w:rFonts w:ascii="Cambria Math" w:eastAsia="Times New Roman" w:hAnsi="Cambria Math" w:cs="Arial"/>
                <w:sz w:val="20"/>
                <w:szCs w:val="20"/>
              </w:rPr>
              <m:t>+</m:t>
            </m:r>
            <m:f>
              <m:fPr>
                <m:ctrlPr>
                  <w:rPr>
                    <w:rFonts w:ascii="Cambria Math" w:eastAsia="Times New Roman" w:hAnsi="Cambria Math" w:cs="Arial"/>
                    <w:sz w:val="20"/>
                    <w:szCs w:val="20"/>
                  </w:rPr>
                </m:ctrlPr>
              </m:fPr>
              <m:num>
                <m:r>
                  <m:rPr>
                    <m:sty m:val="p"/>
                  </m:rPr>
                  <w:rPr>
                    <w:rFonts w:ascii="Cambria Math" w:eastAsia="Times New Roman" w:hAnsi="Cambria Math" w:cs="Arial"/>
                    <w:sz w:val="20"/>
                    <w:szCs w:val="20"/>
                  </w:rPr>
                  <m:t>12</m:t>
                </m:r>
                <m:sSup>
                  <m:sSupPr>
                    <m:ctrlPr>
                      <w:rPr>
                        <w:rFonts w:ascii="Cambria Math" w:eastAsia="Times New Roman" w:hAnsi="Cambria Math" w:cs="Arial"/>
                        <w:sz w:val="20"/>
                        <w:szCs w:val="20"/>
                      </w:rPr>
                    </m:ctrlPr>
                  </m:sSupPr>
                  <m:e>
                    <m:r>
                      <m:rPr>
                        <m:sty m:val="p"/>
                      </m:rPr>
                      <w:rPr>
                        <w:rFonts w:ascii="Cambria Math" w:eastAsia="Times New Roman" w:hAnsi="Cambria Math" w:cs="Arial"/>
                        <w:sz w:val="20"/>
                        <w:szCs w:val="20"/>
                      </w:rPr>
                      <m:t>P</m:t>
                    </m:r>
                  </m:e>
                  <m:sup>
                    <m:r>
                      <m:rPr>
                        <m:sty m:val="p"/>
                      </m:rPr>
                      <w:rPr>
                        <w:rFonts w:ascii="Cambria Math" w:eastAsia="Times New Roman" w:hAnsi="Cambria Math" w:cs="Arial"/>
                        <w:sz w:val="20"/>
                        <w:szCs w:val="20"/>
                      </w:rPr>
                      <m:t>'</m:t>
                    </m:r>
                  </m:sup>
                </m:sSup>
                <m:r>
                  <m:rPr>
                    <m:sty m:val="p"/>
                  </m:rPr>
                  <w:rPr>
                    <w:rFonts w:ascii="Cambria Math" w:eastAsia="Times New Roman" w:hAnsi="Cambria Math" w:cs="Arial"/>
                    <w:sz w:val="20"/>
                    <w:szCs w:val="20"/>
                  </w:rPr>
                  <m:t>d</m:t>
                </m:r>
              </m:num>
              <m:den>
                <m:sSup>
                  <m:sSupPr>
                    <m:ctrlPr>
                      <w:rPr>
                        <w:rFonts w:ascii="Cambria Math" w:eastAsia="Times New Roman" w:hAnsi="Cambria Math" w:cs="Arial"/>
                        <w:sz w:val="20"/>
                        <w:szCs w:val="20"/>
                      </w:rPr>
                    </m:ctrlPr>
                  </m:sSupPr>
                  <m:e>
                    <m:r>
                      <m:rPr>
                        <m:sty m:val="p"/>
                      </m:rPr>
                      <w:rPr>
                        <w:rFonts w:ascii="Cambria Math" w:eastAsia="Times New Roman" w:hAnsi="Cambria Math" w:cs="Arial"/>
                        <w:sz w:val="20"/>
                        <w:szCs w:val="20"/>
                      </w:rPr>
                      <m:t>T</m:t>
                    </m:r>
                  </m:e>
                  <m:sup>
                    <m:r>
                      <m:rPr>
                        <m:sty m:val="p"/>
                      </m:rPr>
                      <w:rPr>
                        <w:rFonts w:ascii="Cambria Math" w:eastAsia="Times New Roman" w:hAnsi="Cambria Math" w:cs="Arial"/>
                        <w:sz w:val="20"/>
                        <w:szCs w:val="20"/>
                      </w:rPr>
                      <m:t>'</m:t>
                    </m:r>
                  </m:sup>
                </m:sSup>
                <m:r>
                  <m:rPr>
                    <m:sty m:val="p"/>
                  </m:rPr>
                  <w:rPr>
                    <w:rFonts w:ascii="Cambria Math" w:eastAsia="Times New Roman" w:hAnsi="Cambria Math" w:cs="Arial"/>
                    <w:sz w:val="20"/>
                    <w:szCs w:val="20"/>
                  </w:rPr>
                  <m:t>d+10</m:t>
                </m:r>
              </m:den>
            </m:f>
          </m:e>
        </m:d>
      </m:oMath>
      <w:r w:rsidRPr="008638B1">
        <w:rPr>
          <w:rFonts w:ascii="Arial" w:eastAsia="Times New Roman" w:hAnsi="Arial" w:cs="Arial"/>
          <w:sz w:val="20"/>
          <w:szCs w:val="20"/>
          <w:vertAlign w:val="subscript"/>
        </w:rPr>
        <w:t xml:space="preserve">                                                   </w:t>
      </w:r>
      <w:r w:rsidR="006E4489" w:rsidRPr="008638B1">
        <w:rPr>
          <w:rFonts w:ascii="Arial" w:eastAsia="Times New Roman" w:hAnsi="Arial" w:cs="Arial"/>
          <w:sz w:val="20"/>
          <w:szCs w:val="20"/>
          <w:vertAlign w:val="subscript"/>
        </w:rPr>
        <w:t xml:space="preserve">                        </w:t>
      </w:r>
      <w:r w:rsidR="006E4489" w:rsidRPr="008638B1">
        <w:rPr>
          <w:rFonts w:ascii="Arial" w:eastAsia="Calibri" w:hAnsi="Arial" w:cs="Arial"/>
          <w:sz w:val="20"/>
          <w:szCs w:val="20"/>
        </w:rPr>
        <w:t xml:space="preserve">   </w:t>
      </w:r>
      <w:r w:rsidRPr="008638B1">
        <w:rPr>
          <w:rFonts w:ascii="Arial" w:eastAsia="Calibri" w:hAnsi="Arial" w:cs="Arial"/>
          <w:sz w:val="20"/>
          <w:szCs w:val="20"/>
        </w:rPr>
        <w:t>…………… (1</w:t>
      </w:r>
      <w:r w:rsidR="009D28B7" w:rsidRPr="008638B1">
        <w:rPr>
          <w:rFonts w:ascii="Arial" w:eastAsia="Calibri" w:hAnsi="Arial" w:cs="Arial"/>
          <w:sz w:val="20"/>
          <w:szCs w:val="20"/>
        </w:rPr>
        <w:t>3</w:t>
      </w:r>
      <w:r w:rsidRPr="008638B1">
        <w:rPr>
          <w:rFonts w:ascii="Arial" w:eastAsia="Calibri" w:hAnsi="Arial" w:cs="Arial"/>
          <w:sz w:val="20"/>
          <w:szCs w:val="20"/>
        </w:rPr>
        <w:t>)</w:t>
      </w:r>
    </w:p>
    <w:p w14:paraId="062F51CC" w14:textId="156C56E7" w:rsidR="00F77465" w:rsidRPr="008638B1" w:rsidRDefault="00F77465" w:rsidP="000E737B">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where </w:t>
      </w:r>
      <w:proofErr w:type="spellStart"/>
      <w:r w:rsidRPr="008638B1">
        <w:rPr>
          <w:rFonts w:ascii="Arial" w:eastAsia="Calibri" w:hAnsi="Arial" w:cs="Arial"/>
          <w:sz w:val="20"/>
          <w:szCs w:val="20"/>
        </w:rPr>
        <w:t>Pma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Tma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P</w:t>
      </w:r>
      <w:r w:rsidRPr="008638B1">
        <w:rPr>
          <w:rFonts w:ascii="Arial" w:eastAsia="AdvTT3713a231+20" w:hAnsi="Arial" w:cs="Arial"/>
          <w:sz w:val="20"/>
          <w:szCs w:val="20"/>
        </w:rPr>
        <w:t>′</w:t>
      </w:r>
      <w:r w:rsidRPr="008638B1">
        <w:rPr>
          <w:rFonts w:ascii="Arial" w:eastAsia="Calibri" w:hAnsi="Arial" w:cs="Arial"/>
          <w:sz w:val="20"/>
          <w:szCs w:val="20"/>
        </w:rPr>
        <w:t>d</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T</w:t>
      </w:r>
      <w:r w:rsidRPr="008638B1">
        <w:rPr>
          <w:rFonts w:ascii="Arial" w:eastAsia="AdvTT3713a231+20" w:hAnsi="Arial" w:cs="Arial"/>
          <w:sz w:val="20"/>
          <w:szCs w:val="20"/>
        </w:rPr>
        <w:t>′</w:t>
      </w:r>
      <w:r w:rsidRPr="008638B1">
        <w:rPr>
          <w:rFonts w:ascii="Arial" w:eastAsia="Calibri" w:hAnsi="Arial" w:cs="Arial"/>
          <w:sz w:val="20"/>
          <w:szCs w:val="20"/>
        </w:rPr>
        <w:t>d</w:t>
      </w:r>
      <w:proofErr w:type="spellEnd"/>
      <w:r w:rsidRPr="008638B1">
        <w:rPr>
          <w:rFonts w:ascii="Arial" w:eastAsia="Calibri" w:hAnsi="Arial" w:cs="Arial"/>
          <w:sz w:val="20"/>
          <w:szCs w:val="20"/>
        </w:rPr>
        <w:t xml:space="preserve"> are the annual amount of precipitation, mean annual surface temperature, the amount of precipitation, and mean surface temperature of the driest month, respectively</w:t>
      </w:r>
      <w:r w:rsidR="00640666" w:rsidRPr="008638B1">
        <w:rPr>
          <w:rFonts w:ascii="Arial" w:eastAsia="Calibri" w:hAnsi="Arial" w:cs="Arial"/>
          <w:sz w:val="20"/>
          <w:szCs w:val="20"/>
        </w:rPr>
        <w:t xml:space="preserve"> [4</w:t>
      </w:r>
      <w:r w:rsidR="007E5F97">
        <w:rPr>
          <w:rFonts w:ascii="Arial" w:eastAsia="Calibri" w:hAnsi="Arial" w:cs="Arial"/>
          <w:sz w:val="20"/>
          <w:szCs w:val="20"/>
        </w:rPr>
        <w:t>3</w:t>
      </w:r>
      <w:r w:rsidR="00640666" w:rsidRPr="008638B1">
        <w:rPr>
          <w:rFonts w:ascii="Arial" w:eastAsia="Calibri" w:hAnsi="Arial" w:cs="Arial"/>
          <w:sz w:val="20"/>
          <w:szCs w:val="20"/>
        </w:rPr>
        <w:t>]</w:t>
      </w:r>
      <w:r w:rsidRPr="008638B1">
        <w:rPr>
          <w:rFonts w:ascii="Arial" w:eastAsia="Calibri" w:hAnsi="Arial" w:cs="Arial"/>
          <w:sz w:val="20"/>
          <w:szCs w:val="20"/>
        </w:rPr>
        <w:t>.</w:t>
      </w:r>
    </w:p>
    <w:p w14:paraId="1D7D6825" w14:textId="1B4278EC"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Times New Roman" w:hAnsi="Arial" w:cs="Arial"/>
          <w:sz w:val="20"/>
          <w:szCs w:val="20"/>
        </w:rPr>
        <w:t>When the</w:t>
      </w:r>
      <w:r w:rsidRPr="008638B1">
        <w:rPr>
          <w:rFonts w:ascii="Arial" w:eastAsia="Calibri" w:hAnsi="Arial" w:cs="Arial"/>
          <w:sz w:val="20"/>
          <w:szCs w:val="20"/>
        </w:rPr>
        <w:t xml:space="preserve"> I</w:t>
      </w:r>
      <w:r w:rsidRPr="008638B1">
        <w:rPr>
          <w:rFonts w:ascii="Arial" w:eastAsia="Calibri" w:hAnsi="Arial" w:cs="Arial"/>
          <w:sz w:val="20"/>
          <w:szCs w:val="20"/>
          <w:vertAlign w:val="subscript"/>
        </w:rPr>
        <w:t xml:space="preserve">P </w:t>
      </w:r>
      <w:r w:rsidRPr="008638B1">
        <w:rPr>
          <w:rFonts w:ascii="Arial" w:eastAsia="Calibri" w:hAnsi="Arial" w:cs="Arial"/>
          <w:sz w:val="20"/>
          <w:szCs w:val="20"/>
        </w:rPr>
        <w:t>is less than 20 then climate is defined as the dry, whereas when I</w:t>
      </w:r>
      <w:r w:rsidRPr="008638B1">
        <w:rPr>
          <w:rFonts w:ascii="Arial" w:eastAsia="Calibri" w:hAnsi="Arial" w:cs="Arial"/>
          <w:sz w:val="20"/>
          <w:szCs w:val="20"/>
          <w:vertAlign w:val="subscript"/>
        </w:rPr>
        <w:t>P</w:t>
      </w:r>
      <w:r w:rsidRPr="008638B1">
        <w:rPr>
          <w:rFonts w:ascii="Arial" w:eastAsia="Calibri" w:hAnsi="Arial" w:cs="Arial"/>
          <w:sz w:val="20"/>
          <w:szCs w:val="20"/>
        </w:rPr>
        <w:t xml:space="preserve"> is greater than 20 the climate is defined as humid. The Pinna classification is given in Table 3</w:t>
      </w:r>
      <w:r w:rsidR="00E82DC2" w:rsidRPr="008638B1">
        <w:rPr>
          <w:rFonts w:ascii="Arial" w:eastAsia="Calibri" w:hAnsi="Arial" w:cs="Arial"/>
          <w:sz w:val="20"/>
          <w:szCs w:val="20"/>
        </w:rPr>
        <w:t xml:space="preserve">. </w:t>
      </w:r>
    </w:p>
    <w:p w14:paraId="6F1103D8" w14:textId="017B9AE2" w:rsidR="00F77465" w:rsidRPr="008F786C" w:rsidRDefault="00F77465" w:rsidP="009D28B7">
      <w:pPr>
        <w:autoSpaceDE w:val="0"/>
        <w:autoSpaceDN w:val="0"/>
        <w:adjustRightInd w:val="0"/>
        <w:spacing w:before="240"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3: Pinna climate classification</w:t>
      </w:r>
    </w:p>
    <w:tbl>
      <w:tblPr>
        <w:tblW w:w="3067" w:type="pct"/>
        <w:tblInd w:w="1998" w:type="dxa"/>
        <w:tblBorders>
          <w:top w:val="single" w:sz="4" w:space="0" w:color="auto"/>
          <w:bottom w:val="single" w:sz="4" w:space="0" w:color="auto"/>
        </w:tblBorders>
        <w:tblLook w:val="04A0" w:firstRow="1" w:lastRow="0" w:firstColumn="1" w:lastColumn="0" w:noHBand="0" w:noVBand="1"/>
      </w:tblPr>
      <w:tblGrid>
        <w:gridCol w:w="2561"/>
        <w:gridCol w:w="2976"/>
      </w:tblGrid>
      <w:tr w:rsidR="009F4CD0" w:rsidRPr="008638B1" w14:paraId="7F64FDD2" w14:textId="77777777" w:rsidTr="00E82DC2">
        <w:trPr>
          <w:trHeight w:val="665"/>
        </w:trPr>
        <w:tc>
          <w:tcPr>
            <w:tcW w:w="2313" w:type="pct"/>
            <w:tcBorders>
              <w:top w:val="single" w:sz="4" w:space="0" w:color="auto"/>
              <w:bottom w:val="single" w:sz="4" w:space="0" w:color="auto"/>
            </w:tcBorders>
          </w:tcPr>
          <w:p w14:paraId="7ACD5C58" w14:textId="77777777" w:rsidR="00F77465" w:rsidRPr="008638B1" w:rsidRDefault="00F77465" w:rsidP="009D28B7">
            <w:pPr>
              <w:spacing w:line="360" w:lineRule="auto"/>
              <w:rPr>
                <w:rFonts w:ascii="Arial" w:eastAsia="Calibri" w:hAnsi="Arial" w:cs="Arial"/>
                <w:b/>
                <w:sz w:val="20"/>
                <w:szCs w:val="20"/>
                <w:vertAlign w:val="subscript"/>
              </w:rPr>
            </w:pPr>
            <w:r w:rsidRPr="008638B1">
              <w:rPr>
                <w:rFonts w:ascii="Arial" w:eastAsia="Calibri" w:hAnsi="Arial" w:cs="Arial"/>
                <w:b/>
                <w:sz w:val="20"/>
                <w:szCs w:val="20"/>
              </w:rPr>
              <w:t>Aridity index I</w:t>
            </w:r>
            <w:r w:rsidRPr="008638B1">
              <w:rPr>
                <w:rFonts w:ascii="Arial" w:eastAsia="Calibri" w:hAnsi="Arial" w:cs="Arial"/>
                <w:b/>
                <w:sz w:val="20"/>
                <w:szCs w:val="20"/>
                <w:vertAlign w:val="subscript"/>
              </w:rPr>
              <w:t>P</w:t>
            </w:r>
          </w:p>
        </w:tc>
        <w:tc>
          <w:tcPr>
            <w:tcW w:w="2687" w:type="pct"/>
            <w:tcBorders>
              <w:top w:val="single" w:sz="4" w:space="0" w:color="auto"/>
              <w:bottom w:val="single" w:sz="4" w:space="0" w:color="auto"/>
            </w:tcBorders>
          </w:tcPr>
          <w:p w14:paraId="335C84F2" w14:textId="77777777" w:rsidR="00F77465" w:rsidRPr="008638B1" w:rsidRDefault="00F77465" w:rsidP="009D28B7">
            <w:pPr>
              <w:spacing w:line="360" w:lineRule="auto"/>
              <w:rPr>
                <w:rFonts w:ascii="Arial" w:eastAsia="Calibri" w:hAnsi="Arial" w:cs="Arial"/>
                <w:b/>
                <w:sz w:val="20"/>
                <w:szCs w:val="20"/>
              </w:rPr>
            </w:pPr>
            <w:r w:rsidRPr="008638B1">
              <w:rPr>
                <w:rFonts w:ascii="Arial" w:eastAsia="Calibri" w:hAnsi="Arial" w:cs="Arial"/>
                <w:b/>
                <w:sz w:val="20"/>
                <w:szCs w:val="20"/>
              </w:rPr>
              <w:t>Climate type</w:t>
            </w:r>
          </w:p>
        </w:tc>
      </w:tr>
      <w:tr w:rsidR="009F4CD0" w:rsidRPr="008638B1" w14:paraId="09CD0670" w14:textId="77777777" w:rsidTr="00E82DC2">
        <w:trPr>
          <w:trHeight w:val="332"/>
        </w:trPr>
        <w:tc>
          <w:tcPr>
            <w:tcW w:w="2313" w:type="pct"/>
            <w:tcBorders>
              <w:top w:val="single" w:sz="4" w:space="0" w:color="auto"/>
            </w:tcBorders>
          </w:tcPr>
          <w:p w14:paraId="606A4D2F"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 xml:space="preserve">                I</w:t>
            </w:r>
            <w:r w:rsidRPr="008638B1">
              <w:rPr>
                <w:rFonts w:ascii="Arial" w:eastAsia="Calibri" w:hAnsi="Arial" w:cs="Arial"/>
                <w:sz w:val="20"/>
                <w:szCs w:val="20"/>
                <w:vertAlign w:val="subscript"/>
              </w:rPr>
              <w:t xml:space="preserve">P </w:t>
            </w:r>
            <w:r w:rsidRPr="008638B1">
              <w:rPr>
                <w:rFonts w:ascii="Arial" w:eastAsia="Calibri" w:hAnsi="Arial" w:cs="Arial"/>
                <w:sz w:val="20"/>
                <w:szCs w:val="20"/>
              </w:rPr>
              <w:t>&lt;</w:t>
            </w:r>
            <w:r w:rsidRPr="008638B1">
              <w:rPr>
                <w:rFonts w:ascii="Arial" w:eastAsia="Calibri" w:hAnsi="Arial" w:cs="Arial"/>
                <w:sz w:val="20"/>
                <w:szCs w:val="20"/>
                <w:vertAlign w:val="subscript"/>
              </w:rPr>
              <w:t xml:space="preserve"> 10</w:t>
            </w:r>
          </w:p>
        </w:tc>
        <w:tc>
          <w:tcPr>
            <w:tcW w:w="2687" w:type="pct"/>
            <w:tcBorders>
              <w:top w:val="single" w:sz="4" w:space="0" w:color="auto"/>
            </w:tcBorders>
          </w:tcPr>
          <w:p w14:paraId="691FF37E"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Arid</w:t>
            </w:r>
          </w:p>
        </w:tc>
      </w:tr>
      <w:tr w:rsidR="009F4CD0" w:rsidRPr="008638B1" w14:paraId="5CD3EB02" w14:textId="77777777" w:rsidTr="00E82DC2">
        <w:trPr>
          <w:trHeight w:val="323"/>
        </w:trPr>
        <w:tc>
          <w:tcPr>
            <w:tcW w:w="2313" w:type="pct"/>
          </w:tcPr>
          <w:p w14:paraId="197CAC1D"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 xml:space="preserve">               10 </w:t>
            </w:r>
            <w:r w:rsidRPr="008638B1">
              <w:rPr>
                <w:rFonts w:ascii="Arial" w:eastAsia="Times New Roman" w:hAnsi="Arial" w:cs="Arial"/>
                <w:sz w:val="20"/>
                <w:szCs w:val="20"/>
              </w:rPr>
              <w:t xml:space="preserve">≤ </w:t>
            </w:r>
            <w:r w:rsidRPr="008638B1">
              <w:rPr>
                <w:rFonts w:ascii="Arial" w:eastAsia="Calibri" w:hAnsi="Arial" w:cs="Arial"/>
                <w:sz w:val="20"/>
                <w:szCs w:val="20"/>
              </w:rPr>
              <w:t>I</w:t>
            </w:r>
            <w:r w:rsidRPr="008638B1">
              <w:rPr>
                <w:rFonts w:ascii="Arial" w:eastAsia="Calibri" w:hAnsi="Arial" w:cs="Arial"/>
                <w:sz w:val="20"/>
                <w:szCs w:val="20"/>
                <w:vertAlign w:val="subscript"/>
              </w:rPr>
              <w:t xml:space="preserve">P </w:t>
            </w:r>
            <w:r w:rsidRPr="008638B1">
              <w:rPr>
                <w:rFonts w:ascii="Arial" w:eastAsia="Calibri" w:hAnsi="Arial" w:cs="Arial"/>
                <w:sz w:val="20"/>
                <w:szCs w:val="20"/>
              </w:rPr>
              <w:t>&lt; 20</w:t>
            </w:r>
          </w:p>
        </w:tc>
        <w:tc>
          <w:tcPr>
            <w:tcW w:w="2687" w:type="pct"/>
          </w:tcPr>
          <w:p w14:paraId="5EE39B91"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Semi-Arid</w:t>
            </w:r>
          </w:p>
        </w:tc>
      </w:tr>
      <w:tr w:rsidR="00F77465" w:rsidRPr="008638B1" w14:paraId="2FAB2175" w14:textId="77777777" w:rsidTr="00E82DC2">
        <w:trPr>
          <w:trHeight w:val="278"/>
        </w:trPr>
        <w:tc>
          <w:tcPr>
            <w:tcW w:w="2313" w:type="pct"/>
          </w:tcPr>
          <w:p w14:paraId="48EB83B1"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 xml:space="preserve">                   I</w:t>
            </w:r>
            <w:r w:rsidRPr="008638B1">
              <w:rPr>
                <w:rFonts w:ascii="Arial" w:eastAsia="Calibri" w:hAnsi="Arial" w:cs="Arial"/>
                <w:sz w:val="20"/>
                <w:szCs w:val="20"/>
                <w:vertAlign w:val="subscript"/>
              </w:rPr>
              <w:t xml:space="preserve">P </w:t>
            </w:r>
            <w:r w:rsidRPr="008638B1">
              <w:rPr>
                <w:rFonts w:ascii="Arial" w:eastAsia="Calibri" w:hAnsi="Arial" w:cs="Arial"/>
                <w:sz w:val="20"/>
                <w:szCs w:val="20"/>
              </w:rPr>
              <w:t>&gt; 20</w:t>
            </w:r>
          </w:p>
        </w:tc>
        <w:tc>
          <w:tcPr>
            <w:tcW w:w="2687" w:type="pct"/>
          </w:tcPr>
          <w:p w14:paraId="0E280096"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Humid</w:t>
            </w:r>
          </w:p>
        </w:tc>
      </w:tr>
    </w:tbl>
    <w:p w14:paraId="4B708024" w14:textId="51B112C0" w:rsidR="004E63BF" w:rsidRPr="008638B1" w:rsidRDefault="004E63BF" w:rsidP="009D28B7">
      <w:pPr>
        <w:tabs>
          <w:tab w:val="left" w:pos="5580"/>
        </w:tabs>
        <w:spacing w:line="360" w:lineRule="auto"/>
        <w:jc w:val="both"/>
        <w:rPr>
          <w:rFonts w:ascii="Arial" w:eastAsia="Times New Roman" w:hAnsi="Arial" w:cs="Arial"/>
          <w:b/>
          <w:sz w:val="20"/>
          <w:szCs w:val="20"/>
        </w:rPr>
      </w:pPr>
    </w:p>
    <w:p w14:paraId="0CCD71AD" w14:textId="77777777" w:rsidR="00253875" w:rsidRPr="008638B1" w:rsidRDefault="00253875" w:rsidP="00253875">
      <w:pPr>
        <w:numPr>
          <w:ilvl w:val="0"/>
          <w:numId w:val="3"/>
        </w:numPr>
        <w:spacing w:line="360" w:lineRule="auto"/>
        <w:ind w:left="284" w:hanging="284"/>
        <w:contextualSpacing/>
        <w:rPr>
          <w:rFonts w:ascii="Arial" w:eastAsia="Calibri" w:hAnsi="Arial" w:cs="Arial"/>
          <w:b/>
        </w:rPr>
      </w:pPr>
      <w:r w:rsidRPr="008638B1">
        <w:rPr>
          <w:rFonts w:ascii="Arial" w:eastAsia="Calibri" w:hAnsi="Arial" w:cs="Arial"/>
          <w:b/>
        </w:rPr>
        <w:t>RESULTS AND DISCUSSION</w:t>
      </w:r>
    </w:p>
    <w:p w14:paraId="0F309729" w14:textId="77777777" w:rsidR="00CE5CCE" w:rsidRPr="008638B1" w:rsidRDefault="00CE5CCE" w:rsidP="00CE5CCE">
      <w:pPr>
        <w:spacing w:line="360" w:lineRule="auto"/>
        <w:ind w:left="284"/>
        <w:contextualSpacing/>
        <w:rPr>
          <w:rFonts w:ascii="Arial" w:eastAsia="Calibri" w:hAnsi="Arial" w:cs="Arial"/>
          <w:b/>
        </w:rPr>
      </w:pPr>
    </w:p>
    <w:p w14:paraId="408EB20B" w14:textId="77777777" w:rsidR="00253875" w:rsidRPr="008638B1" w:rsidRDefault="00253875" w:rsidP="00253875">
      <w:pPr>
        <w:spacing w:after="240" w:line="360" w:lineRule="auto"/>
        <w:ind w:left="360" w:hanging="360"/>
        <w:rPr>
          <w:rFonts w:ascii="Arial" w:eastAsia="Calibri" w:hAnsi="Arial" w:cs="Arial"/>
          <w:b/>
          <w:sz w:val="20"/>
          <w:szCs w:val="20"/>
        </w:rPr>
      </w:pPr>
      <w:r w:rsidRPr="008638B1">
        <w:rPr>
          <w:rFonts w:ascii="Arial" w:eastAsia="Calibri" w:hAnsi="Arial" w:cs="Arial"/>
          <w:b/>
          <w:sz w:val="20"/>
          <w:szCs w:val="20"/>
        </w:rPr>
        <w:t>4.1 Rainfall Variation in Mahi Basin</w:t>
      </w:r>
    </w:p>
    <w:p w14:paraId="3D5132AD"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bCs/>
          <w:sz w:val="20"/>
          <w:szCs w:val="20"/>
        </w:rPr>
        <w:t>Rainfall in the Mahi River Basin varies significantly across regions and seasons. The basin receives an average annual rainfall of around 785 mm, predominantly during the southwest monsoon (June to September). Spatial variation is notable, with higher rainfall in the southern parts near the river’s origin and decreasing amounts as the river flows northward into drier regions of Rajasthan.</w:t>
      </w:r>
    </w:p>
    <w:p w14:paraId="6F11F927"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4.1.1 Rainfall distribution during baseline period (1961-90)</w:t>
      </w:r>
    </w:p>
    <w:p w14:paraId="1F9032FF"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 xml:space="preserve">The average annual rainfall has been computed based on the five grids falling in and around the basin. The average annual rainfall during the baseline period varies between 478.2 mm during 1964 to 1602.0 mm during 1973. </w:t>
      </w:r>
      <w:r w:rsidRPr="007B5FA3">
        <w:rPr>
          <w:rFonts w:ascii="Arial" w:eastAsia="Calibri" w:hAnsi="Arial" w:cs="Arial"/>
          <w:sz w:val="20"/>
          <w:szCs w:val="20"/>
          <w:highlight w:val="yellow"/>
        </w:rPr>
        <w:t>The mean rainfall during the baseline period is 866.9 mm. The temporal variation of the annual rainfall is given in Figure 2. It can be observed that the variability of the annual rainfall is very high. The coefficient of variability is 0.30 and this might be one of the reasons for the water stress being faced in the basin.</w:t>
      </w:r>
    </w:p>
    <w:p w14:paraId="7A0134C7"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296F106E" wp14:editId="24D605A8">
            <wp:extent cx="5322626" cy="2304415"/>
            <wp:effectExtent l="0" t="0" r="1143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52B5D3"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Figure 2: Temporal variation of annual rainfall in Mahi basin during the baseline period</w:t>
      </w:r>
    </w:p>
    <w:p w14:paraId="4F16191F"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Figure 3 illustrates the spatial distribution of average rainfall across the Mahi River Basin during the baseline period. Rainfall in the basin ranges between 600 mm and 1000 mm annually. In the western parts of Udaipur district, average rainfall falls between 600–700 mm and 700–800 mm. The </w:t>
      </w:r>
      <w:proofErr w:type="spellStart"/>
      <w:r w:rsidRPr="008638B1">
        <w:rPr>
          <w:rFonts w:ascii="Arial" w:eastAsia="Calibri" w:hAnsi="Arial" w:cs="Arial"/>
          <w:sz w:val="20"/>
          <w:szCs w:val="20"/>
        </w:rPr>
        <w:t>northwestern</w:t>
      </w:r>
      <w:proofErr w:type="spellEnd"/>
      <w:r w:rsidRPr="008638B1">
        <w:rPr>
          <w:rFonts w:ascii="Arial" w:eastAsia="Calibri" w:hAnsi="Arial" w:cs="Arial"/>
          <w:sz w:val="20"/>
          <w:szCs w:val="20"/>
        </w:rPr>
        <w:t xml:space="preserve"> areas, covering parts of Dungarpur,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Pratapgarh</w:t>
      </w:r>
      <w:proofErr w:type="spellEnd"/>
      <w:r w:rsidRPr="008638B1">
        <w:rPr>
          <w:rFonts w:ascii="Arial" w:eastAsia="Calibri" w:hAnsi="Arial" w:cs="Arial"/>
          <w:sz w:val="20"/>
          <w:szCs w:val="20"/>
        </w:rPr>
        <w:t xml:space="preserve"> districts, receive between 800–900 mm. Similarly, the western regions encompassing parts of </w:t>
      </w:r>
      <w:proofErr w:type="spellStart"/>
      <w:r w:rsidRPr="008638B1">
        <w:rPr>
          <w:rFonts w:ascii="Arial" w:eastAsia="Calibri" w:hAnsi="Arial" w:cs="Arial"/>
          <w:sz w:val="20"/>
          <w:szCs w:val="20"/>
        </w:rPr>
        <w:t>Jhabua</w:t>
      </w:r>
      <w:proofErr w:type="spellEnd"/>
      <w:r w:rsidRPr="008638B1">
        <w:rPr>
          <w:rFonts w:ascii="Arial" w:eastAsia="Calibri" w:hAnsi="Arial" w:cs="Arial"/>
          <w:sz w:val="20"/>
          <w:szCs w:val="20"/>
        </w:rPr>
        <w:t xml:space="preserve">, Dhar, and </w:t>
      </w:r>
      <w:proofErr w:type="spellStart"/>
      <w:r w:rsidRPr="008638B1">
        <w:rPr>
          <w:rFonts w:ascii="Arial" w:eastAsia="Calibri" w:hAnsi="Arial" w:cs="Arial"/>
          <w:sz w:val="20"/>
          <w:szCs w:val="20"/>
        </w:rPr>
        <w:t>Dahod</w:t>
      </w:r>
      <w:proofErr w:type="spellEnd"/>
      <w:r w:rsidRPr="008638B1">
        <w:rPr>
          <w:rFonts w:ascii="Arial" w:eastAsia="Calibri" w:hAnsi="Arial" w:cs="Arial"/>
          <w:sz w:val="20"/>
          <w:szCs w:val="20"/>
        </w:rPr>
        <w:t xml:space="preserve"> districts also fall within this range. The central and coastal parts of the basin receive the highest rainfall, ranging from 900 mm to 1000 mm.</w:t>
      </w:r>
    </w:p>
    <w:p w14:paraId="1DCEA051" w14:textId="77777777" w:rsidR="00253875" w:rsidRPr="008638B1" w:rsidRDefault="00253875" w:rsidP="00253875">
      <w:pPr>
        <w:spacing w:line="360" w:lineRule="auto"/>
        <w:jc w:val="center"/>
        <w:rPr>
          <w:rFonts w:ascii="Arial" w:eastAsia="Calibri" w:hAnsi="Arial" w:cs="Arial"/>
          <w:b/>
          <w:bCs/>
          <w:sz w:val="20"/>
          <w:szCs w:val="20"/>
        </w:rPr>
      </w:pPr>
      <w:r w:rsidRPr="008638B1">
        <w:rPr>
          <w:rFonts w:ascii="Arial" w:eastAsia="Calibri" w:hAnsi="Arial" w:cs="Arial"/>
          <w:noProof/>
          <w:sz w:val="20"/>
          <w:szCs w:val="20"/>
          <w:lang w:val="en-US"/>
        </w:rPr>
        <w:drawing>
          <wp:inline distT="0" distB="0" distL="0" distR="0" wp14:anchorId="41A3D2A0" wp14:editId="44D420BD">
            <wp:extent cx="4578824" cy="3151832"/>
            <wp:effectExtent l="0" t="0" r="0" b="0"/>
            <wp:docPr id="4" name="Picture 4" descr="C:\Users\user\Desktop\thesis work\spatial map\thronthwaite\RAINFALL\RAIN(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thronthwaite\RAINFALL\RAIN(1961-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6196" cy="3163790"/>
                    </a:xfrm>
                    <a:prstGeom prst="rect">
                      <a:avLst/>
                    </a:prstGeom>
                    <a:ln>
                      <a:noFill/>
                    </a:ln>
                    <a:effectLst>
                      <a:softEdge rad="112500"/>
                    </a:effectLst>
                  </pic:spPr>
                </pic:pic>
              </a:graphicData>
            </a:graphic>
          </wp:inline>
        </w:drawing>
      </w:r>
    </w:p>
    <w:p w14:paraId="1AE9060A"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3: Rainfall distribution during baseline period</w:t>
      </w:r>
    </w:p>
    <w:p w14:paraId="78997376"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area under the various rainfall classes during baseline period is given in Table 4 and it can be observed that about 66% of the area receives rainfall in the range of 900 mm to 1000 mm. It will be interesting to study how the average rainfall is varying spatially and temporally during the present period </w:t>
      </w:r>
      <w:r w:rsidRPr="008638B1">
        <w:rPr>
          <w:rFonts w:ascii="Arial" w:eastAsia="Calibri" w:hAnsi="Arial" w:cs="Arial"/>
          <w:sz w:val="20"/>
          <w:szCs w:val="20"/>
        </w:rPr>
        <w:lastRenderedPageBreak/>
        <w:t>as well as during the future time period. The average annual rainfall during the present period varies between 446.3 mm during 2000 to 1327.4 mm during 1994. The mean rainfall during the present period is 772.1 mm which is about 11% less than the baseline period.</w:t>
      </w:r>
    </w:p>
    <w:p w14:paraId="31EF8129"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Table 4: Area under various rainfall classes during baseline period</w:t>
      </w:r>
    </w:p>
    <w:tbl>
      <w:tblPr>
        <w:tblpPr w:leftFromText="180" w:rightFromText="180" w:vertAnchor="text" w:tblpXSpec="center" w:tblpY="1"/>
        <w:tblOverlap w:val="never"/>
        <w:tblW w:w="6091" w:type="dxa"/>
        <w:tblBorders>
          <w:top w:val="single" w:sz="4" w:space="0" w:color="auto"/>
          <w:bottom w:val="single" w:sz="4" w:space="0" w:color="auto"/>
        </w:tblBorders>
        <w:tblLook w:val="04A0" w:firstRow="1" w:lastRow="0" w:firstColumn="1" w:lastColumn="0" w:noHBand="0" w:noVBand="1"/>
      </w:tblPr>
      <w:tblGrid>
        <w:gridCol w:w="846"/>
        <w:gridCol w:w="2268"/>
        <w:gridCol w:w="2977"/>
      </w:tblGrid>
      <w:tr w:rsidR="00B64262" w:rsidRPr="008638B1" w14:paraId="10DDC436" w14:textId="77777777" w:rsidTr="006E4489">
        <w:trPr>
          <w:trHeight w:val="164"/>
        </w:trPr>
        <w:tc>
          <w:tcPr>
            <w:tcW w:w="846" w:type="dxa"/>
            <w:tcBorders>
              <w:top w:val="single" w:sz="4" w:space="0" w:color="auto"/>
              <w:bottom w:val="single" w:sz="4" w:space="0" w:color="auto"/>
            </w:tcBorders>
            <w:shd w:val="clear" w:color="auto" w:fill="auto"/>
            <w:noWrap/>
            <w:vAlign w:val="center"/>
            <w:hideMark/>
          </w:tcPr>
          <w:p w14:paraId="4C3ACF25"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S. No.</w:t>
            </w:r>
          </w:p>
        </w:tc>
        <w:tc>
          <w:tcPr>
            <w:tcW w:w="2268" w:type="dxa"/>
            <w:tcBorders>
              <w:top w:val="single" w:sz="4" w:space="0" w:color="auto"/>
              <w:bottom w:val="single" w:sz="4" w:space="0" w:color="auto"/>
            </w:tcBorders>
            <w:shd w:val="clear" w:color="auto" w:fill="auto"/>
            <w:noWrap/>
            <w:vAlign w:val="center"/>
            <w:hideMark/>
          </w:tcPr>
          <w:p w14:paraId="0729A2B3"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Rainfall (1961-90)</w:t>
            </w:r>
          </w:p>
        </w:tc>
        <w:tc>
          <w:tcPr>
            <w:tcW w:w="2977" w:type="dxa"/>
            <w:tcBorders>
              <w:top w:val="single" w:sz="4" w:space="0" w:color="auto"/>
              <w:bottom w:val="single" w:sz="4" w:space="0" w:color="auto"/>
            </w:tcBorders>
            <w:shd w:val="clear" w:color="auto" w:fill="auto"/>
            <w:noWrap/>
            <w:vAlign w:val="center"/>
            <w:hideMark/>
          </w:tcPr>
          <w:p w14:paraId="635361DA"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Area (%)</w:t>
            </w:r>
          </w:p>
        </w:tc>
      </w:tr>
      <w:tr w:rsidR="00B64262" w:rsidRPr="008638B1" w14:paraId="7C49BCBE" w14:textId="77777777" w:rsidTr="006E4489">
        <w:trPr>
          <w:trHeight w:val="164"/>
        </w:trPr>
        <w:tc>
          <w:tcPr>
            <w:tcW w:w="846" w:type="dxa"/>
            <w:tcBorders>
              <w:top w:val="single" w:sz="4" w:space="0" w:color="auto"/>
            </w:tcBorders>
            <w:shd w:val="clear" w:color="auto" w:fill="auto"/>
            <w:noWrap/>
            <w:vAlign w:val="center"/>
            <w:hideMark/>
          </w:tcPr>
          <w:p w14:paraId="26BD0131"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1</w:t>
            </w:r>
          </w:p>
        </w:tc>
        <w:tc>
          <w:tcPr>
            <w:tcW w:w="2268" w:type="dxa"/>
            <w:tcBorders>
              <w:top w:val="single" w:sz="4" w:space="0" w:color="auto"/>
            </w:tcBorders>
            <w:shd w:val="clear" w:color="auto" w:fill="auto"/>
            <w:noWrap/>
            <w:vAlign w:val="center"/>
            <w:hideMark/>
          </w:tcPr>
          <w:p w14:paraId="3BE389C5"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600-700 mm</w:t>
            </w:r>
          </w:p>
        </w:tc>
        <w:tc>
          <w:tcPr>
            <w:tcW w:w="2977" w:type="dxa"/>
            <w:tcBorders>
              <w:top w:val="single" w:sz="4" w:space="0" w:color="auto"/>
            </w:tcBorders>
            <w:shd w:val="clear" w:color="auto" w:fill="auto"/>
            <w:noWrap/>
            <w:vAlign w:val="center"/>
            <w:hideMark/>
          </w:tcPr>
          <w:p w14:paraId="232923A9"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1.53</w:t>
            </w:r>
          </w:p>
        </w:tc>
      </w:tr>
      <w:tr w:rsidR="00B64262" w:rsidRPr="008638B1" w14:paraId="6226D643" w14:textId="77777777" w:rsidTr="006E4489">
        <w:trPr>
          <w:trHeight w:val="164"/>
        </w:trPr>
        <w:tc>
          <w:tcPr>
            <w:tcW w:w="846" w:type="dxa"/>
            <w:shd w:val="clear" w:color="auto" w:fill="auto"/>
            <w:noWrap/>
            <w:vAlign w:val="center"/>
            <w:hideMark/>
          </w:tcPr>
          <w:p w14:paraId="33DAC7A0"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2</w:t>
            </w:r>
          </w:p>
        </w:tc>
        <w:tc>
          <w:tcPr>
            <w:tcW w:w="2268" w:type="dxa"/>
            <w:shd w:val="clear" w:color="auto" w:fill="auto"/>
            <w:noWrap/>
            <w:vAlign w:val="center"/>
            <w:hideMark/>
          </w:tcPr>
          <w:p w14:paraId="6B290FAD"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700-800 mm</w:t>
            </w:r>
          </w:p>
        </w:tc>
        <w:tc>
          <w:tcPr>
            <w:tcW w:w="2977" w:type="dxa"/>
            <w:shd w:val="clear" w:color="auto" w:fill="auto"/>
            <w:noWrap/>
            <w:vAlign w:val="center"/>
            <w:hideMark/>
          </w:tcPr>
          <w:p w14:paraId="214B55C9"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6.81</w:t>
            </w:r>
          </w:p>
        </w:tc>
      </w:tr>
      <w:tr w:rsidR="00B64262" w:rsidRPr="008638B1" w14:paraId="6F0B4D98" w14:textId="77777777" w:rsidTr="006E4489">
        <w:trPr>
          <w:trHeight w:val="164"/>
        </w:trPr>
        <w:tc>
          <w:tcPr>
            <w:tcW w:w="846" w:type="dxa"/>
            <w:shd w:val="clear" w:color="auto" w:fill="auto"/>
            <w:noWrap/>
            <w:vAlign w:val="center"/>
            <w:hideMark/>
          </w:tcPr>
          <w:p w14:paraId="06F6A4CE"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3</w:t>
            </w:r>
          </w:p>
        </w:tc>
        <w:tc>
          <w:tcPr>
            <w:tcW w:w="2268" w:type="dxa"/>
            <w:shd w:val="clear" w:color="auto" w:fill="auto"/>
            <w:noWrap/>
            <w:vAlign w:val="center"/>
            <w:hideMark/>
          </w:tcPr>
          <w:p w14:paraId="3F1D2BDB"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800-900 mm</w:t>
            </w:r>
          </w:p>
        </w:tc>
        <w:tc>
          <w:tcPr>
            <w:tcW w:w="2977" w:type="dxa"/>
            <w:shd w:val="clear" w:color="auto" w:fill="auto"/>
            <w:noWrap/>
            <w:vAlign w:val="center"/>
            <w:hideMark/>
          </w:tcPr>
          <w:p w14:paraId="5D28532A"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25.98</w:t>
            </w:r>
          </w:p>
        </w:tc>
      </w:tr>
      <w:tr w:rsidR="00B64262" w:rsidRPr="008638B1" w14:paraId="1CE92546" w14:textId="77777777" w:rsidTr="006E4489">
        <w:trPr>
          <w:trHeight w:val="43"/>
        </w:trPr>
        <w:tc>
          <w:tcPr>
            <w:tcW w:w="846" w:type="dxa"/>
            <w:shd w:val="clear" w:color="auto" w:fill="auto"/>
            <w:noWrap/>
            <w:vAlign w:val="center"/>
            <w:hideMark/>
          </w:tcPr>
          <w:p w14:paraId="1FACAA2B"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4</w:t>
            </w:r>
          </w:p>
        </w:tc>
        <w:tc>
          <w:tcPr>
            <w:tcW w:w="2268" w:type="dxa"/>
            <w:shd w:val="clear" w:color="auto" w:fill="auto"/>
            <w:noWrap/>
            <w:vAlign w:val="center"/>
            <w:hideMark/>
          </w:tcPr>
          <w:p w14:paraId="3E090777"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900-1000 mm</w:t>
            </w:r>
          </w:p>
        </w:tc>
        <w:tc>
          <w:tcPr>
            <w:tcW w:w="2977" w:type="dxa"/>
            <w:shd w:val="clear" w:color="auto" w:fill="auto"/>
            <w:noWrap/>
            <w:vAlign w:val="center"/>
            <w:hideMark/>
          </w:tcPr>
          <w:p w14:paraId="7B7043E2"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65.67</w:t>
            </w:r>
          </w:p>
        </w:tc>
      </w:tr>
    </w:tbl>
    <w:p w14:paraId="37479EC2" w14:textId="77777777" w:rsidR="00253875" w:rsidRPr="008638B1" w:rsidRDefault="00253875" w:rsidP="00253875">
      <w:pPr>
        <w:spacing w:line="360" w:lineRule="auto"/>
        <w:rPr>
          <w:rFonts w:ascii="Arial" w:eastAsia="Calibri" w:hAnsi="Arial" w:cs="Arial"/>
          <w:b/>
          <w:sz w:val="20"/>
          <w:szCs w:val="20"/>
        </w:rPr>
      </w:pPr>
    </w:p>
    <w:p w14:paraId="51A25862" w14:textId="77777777" w:rsidR="00253875" w:rsidRPr="008638B1" w:rsidRDefault="00253875" w:rsidP="00253875">
      <w:pPr>
        <w:spacing w:line="360" w:lineRule="auto"/>
        <w:rPr>
          <w:rFonts w:ascii="Arial" w:eastAsia="Calibri" w:hAnsi="Arial" w:cs="Arial"/>
          <w:b/>
          <w:sz w:val="20"/>
          <w:szCs w:val="20"/>
        </w:rPr>
      </w:pPr>
    </w:p>
    <w:p w14:paraId="5C25949F" w14:textId="77777777" w:rsidR="00253875" w:rsidRPr="008638B1" w:rsidRDefault="00253875" w:rsidP="00253875">
      <w:pPr>
        <w:spacing w:after="240" w:line="360" w:lineRule="auto"/>
        <w:rPr>
          <w:rFonts w:ascii="Arial" w:eastAsia="Calibri" w:hAnsi="Arial" w:cs="Arial"/>
          <w:b/>
          <w:sz w:val="20"/>
          <w:szCs w:val="20"/>
        </w:rPr>
      </w:pPr>
    </w:p>
    <w:p w14:paraId="28C37C9E" w14:textId="77777777" w:rsidR="00253875" w:rsidRPr="008638B1" w:rsidRDefault="00253875" w:rsidP="00253875">
      <w:pPr>
        <w:spacing w:after="240" w:line="360" w:lineRule="auto"/>
        <w:rPr>
          <w:rFonts w:ascii="Arial" w:eastAsia="Calibri" w:hAnsi="Arial" w:cs="Arial"/>
          <w:b/>
          <w:sz w:val="20"/>
          <w:szCs w:val="20"/>
        </w:rPr>
      </w:pPr>
    </w:p>
    <w:p w14:paraId="6E907F9B"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4.1.2 Rainfall distribution during present period (1991-2005)</w:t>
      </w:r>
    </w:p>
    <w:p w14:paraId="387C3EB7"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annual rainfall peak during the present period has also decreased by 17% during the present period as compared to the base line period. The temporal variation of the annual rainfall is given in Figure 4. It can be observed that the variability of the annual rainfall is very high. The coefficient of variability is 0.28 during the present period which is again quite high. </w:t>
      </w:r>
    </w:p>
    <w:p w14:paraId="117ED16B" w14:textId="77777777" w:rsidR="00253875" w:rsidRPr="008638B1" w:rsidRDefault="00253875" w:rsidP="00253875">
      <w:pPr>
        <w:spacing w:line="360" w:lineRule="auto"/>
        <w:jc w:val="center"/>
        <w:rPr>
          <w:rFonts w:ascii="Arial" w:eastAsia="Calibri" w:hAnsi="Arial" w:cs="Arial"/>
          <w:b/>
          <w:sz w:val="20"/>
          <w:szCs w:val="20"/>
        </w:rPr>
      </w:pPr>
      <w:r w:rsidRPr="008638B1">
        <w:rPr>
          <w:rFonts w:ascii="Arial" w:eastAsia="Calibri" w:hAnsi="Arial" w:cs="Arial"/>
          <w:noProof/>
          <w:sz w:val="20"/>
          <w:szCs w:val="20"/>
          <w:lang w:val="en-US"/>
        </w:rPr>
        <w:drawing>
          <wp:inline distT="0" distB="0" distL="0" distR="0" wp14:anchorId="18F8B99F" wp14:editId="18F5BCC4">
            <wp:extent cx="5609230" cy="2422477"/>
            <wp:effectExtent l="0" t="0" r="1079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34AEAB"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Figure 4: Temporal variation of annual rainfall in Mahi basin during the present period</w:t>
      </w:r>
    </w:p>
    <w:p w14:paraId="051DA3D3" w14:textId="77777777" w:rsidR="00253875" w:rsidRPr="008638B1" w:rsidRDefault="00253875" w:rsidP="00253875">
      <w:pPr>
        <w:spacing w:after="240" w:line="360" w:lineRule="auto"/>
        <w:ind w:firstLine="720"/>
        <w:jc w:val="both"/>
        <w:rPr>
          <w:rFonts w:ascii="Arial" w:eastAsia="Calibri" w:hAnsi="Arial" w:cs="Arial"/>
          <w:sz w:val="20"/>
          <w:szCs w:val="20"/>
        </w:rPr>
      </w:pPr>
      <w:r w:rsidRPr="008638B1">
        <w:rPr>
          <w:rFonts w:ascii="Arial" w:eastAsia="Calibri" w:hAnsi="Arial" w:cs="Arial"/>
          <w:sz w:val="20"/>
          <w:szCs w:val="20"/>
        </w:rPr>
        <w:t xml:space="preserve">The spatial distribution of average rainfall during the baseline period across the Mahi River Basin is illustrated in Figure 5. Rainfall in the basin ranges from 500 mm to 1000 mm. The central and western parts of Udaipur district receive between 500–600 mm and 600–700 mm, respectively. Districts such as Dungarpur, </w:t>
      </w:r>
      <w:proofErr w:type="spellStart"/>
      <w:r w:rsidRPr="008638B1">
        <w:rPr>
          <w:rFonts w:ascii="Arial" w:eastAsia="Calibri" w:hAnsi="Arial" w:cs="Arial"/>
          <w:sz w:val="20"/>
          <w:szCs w:val="20"/>
        </w:rPr>
        <w:t>Pratapgarh</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in the west, along with </w:t>
      </w:r>
      <w:proofErr w:type="spellStart"/>
      <w:r w:rsidRPr="008638B1">
        <w:rPr>
          <w:rFonts w:ascii="Arial" w:eastAsia="Calibri" w:hAnsi="Arial" w:cs="Arial"/>
          <w:sz w:val="20"/>
          <w:szCs w:val="20"/>
        </w:rPr>
        <w:t>Jhabua</w:t>
      </w:r>
      <w:proofErr w:type="spellEnd"/>
      <w:r w:rsidRPr="008638B1">
        <w:rPr>
          <w:rFonts w:ascii="Arial" w:eastAsia="Calibri" w:hAnsi="Arial" w:cs="Arial"/>
          <w:sz w:val="20"/>
          <w:szCs w:val="20"/>
        </w:rPr>
        <w:t xml:space="preserve"> and Dhar in the east, recorded lower rainfall, ranging from 700–800 mm, compared to the baseline. Similarly, reduced rainfall was observed in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Ratlam</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Mahisagar</w:t>
      </w:r>
      <w:proofErr w:type="spellEnd"/>
      <w:r w:rsidRPr="008638B1">
        <w:rPr>
          <w:rFonts w:ascii="Arial" w:eastAsia="Calibri" w:hAnsi="Arial" w:cs="Arial"/>
          <w:sz w:val="20"/>
          <w:szCs w:val="20"/>
        </w:rPr>
        <w:t xml:space="preserve">, Kheda, and </w:t>
      </w:r>
      <w:proofErr w:type="spellStart"/>
      <w:r w:rsidRPr="008638B1">
        <w:rPr>
          <w:rFonts w:ascii="Arial" w:eastAsia="Calibri" w:hAnsi="Arial" w:cs="Arial"/>
          <w:sz w:val="20"/>
          <w:szCs w:val="20"/>
        </w:rPr>
        <w:t>Dahod</w:t>
      </w:r>
      <w:proofErr w:type="spellEnd"/>
      <w:r w:rsidRPr="008638B1">
        <w:rPr>
          <w:rFonts w:ascii="Arial" w:eastAsia="Calibri" w:hAnsi="Arial" w:cs="Arial"/>
          <w:sz w:val="20"/>
          <w:szCs w:val="20"/>
        </w:rPr>
        <w:t xml:space="preserve"> districts, falling between 800–900 mm. In contrast, no significant changes were noted in the coastal districts of </w:t>
      </w:r>
      <w:proofErr w:type="spellStart"/>
      <w:r w:rsidRPr="008638B1">
        <w:rPr>
          <w:rFonts w:ascii="Arial" w:eastAsia="Calibri" w:hAnsi="Arial" w:cs="Arial"/>
          <w:sz w:val="20"/>
          <w:szCs w:val="20"/>
        </w:rPr>
        <w:t>Panchmahal</w:t>
      </w:r>
      <w:proofErr w:type="spellEnd"/>
      <w:r w:rsidRPr="008638B1">
        <w:rPr>
          <w:rFonts w:ascii="Arial" w:eastAsia="Calibri" w:hAnsi="Arial" w:cs="Arial"/>
          <w:sz w:val="20"/>
          <w:szCs w:val="20"/>
        </w:rPr>
        <w:t xml:space="preserve">, Anand, and Vadodara. However, Bharuch district, located near the coast, experienced a decrease in rainfall within the 800–900 mm range. Overall, most parts of the basin, excluding the lower central zones, experienced </w:t>
      </w:r>
      <w:r w:rsidRPr="008638B1">
        <w:rPr>
          <w:rFonts w:ascii="Arial" w:eastAsia="Calibri" w:hAnsi="Arial" w:cs="Arial"/>
          <w:sz w:val="20"/>
          <w:szCs w:val="20"/>
        </w:rPr>
        <w:lastRenderedPageBreak/>
        <w:t>a decline in rainfall compared to the baseline. The average annual rainfall for the basin declined from 866.9 mm during the baseline period to 772.1 mm in the current period, indicating a substantial reduction of approximately 11%.</w:t>
      </w:r>
    </w:p>
    <w:p w14:paraId="5D2296FD" w14:textId="77777777" w:rsidR="00253875" w:rsidRPr="008638B1" w:rsidRDefault="00253875" w:rsidP="00253875">
      <w:pPr>
        <w:spacing w:line="360" w:lineRule="auto"/>
        <w:jc w:val="center"/>
        <w:rPr>
          <w:rFonts w:ascii="Arial" w:eastAsia="Calibri" w:hAnsi="Arial" w:cs="Arial"/>
          <w:b/>
          <w:sz w:val="20"/>
          <w:szCs w:val="20"/>
        </w:rPr>
      </w:pPr>
      <w:r w:rsidRPr="008638B1">
        <w:rPr>
          <w:rFonts w:ascii="Arial" w:eastAsia="Calibri" w:hAnsi="Arial" w:cs="Arial"/>
          <w:b/>
          <w:noProof/>
          <w:sz w:val="20"/>
          <w:szCs w:val="20"/>
          <w:lang w:val="en-US"/>
        </w:rPr>
        <w:drawing>
          <wp:inline distT="0" distB="0" distL="0" distR="0" wp14:anchorId="265760EE" wp14:editId="37CB6725">
            <wp:extent cx="4729102" cy="3343275"/>
            <wp:effectExtent l="0" t="0" r="0" b="0"/>
            <wp:docPr id="2" name="Picture 2" descr="C:\Users\user\Desktop\thesis work\spatial map\blaney criddle\RAINFALL\RAIN(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blaney criddle\RAINFALL\RAIN(1991-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698" cy="3359957"/>
                    </a:xfrm>
                    <a:prstGeom prst="rect">
                      <a:avLst/>
                    </a:prstGeom>
                    <a:noFill/>
                    <a:ln>
                      <a:noFill/>
                    </a:ln>
                  </pic:spPr>
                </pic:pic>
              </a:graphicData>
            </a:graphic>
          </wp:inline>
        </w:drawing>
      </w:r>
    </w:p>
    <w:p w14:paraId="130750BD"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5: Rainfall distribution during present period (1991-05)</w:t>
      </w:r>
    </w:p>
    <w:p w14:paraId="1AB11A8F" w14:textId="77777777" w:rsidR="00253875" w:rsidRPr="008638B1" w:rsidRDefault="00253875" w:rsidP="000E737B">
      <w:pPr>
        <w:jc w:val="both"/>
        <w:rPr>
          <w:rFonts w:ascii="Arial" w:eastAsia="Calibri" w:hAnsi="Arial" w:cs="Arial"/>
          <w:sz w:val="20"/>
          <w:szCs w:val="20"/>
        </w:rPr>
      </w:pPr>
      <w:r w:rsidRPr="008638B1">
        <w:rPr>
          <w:rFonts w:ascii="Arial" w:eastAsia="Calibri" w:hAnsi="Arial" w:cs="Arial"/>
          <w:sz w:val="20"/>
          <w:szCs w:val="20"/>
        </w:rPr>
        <w:t>Table 5 presents the distribution of area under different rainfall classes for the current period. It is evident that the region receiving 900–1000 mm of rainfall has significantly declined—from 66% during the baseline period to just 18.7% in the present period. Currently, the largest portion of the basin (approximately 44%) falls within the 800–900 mm rainfall range.</w:t>
      </w:r>
    </w:p>
    <w:p w14:paraId="1754A6C2" w14:textId="77777777" w:rsidR="00253875" w:rsidRPr="008F786C" w:rsidRDefault="00253875" w:rsidP="00253875">
      <w:pPr>
        <w:spacing w:after="0" w:line="360" w:lineRule="auto"/>
        <w:jc w:val="center"/>
        <w:rPr>
          <w:rFonts w:ascii="Arial" w:eastAsia="Calibri" w:hAnsi="Arial" w:cs="Arial"/>
          <w:b/>
          <w:bCs/>
          <w:sz w:val="20"/>
          <w:szCs w:val="20"/>
        </w:rPr>
      </w:pPr>
      <w:r w:rsidRPr="008F786C">
        <w:rPr>
          <w:rFonts w:ascii="Arial" w:eastAsia="Calibri" w:hAnsi="Arial" w:cs="Arial"/>
          <w:b/>
          <w:bCs/>
          <w:sz w:val="20"/>
          <w:szCs w:val="20"/>
        </w:rPr>
        <w:t>Table 5: Area under various rainfall classes during present period (1991-05)</w:t>
      </w:r>
    </w:p>
    <w:tbl>
      <w:tblPr>
        <w:tblpPr w:leftFromText="180" w:rightFromText="180" w:vertAnchor="text" w:horzAnchor="margin" w:tblpXSpec="center" w:tblpY="118"/>
        <w:tblW w:w="7787" w:type="dxa"/>
        <w:tblBorders>
          <w:top w:val="single" w:sz="4" w:space="0" w:color="auto"/>
          <w:bottom w:val="single" w:sz="4" w:space="0" w:color="auto"/>
        </w:tblBorders>
        <w:tblLook w:val="04A0" w:firstRow="1" w:lastRow="0" w:firstColumn="1" w:lastColumn="0" w:noHBand="0" w:noVBand="1"/>
      </w:tblPr>
      <w:tblGrid>
        <w:gridCol w:w="1569"/>
        <w:gridCol w:w="4031"/>
        <w:gridCol w:w="2187"/>
      </w:tblGrid>
      <w:tr w:rsidR="00B64262" w:rsidRPr="008638B1" w14:paraId="3DEA92E3" w14:textId="77777777" w:rsidTr="006E4489">
        <w:trPr>
          <w:trHeight w:val="332"/>
        </w:trPr>
        <w:tc>
          <w:tcPr>
            <w:tcW w:w="1569" w:type="dxa"/>
            <w:tcBorders>
              <w:top w:val="single" w:sz="4" w:space="0" w:color="auto"/>
              <w:bottom w:val="single" w:sz="4" w:space="0" w:color="auto"/>
            </w:tcBorders>
            <w:shd w:val="clear" w:color="auto" w:fill="auto"/>
            <w:noWrap/>
            <w:vAlign w:val="center"/>
            <w:hideMark/>
          </w:tcPr>
          <w:p w14:paraId="258E2CE8"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S. No.</w:t>
            </w:r>
          </w:p>
        </w:tc>
        <w:tc>
          <w:tcPr>
            <w:tcW w:w="4031" w:type="dxa"/>
            <w:tcBorders>
              <w:top w:val="single" w:sz="4" w:space="0" w:color="auto"/>
              <w:bottom w:val="single" w:sz="4" w:space="0" w:color="auto"/>
            </w:tcBorders>
            <w:shd w:val="clear" w:color="auto" w:fill="auto"/>
            <w:noWrap/>
            <w:vAlign w:val="center"/>
            <w:hideMark/>
          </w:tcPr>
          <w:p w14:paraId="5A5D7E3F"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Rainfall (1991-05)</w:t>
            </w:r>
          </w:p>
        </w:tc>
        <w:tc>
          <w:tcPr>
            <w:tcW w:w="2187" w:type="dxa"/>
            <w:tcBorders>
              <w:top w:val="single" w:sz="4" w:space="0" w:color="auto"/>
              <w:bottom w:val="single" w:sz="4" w:space="0" w:color="auto"/>
            </w:tcBorders>
            <w:shd w:val="clear" w:color="auto" w:fill="auto"/>
            <w:noWrap/>
            <w:vAlign w:val="center"/>
            <w:hideMark/>
          </w:tcPr>
          <w:p w14:paraId="4FC1190B"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Area (%)</w:t>
            </w:r>
          </w:p>
        </w:tc>
      </w:tr>
      <w:tr w:rsidR="00B64262" w:rsidRPr="008638B1" w14:paraId="7826EBAF" w14:textId="77777777" w:rsidTr="006E4489">
        <w:trPr>
          <w:trHeight w:val="332"/>
        </w:trPr>
        <w:tc>
          <w:tcPr>
            <w:tcW w:w="1569" w:type="dxa"/>
            <w:tcBorders>
              <w:top w:val="single" w:sz="4" w:space="0" w:color="auto"/>
            </w:tcBorders>
            <w:shd w:val="clear" w:color="auto" w:fill="auto"/>
            <w:noWrap/>
            <w:vAlign w:val="center"/>
            <w:hideMark/>
          </w:tcPr>
          <w:p w14:paraId="6B11EAC6"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1</w:t>
            </w:r>
          </w:p>
        </w:tc>
        <w:tc>
          <w:tcPr>
            <w:tcW w:w="4031" w:type="dxa"/>
            <w:tcBorders>
              <w:top w:val="single" w:sz="4" w:space="0" w:color="auto"/>
            </w:tcBorders>
            <w:shd w:val="clear" w:color="auto" w:fill="auto"/>
            <w:noWrap/>
            <w:vAlign w:val="center"/>
            <w:hideMark/>
          </w:tcPr>
          <w:p w14:paraId="2968A5BE"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500-600 mm</w:t>
            </w:r>
          </w:p>
        </w:tc>
        <w:tc>
          <w:tcPr>
            <w:tcW w:w="2187" w:type="dxa"/>
            <w:tcBorders>
              <w:top w:val="single" w:sz="4" w:space="0" w:color="auto"/>
            </w:tcBorders>
            <w:shd w:val="clear" w:color="auto" w:fill="auto"/>
            <w:noWrap/>
            <w:vAlign w:val="center"/>
            <w:hideMark/>
          </w:tcPr>
          <w:p w14:paraId="2EAB2E96"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2.17 </w:t>
            </w:r>
          </w:p>
        </w:tc>
      </w:tr>
      <w:tr w:rsidR="00B64262" w:rsidRPr="008638B1" w14:paraId="31CA4511" w14:textId="77777777" w:rsidTr="006E4489">
        <w:trPr>
          <w:trHeight w:val="332"/>
        </w:trPr>
        <w:tc>
          <w:tcPr>
            <w:tcW w:w="1569" w:type="dxa"/>
            <w:shd w:val="clear" w:color="auto" w:fill="auto"/>
            <w:noWrap/>
            <w:vAlign w:val="center"/>
            <w:hideMark/>
          </w:tcPr>
          <w:p w14:paraId="082C8573"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2</w:t>
            </w:r>
          </w:p>
        </w:tc>
        <w:tc>
          <w:tcPr>
            <w:tcW w:w="4031" w:type="dxa"/>
            <w:shd w:val="clear" w:color="auto" w:fill="auto"/>
            <w:noWrap/>
            <w:vAlign w:val="center"/>
            <w:hideMark/>
          </w:tcPr>
          <w:p w14:paraId="2F083D68"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600-700 mm</w:t>
            </w:r>
          </w:p>
        </w:tc>
        <w:tc>
          <w:tcPr>
            <w:tcW w:w="2187" w:type="dxa"/>
            <w:shd w:val="clear" w:color="auto" w:fill="auto"/>
            <w:noWrap/>
            <w:vAlign w:val="center"/>
            <w:hideMark/>
          </w:tcPr>
          <w:p w14:paraId="6A289432"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7.63 </w:t>
            </w:r>
          </w:p>
        </w:tc>
      </w:tr>
      <w:tr w:rsidR="00B64262" w:rsidRPr="008638B1" w14:paraId="608698B9" w14:textId="77777777" w:rsidTr="006E4489">
        <w:trPr>
          <w:trHeight w:val="332"/>
        </w:trPr>
        <w:tc>
          <w:tcPr>
            <w:tcW w:w="1569" w:type="dxa"/>
            <w:shd w:val="clear" w:color="auto" w:fill="auto"/>
            <w:noWrap/>
            <w:vAlign w:val="center"/>
            <w:hideMark/>
          </w:tcPr>
          <w:p w14:paraId="37C85D2A"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3</w:t>
            </w:r>
          </w:p>
        </w:tc>
        <w:tc>
          <w:tcPr>
            <w:tcW w:w="4031" w:type="dxa"/>
            <w:shd w:val="clear" w:color="auto" w:fill="auto"/>
            <w:noWrap/>
            <w:vAlign w:val="center"/>
            <w:hideMark/>
          </w:tcPr>
          <w:p w14:paraId="1CAAF2BF"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700-800 mm</w:t>
            </w:r>
          </w:p>
        </w:tc>
        <w:tc>
          <w:tcPr>
            <w:tcW w:w="2187" w:type="dxa"/>
            <w:shd w:val="clear" w:color="auto" w:fill="auto"/>
            <w:noWrap/>
            <w:vAlign w:val="center"/>
            <w:hideMark/>
          </w:tcPr>
          <w:p w14:paraId="652F3EBC"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27.41 </w:t>
            </w:r>
          </w:p>
        </w:tc>
      </w:tr>
      <w:tr w:rsidR="00B64262" w:rsidRPr="008638B1" w14:paraId="47FC2243" w14:textId="77777777" w:rsidTr="006E4489">
        <w:trPr>
          <w:trHeight w:val="332"/>
        </w:trPr>
        <w:tc>
          <w:tcPr>
            <w:tcW w:w="1569" w:type="dxa"/>
            <w:shd w:val="clear" w:color="auto" w:fill="auto"/>
            <w:noWrap/>
            <w:vAlign w:val="center"/>
            <w:hideMark/>
          </w:tcPr>
          <w:p w14:paraId="269DD6A9"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4</w:t>
            </w:r>
          </w:p>
        </w:tc>
        <w:tc>
          <w:tcPr>
            <w:tcW w:w="4031" w:type="dxa"/>
            <w:shd w:val="clear" w:color="auto" w:fill="auto"/>
            <w:noWrap/>
            <w:vAlign w:val="center"/>
            <w:hideMark/>
          </w:tcPr>
          <w:p w14:paraId="1040E8FD"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800-900 mm</w:t>
            </w:r>
          </w:p>
        </w:tc>
        <w:tc>
          <w:tcPr>
            <w:tcW w:w="2187" w:type="dxa"/>
            <w:shd w:val="clear" w:color="auto" w:fill="auto"/>
            <w:noWrap/>
            <w:vAlign w:val="center"/>
            <w:hideMark/>
          </w:tcPr>
          <w:p w14:paraId="2536F25A"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44.08 </w:t>
            </w:r>
          </w:p>
        </w:tc>
      </w:tr>
      <w:tr w:rsidR="00B64262" w:rsidRPr="008638B1" w14:paraId="1B083C79" w14:textId="77777777" w:rsidTr="006E4489">
        <w:trPr>
          <w:trHeight w:val="332"/>
        </w:trPr>
        <w:tc>
          <w:tcPr>
            <w:tcW w:w="1569" w:type="dxa"/>
            <w:shd w:val="clear" w:color="auto" w:fill="auto"/>
            <w:noWrap/>
            <w:vAlign w:val="center"/>
            <w:hideMark/>
          </w:tcPr>
          <w:p w14:paraId="2EBB4DB1"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5</w:t>
            </w:r>
          </w:p>
        </w:tc>
        <w:tc>
          <w:tcPr>
            <w:tcW w:w="4031" w:type="dxa"/>
            <w:shd w:val="clear" w:color="auto" w:fill="auto"/>
            <w:noWrap/>
            <w:vAlign w:val="center"/>
            <w:hideMark/>
          </w:tcPr>
          <w:p w14:paraId="62A0419C"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900-1000 mm</w:t>
            </w:r>
          </w:p>
        </w:tc>
        <w:tc>
          <w:tcPr>
            <w:tcW w:w="2187" w:type="dxa"/>
            <w:shd w:val="clear" w:color="auto" w:fill="auto"/>
            <w:noWrap/>
            <w:vAlign w:val="center"/>
            <w:hideMark/>
          </w:tcPr>
          <w:p w14:paraId="3901F45C"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18.67 </w:t>
            </w:r>
          </w:p>
        </w:tc>
      </w:tr>
    </w:tbl>
    <w:p w14:paraId="2604B9A3" w14:textId="77777777" w:rsidR="00253875" w:rsidRPr="008638B1" w:rsidRDefault="00253875" w:rsidP="00253875">
      <w:pPr>
        <w:spacing w:line="360" w:lineRule="auto"/>
        <w:rPr>
          <w:rFonts w:ascii="Arial" w:eastAsia="Calibri" w:hAnsi="Arial" w:cs="Arial"/>
          <w:b/>
          <w:sz w:val="20"/>
          <w:szCs w:val="20"/>
        </w:rPr>
      </w:pPr>
    </w:p>
    <w:p w14:paraId="1E52673A" w14:textId="77777777" w:rsidR="00253875" w:rsidRPr="008638B1" w:rsidRDefault="00253875" w:rsidP="00253875">
      <w:pPr>
        <w:spacing w:line="360" w:lineRule="auto"/>
        <w:rPr>
          <w:rFonts w:ascii="Arial" w:eastAsia="Calibri" w:hAnsi="Arial" w:cs="Arial"/>
          <w:b/>
          <w:sz w:val="20"/>
          <w:szCs w:val="20"/>
        </w:rPr>
      </w:pPr>
    </w:p>
    <w:p w14:paraId="5A4EDAB6" w14:textId="77777777" w:rsidR="00253875" w:rsidRPr="008638B1" w:rsidRDefault="00253875" w:rsidP="00253875">
      <w:pPr>
        <w:spacing w:line="360" w:lineRule="auto"/>
        <w:rPr>
          <w:rFonts w:ascii="Arial" w:eastAsia="Calibri" w:hAnsi="Arial" w:cs="Arial"/>
          <w:b/>
          <w:sz w:val="20"/>
          <w:szCs w:val="20"/>
        </w:rPr>
      </w:pPr>
    </w:p>
    <w:p w14:paraId="1E294C44" w14:textId="77777777" w:rsidR="00253875" w:rsidRPr="008638B1" w:rsidRDefault="00253875" w:rsidP="00253875">
      <w:pPr>
        <w:spacing w:after="240" w:line="360" w:lineRule="auto"/>
        <w:rPr>
          <w:rFonts w:ascii="Arial" w:eastAsia="Calibri" w:hAnsi="Arial" w:cs="Arial"/>
          <w:b/>
          <w:sz w:val="20"/>
          <w:szCs w:val="20"/>
        </w:rPr>
      </w:pPr>
    </w:p>
    <w:p w14:paraId="315F7F81" w14:textId="77777777" w:rsidR="00253875" w:rsidRPr="008638B1" w:rsidRDefault="00253875" w:rsidP="00253875">
      <w:pPr>
        <w:spacing w:after="240" w:line="360" w:lineRule="auto"/>
        <w:rPr>
          <w:rFonts w:ascii="Arial" w:eastAsia="Calibri" w:hAnsi="Arial" w:cs="Arial"/>
          <w:b/>
          <w:sz w:val="20"/>
          <w:szCs w:val="20"/>
        </w:rPr>
      </w:pPr>
    </w:p>
    <w:p w14:paraId="37AB578C"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4.1.3 Rainfall Distribution During the Future Period (2006–2040)</w:t>
      </w:r>
    </w:p>
    <w:p w14:paraId="434A6DFA"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Future climate projections for the Mahi River Basin have been </w:t>
      </w:r>
      <w:proofErr w:type="spellStart"/>
      <w:r w:rsidRPr="008638B1">
        <w:rPr>
          <w:rFonts w:ascii="Arial" w:eastAsia="Calibri" w:hAnsi="Arial" w:cs="Arial"/>
          <w:sz w:val="20"/>
          <w:szCs w:val="20"/>
        </w:rPr>
        <w:t>analyzed</w:t>
      </w:r>
      <w:proofErr w:type="spellEnd"/>
      <w:r w:rsidRPr="008638B1">
        <w:rPr>
          <w:rFonts w:ascii="Arial" w:eastAsia="Calibri" w:hAnsi="Arial" w:cs="Arial"/>
          <w:sz w:val="20"/>
          <w:szCs w:val="20"/>
        </w:rPr>
        <w:t xml:space="preserve"> using CORDEX South Asia data, based on the widely adopted Regional Climate Model (RCM) CCSM4. This analysis assesses expected changes in rainfall and temperature and their impact on aridity within the basin. The projected average annual rainfall for the period 2006–2040 ranges from 220.4 mm to 889.2 mm. The mean annual rainfall is estimated at 479.8 mm—approximately 44% lower than the baseline period. Additionally, the </w:t>
      </w:r>
      <w:r w:rsidRPr="008638B1">
        <w:rPr>
          <w:rFonts w:ascii="Arial" w:eastAsia="Calibri" w:hAnsi="Arial" w:cs="Arial"/>
          <w:sz w:val="20"/>
          <w:szCs w:val="20"/>
        </w:rPr>
        <w:lastRenderedPageBreak/>
        <w:t>peak annual rainfall during this future period is also projected to decline by 44% in comparison to the baseline. Figure 6 illustrates the temporal variation in annual rainfall, revealing considerable fluctuations. The coefficient of variability has increased notably, from 0.28 in the present period to 0.34 for 2006–2040, indicating a significant rise in rainfall variability.</w:t>
      </w:r>
    </w:p>
    <w:p w14:paraId="1969DAAD" w14:textId="77777777" w:rsidR="00253875" w:rsidRPr="008638B1" w:rsidRDefault="00253875" w:rsidP="00253875">
      <w:pPr>
        <w:spacing w:after="240" w:line="360" w:lineRule="auto"/>
        <w:jc w:val="center"/>
        <w:rPr>
          <w:rFonts w:ascii="Arial" w:eastAsia="Calibri" w:hAnsi="Arial" w:cs="Arial"/>
          <w:sz w:val="20"/>
          <w:szCs w:val="20"/>
        </w:rPr>
      </w:pPr>
      <w:r w:rsidRPr="008638B1">
        <w:rPr>
          <w:rFonts w:ascii="Arial" w:eastAsia="Calibri" w:hAnsi="Arial" w:cs="Arial"/>
          <w:noProof/>
          <w:sz w:val="20"/>
          <w:szCs w:val="20"/>
          <w:lang w:val="en-US"/>
        </w:rPr>
        <w:drawing>
          <wp:inline distT="0" distB="0" distL="0" distR="0" wp14:anchorId="6766C235" wp14:editId="6C356B15">
            <wp:extent cx="5547815" cy="2463800"/>
            <wp:effectExtent l="0" t="0" r="1524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F6E3EF"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Figure 6: Temporal variation of annual rainfall in Mahi basin during 2006-2040</w:t>
      </w:r>
    </w:p>
    <w:p w14:paraId="76930D6E" w14:textId="4DE7E082"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spatial distribution of the projected average annual rainfall (Fig. </w:t>
      </w:r>
      <w:r w:rsidR="00C61696" w:rsidRPr="008638B1">
        <w:rPr>
          <w:rFonts w:ascii="Arial" w:eastAsia="Calibri" w:hAnsi="Arial" w:cs="Arial"/>
          <w:sz w:val="20"/>
          <w:szCs w:val="20"/>
        </w:rPr>
        <w:t>7)</w:t>
      </w:r>
      <w:r w:rsidRPr="008638B1">
        <w:rPr>
          <w:rFonts w:ascii="Arial" w:eastAsia="Calibri" w:hAnsi="Arial" w:cs="Arial"/>
          <w:sz w:val="20"/>
          <w:szCs w:val="20"/>
        </w:rPr>
        <w:t xml:space="preserve"> depicts the spatial variation in projected average annual rainfall across the Mahi River Basin for the period 2006 to 2040. Rainfall in the basin is expected to decrease significantly, ranging between 300 mm and 600 mm. Districts such as Udaipur,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Pratapgarh</w:t>
      </w:r>
      <w:proofErr w:type="spellEnd"/>
      <w:r w:rsidRPr="008638B1">
        <w:rPr>
          <w:rFonts w:ascii="Arial" w:eastAsia="Calibri" w:hAnsi="Arial" w:cs="Arial"/>
          <w:sz w:val="20"/>
          <w:szCs w:val="20"/>
        </w:rPr>
        <w:t xml:space="preserve">, Dungarpur, and portions of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Mahisagar</w:t>
      </w:r>
      <w:proofErr w:type="spellEnd"/>
      <w:r w:rsidRPr="008638B1">
        <w:rPr>
          <w:rFonts w:ascii="Arial" w:eastAsia="Calibri" w:hAnsi="Arial" w:cs="Arial"/>
          <w:sz w:val="20"/>
          <w:szCs w:val="20"/>
        </w:rPr>
        <w:t xml:space="preserve"> are likely to receive 400–500 mm of rainfall. The remaining districts—</w:t>
      </w:r>
      <w:proofErr w:type="spellStart"/>
      <w:r w:rsidRPr="008638B1">
        <w:rPr>
          <w:rFonts w:ascii="Arial" w:eastAsia="Calibri" w:hAnsi="Arial" w:cs="Arial"/>
          <w:sz w:val="20"/>
          <w:szCs w:val="20"/>
        </w:rPr>
        <w:t>Ratlam</w:t>
      </w:r>
      <w:proofErr w:type="spellEnd"/>
      <w:r w:rsidRPr="008638B1">
        <w:rPr>
          <w:rFonts w:ascii="Arial" w:eastAsia="Calibri" w:hAnsi="Arial" w:cs="Arial"/>
          <w:sz w:val="20"/>
          <w:szCs w:val="20"/>
        </w:rPr>
        <w:t xml:space="preserve">, Dhar, </w:t>
      </w:r>
      <w:proofErr w:type="spellStart"/>
      <w:r w:rsidRPr="008638B1">
        <w:rPr>
          <w:rFonts w:ascii="Arial" w:eastAsia="Calibri" w:hAnsi="Arial" w:cs="Arial"/>
          <w:sz w:val="20"/>
          <w:szCs w:val="20"/>
        </w:rPr>
        <w:t>Jhabua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Dahod</w:t>
      </w:r>
      <w:proofErr w:type="spellEnd"/>
      <w:r w:rsidRPr="008638B1">
        <w:rPr>
          <w:rFonts w:ascii="Arial" w:eastAsia="Calibri" w:hAnsi="Arial" w:cs="Arial"/>
          <w:sz w:val="20"/>
          <w:szCs w:val="20"/>
        </w:rPr>
        <w:t xml:space="preserve">, Kheda, </w:t>
      </w:r>
      <w:proofErr w:type="spellStart"/>
      <w:r w:rsidRPr="008638B1">
        <w:rPr>
          <w:rFonts w:ascii="Arial" w:eastAsia="Calibri" w:hAnsi="Arial" w:cs="Arial"/>
          <w:sz w:val="20"/>
          <w:szCs w:val="20"/>
        </w:rPr>
        <w:t>Panchmahal</w:t>
      </w:r>
      <w:proofErr w:type="spellEnd"/>
      <w:r w:rsidRPr="008638B1">
        <w:rPr>
          <w:rFonts w:ascii="Arial" w:eastAsia="Calibri" w:hAnsi="Arial" w:cs="Arial"/>
          <w:sz w:val="20"/>
          <w:szCs w:val="20"/>
        </w:rPr>
        <w:t>, Anand, Vadodara, and Bharuch—are projected to receive slightly higher rainfall, ranging from 500–600 mm annually.</w:t>
      </w:r>
    </w:p>
    <w:p w14:paraId="02772B5A"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drawing>
          <wp:inline distT="0" distB="0" distL="0" distR="0" wp14:anchorId="5859E549" wp14:editId="46BB44E7">
            <wp:extent cx="4324350" cy="3057133"/>
            <wp:effectExtent l="0" t="0" r="0" b="0"/>
            <wp:docPr id="11" name="Picture 11" descr="C:\Users\user\Desktop\thesis work\spatial map\blaney criddle\RAINFALL\RAIN(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sis work\spatial map\blaney criddle\RAINFALL\RAIN(2006-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7895" cy="3059639"/>
                    </a:xfrm>
                    <a:prstGeom prst="rect">
                      <a:avLst/>
                    </a:prstGeom>
                    <a:noFill/>
                    <a:ln>
                      <a:noFill/>
                    </a:ln>
                  </pic:spPr>
                </pic:pic>
              </a:graphicData>
            </a:graphic>
          </wp:inline>
        </w:drawing>
      </w:r>
    </w:p>
    <w:p w14:paraId="30C6CEDF"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lastRenderedPageBreak/>
        <w:t>Figure 7: Rainfall distribution during future period (2006-40)</w:t>
      </w:r>
    </w:p>
    <w:p w14:paraId="55FB1D2D"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area under the various rainfall classes during 2006-40 is given in Table 6. The majority areas in the basin (63.5%) fall in the class of 500-600 mm whereas during the baseline period, majority area (66%) was falling in the class of 900-1000 mm. Therefore, the average annual rainfall for Mahi basin has projected to reduce from 866.9 mm during the baseline period to 479.8 mm during 2006-40. This is a drastic shift and suggests towards water stress in future in the basin. </w:t>
      </w:r>
    </w:p>
    <w:p w14:paraId="1D9B21DD"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Table 6: Area under various rainfall classes during future period (2006-40)</w:t>
      </w:r>
    </w:p>
    <w:tbl>
      <w:tblPr>
        <w:tblW w:w="6109" w:type="dxa"/>
        <w:jc w:val="center"/>
        <w:tblBorders>
          <w:top w:val="single" w:sz="4" w:space="0" w:color="auto"/>
          <w:bottom w:val="single" w:sz="4" w:space="0" w:color="auto"/>
        </w:tblBorders>
        <w:tblLook w:val="04A0" w:firstRow="1" w:lastRow="0" w:firstColumn="1" w:lastColumn="0" w:noHBand="0" w:noVBand="1"/>
      </w:tblPr>
      <w:tblGrid>
        <w:gridCol w:w="1129"/>
        <w:gridCol w:w="3392"/>
        <w:gridCol w:w="1588"/>
      </w:tblGrid>
      <w:tr w:rsidR="00B64262" w:rsidRPr="008638B1" w14:paraId="2FFC4935" w14:textId="77777777" w:rsidTr="006E4489">
        <w:trPr>
          <w:trHeight w:val="300"/>
          <w:jc w:val="center"/>
        </w:trPr>
        <w:tc>
          <w:tcPr>
            <w:tcW w:w="1129" w:type="dxa"/>
            <w:tcBorders>
              <w:top w:val="single" w:sz="4" w:space="0" w:color="auto"/>
              <w:bottom w:val="single" w:sz="4" w:space="0" w:color="auto"/>
            </w:tcBorders>
            <w:shd w:val="clear" w:color="auto" w:fill="auto"/>
            <w:noWrap/>
            <w:vAlign w:val="center"/>
            <w:hideMark/>
          </w:tcPr>
          <w:p w14:paraId="636EDEF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 No.</w:t>
            </w:r>
          </w:p>
        </w:tc>
        <w:tc>
          <w:tcPr>
            <w:tcW w:w="3392" w:type="dxa"/>
            <w:tcBorders>
              <w:top w:val="single" w:sz="4" w:space="0" w:color="auto"/>
              <w:bottom w:val="single" w:sz="4" w:space="0" w:color="auto"/>
            </w:tcBorders>
            <w:shd w:val="clear" w:color="auto" w:fill="auto"/>
            <w:noWrap/>
            <w:vAlign w:val="center"/>
            <w:hideMark/>
          </w:tcPr>
          <w:p w14:paraId="2F6BC494"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Rainfall (2006-40)</w:t>
            </w:r>
          </w:p>
        </w:tc>
        <w:tc>
          <w:tcPr>
            <w:tcW w:w="1588" w:type="dxa"/>
            <w:tcBorders>
              <w:top w:val="single" w:sz="4" w:space="0" w:color="auto"/>
              <w:bottom w:val="single" w:sz="4" w:space="0" w:color="auto"/>
            </w:tcBorders>
            <w:shd w:val="clear" w:color="auto" w:fill="auto"/>
            <w:noWrap/>
            <w:vAlign w:val="center"/>
            <w:hideMark/>
          </w:tcPr>
          <w:p w14:paraId="5461335D"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Area (%)</w:t>
            </w:r>
          </w:p>
        </w:tc>
      </w:tr>
      <w:tr w:rsidR="00B64262" w:rsidRPr="008638B1" w14:paraId="2594F79C" w14:textId="77777777" w:rsidTr="006E4489">
        <w:trPr>
          <w:trHeight w:val="300"/>
          <w:jc w:val="center"/>
        </w:trPr>
        <w:tc>
          <w:tcPr>
            <w:tcW w:w="1129" w:type="dxa"/>
            <w:tcBorders>
              <w:top w:val="single" w:sz="4" w:space="0" w:color="auto"/>
            </w:tcBorders>
            <w:shd w:val="clear" w:color="auto" w:fill="auto"/>
            <w:noWrap/>
            <w:vAlign w:val="center"/>
            <w:hideMark/>
          </w:tcPr>
          <w:p w14:paraId="7C914899"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1</w:t>
            </w:r>
          </w:p>
        </w:tc>
        <w:tc>
          <w:tcPr>
            <w:tcW w:w="3392" w:type="dxa"/>
            <w:tcBorders>
              <w:top w:val="single" w:sz="4" w:space="0" w:color="auto"/>
            </w:tcBorders>
            <w:shd w:val="clear" w:color="auto" w:fill="auto"/>
            <w:noWrap/>
            <w:vAlign w:val="center"/>
            <w:hideMark/>
          </w:tcPr>
          <w:p w14:paraId="6C9B075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300-400 mm</w:t>
            </w:r>
          </w:p>
        </w:tc>
        <w:tc>
          <w:tcPr>
            <w:tcW w:w="1588" w:type="dxa"/>
            <w:tcBorders>
              <w:top w:val="single" w:sz="4" w:space="0" w:color="auto"/>
            </w:tcBorders>
            <w:shd w:val="clear" w:color="auto" w:fill="auto"/>
            <w:noWrap/>
            <w:vAlign w:val="center"/>
            <w:hideMark/>
          </w:tcPr>
          <w:p w14:paraId="1274CAC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2.18</w:t>
            </w:r>
          </w:p>
        </w:tc>
      </w:tr>
      <w:tr w:rsidR="00B64262" w:rsidRPr="008638B1" w14:paraId="12E0F840" w14:textId="77777777" w:rsidTr="006E4489">
        <w:trPr>
          <w:trHeight w:val="300"/>
          <w:jc w:val="center"/>
        </w:trPr>
        <w:tc>
          <w:tcPr>
            <w:tcW w:w="1129" w:type="dxa"/>
            <w:shd w:val="clear" w:color="auto" w:fill="auto"/>
            <w:noWrap/>
            <w:vAlign w:val="center"/>
            <w:hideMark/>
          </w:tcPr>
          <w:p w14:paraId="5EEBED0B"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3392" w:type="dxa"/>
            <w:shd w:val="clear" w:color="auto" w:fill="auto"/>
            <w:noWrap/>
            <w:vAlign w:val="center"/>
            <w:hideMark/>
          </w:tcPr>
          <w:p w14:paraId="1BF1A2E1"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400-500 mm</w:t>
            </w:r>
          </w:p>
        </w:tc>
        <w:tc>
          <w:tcPr>
            <w:tcW w:w="1588" w:type="dxa"/>
            <w:shd w:val="clear" w:color="auto" w:fill="auto"/>
            <w:noWrap/>
            <w:vAlign w:val="center"/>
            <w:hideMark/>
          </w:tcPr>
          <w:p w14:paraId="20024A1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34.31</w:t>
            </w:r>
          </w:p>
        </w:tc>
      </w:tr>
      <w:tr w:rsidR="00253875" w:rsidRPr="008638B1" w14:paraId="0EA369D8" w14:textId="77777777" w:rsidTr="006E4489">
        <w:trPr>
          <w:trHeight w:val="300"/>
          <w:jc w:val="center"/>
        </w:trPr>
        <w:tc>
          <w:tcPr>
            <w:tcW w:w="1129" w:type="dxa"/>
            <w:shd w:val="clear" w:color="auto" w:fill="auto"/>
            <w:noWrap/>
            <w:vAlign w:val="center"/>
            <w:hideMark/>
          </w:tcPr>
          <w:p w14:paraId="5BA062F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3392" w:type="dxa"/>
            <w:shd w:val="clear" w:color="auto" w:fill="auto"/>
            <w:noWrap/>
            <w:vAlign w:val="center"/>
            <w:hideMark/>
          </w:tcPr>
          <w:p w14:paraId="3300EADB"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500-600 mm</w:t>
            </w:r>
          </w:p>
        </w:tc>
        <w:tc>
          <w:tcPr>
            <w:tcW w:w="1588" w:type="dxa"/>
            <w:shd w:val="clear" w:color="auto" w:fill="auto"/>
            <w:noWrap/>
            <w:vAlign w:val="center"/>
            <w:hideMark/>
          </w:tcPr>
          <w:p w14:paraId="453EA09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63.49</w:t>
            </w:r>
          </w:p>
        </w:tc>
      </w:tr>
    </w:tbl>
    <w:p w14:paraId="2E2044A8" w14:textId="77777777" w:rsidR="00253875" w:rsidRPr="008638B1" w:rsidRDefault="00253875" w:rsidP="00253875">
      <w:pPr>
        <w:spacing w:after="240" w:line="360" w:lineRule="auto"/>
        <w:rPr>
          <w:rFonts w:ascii="Arial" w:eastAsia="Calibri" w:hAnsi="Arial" w:cs="Arial"/>
          <w:b/>
          <w:sz w:val="20"/>
          <w:szCs w:val="20"/>
        </w:rPr>
      </w:pPr>
    </w:p>
    <w:p w14:paraId="26F6BBEC"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4.2 Temperature Variation in Mahi Basin</w:t>
      </w:r>
    </w:p>
    <w:p w14:paraId="62940CDF"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The annual mean temperature across the Mahi River Basin has shown a gradual upward trend (Fig.8) during the baseline period (1961–1990). Analysis reveals that this warming trend continues consistently through subsequent time periods, with a more noticeable increase projected for the future period (2006–2040). This is evident from the steeper gradients of the trend lines representing each time frame.</w:t>
      </w:r>
    </w:p>
    <w:p w14:paraId="64BEB36E"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noProof/>
          <w:sz w:val="20"/>
          <w:szCs w:val="20"/>
          <w:lang w:val="en-US"/>
        </w:rPr>
        <w:drawing>
          <wp:inline distT="0" distB="0" distL="0" distR="0" wp14:anchorId="143834E3" wp14:editId="4B51AA2D">
            <wp:extent cx="5459104" cy="1971675"/>
            <wp:effectExtent l="0" t="0" r="825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F67CCC"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8: Temporal variation of annual temperature during the baseline period (1960-90)</w:t>
      </w:r>
    </w:p>
    <w:p w14:paraId="451E5EEC"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16FA65A7" wp14:editId="1F1A8153">
            <wp:extent cx="5420563" cy="2077517"/>
            <wp:effectExtent l="0" t="0" r="889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2C6226"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9: Temporal variation of annual temperature during the present period (1991-2005)</w:t>
      </w:r>
    </w:p>
    <w:p w14:paraId="76BE112F"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drawing>
          <wp:inline distT="0" distB="0" distL="0" distR="0" wp14:anchorId="56E015D5" wp14:editId="6DB26D8F">
            <wp:extent cx="5471770" cy="2253081"/>
            <wp:effectExtent l="0" t="0" r="1524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A63FEB"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10: Temporal variation of annual temperature during the future period (2006-40)</w:t>
      </w:r>
    </w:p>
    <w:p w14:paraId="28EF005A" w14:textId="77777777" w:rsidR="00253875" w:rsidRPr="008638B1" w:rsidRDefault="00253875" w:rsidP="00253875">
      <w:pPr>
        <w:numPr>
          <w:ilvl w:val="1"/>
          <w:numId w:val="3"/>
        </w:numPr>
        <w:spacing w:after="240" w:line="360" w:lineRule="auto"/>
        <w:ind w:left="284" w:hanging="284"/>
        <w:contextualSpacing/>
        <w:rPr>
          <w:rFonts w:ascii="Arial" w:eastAsia="Calibri" w:hAnsi="Arial" w:cs="Arial"/>
          <w:b/>
          <w:sz w:val="20"/>
          <w:szCs w:val="20"/>
        </w:rPr>
      </w:pPr>
      <w:r w:rsidRPr="008638B1">
        <w:rPr>
          <w:rFonts w:ascii="Arial" w:eastAsia="Calibri" w:hAnsi="Arial" w:cs="Arial"/>
          <w:b/>
          <w:sz w:val="20"/>
          <w:szCs w:val="20"/>
        </w:rPr>
        <w:t>Potential Evapotranspiration</w:t>
      </w:r>
      <w:r w:rsidRPr="008638B1">
        <w:rPr>
          <w:rFonts w:ascii="Arial" w:eastAsia="Calibri" w:hAnsi="Arial" w:cs="Arial"/>
          <w:sz w:val="20"/>
          <w:szCs w:val="20"/>
        </w:rPr>
        <w:t xml:space="preserve"> </w:t>
      </w:r>
    </w:p>
    <w:p w14:paraId="73ED3869" w14:textId="77777777" w:rsidR="00253875" w:rsidRPr="008638B1" w:rsidRDefault="00253875" w:rsidP="00253875">
      <w:pPr>
        <w:spacing w:line="360" w:lineRule="auto"/>
        <w:jc w:val="both"/>
        <w:rPr>
          <w:rFonts w:ascii="Arial" w:eastAsia="Calibri" w:hAnsi="Arial" w:cs="Arial"/>
          <w:b/>
          <w:sz w:val="20"/>
          <w:szCs w:val="20"/>
        </w:rPr>
      </w:pPr>
      <w:r w:rsidRPr="008638B1">
        <w:rPr>
          <w:rFonts w:ascii="Arial" w:eastAsia="Calibri" w:hAnsi="Arial" w:cs="Arial"/>
          <w:bCs/>
          <w:sz w:val="20"/>
          <w:szCs w:val="20"/>
        </w:rPr>
        <w:t xml:space="preserve">Potential Evapotranspiration (PET) refers to the amount of water that would evaporate and transpire from a surface if sufficient moisture were available. It represents the atmospheric demand for moisture and is influenced by climatic variables such as temperature, solar radiation, wind speed, and relative humidity. PET is a key component in understanding the hydrological cycle, particularly in water resource management and agricultural planning. It is commonly used to assess water deficits in a region by comparing it with actual precipitation. Various empirical and physically based methods, such as the </w:t>
      </w:r>
      <w:proofErr w:type="spellStart"/>
      <w:r w:rsidRPr="008638B1">
        <w:rPr>
          <w:rFonts w:ascii="Arial" w:eastAsia="Calibri" w:hAnsi="Arial" w:cs="Arial"/>
          <w:bCs/>
          <w:sz w:val="20"/>
          <w:szCs w:val="20"/>
        </w:rPr>
        <w:t>Thornthwaite</w:t>
      </w:r>
      <w:proofErr w:type="spellEnd"/>
      <w:r w:rsidRPr="008638B1">
        <w:rPr>
          <w:rFonts w:ascii="Arial" w:eastAsia="Calibri" w:hAnsi="Arial" w:cs="Arial"/>
          <w:bCs/>
          <w:sz w:val="20"/>
          <w:szCs w:val="20"/>
        </w:rPr>
        <w:t xml:space="preserve"> and Penman-Monteith equations, are employed to estimate PET, each requiring different levels of climatic input data. PET plays a crucial role in identifying arid and semi-arid conditions and is often integrated into aridity index calculations to evaluate climate classification and monitor the impacts of climate change.</w:t>
      </w:r>
    </w:p>
    <w:p w14:paraId="6E9A0B6E" w14:textId="77777777" w:rsidR="00253875" w:rsidRPr="008638B1" w:rsidRDefault="00253875" w:rsidP="00253875">
      <w:pPr>
        <w:spacing w:after="240" w:line="360" w:lineRule="auto"/>
        <w:ind w:left="284" w:hanging="284"/>
        <w:rPr>
          <w:rFonts w:ascii="Arial" w:eastAsia="Calibri" w:hAnsi="Arial" w:cs="Arial"/>
          <w:b/>
          <w:sz w:val="20"/>
          <w:szCs w:val="20"/>
        </w:rPr>
      </w:pPr>
      <w:r w:rsidRPr="008638B1">
        <w:rPr>
          <w:rFonts w:ascii="Arial" w:eastAsia="Calibri" w:hAnsi="Arial" w:cs="Arial"/>
          <w:b/>
          <w:sz w:val="20"/>
          <w:szCs w:val="20"/>
        </w:rPr>
        <w:t>4.3.1 Potential Evapotranspiration</w:t>
      </w:r>
      <w:r w:rsidRPr="008638B1">
        <w:rPr>
          <w:rFonts w:ascii="Arial" w:eastAsia="Calibri" w:hAnsi="Arial" w:cs="Arial"/>
          <w:sz w:val="20"/>
          <w:szCs w:val="20"/>
        </w:rPr>
        <w:t xml:space="preserve"> </w:t>
      </w:r>
      <w:r w:rsidRPr="008638B1">
        <w:rPr>
          <w:rFonts w:ascii="Arial" w:eastAsia="Calibri" w:hAnsi="Arial" w:cs="Arial"/>
          <w:b/>
          <w:sz w:val="20"/>
          <w:szCs w:val="20"/>
        </w:rPr>
        <w:t>during (1961-90)</w:t>
      </w:r>
    </w:p>
    <w:p w14:paraId="26B55B65"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Potential Evapotranspiration estimated using the </w:t>
      </w:r>
      <w:proofErr w:type="spellStart"/>
      <w:r w:rsidRPr="008638B1">
        <w:rPr>
          <w:rFonts w:ascii="Arial" w:eastAsia="Calibri" w:hAnsi="Arial" w:cs="Arial"/>
          <w:sz w:val="20"/>
          <w:szCs w:val="20"/>
        </w:rPr>
        <w:t>Thornthwaite</w:t>
      </w:r>
      <w:proofErr w:type="spellEnd"/>
      <w:r w:rsidRPr="008638B1">
        <w:rPr>
          <w:rFonts w:ascii="Arial" w:eastAsia="Calibri" w:hAnsi="Arial" w:cs="Arial"/>
          <w:sz w:val="20"/>
          <w:szCs w:val="20"/>
        </w:rPr>
        <w:t xml:space="preserve"> method (PET&lt;sub&gt;TH&lt;/sub&gt;) is highly sensitive to mean temperature and exhibits a direct proportionality with it. The spatial distribution of PET across the Mahi River Basin during the baseline period is presented in Figure 11. The PET </w:t>
      </w:r>
      <w:r w:rsidRPr="008638B1">
        <w:rPr>
          <w:rFonts w:ascii="Arial" w:eastAsia="Calibri" w:hAnsi="Arial" w:cs="Arial"/>
          <w:sz w:val="20"/>
          <w:szCs w:val="20"/>
        </w:rPr>
        <w:lastRenderedPageBreak/>
        <w:t>values range between 1600 mm and 2000 mm across the basin. In the upper reaches, PET generally falls within the range of 1600–1800 mm, while in the lower reaches near the coastal areas, higher PET values are observed, ranging from 1800–2000 mm.</w:t>
      </w:r>
    </w:p>
    <w:p w14:paraId="168002D7" w14:textId="77777777" w:rsidR="00253875" w:rsidRPr="008638B1" w:rsidRDefault="00253875" w:rsidP="008F786C">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drawing>
          <wp:inline distT="0" distB="0" distL="0" distR="0" wp14:anchorId="7121F757" wp14:editId="3F1AB021">
            <wp:extent cx="4436861" cy="3064027"/>
            <wp:effectExtent l="0" t="0" r="1905" b="3175"/>
            <wp:docPr id="20" name="Picture 20" descr="C:\Users\user\Desktop\thesis work\spatial map\thronthwaite\PET\PET(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s work\spatial map\thronthwaite\PET\PET(1961-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9408" cy="3065786"/>
                    </a:xfrm>
                    <a:prstGeom prst="rect">
                      <a:avLst/>
                    </a:prstGeom>
                    <a:noFill/>
                    <a:ln>
                      <a:noFill/>
                    </a:ln>
                  </pic:spPr>
                </pic:pic>
              </a:graphicData>
            </a:graphic>
          </wp:inline>
        </w:drawing>
      </w:r>
    </w:p>
    <w:p w14:paraId="47F9C114"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11: Distribution of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 xml:space="preserve"> during baseline period (1961-90)  </w:t>
      </w:r>
    </w:p>
    <w:p w14:paraId="53710756"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During the baseline period, the classification of Potential Evapotranspiration (PET) across the Mahi River Basin is summarized in Table 7. The majority of the basin, accounting for approximately 67.3%, experiences PET values between 1600 mm and 1800 mm. In contrast, about 28.9% of the area falls within the higher PET category of 1800–2000 mm. A minimal portion, located mainly in the western regions of Udaipur and parts of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records PET values below 1600 mm.</w:t>
      </w:r>
    </w:p>
    <w:p w14:paraId="32335DBD" w14:textId="77777777" w:rsidR="00253875" w:rsidRPr="008F786C" w:rsidRDefault="00253875" w:rsidP="00253875">
      <w:pPr>
        <w:spacing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7: Area under various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 xml:space="preserve"> classes during baseline period (1961-90)</w:t>
      </w:r>
    </w:p>
    <w:tbl>
      <w:tblPr>
        <w:tblW w:w="7104" w:type="dxa"/>
        <w:jc w:val="center"/>
        <w:tblBorders>
          <w:top w:val="single" w:sz="4" w:space="0" w:color="auto"/>
          <w:bottom w:val="single" w:sz="4" w:space="0" w:color="auto"/>
        </w:tblBorders>
        <w:tblLook w:val="04A0" w:firstRow="1" w:lastRow="0" w:firstColumn="1" w:lastColumn="0" w:noHBand="0" w:noVBand="1"/>
      </w:tblPr>
      <w:tblGrid>
        <w:gridCol w:w="2030"/>
        <w:gridCol w:w="3247"/>
        <w:gridCol w:w="1827"/>
      </w:tblGrid>
      <w:tr w:rsidR="00B64262" w:rsidRPr="008638B1" w14:paraId="3EEB7C39" w14:textId="77777777" w:rsidTr="006E4489">
        <w:trPr>
          <w:trHeight w:val="501"/>
          <w:jc w:val="center"/>
        </w:trPr>
        <w:tc>
          <w:tcPr>
            <w:tcW w:w="2030" w:type="dxa"/>
            <w:tcBorders>
              <w:top w:val="single" w:sz="4" w:space="0" w:color="auto"/>
              <w:bottom w:val="single" w:sz="4" w:space="0" w:color="auto"/>
            </w:tcBorders>
            <w:shd w:val="clear" w:color="auto" w:fill="auto"/>
            <w:noWrap/>
            <w:vAlign w:val="center"/>
            <w:hideMark/>
          </w:tcPr>
          <w:p w14:paraId="779FD9EC"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3247" w:type="dxa"/>
            <w:tcBorders>
              <w:top w:val="single" w:sz="4" w:space="0" w:color="auto"/>
              <w:bottom w:val="single" w:sz="4" w:space="0" w:color="auto"/>
            </w:tcBorders>
            <w:shd w:val="clear" w:color="auto" w:fill="auto"/>
            <w:noWrap/>
            <w:vAlign w:val="center"/>
            <w:hideMark/>
          </w:tcPr>
          <w:p w14:paraId="4A7830C3"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PET (1961-90)</w:t>
            </w:r>
          </w:p>
        </w:tc>
        <w:tc>
          <w:tcPr>
            <w:tcW w:w="1827" w:type="dxa"/>
            <w:tcBorders>
              <w:top w:val="single" w:sz="4" w:space="0" w:color="auto"/>
              <w:bottom w:val="single" w:sz="4" w:space="0" w:color="auto"/>
            </w:tcBorders>
            <w:shd w:val="clear" w:color="auto" w:fill="auto"/>
            <w:noWrap/>
            <w:vAlign w:val="center"/>
            <w:hideMark/>
          </w:tcPr>
          <w:p w14:paraId="7FF396C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77B42329" w14:textId="77777777" w:rsidTr="006E4489">
        <w:trPr>
          <w:trHeight w:val="501"/>
          <w:jc w:val="center"/>
        </w:trPr>
        <w:tc>
          <w:tcPr>
            <w:tcW w:w="2030" w:type="dxa"/>
            <w:tcBorders>
              <w:top w:val="single" w:sz="4" w:space="0" w:color="auto"/>
            </w:tcBorders>
            <w:shd w:val="clear" w:color="auto" w:fill="auto"/>
            <w:noWrap/>
            <w:vAlign w:val="center"/>
            <w:hideMark/>
          </w:tcPr>
          <w:p w14:paraId="6B09785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3247" w:type="dxa"/>
            <w:tcBorders>
              <w:top w:val="single" w:sz="4" w:space="0" w:color="auto"/>
            </w:tcBorders>
            <w:shd w:val="clear" w:color="auto" w:fill="auto"/>
            <w:noWrap/>
            <w:vAlign w:val="center"/>
            <w:hideMark/>
          </w:tcPr>
          <w:p w14:paraId="655A6F14"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1600 mm </w:t>
            </w:r>
          </w:p>
        </w:tc>
        <w:tc>
          <w:tcPr>
            <w:tcW w:w="1827" w:type="dxa"/>
            <w:tcBorders>
              <w:top w:val="single" w:sz="4" w:space="0" w:color="auto"/>
            </w:tcBorders>
            <w:shd w:val="clear" w:color="auto" w:fill="auto"/>
            <w:noWrap/>
            <w:vAlign w:val="center"/>
            <w:hideMark/>
          </w:tcPr>
          <w:p w14:paraId="59644B9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3.80</w:t>
            </w:r>
          </w:p>
        </w:tc>
      </w:tr>
      <w:tr w:rsidR="00B64262" w:rsidRPr="008638B1" w14:paraId="3AE2CC99" w14:textId="77777777" w:rsidTr="006E4489">
        <w:trPr>
          <w:trHeight w:val="501"/>
          <w:jc w:val="center"/>
        </w:trPr>
        <w:tc>
          <w:tcPr>
            <w:tcW w:w="2030" w:type="dxa"/>
            <w:shd w:val="clear" w:color="auto" w:fill="auto"/>
            <w:noWrap/>
            <w:vAlign w:val="center"/>
            <w:hideMark/>
          </w:tcPr>
          <w:p w14:paraId="54B5D72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3247" w:type="dxa"/>
            <w:shd w:val="clear" w:color="auto" w:fill="auto"/>
            <w:noWrap/>
            <w:vAlign w:val="center"/>
            <w:hideMark/>
          </w:tcPr>
          <w:p w14:paraId="5F0BC55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1600-1800 mm</w:t>
            </w:r>
          </w:p>
        </w:tc>
        <w:tc>
          <w:tcPr>
            <w:tcW w:w="1827" w:type="dxa"/>
            <w:shd w:val="clear" w:color="auto" w:fill="auto"/>
            <w:noWrap/>
            <w:vAlign w:val="center"/>
            <w:hideMark/>
          </w:tcPr>
          <w:p w14:paraId="619F649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67.33</w:t>
            </w:r>
          </w:p>
        </w:tc>
      </w:tr>
      <w:tr w:rsidR="00253875" w:rsidRPr="008638B1" w14:paraId="1A511DB0" w14:textId="77777777" w:rsidTr="006E4489">
        <w:trPr>
          <w:trHeight w:val="501"/>
          <w:jc w:val="center"/>
        </w:trPr>
        <w:tc>
          <w:tcPr>
            <w:tcW w:w="2030" w:type="dxa"/>
            <w:shd w:val="clear" w:color="auto" w:fill="auto"/>
            <w:noWrap/>
            <w:vAlign w:val="center"/>
            <w:hideMark/>
          </w:tcPr>
          <w:p w14:paraId="29CFD7F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3247" w:type="dxa"/>
            <w:shd w:val="clear" w:color="auto" w:fill="auto"/>
            <w:noWrap/>
            <w:vAlign w:val="center"/>
            <w:hideMark/>
          </w:tcPr>
          <w:p w14:paraId="259CABB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1800-2000 mm</w:t>
            </w:r>
          </w:p>
        </w:tc>
        <w:tc>
          <w:tcPr>
            <w:tcW w:w="1827" w:type="dxa"/>
            <w:shd w:val="clear" w:color="auto" w:fill="auto"/>
            <w:noWrap/>
            <w:vAlign w:val="center"/>
            <w:hideMark/>
          </w:tcPr>
          <w:p w14:paraId="06738F6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28.85</w:t>
            </w:r>
          </w:p>
        </w:tc>
      </w:tr>
    </w:tbl>
    <w:p w14:paraId="34ECB66A" w14:textId="77777777" w:rsidR="00253875" w:rsidRPr="008638B1" w:rsidRDefault="00253875" w:rsidP="00253875">
      <w:pPr>
        <w:spacing w:line="360" w:lineRule="auto"/>
        <w:rPr>
          <w:rFonts w:ascii="Arial" w:eastAsia="Calibri" w:hAnsi="Arial" w:cs="Arial"/>
          <w:b/>
          <w:bCs/>
          <w:sz w:val="20"/>
          <w:szCs w:val="20"/>
        </w:rPr>
      </w:pPr>
    </w:p>
    <w:p w14:paraId="781ED34D"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4.3.2 Potential Evapotranspiration</w:t>
      </w:r>
      <w:r w:rsidRPr="008638B1">
        <w:rPr>
          <w:rFonts w:ascii="Arial" w:eastAsia="Calibri" w:hAnsi="Arial" w:cs="Arial"/>
          <w:sz w:val="20"/>
          <w:szCs w:val="20"/>
        </w:rPr>
        <w:t xml:space="preserve"> </w:t>
      </w:r>
      <w:r w:rsidRPr="008638B1">
        <w:rPr>
          <w:rFonts w:ascii="Arial" w:eastAsia="Calibri" w:hAnsi="Arial" w:cs="Arial"/>
          <w:b/>
          <w:sz w:val="20"/>
          <w:szCs w:val="20"/>
        </w:rPr>
        <w:t>during (1991-05)</w:t>
      </w:r>
    </w:p>
    <w:p w14:paraId="519D2629"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spatial variation of the PET in Mahi basin during the present period as evaluated by the </w:t>
      </w:r>
      <w:proofErr w:type="spellStart"/>
      <w:r w:rsidRPr="008638B1">
        <w:rPr>
          <w:rFonts w:ascii="Arial" w:eastAsia="Calibri" w:hAnsi="Arial" w:cs="Arial"/>
          <w:sz w:val="20"/>
          <w:szCs w:val="20"/>
        </w:rPr>
        <w:t>Thornthwaite</w:t>
      </w:r>
      <w:proofErr w:type="spellEnd"/>
      <w:r w:rsidRPr="008638B1">
        <w:rPr>
          <w:rFonts w:ascii="Arial" w:eastAsia="Calibri" w:hAnsi="Arial" w:cs="Arial"/>
          <w:sz w:val="20"/>
          <w:szCs w:val="20"/>
        </w:rPr>
        <w:t xml:space="preserve"> method is shown in Figure 12. It can be observed that the PET varies between 1600-2000 mm in the basin. The PET in the upper reaches of the basin falls in the range of 1600-1800 mm whereas the PET in the lower reaches of the basin near the sea coast is having Higher PET in the range of 1800-2000 mm.</w:t>
      </w:r>
    </w:p>
    <w:p w14:paraId="14CDD009"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7DE3AEA3" wp14:editId="22AF9C73">
            <wp:extent cx="4586538" cy="3242489"/>
            <wp:effectExtent l="0" t="0" r="5080" b="0"/>
            <wp:docPr id="22" name="Picture 22" descr="C:\Users\user\Desktop\thesis work\spatial map\thronthwaite\PET\PET(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esis work\spatial map\thronthwaite\PET\PET(1991-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521" cy="3248133"/>
                    </a:xfrm>
                    <a:prstGeom prst="rect">
                      <a:avLst/>
                    </a:prstGeom>
                    <a:noFill/>
                    <a:ln>
                      <a:noFill/>
                    </a:ln>
                  </pic:spPr>
                </pic:pic>
              </a:graphicData>
            </a:graphic>
          </wp:inline>
        </w:drawing>
      </w:r>
    </w:p>
    <w:p w14:paraId="36B29447"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12: Distribution of PET during present period (1991-05)</w:t>
      </w:r>
    </w:p>
    <w:p w14:paraId="7BEF4BAB"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The area under various PET classes during baseline period is given in Table 8. The PET in the major portion of the basin (68.9%) is under the 1600-1800 mm class whereas the remaining area (30.7%) is under 1800-2000 mm class with very less areas near the western part of Udaipur under less than 1600 mm class.</w:t>
      </w:r>
    </w:p>
    <w:p w14:paraId="2636E432" w14:textId="77777777" w:rsidR="00253875" w:rsidRPr="008F786C" w:rsidRDefault="00253875" w:rsidP="00253875">
      <w:pPr>
        <w:spacing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8: Area under various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 xml:space="preserve"> classes during present period (1991-05)</w:t>
      </w:r>
    </w:p>
    <w:tbl>
      <w:tblPr>
        <w:tblW w:w="6777" w:type="dxa"/>
        <w:jc w:val="center"/>
        <w:tblBorders>
          <w:top w:val="single" w:sz="4" w:space="0" w:color="auto"/>
          <w:bottom w:val="single" w:sz="4" w:space="0" w:color="auto"/>
        </w:tblBorders>
        <w:tblLook w:val="04A0" w:firstRow="1" w:lastRow="0" w:firstColumn="1" w:lastColumn="0" w:noHBand="0" w:noVBand="1"/>
      </w:tblPr>
      <w:tblGrid>
        <w:gridCol w:w="1583"/>
        <w:gridCol w:w="2364"/>
        <w:gridCol w:w="2830"/>
      </w:tblGrid>
      <w:tr w:rsidR="00B64262" w:rsidRPr="008638B1" w14:paraId="71B1B571" w14:textId="77777777" w:rsidTr="006E4489">
        <w:trPr>
          <w:trHeight w:val="449"/>
          <w:jc w:val="center"/>
        </w:trPr>
        <w:tc>
          <w:tcPr>
            <w:tcW w:w="1583" w:type="dxa"/>
            <w:tcBorders>
              <w:top w:val="single" w:sz="4" w:space="0" w:color="auto"/>
              <w:bottom w:val="single" w:sz="4" w:space="0" w:color="auto"/>
            </w:tcBorders>
            <w:shd w:val="clear" w:color="auto" w:fill="auto"/>
            <w:noWrap/>
            <w:vAlign w:val="center"/>
            <w:hideMark/>
          </w:tcPr>
          <w:p w14:paraId="22DD1C6C"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2364" w:type="dxa"/>
            <w:tcBorders>
              <w:top w:val="single" w:sz="4" w:space="0" w:color="auto"/>
              <w:bottom w:val="single" w:sz="4" w:space="0" w:color="auto"/>
            </w:tcBorders>
            <w:shd w:val="clear" w:color="auto" w:fill="auto"/>
            <w:noWrap/>
            <w:vAlign w:val="center"/>
            <w:hideMark/>
          </w:tcPr>
          <w:p w14:paraId="17980EF0"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PET (</w:t>
            </w:r>
            <w:r w:rsidRPr="008638B1">
              <w:rPr>
                <w:rFonts w:ascii="Arial" w:eastAsia="Calibri" w:hAnsi="Arial" w:cs="Arial"/>
                <w:b/>
                <w:bCs/>
                <w:sz w:val="20"/>
                <w:szCs w:val="20"/>
              </w:rPr>
              <w:t>1991-05</w:t>
            </w:r>
            <w:r w:rsidRPr="008638B1">
              <w:rPr>
                <w:rFonts w:ascii="Arial" w:eastAsia="Times New Roman" w:hAnsi="Arial" w:cs="Arial"/>
                <w:b/>
                <w:bCs/>
                <w:sz w:val="20"/>
                <w:szCs w:val="20"/>
                <w:lang w:eastAsia="en-IN"/>
              </w:rPr>
              <w:t>)</w:t>
            </w:r>
          </w:p>
        </w:tc>
        <w:tc>
          <w:tcPr>
            <w:tcW w:w="2830" w:type="dxa"/>
            <w:tcBorders>
              <w:top w:val="single" w:sz="4" w:space="0" w:color="auto"/>
              <w:bottom w:val="single" w:sz="4" w:space="0" w:color="auto"/>
            </w:tcBorders>
            <w:shd w:val="clear" w:color="auto" w:fill="auto"/>
            <w:noWrap/>
            <w:vAlign w:val="center"/>
            <w:hideMark/>
          </w:tcPr>
          <w:p w14:paraId="3F81CD67"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11B30260" w14:textId="77777777" w:rsidTr="006E4489">
        <w:trPr>
          <w:trHeight w:val="449"/>
          <w:jc w:val="center"/>
        </w:trPr>
        <w:tc>
          <w:tcPr>
            <w:tcW w:w="1583" w:type="dxa"/>
            <w:tcBorders>
              <w:top w:val="single" w:sz="4" w:space="0" w:color="auto"/>
            </w:tcBorders>
            <w:shd w:val="clear" w:color="auto" w:fill="auto"/>
            <w:noWrap/>
            <w:vAlign w:val="center"/>
            <w:hideMark/>
          </w:tcPr>
          <w:p w14:paraId="498AA5C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2364" w:type="dxa"/>
            <w:tcBorders>
              <w:top w:val="single" w:sz="4" w:space="0" w:color="auto"/>
            </w:tcBorders>
            <w:shd w:val="clear" w:color="auto" w:fill="auto"/>
            <w:noWrap/>
            <w:vAlign w:val="center"/>
            <w:hideMark/>
          </w:tcPr>
          <w:p w14:paraId="6706117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1600 mm </w:t>
            </w:r>
          </w:p>
        </w:tc>
        <w:tc>
          <w:tcPr>
            <w:tcW w:w="2830" w:type="dxa"/>
            <w:tcBorders>
              <w:top w:val="single" w:sz="4" w:space="0" w:color="auto"/>
            </w:tcBorders>
            <w:shd w:val="clear" w:color="auto" w:fill="auto"/>
            <w:noWrap/>
            <w:vAlign w:val="center"/>
            <w:hideMark/>
          </w:tcPr>
          <w:p w14:paraId="6ED8E41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0.36</w:t>
            </w:r>
          </w:p>
        </w:tc>
      </w:tr>
      <w:tr w:rsidR="00B64262" w:rsidRPr="008638B1" w14:paraId="2A0330DD" w14:textId="77777777" w:rsidTr="006E4489">
        <w:trPr>
          <w:trHeight w:val="449"/>
          <w:jc w:val="center"/>
        </w:trPr>
        <w:tc>
          <w:tcPr>
            <w:tcW w:w="1583" w:type="dxa"/>
            <w:shd w:val="clear" w:color="auto" w:fill="auto"/>
            <w:noWrap/>
            <w:vAlign w:val="center"/>
            <w:hideMark/>
          </w:tcPr>
          <w:p w14:paraId="1B6EE36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2364" w:type="dxa"/>
            <w:shd w:val="clear" w:color="auto" w:fill="auto"/>
            <w:noWrap/>
            <w:vAlign w:val="center"/>
            <w:hideMark/>
          </w:tcPr>
          <w:p w14:paraId="0815FD8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1600-1800 mm</w:t>
            </w:r>
          </w:p>
        </w:tc>
        <w:tc>
          <w:tcPr>
            <w:tcW w:w="2830" w:type="dxa"/>
            <w:shd w:val="clear" w:color="auto" w:fill="auto"/>
            <w:noWrap/>
            <w:vAlign w:val="center"/>
            <w:hideMark/>
          </w:tcPr>
          <w:p w14:paraId="4EABA5C4"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68.91</w:t>
            </w:r>
          </w:p>
        </w:tc>
      </w:tr>
      <w:tr w:rsidR="00253875" w:rsidRPr="008638B1" w14:paraId="5CE09D55" w14:textId="77777777" w:rsidTr="006E4489">
        <w:trPr>
          <w:trHeight w:val="449"/>
          <w:jc w:val="center"/>
        </w:trPr>
        <w:tc>
          <w:tcPr>
            <w:tcW w:w="1583" w:type="dxa"/>
            <w:shd w:val="clear" w:color="auto" w:fill="auto"/>
            <w:noWrap/>
            <w:vAlign w:val="center"/>
            <w:hideMark/>
          </w:tcPr>
          <w:p w14:paraId="57764DE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2364" w:type="dxa"/>
            <w:shd w:val="clear" w:color="auto" w:fill="auto"/>
            <w:noWrap/>
            <w:vAlign w:val="center"/>
            <w:hideMark/>
          </w:tcPr>
          <w:p w14:paraId="7097528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1800-2000 mm</w:t>
            </w:r>
          </w:p>
        </w:tc>
        <w:tc>
          <w:tcPr>
            <w:tcW w:w="2830" w:type="dxa"/>
            <w:shd w:val="clear" w:color="auto" w:fill="auto"/>
            <w:noWrap/>
            <w:vAlign w:val="center"/>
            <w:hideMark/>
          </w:tcPr>
          <w:p w14:paraId="7847284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30.71</w:t>
            </w:r>
          </w:p>
        </w:tc>
      </w:tr>
    </w:tbl>
    <w:p w14:paraId="30009D9F" w14:textId="77777777" w:rsidR="00253875" w:rsidRPr="008638B1" w:rsidRDefault="00253875" w:rsidP="00253875">
      <w:pPr>
        <w:spacing w:after="240" w:line="360" w:lineRule="auto"/>
        <w:rPr>
          <w:rFonts w:ascii="Arial" w:eastAsia="Calibri" w:hAnsi="Arial" w:cs="Arial"/>
          <w:sz w:val="20"/>
          <w:szCs w:val="20"/>
        </w:rPr>
      </w:pPr>
    </w:p>
    <w:p w14:paraId="22ABAB24" w14:textId="77777777" w:rsidR="00253875" w:rsidRPr="008638B1" w:rsidRDefault="00253875" w:rsidP="00253875">
      <w:pPr>
        <w:spacing w:line="360" w:lineRule="auto"/>
        <w:rPr>
          <w:rFonts w:ascii="Arial" w:eastAsia="Calibri" w:hAnsi="Arial" w:cs="Arial"/>
          <w:b/>
          <w:sz w:val="20"/>
          <w:szCs w:val="20"/>
        </w:rPr>
      </w:pPr>
      <w:r w:rsidRPr="008638B1">
        <w:rPr>
          <w:rFonts w:ascii="Arial" w:eastAsia="Calibri" w:hAnsi="Arial" w:cs="Arial"/>
          <w:b/>
          <w:sz w:val="20"/>
          <w:szCs w:val="20"/>
        </w:rPr>
        <w:t>4.3.3 Potential Evapotranspiration</w:t>
      </w:r>
      <w:r w:rsidRPr="008638B1">
        <w:rPr>
          <w:rFonts w:ascii="Arial" w:eastAsia="Calibri" w:hAnsi="Arial" w:cs="Arial"/>
          <w:sz w:val="20"/>
          <w:szCs w:val="20"/>
        </w:rPr>
        <w:t xml:space="preserve"> </w:t>
      </w:r>
      <w:r w:rsidRPr="008638B1">
        <w:rPr>
          <w:rFonts w:ascii="Arial" w:eastAsia="Calibri" w:hAnsi="Arial" w:cs="Arial"/>
          <w:b/>
          <w:sz w:val="20"/>
          <w:szCs w:val="20"/>
        </w:rPr>
        <w:t>during (2006-40)</w:t>
      </w:r>
    </w:p>
    <w:p w14:paraId="2ED13768"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spatial variation of the PET in Mahi basin during 2006-40 as evaluated by the </w:t>
      </w:r>
      <w:proofErr w:type="spellStart"/>
      <w:r w:rsidRPr="008638B1">
        <w:rPr>
          <w:rFonts w:ascii="Arial" w:eastAsia="Calibri" w:hAnsi="Arial" w:cs="Arial"/>
          <w:sz w:val="20"/>
          <w:szCs w:val="20"/>
        </w:rPr>
        <w:t>Thornthwaite</w:t>
      </w:r>
      <w:proofErr w:type="spellEnd"/>
      <w:r w:rsidRPr="008638B1">
        <w:rPr>
          <w:rFonts w:ascii="Arial" w:eastAsia="Calibri" w:hAnsi="Arial" w:cs="Arial"/>
          <w:sz w:val="20"/>
          <w:szCs w:val="20"/>
        </w:rPr>
        <w:t xml:space="preserve"> method is shown in Figure 13. It can be observed that the PET varies between 2000-2600 mm in the basin. The PET in the northern parts of the basin in the districts of Udaipur and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falls in the range of 2000-2200 mm whereas the PET in the central parts of the basin falls in the range of 2200-2400 mm. The lower reaches of the basin near located the sea coast is having highest PET in the range of 2400-2600 mm. It can be observed that there is a considerable increase in all the PET classes during (2006-40) as compared to the baseline period due to the increases in the mean temperature projected during (2006-40). </w:t>
      </w:r>
    </w:p>
    <w:p w14:paraId="2B475485" w14:textId="77777777" w:rsidR="00253875" w:rsidRPr="008638B1" w:rsidRDefault="00253875" w:rsidP="00253875">
      <w:pPr>
        <w:spacing w:line="360" w:lineRule="auto"/>
        <w:jc w:val="center"/>
        <w:rPr>
          <w:rFonts w:ascii="Arial" w:eastAsia="Calibri" w:hAnsi="Arial" w:cs="Arial"/>
          <w:b/>
          <w:sz w:val="20"/>
          <w:szCs w:val="20"/>
        </w:rPr>
      </w:pPr>
      <w:r w:rsidRPr="008638B1">
        <w:rPr>
          <w:rFonts w:ascii="Arial" w:eastAsia="Calibri" w:hAnsi="Arial" w:cs="Arial"/>
          <w:noProof/>
          <w:sz w:val="20"/>
          <w:szCs w:val="20"/>
          <w:lang w:val="en-US"/>
        </w:rPr>
        <w:lastRenderedPageBreak/>
        <w:drawing>
          <wp:inline distT="0" distB="0" distL="0" distR="0" wp14:anchorId="4611BDB8" wp14:editId="31A822CC">
            <wp:extent cx="4270030" cy="2910868"/>
            <wp:effectExtent l="0" t="0" r="0" b="3810"/>
            <wp:docPr id="24" name="Picture 24" descr="C:\Users\user\Desktop\thesis work\spatial map\thronthwaite\PET\PET(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hesis work\spatial map\thronthwaite\PET\PET(200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4698" cy="2914050"/>
                    </a:xfrm>
                    <a:prstGeom prst="rect">
                      <a:avLst/>
                    </a:prstGeom>
                    <a:noFill/>
                    <a:ln>
                      <a:noFill/>
                    </a:ln>
                  </pic:spPr>
                </pic:pic>
              </a:graphicData>
            </a:graphic>
          </wp:inline>
        </w:drawing>
      </w:r>
    </w:p>
    <w:p w14:paraId="6A822D95"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13: Distribution of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 xml:space="preserve"> during future period (2006-40)</w:t>
      </w:r>
    </w:p>
    <w:p w14:paraId="1F1BA0F8" w14:textId="77777777" w:rsidR="00253875" w:rsidRPr="008638B1" w:rsidRDefault="00253875" w:rsidP="00253875">
      <w:pPr>
        <w:spacing w:line="360" w:lineRule="auto"/>
        <w:jc w:val="both"/>
        <w:rPr>
          <w:rFonts w:ascii="Arial" w:eastAsia="Calibri" w:hAnsi="Arial" w:cs="Arial"/>
          <w:sz w:val="20"/>
          <w:szCs w:val="20"/>
        </w:rPr>
      </w:pPr>
    </w:p>
    <w:p w14:paraId="01FB1CE5"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The area under various PET classes during (2006-40) is given in Table 9. The PET in the major portion of the basin (52.1%) is under the 2200-2400 mm class followed by about 28.8% area falling in the PET range of 2400-2600 mm; 18.8% area falling in the 2000-2000 mm class and very less areas (0.15%) near the western part of Udaipur under less than 2000 mm class.</w:t>
      </w:r>
    </w:p>
    <w:p w14:paraId="199025A8"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Table 9: Area under various PET classes during future period (2006-40)</w:t>
      </w:r>
    </w:p>
    <w:tbl>
      <w:tblPr>
        <w:tblW w:w="6903" w:type="dxa"/>
        <w:jc w:val="center"/>
        <w:tblLook w:val="04A0" w:firstRow="1" w:lastRow="0" w:firstColumn="1" w:lastColumn="0" w:noHBand="0" w:noVBand="1"/>
      </w:tblPr>
      <w:tblGrid>
        <w:gridCol w:w="1599"/>
        <w:gridCol w:w="3367"/>
        <w:gridCol w:w="1937"/>
      </w:tblGrid>
      <w:tr w:rsidR="00B64262" w:rsidRPr="008638B1" w14:paraId="6596287E" w14:textId="77777777" w:rsidTr="006E4489">
        <w:trPr>
          <w:trHeight w:val="528"/>
          <w:jc w:val="center"/>
        </w:trPr>
        <w:tc>
          <w:tcPr>
            <w:tcW w:w="1599" w:type="dxa"/>
            <w:tcBorders>
              <w:top w:val="single" w:sz="4" w:space="0" w:color="auto"/>
              <w:bottom w:val="single" w:sz="4" w:space="0" w:color="auto"/>
            </w:tcBorders>
            <w:shd w:val="clear" w:color="auto" w:fill="auto"/>
            <w:noWrap/>
            <w:vAlign w:val="center"/>
            <w:hideMark/>
          </w:tcPr>
          <w:p w14:paraId="4A0154CE" w14:textId="77777777" w:rsidR="00253875" w:rsidRPr="008638B1" w:rsidRDefault="00253875" w:rsidP="006E4489">
            <w:pPr>
              <w:spacing w:line="360" w:lineRule="auto"/>
              <w:rPr>
                <w:rFonts w:ascii="Arial" w:eastAsia="Calibri" w:hAnsi="Arial" w:cs="Arial"/>
                <w:b/>
                <w:bCs/>
                <w:sz w:val="20"/>
                <w:szCs w:val="20"/>
              </w:rPr>
            </w:pPr>
            <w:r w:rsidRPr="008638B1">
              <w:rPr>
                <w:rFonts w:ascii="Arial" w:eastAsia="Calibri" w:hAnsi="Arial" w:cs="Arial"/>
                <w:b/>
                <w:bCs/>
                <w:sz w:val="20"/>
                <w:szCs w:val="20"/>
              </w:rPr>
              <w:t>Sl. No.</w:t>
            </w:r>
          </w:p>
        </w:tc>
        <w:tc>
          <w:tcPr>
            <w:tcW w:w="3367" w:type="dxa"/>
            <w:tcBorders>
              <w:top w:val="single" w:sz="4" w:space="0" w:color="auto"/>
              <w:bottom w:val="single" w:sz="4" w:space="0" w:color="auto"/>
            </w:tcBorders>
            <w:shd w:val="clear" w:color="auto" w:fill="auto"/>
            <w:noWrap/>
            <w:vAlign w:val="center"/>
            <w:hideMark/>
          </w:tcPr>
          <w:p w14:paraId="301F4B36" w14:textId="77777777" w:rsidR="00253875" w:rsidRPr="008638B1" w:rsidRDefault="00253875" w:rsidP="006E4489">
            <w:pPr>
              <w:spacing w:line="360" w:lineRule="auto"/>
              <w:rPr>
                <w:rFonts w:ascii="Arial" w:eastAsia="Calibri" w:hAnsi="Arial" w:cs="Arial"/>
                <w:b/>
                <w:bCs/>
                <w:sz w:val="20"/>
                <w:szCs w:val="20"/>
              </w:rPr>
            </w:pPr>
            <w:r w:rsidRPr="008638B1">
              <w:rPr>
                <w:rFonts w:ascii="Arial" w:eastAsia="Calibri" w:hAnsi="Arial" w:cs="Arial"/>
                <w:b/>
                <w:bCs/>
                <w:sz w:val="20"/>
                <w:szCs w:val="20"/>
              </w:rPr>
              <w:t>PET (2006-40)</w:t>
            </w:r>
          </w:p>
        </w:tc>
        <w:tc>
          <w:tcPr>
            <w:tcW w:w="1937" w:type="dxa"/>
            <w:tcBorders>
              <w:top w:val="single" w:sz="4" w:space="0" w:color="auto"/>
              <w:bottom w:val="single" w:sz="4" w:space="0" w:color="auto"/>
            </w:tcBorders>
            <w:shd w:val="clear" w:color="auto" w:fill="auto"/>
            <w:noWrap/>
            <w:vAlign w:val="center"/>
            <w:hideMark/>
          </w:tcPr>
          <w:p w14:paraId="3B95316E" w14:textId="77777777" w:rsidR="00253875" w:rsidRPr="008638B1" w:rsidRDefault="00253875" w:rsidP="006E4489">
            <w:pPr>
              <w:spacing w:line="360" w:lineRule="auto"/>
              <w:rPr>
                <w:rFonts w:ascii="Arial" w:eastAsia="Calibri" w:hAnsi="Arial" w:cs="Arial"/>
                <w:b/>
                <w:bCs/>
                <w:sz w:val="20"/>
                <w:szCs w:val="20"/>
              </w:rPr>
            </w:pPr>
            <w:r w:rsidRPr="008638B1">
              <w:rPr>
                <w:rFonts w:ascii="Arial" w:eastAsia="Calibri" w:hAnsi="Arial" w:cs="Arial"/>
                <w:b/>
                <w:bCs/>
                <w:sz w:val="20"/>
                <w:szCs w:val="20"/>
                <w:lang w:val="en-US"/>
              </w:rPr>
              <w:t>Area (%)</w:t>
            </w:r>
          </w:p>
        </w:tc>
      </w:tr>
      <w:tr w:rsidR="00B64262" w:rsidRPr="008638B1" w14:paraId="67C7231A" w14:textId="77777777" w:rsidTr="006E4489">
        <w:trPr>
          <w:trHeight w:val="528"/>
          <w:jc w:val="center"/>
        </w:trPr>
        <w:tc>
          <w:tcPr>
            <w:tcW w:w="1599" w:type="dxa"/>
            <w:tcBorders>
              <w:top w:val="single" w:sz="4" w:space="0" w:color="auto"/>
            </w:tcBorders>
            <w:shd w:val="clear" w:color="auto" w:fill="auto"/>
            <w:noWrap/>
            <w:vAlign w:val="center"/>
            <w:hideMark/>
          </w:tcPr>
          <w:p w14:paraId="4C9C5A51"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1</w:t>
            </w:r>
          </w:p>
        </w:tc>
        <w:tc>
          <w:tcPr>
            <w:tcW w:w="3367" w:type="dxa"/>
            <w:tcBorders>
              <w:top w:val="single" w:sz="4" w:space="0" w:color="auto"/>
            </w:tcBorders>
            <w:shd w:val="clear" w:color="auto" w:fill="auto"/>
            <w:noWrap/>
            <w:vAlign w:val="center"/>
            <w:hideMark/>
          </w:tcPr>
          <w:p w14:paraId="2541A886"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&lt; 2000 mm</w:t>
            </w:r>
          </w:p>
        </w:tc>
        <w:tc>
          <w:tcPr>
            <w:tcW w:w="1937" w:type="dxa"/>
            <w:tcBorders>
              <w:top w:val="single" w:sz="4" w:space="0" w:color="auto"/>
            </w:tcBorders>
            <w:shd w:val="clear" w:color="auto" w:fill="auto"/>
            <w:noWrap/>
            <w:vAlign w:val="center"/>
            <w:hideMark/>
          </w:tcPr>
          <w:p w14:paraId="62EAE103"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0.15</w:t>
            </w:r>
          </w:p>
        </w:tc>
      </w:tr>
      <w:tr w:rsidR="00B64262" w:rsidRPr="008638B1" w14:paraId="26ACD7FD" w14:textId="77777777" w:rsidTr="006E4489">
        <w:trPr>
          <w:trHeight w:val="528"/>
          <w:jc w:val="center"/>
        </w:trPr>
        <w:tc>
          <w:tcPr>
            <w:tcW w:w="1599" w:type="dxa"/>
            <w:shd w:val="clear" w:color="auto" w:fill="auto"/>
            <w:noWrap/>
            <w:vAlign w:val="center"/>
            <w:hideMark/>
          </w:tcPr>
          <w:p w14:paraId="5D9A95AE"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w:t>
            </w:r>
          </w:p>
        </w:tc>
        <w:tc>
          <w:tcPr>
            <w:tcW w:w="3367" w:type="dxa"/>
            <w:shd w:val="clear" w:color="auto" w:fill="auto"/>
            <w:noWrap/>
            <w:vAlign w:val="center"/>
            <w:hideMark/>
          </w:tcPr>
          <w:p w14:paraId="0E6D0A02"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2000-2200 mm</w:t>
            </w:r>
          </w:p>
        </w:tc>
        <w:tc>
          <w:tcPr>
            <w:tcW w:w="1937" w:type="dxa"/>
            <w:shd w:val="clear" w:color="auto" w:fill="auto"/>
            <w:noWrap/>
            <w:vAlign w:val="center"/>
            <w:hideMark/>
          </w:tcPr>
          <w:p w14:paraId="0825A162"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18.81</w:t>
            </w:r>
          </w:p>
        </w:tc>
      </w:tr>
      <w:tr w:rsidR="00B64262" w:rsidRPr="008638B1" w14:paraId="62446F2C" w14:textId="77777777" w:rsidTr="006E4489">
        <w:trPr>
          <w:trHeight w:val="528"/>
          <w:jc w:val="center"/>
        </w:trPr>
        <w:tc>
          <w:tcPr>
            <w:tcW w:w="1599" w:type="dxa"/>
            <w:shd w:val="clear" w:color="auto" w:fill="auto"/>
            <w:noWrap/>
            <w:vAlign w:val="center"/>
            <w:hideMark/>
          </w:tcPr>
          <w:p w14:paraId="4FE6BEE7"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3</w:t>
            </w:r>
          </w:p>
        </w:tc>
        <w:tc>
          <w:tcPr>
            <w:tcW w:w="3367" w:type="dxa"/>
            <w:shd w:val="clear" w:color="auto" w:fill="auto"/>
            <w:noWrap/>
            <w:vAlign w:val="center"/>
            <w:hideMark/>
          </w:tcPr>
          <w:p w14:paraId="62369462"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2200-2400 mm</w:t>
            </w:r>
          </w:p>
        </w:tc>
        <w:tc>
          <w:tcPr>
            <w:tcW w:w="1937" w:type="dxa"/>
            <w:shd w:val="clear" w:color="auto" w:fill="auto"/>
            <w:noWrap/>
            <w:vAlign w:val="center"/>
            <w:hideMark/>
          </w:tcPr>
          <w:p w14:paraId="62E76617"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52.19</w:t>
            </w:r>
          </w:p>
        </w:tc>
      </w:tr>
      <w:tr w:rsidR="00253875" w:rsidRPr="008638B1" w14:paraId="299A7EB6" w14:textId="77777777" w:rsidTr="006E4489">
        <w:trPr>
          <w:trHeight w:val="528"/>
          <w:jc w:val="center"/>
        </w:trPr>
        <w:tc>
          <w:tcPr>
            <w:tcW w:w="1599" w:type="dxa"/>
            <w:tcBorders>
              <w:bottom w:val="single" w:sz="4" w:space="0" w:color="auto"/>
            </w:tcBorders>
            <w:shd w:val="clear" w:color="auto" w:fill="auto"/>
            <w:noWrap/>
            <w:vAlign w:val="center"/>
            <w:hideMark/>
          </w:tcPr>
          <w:p w14:paraId="7669DD9F"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4</w:t>
            </w:r>
          </w:p>
        </w:tc>
        <w:tc>
          <w:tcPr>
            <w:tcW w:w="3367" w:type="dxa"/>
            <w:tcBorders>
              <w:bottom w:val="single" w:sz="4" w:space="0" w:color="auto"/>
            </w:tcBorders>
            <w:shd w:val="clear" w:color="auto" w:fill="auto"/>
            <w:noWrap/>
            <w:vAlign w:val="center"/>
            <w:hideMark/>
          </w:tcPr>
          <w:p w14:paraId="56681984"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2400-2600 mm</w:t>
            </w:r>
          </w:p>
        </w:tc>
        <w:tc>
          <w:tcPr>
            <w:tcW w:w="1937" w:type="dxa"/>
            <w:tcBorders>
              <w:bottom w:val="single" w:sz="4" w:space="0" w:color="auto"/>
            </w:tcBorders>
            <w:shd w:val="clear" w:color="auto" w:fill="auto"/>
            <w:noWrap/>
            <w:vAlign w:val="center"/>
            <w:hideMark/>
          </w:tcPr>
          <w:p w14:paraId="72A7C76C"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28.83</w:t>
            </w:r>
          </w:p>
        </w:tc>
      </w:tr>
    </w:tbl>
    <w:p w14:paraId="26FBC4FD" w14:textId="77777777" w:rsidR="00253875" w:rsidRPr="008638B1" w:rsidRDefault="00253875" w:rsidP="00253875">
      <w:pPr>
        <w:spacing w:line="360" w:lineRule="auto"/>
        <w:rPr>
          <w:rFonts w:ascii="Arial" w:eastAsia="Calibri" w:hAnsi="Arial" w:cs="Arial"/>
          <w:sz w:val="20"/>
          <w:szCs w:val="20"/>
        </w:rPr>
      </w:pPr>
    </w:p>
    <w:p w14:paraId="23C0F295" w14:textId="77777777" w:rsidR="00253875" w:rsidRPr="008638B1" w:rsidRDefault="00253875" w:rsidP="00253875">
      <w:pPr>
        <w:pStyle w:val="ListParagraph"/>
        <w:numPr>
          <w:ilvl w:val="1"/>
          <w:numId w:val="3"/>
        </w:numPr>
        <w:spacing w:after="240" w:line="360" w:lineRule="auto"/>
        <w:rPr>
          <w:rFonts w:ascii="Arial" w:eastAsia="Calibri" w:hAnsi="Arial" w:cs="Arial"/>
          <w:b/>
          <w:sz w:val="20"/>
          <w:szCs w:val="20"/>
        </w:rPr>
      </w:pPr>
      <w:r w:rsidRPr="008638B1">
        <w:rPr>
          <w:rFonts w:ascii="Arial" w:eastAsia="Calibri" w:hAnsi="Arial" w:cs="Arial"/>
          <w:b/>
          <w:sz w:val="20"/>
          <w:szCs w:val="20"/>
        </w:rPr>
        <w:t xml:space="preserve">Aridity Estimates for Mahi Basin </w:t>
      </w:r>
    </w:p>
    <w:p w14:paraId="3C26FB59" w14:textId="77777777" w:rsidR="00253875" w:rsidRPr="008638B1" w:rsidRDefault="00253875" w:rsidP="00253875">
      <w:pPr>
        <w:spacing w:line="360" w:lineRule="auto"/>
        <w:jc w:val="both"/>
        <w:rPr>
          <w:rFonts w:ascii="Arial" w:eastAsia="Calibri" w:hAnsi="Arial" w:cs="Arial"/>
          <w:bCs/>
          <w:sz w:val="20"/>
          <w:szCs w:val="20"/>
        </w:rPr>
      </w:pPr>
      <w:r w:rsidRPr="008638B1">
        <w:rPr>
          <w:rFonts w:ascii="Arial" w:eastAsia="Calibri" w:hAnsi="Arial" w:cs="Arial"/>
          <w:bCs/>
          <w:sz w:val="20"/>
          <w:szCs w:val="20"/>
        </w:rPr>
        <w:t>Aridity estimates for the Mahi Basin reveal spatial and temporal variations influenced by rainfall and evapotranspiration patterns. Based on various aridity indices, the basin exhibits semi-arid to dry sub-humid conditions. Increasing temperatures and declining rainfall in future projections suggest a potential intensification of aridity, highlighting the need for sustainable water resource planning and climate-resilient strategies.</w:t>
      </w:r>
    </w:p>
    <w:p w14:paraId="3E85482B"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4.4.1. Aridity</w:t>
      </w:r>
      <w:r w:rsidRPr="008638B1">
        <w:rPr>
          <w:rFonts w:ascii="Arial" w:eastAsia="Calibri" w:hAnsi="Arial" w:cs="Arial"/>
          <w:sz w:val="20"/>
          <w:szCs w:val="20"/>
        </w:rPr>
        <w:t xml:space="preserve"> </w:t>
      </w:r>
      <w:r w:rsidRPr="008638B1">
        <w:rPr>
          <w:rFonts w:ascii="Arial" w:eastAsia="Calibri" w:hAnsi="Arial" w:cs="Arial"/>
          <w:b/>
          <w:sz w:val="20"/>
          <w:szCs w:val="20"/>
        </w:rPr>
        <w:t>during baseline period (1961-90)</w:t>
      </w:r>
    </w:p>
    <w:p w14:paraId="1A2E745D" w14:textId="77777777" w:rsidR="00253875" w:rsidRPr="008638B1" w:rsidRDefault="00253875" w:rsidP="00253875">
      <w:pPr>
        <w:spacing w:line="360" w:lineRule="auto"/>
        <w:jc w:val="both"/>
        <w:rPr>
          <w:rFonts w:ascii="Arial" w:eastAsia="Calibri" w:hAnsi="Arial" w:cs="Arial"/>
          <w:bCs/>
          <w:sz w:val="20"/>
          <w:szCs w:val="20"/>
        </w:rPr>
      </w:pPr>
      <w:r w:rsidRPr="008638B1">
        <w:rPr>
          <w:rFonts w:ascii="Arial" w:eastAsia="Calibri" w:hAnsi="Arial" w:cs="Arial"/>
          <w:bCs/>
          <w:sz w:val="20"/>
          <w:szCs w:val="20"/>
        </w:rPr>
        <w:lastRenderedPageBreak/>
        <w:t>During the baseline period (1961–1990), the Mahi River Basin predominantly exhibited semi-arid to dry sub-humid climatic conditions. Aridity Index values calculated using standard methods indicated a moderate moisture deficit across the basin, with higher aridity observed in the northern and central regions. These conditions were primarily driven by low annual rainfall and high potential evapotranspiration, particularly during the summer months.</w:t>
      </w:r>
    </w:p>
    <w:p w14:paraId="0332C5FE" w14:textId="77777777" w:rsidR="00253875" w:rsidRPr="008638B1" w:rsidRDefault="00253875" w:rsidP="00253875">
      <w:pPr>
        <w:spacing w:after="240" w:line="360" w:lineRule="auto"/>
        <w:rPr>
          <w:rFonts w:ascii="Arial" w:eastAsia="Calibri" w:hAnsi="Arial" w:cs="Arial"/>
          <w:b/>
          <w:bCs/>
          <w:sz w:val="20"/>
          <w:szCs w:val="20"/>
        </w:rPr>
      </w:pPr>
      <w:r w:rsidRPr="008638B1">
        <w:rPr>
          <w:rFonts w:ascii="Arial" w:eastAsia="Calibri" w:hAnsi="Arial" w:cs="Arial"/>
          <w:b/>
          <w:bCs/>
          <w:sz w:val="20"/>
          <w:szCs w:val="20"/>
        </w:rPr>
        <w:t>4.4.1.1 UNEP Aridity index</w:t>
      </w:r>
    </w:p>
    <w:p w14:paraId="4DE24936"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spatial variation of the UNEP Aridity index based on the </w:t>
      </w:r>
      <w:proofErr w:type="spellStart"/>
      <w:r w:rsidRPr="008638B1">
        <w:rPr>
          <w:rFonts w:ascii="Arial" w:eastAsia="Calibri" w:hAnsi="Arial" w:cs="Arial"/>
          <w:sz w:val="20"/>
          <w:szCs w:val="20"/>
        </w:rPr>
        <w:t>Thornthwaite</w:t>
      </w:r>
      <w:proofErr w:type="spellEnd"/>
      <w:r w:rsidRPr="008638B1">
        <w:rPr>
          <w:rFonts w:ascii="Arial" w:eastAsia="Calibri" w:hAnsi="Arial" w:cs="Arial"/>
          <w:sz w:val="20"/>
          <w:szCs w:val="20"/>
        </w:rPr>
        <w:t xml:space="preserve"> method of PET estimation during the baseline period is shown in Figure 14 and the area under the various aridity classes is given in Table 10.</w:t>
      </w:r>
    </w:p>
    <w:p w14:paraId="7D1F6F56"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drawing>
          <wp:inline distT="0" distB="0" distL="0" distR="0" wp14:anchorId="1A4BB59E" wp14:editId="65832924">
            <wp:extent cx="4468703" cy="3159184"/>
            <wp:effectExtent l="0" t="0" r="8255" b="3175"/>
            <wp:docPr id="30" name="Picture 30" descr="C:\Users\user\Desktop\thesis work\spatial map\thronthwaite\AI\AI(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hesis work\spatial map\thronthwaite\AI\AI(1961-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2569" cy="3161917"/>
                    </a:xfrm>
                    <a:prstGeom prst="rect">
                      <a:avLst/>
                    </a:prstGeom>
                    <a:noFill/>
                    <a:ln>
                      <a:noFill/>
                    </a:ln>
                  </pic:spPr>
                </pic:pic>
              </a:graphicData>
            </a:graphic>
          </wp:inline>
        </w:drawing>
      </w:r>
    </w:p>
    <w:p w14:paraId="39FF3B77" w14:textId="77777777" w:rsidR="00253875" w:rsidRPr="008F786C" w:rsidRDefault="00253875" w:rsidP="00253875">
      <w:pPr>
        <w:tabs>
          <w:tab w:val="center" w:pos="4442"/>
          <w:tab w:val="right" w:pos="9026"/>
        </w:tabs>
        <w:spacing w:line="360" w:lineRule="auto"/>
        <w:ind w:left="-142"/>
        <w:rPr>
          <w:rFonts w:ascii="Arial" w:eastAsia="Calibri" w:hAnsi="Arial" w:cs="Arial"/>
          <w:b/>
          <w:bCs/>
          <w:sz w:val="20"/>
          <w:szCs w:val="20"/>
        </w:rPr>
      </w:pPr>
      <w:r w:rsidRPr="008638B1">
        <w:rPr>
          <w:rFonts w:ascii="Arial" w:eastAsia="Calibri" w:hAnsi="Arial" w:cs="Arial"/>
          <w:sz w:val="20"/>
          <w:szCs w:val="20"/>
        </w:rPr>
        <w:tab/>
      </w:r>
      <w:r w:rsidRPr="008F786C">
        <w:rPr>
          <w:rFonts w:ascii="Arial" w:eastAsia="Calibri" w:hAnsi="Arial" w:cs="Arial"/>
          <w:b/>
          <w:bCs/>
          <w:sz w:val="20"/>
          <w:szCs w:val="20"/>
        </w:rPr>
        <w:t>Figure 14: Area under various AI classes during (1961-90) using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vertAlign w:val="subscript"/>
        </w:rPr>
        <w:tab/>
      </w:r>
    </w:p>
    <w:p w14:paraId="0F991C93"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It can be observed that the north western part of the basin located in Udaipur and small part of </w:t>
      </w:r>
      <w:proofErr w:type="spellStart"/>
      <w:r w:rsidRPr="008638B1">
        <w:rPr>
          <w:rFonts w:ascii="Arial" w:eastAsia="Calibri" w:hAnsi="Arial" w:cs="Arial"/>
          <w:sz w:val="20"/>
          <w:szCs w:val="20"/>
        </w:rPr>
        <w:t>Jhabua</w:t>
      </w:r>
      <w:proofErr w:type="spellEnd"/>
      <w:r w:rsidRPr="008638B1">
        <w:rPr>
          <w:rFonts w:ascii="Arial" w:eastAsia="Calibri" w:hAnsi="Arial" w:cs="Arial"/>
          <w:sz w:val="20"/>
          <w:szCs w:val="20"/>
        </w:rPr>
        <w:t xml:space="preserve"> district is under the semi-arid class whereas the remaining districts in the basin are mostly dry sub-humid.</w:t>
      </w:r>
    </w:p>
    <w:p w14:paraId="7FE9ECCB" w14:textId="77777777" w:rsidR="00253875" w:rsidRPr="008F786C" w:rsidRDefault="00253875" w:rsidP="00253875">
      <w:pPr>
        <w:spacing w:after="240" w:line="360" w:lineRule="auto"/>
        <w:ind w:firstLine="720"/>
        <w:jc w:val="both"/>
        <w:rPr>
          <w:rFonts w:ascii="Arial" w:eastAsia="Calibri" w:hAnsi="Arial" w:cs="Arial"/>
          <w:b/>
          <w:bCs/>
          <w:sz w:val="20"/>
          <w:szCs w:val="20"/>
        </w:rPr>
      </w:pPr>
      <w:r w:rsidRPr="008F786C">
        <w:rPr>
          <w:rFonts w:ascii="Arial" w:eastAsia="Calibri" w:hAnsi="Arial" w:cs="Arial"/>
          <w:b/>
          <w:bCs/>
          <w:sz w:val="20"/>
          <w:szCs w:val="20"/>
        </w:rPr>
        <w:t>Table 10: Area under various AI classes during (1961-90) using PET</w:t>
      </w:r>
      <w:r w:rsidRPr="008F786C">
        <w:rPr>
          <w:rFonts w:ascii="Arial" w:eastAsia="Calibri" w:hAnsi="Arial" w:cs="Arial"/>
          <w:b/>
          <w:bCs/>
          <w:sz w:val="20"/>
          <w:szCs w:val="20"/>
          <w:vertAlign w:val="subscript"/>
        </w:rPr>
        <w:t>TH</w:t>
      </w:r>
    </w:p>
    <w:tbl>
      <w:tblPr>
        <w:tblW w:w="6852" w:type="dxa"/>
        <w:jc w:val="center"/>
        <w:tblBorders>
          <w:top w:val="single" w:sz="4" w:space="0" w:color="auto"/>
          <w:bottom w:val="single" w:sz="4" w:space="0" w:color="auto"/>
        </w:tblBorders>
        <w:tblLook w:val="04A0" w:firstRow="1" w:lastRow="0" w:firstColumn="1" w:lastColumn="0" w:noHBand="0" w:noVBand="1"/>
      </w:tblPr>
      <w:tblGrid>
        <w:gridCol w:w="1010"/>
        <w:gridCol w:w="2818"/>
        <w:gridCol w:w="1890"/>
        <w:gridCol w:w="1134"/>
      </w:tblGrid>
      <w:tr w:rsidR="00B64262" w:rsidRPr="008638B1" w14:paraId="773CE530" w14:textId="77777777" w:rsidTr="006E4489">
        <w:trPr>
          <w:trHeight w:val="300"/>
          <w:jc w:val="center"/>
        </w:trPr>
        <w:tc>
          <w:tcPr>
            <w:tcW w:w="1010" w:type="dxa"/>
            <w:tcBorders>
              <w:top w:val="single" w:sz="4" w:space="0" w:color="auto"/>
              <w:bottom w:val="single" w:sz="4" w:space="0" w:color="auto"/>
            </w:tcBorders>
            <w:shd w:val="clear" w:color="auto" w:fill="auto"/>
            <w:noWrap/>
            <w:vAlign w:val="center"/>
            <w:hideMark/>
          </w:tcPr>
          <w:p w14:paraId="4C2E2D31"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2818" w:type="dxa"/>
            <w:tcBorders>
              <w:top w:val="single" w:sz="4" w:space="0" w:color="auto"/>
              <w:bottom w:val="single" w:sz="4" w:space="0" w:color="auto"/>
            </w:tcBorders>
            <w:shd w:val="clear" w:color="auto" w:fill="auto"/>
            <w:noWrap/>
            <w:vAlign w:val="center"/>
            <w:hideMark/>
          </w:tcPr>
          <w:p w14:paraId="22889DF9"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(1961-90</w:t>
            </w:r>
            <w:r w:rsidRPr="008638B1">
              <w:rPr>
                <w:rFonts w:ascii="Arial" w:eastAsia="Times New Roman" w:hAnsi="Arial" w:cs="Arial"/>
                <w:b/>
                <w:bCs/>
                <w:sz w:val="20"/>
                <w:szCs w:val="20"/>
                <w:lang w:eastAsia="en-IN"/>
              </w:rPr>
              <w:t>)</w:t>
            </w:r>
          </w:p>
        </w:tc>
        <w:tc>
          <w:tcPr>
            <w:tcW w:w="1890" w:type="dxa"/>
            <w:tcBorders>
              <w:top w:val="single" w:sz="4" w:space="0" w:color="auto"/>
              <w:bottom w:val="single" w:sz="4" w:space="0" w:color="auto"/>
            </w:tcBorders>
          </w:tcPr>
          <w:p w14:paraId="6E2125E2"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134" w:type="dxa"/>
            <w:tcBorders>
              <w:top w:val="single" w:sz="4" w:space="0" w:color="auto"/>
              <w:bottom w:val="single" w:sz="4" w:space="0" w:color="auto"/>
            </w:tcBorders>
            <w:vAlign w:val="center"/>
          </w:tcPr>
          <w:p w14:paraId="08B7336F"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34CD3A9C" w14:textId="77777777" w:rsidTr="006E4489">
        <w:trPr>
          <w:trHeight w:val="300"/>
          <w:jc w:val="center"/>
        </w:trPr>
        <w:tc>
          <w:tcPr>
            <w:tcW w:w="1010" w:type="dxa"/>
            <w:tcBorders>
              <w:top w:val="single" w:sz="4" w:space="0" w:color="auto"/>
            </w:tcBorders>
            <w:shd w:val="clear" w:color="auto" w:fill="auto"/>
            <w:noWrap/>
            <w:vAlign w:val="center"/>
            <w:hideMark/>
          </w:tcPr>
          <w:p w14:paraId="763167A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2818" w:type="dxa"/>
            <w:tcBorders>
              <w:top w:val="single" w:sz="4" w:space="0" w:color="auto"/>
            </w:tcBorders>
            <w:shd w:val="clear" w:color="auto" w:fill="auto"/>
            <w:noWrap/>
            <w:vAlign w:val="center"/>
            <w:hideMark/>
          </w:tcPr>
          <w:p w14:paraId="606296BC"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0.2-0.50 </w:t>
            </w:r>
          </w:p>
        </w:tc>
        <w:tc>
          <w:tcPr>
            <w:tcW w:w="1890" w:type="dxa"/>
            <w:tcBorders>
              <w:top w:val="single" w:sz="4" w:space="0" w:color="auto"/>
            </w:tcBorders>
          </w:tcPr>
          <w:p w14:paraId="413D8A21"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134" w:type="dxa"/>
            <w:tcBorders>
              <w:top w:val="single" w:sz="4" w:space="0" w:color="auto"/>
            </w:tcBorders>
            <w:vAlign w:val="center"/>
          </w:tcPr>
          <w:p w14:paraId="70E8FA0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9.71</w:t>
            </w:r>
          </w:p>
        </w:tc>
      </w:tr>
      <w:tr w:rsidR="00253875" w:rsidRPr="008638B1" w14:paraId="57C9B27E" w14:textId="77777777" w:rsidTr="006E4489">
        <w:trPr>
          <w:trHeight w:val="300"/>
          <w:jc w:val="center"/>
        </w:trPr>
        <w:tc>
          <w:tcPr>
            <w:tcW w:w="1010" w:type="dxa"/>
            <w:shd w:val="clear" w:color="auto" w:fill="auto"/>
            <w:noWrap/>
            <w:vAlign w:val="center"/>
            <w:hideMark/>
          </w:tcPr>
          <w:p w14:paraId="404E389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2818" w:type="dxa"/>
            <w:shd w:val="clear" w:color="auto" w:fill="auto"/>
            <w:noWrap/>
            <w:vAlign w:val="center"/>
            <w:hideMark/>
          </w:tcPr>
          <w:p w14:paraId="13DD71A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0.50-0.65 </w:t>
            </w:r>
          </w:p>
        </w:tc>
        <w:tc>
          <w:tcPr>
            <w:tcW w:w="1890" w:type="dxa"/>
          </w:tcPr>
          <w:p w14:paraId="315E4FD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Dry Sub-Humid</w:t>
            </w:r>
          </w:p>
        </w:tc>
        <w:tc>
          <w:tcPr>
            <w:tcW w:w="1134" w:type="dxa"/>
            <w:vAlign w:val="center"/>
          </w:tcPr>
          <w:p w14:paraId="0A28BC3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90.27</w:t>
            </w:r>
          </w:p>
        </w:tc>
      </w:tr>
    </w:tbl>
    <w:p w14:paraId="6FD1792B" w14:textId="77777777" w:rsidR="00253875" w:rsidRPr="008638B1" w:rsidRDefault="00253875" w:rsidP="00253875">
      <w:pPr>
        <w:spacing w:line="360" w:lineRule="auto"/>
        <w:rPr>
          <w:rFonts w:ascii="Arial" w:eastAsia="Calibri" w:hAnsi="Arial" w:cs="Arial"/>
          <w:b/>
          <w:sz w:val="20"/>
          <w:szCs w:val="20"/>
        </w:rPr>
      </w:pPr>
    </w:p>
    <w:p w14:paraId="522247F4"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4.4.1.2 De </w:t>
      </w:r>
      <w:proofErr w:type="spellStart"/>
      <w:r w:rsidRPr="008638B1">
        <w:rPr>
          <w:rFonts w:ascii="Arial" w:eastAsia="Calibri" w:hAnsi="Arial" w:cs="Arial"/>
          <w:b/>
          <w:sz w:val="20"/>
          <w:szCs w:val="20"/>
        </w:rPr>
        <w:t>Martonne</w:t>
      </w:r>
      <w:proofErr w:type="spellEnd"/>
      <w:r w:rsidRPr="008638B1">
        <w:rPr>
          <w:rFonts w:ascii="Arial" w:eastAsia="Calibri" w:hAnsi="Arial" w:cs="Arial"/>
          <w:b/>
          <w:sz w:val="20"/>
          <w:szCs w:val="20"/>
        </w:rPr>
        <w:t xml:space="preserve"> Aridity Index </w:t>
      </w:r>
    </w:p>
    <w:p w14:paraId="082F33AF"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lastRenderedPageBreak/>
        <w:t xml:space="preserve">The spatial variation of 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(I</w:t>
      </w:r>
      <w:r w:rsidRPr="008638B1">
        <w:rPr>
          <w:rFonts w:ascii="Arial" w:eastAsia="Calibri" w:hAnsi="Arial" w:cs="Arial"/>
          <w:sz w:val="20"/>
          <w:szCs w:val="20"/>
          <w:vertAlign w:val="subscript"/>
        </w:rPr>
        <w:t>DM</w:t>
      </w:r>
      <w:r w:rsidRPr="008638B1">
        <w:rPr>
          <w:rFonts w:ascii="Arial" w:eastAsia="Calibri" w:hAnsi="Arial" w:cs="Arial"/>
          <w:sz w:val="20"/>
          <w:szCs w:val="20"/>
        </w:rPr>
        <w:t xml:space="preserve">) during the baseline period is shown in Figure 15 and the area under the various aridity classes is given in Table 11. It can be observed that the aridity in Mahi basin varies between semi-arid to humid. </w:t>
      </w:r>
    </w:p>
    <w:p w14:paraId="15DE8476" w14:textId="77777777" w:rsidR="00253875" w:rsidRPr="008638B1" w:rsidRDefault="00253875" w:rsidP="008F786C">
      <w:pPr>
        <w:spacing w:after="0" w:line="360" w:lineRule="auto"/>
        <w:jc w:val="center"/>
        <w:rPr>
          <w:rFonts w:ascii="Arial" w:eastAsia="Calibri" w:hAnsi="Arial" w:cs="Arial"/>
          <w:sz w:val="20"/>
          <w:szCs w:val="20"/>
        </w:rPr>
      </w:pPr>
      <w:r w:rsidRPr="008638B1">
        <w:rPr>
          <w:rFonts w:ascii="Arial" w:eastAsia="Calibri" w:hAnsi="Arial" w:cs="Arial"/>
          <w:noProof/>
          <w:sz w:val="20"/>
          <w:szCs w:val="20"/>
          <w:lang w:val="en-US"/>
        </w:rPr>
        <w:drawing>
          <wp:inline distT="0" distB="0" distL="0" distR="0" wp14:anchorId="73CE3380" wp14:editId="489AA525">
            <wp:extent cx="4785632" cy="33857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4428" cy="3391958"/>
                    </a:xfrm>
                    <a:prstGeom prst="rect">
                      <a:avLst/>
                    </a:prstGeom>
                    <a:noFill/>
                  </pic:spPr>
                </pic:pic>
              </a:graphicData>
            </a:graphic>
          </wp:inline>
        </w:drawing>
      </w:r>
    </w:p>
    <w:p w14:paraId="148C6C13"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 xml:space="preserve">Figure 15: Area under various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Aridity index classes during (1961-90)</w:t>
      </w:r>
    </w:p>
    <w:p w14:paraId="6A1ADA22"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 xml:space="preserve">The semi-arid zones are located in the western parts of Udaipur district whereas the majority of the basin is under Mediterranean climate which resembles the dry sub-humid class as per the UNEP Climate Classification. Some of the districts in the upper reaches including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Pratapgarh</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Ratlam</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Jhabua</w:t>
      </w:r>
      <w:proofErr w:type="spellEnd"/>
      <w:r w:rsidRPr="008638B1">
        <w:rPr>
          <w:rFonts w:ascii="Arial" w:eastAsia="Calibri" w:hAnsi="Arial" w:cs="Arial"/>
          <w:sz w:val="20"/>
          <w:szCs w:val="20"/>
        </w:rPr>
        <w:t xml:space="preserve"> and Dhar have semi-humid climate. About 57.5% of the study area is under </w:t>
      </w:r>
      <w:proofErr w:type="spellStart"/>
      <w:r w:rsidRPr="008638B1">
        <w:rPr>
          <w:rFonts w:ascii="Arial" w:eastAsia="Calibri" w:hAnsi="Arial" w:cs="Arial"/>
          <w:sz w:val="20"/>
          <w:szCs w:val="20"/>
        </w:rPr>
        <w:t>m</w:t>
      </w:r>
      <w:r w:rsidRPr="008638B1">
        <w:rPr>
          <w:rFonts w:ascii="Arial" w:eastAsia="Times New Roman" w:hAnsi="Arial" w:cs="Arial"/>
          <w:sz w:val="20"/>
          <w:szCs w:val="20"/>
          <w:lang w:eastAsia="en-IN"/>
        </w:rPr>
        <w:t>editerranean</w:t>
      </w:r>
      <w:proofErr w:type="spellEnd"/>
      <w:r w:rsidRPr="008638B1">
        <w:rPr>
          <w:rFonts w:ascii="Arial" w:eastAsia="Calibri" w:hAnsi="Arial" w:cs="Arial"/>
          <w:sz w:val="20"/>
          <w:szCs w:val="20"/>
        </w:rPr>
        <w:t xml:space="preserve"> (dry sub-humid) climate followed by 39.8% under semi-humid climate.</w:t>
      </w:r>
    </w:p>
    <w:p w14:paraId="232F4443" w14:textId="77777777" w:rsidR="00253875" w:rsidRPr="008F786C" w:rsidRDefault="00253875" w:rsidP="00253875">
      <w:pPr>
        <w:spacing w:after="0" w:line="360" w:lineRule="auto"/>
        <w:ind w:left="-288"/>
        <w:jc w:val="center"/>
        <w:rPr>
          <w:rFonts w:ascii="Arial" w:eastAsia="Calibri" w:hAnsi="Arial" w:cs="Arial"/>
          <w:b/>
          <w:bCs/>
          <w:sz w:val="20"/>
          <w:szCs w:val="20"/>
        </w:rPr>
      </w:pPr>
      <w:r w:rsidRPr="008F786C">
        <w:rPr>
          <w:rFonts w:ascii="Arial" w:eastAsia="Calibri" w:hAnsi="Arial" w:cs="Arial"/>
          <w:b/>
          <w:bCs/>
          <w:sz w:val="20"/>
          <w:szCs w:val="20"/>
        </w:rPr>
        <w:t xml:space="preserve">Table 11: Area under various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Aridity index classes during (1961-90)</w:t>
      </w:r>
    </w:p>
    <w:tbl>
      <w:tblPr>
        <w:tblpPr w:leftFromText="180" w:rightFromText="180" w:vertAnchor="text" w:horzAnchor="margin" w:tblpXSpec="center" w:tblpY="414"/>
        <w:tblW w:w="5925" w:type="dxa"/>
        <w:tblBorders>
          <w:top w:val="single" w:sz="4" w:space="0" w:color="auto"/>
          <w:bottom w:val="single" w:sz="4" w:space="0" w:color="auto"/>
        </w:tblBorders>
        <w:tblLook w:val="04A0" w:firstRow="1" w:lastRow="0" w:firstColumn="1" w:lastColumn="0" w:noHBand="0" w:noVBand="1"/>
      </w:tblPr>
      <w:tblGrid>
        <w:gridCol w:w="1276"/>
        <w:gridCol w:w="1610"/>
        <w:gridCol w:w="1616"/>
        <w:gridCol w:w="1423"/>
      </w:tblGrid>
      <w:tr w:rsidR="00B64262" w:rsidRPr="008638B1" w14:paraId="23DA4E67" w14:textId="77777777" w:rsidTr="006E4489">
        <w:trPr>
          <w:trHeight w:val="300"/>
        </w:trPr>
        <w:tc>
          <w:tcPr>
            <w:tcW w:w="1276" w:type="dxa"/>
            <w:tcBorders>
              <w:top w:val="single" w:sz="4" w:space="0" w:color="auto"/>
              <w:bottom w:val="single" w:sz="4" w:space="0" w:color="auto"/>
            </w:tcBorders>
            <w:shd w:val="clear" w:color="auto" w:fill="auto"/>
            <w:noWrap/>
            <w:vAlign w:val="center"/>
            <w:hideMark/>
          </w:tcPr>
          <w:p w14:paraId="675A861E"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610" w:type="dxa"/>
            <w:tcBorders>
              <w:top w:val="single" w:sz="4" w:space="0" w:color="auto"/>
              <w:bottom w:val="single" w:sz="4" w:space="0" w:color="auto"/>
            </w:tcBorders>
            <w:shd w:val="clear" w:color="auto" w:fill="auto"/>
            <w:noWrap/>
            <w:vAlign w:val="center"/>
            <w:hideMark/>
          </w:tcPr>
          <w:p w14:paraId="16D82D8E"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(1961-90</w:t>
            </w:r>
            <w:r w:rsidRPr="008638B1">
              <w:rPr>
                <w:rFonts w:ascii="Arial" w:eastAsia="Times New Roman" w:hAnsi="Arial" w:cs="Arial"/>
                <w:b/>
                <w:bCs/>
                <w:sz w:val="20"/>
                <w:szCs w:val="20"/>
                <w:lang w:eastAsia="en-IN"/>
              </w:rPr>
              <w:t>)</w:t>
            </w:r>
          </w:p>
        </w:tc>
        <w:tc>
          <w:tcPr>
            <w:tcW w:w="1616" w:type="dxa"/>
            <w:tcBorders>
              <w:top w:val="single" w:sz="4" w:space="0" w:color="auto"/>
              <w:bottom w:val="single" w:sz="4" w:space="0" w:color="auto"/>
            </w:tcBorders>
          </w:tcPr>
          <w:p w14:paraId="7E584F56"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423" w:type="dxa"/>
            <w:tcBorders>
              <w:top w:val="single" w:sz="4" w:space="0" w:color="auto"/>
              <w:bottom w:val="single" w:sz="4" w:space="0" w:color="auto"/>
            </w:tcBorders>
            <w:shd w:val="clear" w:color="auto" w:fill="auto"/>
            <w:noWrap/>
            <w:vAlign w:val="center"/>
            <w:hideMark/>
          </w:tcPr>
          <w:p w14:paraId="1CE8A3A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60AAB778" w14:textId="77777777" w:rsidTr="006E4489">
        <w:trPr>
          <w:trHeight w:val="300"/>
        </w:trPr>
        <w:tc>
          <w:tcPr>
            <w:tcW w:w="1276" w:type="dxa"/>
            <w:tcBorders>
              <w:top w:val="single" w:sz="4" w:space="0" w:color="auto"/>
            </w:tcBorders>
            <w:shd w:val="clear" w:color="auto" w:fill="auto"/>
            <w:noWrap/>
            <w:vAlign w:val="bottom"/>
            <w:hideMark/>
          </w:tcPr>
          <w:p w14:paraId="08FE830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610" w:type="dxa"/>
            <w:tcBorders>
              <w:top w:val="single" w:sz="4" w:space="0" w:color="auto"/>
            </w:tcBorders>
            <w:shd w:val="clear" w:color="auto" w:fill="auto"/>
            <w:noWrap/>
            <w:vAlign w:val="bottom"/>
            <w:hideMark/>
          </w:tcPr>
          <w:p w14:paraId="26F4C96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616" w:type="dxa"/>
            <w:tcBorders>
              <w:top w:val="single" w:sz="4" w:space="0" w:color="auto"/>
            </w:tcBorders>
          </w:tcPr>
          <w:p w14:paraId="17DF60EB"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423" w:type="dxa"/>
            <w:tcBorders>
              <w:top w:val="single" w:sz="4" w:space="0" w:color="auto"/>
            </w:tcBorders>
            <w:shd w:val="clear" w:color="auto" w:fill="auto"/>
            <w:noWrap/>
            <w:vAlign w:val="bottom"/>
            <w:hideMark/>
          </w:tcPr>
          <w:p w14:paraId="6F95CB7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1.91</w:t>
            </w:r>
          </w:p>
        </w:tc>
      </w:tr>
      <w:tr w:rsidR="00B64262" w:rsidRPr="008638B1" w14:paraId="7AE8EE69" w14:textId="77777777" w:rsidTr="006E4489">
        <w:trPr>
          <w:trHeight w:val="300"/>
        </w:trPr>
        <w:tc>
          <w:tcPr>
            <w:tcW w:w="1276" w:type="dxa"/>
            <w:shd w:val="clear" w:color="auto" w:fill="auto"/>
            <w:noWrap/>
            <w:vAlign w:val="bottom"/>
            <w:hideMark/>
          </w:tcPr>
          <w:p w14:paraId="104D558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610" w:type="dxa"/>
            <w:shd w:val="clear" w:color="auto" w:fill="auto"/>
            <w:noWrap/>
            <w:vAlign w:val="bottom"/>
            <w:hideMark/>
          </w:tcPr>
          <w:p w14:paraId="01D6FB3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20-24 </w:t>
            </w:r>
          </w:p>
        </w:tc>
        <w:tc>
          <w:tcPr>
            <w:tcW w:w="1616" w:type="dxa"/>
          </w:tcPr>
          <w:p w14:paraId="2F6FC79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Mediterranean</w:t>
            </w:r>
          </w:p>
        </w:tc>
        <w:tc>
          <w:tcPr>
            <w:tcW w:w="1423" w:type="dxa"/>
            <w:shd w:val="clear" w:color="auto" w:fill="auto"/>
            <w:noWrap/>
            <w:vAlign w:val="bottom"/>
            <w:hideMark/>
          </w:tcPr>
          <w:p w14:paraId="6E48D38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57.53</w:t>
            </w:r>
          </w:p>
        </w:tc>
      </w:tr>
      <w:tr w:rsidR="00B64262" w:rsidRPr="008638B1" w14:paraId="74380E6B" w14:textId="77777777" w:rsidTr="006E4489">
        <w:trPr>
          <w:trHeight w:val="300"/>
        </w:trPr>
        <w:tc>
          <w:tcPr>
            <w:tcW w:w="1276" w:type="dxa"/>
            <w:shd w:val="clear" w:color="auto" w:fill="auto"/>
            <w:noWrap/>
            <w:vAlign w:val="bottom"/>
            <w:hideMark/>
          </w:tcPr>
          <w:p w14:paraId="550F2DD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1610" w:type="dxa"/>
            <w:shd w:val="clear" w:color="auto" w:fill="auto"/>
            <w:noWrap/>
            <w:vAlign w:val="bottom"/>
            <w:hideMark/>
          </w:tcPr>
          <w:p w14:paraId="425ED9D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24-28 </w:t>
            </w:r>
          </w:p>
        </w:tc>
        <w:tc>
          <w:tcPr>
            <w:tcW w:w="1616" w:type="dxa"/>
          </w:tcPr>
          <w:p w14:paraId="4BD7D82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Semi-Humid</w:t>
            </w:r>
          </w:p>
        </w:tc>
        <w:tc>
          <w:tcPr>
            <w:tcW w:w="1423" w:type="dxa"/>
            <w:shd w:val="clear" w:color="auto" w:fill="auto"/>
            <w:noWrap/>
            <w:vAlign w:val="bottom"/>
            <w:hideMark/>
          </w:tcPr>
          <w:p w14:paraId="328D5D1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39.75</w:t>
            </w:r>
          </w:p>
        </w:tc>
      </w:tr>
      <w:tr w:rsidR="00B64262" w:rsidRPr="008638B1" w14:paraId="2E270B9C" w14:textId="77777777" w:rsidTr="006E4489">
        <w:trPr>
          <w:trHeight w:val="300"/>
        </w:trPr>
        <w:tc>
          <w:tcPr>
            <w:tcW w:w="1276" w:type="dxa"/>
            <w:shd w:val="clear" w:color="auto" w:fill="auto"/>
            <w:noWrap/>
            <w:vAlign w:val="bottom"/>
            <w:hideMark/>
          </w:tcPr>
          <w:p w14:paraId="258E166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4</w:t>
            </w:r>
          </w:p>
        </w:tc>
        <w:tc>
          <w:tcPr>
            <w:tcW w:w="1610" w:type="dxa"/>
            <w:shd w:val="clear" w:color="auto" w:fill="auto"/>
            <w:noWrap/>
            <w:vAlign w:val="bottom"/>
            <w:hideMark/>
          </w:tcPr>
          <w:p w14:paraId="56FD7CA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28-35 </w:t>
            </w:r>
          </w:p>
        </w:tc>
        <w:tc>
          <w:tcPr>
            <w:tcW w:w="1616" w:type="dxa"/>
          </w:tcPr>
          <w:p w14:paraId="55A3DE5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Humid</w:t>
            </w:r>
          </w:p>
        </w:tc>
        <w:tc>
          <w:tcPr>
            <w:tcW w:w="1423" w:type="dxa"/>
            <w:shd w:val="clear" w:color="auto" w:fill="auto"/>
            <w:noWrap/>
            <w:vAlign w:val="bottom"/>
            <w:hideMark/>
          </w:tcPr>
          <w:p w14:paraId="0A95C15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0.79</w:t>
            </w:r>
          </w:p>
        </w:tc>
      </w:tr>
    </w:tbl>
    <w:p w14:paraId="2AF533D1" w14:textId="77777777" w:rsidR="00253875" w:rsidRPr="008638B1" w:rsidRDefault="00253875" w:rsidP="00253875">
      <w:pPr>
        <w:spacing w:line="360" w:lineRule="auto"/>
        <w:rPr>
          <w:rFonts w:ascii="Arial" w:eastAsia="Calibri" w:hAnsi="Arial" w:cs="Arial"/>
          <w:sz w:val="20"/>
          <w:szCs w:val="20"/>
        </w:rPr>
      </w:pPr>
    </w:p>
    <w:p w14:paraId="1BD1B218" w14:textId="77777777" w:rsidR="00253875" w:rsidRPr="008638B1" w:rsidRDefault="00253875" w:rsidP="00253875">
      <w:pPr>
        <w:spacing w:line="360" w:lineRule="auto"/>
        <w:rPr>
          <w:rFonts w:ascii="Arial" w:eastAsia="Calibri" w:hAnsi="Arial" w:cs="Arial"/>
          <w:sz w:val="20"/>
          <w:szCs w:val="20"/>
        </w:rPr>
      </w:pPr>
    </w:p>
    <w:p w14:paraId="56A9FC0A" w14:textId="77777777" w:rsidR="00253875" w:rsidRPr="008638B1" w:rsidRDefault="00253875" w:rsidP="00253875">
      <w:pPr>
        <w:spacing w:line="360" w:lineRule="auto"/>
        <w:rPr>
          <w:rFonts w:ascii="Arial" w:eastAsia="Calibri" w:hAnsi="Arial" w:cs="Arial"/>
          <w:sz w:val="20"/>
          <w:szCs w:val="20"/>
        </w:rPr>
      </w:pPr>
    </w:p>
    <w:p w14:paraId="5236E3BF" w14:textId="77777777" w:rsidR="00253875" w:rsidRPr="008638B1" w:rsidRDefault="00253875" w:rsidP="00253875">
      <w:pPr>
        <w:spacing w:line="360" w:lineRule="auto"/>
        <w:rPr>
          <w:rFonts w:ascii="Arial" w:eastAsia="Calibri" w:hAnsi="Arial" w:cs="Arial"/>
          <w:b/>
          <w:sz w:val="20"/>
          <w:szCs w:val="20"/>
        </w:rPr>
      </w:pPr>
    </w:p>
    <w:p w14:paraId="1ECC079B" w14:textId="77777777" w:rsidR="00253875" w:rsidRPr="008638B1" w:rsidRDefault="00253875" w:rsidP="00253875">
      <w:pPr>
        <w:spacing w:line="360" w:lineRule="auto"/>
        <w:rPr>
          <w:rFonts w:ascii="Arial" w:eastAsia="Calibri" w:hAnsi="Arial" w:cs="Arial"/>
          <w:b/>
          <w:sz w:val="20"/>
          <w:szCs w:val="20"/>
        </w:rPr>
      </w:pPr>
    </w:p>
    <w:p w14:paraId="144C8A65"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4.4.1.3 Pinna Combinative Index </w:t>
      </w:r>
    </w:p>
    <w:p w14:paraId="57660A4C"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The spatial variation of the Pinna Combinative Index (I</w:t>
      </w:r>
      <w:r w:rsidRPr="008638B1">
        <w:rPr>
          <w:rFonts w:ascii="Arial" w:eastAsia="Calibri" w:hAnsi="Arial" w:cs="Arial"/>
          <w:sz w:val="20"/>
          <w:szCs w:val="20"/>
          <w:vertAlign w:val="subscript"/>
        </w:rPr>
        <w:t>P</w:t>
      </w:r>
      <w:r w:rsidRPr="008638B1">
        <w:rPr>
          <w:rFonts w:ascii="Arial" w:eastAsia="Calibri" w:hAnsi="Arial" w:cs="Arial"/>
          <w:sz w:val="20"/>
          <w:szCs w:val="20"/>
        </w:rPr>
        <w:t xml:space="preserve">) during the baseline period is shown in Figure 16. It can be observed that the aridity in Mahi basin varies between semi-arid to arid. </w:t>
      </w:r>
    </w:p>
    <w:p w14:paraId="00A5FC00"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6FBE48CA" wp14:editId="71FB711B">
            <wp:extent cx="3827528" cy="2705956"/>
            <wp:effectExtent l="0" t="0" r="1905" b="0"/>
            <wp:docPr id="32" name="Picture 32" descr="C:\Users\user\Desktop\thesis work\spatial map\pinna combinative\AI(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pinna combinative\AI(1961-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5511" cy="2711600"/>
                    </a:xfrm>
                    <a:prstGeom prst="rect">
                      <a:avLst/>
                    </a:prstGeom>
                    <a:noFill/>
                    <a:ln>
                      <a:noFill/>
                    </a:ln>
                  </pic:spPr>
                </pic:pic>
              </a:graphicData>
            </a:graphic>
          </wp:inline>
        </w:drawing>
      </w:r>
    </w:p>
    <w:p w14:paraId="7AC13F2C" w14:textId="77777777" w:rsidR="00253875" w:rsidRPr="008F786C" w:rsidRDefault="00253875" w:rsidP="00253875">
      <w:pPr>
        <w:tabs>
          <w:tab w:val="center" w:pos="4442"/>
          <w:tab w:val="right" w:pos="9026"/>
        </w:tabs>
        <w:spacing w:line="360" w:lineRule="auto"/>
        <w:ind w:left="-142"/>
        <w:rPr>
          <w:rFonts w:ascii="Arial" w:eastAsia="Calibri" w:hAnsi="Arial" w:cs="Arial"/>
          <w:b/>
          <w:bCs/>
          <w:sz w:val="20"/>
          <w:szCs w:val="20"/>
        </w:rPr>
      </w:pPr>
      <w:r w:rsidRPr="008638B1">
        <w:rPr>
          <w:rFonts w:ascii="Arial" w:eastAsia="Calibri" w:hAnsi="Arial" w:cs="Arial"/>
          <w:sz w:val="20"/>
          <w:szCs w:val="20"/>
        </w:rPr>
        <w:tab/>
      </w:r>
      <w:r w:rsidRPr="008F786C">
        <w:rPr>
          <w:rFonts w:ascii="Arial" w:eastAsia="Calibri" w:hAnsi="Arial" w:cs="Arial"/>
          <w:b/>
          <w:bCs/>
          <w:sz w:val="20"/>
          <w:szCs w:val="20"/>
        </w:rPr>
        <w:t>Figure 16: Area under various Pinna Combinative Index classes during (1961-90)</w:t>
      </w:r>
    </w:p>
    <w:p w14:paraId="62A17D82" w14:textId="77777777" w:rsidR="00253875" w:rsidRPr="008638B1" w:rsidRDefault="00253875" w:rsidP="00253875">
      <w:pPr>
        <w:tabs>
          <w:tab w:val="center" w:pos="4442"/>
          <w:tab w:val="right" w:pos="9026"/>
        </w:tabs>
        <w:spacing w:line="360" w:lineRule="auto"/>
        <w:ind w:left="-142"/>
        <w:jc w:val="both"/>
        <w:rPr>
          <w:rFonts w:ascii="Arial" w:eastAsia="Calibri" w:hAnsi="Arial" w:cs="Arial"/>
          <w:sz w:val="20"/>
          <w:szCs w:val="20"/>
        </w:rPr>
      </w:pPr>
      <w:r w:rsidRPr="008638B1">
        <w:rPr>
          <w:rFonts w:ascii="Arial" w:eastAsia="Calibri" w:hAnsi="Arial" w:cs="Arial"/>
          <w:sz w:val="20"/>
          <w:szCs w:val="20"/>
        </w:rPr>
        <w:t>The area under the various aridity classes is given in Table 12. The arid zones are located in the western parts of Udaipur district whereas the majority of the basin is under semi-arid climate (99.33%).</w:t>
      </w:r>
      <w:r w:rsidRPr="008638B1">
        <w:rPr>
          <w:rFonts w:ascii="Arial" w:eastAsia="Calibri" w:hAnsi="Arial" w:cs="Arial"/>
          <w:sz w:val="20"/>
          <w:szCs w:val="20"/>
        </w:rPr>
        <w:tab/>
      </w:r>
    </w:p>
    <w:p w14:paraId="6858D9A3" w14:textId="77777777" w:rsidR="00253875" w:rsidRPr="008F786C" w:rsidRDefault="00253875" w:rsidP="00253875">
      <w:pPr>
        <w:spacing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12: Area under various Pinna Combinative Index classes during (1961-90)</w:t>
      </w:r>
    </w:p>
    <w:tbl>
      <w:tblPr>
        <w:tblpPr w:leftFromText="180" w:rightFromText="180" w:vertAnchor="text" w:horzAnchor="margin" w:tblpXSpec="center" w:tblpY="108"/>
        <w:tblW w:w="6796" w:type="dxa"/>
        <w:tblBorders>
          <w:top w:val="single" w:sz="4" w:space="0" w:color="auto"/>
          <w:bottom w:val="single" w:sz="4" w:space="0" w:color="auto"/>
        </w:tblBorders>
        <w:tblLook w:val="04A0" w:firstRow="1" w:lastRow="0" w:firstColumn="1" w:lastColumn="0" w:noHBand="0" w:noVBand="1"/>
      </w:tblPr>
      <w:tblGrid>
        <w:gridCol w:w="1134"/>
        <w:gridCol w:w="1984"/>
        <w:gridCol w:w="1839"/>
        <w:gridCol w:w="1839"/>
      </w:tblGrid>
      <w:tr w:rsidR="00B64262" w:rsidRPr="008638B1" w14:paraId="36A69450" w14:textId="77777777" w:rsidTr="006E4489">
        <w:trPr>
          <w:trHeight w:val="300"/>
        </w:trPr>
        <w:tc>
          <w:tcPr>
            <w:tcW w:w="1134" w:type="dxa"/>
            <w:tcBorders>
              <w:top w:val="single" w:sz="4" w:space="0" w:color="auto"/>
              <w:bottom w:val="single" w:sz="4" w:space="0" w:color="auto"/>
            </w:tcBorders>
            <w:shd w:val="clear" w:color="auto" w:fill="auto"/>
            <w:noWrap/>
            <w:vAlign w:val="center"/>
            <w:hideMark/>
          </w:tcPr>
          <w:p w14:paraId="33A2344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984" w:type="dxa"/>
            <w:tcBorders>
              <w:top w:val="single" w:sz="4" w:space="0" w:color="auto"/>
              <w:bottom w:val="single" w:sz="4" w:space="0" w:color="auto"/>
            </w:tcBorders>
            <w:shd w:val="clear" w:color="auto" w:fill="auto"/>
            <w:noWrap/>
            <w:vAlign w:val="center"/>
            <w:hideMark/>
          </w:tcPr>
          <w:p w14:paraId="70BB8CFC"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(1961-90</w:t>
            </w:r>
            <w:r w:rsidRPr="008638B1">
              <w:rPr>
                <w:rFonts w:ascii="Arial" w:eastAsia="Times New Roman" w:hAnsi="Arial" w:cs="Arial"/>
                <w:b/>
                <w:bCs/>
                <w:sz w:val="20"/>
                <w:szCs w:val="20"/>
                <w:lang w:eastAsia="en-IN"/>
              </w:rPr>
              <w:t>)</w:t>
            </w:r>
          </w:p>
        </w:tc>
        <w:tc>
          <w:tcPr>
            <w:tcW w:w="1839" w:type="dxa"/>
            <w:tcBorders>
              <w:top w:val="single" w:sz="4" w:space="0" w:color="auto"/>
              <w:bottom w:val="single" w:sz="4" w:space="0" w:color="auto"/>
            </w:tcBorders>
          </w:tcPr>
          <w:p w14:paraId="661C848C"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839" w:type="dxa"/>
            <w:tcBorders>
              <w:top w:val="single" w:sz="4" w:space="0" w:color="auto"/>
              <w:bottom w:val="single" w:sz="4" w:space="0" w:color="auto"/>
            </w:tcBorders>
            <w:shd w:val="clear" w:color="auto" w:fill="auto"/>
            <w:noWrap/>
            <w:vAlign w:val="center"/>
            <w:hideMark/>
          </w:tcPr>
          <w:p w14:paraId="6F15E95D"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4D9FE3C1" w14:textId="77777777" w:rsidTr="006E4489">
        <w:trPr>
          <w:trHeight w:val="300"/>
        </w:trPr>
        <w:tc>
          <w:tcPr>
            <w:tcW w:w="1134" w:type="dxa"/>
            <w:tcBorders>
              <w:top w:val="single" w:sz="4" w:space="0" w:color="auto"/>
            </w:tcBorders>
            <w:shd w:val="clear" w:color="auto" w:fill="auto"/>
            <w:noWrap/>
            <w:vAlign w:val="bottom"/>
            <w:hideMark/>
          </w:tcPr>
          <w:p w14:paraId="2F94A0E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984" w:type="dxa"/>
            <w:tcBorders>
              <w:top w:val="single" w:sz="4" w:space="0" w:color="auto"/>
            </w:tcBorders>
            <w:shd w:val="clear" w:color="auto" w:fill="auto"/>
            <w:noWrap/>
            <w:vAlign w:val="bottom"/>
            <w:hideMark/>
          </w:tcPr>
          <w:p w14:paraId="73ED573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10 </w:t>
            </w:r>
          </w:p>
        </w:tc>
        <w:tc>
          <w:tcPr>
            <w:tcW w:w="1839" w:type="dxa"/>
            <w:tcBorders>
              <w:top w:val="single" w:sz="4" w:space="0" w:color="auto"/>
            </w:tcBorders>
          </w:tcPr>
          <w:p w14:paraId="7338CE7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Arid</w:t>
            </w:r>
          </w:p>
        </w:tc>
        <w:tc>
          <w:tcPr>
            <w:tcW w:w="1839" w:type="dxa"/>
            <w:tcBorders>
              <w:top w:val="single" w:sz="4" w:space="0" w:color="auto"/>
            </w:tcBorders>
            <w:shd w:val="clear" w:color="auto" w:fill="auto"/>
            <w:noWrap/>
            <w:vAlign w:val="bottom"/>
            <w:hideMark/>
          </w:tcPr>
          <w:p w14:paraId="6556CA6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0.66</w:t>
            </w:r>
          </w:p>
        </w:tc>
      </w:tr>
      <w:tr w:rsidR="00B64262" w:rsidRPr="008638B1" w14:paraId="61FF0890" w14:textId="77777777" w:rsidTr="006E4489">
        <w:trPr>
          <w:trHeight w:val="300"/>
        </w:trPr>
        <w:tc>
          <w:tcPr>
            <w:tcW w:w="1134" w:type="dxa"/>
            <w:shd w:val="clear" w:color="auto" w:fill="auto"/>
            <w:noWrap/>
            <w:vAlign w:val="bottom"/>
            <w:hideMark/>
          </w:tcPr>
          <w:p w14:paraId="09F13324"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984" w:type="dxa"/>
            <w:shd w:val="clear" w:color="auto" w:fill="auto"/>
            <w:noWrap/>
            <w:vAlign w:val="bottom"/>
            <w:hideMark/>
          </w:tcPr>
          <w:p w14:paraId="05439F4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839" w:type="dxa"/>
          </w:tcPr>
          <w:p w14:paraId="0E415CC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839" w:type="dxa"/>
            <w:shd w:val="clear" w:color="auto" w:fill="auto"/>
            <w:noWrap/>
            <w:vAlign w:val="bottom"/>
            <w:hideMark/>
          </w:tcPr>
          <w:p w14:paraId="7C9101C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99.33</w:t>
            </w:r>
          </w:p>
        </w:tc>
      </w:tr>
    </w:tbl>
    <w:p w14:paraId="0FF85628" w14:textId="77777777" w:rsidR="00253875" w:rsidRPr="008638B1" w:rsidRDefault="00253875" w:rsidP="00253875">
      <w:pPr>
        <w:spacing w:line="360" w:lineRule="auto"/>
        <w:rPr>
          <w:rFonts w:ascii="Arial" w:eastAsia="Calibri" w:hAnsi="Arial" w:cs="Arial"/>
          <w:sz w:val="20"/>
          <w:szCs w:val="20"/>
        </w:rPr>
      </w:pPr>
    </w:p>
    <w:p w14:paraId="450DE7D7" w14:textId="77777777" w:rsidR="00253875" w:rsidRPr="008638B1" w:rsidRDefault="00253875" w:rsidP="00253875">
      <w:pPr>
        <w:spacing w:line="360" w:lineRule="auto"/>
        <w:jc w:val="right"/>
        <w:rPr>
          <w:rFonts w:ascii="Arial" w:eastAsia="Calibri" w:hAnsi="Arial" w:cs="Arial"/>
          <w:sz w:val="20"/>
          <w:szCs w:val="20"/>
        </w:rPr>
      </w:pPr>
    </w:p>
    <w:p w14:paraId="4183FC7F" w14:textId="77777777" w:rsidR="00253875" w:rsidRPr="008638B1" w:rsidRDefault="00253875" w:rsidP="00253875">
      <w:pPr>
        <w:spacing w:after="240" w:line="360" w:lineRule="auto"/>
        <w:rPr>
          <w:rFonts w:ascii="Arial" w:eastAsia="Calibri" w:hAnsi="Arial" w:cs="Arial"/>
          <w:b/>
          <w:sz w:val="20"/>
          <w:szCs w:val="20"/>
        </w:rPr>
      </w:pPr>
    </w:p>
    <w:p w14:paraId="7F7A625C"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4.4.2 Aridity</w:t>
      </w:r>
      <w:r w:rsidRPr="008638B1">
        <w:rPr>
          <w:rFonts w:ascii="Arial" w:eastAsia="Calibri" w:hAnsi="Arial" w:cs="Arial"/>
          <w:sz w:val="20"/>
          <w:szCs w:val="20"/>
        </w:rPr>
        <w:t xml:space="preserve"> </w:t>
      </w:r>
      <w:r w:rsidRPr="008638B1">
        <w:rPr>
          <w:rFonts w:ascii="Arial" w:eastAsia="Calibri" w:hAnsi="Arial" w:cs="Arial"/>
          <w:b/>
          <w:sz w:val="20"/>
          <w:szCs w:val="20"/>
        </w:rPr>
        <w:t>during present period (1991-2005)</w:t>
      </w:r>
    </w:p>
    <w:p w14:paraId="151C558A" w14:textId="77777777" w:rsidR="00253875" w:rsidRPr="008638B1" w:rsidRDefault="00253875" w:rsidP="00253875">
      <w:pPr>
        <w:spacing w:after="240" w:line="360" w:lineRule="auto"/>
        <w:rPr>
          <w:rFonts w:ascii="Arial" w:eastAsia="Calibri" w:hAnsi="Arial" w:cs="Arial"/>
          <w:b/>
          <w:bCs/>
          <w:sz w:val="20"/>
          <w:szCs w:val="20"/>
        </w:rPr>
      </w:pPr>
      <w:r w:rsidRPr="008638B1">
        <w:rPr>
          <w:rFonts w:ascii="Arial" w:eastAsia="Calibri" w:hAnsi="Arial" w:cs="Arial"/>
          <w:b/>
          <w:bCs/>
          <w:sz w:val="20"/>
          <w:szCs w:val="20"/>
        </w:rPr>
        <w:t>4.4.2.1 UNEP Aridity index</w:t>
      </w:r>
    </w:p>
    <w:p w14:paraId="7B0A5B2F"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spatial variation of the UNEP Aridity index based on the </w:t>
      </w:r>
      <w:proofErr w:type="spellStart"/>
      <w:r w:rsidRPr="008638B1">
        <w:rPr>
          <w:rFonts w:ascii="Arial" w:eastAsia="Calibri" w:hAnsi="Arial" w:cs="Arial"/>
          <w:sz w:val="20"/>
          <w:szCs w:val="20"/>
        </w:rPr>
        <w:t>Thornthwaite</w:t>
      </w:r>
      <w:proofErr w:type="spellEnd"/>
      <w:r w:rsidRPr="008638B1">
        <w:rPr>
          <w:rFonts w:ascii="Arial" w:eastAsia="Calibri" w:hAnsi="Arial" w:cs="Arial"/>
          <w:sz w:val="20"/>
          <w:szCs w:val="20"/>
        </w:rPr>
        <w:t xml:space="preserve"> method of PET (PET</w:t>
      </w:r>
      <w:r w:rsidRPr="008638B1">
        <w:rPr>
          <w:rFonts w:ascii="Arial" w:eastAsia="Calibri" w:hAnsi="Arial" w:cs="Arial"/>
          <w:sz w:val="20"/>
          <w:szCs w:val="20"/>
          <w:vertAlign w:val="subscript"/>
        </w:rPr>
        <w:t>TH</w:t>
      </w:r>
      <w:r w:rsidRPr="008638B1">
        <w:rPr>
          <w:rFonts w:ascii="Arial" w:eastAsia="Calibri" w:hAnsi="Arial" w:cs="Arial"/>
          <w:sz w:val="20"/>
          <w:szCs w:val="20"/>
        </w:rPr>
        <w:t>) estimation during the present period is shown in Figure 17 and the area under the various aridity classes is given in Table 13.</w:t>
      </w:r>
    </w:p>
    <w:p w14:paraId="575901EC" w14:textId="77777777" w:rsidR="00253875" w:rsidRPr="008638B1" w:rsidRDefault="00253875" w:rsidP="00253875">
      <w:pPr>
        <w:spacing w:line="360" w:lineRule="auto"/>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562EFF3C" wp14:editId="64028653">
            <wp:extent cx="4496188" cy="3179113"/>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I(1991-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3119" cy="3184013"/>
                    </a:xfrm>
                    <a:prstGeom prst="rect">
                      <a:avLst/>
                    </a:prstGeom>
                  </pic:spPr>
                </pic:pic>
              </a:graphicData>
            </a:graphic>
          </wp:inline>
        </w:drawing>
      </w:r>
    </w:p>
    <w:p w14:paraId="0CABB1A6" w14:textId="77777777" w:rsidR="00253875" w:rsidRPr="008F786C" w:rsidRDefault="00253875" w:rsidP="00253875">
      <w:pPr>
        <w:tabs>
          <w:tab w:val="center" w:pos="4300"/>
          <w:tab w:val="right" w:pos="9026"/>
        </w:tabs>
        <w:spacing w:after="240" w:line="360" w:lineRule="auto"/>
        <w:ind w:left="-425"/>
        <w:rPr>
          <w:rFonts w:ascii="Arial" w:eastAsia="Calibri" w:hAnsi="Arial" w:cs="Arial"/>
          <w:b/>
          <w:bCs/>
          <w:sz w:val="20"/>
          <w:szCs w:val="20"/>
        </w:rPr>
      </w:pPr>
      <w:r w:rsidRPr="008638B1">
        <w:rPr>
          <w:rFonts w:ascii="Arial" w:eastAsia="Calibri" w:hAnsi="Arial" w:cs="Arial"/>
          <w:sz w:val="20"/>
          <w:szCs w:val="20"/>
        </w:rPr>
        <w:tab/>
      </w:r>
      <w:r w:rsidRPr="008F786C">
        <w:rPr>
          <w:rFonts w:ascii="Arial" w:eastAsia="Calibri" w:hAnsi="Arial" w:cs="Arial"/>
          <w:b/>
          <w:bCs/>
          <w:sz w:val="20"/>
          <w:szCs w:val="20"/>
        </w:rPr>
        <w:t>Figure 17: Area under various AI classes during (1991-05) using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ab/>
      </w:r>
    </w:p>
    <w:p w14:paraId="31CAEAE6"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It can be observed that most parts of the basin are under the semi-arid climate (90%) except for some areas with dry sub-humid climate located mostly in the districts of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Ratlam</w:t>
      </w:r>
      <w:proofErr w:type="spellEnd"/>
      <w:r w:rsidRPr="008638B1">
        <w:rPr>
          <w:rFonts w:ascii="Arial" w:eastAsia="Calibri" w:hAnsi="Arial" w:cs="Arial"/>
          <w:sz w:val="20"/>
          <w:szCs w:val="20"/>
        </w:rPr>
        <w:t>.</w:t>
      </w:r>
    </w:p>
    <w:p w14:paraId="50A238DE" w14:textId="77777777" w:rsidR="00253875" w:rsidRPr="008F786C" w:rsidRDefault="00253875" w:rsidP="00253875">
      <w:pPr>
        <w:spacing w:line="360" w:lineRule="auto"/>
        <w:ind w:left="-284"/>
        <w:jc w:val="center"/>
        <w:rPr>
          <w:rFonts w:ascii="Arial" w:eastAsia="Calibri" w:hAnsi="Arial" w:cs="Arial"/>
          <w:b/>
          <w:bCs/>
          <w:sz w:val="20"/>
          <w:szCs w:val="20"/>
        </w:rPr>
      </w:pPr>
      <w:r w:rsidRPr="008F786C">
        <w:rPr>
          <w:rFonts w:ascii="Arial" w:eastAsia="Calibri" w:hAnsi="Arial" w:cs="Arial"/>
          <w:b/>
          <w:bCs/>
          <w:sz w:val="20"/>
          <w:szCs w:val="20"/>
        </w:rPr>
        <w:t>Table 13: Area under various AI classes during (1991-05) using PET</w:t>
      </w:r>
      <w:r w:rsidRPr="008F786C">
        <w:rPr>
          <w:rFonts w:ascii="Arial" w:eastAsia="Calibri" w:hAnsi="Arial" w:cs="Arial"/>
          <w:b/>
          <w:bCs/>
          <w:sz w:val="20"/>
          <w:szCs w:val="20"/>
          <w:vertAlign w:val="subscript"/>
        </w:rPr>
        <w:t>TH</w:t>
      </w:r>
    </w:p>
    <w:tbl>
      <w:tblPr>
        <w:tblW w:w="6900" w:type="dxa"/>
        <w:jc w:val="center"/>
        <w:tblBorders>
          <w:top w:val="single" w:sz="4" w:space="0" w:color="auto"/>
          <w:bottom w:val="single" w:sz="4" w:space="0" w:color="auto"/>
        </w:tblBorders>
        <w:tblLook w:val="04A0" w:firstRow="1" w:lastRow="0" w:firstColumn="1" w:lastColumn="0" w:noHBand="0" w:noVBand="1"/>
      </w:tblPr>
      <w:tblGrid>
        <w:gridCol w:w="1218"/>
        <w:gridCol w:w="1974"/>
        <w:gridCol w:w="2318"/>
        <w:gridCol w:w="1390"/>
      </w:tblGrid>
      <w:tr w:rsidR="00B64262" w:rsidRPr="008638B1" w14:paraId="5D653A85" w14:textId="77777777" w:rsidTr="006E4489">
        <w:trPr>
          <w:trHeight w:val="459"/>
          <w:jc w:val="center"/>
        </w:trPr>
        <w:tc>
          <w:tcPr>
            <w:tcW w:w="1218" w:type="dxa"/>
            <w:tcBorders>
              <w:top w:val="single" w:sz="4" w:space="0" w:color="auto"/>
              <w:bottom w:val="single" w:sz="4" w:space="0" w:color="auto"/>
            </w:tcBorders>
            <w:shd w:val="clear" w:color="auto" w:fill="auto"/>
            <w:noWrap/>
            <w:vAlign w:val="center"/>
            <w:hideMark/>
          </w:tcPr>
          <w:p w14:paraId="7A6C8924"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974" w:type="dxa"/>
            <w:tcBorders>
              <w:top w:val="single" w:sz="4" w:space="0" w:color="auto"/>
              <w:bottom w:val="single" w:sz="4" w:space="0" w:color="auto"/>
            </w:tcBorders>
            <w:shd w:val="clear" w:color="auto" w:fill="auto"/>
            <w:noWrap/>
            <w:vAlign w:val="center"/>
            <w:hideMark/>
          </w:tcPr>
          <w:p w14:paraId="30D62AE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(1991-05</w:t>
            </w:r>
            <w:r w:rsidRPr="008638B1">
              <w:rPr>
                <w:rFonts w:ascii="Arial" w:eastAsia="Times New Roman" w:hAnsi="Arial" w:cs="Arial"/>
                <w:b/>
                <w:bCs/>
                <w:sz w:val="20"/>
                <w:szCs w:val="20"/>
                <w:lang w:eastAsia="en-IN"/>
              </w:rPr>
              <w:t>)</w:t>
            </w:r>
          </w:p>
        </w:tc>
        <w:tc>
          <w:tcPr>
            <w:tcW w:w="2318" w:type="dxa"/>
            <w:tcBorders>
              <w:top w:val="single" w:sz="4" w:space="0" w:color="auto"/>
              <w:bottom w:val="single" w:sz="4" w:space="0" w:color="auto"/>
            </w:tcBorders>
          </w:tcPr>
          <w:p w14:paraId="2337DCDF"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390" w:type="dxa"/>
            <w:tcBorders>
              <w:top w:val="single" w:sz="4" w:space="0" w:color="auto"/>
              <w:bottom w:val="single" w:sz="4" w:space="0" w:color="auto"/>
            </w:tcBorders>
            <w:shd w:val="clear" w:color="auto" w:fill="auto"/>
            <w:noWrap/>
            <w:vAlign w:val="center"/>
            <w:hideMark/>
          </w:tcPr>
          <w:p w14:paraId="31211667"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5166F716" w14:textId="77777777" w:rsidTr="006E4489">
        <w:trPr>
          <w:trHeight w:val="459"/>
          <w:jc w:val="center"/>
        </w:trPr>
        <w:tc>
          <w:tcPr>
            <w:tcW w:w="1218" w:type="dxa"/>
            <w:tcBorders>
              <w:top w:val="single" w:sz="4" w:space="0" w:color="auto"/>
            </w:tcBorders>
            <w:shd w:val="clear" w:color="auto" w:fill="auto"/>
            <w:noWrap/>
            <w:vAlign w:val="center"/>
            <w:hideMark/>
          </w:tcPr>
          <w:p w14:paraId="0F82D6A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974" w:type="dxa"/>
            <w:tcBorders>
              <w:top w:val="single" w:sz="4" w:space="0" w:color="auto"/>
            </w:tcBorders>
            <w:shd w:val="clear" w:color="auto" w:fill="auto"/>
            <w:noWrap/>
            <w:vAlign w:val="center"/>
            <w:hideMark/>
          </w:tcPr>
          <w:p w14:paraId="2970E84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0.20-0.50 </w:t>
            </w:r>
          </w:p>
        </w:tc>
        <w:tc>
          <w:tcPr>
            <w:tcW w:w="2318" w:type="dxa"/>
            <w:tcBorders>
              <w:top w:val="single" w:sz="4" w:space="0" w:color="auto"/>
            </w:tcBorders>
          </w:tcPr>
          <w:p w14:paraId="6B8BED6B"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390" w:type="dxa"/>
            <w:tcBorders>
              <w:top w:val="single" w:sz="4" w:space="0" w:color="auto"/>
            </w:tcBorders>
            <w:shd w:val="clear" w:color="auto" w:fill="auto"/>
            <w:noWrap/>
            <w:vAlign w:val="center"/>
            <w:hideMark/>
          </w:tcPr>
          <w:p w14:paraId="722004D9"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90.01</w:t>
            </w:r>
          </w:p>
        </w:tc>
      </w:tr>
      <w:tr w:rsidR="00253875" w:rsidRPr="008638B1" w14:paraId="11EF2A24" w14:textId="77777777" w:rsidTr="006E4489">
        <w:trPr>
          <w:trHeight w:val="459"/>
          <w:jc w:val="center"/>
        </w:trPr>
        <w:tc>
          <w:tcPr>
            <w:tcW w:w="1218" w:type="dxa"/>
            <w:shd w:val="clear" w:color="auto" w:fill="auto"/>
            <w:noWrap/>
            <w:vAlign w:val="center"/>
            <w:hideMark/>
          </w:tcPr>
          <w:p w14:paraId="7621E36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974" w:type="dxa"/>
            <w:shd w:val="clear" w:color="auto" w:fill="auto"/>
            <w:noWrap/>
            <w:vAlign w:val="center"/>
            <w:hideMark/>
          </w:tcPr>
          <w:p w14:paraId="0D1CD8A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0.50-0.65 </w:t>
            </w:r>
          </w:p>
        </w:tc>
        <w:tc>
          <w:tcPr>
            <w:tcW w:w="2318" w:type="dxa"/>
          </w:tcPr>
          <w:p w14:paraId="26B0656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Dry Sub-Humid</w:t>
            </w:r>
          </w:p>
        </w:tc>
        <w:tc>
          <w:tcPr>
            <w:tcW w:w="1390" w:type="dxa"/>
            <w:shd w:val="clear" w:color="auto" w:fill="auto"/>
            <w:noWrap/>
            <w:vAlign w:val="center"/>
            <w:hideMark/>
          </w:tcPr>
          <w:p w14:paraId="582EAEA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9.97</w:t>
            </w:r>
          </w:p>
        </w:tc>
      </w:tr>
    </w:tbl>
    <w:p w14:paraId="1F306904" w14:textId="77777777" w:rsidR="00253875" w:rsidRPr="008638B1" w:rsidRDefault="00253875" w:rsidP="00253875">
      <w:pPr>
        <w:spacing w:line="360" w:lineRule="auto"/>
        <w:rPr>
          <w:rFonts w:ascii="Arial" w:eastAsia="Calibri" w:hAnsi="Arial" w:cs="Arial"/>
          <w:b/>
          <w:sz w:val="20"/>
          <w:szCs w:val="20"/>
        </w:rPr>
      </w:pPr>
    </w:p>
    <w:p w14:paraId="1F39924D"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bCs/>
          <w:sz w:val="20"/>
          <w:szCs w:val="20"/>
        </w:rPr>
        <w:t xml:space="preserve">4.4.2.2 </w:t>
      </w:r>
      <w:r w:rsidRPr="008638B1">
        <w:rPr>
          <w:rFonts w:ascii="Arial" w:eastAsia="Calibri" w:hAnsi="Arial" w:cs="Arial"/>
          <w:b/>
          <w:sz w:val="20"/>
          <w:szCs w:val="20"/>
        </w:rPr>
        <w:t xml:space="preserve">De </w:t>
      </w:r>
      <w:proofErr w:type="spellStart"/>
      <w:r w:rsidRPr="008638B1">
        <w:rPr>
          <w:rFonts w:ascii="Arial" w:eastAsia="Calibri" w:hAnsi="Arial" w:cs="Arial"/>
          <w:b/>
          <w:sz w:val="20"/>
          <w:szCs w:val="20"/>
        </w:rPr>
        <w:t>Martonne</w:t>
      </w:r>
      <w:proofErr w:type="spellEnd"/>
      <w:r w:rsidRPr="008638B1">
        <w:rPr>
          <w:rFonts w:ascii="Arial" w:eastAsia="Calibri" w:hAnsi="Arial" w:cs="Arial"/>
          <w:b/>
          <w:sz w:val="20"/>
          <w:szCs w:val="20"/>
        </w:rPr>
        <w:t xml:space="preserve"> Aridity Index </w:t>
      </w:r>
    </w:p>
    <w:p w14:paraId="7EAE5143" w14:textId="77777777" w:rsidR="00253875" w:rsidRPr="008638B1" w:rsidRDefault="00253875" w:rsidP="000E737B">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spatial pattern of 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(IDM) during the present period is depicted in Figure 18, and the classification of area under different aridity zones is summarized in Table 14. The analysis indicates that the Mahi Basin currently exhibits a range of aridity conditions, predominantly falling between semi-arid and semi-humid zones.</w:t>
      </w:r>
    </w:p>
    <w:p w14:paraId="00706783"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4FE7FCB6" wp14:editId="11D6B4CD">
            <wp:extent cx="3854308" cy="27268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9333" cy="2730398"/>
                    </a:xfrm>
                    <a:prstGeom prst="rect">
                      <a:avLst/>
                    </a:prstGeom>
                    <a:noFill/>
                  </pic:spPr>
                </pic:pic>
              </a:graphicData>
            </a:graphic>
          </wp:inline>
        </w:drawing>
      </w:r>
    </w:p>
    <w:p w14:paraId="733FBCEA"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 xml:space="preserve">Figure 18: Area under various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Aridity index classes during (1991-05)</w:t>
      </w:r>
    </w:p>
    <w:p w14:paraId="6F3F6347" w14:textId="77777777" w:rsidR="00253875" w:rsidRPr="008638B1" w:rsidRDefault="00253875" w:rsidP="000E737B">
      <w:pPr>
        <w:spacing w:after="120" w:line="360" w:lineRule="auto"/>
        <w:ind w:left="-284"/>
        <w:jc w:val="both"/>
        <w:rPr>
          <w:rFonts w:ascii="Arial" w:eastAsia="Calibri" w:hAnsi="Arial" w:cs="Arial"/>
          <w:sz w:val="20"/>
          <w:szCs w:val="20"/>
        </w:rPr>
      </w:pPr>
      <w:r w:rsidRPr="008638B1">
        <w:rPr>
          <w:rFonts w:ascii="Arial" w:eastAsia="Calibri" w:hAnsi="Arial" w:cs="Arial"/>
          <w:sz w:val="20"/>
          <w:szCs w:val="20"/>
        </w:rPr>
        <w:t>Semi-arid conditions are primarily observed in the western regions of Udaipur district. The majority of the Mahi Basin, however, falls under a Mediterranean-type climate, which aligns with the dry sub-humid category based on the UNEP Climate Classification. Approximately 89.6% of the basin lies within the dry sub-humid zone, while the remaining area falls under the semi-arid category.</w:t>
      </w:r>
    </w:p>
    <w:p w14:paraId="6DD0935A" w14:textId="77777777" w:rsidR="00253875" w:rsidRPr="008F786C" w:rsidRDefault="00253875" w:rsidP="00253875">
      <w:pPr>
        <w:spacing w:after="120" w:line="360" w:lineRule="auto"/>
        <w:ind w:left="-284"/>
        <w:jc w:val="center"/>
        <w:rPr>
          <w:rFonts w:ascii="Arial" w:eastAsia="Calibri" w:hAnsi="Arial" w:cs="Arial"/>
          <w:b/>
          <w:bCs/>
          <w:sz w:val="20"/>
          <w:szCs w:val="20"/>
        </w:rPr>
      </w:pPr>
      <w:r w:rsidRPr="008F786C">
        <w:rPr>
          <w:rFonts w:ascii="Arial" w:eastAsia="Calibri" w:hAnsi="Arial" w:cs="Arial"/>
          <w:b/>
          <w:bCs/>
          <w:sz w:val="20"/>
          <w:szCs w:val="20"/>
        </w:rPr>
        <w:t xml:space="preserve">Table 14: Area under various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Aridity index classes during (1991-05)</w:t>
      </w:r>
    </w:p>
    <w:tbl>
      <w:tblPr>
        <w:tblpPr w:leftFromText="180" w:rightFromText="180" w:vertAnchor="text" w:horzAnchor="margin" w:tblpXSpec="center" w:tblpY="343"/>
        <w:tblW w:w="5773" w:type="dxa"/>
        <w:tblBorders>
          <w:top w:val="single" w:sz="4" w:space="0" w:color="auto"/>
          <w:bottom w:val="single" w:sz="4" w:space="0" w:color="auto"/>
        </w:tblBorders>
        <w:tblLook w:val="04A0" w:firstRow="1" w:lastRow="0" w:firstColumn="1" w:lastColumn="0" w:noHBand="0" w:noVBand="1"/>
      </w:tblPr>
      <w:tblGrid>
        <w:gridCol w:w="1417"/>
        <w:gridCol w:w="1610"/>
        <w:gridCol w:w="1616"/>
        <w:gridCol w:w="1130"/>
      </w:tblGrid>
      <w:tr w:rsidR="00B64262" w:rsidRPr="008638B1" w14:paraId="7115A015" w14:textId="77777777" w:rsidTr="006E4489">
        <w:trPr>
          <w:trHeight w:val="300"/>
        </w:trPr>
        <w:tc>
          <w:tcPr>
            <w:tcW w:w="1417" w:type="dxa"/>
            <w:tcBorders>
              <w:top w:val="single" w:sz="4" w:space="0" w:color="auto"/>
              <w:bottom w:val="single" w:sz="4" w:space="0" w:color="auto"/>
            </w:tcBorders>
            <w:shd w:val="clear" w:color="auto" w:fill="auto"/>
            <w:noWrap/>
            <w:vAlign w:val="center"/>
            <w:hideMark/>
          </w:tcPr>
          <w:p w14:paraId="75B1C79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610" w:type="dxa"/>
            <w:tcBorders>
              <w:top w:val="single" w:sz="4" w:space="0" w:color="auto"/>
              <w:bottom w:val="single" w:sz="4" w:space="0" w:color="auto"/>
            </w:tcBorders>
            <w:shd w:val="clear" w:color="auto" w:fill="auto"/>
            <w:noWrap/>
            <w:vAlign w:val="center"/>
            <w:hideMark/>
          </w:tcPr>
          <w:p w14:paraId="40423130"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(1991-05</w:t>
            </w:r>
            <w:r w:rsidRPr="008638B1">
              <w:rPr>
                <w:rFonts w:ascii="Arial" w:eastAsia="Times New Roman" w:hAnsi="Arial" w:cs="Arial"/>
                <w:b/>
                <w:bCs/>
                <w:sz w:val="20"/>
                <w:szCs w:val="20"/>
                <w:lang w:eastAsia="en-IN"/>
              </w:rPr>
              <w:t>)</w:t>
            </w:r>
          </w:p>
        </w:tc>
        <w:tc>
          <w:tcPr>
            <w:tcW w:w="1616" w:type="dxa"/>
            <w:tcBorders>
              <w:top w:val="single" w:sz="4" w:space="0" w:color="auto"/>
              <w:bottom w:val="single" w:sz="4" w:space="0" w:color="auto"/>
            </w:tcBorders>
          </w:tcPr>
          <w:p w14:paraId="4665CFBC"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130" w:type="dxa"/>
            <w:tcBorders>
              <w:top w:val="single" w:sz="4" w:space="0" w:color="auto"/>
              <w:bottom w:val="single" w:sz="4" w:space="0" w:color="auto"/>
            </w:tcBorders>
            <w:shd w:val="clear" w:color="auto" w:fill="auto"/>
            <w:noWrap/>
            <w:vAlign w:val="center"/>
            <w:hideMark/>
          </w:tcPr>
          <w:p w14:paraId="4ADF3C35"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2A2C3325" w14:textId="77777777" w:rsidTr="006E4489">
        <w:trPr>
          <w:trHeight w:val="300"/>
        </w:trPr>
        <w:tc>
          <w:tcPr>
            <w:tcW w:w="1417" w:type="dxa"/>
            <w:tcBorders>
              <w:top w:val="single" w:sz="4" w:space="0" w:color="auto"/>
            </w:tcBorders>
            <w:shd w:val="clear" w:color="auto" w:fill="auto"/>
            <w:noWrap/>
            <w:vAlign w:val="bottom"/>
            <w:hideMark/>
          </w:tcPr>
          <w:p w14:paraId="65AB35D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610" w:type="dxa"/>
            <w:tcBorders>
              <w:top w:val="single" w:sz="4" w:space="0" w:color="auto"/>
            </w:tcBorders>
            <w:shd w:val="clear" w:color="auto" w:fill="auto"/>
            <w:noWrap/>
            <w:vAlign w:val="bottom"/>
            <w:hideMark/>
          </w:tcPr>
          <w:p w14:paraId="743E89B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616" w:type="dxa"/>
            <w:tcBorders>
              <w:top w:val="single" w:sz="4" w:space="0" w:color="auto"/>
            </w:tcBorders>
          </w:tcPr>
          <w:p w14:paraId="1E37472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130" w:type="dxa"/>
            <w:tcBorders>
              <w:top w:val="single" w:sz="4" w:space="0" w:color="auto"/>
            </w:tcBorders>
            <w:shd w:val="clear" w:color="auto" w:fill="auto"/>
            <w:noWrap/>
            <w:vAlign w:val="bottom"/>
            <w:hideMark/>
          </w:tcPr>
          <w:p w14:paraId="49B11981"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10.36</w:t>
            </w:r>
          </w:p>
        </w:tc>
      </w:tr>
      <w:tr w:rsidR="00B64262" w:rsidRPr="008638B1" w14:paraId="2221F032" w14:textId="77777777" w:rsidTr="006E4489">
        <w:trPr>
          <w:trHeight w:val="300"/>
        </w:trPr>
        <w:tc>
          <w:tcPr>
            <w:tcW w:w="1417" w:type="dxa"/>
            <w:shd w:val="clear" w:color="auto" w:fill="auto"/>
            <w:noWrap/>
            <w:vAlign w:val="bottom"/>
            <w:hideMark/>
          </w:tcPr>
          <w:p w14:paraId="7CB2DEA4"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610" w:type="dxa"/>
            <w:shd w:val="clear" w:color="auto" w:fill="auto"/>
            <w:noWrap/>
            <w:vAlign w:val="bottom"/>
            <w:hideMark/>
          </w:tcPr>
          <w:p w14:paraId="75142F5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20-24 </w:t>
            </w:r>
          </w:p>
        </w:tc>
        <w:tc>
          <w:tcPr>
            <w:tcW w:w="1616" w:type="dxa"/>
          </w:tcPr>
          <w:p w14:paraId="2269F14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Mediterranean</w:t>
            </w:r>
          </w:p>
        </w:tc>
        <w:tc>
          <w:tcPr>
            <w:tcW w:w="1130" w:type="dxa"/>
            <w:shd w:val="clear" w:color="auto" w:fill="auto"/>
            <w:noWrap/>
            <w:vAlign w:val="bottom"/>
            <w:hideMark/>
          </w:tcPr>
          <w:p w14:paraId="555B142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89.62</w:t>
            </w:r>
          </w:p>
        </w:tc>
      </w:tr>
      <w:tr w:rsidR="00B64262" w:rsidRPr="008638B1" w14:paraId="2FAFD577" w14:textId="77777777" w:rsidTr="006E4489">
        <w:trPr>
          <w:trHeight w:val="300"/>
        </w:trPr>
        <w:tc>
          <w:tcPr>
            <w:tcW w:w="1417" w:type="dxa"/>
            <w:shd w:val="clear" w:color="auto" w:fill="auto"/>
            <w:noWrap/>
            <w:vAlign w:val="bottom"/>
            <w:hideMark/>
          </w:tcPr>
          <w:p w14:paraId="0B086C9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1610" w:type="dxa"/>
            <w:shd w:val="clear" w:color="auto" w:fill="auto"/>
            <w:noWrap/>
            <w:vAlign w:val="bottom"/>
            <w:hideMark/>
          </w:tcPr>
          <w:p w14:paraId="5D3A4F5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24-28 </w:t>
            </w:r>
          </w:p>
        </w:tc>
        <w:tc>
          <w:tcPr>
            <w:tcW w:w="1616" w:type="dxa"/>
          </w:tcPr>
          <w:p w14:paraId="2103AEA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Semi-Humid</w:t>
            </w:r>
          </w:p>
        </w:tc>
        <w:tc>
          <w:tcPr>
            <w:tcW w:w="1130" w:type="dxa"/>
            <w:shd w:val="clear" w:color="auto" w:fill="auto"/>
            <w:noWrap/>
            <w:vAlign w:val="bottom"/>
            <w:hideMark/>
          </w:tcPr>
          <w:p w14:paraId="25510169"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0.01</w:t>
            </w:r>
          </w:p>
        </w:tc>
      </w:tr>
    </w:tbl>
    <w:p w14:paraId="079CF22D" w14:textId="77777777" w:rsidR="00253875" w:rsidRPr="008638B1" w:rsidRDefault="00253875" w:rsidP="00253875">
      <w:pPr>
        <w:tabs>
          <w:tab w:val="left" w:pos="5802"/>
        </w:tabs>
        <w:spacing w:line="360" w:lineRule="auto"/>
        <w:rPr>
          <w:rFonts w:ascii="Arial" w:eastAsia="Calibri" w:hAnsi="Arial" w:cs="Arial"/>
          <w:sz w:val="20"/>
          <w:szCs w:val="20"/>
        </w:rPr>
      </w:pPr>
    </w:p>
    <w:p w14:paraId="2B0367D0" w14:textId="77777777" w:rsidR="00253875" w:rsidRPr="008638B1" w:rsidRDefault="00253875" w:rsidP="00253875">
      <w:pPr>
        <w:spacing w:line="360" w:lineRule="auto"/>
        <w:rPr>
          <w:rFonts w:ascii="Arial" w:eastAsia="Calibri" w:hAnsi="Arial" w:cs="Arial"/>
          <w:sz w:val="20"/>
          <w:szCs w:val="20"/>
        </w:rPr>
      </w:pPr>
    </w:p>
    <w:p w14:paraId="3CB26AA2" w14:textId="77777777" w:rsidR="00253875" w:rsidRPr="008638B1" w:rsidRDefault="00253875" w:rsidP="00253875">
      <w:pPr>
        <w:spacing w:line="360" w:lineRule="auto"/>
        <w:rPr>
          <w:rFonts w:ascii="Arial" w:eastAsia="Calibri" w:hAnsi="Arial" w:cs="Arial"/>
          <w:sz w:val="20"/>
          <w:szCs w:val="20"/>
        </w:rPr>
      </w:pPr>
    </w:p>
    <w:p w14:paraId="23B19B0D" w14:textId="77777777" w:rsidR="00253875" w:rsidRPr="008638B1" w:rsidRDefault="00253875" w:rsidP="00253875">
      <w:pPr>
        <w:spacing w:line="360" w:lineRule="auto"/>
        <w:rPr>
          <w:rFonts w:ascii="Arial" w:eastAsia="Calibri" w:hAnsi="Arial" w:cs="Arial"/>
          <w:b/>
          <w:sz w:val="20"/>
          <w:szCs w:val="20"/>
        </w:rPr>
      </w:pPr>
    </w:p>
    <w:p w14:paraId="6F95FF29"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4.4.2.3 Pinna Combinative Index </w:t>
      </w:r>
    </w:p>
    <w:p w14:paraId="686AC5FF"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The spatial variation of the Pinna Combinative Index (I</w:t>
      </w:r>
      <w:r w:rsidRPr="008638B1">
        <w:rPr>
          <w:rFonts w:ascii="Arial" w:eastAsia="Calibri" w:hAnsi="Arial" w:cs="Arial"/>
          <w:sz w:val="20"/>
          <w:szCs w:val="20"/>
          <w:vertAlign w:val="subscript"/>
        </w:rPr>
        <w:t>P</w:t>
      </w:r>
      <w:r w:rsidRPr="008638B1">
        <w:rPr>
          <w:rFonts w:ascii="Arial" w:eastAsia="Calibri" w:hAnsi="Arial" w:cs="Arial"/>
          <w:sz w:val="20"/>
          <w:szCs w:val="20"/>
        </w:rPr>
        <w:t>) during the present period is shown in Figure 19 and the area under the various aridity classes is given in Table 15.</w:t>
      </w:r>
    </w:p>
    <w:p w14:paraId="633ABC73"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74E2D86A" wp14:editId="3D954056">
            <wp:extent cx="4505647" cy="3185302"/>
            <wp:effectExtent l="0" t="0" r="9525" b="0"/>
            <wp:docPr id="34" name="Picture 34" descr="C:\Users\user\Desktop\thesis work\spatial map\pinna combinative\AI(19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sis work\spatial map\pinna combinative\AI(1991-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6932" cy="3186211"/>
                    </a:xfrm>
                    <a:prstGeom prst="rect">
                      <a:avLst/>
                    </a:prstGeom>
                    <a:noFill/>
                    <a:ln>
                      <a:noFill/>
                    </a:ln>
                  </pic:spPr>
                </pic:pic>
              </a:graphicData>
            </a:graphic>
          </wp:inline>
        </w:drawing>
      </w:r>
    </w:p>
    <w:p w14:paraId="5F5C686F" w14:textId="77777777" w:rsidR="00253875" w:rsidRPr="008F786C" w:rsidRDefault="00253875" w:rsidP="00253875">
      <w:pPr>
        <w:spacing w:after="240" w:line="360" w:lineRule="auto"/>
        <w:ind w:left="-142"/>
        <w:jc w:val="center"/>
        <w:rPr>
          <w:rFonts w:ascii="Arial" w:eastAsia="Calibri" w:hAnsi="Arial" w:cs="Arial"/>
          <w:b/>
          <w:bCs/>
          <w:sz w:val="20"/>
          <w:szCs w:val="20"/>
        </w:rPr>
      </w:pPr>
      <w:r w:rsidRPr="008F786C">
        <w:rPr>
          <w:rFonts w:ascii="Arial" w:eastAsia="Calibri" w:hAnsi="Arial" w:cs="Arial"/>
          <w:b/>
          <w:bCs/>
          <w:sz w:val="20"/>
          <w:szCs w:val="20"/>
        </w:rPr>
        <w:t>Figure 19: Area under various Pinna Combinative Index classes during (1991-05)</w:t>
      </w:r>
    </w:p>
    <w:p w14:paraId="771F504C" w14:textId="77777777" w:rsidR="00253875" w:rsidRPr="008638B1" w:rsidRDefault="00253875" w:rsidP="00253875">
      <w:pPr>
        <w:spacing w:after="240" w:line="360" w:lineRule="auto"/>
        <w:ind w:left="-142"/>
        <w:jc w:val="both"/>
        <w:rPr>
          <w:rFonts w:ascii="Arial" w:eastAsia="Calibri" w:hAnsi="Arial" w:cs="Arial"/>
          <w:sz w:val="20"/>
          <w:szCs w:val="20"/>
        </w:rPr>
      </w:pPr>
      <w:r w:rsidRPr="008638B1">
        <w:rPr>
          <w:rFonts w:ascii="Arial" w:eastAsia="Calibri" w:hAnsi="Arial" w:cs="Arial"/>
          <w:sz w:val="20"/>
          <w:szCs w:val="20"/>
        </w:rPr>
        <w:t>It can be observed that the aridity in Mahi basin has increased. The area under the arid zones located in the western parts of Udaipur district has increased from 0.66% to 7.58%. However, the majority area of the basin is under semi-arid climate (92.4%).</w:t>
      </w:r>
    </w:p>
    <w:p w14:paraId="07587BFC" w14:textId="77777777" w:rsidR="00253875" w:rsidRPr="008F786C" w:rsidRDefault="00253875" w:rsidP="00253875">
      <w:pPr>
        <w:spacing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15 Area under various Pinna Combinative Index classes during (1991-05)</w:t>
      </w:r>
    </w:p>
    <w:tbl>
      <w:tblPr>
        <w:tblpPr w:leftFromText="180" w:rightFromText="180" w:vertAnchor="text" w:horzAnchor="margin" w:tblpXSpec="center" w:tblpY="101"/>
        <w:tblW w:w="6658" w:type="dxa"/>
        <w:tblBorders>
          <w:top w:val="single" w:sz="4" w:space="0" w:color="auto"/>
          <w:bottom w:val="single" w:sz="4" w:space="0" w:color="auto"/>
        </w:tblBorders>
        <w:tblLook w:val="04A0" w:firstRow="1" w:lastRow="0" w:firstColumn="1" w:lastColumn="0" w:noHBand="0" w:noVBand="1"/>
      </w:tblPr>
      <w:tblGrid>
        <w:gridCol w:w="1010"/>
        <w:gridCol w:w="1962"/>
        <w:gridCol w:w="1843"/>
        <w:gridCol w:w="1843"/>
      </w:tblGrid>
      <w:tr w:rsidR="00B64262" w:rsidRPr="008638B1" w14:paraId="7A36695E" w14:textId="77777777" w:rsidTr="006E4489">
        <w:trPr>
          <w:trHeight w:val="300"/>
        </w:trPr>
        <w:tc>
          <w:tcPr>
            <w:tcW w:w="1010" w:type="dxa"/>
            <w:tcBorders>
              <w:top w:val="single" w:sz="4" w:space="0" w:color="auto"/>
              <w:bottom w:val="single" w:sz="4" w:space="0" w:color="auto"/>
            </w:tcBorders>
            <w:shd w:val="clear" w:color="auto" w:fill="auto"/>
            <w:noWrap/>
            <w:vAlign w:val="center"/>
            <w:hideMark/>
          </w:tcPr>
          <w:p w14:paraId="68991623"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962" w:type="dxa"/>
            <w:tcBorders>
              <w:top w:val="single" w:sz="4" w:space="0" w:color="auto"/>
              <w:bottom w:val="single" w:sz="4" w:space="0" w:color="auto"/>
            </w:tcBorders>
            <w:shd w:val="clear" w:color="auto" w:fill="auto"/>
            <w:noWrap/>
            <w:vAlign w:val="center"/>
            <w:hideMark/>
          </w:tcPr>
          <w:p w14:paraId="53F32145"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AI (</w:t>
            </w:r>
            <w:r w:rsidRPr="008638B1">
              <w:rPr>
                <w:rFonts w:ascii="Arial" w:eastAsia="Calibri" w:hAnsi="Arial" w:cs="Arial"/>
                <w:b/>
                <w:bCs/>
                <w:sz w:val="20"/>
                <w:szCs w:val="20"/>
              </w:rPr>
              <w:t>1991-05</w:t>
            </w:r>
            <w:r w:rsidRPr="008638B1">
              <w:rPr>
                <w:rFonts w:ascii="Arial" w:eastAsia="Times New Roman" w:hAnsi="Arial" w:cs="Arial"/>
                <w:b/>
                <w:bCs/>
                <w:sz w:val="20"/>
                <w:szCs w:val="20"/>
                <w:lang w:eastAsia="en-IN"/>
              </w:rPr>
              <w:t>)</w:t>
            </w:r>
          </w:p>
        </w:tc>
        <w:tc>
          <w:tcPr>
            <w:tcW w:w="1843" w:type="dxa"/>
            <w:tcBorders>
              <w:top w:val="single" w:sz="4" w:space="0" w:color="auto"/>
              <w:bottom w:val="single" w:sz="4" w:space="0" w:color="auto"/>
            </w:tcBorders>
          </w:tcPr>
          <w:p w14:paraId="315024C4"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843" w:type="dxa"/>
            <w:tcBorders>
              <w:top w:val="single" w:sz="4" w:space="0" w:color="auto"/>
              <w:bottom w:val="single" w:sz="4" w:space="0" w:color="auto"/>
            </w:tcBorders>
            <w:shd w:val="clear" w:color="auto" w:fill="auto"/>
            <w:noWrap/>
            <w:vAlign w:val="center"/>
            <w:hideMark/>
          </w:tcPr>
          <w:p w14:paraId="6A9F3EBB"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00D480F9" w14:textId="77777777" w:rsidTr="006E4489">
        <w:trPr>
          <w:trHeight w:val="300"/>
        </w:trPr>
        <w:tc>
          <w:tcPr>
            <w:tcW w:w="1010" w:type="dxa"/>
            <w:tcBorders>
              <w:top w:val="single" w:sz="4" w:space="0" w:color="auto"/>
            </w:tcBorders>
            <w:shd w:val="clear" w:color="auto" w:fill="auto"/>
            <w:noWrap/>
            <w:vAlign w:val="bottom"/>
            <w:hideMark/>
          </w:tcPr>
          <w:p w14:paraId="1475286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962" w:type="dxa"/>
            <w:tcBorders>
              <w:top w:val="single" w:sz="4" w:space="0" w:color="auto"/>
            </w:tcBorders>
            <w:shd w:val="clear" w:color="auto" w:fill="auto"/>
            <w:noWrap/>
            <w:vAlign w:val="bottom"/>
            <w:hideMark/>
          </w:tcPr>
          <w:p w14:paraId="6D9B7E3C"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10 </w:t>
            </w:r>
          </w:p>
        </w:tc>
        <w:tc>
          <w:tcPr>
            <w:tcW w:w="1843" w:type="dxa"/>
            <w:tcBorders>
              <w:top w:val="single" w:sz="4" w:space="0" w:color="auto"/>
            </w:tcBorders>
          </w:tcPr>
          <w:p w14:paraId="0146B1F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Arid</w:t>
            </w:r>
          </w:p>
        </w:tc>
        <w:tc>
          <w:tcPr>
            <w:tcW w:w="1843" w:type="dxa"/>
            <w:tcBorders>
              <w:top w:val="single" w:sz="4" w:space="0" w:color="auto"/>
            </w:tcBorders>
            <w:shd w:val="clear" w:color="auto" w:fill="auto"/>
            <w:noWrap/>
            <w:vAlign w:val="bottom"/>
            <w:hideMark/>
          </w:tcPr>
          <w:p w14:paraId="102544F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7.58</w:t>
            </w:r>
          </w:p>
        </w:tc>
      </w:tr>
      <w:tr w:rsidR="00B64262" w:rsidRPr="008638B1" w14:paraId="1E94E25E" w14:textId="77777777" w:rsidTr="006E4489">
        <w:trPr>
          <w:trHeight w:val="300"/>
        </w:trPr>
        <w:tc>
          <w:tcPr>
            <w:tcW w:w="1010" w:type="dxa"/>
            <w:shd w:val="clear" w:color="auto" w:fill="auto"/>
            <w:noWrap/>
            <w:vAlign w:val="bottom"/>
            <w:hideMark/>
          </w:tcPr>
          <w:p w14:paraId="73646E0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962" w:type="dxa"/>
            <w:shd w:val="clear" w:color="auto" w:fill="auto"/>
            <w:noWrap/>
            <w:vAlign w:val="bottom"/>
            <w:hideMark/>
          </w:tcPr>
          <w:p w14:paraId="6EDD6F5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843" w:type="dxa"/>
          </w:tcPr>
          <w:p w14:paraId="4004A51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843" w:type="dxa"/>
            <w:shd w:val="clear" w:color="auto" w:fill="auto"/>
            <w:noWrap/>
            <w:vAlign w:val="bottom"/>
            <w:hideMark/>
          </w:tcPr>
          <w:p w14:paraId="0D3E000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92.42</w:t>
            </w:r>
          </w:p>
        </w:tc>
      </w:tr>
    </w:tbl>
    <w:p w14:paraId="50BCFC5A" w14:textId="77777777" w:rsidR="00253875" w:rsidRPr="008638B1" w:rsidRDefault="00253875" w:rsidP="00253875">
      <w:pPr>
        <w:spacing w:line="360" w:lineRule="auto"/>
        <w:rPr>
          <w:rFonts w:ascii="Arial" w:eastAsia="Calibri" w:hAnsi="Arial" w:cs="Arial"/>
          <w:sz w:val="20"/>
          <w:szCs w:val="20"/>
        </w:rPr>
      </w:pPr>
    </w:p>
    <w:p w14:paraId="7D29D81E" w14:textId="77777777" w:rsidR="00253875" w:rsidRPr="008638B1" w:rsidRDefault="00253875" w:rsidP="00253875">
      <w:pPr>
        <w:spacing w:line="360" w:lineRule="auto"/>
        <w:rPr>
          <w:rFonts w:ascii="Arial" w:eastAsia="Calibri" w:hAnsi="Arial" w:cs="Arial"/>
          <w:sz w:val="20"/>
          <w:szCs w:val="20"/>
        </w:rPr>
      </w:pPr>
    </w:p>
    <w:p w14:paraId="4954E56B" w14:textId="77777777" w:rsidR="00253875" w:rsidRPr="008638B1" w:rsidRDefault="00253875" w:rsidP="00253875">
      <w:pPr>
        <w:spacing w:line="360" w:lineRule="auto"/>
        <w:rPr>
          <w:rFonts w:ascii="Arial" w:eastAsia="Calibri" w:hAnsi="Arial" w:cs="Arial"/>
          <w:b/>
          <w:sz w:val="20"/>
          <w:szCs w:val="20"/>
        </w:rPr>
      </w:pPr>
    </w:p>
    <w:p w14:paraId="58F210B6"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4.4.3 Aridity future period</w:t>
      </w:r>
      <w:r w:rsidRPr="008638B1">
        <w:rPr>
          <w:rFonts w:ascii="Arial" w:eastAsia="Calibri" w:hAnsi="Arial" w:cs="Arial"/>
          <w:sz w:val="20"/>
          <w:szCs w:val="20"/>
        </w:rPr>
        <w:t xml:space="preserve"> </w:t>
      </w:r>
      <w:r w:rsidRPr="008638B1">
        <w:rPr>
          <w:rFonts w:ascii="Arial" w:eastAsia="Calibri" w:hAnsi="Arial" w:cs="Arial"/>
          <w:b/>
          <w:sz w:val="20"/>
          <w:szCs w:val="20"/>
        </w:rPr>
        <w:t>during (2006-40)</w:t>
      </w:r>
    </w:p>
    <w:p w14:paraId="597803F6" w14:textId="77777777" w:rsidR="00253875" w:rsidRPr="008638B1" w:rsidRDefault="00253875" w:rsidP="00253875">
      <w:pPr>
        <w:spacing w:after="240" w:line="360" w:lineRule="auto"/>
        <w:jc w:val="both"/>
        <w:rPr>
          <w:rFonts w:ascii="Arial" w:eastAsia="Calibri" w:hAnsi="Arial" w:cs="Arial"/>
          <w:bCs/>
          <w:sz w:val="20"/>
          <w:szCs w:val="20"/>
        </w:rPr>
      </w:pPr>
      <w:r w:rsidRPr="008638B1">
        <w:rPr>
          <w:rFonts w:ascii="Arial" w:eastAsia="Calibri" w:hAnsi="Arial" w:cs="Arial"/>
          <w:bCs/>
          <w:sz w:val="20"/>
          <w:szCs w:val="20"/>
        </w:rPr>
        <w:t xml:space="preserve">Projections for the period 2006–2040 indicate an increase in aridity across the Mahi River Basin, primarily driven by declining rainfall and rising temperatures. The De </w:t>
      </w:r>
      <w:proofErr w:type="spellStart"/>
      <w:r w:rsidRPr="008638B1">
        <w:rPr>
          <w:rFonts w:ascii="Arial" w:eastAsia="Calibri" w:hAnsi="Arial" w:cs="Arial"/>
          <w:bCs/>
          <w:sz w:val="20"/>
          <w:szCs w:val="20"/>
        </w:rPr>
        <w:t>Martonne</w:t>
      </w:r>
      <w:proofErr w:type="spellEnd"/>
      <w:r w:rsidRPr="008638B1">
        <w:rPr>
          <w:rFonts w:ascii="Arial" w:eastAsia="Calibri" w:hAnsi="Arial" w:cs="Arial"/>
          <w:bCs/>
          <w:sz w:val="20"/>
          <w:szCs w:val="20"/>
        </w:rPr>
        <w:t xml:space="preserve"> Aridity Index values suggest a shift from dry sub-humid to more semi-arid conditions, especially in the central and western regions. This trend reflects the impact of climate change on moisture availability, highlighting the need for adaptive water resource management to mitigate the risks associated with increasing aridity in the basin.</w:t>
      </w:r>
    </w:p>
    <w:p w14:paraId="6C3CD925" w14:textId="77777777" w:rsidR="00253875" w:rsidRPr="008638B1" w:rsidRDefault="00253875" w:rsidP="000E737B">
      <w:pPr>
        <w:spacing w:after="240" w:line="360" w:lineRule="auto"/>
        <w:jc w:val="both"/>
        <w:rPr>
          <w:rFonts w:ascii="Arial" w:eastAsia="Calibri" w:hAnsi="Arial" w:cs="Arial"/>
          <w:b/>
          <w:bCs/>
          <w:sz w:val="20"/>
          <w:szCs w:val="20"/>
        </w:rPr>
      </w:pPr>
      <w:r w:rsidRPr="008638B1">
        <w:rPr>
          <w:rFonts w:ascii="Arial" w:eastAsia="Calibri" w:hAnsi="Arial" w:cs="Arial"/>
          <w:b/>
          <w:sz w:val="20"/>
          <w:szCs w:val="20"/>
        </w:rPr>
        <w:t xml:space="preserve">4.4.3.1 </w:t>
      </w:r>
      <w:r w:rsidRPr="008638B1">
        <w:rPr>
          <w:rFonts w:ascii="Arial" w:eastAsia="Calibri" w:hAnsi="Arial" w:cs="Arial"/>
          <w:b/>
          <w:bCs/>
          <w:sz w:val="20"/>
          <w:szCs w:val="20"/>
        </w:rPr>
        <w:t>UNEP Aridity index</w:t>
      </w:r>
    </w:p>
    <w:p w14:paraId="7563460B" w14:textId="77777777" w:rsidR="00253875" w:rsidRPr="008638B1" w:rsidRDefault="00253875" w:rsidP="000E737B">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spatial variation of the UNEP Aridity index based on the </w:t>
      </w:r>
      <w:proofErr w:type="spellStart"/>
      <w:r w:rsidRPr="008638B1">
        <w:rPr>
          <w:rFonts w:ascii="Arial" w:eastAsia="Calibri" w:hAnsi="Arial" w:cs="Arial"/>
          <w:sz w:val="20"/>
          <w:szCs w:val="20"/>
        </w:rPr>
        <w:t>Thornthwaite</w:t>
      </w:r>
      <w:proofErr w:type="spellEnd"/>
      <w:r w:rsidRPr="008638B1">
        <w:rPr>
          <w:rFonts w:ascii="Arial" w:eastAsia="Calibri" w:hAnsi="Arial" w:cs="Arial"/>
          <w:sz w:val="20"/>
          <w:szCs w:val="20"/>
        </w:rPr>
        <w:t xml:space="preserve"> method of PET estimation during 2006-40 time period is shown in Figure 20 and the area under the various aridity classes is given in Table 16.</w:t>
      </w:r>
    </w:p>
    <w:p w14:paraId="7C82F985"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21D1F764" wp14:editId="0F0C6A22">
            <wp:extent cx="4052245" cy="286521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I(2006-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6537" cy="2868250"/>
                    </a:xfrm>
                    <a:prstGeom prst="rect">
                      <a:avLst/>
                    </a:prstGeom>
                  </pic:spPr>
                </pic:pic>
              </a:graphicData>
            </a:graphic>
          </wp:inline>
        </w:drawing>
      </w:r>
    </w:p>
    <w:p w14:paraId="47AB6850" w14:textId="77777777" w:rsidR="00253875" w:rsidRPr="00CF7FB0" w:rsidRDefault="00253875" w:rsidP="00253875">
      <w:pPr>
        <w:spacing w:after="240" w:line="360" w:lineRule="auto"/>
        <w:jc w:val="center"/>
        <w:rPr>
          <w:rFonts w:ascii="Arial" w:eastAsia="Calibri" w:hAnsi="Arial" w:cs="Arial"/>
          <w:b/>
          <w:bCs/>
          <w:sz w:val="20"/>
          <w:szCs w:val="20"/>
        </w:rPr>
      </w:pPr>
      <w:r w:rsidRPr="00CF7FB0">
        <w:rPr>
          <w:rFonts w:ascii="Arial" w:eastAsia="Calibri" w:hAnsi="Arial" w:cs="Arial"/>
          <w:b/>
          <w:bCs/>
          <w:sz w:val="20"/>
          <w:szCs w:val="20"/>
        </w:rPr>
        <w:t>Figure 20: Area under various AI classes during (2006-40) using PET</w:t>
      </w:r>
      <w:r w:rsidRPr="00CF7FB0">
        <w:rPr>
          <w:rFonts w:ascii="Arial" w:eastAsia="Calibri" w:hAnsi="Arial" w:cs="Arial"/>
          <w:b/>
          <w:bCs/>
          <w:sz w:val="20"/>
          <w:szCs w:val="20"/>
          <w:vertAlign w:val="subscript"/>
        </w:rPr>
        <w:t>TH</w:t>
      </w:r>
    </w:p>
    <w:p w14:paraId="15CDAECA"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It can be observed that the a very small part of the basin located in the north west in Udaipur district is projected to fall in the arid climate whereas the remaining districts in the basin are mostly semi-arid. This depicts a considerable change in the climate in Mahi basin which is projected to change form dry sub-humid to semi-arid in major portions of the study area. 99.52% of the basin is projected to have a semi-arid climate during (2006-40).</w:t>
      </w:r>
    </w:p>
    <w:p w14:paraId="0EB73A2D" w14:textId="77777777" w:rsidR="00253875" w:rsidRPr="00CF7FB0" w:rsidRDefault="00253875" w:rsidP="00253875">
      <w:pPr>
        <w:spacing w:after="120" w:line="360" w:lineRule="auto"/>
        <w:ind w:left="-142"/>
        <w:jc w:val="center"/>
        <w:rPr>
          <w:rFonts w:ascii="Arial" w:eastAsia="Calibri" w:hAnsi="Arial" w:cs="Arial"/>
          <w:b/>
          <w:bCs/>
          <w:sz w:val="20"/>
          <w:szCs w:val="20"/>
        </w:rPr>
      </w:pPr>
      <w:r w:rsidRPr="00CF7FB0">
        <w:rPr>
          <w:rFonts w:ascii="Arial" w:eastAsia="Calibri" w:hAnsi="Arial" w:cs="Arial"/>
          <w:b/>
          <w:bCs/>
          <w:sz w:val="20"/>
          <w:szCs w:val="20"/>
        </w:rPr>
        <w:t>Table 16: Area under various AI classes during (2006-40) using PET</w:t>
      </w:r>
      <w:r w:rsidRPr="00CF7FB0">
        <w:rPr>
          <w:rFonts w:ascii="Arial" w:eastAsia="Calibri" w:hAnsi="Arial" w:cs="Arial"/>
          <w:b/>
          <w:bCs/>
          <w:sz w:val="20"/>
          <w:szCs w:val="20"/>
          <w:vertAlign w:val="subscript"/>
        </w:rPr>
        <w:t>TH</w:t>
      </w:r>
    </w:p>
    <w:tbl>
      <w:tblPr>
        <w:tblW w:w="6518" w:type="dxa"/>
        <w:tblInd w:w="1249" w:type="dxa"/>
        <w:tblBorders>
          <w:top w:val="single" w:sz="4" w:space="0" w:color="auto"/>
          <w:bottom w:val="single" w:sz="4" w:space="0" w:color="auto"/>
        </w:tblBorders>
        <w:tblLook w:val="04A0" w:firstRow="1" w:lastRow="0" w:firstColumn="1" w:lastColumn="0" w:noHBand="0" w:noVBand="1"/>
      </w:tblPr>
      <w:tblGrid>
        <w:gridCol w:w="1212"/>
        <w:gridCol w:w="2340"/>
        <w:gridCol w:w="1556"/>
        <w:gridCol w:w="10"/>
        <w:gridCol w:w="1400"/>
      </w:tblGrid>
      <w:tr w:rsidR="00B64262" w:rsidRPr="008638B1" w14:paraId="6D383D6B" w14:textId="77777777" w:rsidTr="006E4489">
        <w:trPr>
          <w:trHeight w:val="300"/>
        </w:trPr>
        <w:tc>
          <w:tcPr>
            <w:tcW w:w="1212" w:type="dxa"/>
            <w:tcBorders>
              <w:top w:val="single" w:sz="4" w:space="0" w:color="auto"/>
              <w:bottom w:val="single" w:sz="4" w:space="0" w:color="auto"/>
            </w:tcBorders>
            <w:shd w:val="clear" w:color="auto" w:fill="auto"/>
            <w:noWrap/>
            <w:vAlign w:val="center"/>
            <w:hideMark/>
          </w:tcPr>
          <w:p w14:paraId="263F8C11"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2340" w:type="dxa"/>
            <w:tcBorders>
              <w:top w:val="single" w:sz="4" w:space="0" w:color="auto"/>
              <w:bottom w:val="single" w:sz="4" w:space="0" w:color="auto"/>
            </w:tcBorders>
            <w:shd w:val="clear" w:color="auto" w:fill="auto"/>
            <w:noWrap/>
            <w:vAlign w:val="center"/>
            <w:hideMark/>
          </w:tcPr>
          <w:p w14:paraId="6EED3919"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(2006-40</w:t>
            </w:r>
            <w:r w:rsidRPr="008638B1">
              <w:rPr>
                <w:rFonts w:ascii="Arial" w:eastAsia="Times New Roman" w:hAnsi="Arial" w:cs="Arial"/>
                <w:b/>
                <w:bCs/>
                <w:sz w:val="20"/>
                <w:szCs w:val="20"/>
                <w:lang w:eastAsia="en-IN"/>
              </w:rPr>
              <w:t>)</w:t>
            </w:r>
          </w:p>
        </w:tc>
        <w:tc>
          <w:tcPr>
            <w:tcW w:w="1556" w:type="dxa"/>
            <w:tcBorders>
              <w:top w:val="single" w:sz="4" w:space="0" w:color="auto"/>
              <w:bottom w:val="single" w:sz="4" w:space="0" w:color="auto"/>
            </w:tcBorders>
          </w:tcPr>
          <w:p w14:paraId="1DB45484"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410" w:type="dxa"/>
            <w:gridSpan w:val="2"/>
            <w:tcBorders>
              <w:top w:val="single" w:sz="4" w:space="0" w:color="auto"/>
              <w:bottom w:val="single" w:sz="4" w:space="0" w:color="auto"/>
            </w:tcBorders>
            <w:shd w:val="clear" w:color="auto" w:fill="auto"/>
            <w:noWrap/>
            <w:vAlign w:val="center"/>
            <w:hideMark/>
          </w:tcPr>
          <w:p w14:paraId="2A1B1D1A"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7B8AE75A" w14:textId="77777777" w:rsidTr="006E4489">
        <w:trPr>
          <w:trHeight w:val="300"/>
        </w:trPr>
        <w:tc>
          <w:tcPr>
            <w:tcW w:w="1212" w:type="dxa"/>
            <w:tcBorders>
              <w:top w:val="single" w:sz="4" w:space="0" w:color="auto"/>
            </w:tcBorders>
            <w:shd w:val="clear" w:color="auto" w:fill="auto"/>
            <w:noWrap/>
            <w:vAlign w:val="center"/>
            <w:hideMark/>
          </w:tcPr>
          <w:p w14:paraId="21991CF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2340" w:type="dxa"/>
            <w:tcBorders>
              <w:top w:val="single" w:sz="4" w:space="0" w:color="auto"/>
            </w:tcBorders>
            <w:shd w:val="clear" w:color="auto" w:fill="auto"/>
            <w:noWrap/>
            <w:vAlign w:val="center"/>
            <w:hideMark/>
          </w:tcPr>
          <w:p w14:paraId="09F8391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0.20 </w:t>
            </w:r>
          </w:p>
        </w:tc>
        <w:tc>
          <w:tcPr>
            <w:tcW w:w="1566" w:type="dxa"/>
            <w:gridSpan w:val="2"/>
            <w:tcBorders>
              <w:top w:val="single" w:sz="4" w:space="0" w:color="auto"/>
            </w:tcBorders>
          </w:tcPr>
          <w:p w14:paraId="12B41F8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Arid</w:t>
            </w:r>
          </w:p>
        </w:tc>
        <w:tc>
          <w:tcPr>
            <w:tcW w:w="1400" w:type="dxa"/>
            <w:tcBorders>
              <w:top w:val="single" w:sz="4" w:space="0" w:color="auto"/>
            </w:tcBorders>
            <w:shd w:val="clear" w:color="auto" w:fill="auto"/>
            <w:noWrap/>
            <w:vAlign w:val="center"/>
            <w:hideMark/>
          </w:tcPr>
          <w:p w14:paraId="23291EA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0.40</w:t>
            </w:r>
          </w:p>
        </w:tc>
      </w:tr>
      <w:tr w:rsidR="00253875" w:rsidRPr="008638B1" w14:paraId="174207E4" w14:textId="77777777" w:rsidTr="006E4489">
        <w:trPr>
          <w:trHeight w:val="300"/>
        </w:trPr>
        <w:tc>
          <w:tcPr>
            <w:tcW w:w="1212" w:type="dxa"/>
            <w:shd w:val="clear" w:color="auto" w:fill="auto"/>
            <w:noWrap/>
            <w:vAlign w:val="center"/>
            <w:hideMark/>
          </w:tcPr>
          <w:p w14:paraId="1ADA685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2340" w:type="dxa"/>
            <w:shd w:val="clear" w:color="auto" w:fill="auto"/>
            <w:noWrap/>
            <w:vAlign w:val="center"/>
            <w:hideMark/>
          </w:tcPr>
          <w:p w14:paraId="47E1F38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0.20-0.50 </w:t>
            </w:r>
          </w:p>
        </w:tc>
        <w:tc>
          <w:tcPr>
            <w:tcW w:w="1566" w:type="dxa"/>
            <w:gridSpan w:val="2"/>
          </w:tcPr>
          <w:p w14:paraId="424849A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400" w:type="dxa"/>
            <w:shd w:val="clear" w:color="auto" w:fill="auto"/>
            <w:noWrap/>
            <w:vAlign w:val="center"/>
            <w:hideMark/>
          </w:tcPr>
          <w:p w14:paraId="6A3F3E3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99.52</w:t>
            </w:r>
          </w:p>
        </w:tc>
      </w:tr>
    </w:tbl>
    <w:p w14:paraId="5B3575BE" w14:textId="77777777" w:rsidR="00253875" w:rsidRPr="008638B1" w:rsidRDefault="00253875" w:rsidP="00253875">
      <w:pPr>
        <w:spacing w:line="360" w:lineRule="auto"/>
        <w:jc w:val="both"/>
        <w:rPr>
          <w:rFonts w:ascii="Arial" w:hAnsi="Arial" w:cs="Arial"/>
          <w:sz w:val="20"/>
          <w:szCs w:val="20"/>
        </w:rPr>
      </w:pPr>
    </w:p>
    <w:p w14:paraId="2CF2D18B"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4.4.3.2 De </w:t>
      </w:r>
      <w:proofErr w:type="spellStart"/>
      <w:r w:rsidRPr="008638B1">
        <w:rPr>
          <w:rFonts w:ascii="Arial" w:eastAsia="Calibri" w:hAnsi="Arial" w:cs="Arial"/>
          <w:b/>
          <w:sz w:val="20"/>
          <w:szCs w:val="20"/>
        </w:rPr>
        <w:t>Martonne</w:t>
      </w:r>
      <w:proofErr w:type="spellEnd"/>
      <w:r w:rsidRPr="008638B1">
        <w:rPr>
          <w:rFonts w:ascii="Arial" w:eastAsia="Calibri" w:hAnsi="Arial" w:cs="Arial"/>
          <w:b/>
          <w:sz w:val="20"/>
          <w:szCs w:val="20"/>
        </w:rPr>
        <w:t xml:space="preserve"> Aridity Index </w:t>
      </w:r>
    </w:p>
    <w:p w14:paraId="7A5D7AF6"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 xml:space="preserve">The spatial variation of 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(I</w:t>
      </w:r>
      <w:r w:rsidRPr="008638B1">
        <w:rPr>
          <w:rFonts w:ascii="Arial" w:eastAsia="Calibri" w:hAnsi="Arial" w:cs="Arial"/>
          <w:sz w:val="20"/>
          <w:szCs w:val="20"/>
          <w:vertAlign w:val="subscript"/>
        </w:rPr>
        <w:t>DM</w:t>
      </w:r>
      <w:r w:rsidRPr="008638B1">
        <w:rPr>
          <w:rFonts w:ascii="Arial" w:eastAsia="Calibri" w:hAnsi="Arial" w:cs="Arial"/>
          <w:sz w:val="20"/>
          <w:szCs w:val="20"/>
        </w:rPr>
        <w:t xml:space="preserve">) during 2006-40 is shown in Figure 21 and the area under the various aridity classes is given in Table 17. </w:t>
      </w:r>
    </w:p>
    <w:p w14:paraId="6F433BC8"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6A5053AB" wp14:editId="26A6C59A">
            <wp:extent cx="4228594" cy="2989499"/>
            <wp:effectExtent l="0" t="0" r="635" b="1905"/>
            <wp:docPr id="35" name="Picture 35" descr="C:\Users\user\Desktop\thesis work\spatial map\mortonne\AI(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s work\spatial map\mortonne\AI(2006-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7065" cy="2995488"/>
                    </a:xfrm>
                    <a:prstGeom prst="rect">
                      <a:avLst/>
                    </a:prstGeom>
                    <a:noFill/>
                    <a:ln>
                      <a:noFill/>
                    </a:ln>
                  </pic:spPr>
                </pic:pic>
              </a:graphicData>
            </a:graphic>
          </wp:inline>
        </w:drawing>
      </w:r>
    </w:p>
    <w:p w14:paraId="015950C9" w14:textId="77777777" w:rsidR="00253875" w:rsidRPr="00CF7FB0" w:rsidRDefault="00253875" w:rsidP="00253875">
      <w:pPr>
        <w:spacing w:after="120" w:line="360" w:lineRule="auto"/>
        <w:jc w:val="center"/>
        <w:rPr>
          <w:rFonts w:ascii="Arial" w:eastAsia="Calibri" w:hAnsi="Arial" w:cs="Arial"/>
          <w:b/>
          <w:bCs/>
          <w:sz w:val="20"/>
          <w:szCs w:val="20"/>
        </w:rPr>
      </w:pPr>
      <w:r w:rsidRPr="00CF7FB0">
        <w:rPr>
          <w:rFonts w:ascii="Arial" w:eastAsia="Calibri" w:hAnsi="Arial" w:cs="Arial"/>
          <w:b/>
          <w:bCs/>
          <w:sz w:val="20"/>
          <w:szCs w:val="20"/>
        </w:rPr>
        <w:t xml:space="preserve">Figure 21: Area under various De </w:t>
      </w:r>
      <w:proofErr w:type="spellStart"/>
      <w:r w:rsidRPr="00CF7FB0">
        <w:rPr>
          <w:rFonts w:ascii="Arial" w:eastAsia="Calibri" w:hAnsi="Arial" w:cs="Arial"/>
          <w:b/>
          <w:bCs/>
          <w:sz w:val="20"/>
          <w:szCs w:val="20"/>
        </w:rPr>
        <w:t>Martonne</w:t>
      </w:r>
      <w:proofErr w:type="spellEnd"/>
      <w:r w:rsidRPr="00CF7FB0">
        <w:rPr>
          <w:rFonts w:ascii="Arial" w:eastAsia="Calibri" w:hAnsi="Arial" w:cs="Arial"/>
          <w:b/>
          <w:bCs/>
          <w:sz w:val="20"/>
          <w:szCs w:val="20"/>
        </w:rPr>
        <w:t xml:space="preserve"> Aridity index classes during (2006-40)</w:t>
      </w:r>
    </w:p>
    <w:p w14:paraId="5A7CDC80" w14:textId="77777777" w:rsidR="00253875" w:rsidRPr="008638B1" w:rsidRDefault="00253875" w:rsidP="00253875">
      <w:pPr>
        <w:spacing w:after="120" w:line="360" w:lineRule="auto"/>
        <w:jc w:val="both"/>
        <w:rPr>
          <w:rFonts w:ascii="Arial" w:eastAsia="Calibri" w:hAnsi="Arial" w:cs="Arial"/>
          <w:b/>
          <w:sz w:val="20"/>
          <w:szCs w:val="20"/>
        </w:rPr>
      </w:pPr>
      <w:r w:rsidRPr="008638B1">
        <w:rPr>
          <w:rFonts w:ascii="Arial" w:eastAsia="Calibri" w:hAnsi="Arial" w:cs="Arial"/>
          <w:sz w:val="20"/>
          <w:szCs w:val="20"/>
        </w:rPr>
        <w:t xml:space="preserve">It can be observed that Mahi basin is projected to experience a semi-arid climate in the complete basin. A shift in the climate is therefore projected from </w:t>
      </w:r>
      <w:proofErr w:type="spellStart"/>
      <w:r w:rsidRPr="008638B1">
        <w:rPr>
          <w:rFonts w:ascii="Arial" w:eastAsia="Calibri" w:hAnsi="Arial" w:cs="Arial"/>
          <w:sz w:val="20"/>
          <w:szCs w:val="20"/>
        </w:rPr>
        <w:t>mediterrean</w:t>
      </w:r>
      <w:proofErr w:type="spellEnd"/>
      <w:r w:rsidRPr="008638B1">
        <w:rPr>
          <w:rFonts w:ascii="Arial" w:eastAsia="Calibri" w:hAnsi="Arial" w:cs="Arial"/>
          <w:sz w:val="20"/>
          <w:szCs w:val="20"/>
        </w:rPr>
        <w:t xml:space="preserve"> climate during present period to semi-arid climate during 2006-40. </w:t>
      </w:r>
    </w:p>
    <w:p w14:paraId="0323FE29" w14:textId="77777777" w:rsidR="00253875" w:rsidRPr="00CF7FB0" w:rsidRDefault="00253875" w:rsidP="00253875">
      <w:pPr>
        <w:spacing w:after="0" w:line="360" w:lineRule="auto"/>
        <w:ind w:left="-288"/>
        <w:jc w:val="center"/>
        <w:rPr>
          <w:rFonts w:ascii="Arial" w:eastAsia="Calibri" w:hAnsi="Arial" w:cs="Arial"/>
          <w:b/>
          <w:bCs/>
          <w:sz w:val="20"/>
          <w:szCs w:val="20"/>
        </w:rPr>
      </w:pPr>
      <w:r w:rsidRPr="00CF7FB0">
        <w:rPr>
          <w:rFonts w:ascii="Arial" w:eastAsia="Calibri" w:hAnsi="Arial" w:cs="Arial"/>
          <w:b/>
          <w:bCs/>
          <w:sz w:val="20"/>
          <w:szCs w:val="20"/>
        </w:rPr>
        <w:t xml:space="preserve">Table 17: Area under various De </w:t>
      </w:r>
      <w:proofErr w:type="spellStart"/>
      <w:r w:rsidRPr="00CF7FB0">
        <w:rPr>
          <w:rFonts w:ascii="Arial" w:eastAsia="Calibri" w:hAnsi="Arial" w:cs="Arial"/>
          <w:b/>
          <w:bCs/>
          <w:sz w:val="20"/>
          <w:szCs w:val="20"/>
        </w:rPr>
        <w:t>Martonne</w:t>
      </w:r>
      <w:proofErr w:type="spellEnd"/>
      <w:r w:rsidRPr="00CF7FB0">
        <w:rPr>
          <w:rFonts w:ascii="Arial" w:eastAsia="Calibri" w:hAnsi="Arial" w:cs="Arial"/>
          <w:b/>
          <w:bCs/>
          <w:sz w:val="20"/>
          <w:szCs w:val="20"/>
        </w:rPr>
        <w:t xml:space="preserve"> Aridity index classes during (2006-40)</w:t>
      </w:r>
      <w:r w:rsidRPr="00CF7FB0">
        <w:rPr>
          <w:rFonts w:ascii="Arial" w:eastAsia="Calibri" w:hAnsi="Arial" w:cs="Arial"/>
          <w:b/>
          <w:bCs/>
          <w:sz w:val="20"/>
          <w:szCs w:val="20"/>
        </w:rPr>
        <w:tab/>
      </w:r>
    </w:p>
    <w:tbl>
      <w:tblPr>
        <w:tblpPr w:leftFromText="180" w:rightFromText="180" w:vertAnchor="text" w:horzAnchor="margin" w:tblpXSpec="center" w:tblpY="394"/>
        <w:tblW w:w="6371" w:type="dxa"/>
        <w:tblBorders>
          <w:top w:val="single" w:sz="4" w:space="0" w:color="auto"/>
          <w:bottom w:val="single" w:sz="4" w:space="0" w:color="auto"/>
        </w:tblBorders>
        <w:tblLook w:val="04A0" w:firstRow="1" w:lastRow="0" w:firstColumn="1" w:lastColumn="0" w:noHBand="0" w:noVBand="1"/>
      </w:tblPr>
      <w:tblGrid>
        <w:gridCol w:w="1413"/>
        <w:gridCol w:w="1984"/>
        <w:gridCol w:w="1556"/>
        <w:gridCol w:w="1418"/>
      </w:tblGrid>
      <w:tr w:rsidR="00B64262" w:rsidRPr="008638B1" w14:paraId="181CFE2F" w14:textId="77777777" w:rsidTr="006E4489">
        <w:trPr>
          <w:trHeight w:val="300"/>
        </w:trPr>
        <w:tc>
          <w:tcPr>
            <w:tcW w:w="1413" w:type="dxa"/>
            <w:tcBorders>
              <w:top w:val="single" w:sz="4" w:space="0" w:color="auto"/>
              <w:bottom w:val="single" w:sz="4" w:space="0" w:color="auto"/>
            </w:tcBorders>
            <w:shd w:val="clear" w:color="auto" w:fill="auto"/>
            <w:noWrap/>
            <w:vAlign w:val="center"/>
            <w:hideMark/>
          </w:tcPr>
          <w:p w14:paraId="16DA19CD"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984" w:type="dxa"/>
            <w:tcBorders>
              <w:top w:val="single" w:sz="4" w:space="0" w:color="auto"/>
              <w:bottom w:val="single" w:sz="4" w:space="0" w:color="auto"/>
            </w:tcBorders>
            <w:shd w:val="clear" w:color="auto" w:fill="auto"/>
            <w:noWrap/>
            <w:vAlign w:val="center"/>
            <w:hideMark/>
          </w:tcPr>
          <w:p w14:paraId="481C9C13"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(2006-40</w:t>
            </w:r>
            <w:r w:rsidRPr="008638B1">
              <w:rPr>
                <w:rFonts w:ascii="Arial" w:eastAsia="Times New Roman" w:hAnsi="Arial" w:cs="Arial"/>
                <w:b/>
                <w:bCs/>
                <w:sz w:val="20"/>
                <w:szCs w:val="20"/>
                <w:lang w:eastAsia="en-IN"/>
              </w:rPr>
              <w:t>)</w:t>
            </w:r>
          </w:p>
        </w:tc>
        <w:tc>
          <w:tcPr>
            <w:tcW w:w="1556" w:type="dxa"/>
            <w:tcBorders>
              <w:top w:val="single" w:sz="4" w:space="0" w:color="auto"/>
              <w:bottom w:val="single" w:sz="4" w:space="0" w:color="auto"/>
            </w:tcBorders>
          </w:tcPr>
          <w:p w14:paraId="0C9C6424"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418" w:type="dxa"/>
            <w:tcBorders>
              <w:top w:val="single" w:sz="4" w:space="0" w:color="auto"/>
              <w:bottom w:val="single" w:sz="4" w:space="0" w:color="auto"/>
            </w:tcBorders>
            <w:shd w:val="clear" w:color="auto" w:fill="auto"/>
            <w:noWrap/>
            <w:vAlign w:val="center"/>
            <w:hideMark/>
          </w:tcPr>
          <w:p w14:paraId="66BA676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0D693775" w14:textId="77777777" w:rsidTr="006E4489">
        <w:trPr>
          <w:trHeight w:val="300"/>
        </w:trPr>
        <w:tc>
          <w:tcPr>
            <w:tcW w:w="1413" w:type="dxa"/>
            <w:tcBorders>
              <w:top w:val="single" w:sz="4" w:space="0" w:color="auto"/>
            </w:tcBorders>
            <w:shd w:val="clear" w:color="auto" w:fill="auto"/>
            <w:noWrap/>
            <w:vAlign w:val="bottom"/>
            <w:hideMark/>
          </w:tcPr>
          <w:p w14:paraId="2B5013E9"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984" w:type="dxa"/>
            <w:tcBorders>
              <w:top w:val="single" w:sz="4" w:space="0" w:color="auto"/>
            </w:tcBorders>
            <w:shd w:val="clear" w:color="auto" w:fill="auto"/>
            <w:noWrap/>
            <w:vAlign w:val="bottom"/>
            <w:hideMark/>
          </w:tcPr>
          <w:p w14:paraId="3A18AC6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556" w:type="dxa"/>
            <w:tcBorders>
              <w:top w:val="single" w:sz="4" w:space="0" w:color="auto"/>
            </w:tcBorders>
          </w:tcPr>
          <w:p w14:paraId="5F9A042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418" w:type="dxa"/>
            <w:tcBorders>
              <w:top w:val="single" w:sz="4" w:space="0" w:color="auto"/>
            </w:tcBorders>
            <w:shd w:val="clear" w:color="auto" w:fill="auto"/>
            <w:noWrap/>
            <w:vAlign w:val="bottom"/>
            <w:hideMark/>
          </w:tcPr>
          <w:p w14:paraId="329EB3EC"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100</w:t>
            </w:r>
          </w:p>
        </w:tc>
      </w:tr>
    </w:tbl>
    <w:p w14:paraId="18814B5D" w14:textId="77777777" w:rsidR="00253875" w:rsidRPr="008638B1" w:rsidRDefault="00253875" w:rsidP="00253875">
      <w:pPr>
        <w:spacing w:line="360" w:lineRule="auto"/>
        <w:rPr>
          <w:rFonts w:ascii="Arial" w:eastAsia="Calibri" w:hAnsi="Arial" w:cs="Arial"/>
          <w:sz w:val="20"/>
          <w:szCs w:val="20"/>
        </w:rPr>
      </w:pPr>
    </w:p>
    <w:p w14:paraId="3334E9AE" w14:textId="77777777" w:rsidR="00253875" w:rsidRPr="008638B1" w:rsidRDefault="00253875" w:rsidP="00253875">
      <w:pPr>
        <w:spacing w:line="360" w:lineRule="auto"/>
        <w:rPr>
          <w:rFonts w:ascii="Arial" w:eastAsia="Calibri" w:hAnsi="Arial" w:cs="Arial"/>
          <w:sz w:val="20"/>
          <w:szCs w:val="20"/>
        </w:rPr>
      </w:pPr>
    </w:p>
    <w:p w14:paraId="0FF58936" w14:textId="77777777" w:rsidR="00253875" w:rsidRPr="008638B1" w:rsidRDefault="00253875" w:rsidP="00253875">
      <w:pPr>
        <w:spacing w:line="360" w:lineRule="auto"/>
        <w:rPr>
          <w:rFonts w:ascii="Arial" w:eastAsia="Calibri" w:hAnsi="Arial" w:cs="Arial"/>
          <w:sz w:val="20"/>
          <w:szCs w:val="20"/>
        </w:rPr>
      </w:pPr>
    </w:p>
    <w:p w14:paraId="599D9DA7"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4.4.3.3 Pinna Combinative Index </w:t>
      </w:r>
    </w:p>
    <w:p w14:paraId="0EB602FC"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The spatial variation of the Pinna Combinative Index (I</w:t>
      </w:r>
      <w:r w:rsidRPr="008638B1">
        <w:rPr>
          <w:rFonts w:ascii="Arial" w:eastAsia="Calibri" w:hAnsi="Arial" w:cs="Arial"/>
          <w:sz w:val="20"/>
          <w:szCs w:val="20"/>
          <w:vertAlign w:val="subscript"/>
        </w:rPr>
        <w:t>P</w:t>
      </w:r>
      <w:r w:rsidRPr="008638B1">
        <w:rPr>
          <w:rFonts w:ascii="Arial" w:eastAsia="Calibri" w:hAnsi="Arial" w:cs="Arial"/>
          <w:sz w:val="20"/>
          <w:szCs w:val="20"/>
        </w:rPr>
        <w:t xml:space="preserve">) during 2006-40 is shown in Figure 22 and the area under the various aridity classes is given in Table 18. </w:t>
      </w:r>
    </w:p>
    <w:p w14:paraId="779D45ED"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val="en-US"/>
        </w:rPr>
        <w:lastRenderedPageBreak/>
        <w:drawing>
          <wp:inline distT="0" distB="0" distL="0" distR="0" wp14:anchorId="66F76FCC" wp14:editId="3D88D08F">
            <wp:extent cx="4013909" cy="2837723"/>
            <wp:effectExtent l="0" t="0" r="5715" b="1270"/>
            <wp:docPr id="37" name="Picture 37" descr="C:\Users\user\Desktop\thesis work\spatial map\pinna combinative\AI(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s work\spatial map\pinna combinative\AI(200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1618" cy="2843173"/>
                    </a:xfrm>
                    <a:prstGeom prst="rect">
                      <a:avLst/>
                    </a:prstGeom>
                    <a:noFill/>
                    <a:ln>
                      <a:noFill/>
                    </a:ln>
                  </pic:spPr>
                </pic:pic>
              </a:graphicData>
            </a:graphic>
          </wp:inline>
        </w:drawing>
      </w:r>
    </w:p>
    <w:p w14:paraId="679080C4" w14:textId="77777777" w:rsidR="00253875" w:rsidRPr="00CF7FB0" w:rsidRDefault="00253875" w:rsidP="00253875">
      <w:pPr>
        <w:spacing w:after="240" w:line="360" w:lineRule="auto"/>
        <w:ind w:left="-142"/>
        <w:jc w:val="center"/>
        <w:rPr>
          <w:rFonts w:ascii="Arial" w:eastAsia="Calibri" w:hAnsi="Arial" w:cs="Arial"/>
          <w:b/>
          <w:bCs/>
          <w:sz w:val="20"/>
          <w:szCs w:val="20"/>
        </w:rPr>
      </w:pPr>
      <w:r w:rsidRPr="00CF7FB0">
        <w:rPr>
          <w:rFonts w:ascii="Arial" w:eastAsia="Calibri" w:hAnsi="Arial" w:cs="Arial"/>
          <w:b/>
          <w:bCs/>
          <w:sz w:val="20"/>
          <w:szCs w:val="20"/>
        </w:rPr>
        <w:t>Figure 22: Area under various Pinna Combinative Index classes during (2006-40)</w:t>
      </w:r>
    </w:p>
    <w:p w14:paraId="2DA8E028"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 xml:space="preserve">It can be observed that the aridity in Mahi basin is projected to be completely under the arid climate during 2006-40. The climate is expected to change substantially and become arid during 2006-40 from the semi-arid climate in major portions of the watersheds during the baseline period. </w:t>
      </w:r>
    </w:p>
    <w:p w14:paraId="42AC2929" w14:textId="77777777" w:rsidR="00253875" w:rsidRPr="00CF7FB0" w:rsidRDefault="00253875" w:rsidP="00253875">
      <w:pPr>
        <w:spacing w:after="120" w:line="360" w:lineRule="auto"/>
        <w:jc w:val="center"/>
        <w:rPr>
          <w:rFonts w:ascii="Arial" w:eastAsia="Calibri" w:hAnsi="Arial" w:cs="Arial"/>
          <w:b/>
          <w:bCs/>
          <w:sz w:val="20"/>
          <w:szCs w:val="20"/>
        </w:rPr>
      </w:pPr>
      <w:r w:rsidRPr="00CF7FB0">
        <w:rPr>
          <w:rFonts w:ascii="Arial" w:eastAsia="Calibri" w:hAnsi="Arial" w:cs="Arial"/>
          <w:b/>
          <w:bCs/>
          <w:sz w:val="20"/>
          <w:szCs w:val="20"/>
        </w:rPr>
        <w:t>Table 18: Area under various Pinna Combinative Index classes during (2006-40)</w:t>
      </w:r>
    </w:p>
    <w:tbl>
      <w:tblPr>
        <w:tblpPr w:leftFromText="180" w:rightFromText="180" w:vertAnchor="text" w:horzAnchor="margin" w:tblpXSpec="center" w:tblpY="14"/>
        <w:tblW w:w="6942" w:type="dxa"/>
        <w:tblLook w:val="04A0" w:firstRow="1" w:lastRow="0" w:firstColumn="1" w:lastColumn="0" w:noHBand="0" w:noVBand="1"/>
      </w:tblPr>
      <w:tblGrid>
        <w:gridCol w:w="1418"/>
        <w:gridCol w:w="1554"/>
        <w:gridCol w:w="1985"/>
        <w:gridCol w:w="1985"/>
      </w:tblGrid>
      <w:tr w:rsidR="00B64262" w:rsidRPr="008638B1" w14:paraId="16ACDAF3" w14:textId="77777777" w:rsidTr="006E4489">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E06F"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4CB5FAA9"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AI (</w:t>
            </w:r>
            <w:r w:rsidRPr="008638B1">
              <w:rPr>
                <w:rFonts w:ascii="Arial" w:eastAsia="Calibri" w:hAnsi="Arial" w:cs="Arial"/>
                <w:b/>
                <w:bCs/>
                <w:sz w:val="20"/>
                <w:szCs w:val="20"/>
              </w:rPr>
              <w:t>2006-40</w:t>
            </w:r>
            <w:r w:rsidRPr="008638B1">
              <w:rPr>
                <w:rFonts w:ascii="Arial" w:eastAsia="Times New Roman" w:hAnsi="Arial" w:cs="Arial"/>
                <w:b/>
                <w:bCs/>
                <w:sz w:val="20"/>
                <w:szCs w:val="20"/>
                <w:lang w:eastAsia="en-IN"/>
              </w:rPr>
              <w:t>)</w:t>
            </w:r>
          </w:p>
        </w:tc>
        <w:tc>
          <w:tcPr>
            <w:tcW w:w="1985" w:type="dxa"/>
            <w:tcBorders>
              <w:top w:val="single" w:sz="4" w:space="0" w:color="auto"/>
              <w:left w:val="nil"/>
              <w:bottom w:val="single" w:sz="4" w:space="0" w:color="auto"/>
              <w:right w:val="single" w:sz="4" w:space="0" w:color="auto"/>
            </w:tcBorders>
          </w:tcPr>
          <w:p w14:paraId="7C5DF44A"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1C55A"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7CA0E9CC" w14:textId="77777777" w:rsidTr="006E4489">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0585A2C"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554" w:type="dxa"/>
            <w:tcBorders>
              <w:top w:val="nil"/>
              <w:left w:val="nil"/>
              <w:bottom w:val="single" w:sz="4" w:space="0" w:color="auto"/>
              <w:right w:val="single" w:sz="4" w:space="0" w:color="auto"/>
            </w:tcBorders>
            <w:shd w:val="clear" w:color="auto" w:fill="auto"/>
            <w:noWrap/>
            <w:vAlign w:val="bottom"/>
            <w:hideMark/>
          </w:tcPr>
          <w:p w14:paraId="5887FECF" w14:textId="77777777" w:rsidR="00253875" w:rsidRPr="008638B1" w:rsidRDefault="00253875" w:rsidP="006E4489">
            <w:pPr>
              <w:tabs>
                <w:tab w:val="left" w:pos="596"/>
              </w:tabs>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10 </w:t>
            </w:r>
          </w:p>
        </w:tc>
        <w:tc>
          <w:tcPr>
            <w:tcW w:w="1985" w:type="dxa"/>
            <w:tcBorders>
              <w:top w:val="single" w:sz="4" w:space="0" w:color="auto"/>
              <w:left w:val="nil"/>
              <w:bottom w:val="single" w:sz="4" w:space="0" w:color="auto"/>
              <w:right w:val="single" w:sz="4" w:space="0" w:color="auto"/>
            </w:tcBorders>
          </w:tcPr>
          <w:p w14:paraId="7447273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Arid</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68B82CF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100</w:t>
            </w:r>
          </w:p>
        </w:tc>
      </w:tr>
    </w:tbl>
    <w:p w14:paraId="4436258E" w14:textId="77777777" w:rsidR="00253875" w:rsidRPr="008638B1" w:rsidRDefault="00253875" w:rsidP="00253875">
      <w:pPr>
        <w:spacing w:line="360" w:lineRule="auto"/>
        <w:rPr>
          <w:rFonts w:ascii="Arial" w:eastAsia="Calibri" w:hAnsi="Arial" w:cs="Arial"/>
          <w:sz w:val="20"/>
          <w:szCs w:val="20"/>
        </w:rPr>
      </w:pPr>
    </w:p>
    <w:p w14:paraId="6C4B8888" w14:textId="77777777" w:rsidR="00253875" w:rsidRPr="008638B1" w:rsidRDefault="00253875" w:rsidP="00253875">
      <w:pPr>
        <w:spacing w:line="360" w:lineRule="auto"/>
        <w:rPr>
          <w:rFonts w:ascii="Arial" w:eastAsia="Calibri" w:hAnsi="Arial" w:cs="Arial"/>
          <w:sz w:val="20"/>
          <w:szCs w:val="20"/>
        </w:rPr>
      </w:pPr>
    </w:p>
    <w:p w14:paraId="6EDF49B3" w14:textId="77777777" w:rsidR="00EC7085" w:rsidRPr="008638B1" w:rsidRDefault="00EC7085" w:rsidP="00EC708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climate classification derived from the three methods discussed earlier has been compiled for comparison in Table 19. A detailed examination reveals that aridity levels within the Mahi basin are undergoing a shift. According to the UNEP climate classification, which utilizes the </w:t>
      </w:r>
      <w:proofErr w:type="spellStart"/>
      <w:r w:rsidRPr="008638B1">
        <w:rPr>
          <w:rFonts w:ascii="Arial" w:eastAsia="Calibri" w:hAnsi="Arial" w:cs="Arial"/>
          <w:sz w:val="20"/>
          <w:szCs w:val="20"/>
        </w:rPr>
        <w:t>Thornthwaite</w:t>
      </w:r>
      <w:proofErr w:type="spellEnd"/>
      <w:r w:rsidRPr="008638B1">
        <w:rPr>
          <w:rFonts w:ascii="Arial" w:eastAsia="Calibri" w:hAnsi="Arial" w:cs="Arial"/>
          <w:sz w:val="20"/>
          <w:szCs w:val="20"/>
        </w:rPr>
        <w:t xml:space="preserve"> method for estimating potential evapotranspiration (PET), the basin's climate transitions from dry sub-humid in the baseline period to semi-arid during both the current period and the 2006–2040 timeframe. This suggests that the aridity index calculated through this method shows limited sensitivity to variations in climate parameters across the region. Furthermore, the influence of rising temperatures appears to have a minimal impact on PET, aridity levels, and consequently on the overall climate classification. On the other hand, the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climate classification indicates a clearer transition—from a mix of dry sub-humid and semi-arid conditions during the baseline period to dry sub-humid in the present, eventually evolving to semi-arid conditions in the projected future.</w:t>
      </w:r>
    </w:p>
    <w:p w14:paraId="03CEB0AD" w14:textId="77777777" w:rsidR="00253875" w:rsidRPr="008638B1" w:rsidRDefault="00253875" w:rsidP="00253875">
      <w:pPr>
        <w:spacing w:after="240" w:line="360" w:lineRule="auto"/>
        <w:jc w:val="both"/>
        <w:rPr>
          <w:rFonts w:ascii="Arial" w:eastAsia="Calibri" w:hAnsi="Arial" w:cs="Arial"/>
          <w:sz w:val="20"/>
          <w:szCs w:val="20"/>
        </w:rPr>
      </w:pPr>
    </w:p>
    <w:p w14:paraId="7AEC3592" w14:textId="7379DF17" w:rsidR="004531DA" w:rsidRPr="008638B1" w:rsidRDefault="004531DA" w:rsidP="00253875">
      <w:pPr>
        <w:spacing w:after="240" w:line="360" w:lineRule="auto"/>
        <w:jc w:val="both"/>
        <w:rPr>
          <w:rFonts w:ascii="Arial" w:eastAsia="Calibri" w:hAnsi="Arial" w:cs="Arial"/>
          <w:sz w:val="20"/>
          <w:szCs w:val="20"/>
        </w:rPr>
      </w:pPr>
    </w:p>
    <w:p w14:paraId="25706454" w14:textId="77777777" w:rsidR="00EC7085" w:rsidRPr="008638B1" w:rsidRDefault="00EC7085" w:rsidP="00253875">
      <w:pPr>
        <w:spacing w:after="240" w:line="360" w:lineRule="auto"/>
        <w:jc w:val="both"/>
        <w:rPr>
          <w:rFonts w:ascii="Arial" w:eastAsia="Calibri" w:hAnsi="Arial" w:cs="Arial"/>
          <w:sz w:val="20"/>
          <w:szCs w:val="20"/>
        </w:rPr>
      </w:pPr>
    </w:p>
    <w:p w14:paraId="2B5C7F3E" w14:textId="77777777" w:rsidR="00253875" w:rsidRPr="00CF7FB0" w:rsidRDefault="00253875" w:rsidP="00253875">
      <w:pPr>
        <w:spacing w:after="120" w:line="360" w:lineRule="auto"/>
        <w:jc w:val="center"/>
        <w:rPr>
          <w:rFonts w:ascii="Arial" w:eastAsia="Calibri" w:hAnsi="Arial" w:cs="Arial"/>
          <w:b/>
          <w:bCs/>
          <w:sz w:val="20"/>
          <w:szCs w:val="20"/>
        </w:rPr>
      </w:pPr>
      <w:r w:rsidRPr="00CF7FB0">
        <w:rPr>
          <w:rFonts w:ascii="Arial" w:eastAsia="Calibri" w:hAnsi="Arial" w:cs="Arial"/>
          <w:b/>
          <w:bCs/>
          <w:sz w:val="20"/>
          <w:szCs w:val="20"/>
        </w:rPr>
        <w:lastRenderedPageBreak/>
        <w:t>Table 19: Comparison of climate based on various climate classification schemes</w:t>
      </w:r>
    </w:p>
    <w:tbl>
      <w:tblPr>
        <w:tblW w:w="9175" w:type="dxa"/>
        <w:tblInd w:w="93" w:type="dxa"/>
        <w:tblLook w:val="04A0" w:firstRow="1" w:lastRow="0" w:firstColumn="1" w:lastColumn="0" w:noHBand="0" w:noVBand="1"/>
      </w:tblPr>
      <w:tblGrid>
        <w:gridCol w:w="528"/>
        <w:gridCol w:w="1359"/>
        <w:gridCol w:w="2835"/>
        <w:gridCol w:w="2885"/>
        <w:gridCol w:w="9"/>
        <w:gridCol w:w="1559"/>
      </w:tblGrid>
      <w:tr w:rsidR="00253875" w:rsidRPr="008638B1" w14:paraId="5997B754" w14:textId="77777777" w:rsidTr="00EC7085">
        <w:trPr>
          <w:trHeight w:val="288"/>
        </w:trPr>
        <w:tc>
          <w:tcPr>
            <w:tcW w:w="528" w:type="dxa"/>
            <w:tcBorders>
              <w:top w:val="single" w:sz="4" w:space="0" w:color="auto"/>
              <w:left w:val="single" w:sz="4" w:space="0" w:color="auto"/>
              <w:bottom w:val="nil"/>
              <w:right w:val="single" w:sz="4" w:space="0" w:color="auto"/>
            </w:tcBorders>
            <w:shd w:val="clear" w:color="auto" w:fill="auto"/>
            <w:noWrap/>
            <w:vAlign w:val="bottom"/>
            <w:hideMark/>
          </w:tcPr>
          <w:p w14:paraId="168A2F50" w14:textId="77777777" w:rsidR="00253875" w:rsidRPr="008638B1" w:rsidRDefault="00253875" w:rsidP="006E4489">
            <w:pPr>
              <w:spacing w:after="0" w:line="360" w:lineRule="auto"/>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 </w:t>
            </w:r>
          </w:p>
        </w:tc>
        <w:tc>
          <w:tcPr>
            <w:tcW w:w="1359" w:type="dxa"/>
            <w:tcBorders>
              <w:top w:val="single" w:sz="4" w:space="0" w:color="auto"/>
              <w:left w:val="nil"/>
              <w:bottom w:val="nil"/>
              <w:right w:val="single" w:sz="4" w:space="0" w:color="auto"/>
            </w:tcBorders>
            <w:shd w:val="clear" w:color="auto" w:fill="auto"/>
            <w:noWrap/>
            <w:vAlign w:val="bottom"/>
            <w:hideMark/>
          </w:tcPr>
          <w:p w14:paraId="4E45D5F8" w14:textId="77777777" w:rsidR="00253875" w:rsidRPr="008638B1" w:rsidRDefault="00253875" w:rsidP="006E4489">
            <w:pPr>
              <w:spacing w:after="0" w:line="360" w:lineRule="auto"/>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 </w:t>
            </w:r>
          </w:p>
        </w:tc>
        <w:tc>
          <w:tcPr>
            <w:tcW w:w="72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82E76FD" w14:textId="77777777" w:rsidR="00253875" w:rsidRPr="008638B1" w:rsidRDefault="00253875" w:rsidP="006E4489">
            <w:pPr>
              <w:spacing w:after="0" w:line="360" w:lineRule="auto"/>
              <w:jc w:val="center"/>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Climate classification method</w:t>
            </w:r>
          </w:p>
        </w:tc>
      </w:tr>
      <w:tr w:rsidR="00253875" w:rsidRPr="008638B1" w14:paraId="1B2403F4" w14:textId="77777777" w:rsidTr="00EC7085">
        <w:trPr>
          <w:trHeight w:val="288"/>
        </w:trPr>
        <w:tc>
          <w:tcPr>
            <w:tcW w:w="528" w:type="dxa"/>
            <w:tcBorders>
              <w:top w:val="nil"/>
              <w:left w:val="single" w:sz="4" w:space="0" w:color="auto"/>
              <w:bottom w:val="nil"/>
              <w:right w:val="single" w:sz="4" w:space="0" w:color="auto"/>
            </w:tcBorders>
            <w:shd w:val="clear" w:color="auto" w:fill="auto"/>
            <w:noWrap/>
            <w:vAlign w:val="bottom"/>
            <w:hideMark/>
          </w:tcPr>
          <w:p w14:paraId="2C60EF2D" w14:textId="4916D335" w:rsidR="00253875" w:rsidRPr="008638B1" w:rsidRDefault="00253875" w:rsidP="00EC7085">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 No.</w:t>
            </w:r>
          </w:p>
        </w:tc>
        <w:tc>
          <w:tcPr>
            <w:tcW w:w="1359" w:type="dxa"/>
            <w:tcBorders>
              <w:top w:val="nil"/>
              <w:left w:val="nil"/>
              <w:bottom w:val="nil"/>
              <w:right w:val="single" w:sz="4" w:space="0" w:color="auto"/>
            </w:tcBorders>
            <w:shd w:val="clear" w:color="auto" w:fill="auto"/>
            <w:noWrap/>
            <w:vAlign w:val="bottom"/>
            <w:hideMark/>
          </w:tcPr>
          <w:p w14:paraId="1DC46D23"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Time period</w:t>
            </w:r>
          </w:p>
        </w:tc>
        <w:tc>
          <w:tcPr>
            <w:tcW w:w="2835" w:type="dxa"/>
            <w:vMerge w:val="restart"/>
            <w:tcBorders>
              <w:top w:val="single" w:sz="4" w:space="0" w:color="auto"/>
              <w:left w:val="nil"/>
              <w:right w:val="single" w:sz="4" w:space="0" w:color="auto"/>
            </w:tcBorders>
            <w:shd w:val="clear" w:color="auto" w:fill="auto"/>
            <w:noWrap/>
            <w:vAlign w:val="bottom"/>
            <w:hideMark/>
          </w:tcPr>
          <w:p w14:paraId="139B9EC0" w14:textId="77777777" w:rsidR="00253875" w:rsidRPr="008638B1" w:rsidRDefault="00253875" w:rsidP="006E4489">
            <w:pPr>
              <w:spacing w:after="0" w:line="360" w:lineRule="auto"/>
              <w:jc w:val="center"/>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UNEP Climate Classification</w:t>
            </w:r>
          </w:p>
          <w:p w14:paraId="5425E6B8" w14:textId="77777777" w:rsidR="00253875" w:rsidRPr="008638B1" w:rsidRDefault="00253875" w:rsidP="006E4489">
            <w:pPr>
              <w:spacing w:after="0" w:line="360" w:lineRule="auto"/>
              <w:rPr>
                <w:rFonts w:ascii="Arial" w:eastAsia="Times New Roman" w:hAnsi="Arial" w:cs="Arial"/>
                <w:color w:val="000000"/>
                <w:sz w:val="20"/>
                <w:szCs w:val="20"/>
                <w:lang w:val="en-US"/>
              </w:rPr>
            </w:pPr>
          </w:p>
        </w:tc>
        <w:tc>
          <w:tcPr>
            <w:tcW w:w="2885" w:type="dxa"/>
            <w:tcBorders>
              <w:top w:val="single" w:sz="4" w:space="0" w:color="auto"/>
              <w:left w:val="single" w:sz="4" w:space="0" w:color="auto"/>
              <w:bottom w:val="nil"/>
              <w:right w:val="nil"/>
            </w:tcBorders>
            <w:shd w:val="clear" w:color="auto" w:fill="auto"/>
            <w:noWrap/>
            <w:vAlign w:val="bottom"/>
            <w:hideMark/>
          </w:tcPr>
          <w:p w14:paraId="4D10F8CF"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 De </w:t>
            </w:r>
            <w:proofErr w:type="spellStart"/>
            <w:r w:rsidRPr="008638B1">
              <w:rPr>
                <w:rFonts w:ascii="Arial" w:eastAsia="Times New Roman" w:hAnsi="Arial" w:cs="Arial"/>
                <w:color w:val="000000"/>
                <w:sz w:val="20"/>
                <w:szCs w:val="20"/>
                <w:lang w:val="en-US"/>
              </w:rPr>
              <w:t>Martanne</w:t>
            </w:r>
            <w:proofErr w:type="spellEnd"/>
            <w:r w:rsidRPr="008638B1">
              <w:rPr>
                <w:rFonts w:ascii="Arial" w:eastAsia="Times New Roman" w:hAnsi="Arial" w:cs="Arial"/>
                <w:color w:val="000000"/>
                <w:sz w:val="20"/>
                <w:szCs w:val="20"/>
                <w:lang w:val="en-US"/>
              </w:rPr>
              <w:t xml:space="preserve"> Climate </w:t>
            </w:r>
          </w:p>
          <w:p w14:paraId="1F26007B"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Classification</w:t>
            </w:r>
          </w:p>
        </w:tc>
        <w:tc>
          <w:tcPr>
            <w:tcW w:w="1568" w:type="dxa"/>
            <w:gridSpan w:val="2"/>
            <w:tcBorders>
              <w:top w:val="single" w:sz="4" w:space="0" w:color="auto"/>
              <w:left w:val="single" w:sz="4" w:space="0" w:color="auto"/>
              <w:bottom w:val="nil"/>
              <w:right w:val="single" w:sz="4" w:space="0" w:color="auto"/>
            </w:tcBorders>
            <w:shd w:val="clear" w:color="auto" w:fill="auto"/>
            <w:noWrap/>
            <w:vAlign w:val="bottom"/>
            <w:hideMark/>
          </w:tcPr>
          <w:p w14:paraId="0FED3C03" w14:textId="6696FA8D" w:rsidR="00253875" w:rsidRPr="008638B1" w:rsidRDefault="00253875" w:rsidP="00EC7085">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Pinna Climate Classification</w:t>
            </w:r>
          </w:p>
        </w:tc>
      </w:tr>
      <w:tr w:rsidR="00253875" w:rsidRPr="008638B1" w14:paraId="238EAC64" w14:textId="77777777" w:rsidTr="00EC7085">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4FB85858"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w:t>
            </w:r>
          </w:p>
        </w:tc>
        <w:tc>
          <w:tcPr>
            <w:tcW w:w="1359" w:type="dxa"/>
            <w:tcBorders>
              <w:top w:val="nil"/>
              <w:left w:val="nil"/>
              <w:bottom w:val="single" w:sz="4" w:space="0" w:color="auto"/>
              <w:right w:val="single" w:sz="4" w:space="0" w:color="auto"/>
            </w:tcBorders>
            <w:shd w:val="clear" w:color="auto" w:fill="auto"/>
            <w:noWrap/>
            <w:vAlign w:val="bottom"/>
            <w:hideMark/>
          </w:tcPr>
          <w:p w14:paraId="6E22045A"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w:t>
            </w:r>
          </w:p>
        </w:tc>
        <w:tc>
          <w:tcPr>
            <w:tcW w:w="2835" w:type="dxa"/>
            <w:vMerge/>
            <w:tcBorders>
              <w:left w:val="nil"/>
              <w:bottom w:val="single" w:sz="4" w:space="0" w:color="auto"/>
              <w:right w:val="single" w:sz="4" w:space="0" w:color="auto"/>
            </w:tcBorders>
            <w:shd w:val="clear" w:color="auto" w:fill="auto"/>
            <w:noWrap/>
            <w:vAlign w:val="bottom"/>
            <w:hideMark/>
          </w:tcPr>
          <w:p w14:paraId="2A0DEF7A" w14:textId="77777777" w:rsidR="00253875" w:rsidRPr="008638B1" w:rsidRDefault="00253875" w:rsidP="006E4489">
            <w:pPr>
              <w:spacing w:after="0" w:line="360" w:lineRule="auto"/>
              <w:rPr>
                <w:rFonts w:ascii="Arial" w:eastAsia="Times New Roman" w:hAnsi="Arial" w:cs="Arial"/>
                <w:color w:val="000000"/>
                <w:sz w:val="20"/>
                <w:szCs w:val="20"/>
                <w:lang w:val="en-US"/>
              </w:rPr>
            </w:pPr>
          </w:p>
        </w:tc>
        <w:tc>
          <w:tcPr>
            <w:tcW w:w="2885" w:type="dxa"/>
            <w:tcBorders>
              <w:top w:val="nil"/>
              <w:left w:val="single" w:sz="4" w:space="0" w:color="auto"/>
              <w:bottom w:val="single" w:sz="4" w:space="0" w:color="auto"/>
              <w:right w:val="nil"/>
            </w:tcBorders>
            <w:shd w:val="clear" w:color="auto" w:fill="auto"/>
            <w:noWrap/>
            <w:vAlign w:val="bottom"/>
            <w:hideMark/>
          </w:tcPr>
          <w:p w14:paraId="73A8DBAE" w14:textId="77777777" w:rsidR="00253875" w:rsidRPr="008638B1" w:rsidRDefault="00253875" w:rsidP="006E4489">
            <w:pPr>
              <w:spacing w:after="0" w:line="360" w:lineRule="auto"/>
              <w:rPr>
                <w:rFonts w:ascii="Arial" w:eastAsia="Times New Roman" w:hAnsi="Arial" w:cs="Arial"/>
                <w:color w:val="000000"/>
                <w:sz w:val="20"/>
                <w:szCs w:val="20"/>
                <w:lang w:val="en-US"/>
              </w:rPr>
            </w:pPr>
          </w:p>
        </w:tc>
        <w:tc>
          <w:tcPr>
            <w:tcW w:w="15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00A38A" w14:textId="77777777" w:rsidR="00253875" w:rsidRPr="008638B1" w:rsidRDefault="00253875" w:rsidP="006E4489">
            <w:pPr>
              <w:spacing w:after="0" w:line="360" w:lineRule="auto"/>
              <w:rPr>
                <w:rFonts w:ascii="Arial" w:eastAsia="Times New Roman" w:hAnsi="Arial" w:cs="Arial"/>
                <w:color w:val="000000"/>
                <w:sz w:val="20"/>
                <w:szCs w:val="20"/>
                <w:lang w:val="en-US"/>
              </w:rPr>
            </w:pPr>
          </w:p>
        </w:tc>
      </w:tr>
      <w:tr w:rsidR="00253875" w:rsidRPr="008638B1" w14:paraId="0733B822" w14:textId="77777777" w:rsidTr="00EC7085">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33784834" w14:textId="77777777" w:rsidR="00253875" w:rsidRPr="008638B1" w:rsidRDefault="00253875" w:rsidP="006E4489">
            <w:pPr>
              <w:spacing w:after="0" w:line="360" w:lineRule="auto"/>
              <w:jc w:val="right"/>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1</w:t>
            </w:r>
          </w:p>
        </w:tc>
        <w:tc>
          <w:tcPr>
            <w:tcW w:w="1359" w:type="dxa"/>
            <w:tcBorders>
              <w:top w:val="nil"/>
              <w:left w:val="nil"/>
              <w:bottom w:val="single" w:sz="4" w:space="0" w:color="auto"/>
              <w:right w:val="single" w:sz="4" w:space="0" w:color="auto"/>
            </w:tcBorders>
            <w:shd w:val="clear" w:color="auto" w:fill="auto"/>
            <w:noWrap/>
            <w:vAlign w:val="bottom"/>
            <w:hideMark/>
          </w:tcPr>
          <w:p w14:paraId="2876BE7F"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Baseline </w:t>
            </w:r>
          </w:p>
        </w:tc>
        <w:tc>
          <w:tcPr>
            <w:tcW w:w="2835" w:type="dxa"/>
            <w:tcBorders>
              <w:top w:val="nil"/>
              <w:left w:val="nil"/>
              <w:bottom w:val="single" w:sz="4" w:space="0" w:color="auto"/>
              <w:right w:val="single" w:sz="4" w:space="0" w:color="auto"/>
            </w:tcBorders>
            <w:shd w:val="clear" w:color="auto" w:fill="auto"/>
            <w:noWrap/>
            <w:vAlign w:val="bottom"/>
            <w:hideMark/>
          </w:tcPr>
          <w:p w14:paraId="6E76CC2D"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Dry-sub-humid</w:t>
            </w:r>
          </w:p>
        </w:tc>
        <w:tc>
          <w:tcPr>
            <w:tcW w:w="2894" w:type="dxa"/>
            <w:gridSpan w:val="2"/>
            <w:tcBorders>
              <w:top w:val="nil"/>
              <w:left w:val="nil"/>
              <w:bottom w:val="single" w:sz="4" w:space="0" w:color="auto"/>
              <w:right w:val="single" w:sz="4" w:space="0" w:color="auto"/>
            </w:tcBorders>
            <w:shd w:val="clear" w:color="auto" w:fill="auto"/>
            <w:noWrap/>
            <w:vAlign w:val="bottom"/>
            <w:hideMark/>
          </w:tcPr>
          <w:p w14:paraId="5E83C378" w14:textId="2DF6AA3F"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Partly Dry sub-humid </w:t>
            </w:r>
            <w:r w:rsidR="00EF696A">
              <w:rPr>
                <w:rFonts w:ascii="Arial" w:eastAsia="Times New Roman" w:hAnsi="Arial" w:cs="Arial"/>
                <w:color w:val="000000"/>
                <w:sz w:val="20"/>
                <w:szCs w:val="20"/>
                <w:lang w:val="en-US"/>
              </w:rPr>
              <w:t>and</w:t>
            </w:r>
            <w:r w:rsidRPr="008638B1">
              <w:rPr>
                <w:rFonts w:ascii="Arial" w:eastAsia="Times New Roman" w:hAnsi="Arial" w:cs="Arial"/>
                <w:color w:val="000000"/>
                <w:sz w:val="20"/>
                <w:szCs w:val="20"/>
                <w:lang w:val="en-US"/>
              </w:rPr>
              <w:t xml:space="preserve"> partly Semi-humid</w:t>
            </w:r>
          </w:p>
        </w:tc>
        <w:tc>
          <w:tcPr>
            <w:tcW w:w="1559" w:type="dxa"/>
            <w:tcBorders>
              <w:top w:val="nil"/>
              <w:left w:val="nil"/>
              <w:bottom w:val="single" w:sz="4" w:space="0" w:color="auto"/>
              <w:right w:val="single" w:sz="4" w:space="0" w:color="auto"/>
            </w:tcBorders>
            <w:shd w:val="clear" w:color="auto" w:fill="auto"/>
            <w:noWrap/>
            <w:vAlign w:val="bottom"/>
            <w:hideMark/>
          </w:tcPr>
          <w:p w14:paraId="7FEECCCC"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r>
      <w:tr w:rsidR="00253875" w:rsidRPr="008638B1" w14:paraId="397AE81B" w14:textId="77777777" w:rsidTr="00EC7085">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662B93F1" w14:textId="77777777" w:rsidR="00253875" w:rsidRPr="008638B1" w:rsidRDefault="00253875" w:rsidP="006E4489">
            <w:pPr>
              <w:spacing w:after="0" w:line="360" w:lineRule="auto"/>
              <w:jc w:val="right"/>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2</w:t>
            </w:r>
          </w:p>
        </w:tc>
        <w:tc>
          <w:tcPr>
            <w:tcW w:w="1359" w:type="dxa"/>
            <w:tcBorders>
              <w:top w:val="nil"/>
              <w:left w:val="nil"/>
              <w:bottom w:val="single" w:sz="4" w:space="0" w:color="auto"/>
              <w:right w:val="single" w:sz="4" w:space="0" w:color="auto"/>
            </w:tcBorders>
            <w:shd w:val="clear" w:color="auto" w:fill="auto"/>
            <w:noWrap/>
            <w:vAlign w:val="bottom"/>
            <w:hideMark/>
          </w:tcPr>
          <w:p w14:paraId="30D7691B"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Present </w:t>
            </w:r>
          </w:p>
        </w:tc>
        <w:tc>
          <w:tcPr>
            <w:tcW w:w="2835" w:type="dxa"/>
            <w:tcBorders>
              <w:top w:val="nil"/>
              <w:left w:val="nil"/>
              <w:bottom w:val="single" w:sz="4" w:space="0" w:color="auto"/>
              <w:right w:val="single" w:sz="4" w:space="0" w:color="auto"/>
            </w:tcBorders>
            <w:shd w:val="clear" w:color="auto" w:fill="auto"/>
            <w:noWrap/>
            <w:vAlign w:val="bottom"/>
            <w:hideMark/>
          </w:tcPr>
          <w:p w14:paraId="52E80181"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c>
          <w:tcPr>
            <w:tcW w:w="2894" w:type="dxa"/>
            <w:gridSpan w:val="2"/>
            <w:tcBorders>
              <w:top w:val="nil"/>
              <w:left w:val="nil"/>
              <w:bottom w:val="single" w:sz="4" w:space="0" w:color="auto"/>
              <w:right w:val="single" w:sz="4" w:space="0" w:color="auto"/>
            </w:tcBorders>
            <w:shd w:val="clear" w:color="auto" w:fill="auto"/>
            <w:noWrap/>
            <w:vAlign w:val="bottom"/>
            <w:hideMark/>
          </w:tcPr>
          <w:p w14:paraId="298EA3C2"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Dry sub-humid</w:t>
            </w:r>
          </w:p>
        </w:tc>
        <w:tc>
          <w:tcPr>
            <w:tcW w:w="1559" w:type="dxa"/>
            <w:tcBorders>
              <w:top w:val="nil"/>
              <w:left w:val="nil"/>
              <w:bottom w:val="single" w:sz="4" w:space="0" w:color="auto"/>
              <w:right w:val="single" w:sz="4" w:space="0" w:color="auto"/>
            </w:tcBorders>
            <w:shd w:val="clear" w:color="auto" w:fill="auto"/>
            <w:noWrap/>
            <w:vAlign w:val="bottom"/>
            <w:hideMark/>
          </w:tcPr>
          <w:p w14:paraId="602D008C"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r>
      <w:tr w:rsidR="00253875" w:rsidRPr="008638B1" w14:paraId="40A66579" w14:textId="77777777" w:rsidTr="00EC7085">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3B272734" w14:textId="77777777" w:rsidR="00253875" w:rsidRPr="008638B1" w:rsidRDefault="00253875" w:rsidP="006E4489">
            <w:pPr>
              <w:spacing w:after="0" w:line="360" w:lineRule="auto"/>
              <w:jc w:val="right"/>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3</w:t>
            </w:r>
          </w:p>
        </w:tc>
        <w:tc>
          <w:tcPr>
            <w:tcW w:w="1359" w:type="dxa"/>
            <w:tcBorders>
              <w:top w:val="nil"/>
              <w:left w:val="nil"/>
              <w:bottom w:val="single" w:sz="4" w:space="0" w:color="auto"/>
              <w:right w:val="single" w:sz="4" w:space="0" w:color="auto"/>
            </w:tcBorders>
            <w:shd w:val="clear" w:color="auto" w:fill="auto"/>
            <w:noWrap/>
            <w:vAlign w:val="bottom"/>
            <w:hideMark/>
          </w:tcPr>
          <w:p w14:paraId="0D6E6692" w14:textId="1427657E" w:rsidR="00201D3A" w:rsidRPr="008638B1" w:rsidRDefault="00201D3A"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Future time </w:t>
            </w:r>
          </w:p>
          <w:p w14:paraId="6817D619" w14:textId="135DB82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2006-40</w:t>
            </w:r>
          </w:p>
        </w:tc>
        <w:tc>
          <w:tcPr>
            <w:tcW w:w="2835" w:type="dxa"/>
            <w:tcBorders>
              <w:top w:val="nil"/>
              <w:left w:val="nil"/>
              <w:bottom w:val="single" w:sz="4" w:space="0" w:color="auto"/>
              <w:right w:val="single" w:sz="4" w:space="0" w:color="auto"/>
            </w:tcBorders>
            <w:shd w:val="clear" w:color="auto" w:fill="auto"/>
            <w:noWrap/>
            <w:vAlign w:val="bottom"/>
            <w:hideMark/>
          </w:tcPr>
          <w:p w14:paraId="757D5F9C"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c>
          <w:tcPr>
            <w:tcW w:w="2894" w:type="dxa"/>
            <w:gridSpan w:val="2"/>
            <w:tcBorders>
              <w:top w:val="nil"/>
              <w:left w:val="nil"/>
              <w:bottom w:val="single" w:sz="4" w:space="0" w:color="auto"/>
              <w:right w:val="single" w:sz="4" w:space="0" w:color="auto"/>
            </w:tcBorders>
            <w:shd w:val="clear" w:color="auto" w:fill="auto"/>
            <w:noWrap/>
            <w:vAlign w:val="bottom"/>
            <w:hideMark/>
          </w:tcPr>
          <w:p w14:paraId="65C9DE67"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c>
          <w:tcPr>
            <w:tcW w:w="1559" w:type="dxa"/>
            <w:tcBorders>
              <w:top w:val="nil"/>
              <w:left w:val="nil"/>
              <w:bottom w:val="single" w:sz="4" w:space="0" w:color="auto"/>
              <w:right w:val="single" w:sz="4" w:space="0" w:color="auto"/>
            </w:tcBorders>
            <w:shd w:val="clear" w:color="auto" w:fill="auto"/>
            <w:noWrap/>
            <w:vAlign w:val="bottom"/>
            <w:hideMark/>
          </w:tcPr>
          <w:p w14:paraId="0C6603A4"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Arid </w:t>
            </w:r>
          </w:p>
        </w:tc>
      </w:tr>
    </w:tbl>
    <w:p w14:paraId="4A8FA3F4" w14:textId="77777777" w:rsidR="00253875" w:rsidRPr="008638B1" w:rsidRDefault="00253875" w:rsidP="00253875">
      <w:pPr>
        <w:spacing w:line="360" w:lineRule="auto"/>
        <w:rPr>
          <w:rFonts w:ascii="Arial" w:eastAsia="Calibri" w:hAnsi="Arial" w:cs="Arial"/>
          <w:sz w:val="20"/>
          <w:szCs w:val="20"/>
        </w:rPr>
      </w:pPr>
    </w:p>
    <w:p w14:paraId="0391AF0C" w14:textId="3BC1C35A" w:rsidR="00253875" w:rsidRPr="008638B1" w:rsidRDefault="00253875" w:rsidP="00253875">
      <w:pPr>
        <w:spacing w:after="240" w:line="360" w:lineRule="auto"/>
        <w:jc w:val="both"/>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 This indicates that the climate is projected to become drier in future time period. This climate classification also closely resembles the UNEP climate classification system based on </w:t>
      </w:r>
      <w:proofErr w:type="spellStart"/>
      <w:r w:rsidRPr="008638B1">
        <w:rPr>
          <w:rFonts w:ascii="Arial" w:eastAsia="Times New Roman" w:hAnsi="Arial" w:cs="Arial"/>
          <w:color w:val="000000"/>
          <w:sz w:val="20"/>
          <w:szCs w:val="20"/>
          <w:lang w:val="en-US"/>
        </w:rPr>
        <w:t>Thornthwaite</w:t>
      </w:r>
      <w:proofErr w:type="spellEnd"/>
      <w:r w:rsidRPr="008638B1">
        <w:rPr>
          <w:rFonts w:ascii="Arial" w:eastAsia="Times New Roman" w:hAnsi="Arial" w:cs="Arial"/>
          <w:color w:val="000000"/>
          <w:sz w:val="20"/>
          <w:szCs w:val="20"/>
          <w:lang w:val="en-US"/>
        </w:rPr>
        <w:t xml:space="preserve"> PET. Although the Pinna climate classification scheme suggests drier climate in future time period, but the estimation of the climate is always on the higher side. The final climate classification based on the majority of the climate suggested by all the </w:t>
      </w:r>
      <w:r w:rsidR="004531DA" w:rsidRPr="008638B1">
        <w:rPr>
          <w:rFonts w:ascii="Arial" w:eastAsia="Times New Roman" w:hAnsi="Arial" w:cs="Arial"/>
          <w:color w:val="000000"/>
          <w:sz w:val="20"/>
          <w:szCs w:val="20"/>
          <w:lang w:val="en-US"/>
        </w:rPr>
        <w:t>three</w:t>
      </w:r>
      <w:r w:rsidRPr="008638B1">
        <w:rPr>
          <w:rFonts w:ascii="Arial" w:eastAsia="Times New Roman" w:hAnsi="Arial" w:cs="Arial"/>
          <w:color w:val="000000"/>
          <w:sz w:val="20"/>
          <w:szCs w:val="20"/>
          <w:lang w:val="en-US"/>
        </w:rPr>
        <w:t xml:space="preserve"> methods is given in Table 20. </w:t>
      </w:r>
    </w:p>
    <w:p w14:paraId="06F505F4" w14:textId="77777777" w:rsidR="00253875" w:rsidRPr="00CF7FB0" w:rsidRDefault="00253875" w:rsidP="00253875">
      <w:pPr>
        <w:spacing w:after="120" w:line="360" w:lineRule="auto"/>
        <w:jc w:val="center"/>
        <w:rPr>
          <w:rFonts w:ascii="Arial" w:eastAsia="Calibri" w:hAnsi="Arial" w:cs="Arial"/>
          <w:b/>
          <w:bCs/>
          <w:sz w:val="20"/>
          <w:szCs w:val="20"/>
        </w:rPr>
      </w:pPr>
      <w:r w:rsidRPr="00CF7FB0">
        <w:rPr>
          <w:rFonts w:ascii="Arial" w:eastAsia="Times New Roman" w:hAnsi="Arial" w:cs="Arial"/>
          <w:b/>
          <w:bCs/>
          <w:color w:val="000000"/>
          <w:sz w:val="20"/>
          <w:szCs w:val="20"/>
          <w:lang w:val="en-US"/>
        </w:rPr>
        <w:t>Table 20: Final climate for baseline, present and future time period</w:t>
      </w:r>
    </w:p>
    <w:tbl>
      <w:tblPr>
        <w:tblW w:w="4869" w:type="dxa"/>
        <w:jc w:val="center"/>
        <w:tblLook w:val="04A0" w:firstRow="1" w:lastRow="0" w:firstColumn="1" w:lastColumn="0" w:noHBand="0" w:noVBand="1"/>
      </w:tblPr>
      <w:tblGrid>
        <w:gridCol w:w="1003"/>
        <w:gridCol w:w="1836"/>
        <w:gridCol w:w="2030"/>
      </w:tblGrid>
      <w:tr w:rsidR="00253875" w:rsidRPr="008638B1" w14:paraId="4AAC2168" w14:textId="77777777" w:rsidTr="003D4123">
        <w:trPr>
          <w:trHeight w:val="288"/>
          <w:jc w:val="center"/>
        </w:trPr>
        <w:tc>
          <w:tcPr>
            <w:tcW w:w="1003" w:type="dxa"/>
            <w:tcBorders>
              <w:top w:val="single" w:sz="4" w:space="0" w:color="auto"/>
              <w:bottom w:val="single" w:sz="4" w:space="0" w:color="auto"/>
            </w:tcBorders>
            <w:shd w:val="clear" w:color="auto" w:fill="auto"/>
            <w:noWrap/>
            <w:vAlign w:val="bottom"/>
          </w:tcPr>
          <w:p w14:paraId="00F203AA" w14:textId="77777777" w:rsidR="00253875" w:rsidRPr="008638B1" w:rsidRDefault="00253875" w:rsidP="006E4489">
            <w:pPr>
              <w:spacing w:after="0" w:line="360" w:lineRule="auto"/>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 xml:space="preserve">S. No. </w:t>
            </w:r>
          </w:p>
        </w:tc>
        <w:tc>
          <w:tcPr>
            <w:tcW w:w="1836" w:type="dxa"/>
            <w:tcBorders>
              <w:top w:val="single" w:sz="4" w:space="0" w:color="auto"/>
              <w:bottom w:val="single" w:sz="4" w:space="0" w:color="auto"/>
            </w:tcBorders>
            <w:shd w:val="clear" w:color="auto" w:fill="auto"/>
            <w:noWrap/>
            <w:vAlign w:val="bottom"/>
          </w:tcPr>
          <w:p w14:paraId="5F832FB4" w14:textId="77777777" w:rsidR="00253875" w:rsidRPr="008638B1" w:rsidRDefault="00253875" w:rsidP="006E4489">
            <w:pPr>
              <w:spacing w:after="0" w:line="360" w:lineRule="auto"/>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Time period</w:t>
            </w:r>
          </w:p>
        </w:tc>
        <w:tc>
          <w:tcPr>
            <w:tcW w:w="2030" w:type="dxa"/>
            <w:tcBorders>
              <w:top w:val="single" w:sz="4" w:space="0" w:color="auto"/>
              <w:bottom w:val="single" w:sz="4" w:space="0" w:color="auto"/>
            </w:tcBorders>
            <w:shd w:val="clear" w:color="auto" w:fill="auto"/>
            <w:noWrap/>
            <w:vAlign w:val="bottom"/>
          </w:tcPr>
          <w:p w14:paraId="46C9E6E8" w14:textId="77777777" w:rsidR="00253875" w:rsidRPr="008638B1" w:rsidRDefault="00253875" w:rsidP="006E4489">
            <w:pPr>
              <w:spacing w:after="0" w:line="360" w:lineRule="auto"/>
              <w:jc w:val="center"/>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Climate</w:t>
            </w:r>
          </w:p>
        </w:tc>
      </w:tr>
      <w:tr w:rsidR="00253875" w:rsidRPr="008638B1" w14:paraId="242C7F3E" w14:textId="77777777" w:rsidTr="003D4123">
        <w:trPr>
          <w:trHeight w:val="288"/>
          <w:jc w:val="center"/>
        </w:trPr>
        <w:tc>
          <w:tcPr>
            <w:tcW w:w="1003" w:type="dxa"/>
            <w:tcBorders>
              <w:top w:val="single" w:sz="4" w:space="0" w:color="auto"/>
            </w:tcBorders>
            <w:shd w:val="clear" w:color="auto" w:fill="auto"/>
            <w:noWrap/>
            <w:vAlign w:val="bottom"/>
          </w:tcPr>
          <w:p w14:paraId="488A656D"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1</w:t>
            </w:r>
          </w:p>
        </w:tc>
        <w:tc>
          <w:tcPr>
            <w:tcW w:w="1836" w:type="dxa"/>
            <w:tcBorders>
              <w:top w:val="single" w:sz="4" w:space="0" w:color="auto"/>
            </w:tcBorders>
            <w:shd w:val="clear" w:color="auto" w:fill="auto"/>
            <w:noWrap/>
            <w:vAlign w:val="bottom"/>
          </w:tcPr>
          <w:p w14:paraId="0061EDDA"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Baseline period</w:t>
            </w:r>
          </w:p>
        </w:tc>
        <w:tc>
          <w:tcPr>
            <w:tcW w:w="2030" w:type="dxa"/>
            <w:tcBorders>
              <w:top w:val="single" w:sz="4" w:space="0" w:color="auto"/>
            </w:tcBorders>
            <w:shd w:val="clear" w:color="auto" w:fill="auto"/>
            <w:noWrap/>
            <w:vAlign w:val="bottom"/>
          </w:tcPr>
          <w:p w14:paraId="47EE8336"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Dry sub-humid</w:t>
            </w:r>
          </w:p>
        </w:tc>
      </w:tr>
      <w:tr w:rsidR="00253875" w:rsidRPr="008638B1" w14:paraId="1EAB75C4" w14:textId="77777777" w:rsidTr="003D4123">
        <w:trPr>
          <w:trHeight w:val="288"/>
          <w:jc w:val="center"/>
        </w:trPr>
        <w:tc>
          <w:tcPr>
            <w:tcW w:w="1003" w:type="dxa"/>
            <w:shd w:val="clear" w:color="auto" w:fill="auto"/>
            <w:noWrap/>
            <w:vAlign w:val="bottom"/>
            <w:hideMark/>
          </w:tcPr>
          <w:p w14:paraId="5A1A4078"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2</w:t>
            </w:r>
          </w:p>
        </w:tc>
        <w:tc>
          <w:tcPr>
            <w:tcW w:w="1836" w:type="dxa"/>
            <w:shd w:val="clear" w:color="auto" w:fill="auto"/>
            <w:noWrap/>
            <w:vAlign w:val="bottom"/>
            <w:hideMark/>
          </w:tcPr>
          <w:p w14:paraId="3C28185B"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Present period</w:t>
            </w:r>
          </w:p>
        </w:tc>
        <w:tc>
          <w:tcPr>
            <w:tcW w:w="2030" w:type="dxa"/>
            <w:shd w:val="clear" w:color="auto" w:fill="auto"/>
            <w:noWrap/>
            <w:vAlign w:val="bottom"/>
            <w:hideMark/>
          </w:tcPr>
          <w:p w14:paraId="693B2FF3"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r>
      <w:tr w:rsidR="00253875" w:rsidRPr="008638B1" w14:paraId="73FB961B" w14:textId="77777777" w:rsidTr="003D4123">
        <w:trPr>
          <w:trHeight w:val="288"/>
          <w:jc w:val="center"/>
        </w:trPr>
        <w:tc>
          <w:tcPr>
            <w:tcW w:w="1003" w:type="dxa"/>
            <w:shd w:val="clear" w:color="auto" w:fill="auto"/>
            <w:noWrap/>
            <w:vAlign w:val="bottom"/>
            <w:hideMark/>
          </w:tcPr>
          <w:p w14:paraId="32D196AD"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3</w:t>
            </w:r>
          </w:p>
        </w:tc>
        <w:tc>
          <w:tcPr>
            <w:tcW w:w="1836" w:type="dxa"/>
            <w:shd w:val="clear" w:color="auto" w:fill="auto"/>
            <w:noWrap/>
            <w:vAlign w:val="bottom"/>
            <w:hideMark/>
          </w:tcPr>
          <w:p w14:paraId="2D8E46B6"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2006-40</w:t>
            </w:r>
          </w:p>
        </w:tc>
        <w:tc>
          <w:tcPr>
            <w:tcW w:w="2030" w:type="dxa"/>
            <w:shd w:val="clear" w:color="auto" w:fill="auto"/>
            <w:noWrap/>
            <w:vAlign w:val="bottom"/>
            <w:hideMark/>
          </w:tcPr>
          <w:p w14:paraId="463B821E"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r>
    </w:tbl>
    <w:p w14:paraId="15BA8884" w14:textId="77777777" w:rsidR="00253875" w:rsidRPr="008638B1" w:rsidRDefault="00253875" w:rsidP="00253875">
      <w:pPr>
        <w:spacing w:line="360" w:lineRule="auto"/>
        <w:rPr>
          <w:rFonts w:ascii="Arial" w:eastAsia="Calibri" w:hAnsi="Arial" w:cs="Arial"/>
          <w:sz w:val="20"/>
          <w:szCs w:val="20"/>
        </w:rPr>
      </w:pPr>
    </w:p>
    <w:p w14:paraId="3013E96D" w14:textId="72562A6D" w:rsidR="00253875" w:rsidRPr="008638B1" w:rsidRDefault="00253875" w:rsidP="00201D3A">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It can be observed from above Table </w:t>
      </w:r>
      <w:r w:rsidR="00ED2E02" w:rsidRPr="008638B1">
        <w:rPr>
          <w:rFonts w:ascii="Arial" w:eastAsia="Calibri" w:hAnsi="Arial" w:cs="Arial"/>
          <w:sz w:val="20"/>
          <w:szCs w:val="20"/>
        </w:rPr>
        <w:t>19</w:t>
      </w:r>
      <w:r w:rsidRPr="008638B1">
        <w:rPr>
          <w:rFonts w:ascii="Arial" w:eastAsia="Calibri" w:hAnsi="Arial" w:cs="Arial"/>
          <w:sz w:val="20"/>
          <w:szCs w:val="20"/>
        </w:rPr>
        <w:t xml:space="preserve"> that the aridity in the basin is projected to increase with the basin become drier in future time period. The dry sub-humid climate during the baseline period has already changed to semi-arid climate and is projected to remain the same during 2006-</w:t>
      </w:r>
      <w:r w:rsidR="00201D3A" w:rsidRPr="008638B1">
        <w:rPr>
          <w:rFonts w:ascii="Arial" w:eastAsia="Calibri" w:hAnsi="Arial" w:cs="Arial"/>
          <w:sz w:val="20"/>
          <w:szCs w:val="20"/>
        </w:rPr>
        <w:t>40.</w:t>
      </w:r>
    </w:p>
    <w:p w14:paraId="06EEBA4A" w14:textId="6EA67EFF" w:rsidR="00253875" w:rsidRPr="008638B1" w:rsidRDefault="00253875" w:rsidP="00201D3A">
      <w:pPr>
        <w:spacing w:after="240" w:line="360" w:lineRule="auto"/>
        <w:jc w:val="both"/>
        <w:rPr>
          <w:rFonts w:ascii="Arial" w:eastAsia="Calibri" w:hAnsi="Arial" w:cs="Arial"/>
          <w:sz w:val="20"/>
          <w:szCs w:val="20"/>
        </w:rPr>
      </w:pPr>
      <w:r w:rsidRPr="008638B1">
        <w:rPr>
          <w:rFonts w:ascii="Arial" w:eastAsia="Calibri" w:hAnsi="Arial" w:cs="Arial"/>
          <w:sz w:val="20"/>
          <w:szCs w:val="20"/>
        </w:rPr>
        <w:t>Looking into the prospects of decreased rainfall and higher PET in the future time period, appropriate water resources management mechanisms should be devised considering the future water stress in the basin. The higher variability of rainfall suggests recurrent droughts in the future time period in the basin</w:t>
      </w:r>
      <w:r w:rsidR="00ED2E02" w:rsidRPr="008638B1">
        <w:rPr>
          <w:rFonts w:ascii="Arial" w:eastAsia="Calibri" w:hAnsi="Arial" w:cs="Arial"/>
          <w:sz w:val="20"/>
          <w:szCs w:val="20"/>
        </w:rPr>
        <w:t>.</w:t>
      </w:r>
    </w:p>
    <w:p w14:paraId="0F6D6B7F" w14:textId="0FB8EEA3" w:rsidR="00253875" w:rsidRPr="008638B1" w:rsidRDefault="00CE5CCE" w:rsidP="00CE5CCE">
      <w:pPr>
        <w:pStyle w:val="ListParagraph"/>
        <w:numPr>
          <w:ilvl w:val="0"/>
          <w:numId w:val="3"/>
        </w:numPr>
        <w:spacing w:after="240" w:line="360" w:lineRule="auto"/>
        <w:jc w:val="both"/>
        <w:rPr>
          <w:rFonts w:ascii="Arial" w:eastAsia="Calibri" w:hAnsi="Arial" w:cs="Arial"/>
          <w:b/>
          <w:bCs/>
        </w:rPr>
      </w:pPr>
      <w:r w:rsidRPr="008638B1">
        <w:rPr>
          <w:rFonts w:ascii="Arial" w:eastAsia="Calibri" w:hAnsi="Arial" w:cs="Arial"/>
          <w:b/>
          <w:bCs/>
        </w:rPr>
        <w:t>CONCLUSION</w:t>
      </w:r>
    </w:p>
    <w:p w14:paraId="73C1ACF8"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present study evaluates the </w:t>
      </w:r>
      <w:proofErr w:type="spellStart"/>
      <w:r w:rsidRPr="008638B1">
        <w:rPr>
          <w:rFonts w:ascii="Arial" w:eastAsia="Calibri" w:hAnsi="Arial" w:cs="Arial"/>
          <w:sz w:val="20"/>
          <w:szCs w:val="20"/>
        </w:rPr>
        <w:t>spatio</w:t>
      </w:r>
      <w:proofErr w:type="spellEnd"/>
      <w:r w:rsidRPr="008638B1">
        <w:rPr>
          <w:rFonts w:ascii="Arial" w:eastAsia="Calibri" w:hAnsi="Arial" w:cs="Arial"/>
          <w:sz w:val="20"/>
          <w:szCs w:val="20"/>
        </w:rPr>
        <w:t xml:space="preserve">-temporal variation in aridity across the Mahi River Basin using various aridity indices in the context of climate change. Historical climatic data from 1961–1990 and future projections for 2006–2040 were </w:t>
      </w:r>
      <w:proofErr w:type="spellStart"/>
      <w:r w:rsidRPr="008638B1">
        <w:rPr>
          <w:rFonts w:ascii="Arial" w:eastAsia="Calibri" w:hAnsi="Arial" w:cs="Arial"/>
          <w:sz w:val="20"/>
          <w:szCs w:val="20"/>
        </w:rPr>
        <w:t>analyzed</w:t>
      </w:r>
      <w:proofErr w:type="spellEnd"/>
      <w:r w:rsidRPr="008638B1">
        <w:rPr>
          <w:rFonts w:ascii="Arial" w:eastAsia="Calibri" w:hAnsi="Arial" w:cs="Arial"/>
          <w:sz w:val="20"/>
          <w:szCs w:val="20"/>
        </w:rPr>
        <w:t xml:space="preserve"> to understand the shifting climatic patterns, particularly focusing on rainfall, temperature, potential evapotranspiration (PET), and aridity index values.</w:t>
      </w:r>
    </w:p>
    <w:p w14:paraId="68158B05"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lastRenderedPageBreak/>
        <w:t>Results from the baseline period revealed that the Mahi Basin was predominantly characterized by dry sub-humid conditions, with semi-arid zones mainly observed in the western parts of Udaipur district. Approximately 89.6% of the basin fell under the dry sub-humid category based on the UNEP classification, indicating moderate water availability under historical climatic conditions.</w:t>
      </w:r>
    </w:p>
    <w:p w14:paraId="1D83326F"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However, future climate projections indicate a notable decline in annual rainfall and a consistent rise in mean temperatures, resulting in increased PET values. This shift leads to a gradual transformation of the basin's climate from dry sub-humid to semi-arid, particularly in central and western regions. 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shows significant reductions in moisture availability, highlighting the growing influence of climate change on regional hydrological balance.</w:t>
      </w:r>
    </w:p>
    <w:p w14:paraId="4D328A37"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These findings emphasize the urgency of incorporating climate resilience into water resource planning and agricultural practices. Adaptive strategies, such as efficient irrigation systems, crop diversification, and improved watershed management, are essential to address the increasing aridity and ensure sustainable development in the region. Continued monitoring and modelling of climate variables will further support long-term planning and help mitigate the adverse effects of climate variability on the Mahi River Basin.</w:t>
      </w:r>
    </w:p>
    <w:p w14:paraId="31D69A60" w14:textId="77777777" w:rsidR="008638B1" w:rsidRPr="00CF7FB0" w:rsidRDefault="008638B1" w:rsidP="008638B1">
      <w:pPr>
        <w:spacing w:after="200" w:line="276" w:lineRule="auto"/>
        <w:rPr>
          <w:rFonts w:ascii="Arial" w:eastAsia="Calibri" w:hAnsi="Arial" w:cs="Arial"/>
          <w:b/>
          <w:bCs/>
          <w:kern w:val="2"/>
          <w:sz w:val="20"/>
          <w:szCs w:val="20"/>
        </w:rPr>
      </w:pPr>
      <w:bookmarkStart w:id="1" w:name="_Hlk193540946"/>
      <w:bookmarkStart w:id="2" w:name="_Hlk180402183"/>
      <w:bookmarkStart w:id="3" w:name="_Hlk183680988"/>
      <w:r w:rsidRPr="00CF7FB0">
        <w:rPr>
          <w:rFonts w:ascii="Arial" w:eastAsia="Calibri" w:hAnsi="Arial" w:cs="Arial"/>
          <w:b/>
          <w:bCs/>
          <w:kern w:val="2"/>
          <w:sz w:val="20"/>
          <w:szCs w:val="20"/>
        </w:rPr>
        <w:t>Disclaimer (Artificial intelligence)</w:t>
      </w:r>
    </w:p>
    <w:p w14:paraId="10ED146B" w14:textId="033550B1" w:rsidR="008638B1" w:rsidRDefault="008638B1" w:rsidP="008638B1">
      <w:pPr>
        <w:spacing w:after="200" w:line="276" w:lineRule="auto"/>
        <w:rPr>
          <w:rFonts w:ascii="Arial" w:eastAsia="Calibri" w:hAnsi="Arial" w:cs="Arial"/>
          <w:kern w:val="2"/>
          <w:sz w:val="20"/>
          <w:szCs w:val="20"/>
        </w:rPr>
      </w:pPr>
      <w:r w:rsidRPr="00CF7FB0">
        <w:rPr>
          <w:rFonts w:ascii="Arial" w:eastAsia="Calibri" w:hAnsi="Arial" w:cs="Arial"/>
          <w:kern w:val="2"/>
          <w:sz w:val="20"/>
          <w:szCs w:val="20"/>
        </w:rPr>
        <w:t>Author(s) hereby declare that NO generative AI technologies such as Large Language Models (</w:t>
      </w:r>
      <w:proofErr w:type="spellStart"/>
      <w:r w:rsidRPr="00CF7FB0">
        <w:rPr>
          <w:rFonts w:ascii="Arial" w:eastAsia="Calibri" w:hAnsi="Arial" w:cs="Arial"/>
          <w:kern w:val="2"/>
          <w:sz w:val="20"/>
          <w:szCs w:val="20"/>
        </w:rPr>
        <w:t>ChatGPT</w:t>
      </w:r>
      <w:proofErr w:type="spellEnd"/>
      <w:r w:rsidRPr="00CF7FB0">
        <w:rPr>
          <w:rFonts w:ascii="Arial" w:eastAsia="Calibri" w:hAnsi="Arial" w:cs="Arial"/>
          <w:kern w:val="2"/>
          <w:sz w:val="20"/>
          <w:szCs w:val="20"/>
        </w:rPr>
        <w:t xml:space="preserve">, COPILOT, etc.) and text-to-image generators have been used during the writing or editing of this manuscript. </w:t>
      </w:r>
    </w:p>
    <w:p w14:paraId="2F6539F8" w14:textId="14CC6F3A" w:rsidR="00E61356" w:rsidRDefault="00E61356" w:rsidP="008638B1">
      <w:pPr>
        <w:spacing w:after="200" w:line="276" w:lineRule="auto"/>
        <w:rPr>
          <w:rFonts w:ascii="Arial" w:eastAsia="Calibri" w:hAnsi="Arial" w:cs="Arial"/>
          <w:kern w:val="2"/>
          <w:sz w:val="20"/>
          <w:szCs w:val="20"/>
        </w:rPr>
      </w:pPr>
    </w:p>
    <w:p w14:paraId="01D3D260" w14:textId="77777777" w:rsidR="00E61356" w:rsidRPr="00CF7FB0" w:rsidRDefault="00E61356" w:rsidP="008638B1">
      <w:pPr>
        <w:spacing w:after="200" w:line="276" w:lineRule="auto"/>
        <w:rPr>
          <w:rFonts w:ascii="Arial" w:eastAsia="Calibri" w:hAnsi="Arial" w:cs="Arial"/>
          <w:kern w:val="2"/>
          <w:sz w:val="20"/>
          <w:szCs w:val="20"/>
        </w:rPr>
      </w:pPr>
    </w:p>
    <w:bookmarkEnd w:id="1"/>
    <w:bookmarkEnd w:id="2"/>
    <w:bookmarkEnd w:id="3"/>
    <w:p w14:paraId="3E4D98D2" w14:textId="77777777" w:rsidR="003D205F" w:rsidRDefault="003D205F" w:rsidP="003D205F">
      <w:pPr>
        <w:pStyle w:val="ListParagraph"/>
        <w:numPr>
          <w:ilvl w:val="0"/>
          <w:numId w:val="3"/>
        </w:numPr>
        <w:spacing w:after="240" w:line="360" w:lineRule="auto"/>
        <w:ind w:left="426" w:hanging="426"/>
        <w:jc w:val="both"/>
        <w:rPr>
          <w:rFonts w:ascii="Arial" w:eastAsia="Calibri" w:hAnsi="Arial" w:cs="Arial"/>
          <w:b/>
          <w:bCs/>
        </w:rPr>
      </w:pPr>
      <w:r w:rsidRPr="008638B1">
        <w:rPr>
          <w:rFonts w:ascii="Arial" w:eastAsia="Calibri" w:hAnsi="Arial" w:cs="Arial"/>
          <w:b/>
          <w:bCs/>
        </w:rPr>
        <w:t xml:space="preserve">REFERENCES </w:t>
      </w:r>
    </w:p>
    <w:p w14:paraId="41EC8CFA" w14:textId="77777777" w:rsidR="003D205F" w:rsidRDefault="003D205F" w:rsidP="003D205F">
      <w:pPr>
        <w:pStyle w:val="ListParagraph"/>
        <w:ind w:left="567"/>
        <w:jc w:val="both"/>
        <w:rPr>
          <w:rFonts w:ascii="Arial" w:hAnsi="Arial" w:cs="Arial"/>
          <w:sz w:val="20"/>
          <w:szCs w:val="20"/>
        </w:rPr>
      </w:pPr>
    </w:p>
    <w:p w14:paraId="2AE920BF"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Seneviratne, S., Nicholls, N., Easterling, D., </w:t>
      </w:r>
      <w:proofErr w:type="spellStart"/>
      <w:r w:rsidRPr="008638B1">
        <w:rPr>
          <w:rFonts w:ascii="Arial" w:hAnsi="Arial" w:cs="Arial"/>
          <w:sz w:val="20"/>
          <w:szCs w:val="20"/>
        </w:rPr>
        <w:t>Goodess</w:t>
      </w:r>
      <w:proofErr w:type="spellEnd"/>
      <w:r w:rsidRPr="008638B1">
        <w:rPr>
          <w:rFonts w:ascii="Arial" w:hAnsi="Arial" w:cs="Arial"/>
          <w:sz w:val="20"/>
          <w:szCs w:val="20"/>
        </w:rPr>
        <w:t xml:space="preserve">, C., </w:t>
      </w:r>
      <w:proofErr w:type="spellStart"/>
      <w:r w:rsidRPr="008638B1">
        <w:rPr>
          <w:rFonts w:ascii="Arial" w:hAnsi="Arial" w:cs="Arial"/>
          <w:sz w:val="20"/>
          <w:szCs w:val="20"/>
        </w:rPr>
        <w:t>Kanae</w:t>
      </w:r>
      <w:proofErr w:type="spellEnd"/>
      <w:r w:rsidRPr="008638B1">
        <w:rPr>
          <w:rFonts w:ascii="Arial" w:hAnsi="Arial" w:cs="Arial"/>
          <w:sz w:val="20"/>
          <w:szCs w:val="20"/>
        </w:rPr>
        <w:t xml:space="preserve">, S., </w:t>
      </w:r>
      <w:proofErr w:type="spellStart"/>
      <w:r w:rsidRPr="008638B1">
        <w:rPr>
          <w:rFonts w:ascii="Arial" w:hAnsi="Arial" w:cs="Arial"/>
          <w:sz w:val="20"/>
          <w:szCs w:val="20"/>
        </w:rPr>
        <w:t>Kossin</w:t>
      </w:r>
      <w:proofErr w:type="spellEnd"/>
      <w:r w:rsidRPr="008638B1">
        <w:rPr>
          <w:rFonts w:ascii="Arial" w:hAnsi="Arial" w:cs="Arial"/>
          <w:sz w:val="20"/>
          <w:szCs w:val="20"/>
        </w:rPr>
        <w:t xml:space="preserve">, J., ... </w:t>
      </w:r>
      <w:r>
        <w:rPr>
          <w:rFonts w:ascii="Arial" w:hAnsi="Arial" w:cs="Arial"/>
          <w:sz w:val="20"/>
          <w:szCs w:val="20"/>
        </w:rPr>
        <w:t>and</w:t>
      </w:r>
      <w:r w:rsidRPr="008638B1">
        <w:rPr>
          <w:rFonts w:ascii="Arial" w:hAnsi="Arial" w:cs="Arial"/>
          <w:sz w:val="20"/>
          <w:szCs w:val="20"/>
        </w:rPr>
        <w:t xml:space="preserve"> Zwiers, F. W. (2012). Changes in climate extremes and their impacts on the natural physical environment.</w:t>
      </w:r>
    </w:p>
    <w:p w14:paraId="4C9A15A1"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McIlveen, R. (1998). </w:t>
      </w:r>
      <w:r w:rsidRPr="008638B1">
        <w:rPr>
          <w:rFonts w:ascii="Arial" w:hAnsi="Arial" w:cs="Arial"/>
          <w:i/>
          <w:iCs/>
          <w:sz w:val="20"/>
          <w:szCs w:val="20"/>
        </w:rPr>
        <w:t>Fundamentals of weather and climate</w:t>
      </w:r>
      <w:r w:rsidRPr="008638B1">
        <w:rPr>
          <w:rFonts w:ascii="Arial" w:hAnsi="Arial" w:cs="Arial"/>
          <w:sz w:val="20"/>
          <w:szCs w:val="20"/>
        </w:rPr>
        <w:t>. Psychology Press.</w:t>
      </w:r>
    </w:p>
    <w:p w14:paraId="4E3C9DF3"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GUIDE, A. (2007). </w:t>
      </w:r>
      <w:r w:rsidRPr="008638B1">
        <w:rPr>
          <w:rFonts w:ascii="Arial" w:hAnsi="Arial" w:cs="Arial"/>
          <w:i/>
          <w:iCs/>
          <w:sz w:val="20"/>
          <w:szCs w:val="20"/>
        </w:rPr>
        <w:t>Understanding weather and climate</w:t>
      </w:r>
      <w:r w:rsidRPr="008638B1">
        <w:rPr>
          <w:rFonts w:ascii="Arial" w:hAnsi="Arial" w:cs="Arial"/>
          <w:sz w:val="20"/>
          <w:szCs w:val="20"/>
        </w:rPr>
        <w:t>.</w:t>
      </w:r>
    </w:p>
    <w:p w14:paraId="068452AA"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Mulla, S., Ahmed, R., Singh, K. K., Singh, S. K., Deshmukh, N., </w:t>
      </w:r>
      <w:r>
        <w:rPr>
          <w:rFonts w:ascii="Arial" w:hAnsi="Arial" w:cs="Arial"/>
          <w:sz w:val="20"/>
          <w:szCs w:val="20"/>
        </w:rPr>
        <w:t>and</w:t>
      </w:r>
      <w:r w:rsidRPr="008638B1">
        <w:rPr>
          <w:rFonts w:ascii="Arial" w:hAnsi="Arial" w:cs="Arial"/>
          <w:sz w:val="20"/>
          <w:szCs w:val="20"/>
        </w:rPr>
        <w:t xml:space="preserve"> Inamdar, F. K. (2023). Climate change effect on-climate parameters like temperature, rainfall and water resources sectors in India. In </w:t>
      </w:r>
      <w:r w:rsidRPr="008638B1">
        <w:rPr>
          <w:rFonts w:ascii="Arial" w:hAnsi="Arial" w:cs="Arial"/>
          <w:i/>
          <w:iCs/>
          <w:sz w:val="20"/>
          <w:szCs w:val="20"/>
        </w:rPr>
        <w:t>Climate change impacts in India</w:t>
      </w:r>
      <w:r w:rsidRPr="008638B1">
        <w:rPr>
          <w:rFonts w:ascii="Arial" w:hAnsi="Arial" w:cs="Arial"/>
          <w:sz w:val="20"/>
          <w:szCs w:val="20"/>
        </w:rPr>
        <w:t> (pp. 9-59). Cham: Springer International Publishing.</w:t>
      </w:r>
    </w:p>
    <w:p w14:paraId="1D640001"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Liu, J., Zhang, Q., Singh, V. P., </w:t>
      </w:r>
      <w:r>
        <w:rPr>
          <w:rFonts w:ascii="Arial" w:hAnsi="Arial" w:cs="Arial"/>
          <w:sz w:val="20"/>
          <w:szCs w:val="20"/>
        </w:rPr>
        <w:t>and</w:t>
      </w:r>
      <w:r w:rsidRPr="008638B1">
        <w:rPr>
          <w:rFonts w:ascii="Arial" w:hAnsi="Arial" w:cs="Arial"/>
          <w:sz w:val="20"/>
          <w:szCs w:val="20"/>
        </w:rPr>
        <w:t xml:space="preserve"> Shi, P. (2017). Contribution of multiple climatic variables and human activities to streamflow changes across China. </w:t>
      </w:r>
      <w:r w:rsidRPr="008638B1">
        <w:rPr>
          <w:rFonts w:ascii="Arial" w:hAnsi="Arial" w:cs="Arial"/>
          <w:i/>
          <w:iCs/>
          <w:sz w:val="20"/>
          <w:szCs w:val="20"/>
        </w:rPr>
        <w:t>Journal of Hydrology</w:t>
      </w:r>
      <w:r w:rsidRPr="008638B1">
        <w:rPr>
          <w:rFonts w:ascii="Arial" w:hAnsi="Arial" w:cs="Arial"/>
          <w:sz w:val="20"/>
          <w:szCs w:val="20"/>
        </w:rPr>
        <w:t>, </w:t>
      </w:r>
      <w:r w:rsidRPr="008638B1">
        <w:rPr>
          <w:rFonts w:ascii="Arial" w:hAnsi="Arial" w:cs="Arial"/>
          <w:i/>
          <w:iCs/>
          <w:sz w:val="20"/>
          <w:szCs w:val="20"/>
        </w:rPr>
        <w:t>545</w:t>
      </w:r>
      <w:r w:rsidRPr="008638B1">
        <w:rPr>
          <w:rFonts w:ascii="Arial" w:hAnsi="Arial" w:cs="Arial"/>
          <w:sz w:val="20"/>
          <w:szCs w:val="20"/>
        </w:rPr>
        <w:t>, 145-162.</w:t>
      </w:r>
    </w:p>
    <w:p w14:paraId="2060DB57"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Corfee-Morlot</w:t>
      </w:r>
      <w:proofErr w:type="spellEnd"/>
      <w:r w:rsidRPr="008638B1">
        <w:rPr>
          <w:rFonts w:ascii="Arial" w:hAnsi="Arial" w:cs="Arial"/>
          <w:sz w:val="20"/>
          <w:szCs w:val="20"/>
        </w:rPr>
        <w:t xml:space="preserve">, J., </w:t>
      </w:r>
      <w:r>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Höhne</w:t>
      </w:r>
      <w:proofErr w:type="spellEnd"/>
      <w:r w:rsidRPr="008638B1">
        <w:rPr>
          <w:rFonts w:ascii="Arial" w:hAnsi="Arial" w:cs="Arial"/>
          <w:sz w:val="20"/>
          <w:szCs w:val="20"/>
        </w:rPr>
        <w:t>, N. (2003). Climate change: long-term targets and short-term commitments. </w:t>
      </w:r>
      <w:r w:rsidRPr="008638B1">
        <w:rPr>
          <w:rFonts w:ascii="Arial" w:hAnsi="Arial" w:cs="Arial"/>
          <w:i/>
          <w:iCs/>
          <w:sz w:val="20"/>
          <w:szCs w:val="20"/>
        </w:rPr>
        <w:t>Global environmental change</w:t>
      </w:r>
      <w:r w:rsidRPr="008638B1">
        <w:rPr>
          <w:rFonts w:ascii="Arial" w:hAnsi="Arial" w:cs="Arial"/>
          <w:sz w:val="20"/>
          <w:szCs w:val="20"/>
        </w:rPr>
        <w:t>, </w:t>
      </w:r>
      <w:r w:rsidRPr="008638B1">
        <w:rPr>
          <w:rFonts w:ascii="Arial" w:hAnsi="Arial" w:cs="Arial"/>
          <w:i/>
          <w:iCs/>
          <w:sz w:val="20"/>
          <w:szCs w:val="20"/>
        </w:rPr>
        <w:t>13</w:t>
      </w:r>
      <w:r w:rsidRPr="008638B1">
        <w:rPr>
          <w:rFonts w:ascii="Arial" w:hAnsi="Arial" w:cs="Arial"/>
          <w:sz w:val="20"/>
          <w:szCs w:val="20"/>
        </w:rPr>
        <w:t>(4), 277-293.</w:t>
      </w:r>
    </w:p>
    <w:p w14:paraId="3ECB5C31"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Jain, N., Bhatia, A., Pathak, H., Gupta, N., Sharma, D. K., </w:t>
      </w:r>
      <w:r>
        <w:rPr>
          <w:rFonts w:ascii="Arial" w:hAnsi="Arial" w:cs="Arial"/>
          <w:sz w:val="20"/>
          <w:szCs w:val="20"/>
        </w:rPr>
        <w:t>and</w:t>
      </w:r>
      <w:r w:rsidRPr="008638B1">
        <w:rPr>
          <w:rFonts w:ascii="Arial" w:hAnsi="Arial" w:cs="Arial"/>
          <w:sz w:val="20"/>
          <w:szCs w:val="20"/>
        </w:rPr>
        <w:t xml:space="preserve"> Kaushik, R. (2015). Greenhouse gas emission and global warming. </w:t>
      </w:r>
      <w:r w:rsidRPr="008638B1">
        <w:rPr>
          <w:rFonts w:ascii="Arial" w:hAnsi="Arial" w:cs="Arial"/>
          <w:i/>
          <w:iCs/>
          <w:sz w:val="20"/>
          <w:szCs w:val="20"/>
        </w:rPr>
        <w:t>Introduction to environmental sciences</w:t>
      </w:r>
      <w:r w:rsidRPr="008638B1">
        <w:rPr>
          <w:rFonts w:ascii="Arial" w:hAnsi="Arial" w:cs="Arial"/>
          <w:sz w:val="20"/>
          <w:szCs w:val="20"/>
        </w:rPr>
        <w:t>, 379-411.</w:t>
      </w:r>
    </w:p>
    <w:p w14:paraId="1A9C9780"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Ussiri</w:t>
      </w:r>
      <w:proofErr w:type="spellEnd"/>
      <w:r w:rsidRPr="008638B1">
        <w:rPr>
          <w:rFonts w:ascii="Arial" w:hAnsi="Arial" w:cs="Arial"/>
          <w:sz w:val="20"/>
          <w:szCs w:val="20"/>
        </w:rPr>
        <w:t xml:space="preserve">, D., </w:t>
      </w:r>
      <w:r>
        <w:rPr>
          <w:rFonts w:ascii="Arial" w:hAnsi="Arial" w:cs="Arial"/>
          <w:sz w:val="20"/>
          <w:szCs w:val="20"/>
        </w:rPr>
        <w:t>and</w:t>
      </w:r>
      <w:r w:rsidRPr="008638B1">
        <w:rPr>
          <w:rFonts w:ascii="Arial" w:hAnsi="Arial" w:cs="Arial"/>
          <w:sz w:val="20"/>
          <w:szCs w:val="20"/>
        </w:rPr>
        <w:t xml:space="preserve"> Lal, R. (2012). </w:t>
      </w:r>
      <w:r w:rsidRPr="008638B1">
        <w:rPr>
          <w:rFonts w:ascii="Arial" w:hAnsi="Arial" w:cs="Arial"/>
          <w:i/>
          <w:iCs/>
          <w:sz w:val="20"/>
          <w:szCs w:val="20"/>
        </w:rPr>
        <w:t>Soil emission of nitrous oxide and its mitigation</w:t>
      </w:r>
      <w:r w:rsidRPr="008638B1">
        <w:rPr>
          <w:rFonts w:ascii="Arial" w:hAnsi="Arial" w:cs="Arial"/>
          <w:sz w:val="20"/>
          <w:szCs w:val="20"/>
        </w:rPr>
        <w:t xml:space="preserve">. Springer Science </w:t>
      </w:r>
      <w:r>
        <w:rPr>
          <w:rFonts w:ascii="Arial" w:hAnsi="Arial" w:cs="Arial"/>
          <w:sz w:val="20"/>
          <w:szCs w:val="20"/>
        </w:rPr>
        <w:t>and</w:t>
      </w:r>
      <w:r w:rsidRPr="008638B1">
        <w:rPr>
          <w:rFonts w:ascii="Arial" w:hAnsi="Arial" w:cs="Arial"/>
          <w:sz w:val="20"/>
          <w:szCs w:val="20"/>
        </w:rPr>
        <w:t xml:space="preserve"> Business Media.</w:t>
      </w:r>
    </w:p>
    <w:p w14:paraId="046CB8DC"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Liu, S., Chen, M., </w:t>
      </w:r>
      <w:r>
        <w:rPr>
          <w:rFonts w:ascii="Arial" w:hAnsi="Arial" w:cs="Arial"/>
          <w:sz w:val="20"/>
          <w:szCs w:val="20"/>
        </w:rPr>
        <w:t>and</w:t>
      </w:r>
      <w:r w:rsidRPr="008638B1">
        <w:rPr>
          <w:rFonts w:ascii="Arial" w:hAnsi="Arial" w:cs="Arial"/>
          <w:sz w:val="20"/>
          <w:szCs w:val="20"/>
        </w:rPr>
        <w:t xml:space="preserve"> Zhuang, Q. (2014). Aerosol effects on global land surface energy fluxes during 2003–2010. </w:t>
      </w:r>
      <w:r w:rsidRPr="008638B1">
        <w:rPr>
          <w:rFonts w:ascii="Arial" w:hAnsi="Arial" w:cs="Arial"/>
          <w:i/>
          <w:iCs/>
          <w:sz w:val="20"/>
          <w:szCs w:val="20"/>
        </w:rPr>
        <w:t>Geophysical Research Letters</w:t>
      </w:r>
      <w:r w:rsidRPr="008638B1">
        <w:rPr>
          <w:rFonts w:ascii="Arial" w:hAnsi="Arial" w:cs="Arial"/>
          <w:sz w:val="20"/>
          <w:szCs w:val="20"/>
        </w:rPr>
        <w:t>, </w:t>
      </w:r>
      <w:r w:rsidRPr="008638B1">
        <w:rPr>
          <w:rFonts w:ascii="Arial" w:hAnsi="Arial" w:cs="Arial"/>
          <w:i/>
          <w:iCs/>
          <w:sz w:val="20"/>
          <w:szCs w:val="20"/>
        </w:rPr>
        <w:t>41</w:t>
      </w:r>
      <w:r w:rsidRPr="008638B1">
        <w:rPr>
          <w:rFonts w:ascii="Arial" w:hAnsi="Arial" w:cs="Arial"/>
          <w:sz w:val="20"/>
          <w:szCs w:val="20"/>
        </w:rPr>
        <w:t>(22), 7875-7881.</w:t>
      </w:r>
    </w:p>
    <w:p w14:paraId="59FC7B9B"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National Research Council, Division on Earth, Life Studies, Board on Atmospheric Sciences, Climate Research Committee, </w:t>
      </w:r>
      <w:r>
        <w:rPr>
          <w:rFonts w:ascii="Arial" w:hAnsi="Arial" w:cs="Arial"/>
          <w:sz w:val="20"/>
          <w:szCs w:val="20"/>
        </w:rPr>
        <w:t>and</w:t>
      </w:r>
      <w:r w:rsidRPr="008638B1">
        <w:rPr>
          <w:rFonts w:ascii="Arial" w:hAnsi="Arial" w:cs="Arial"/>
          <w:sz w:val="20"/>
          <w:szCs w:val="20"/>
        </w:rPr>
        <w:t xml:space="preserve"> Committee on Radiative Forcing Effects on Climate. </w:t>
      </w:r>
      <w:r w:rsidRPr="008638B1">
        <w:rPr>
          <w:rFonts w:ascii="Arial" w:hAnsi="Arial" w:cs="Arial"/>
          <w:sz w:val="20"/>
          <w:szCs w:val="20"/>
        </w:rPr>
        <w:lastRenderedPageBreak/>
        <w:t>(2005). </w:t>
      </w:r>
      <w:r w:rsidRPr="008638B1">
        <w:rPr>
          <w:rFonts w:ascii="Arial" w:hAnsi="Arial" w:cs="Arial"/>
          <w:i/>
          <w:iCs/>
          <w:sz w:val="20"/>
          <w:szCs w:val="20"/>
        </w:rPr>
        <w:t>Radiative forcing of climate change: Expanding the concept and addressing uncertainties</w:t>
      </w:r>
      <w:r w:rsidRPr="008638B1">
        <w:rPr>
          <w:rFonts w:ascii="Arial" w:hAnsi="Arial" w:cs="Arial"/>
          <w:sz w:val="20"/>
          <w:szCs w:val="20"/>
        </w:rPr>
        <w:t>. National Academies Press.</w:t>
      </w:r>
    </w:p>
    <w:p w14:paraId="461EBF2D"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Bano</w:t>
      </w:r>
      <w:proofErr w:type="spellEnd"/>
      <w:r w:rsidRPr="008638B1">
        <w:rPr>
          <w:rFonts w:ascii="Arial" w:hAnsi="Arial" w:cs="Arial"/>
          <w:sz w:val="20"/>
          <w:szCs w:val="20"/>
        </w:rPr>
        <w:t xml:space="preserve">, I., </w:t>
      </w:r>
      <w:r>
        <w:rPr>
          <w:rFonts w:ascii="Arial" w:hAnsi="Arial" w:cs="Arial"/>
          <w:sz w:val="20"/>
          <w:szCs w:val="20"/>
        </w:rPr>
        <w:t>and</w:t>
      </w:r>
      <w:r w:rsidRPr="008638B1">
        <w:rPr>
          <w:rFonts w:ascii="Arial" w:hAnsi="Arial" w:cs="Arial"/>
          <w:sz w:val="20"/>
          <w:szCs w:val="20"/>
        </w:rPr>
        <w:t xml:space="preserve"> Arshad, M. (2017). Climatic changes impact on water availability. In </w:t>
      </w:r>
      <w:r w:rsidRPr="008638B1">
        <w:rPr>
          <w:rFonts w:ascii="Arial" w:hAnsi="Arial" w:cs="Arial"/>
          <w:i/>
          <w:iCs/>
          <w:sz w:val="20"/>
          <w:szCs w:val="20"/>
        </w:rPr>
        <w:t>Perspectives on water usage for biofuels production: aquatic contamination and climate change</w:t>
      </w:r>
      <w:r w:rsidRPr="008638B1">
        <w:rPr>
          <w:rFonts w:ascii="Arial" w:hAnsi="Arial" w:cs="Arial"/>
          <w:sz w:val="20"/>
          <w:szCs w:val="20"/>
        </w:rPr>
        <w:t> (pp. 39-54). Cham: Springer International Publishing.</w:t>
      </w:r>
    </w:p>
    <w:p w14:paraId="24990155" w14:textId="77777777" w:rsidR="003D205F" w:rsidRPr="00D164DC" w:rsidRDefault="003D205F" w:rsidP="003D205F">
      <w:pPr>
        <w:pStyle w:val="ListParagraph"/>
        <w:numPr>
          <w:ilvl w:val="0"/>
          <w:numId w:val="10"/>
        </w:numPr>
        <w:tabs>
          <w:tab w:val="left" w:pos="567"/>
        </w:tabs>
        <w:spacing w:after="120" w:line="240" w:lineRule="auto"/>
        <w:ind w:left="567" w:hanging="567"/>
        <w:jc w:val="both"/>
        <w:rPr>
          <w:rFonts w:ascii="Arial" w:hAnsi="Arial" w:cs="Arial"/>
          <w:color w:val="000000" w:themeColor="text1"/>
          <w:sz w:val="20"/>
          <w:szCs w:val="20"/>
        </w:rPr>
      </w:pPr>
      <w:r w:rsidRPr="00D164DC">
        <w:rPr>
          <w:rFonts w:ascii="Arial" w:hAnsi="Arial" w:cs="Arial"/>
          <w:color w:val="000000" w:themeColor="text1"/>
          <w:sz w:val="20"/>
          <w:szCs w:val="20"/>
        </w:rPr>
        <w:t xml:space="preserve">Yadav, Vijay Shankar, R. V. </w:t>
      </w:r>
      <w:proofErr w:type="spellStart"/>
      <w:r w:rsidRPr="00D164DC">
        <w:rPr>
          <w:rFonts w:ascii="Arial" w:hAnsi="Arial" w:cs="Arial"/>
          <w:color w:val="000000" w:themeColor="text1"/>
          <w:sz w:val="20"/>
          <w:szCs w:val="20"/>
        </w:rPr>
        <w:t>Galkate</w:t>
      </w:r>
      <w:proofErr w:type="spellEnd"/>
      <w:r w:rsidRPr="00D164DC">
        <w:rPr>
          <w:rFonts w:ascii="Arial" w:hAnsi="Arial" w:cs="Arial"/>
          <w:color w:val="000000" w:themeColor="text1"/>
          <w:sz w:val="20"/>
          <w:szCs w:val="20"/>
        </w:rPr>
        <w:t xml:space="preserve">, V.K. </w:t>
      </w:r>
      <w:proofErr w:type="spellStart"/>
      <w:r w:rsidRPr="00D164DC">
        <w:rPr>
          <w:rFonts w:ascii="Arial" w:hAnsi="Arial" w:cs="Arial"/>
          <w:color w:val="000000" w:themeColor="text1"/>
          <w:sz w:val="20"/>
          <w:szCs w:val="20"/>
        </w:rPr>
        <w:t>Chandola</w:t>
      </w:r>
      <w:proofErr w:type="spellEnd"/>
      <w:r w:rsidRPr="00D164DC">
        <w:rPr>
          <w:rFonts w:ascii="Arial" w:hAnsi="Arial" w:cs="Arial"/>
          <w:color w:val="000000" w:themeColor="text1"/>
          <w:sz w:val="20"/>
          <w:szCs w:val="20"/>
        </w:rPr>
        <w:t xml:space="preserve">, </w:t>
      </w:r>
      <w:proofErr w:type="spellStart"/>
      <w:r w:rsidRPr="00D164DC">
        <w:rPr>
          <w:rFonts w:ascii="Arial" w:hAnsi="Arial" w:cs="Arial"/>
          <w:color w:val="000000" w:themeColor="text1"/>
          <w:sz w:val="20"/>
          <w:szCs w:val="20"/>
        </w:rPr>
        <w:t>Samikshya</w:t>
      </w:r>
      <w:proofErr w:type="spellEnd"/>
      <w:r w:rsidRPr="00D164DC">
        <w:rPr>
          <w:rFonts w:ascii="Arial" w:hAnsi="Arial" w:cs="Arial"/>
          <w:color w:val="000000" w:themeColor="text1"/>
          <w:sz w:val="20"/>
          <w:szCs w:val="20"/>
        </w:rPr>
        <w:t xml:space="preserve"> Panda, and Ankit Patel. 2024. “Trend Analysis and Change Point Detection of Climatic Parameters in Ambedkar Nagar District of Uttar Pradesh, India”. International Journal of Environment and Climate Change 14 (9):578-605.</w:t>
      </w:r>
    </w:p>
    <w:p w14:paraId="1CD4E782" w14:textId="77777777" w:rsidR="003D205F" w:rsidRPr="00D164DC" w:rsidRDefault="003D205F" w:rsidP="003D205F">
      <w:pPr>
        <w:pStyle w:val="ListParagraph"/>
        <w:numPr>
          <w:ilvl w:val="0"/>
          <w:numId w:val="10"/>
        </w:numPr>
        <w:tabs>
          <w:tab w:val="left" w:pos="567"/>
        </w:tabs>
        <w:spacing w:after="40" w:line="240" w:lineRule="auto"/>
        <w:ind w:left="567" w:hanging="567"/>
        <w:jc w:val="both"/>
        <w:rPr>
          <w:rFonts w:ascii="Arial" w:hAnsi="Arial" w:cs="Arial"/>
          <w:color w:val="000000" w:themeColor="text1"/>
          <w:sz w:val="20"/>
          <w:szCs w:val="20"/>
        </w:rPr>
      </w:pPr>
      <w:r>
        <w:rPr>
          <w:rFonts w:ascii="Arial" w:hAnsi="Arial" w:cs="Arial"/>
          <w:color w:val="000000" w:themeColor="text1"/>
          <w:sz w:val="20"/>
          <w:szCs w:val="20"/>
        </w:rPr>
        <w:t xml:space="preserve">Panda, S., Tripathi, V. K., and </w:t>
      </w:r>
      <w:r w:rsidRPr="004E0A9B">
        <w:rPr>
          <w:rFonts w:ascii="Arial" w:hAnsi="Arial" w:cs="Arial"/>
          <w:color w:val="000000" w:themeColor="text1"/>
          <w:sz w:val="20"/>
          <w:szCs w:val="20"/>
        </w:rPr>
        <w:t>Yadav, V. S. (2025). A synergetic approach for multidimensional drought assessment in the Indian agro-climatic zone using coherency, propagation and AHP techniques. Environmental Science and Pollution Research, 1-18.</w:t>
      </w:r>
    </w:p>
    <w:p w14:paraId="2EC22099"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Garrote</w:t>
      </w:r>
      <w:proofErr w:type="spellEnd"/>
      <w:r w:rsidRPr="008638B1">
        <w:rPr>
          <w:rFonts w:ascii="Arial" w:hAnsi="Arial" w:cs="Arial"/>
          <w:sz w:val="20"/>
          <w:szCs w:val="20"/>
        </w:rPr>
        <w:t>, L. (2017). Managing water resources to adapt to climate change: facing uncertainty and scarcity in a changing context. </w:t>
      </w:r>
      <w:r w:rsidRPr="008638B1">
        <w:rPr>
          <w:rFonts w:ascii="Arial" w:hAnsi="Arial" w:cs="Arial"/>
          <w:i/>
          <w:iCs/>
          <w:sz w:val="20"/>
          <w:szCs w:val="20"/>
        </w:rPr>
        <w:t>Water Resources Management</w:t>
      </w:r>
      <w:r w:rsidRPr="008638B1">
        <w:rPr>
          <w:rFonts w:ascii="Arial" w:hAnsi="Arial" w:cs="Arial"/>
          <w:sz w:val="20"/>
          <w:szCs w:val="20"/>
        </w:rPr>
        <w:t>, </w:t>
      </w:r>
      <w:r w:rsidRPr="008638B1">
        <w:rPr>
          <w:rFonts w:ascii="Arial" w:hAnsi="Arial" w:cs="Arial"/>
          <w:i/>
          <w:iCs/>
          <w:sz w:val="20"/>
          <w:szCs w:val="20"/>
        </w:rPr>
        <w:t>31</w:t>
      </w:r>
      <w:r w:rsidRPr="008638B1">
        <w:rPr>
          <w:rFonts w:ascii="Arial" w:hAnsi="Arial" w:cs="Arial"/>
          <w:sz w:val="20"/>
          <w:szCs w:val="20"/>
        </w:rPr>
        <w:t>(10), 2951-2963.</w:t>
      </w:r>
    </w:p>
    <w:p w14:paraId="6869542A"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Sadoff</w:t>
      </w:r>
      <w:proofErr w:type="spellEnd"/>
      <w:r w:rsidRPr="008638B1">
        <w:rPr>
          <w:rFonts w:ascii="Arial" w:hAnsi="Arial" w:cs="Arial"/>
          <w:sz w:val="20"/>
          <w:szCs w:val="20"/>
        </w:rPr>
        <w:t xml:space="preserve">, C., </w:t>
      </w:r>
      <w:r>
        <w:rPr>
          <w:rFonts w:ascii="Arial" w:hAnsi="Arial" w:cs="Arial"/>
          <w:sz w:val="20"/>
          <w:szCs w:val="20"/>
        </w:rPr>
        <w:t>and</w:t>
      </w:r>
      <w:r w:rsidRPr="008638B1">
        <w:rPr>
          <w:rFonts w:ascii="Arial" w:hAnsi="Arial" w:cs="Arial"/>
          <w:sz w:val="20"/>
          <w:szCs w:val="20"/>
        </w:rPr>
        <w:t xml:space="preserve"> Muller, M. (2009). </w:t>
      </w:r>
      <w:r w:rsidRPr="008638B1">
        <w:rPr>
          <w:rFonts w:ascii="Arial" w:hAnsi="Arial" w:cs="Arial"/>
          <w:i/>
          <w:iCs/>
          <w:sz w:val="20"/>
          <w:szCs w:val="20"/>
        </w:rPr>
        <w:t>Water management, water security and climate change adaptation: early impacts and essential responses</w:t>
      </w:r>
      <w:r w:rsidRPr="008638B1">
        <w:rPr>
          <w:rFonts w:ascii="Arial" w:hAnsi="Arial" w:cs="Arial"/>
          <w:sz w:val="20"/>
          <w:szCs w:val="20"/>
        </w:rPr>
        <w:t>. Stockholm: Global Water Partnership.</w:t>
      </w:r>
    </w:p>
    <w:p w14:paraId="2BCEAD25"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Mainguet</w:t>
      </w:r>
      <w:proofErr w:type="spellEnd"/>
      <w:r w:rsidRPr="008638B1">
        <w:rPr>
          <w:rFonts w:ascii="Arial" w:hAnsi="Arial" w:cs="Arial"/>
          <w:sz w:val="20"/>
          <w:szCs w:val="20"/>
        </w:rPr>
        <w:t xml:space="preserve">, M., </w:t>
      </w:r>
      <w:r>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Mainguet</w:t>
      </w:r>
      <w:proofErr w:type="spellEnd"/>
      <w:r w:rsidRPr="008638B1">
        <w:rPr>
          <w:rFonts w:ascii="Arial" w:hAnsi="Arial" w:cs="Arial"/>
          <w:sz w:val="20"/>
          <w:szCs w:val="20"/>
        </w:rPr>
        <w:t>, M. (1999). The Spatial Framework, the Concepts of Aridity and Drought: the Soils and the Vegetation. </w:t>
      </w:r>
      <w:r w:rsidRPr="008638B1">
        <w:rPr>
          <w:rFonts w:ascii="Arial" w:hAnsi="Arial" w:cs="Arial"/>
          <w:i/>
          <w:iCs/>
          <w:sz w:val="20"/>
          <w:szCs w:val="20"/>
        </w:rPr>
        <w:t>Aridity: Droughts and Human Development</w:t>
      </w:r>
      <w:r w:rsidRPr="008638B1">
        <w:rPr>
          <w:rFonts w:ascii="Arial" w:hAnsi="Arial" w:cs="Arial"/>
          <w:sz w:val="20"/>
          <w:szCs w:val="20"/>
        </w:rPr>
        <w:t>, 5-78.</w:t>
      </w:r>
    </w:p>
    <w:p w14:paraId="32D52EC5"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Mainguet</w:t>
      </w:r>
      <w:proofErr w:type="spellEnd"/>
      <w:r w:rsidRPr="008638B1">
        <w:rPr>
          <w:rFonts w:ascii="Arial" w:hAnsi="Arial" w:cs="Arial"/>
          <w:sz w:val="20"/>
          <w:szCs w:val="20"/>
        </w:rPr>
        <w:t>, M. (1999). </w:t>
      </w:r>
      <w:r w:rsidRPr="008638B1">
        <w:rPr>
          <w:rFonts w:ascii="Arial" w:hAnsi="Arial" w:cs="Arial"/>
          <w:i/>
          <w:iCs/>
          <w:sz w:val="20"/>
          <w:szCs w:val="20"/>
        </w:rPr>
        <w:t>Aridity: droughts and human development</w:t>
      </w:r>
      <w:r w:rsidRPr="008638B1">
        <w:rPr>
          <w:rFonts w:ascii="Arial" w:hAnsi="Arial" w:cs="Arial"/>
          <w:sz w:val="20"/>
          <w:szCs w:val="20"/>
        </w:rPr>
        <w:t xml:space="preserve">. Springer Science </w:t>
      </w:r>
      <w:r>
        <w:rPr>
          <w:rFonts w:ascii="Arial" w:hAnsi="Arial" w:cs="Arial"/>
          <w:sz w:val="20"/>
          <w:szCs w:val="20"/>
        </w:rPr>
        <w:t>and</w:t>
      </w:r>
      <w:r w:rsidRPr="008638B1">
        <w:rPr>
          <w:rFonts w:ascii="Arial" w:hAnsi="Arial" w:cs="Arial"/>
          <w:sz w:val="20"/>
          <w:szCs w:val="20"/>
        </w:rPr>
        <w:t xml:space="preserve"> Business Media.</w:t>
      </w:r>
    </w:p>
    <w:p w14:paraId="37701C99"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Agnew, R. (1992). Foundation for a general strain theory of crime and delinquency. </w:t>
      </w:r>
      <w:r w:rsidRPr="008638B1">
        <w:rPr>
          <w:rFonts w:ascii="Arial" w:hAnsi="Arial" w:cs="Arial"/>
          <w:i/>
          <w:iCs/>
          <w:sz w:val="20"/>
          <w:szCs w:val="20"/>
        </w:rPr>
        <w:t>Criminology</w:t>
      </w:r>
      <w:r w:rsidRPr="008638B1">
        <w:rPr>
          <w:rFonts w:ascii="Arial" w:hAnsi="Arial" w:cs="Arial"/>
          <w:sz w:val="20"/>
          <w:szCs w:val="20"/>
        </w:rPr>
        <w:t>, </w:t>
      </w:r>
      <w:r w:rsidRPr="008638B1">
        <w:rPr>
          <w:rFonts w:ascii="Arial" w:hAnsi="Arial" w:cs="Arial"/>
          <w:i/>
          <w:iCs/>
          <w:sz w:val="20"/>
          <w:szCs w:val="20"/>
        </w:rPr>
        <w:t>30</w:t>
      </w:r>
      <w:r w:rsidRPr="008638B1">
        <w:rPr>
          <w:rFonts w:ascii="Arial" w:hAnsi="Arial" w:cs="Arial"/>
          <w:sz w:val="20"/>
          <w:szCs w:val="20"/>
        </w:rPr>
        <w:t>(1), 47-88.</w:t>
      </w:r>
    </w:p>
    <w:p w14:paraId="6305FC09"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Thornthwaite</w:t>
      </w:r>
      <w:proofErr w:type="spellEnd"/>
      <w:r w:rsidRPr="008638B1">
        <w:rPr>
          <w:rFonts w:ascii="Arial" w:hAnsi="Arial" w:cs="Arial"/>
          <w:sz w:val="20"/>
          <w:szCs w:val="20"/>
        </w:rPr>
        <w:t>, C. W. (1948). An approach toward a rational classification of climate. </w:t>
      </w:r>
      <w:r w:rsidRPr="008638B1">
        <w:rPr>
          <w:rFonts w:ascii="Arial" w:hAnsi="Arial" w:cs="Arial"/>
          <w:i/>
          <w:iCs/>
          <w:sz w:val="20"/>
          <w:szCs w:val="20"/>
        </w:rPr>
        <w:t>Geographical review</w:t>
      </w:r>
      <w:r w:rsidRPr="008638B1">
        <w:rPr>
          <w:rFonts w:ascii="Arial" w:hAnsi="Arial" w:cs="Arial"/>
          <w:sz w:val="20"/>
          <w:szCs w:val="20"/>
        </w:rPr>
        <w:t>, </w:t>
      </w:r>
      <w:r w:rsidRPr="008638B1">
        <w:rPr>
          <w:rFonts w:ascii="Arial" w:hAnsi="Arial" w:cs="Arial"/>
          <w:i/>
          <w:iCs/>
          <w:sz w:val="20"/>
          <w:szCs w:val="20"/>
        </w:rPr>
        <w:t>38</w:t>
      </w:r>
      <w:r w:rsidRPr="008638B1">
        <w:rPr>
          <w:rFonts w:ascii="Arial" w:hAnsi="Arial" w:cs="Arial"/>
          <w:sz w:val="20"/>
          <w:szCs w:val="20"/>
        </w:rPr>
        <w:t>(1), 55-94.</w:t>
      </w:r>
    </w:p>
    <w:p w14:paraId="77A2D908"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Penman, H. L. (1948). Natural evaporation from open water, bare soil and grass. </w:t>
      </w:r>
      <w:r w:rsidRPr="008638B1">
        <w:rPr>
          <w:rFonts w:ascii="Arial" w:hAnsi="Arial" w:cs="Arial"/>
          <w:i/>
          <w:iCs/>
          <w:sz w:val="20"/>
          <w:szCs w:val="20"/>
        </w:rPr>
        <w:t>Proceedings of the Royal Society of London. Series A. Mathematical and Physical Sciences</w:t>
      </w:r>
      <w:r w:rsidRPr="008638B1">
        <w:rPr>
          <w:rFonts w:ascii="Arial" w:hAnsi="Arial" w:cs="Arial"/>
          <w:sz w:val="20"/>
          <w:szCs w:val="20"/>
        </w:rPr>
        <w:t>, </w:t>
      </w:r>
      <w:r w:rsidRPr="008638B1">
        <w:rPr>
          <w:rFonts w:ascii="Arial" w:hAnsi="Arial" w:cs="Arial"/>
          <w:i/>
          <w:iCs/>
          <w:sz w:val="20"/>
          <w:szCs w:val="20"/>
        </w:rPr>
        <w:t>193</w:t>
      </w:r>
      <w:r w:rsidRPr="008638B1">
        <w:rPr>
          <w:rFonts w:ascii="Arial" w:hAnsi="Arial" w:cs="Arial"/>
          <w:sz w:val="20"/>
          <w:szCs w:val="20"/>
        </w:rPr>
        <w:t>(1032), 120-145.</w:t>
      </w:r>
    </w:p>
    <w:p w14:paraId="3D6CFA19" w14:textId="77777777" w:rsidR="003D205F" w:rsidRDefault="003D205F" w:rsidP="003D205F">
      <w:pPr>
        <w:pStyle w:val="ListParagraph"/>
        <w:numPr>
          <w:ilvl w:val="0"/>
          <w:numId w:val="10"/>
        </w:numPr>
        <w:ind w:left="567" w:hanging="567"/>
        <w:jc w:val="both"/>
        <w:rPr>
          <w:rFonts w:ascii="Arial" w:hAnsi="Arial" w:cs="Arial"/>
          <w:sz w:val="20"/>
        </w:rPr>
      </w:pPr>
      <w:r w:rsidRPr="008638B1">
        <w:rPr>
          <w:rFonts w:ascii="Arial" w:hAnsi="Arial" w:cs="Arial"/>
          <w:sz w:val="20"/>
          <w:szCs w:val="20"/>
        </w:rPr>
        <w:t>Penman, H. L. (1956). Evaporation: an introductory survey. </w:t>
      </w:r>
      <w:r w:rsidRPr="008638B1">
        <w:rPr>
          <w:rFonts w:ascii="Arial" w:hAnsi="Arial" w:cs="Arial"/>
          <w:i/>
          <w:iCs/>
          <w:sz w:val="20"/>
          <w:szCs w:val="20"/>
        </w:rPr>
        <w:t>Netherlands Journal of Agricultural Science</w:t>
      </w:r>
      <w:r w:rsidRPr="008638B1">
        <w:rPr>
          <w:rFonts w:ascii="Arial" w:hAnsi="Arial" w:cs="Arial"/>
          <w:sz w:val="20"/>
          <w:szCs w:val="20"/>
        </w:rPr>
        <w:t>, </w:t>
      </w:r>
      <w:r w:rsidRPr="008638B1">
        <w:rPr>
          <w:rFonts w:ascii="Arial" w:hAnsi="Arial" w:cs="Arial"/>
          <w:i/>
          <w:iCs/>
          <w:sz w:val="20"/>
          <w:szCs w:val="20"/>
        </w:rPr>
        <w:t>4</w:t>
      </w:r>
      <w:r w:rsidRPr="008638B1">
        <w:rPr>
          <w:rFonts w:ascii="Arial" w:hAnsi="Arial" w:cs="Arial"/>
          <w:sz w:val="20"/>
          <w:szCs w:val="20"/>
        </w:rPr>
        <w:t>(1), 9-29.</w:t>
      </w:r>
    </w:p>
    <w:p w14:paraId="18C36408" w14:textId="77777777" w:rsidR="003D205F" w:rsidRPr="001F56E4" w:rsidRDefault="003D205F" w:rsidP="003D205F">
      <w:pPr>
        <w:pStyle w:val="ListParagraph"/>
        <w:numPr>
          <w:ilvl w:val="0"/>
          <w:numId w:val="10"/>
        </w:numPr>
        <w:ind w:left="567" w:hanging="567"/>
        <w:jc w:val="both"/>
        <w:rPr>
          <w:rFonts w:ascii="Arial" w:hAnsi="Arial" w:cs="Arial"/>
          <w:sz w:val="20"/>
          <w:szCs w:val="20"/>
          <w:highlight w:val="yellow"/>
        </w:rPr>
      </w:pPr>
      <w:r w:rsidRPr="001F56E4">
        <w:rPr>
          <w:rFonts w:ascii="Arial" w:hAnsi="Arial" w:cs="Arial"/>
          <w:sz w:val="20"/>
          <w:highlight w:val="yellow"/>
        </w:rPr>
        <w:t>Allen, R. G., Jensen, M. E., Wright, J. L., &amp; Burman, R. D. (1989). Operational estimates of reference evapotranspiration. </w:t>
      </w:r>
      <w:r w:rsidRPr="001F56E4">
        <w:rPr>
          <w:rFonts w:ascii="Arial" w:hAnsi="Arial" w:cs="Arial"/>
          <w:i/>
          <w:iCs/>
          <w:sz w:val="20"/>
          <w:highlight w:val="yellow"/>
        </w:rPr>
        <w:t>Agronomy journal</w:t>
      </w:r>
      <w:r w:rsidRPr="001F56E4">
        <w:rPr>
          <w:rFonts w:ascii="Arial" w:hAnsi="Arial" w:cs="Arial"/>
          <w:sz w:val="20"/>
          <w:highlight w:val="yellow"/>
        </w:rPr>
        <w:t>, </w:t>
      </w:r>
      <w:r w:rsidRPr="001F56E4">
        <w:rPr>
          <w:rFonts w:ascii="Arial" w:hAnsi="Arial" w:cs="Arial"/>
          <w:i/>
          <w:iCs/>
          <w:sz w:val="20"/>
          <w:highlight w:val="yellow"/>
        </w:rPr>
        <w:t>81</w:t>
      </w:r>
      <w:r w:rsidRPr="001F56E4">
        <w:rPr>
          <w:rFonts w:ascii="Arial" w:hAnsi="Arial" w:cs="Arial"/>
          <w:sz w:val="20"/>
          <w:highlight w:val="yellow"/>
        </w:rPr>
        <w:t>(4), 650-662.</w:t>
      </w:r>
    </w:p>
    <w:p w14:paraId="1AE13D4F"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Feng, X., </w:t>
      </w:r>
      <w:proofErr w:type="spellStart"/>
      <w:r w:rsidRPr="008638B1">
        <w:rPr>
          <w:rFonts w:ascii="Arial" w:hAnsi="Arial" w:cs="Arial"/>
          <w:sz w:val="20"/>
          <w:szCs w:val="20"/>
        </w:rPr>
        <w:t>Porporato</w:t>
      </w:r>
      <w:proofErr w:type="spellEnd"/>
      <w:r w:rsidRPr="008638B1">
        <w:rPr>
          <w:rFonts w:ascii="Arial" w:hAnsi="Arial" w:cs="Arial"/>
          <w:sz w:val="20"/>
          <w:szCs w:val="20"/>
        </w:rPr>
        <w:t xml:space="preserve">, A., </w:t>
      </w:r>
      <w:r>
        <w:rPr>
          <w:rFonts w:ascii="Arial" w:hAnsi="Arial" w:cs="Arial"/>
          <w:sz w:val="20"/>
          <w:szCs w:val="20"/>
        </w:rPr>
        <w:t>and</w:t>
      </w:r>
      <w:r w:rsidRPr="008638B1">
        <w:rPr>
          <w:rFonts w:ascii="Arial" w:hAnsi="Arial" w:cs="Arial"/>
          <w:sz w:val="20"/>
          <w:szCs w:val="20"/>
        </w:rPr>
        <w:t xml:space="preserve"> Rodriguez-</w:t>
      </w:r>
      <w:proofErr w:type="spellStart"/>
      <w:r w:rsidRPr="008638B1">
        <w:rPr>
          <w:rFonts w:ascii="Arial" w:hAnsi="Arial" w:cs="Arial"/>
          <w:sz w:val="20"/>
          <w:szCs w:val="20"/>
        </w:rPr>
        <w:t>Iturbe</w:t>
      </w:r>
      <w:proofErr w:type="spellEnd"/>
      <w:r w:rsidRPr="008638B1">
        <w:rPr>
          <w:rFonts w:ascii="Arial" w:hAnsi="Arial" w:cs="Arial"/>
          <w:sz w:val="20"/>
          <w:szCs w:val="20"/>
        </w:rPr>
        <w:t>, I. (2013). Changes in rainfall seasonality in the tropics. </w:t>
      </w:r>
      <w:r w:rsidRPr="008638B1">
        <w:rPr>
          <w:rFonts w:ascii="Arial" w:hAnsi="Arial" w:cs="Arial"/>
          <w:i/>
          <w:iCs/>
          <w:sz w:val="20"/>
          <w:szCs w:val="20"/>
        </w:rPr>
        <w:t>Nature Climate Change</w:t>
      </w:r>
      <w:r w:rsidRPr="008638B1">
        <w:rPr>
          <w:rFonts w:ascii="Arial" w:hAnsi="Arial" w:cs="Arial"/>
          <w:sz w:val="20"/>
          <w:szCs w:val="20"/>
        </w:rPr>
        <w:t>, </w:t>
      </w:r>
      <w:r w:rsidRPr="008638B1">
        <w:rPr>
          <w:rFonts w:ascii="Arial" w:hAnsi="Arial" w:cs="Arial"/>
          <w:i/>
          <w:iCs/>
          <w:sz w:val="20"/>
          <w:szCs w:val="20"/>
        </w:rPr>
        <w:t>3</w:t>
      </w:r>
      <w:r w:rsidRPr="008638B1">
        <w:rPr>
          <w:rFonts w:ascii="Arial" w:hAnsi="Arial" w:cs="Arial"/>
          <w:sz w:val="20"/>
          <w:szCs w:val="20"/>
        </w:rPr>
        <w:t>(9), 811-815.</w:t>
      </w:r>
    </w:p>
    <w:p w14:paraId="4DF9AE3B"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Walton, R. E., </w:t>
      </w:r>
      <w:r>
        <w:rPr>
          <w:rFonts w:ascii="Arial" w:hAnsi="Arial" w:cs="Arial"/>
          <w:sz w:val="20"/>
          <w:szCs w:val="20"/>
        </w:rPr>
        <w:t>and</w:t>
      </w:r>
      <w:r w:rsidRPr="008638B1">
        <w:rPr>
          <w:rFonts w:ascii="Arial" w:hAnsi="Arial" w:cs="Arial"/>
          <w:sz w:val="20"/>
          <w:szCs w:val="20"/>
        </w:rPr>
        <w:t xml:space="preserve"> Dutton, J. M. (1969). The management of interdepartmental conflict: A model and review. </w:t>
      </w:r>
      <w:r w:rsidRPr="008638B1">
        <w:rPr>
          <w:rFonts w:ascii="Arial" w:hAnsi="Arial" w:cs="Arial"/>
          <w:i/>
          <w:iCs/>
          <w:sz w:val="20"/>
          <w:szCs w:val="20"/>
        </w:rPr>
        <w:t>Administrative science quarterly</w:t>
      </w:r>
      <w:r w:rsidRPr="008638B1">
        <w:rPr>
          <w:rFonts w:ascii="Arial" w:hAnsi="Arial" w:cs="Arial"/>
          <w:sz w:val="20"/>
          <w:szCs w:val="20"/>
        </w:rPr>
        <w:t>, 73-84.</w:t>
      </w:r>
    </w:p>
    <w:p w14:paraId="7E9DDF8D"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Nairizi</w:t>
      </w:r>
      <w:proofErr w:type="spellEnd"/>
      <w:r w:rsidRPr="008638B1">
        <w:rPr>
          <w:rFonts w:ascii="Arial" w:hAnsi="Arial" w:cs="Arial"/>
          <w:sz w:val="20"/>
          <w:szCs w:val="20"/>
        </w:rPr>
        <w:t>, S. (2017). Drought and Water Scarcity. </w:t>
      </w:r>
      <w:r w:rsidRPr="008638B1">
        <w:rPr>
          <w:rFonts w:ascii="Arial" w:hAnsi="Arial" w:cs="Arial"/>
          <w:i/>
          <w:iCs/>
          <w:sz w:val="20"/>
          <w:szCs w:val="20"/>
        </w:rPr>
        <w:t>International Commission on Irrigation and Drainage: New Delhi, India</w:t>
      </w:r>
      <w:r w:rsidRPr="008638B1">
        <w:rPr>
          <w:rFonts w:ascii="Arial" w:hAnsi="Arial" w:cs="Arial"/>
          <w:sz w:val="20"/>
          <w:szCs w:val="20"/>
        </w:rPr>
        <w:t>.</w:t>
      </w:r>
    </w:p>
    <w:p w14:paraId="0996276D"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Pereira, L. S., </w:t>
      </w:r>
      <w:proofErr w:type="spellStart"/>
      <w:r w:rsidRPr="008638B1">
        <w:rPr>
          <w:rFonts w:ascii="Arial" w:hAnsi="Arial" w:cs="Arial"/>
          <w:sz w:val="20"/>
          <w:szCs w:val="20"/>
        </w:rPr>
        <w:t>Cordery</w:t>
      </w:r>
      <w:proofErr w:type="spellEnd"/>
      <w:r w:rsidRPr="008638B1">
        <w:rPr>
          <w:rFonts w:ascii="Arial" w:hAnsi="Arial" w:cs="Arial"/>
          <w:sz w:val="20"/>
          <w:szCs w:val="20"/>
        </w:rPr>
        <w:t xml:space="preserve">, I., </w:t>
      </w:r>
      <w:r>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Iacovides</w:t>
      </w:r>
      <w:proofErr w:type="spellEnd"/>
      <w:r w:rsidRPr="008638B1">
        <w:rPr>
          <w:rFonts w:ascii="Arial" w:hAnsi="Arial" w:cs="Arial"/>
          <w:sz w:val="20"/>
          <w:szCs w:val="20"/>
        </w:rPr>
        <w:t>, I. (2009). </w:t>
      </w:r>
      <w:r w:rsidRPr="008638B1">
        <w:rPr>
          <w:rFonts w:ascii="Arial" w:hAnsi="Arial" w:cs="Arial"/>
          <w:i/>
          <w:iCs/>
          <w:sz w:val="20"/>
          <w:szCs w:val="20"/>
        </w:rPr>
        <w:t>Coping with water scarcity: Addressing the challenges</w:t>
      </w:r>
      <w:r w:rsidRPr="008638B1">
        <w:rPr>
          <w:rFonts w:ascii="Arial" w:hAnsi="Arial" w:cs="Arial"/>
          <w:sz w:val="20"/>
          <w:szCs w:val="20"/>
        </w:rPr>
        <w:t xml:space="preserve">. Springer Science </w:t>
      </w:r>
      <w:r>
        <w:rPr>
          <w:rFonts w:ascii="Arial" w:hAnsi="Arial" w:cs="Arial"/>
          <w:sz w:val="20"/>
          <w:szCs w:val="20"/>
        </w:rPr>
        <w:t>and</w:t>
      </w:r>
      <w:r w:rsidRPr="008638B1">
        <w:rPr>
          <w:rFonts w:ascii="Arial" w:hAnsi="Arial" w:cs="Arial"/>
          <w:sz w:val="20"/>
          <w:szCs w:val="20"/>
        </w:rPr>
        <w:t xml:space="preserve"> Business Media.</w:t>
      </w:r>
    </w:p>
    <w:p w14:paraId="6073362B"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Zarch</w:t>
      </w:r>
      <w:proofErr w:type="spellEnd"/>
      <w:r w:rsidRPr="008638B1">
        <w:rPr>
          <w:rFonts w:ascii="Arial" w:hAnsi="Arial" w:cs="Arial"/>
          <w:sz w:val="20"/>
          <w:szCs w:val="20"/>
        </w:rPr>
        <w:t xml:space="preserve">, M. A. A., Sivakumar, B., </w:t>
      </w:r>
      <w:r>
        <w:rPr>
          <w:rFonts w:ascii="Arial" w:hAnsi="Arial" w:cs="Arial"/>
          <w:sz w:val="20"/>
          <w:szCs w:val="20"/>
        </w:rPr>
        <w:t>and</w:t>
      </w:r>
      <w:r w:rsidRPr="008638B1">
        <w:rPr>
          <w:rFonts w:ascii="Arial" w:hAnsi="Arial" w:cs="Arial"/>
          <w:sz w:val="20"/>
          <w:szCs w:val="20"/>
        </w:rPr>
        <w:t xml:space="preserve"> Sharma, A. (2015). Assessment of global aridity change. </w:t>
      </w:r>
      <w:r w:rsidRPr="008638B1">
        <w:rPr>
          <w:rFonts w:ascii="Arial" w:hAnsi="Arial" w:cs="Arial"/>
          <w:i/>
          <w:iCs/>
          <w:sz w:val="20"/>
          <w:szCs w:val="20"/>
        </w:rPr>
        <w:t>Journal of Hydrology</w:t>
      </w:r>
      <w:r w:rsidRPr="008638B1">
        <w:rPr>
          <w:rFonts w:ascii="Arial" w:hAnsi="Arial" w:cs="Arial"/>
          <w:sz w:val="20"/>
          <w:szCs w:val="20"/>
        </w:rPr>
        <w:t>, </w:t>
      </w:r>
      <w:r w:rsidRPr="008638B1">
        <w:rPr>
          <w:rFonts w:ascii="Arial" w:hAnsi="Arial" w:cs="Arial"/>
          <w:i/>
          <w:iCs/>
          <w:sz w:val="20"/>
          <w:szCs w:val="20"/>
        </w:rPr>
        <w:t>520</w:t>
      </w:r>
      <w:r w:rsidRPr="008638B1">
        <w:rPr>
          <w:rFonts w:ascii="Arial" w:hAnsi="Arial" w:cs="Arial"/>
          <w:sz w:val="20"/>
          <w:szCs w:val="20"/>
        </w:rPr>
        <w:t>, 300-313.</w:t>
      </w:r>
    </w:p>
    <w:p w14:paraId="3EF20AF4"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Wang, Y. J., </w:t>
      </w:r>
      <w:r>
        <w:rPr>
          <w:rFonts w:ascii="Arial" w:hAnsi="Arial" w:cs="Arial"/>
          <w:sz w:val="20"/>
          <w:szCs w:val="20"/>
        </w:rPr>
        <w:t>and</w:t>
      </w:r>
      <w:r w:rsidRPr="008638B1">
        <w:rPr>
          <w:rFonts w:ascii="Arial" w:hAnsi="Arial" w:cs="Arial"/>
          <w:sz w:val="20"/>
          <w:szCs w:val="20"/>
        </w:rPr>
        <w:t xml:space="preserve"> Qin, D. H. (2017). Influence of climate change and human activity on water resources in arid region of Northwest China: An overview. </w:t>
      </w:r>
      <w:r w:rsidRPr="008638B1">
        <w:rPr>
          <w:rFonts w:ascii="Arial" w:hAnsi="Arial" w:cs="Arial"/>
          <w:i/>
          <w:iCs/>
          <w:sz w:val="20"/>
          <w:szCs w:val="20"/>
        </w:rPr>
        <w:t>Advances in Climate Change Research</w:t>
      </w:r>
      <w:r w:rsidRPr="008638B1">
        <w:rPr>
          <w:rFonts w:ascii="Arial" w:hAnsi="Arial" w:cs="Arial"/>
          <w:sz w:val="20"/>
          <w:szCs w:val="20"/>
        </w:rPr>
        <w:t>, </w:t>
      </w:r>
      <w:r w:rsidRPr="008638B1">
        <w:rPr>
          <w:rFonts w:ascii="Arial" w:hAnsi="Arial" w:cs="Arial"/>
          <w:i/>
          <w:iCs/>
          <w:sz w:val="20"/>
          <w:szCs w:val="20"/>
        </w:rPr>
        <w:t>8</w:t>
      </w:r>
      <w:r w:rsidRPr="008638B1">
        <w:rPr>
          <w:rFonts w:ascii="Arial" w:hAnsi="Arial" w:cs="Arial"/>
          <w:sz w:val="20"/>
          <w:szCs w:val="20"/>
        </w:rPr>
        <w:t>(4), 268-278.</w:t>
      </w:r>
    </w:p>
    <w:p w14:paraId="669B0BBA"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Abdulla, F., </w:t>
      </w:r>
      <w:proofErr w:type="spellStart"/>
      <w:r w:rsidRPr="008638B1">
        <w:rPr>
          <w:rFonts w:ascii="Arial" w:hAnsi="Arial" w:cs="Arial"/>
          <w:sz w:val="20"/>
          <w:szCs w:val="20"/>
        </w:rPr>
        <w:t>Eshtawi</w:t>
      </w:r>
      <w:proofErr w:type="spellEnd"/>
      <w:r w:rsidRPr="008638B1">
        <w:rPr>
          <w:rFonts w:ascii="Arial" w:hAnsi="Arial" w:cs="Arial"/>
          <w:sz w:val="20"/>
          <w:szCs w:val="20"/>
        </w:rPr>
        <w:t xml:space="preserve">, T., </w:t>
      </w:r>
      <w:r>
        <w:rPr>
          <w:rFonts w:ascii="Arial" w:hAnsi="Arial" w:cs="Arial"/>
          <w:sz w:val="20"/>
          <w:szCs w:val="20"/>
        </w:rPr>
        <w:t>and</w:t>
      </w:r>
      <w:r w:rsidRPr="008638B1">
        <w:rPr>
          <w:rFonts w:ascii="Arial" w:hAnsi="Arial" w:cs="Arial"/>
          <w:sz w:val="20"/>
          <w:szCs w:val="20"/>
        </w:rPr>
        <w:t xml:space="preserve"> Assaf, H. (2009). Assessment of the impact of potential climate change on the water balance of a semi-arid watershed. </w:t>
      </w:r>
      <w:r w:rsidRPr="008638B1">
        <w:rPr>
          <w:rFonts w:ascii="Arial" w:hAnsi="Arial" w:cs="Arial"/>
          <w:i/>
          <w:iCs/>
          <w:sz w:val="20"/>
          <w:szCs w:val="20"/>
        </w:rPr>
        <w:t>Water resources management</w:t>
      </w:r>
      <w:r w:rsidRPr="008638B1">
        <w:rPr>
          <w:rFonts w:ascii="Arial" w:hAnsi="Arial" w:cs="Arial"/>
          <w:sz w:val="20"/>
          <w:szCs w:val="20"/>
        </w:rPr>
        <w:t>, </w:t>
      </w:r>
      <w:r w:rsidRPr="008638B1">
        <w:rPr>
          <w:rFonts w:ascii="Arial" w:hAnsi="Arial" w:cs="Arial"/>
          <w:i/>
          <w:iCs/>
          <w:sz w:val="20"/>
          <w:szCs w:val="20"/>
        </w:rPr>
        <w:t>23</w:t>
      </w:r>
      <w:r w:rsidRPr="008638B1">
        <w:rPr>
          <w:rFonts w:ascii="Arial" w:hAnsi="Arial" w:cs="Arial"/>
          <w:sz w:val="20"/>
          <w:szCs w:val="20"/>
        </w:rPr>
        <w:t>, 2051-2068.</w:t>
      </w:r>
    </w:p>
    <w:p w14:paraId="651DDDA6"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El-</w:t>
      </w:r>
      <w:proofErr w:type="spellStart"/>
      <w:r w:rsidRPr="008638B1">
        <w:rPr>
          <w:rFonts w:ascii="Arial" w:hAnsi="Arial" w:cs="Arial"/>
          <w:sz w:val="20"/>
          <w:szCs w:val="20"/>
        </w:rPr>
        <w:t>Rawy</w:t>
      </w:r>
      <w:proofErr w:type="spellEnd"/>
      <w:r w:rsidRPr="008638B1">
        <w:rPr>
          <w:rFonts w:ascii="Arial" w:hAnsi="Arial" w:cs="Arial"/>
          <w:sz w:val="20"/>
          <w:szCs w:val="20"/>
        </w:rPr>
        <w:t xml:space="preserve">, M., </w:t>
      </w:r>
      <w:proofErr w:type="spellStart"/>
      <w:r w:rsidRPr="008638B1">
        <w:rPr>
          <w:rFonts w:ascii="Arial" w:hAnsi="Arial" w:cs="Arial"/>
          <w:sz w:val="20"/>
          <w:szCs w:val="20"/>
        </w:rPr>
        <w:t>Batelaan</w:t>
      </w:r>
      <w:proofErr w:type="spellEnd"/>
      <w:r w:rsidRPr="008638B1">
        <w:rPr>
          <w:rFonts w:ascii="Arial" w:hAnsi="Arial" w:cs="Arial"/>
          <w:sz w:val="20"/>
          <w:szCs w:val="20"/>
        </w:rPr>
        <w:t>, O., Al-</w:t>
      </w:r>
      <w:proofErr w:type="spellStart"/>
      <w:r w:rsidRPr="008638B1">
        <w:rPr>
          <w:rFonts w:ascii="Arial" w:hAnsi="Arial" w:cs="Arial"/>
          <w:sz w:val="20"/>
          <w:szCs w:val="20"/>
        </w:rPr>
        <w:t>Arifi</w:t>
      </w:r>
      <w:proofErr w:type="spellEnd"/>
      <w:r w:rsidRPr="008638B1">
        <w:rPr>
          <w:rFonts w:ascii="Arial" w:hAnsi="Arial" w:cs="Arial"/>
          <w:sz w:val="20"/>
          <w:szCs w:val="20"/>
        </w:rPr>
        <w:t xml:space="preserve">, N., Alotaibi, A., Abdalla, F., </w:t>
      </w:r>
      <w:r>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Gabr</w:t>
      </w:r>
      <w:proofErr w:type="spellEnd"/>
      <w:r w:rsidRPr="008638B1">
        <w:rPr>
          <w:rFonts w:ascii="Arial" w:hAnsi="Arial" w:cs="Arial"/>
          <w:sz w:val="20"/>
          <w:szCs w:val="20"/>
        </w:rPr>
        <w:t>, M. E. (2023). Climate change impacts on water resources in arid and semi-arid regions: a case study in Saudi Arabia. </w:t>
      </w:r>
      <w:r w:rsidRPr="008638B1">
        <w:rPr>
          <w:rFonts w:ascii="Arial" w:hAnsi="Arial" w:cs="Arial"/>
          <w:i/>
          <w:iCs/>
          <w:sz w:val="20"/>
          <w:szCs w:val="20"/>
        </w:rPr>
        <w:t>Water</w:t>
      </w:r>
      <w:r w:rsidRPr="008638B1">
        <w:rPr>
          <w:rFonts w:ascii="Arial" w:hAnsi="Arial" w:cs="Arial"/>
          <w:sz w:val="20"/>
          <w:szCs w:val="20"/>
        </w:rPr>
        <w:t>, </w:t>
      </w:r>
      <w:r w:rsidRPr="008638B1">
        <w:rPr>
          <w:rFonts w:ascii="Arial" w:hAnsi="Arial" w:cs="Arial"/>
          <w:i/>
          <w:iCs/>
          <w:sz w:val="20"/>
          <w:szCs w:val="20"/>
        </w:rPr>
        <w:t>15</w:t>
      </w:r>
      <w:r w:rsidRPr="008638B1">
        <w:rPr>
          <w:rFonts w:ascii="Arial" w:hAnsi="Arial" w:cs="Arial"/>
          <w:sz w:val="20"/>
          <w:szCs w:val="20"/>
        </w:rPr>
        <w:t>(3), 606.</w:t>
      </w:r>
    </w:p>
    <w:p w14:paraId="45CD058B"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Ullah, S., You, Q., </w:t>
      </w:r>
      <w:proofErr w:type="spellStart"/>
      <w:r w:rsidRPr="008638B1">
        <w:rPr>
          <w:rFonts w:ascii="Arial" w:hAnsi="Arial" w:cs="Arial"/>
          <w:sz w:val="20"/>
          <w:szCs w:val="20"/>
        </w:rPr>
        <w:t>Sachindra</w:t>
      </w:r>
      <w:proofErr w:type="spellEnd"/>
      <w:r w:rsidRPr="008638B1">
        <w:rPr>
          <w:rFonts w:ascii="Arial" w:hAnsi="Arial" w:cs="Arial"/>
          <w:sz w:val="20"/>
          <w:szCs w:val="20"/>
        </w:rPr>
        <w:t xml:space="preserve">, D. A., </w:t>
      </w:r>
      <w:proofErr w:type="spellStart"/>
      <w:r w:rsidRPr="008638B1">
        <w:rPr>
          <w:rFonts w:ascii="Arial" w:hAnsi="Arial" w:cs="Arial"/>
          <w:sz w:val="20"/>
          <w:szCs w:val="20"/>
        </w:rPr>
        <w:t>Nowosad</w:t>
      </w:r>
      <w:proofErr w:type="spellEnd"/>
      <w:r w:rsidRPr="008638B1">
        <w:rPr>
          <w:rFonts w:ascii="Arial" w:hAnsi="Arial" w:cs="Arial"/>
          <w:sz w:val="20"/>
          <w:szCs w:val="20"/>
        </w:rPr>
        <w:t xml:space="preserve">, M., Ullah, W., Bhatti, A. S., ... </w:t>
      </w:r>
      <w:r>
        <w:rPr>
          <w:rFonts w:ascii="Arial" w:hAnsi="Arial" w:cs="Arial"/>
          <w:sz w:val="20"/>
          <w:szCs w:val="20"/>
        </w:rPr>
        <w:t>and</w:t>
      </w:r>
      <w:r w:rsidRPr="008638B1">
        <w:rPr>
          <w:rFonts w:ascii="Arial" w:hAnsi="Arial" w:cs="Arial"/>
          <w:sz w:val="20"/>
          <w:szCs w:val="20"/>
        </w:rPr>
        <w:t xml:space="preserve"> Ali, A. (2022). Spatiotemporal changes in global aridity in terms of multiple aridity indices: An assessment based on the CRU data. </w:t>
      </w:r>
      <w:r w:rsidRPr="008638B1">
        <w:rPr>
          <w:rFonts w:ascii="Arial" w:hAnsi="Arial" w:cs="Arial"/>
          <w:i/>
          <w:iCs/>
          <w:sz w:val="20"/>
          <w:szCs w:val="20"/>
        </w:rPr>
        <w:t>Atmospheric Research</w:t>
      </w:r>
      <w:r w:rsidRPr="008638B1">
        <w:rPr>
          <w:rFonts w:ascii="Arial" w:hAnsi="Arial" w:cs="Arial"/>
          <w:sz w:val="20"/>
          <w:szCs w:val="20"/>
        </w:rPr>
        <w:t>, </w:t>
      </w:r>
      <w:r w:rsidRPr="008638B1">
        <w:rPr>
          <w:rFonts w:ascii="Arial" w:hAnsi="Arial" w:cs="Arial"/>
          <w:i/>
          <w:iCs/>
          <w:sz w:val="20"/>
          <w:szCs w:val="20"/>
        </w:rPr>
        <w:t>268</w:t>
      </w:r>
      <w:r w:rsidRPr="008638B1">
        <w:rPr>
          <w:rFonts w:ascii="Arial" w:hAnsi="Arial" w:cs="Arial"/>
          <w:sz w:val="20"/>
          <w:szCs w:val="20"/>
        </w:rPr>
        <w:t>, 105998.</w:t>
      </w:r>
    </w:p>
    <w:p w14:paraId="655A6FF9"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Haider, S., </w:t>
      </w:r>
      <w:r>
        <w:rPr>
          <w:rFonts w:ascii="Arial" w:hAnsi="Arial" w:cs="Arial"/>
          <w:sz w:val="20"/>
          <w:szCs w:val="20"/>
        </w:rPr>
        <w:t>and</w:t>
      </w:r>
      <w:r w:rsidRPr="008638B1">
        <w:rPr>
          <w:rFonts w:ascii="Arial" w:hAnsi="Arial" w:cs="Arial"/>
          <w:sz w:val="20"/>
          <w:szCs w:val="20"/>
        </w:rPr>
        <w:t xml:space="preserve"> Adnan, S. (2014). Classification and assessment of aridity over Pakistan provinces (1960-2009). </w:t>
      </w:r>
      <w:r w:rsidRPr="008638B1">
        <w:rPr>
          <w:rFonts w:ascii="Arial" w:hAnsi="Arial" w:cs="Arial"/>
          <w:i/>
          <w:iCs/>
          <w:sz w:val="20"/>
          <w:szCs w:val="20"/>
        </w:rPr>
        <w:t>International journal of environment</w:t>
      </w:r>
      <w:r w:rsidRPr="008638B1">
        <w:rPr>
          <w:rFonts w:ascii="Arial" w:hAnsi="Arial" w:cs="Arial"/>
          <w:sz w:val="20"/>
          <w:szCs w:val="20"/>
        </w:rPr>
        <w:t>, </w:t>
      </w:r>
      <w:r w:rsidRPr="008638B1">
        <w:rPr>
          <w:rFonts w:ascii="Arial" w:hAnsi="Arial" w:cs="Arial"/>
          <w:i/>
          <w:iCs/>
          <w:sz w:val="20"/>
          <w:szCs w:val="20"/>
        </w:rPr>
        <w:t>3</w:t>
      </w:r>
      <w:r w:rsidRPr="008638B1">
        <w:rPr>
          <w:rFonts w:ascii="Arial" w:hAnsi="Arial" w:cs="Arial"/>
          <w:sz w:val="20"/>
          <w:szCs w:val="20"/>
        </w:rPr>
        <w:t>(4), 24-35.</w:t>
      </w:r>
    </w:p>
    <w:p w14:paraId="5986926D"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lastRenderedPageBreak/>
        <w:t xml:space="preserve">Sharma, A., Sharma, D., </w:t>
      </w:r>
      <w:r>
        <w:rPr>
          <w:rFonts w:ascii="Arial" w:hAnsi="Arial" w:cs="Arial"/>
          <w:sz w:val="20"/>
          <w:szCs w:val="20"/>
        </w:rPr>
        <w:t>and</w:t>
      </w:r>
      <w:r w:rsidRPr="008638B1">
        <w:rPr>
          <w:rFonts w:ascii="Arial" w:hAnsi="Arial" w:cs="Arial"/>
          <w:sz w:val="20"/>
          <w:szCs w:val="20"/>
        </w:rPr>
        <w:t xml:space="preserve"> Panda, S. K. (2022). Assessment of spatiotemporal trend of precipitation indices and meteorological drought characteristics in the Mahi River basin, India. </w:t>
      </w:r>
      <w:r w:rsidRPr="008638B1">
        <w:rPr>
          <w:rFonts w:ascii="Arial" w:hAnsi="Arial" w:cs="Arial"/>
          <w:i/>
          <w:iCs/>
          <w:sz w:val="20"/>
          <w:szCs w:val="20"/>
        </w:rPr>
        <w:t>Journal of Hydrology</w:t>
      </w:r>
      <w:r w:rsidRPr="008638B1">
        <w:rPr>
          <w:rFonts w:ascii="Arial" w:hAnsi="Arial" w:cs="Arial"/>
          <w:sz w:val="20"/>
          <w:szCs w:val="20"/>
        </w:rPr>
        <w:t>, </w:t>
      </w:r>
      <w:r w:rsidRPr="008638B1">
        <w:rPr>
          <w:rFonts w:ascii="Arial" w:hAnsi="Arial" w:cs="Arial"/>
          <w:i/>
          <w:iCs/>
          <w:sz w:val="20"/>
          <w:szCs w:val="20"/>
        </w:rPr>
        <w:t>605</w:t>
      </w:r>
      <w:r w:rsidRPr="008638B1">
        <w:rPr>
          <w:rFonts w:ascii="Arial" w:hAnsi="Arial" w:cs="Arial"/>
          <w:sz w:val="20"/>
          <w:szCs w:val="20"/>
        </w:rPr>
        <w:t>, 127314.</w:t>
      </w:r>
    </w:p>
    <w:p w14:paraId="1AAC39D0"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Pedro-</w:t>
      </w:r>
      <w:proofErr w:type="spellStart"/>
      <w:r w:rsidRPr="008638B1">
        <w:rPr>
          <w:rFonts w:ascii="Arial" w:hAnsi="Arial" w:cs="Arial"/>
          <w:sz w:val="20"/>
          <w:szCs w:val="20"/>
        </w:rPr>
        <w:t>Monzonís</w:t>
      </w:r>
      <w:proofErr w:type="spellEnd"/>
      <w:r w:rsidRPr="008638B1">
        <w:rPr>
          <w:rFonts w:ascii="Arial" w:hAnsi="Arial" w:cs="Arial"/>
          <w:sz w:val="20"/>
          <w:szCs w:val="20"/>
        </w:rPr>
        <w:t xml:space="preserve">, M., Solera, A., Ferrer, J., Estrela, T., </w:t>
      </w:r>
      <w:r>
        <w:rPr>
          <w:rFonts w:ascii="Arial" w:hAnsi="Arial" w:cs="Arial"/>
          <w:sz w:val="20"/>
          <w:szCs w:val="20"/>
        </w:rPr>
        <w:t>and</w:t>
      </w:r>
      <w:r w:rsidRPr="008638B1">
        <w:rPr>
          <w:rFonts w:ascii="Arial" w:hAnsi="Arial" w:cs="Arial"/>
          <w:sz w:val="20"/>
          <w:szCs w:val="20"/>
        </w:rPr>
        <w:t xml:space="preserve"> Paredes-</w:t>
      </w:r>
      <w:proofErr w:type="spellStart"/>
      <w:r w:rsidRPr="008638B1">
        <w:rPr>
          <w:rFonts w:ascii="Arial" w:hAnsi="Arial" w:cs="Arial"/>
          <w:sz w:val="20"/>
          <w:szCs w:val="20"/>
        </w:rPr>
        <w:t>Arquiola</w:t>
      </w:r>
      <w:proofErr w:type="spellEnd"/>
      <w:r w:rsidRPr="008638B1">
        <w:rPr>
          <w:rFonts w:ascii="Arial" w:hAnsi="Arial" w:cs="Arial"/>
          <w:sz w:val="20"/>
          <w:szCs w:val="20"/>
        </w:rPr>
        <w:t>, J. (2015). A review of water scarcity and drought indexes in water resources planning and management. </w:t>
      </w:r>
      <w:r w:rsidRPr="008638B1">
        <w:rPr>
          <w:rFonts w:ascii="Arial" w:hAnsi="Arial" w:cs="Arial"/>
          <w:i/>
          <w:iCs/>
          <w:sz w:val="20"/>
          <w:szCs w:val="20"/>
        </w:rPr>
        <w:t>Journal of Hydrology</w:t>
      </w:r>
      <w:r w:rsidRPr="008638B1">
        <w:rPr>
          <w:rFonts w:ascii="Arial" w:hAnsi="Arial" w:cs="Arial"/>
          <w:sz w:val="20"/>
          <w:szCs w:val="20"/>
        </w:rPr>
        <w:t>, </w:t>
      </w:r>
      <w:r w:rsidRPr="008638B1">
        <w:rPr>
          <w:rFonts w:ascii="Arial" w:hAnsi="Arial" w:cs="Arial"/>
          <w:i/>
          <w:iCs/>
          <w:sz w:val="20"/>
          <w:szCs w:val="20"/>
        </w:rPr>
        <w:t>527</w:t>
      </w:r>
      <w:r w:rsidRPr="008638B1">
        <w:rPr>
          <w:rFonts w:ascii="Arial" w:hAnsi="Arial" w:cs="Arial"/>
          <w:sz w:val="20"/>
          <w:szCs w:val="20"/>
        </w:rPr>
        <w:t>, 482-493.</w:t>
      </w:r>
    </w:p>
    <w:p w14:paraId="5C32AEB6"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Jain, S. K., Agarwal, P. K., Singh, V. P., Jain, S. K., Agarwal, P. K., </w:t>
      </w:r>
      <w:r>
        <w:rPr>
          <w:rFonts w:ascii="Arial" w:hAnsi="Arial" w:cs="Arial"/>
          <w:sz w:val="20"/>
          <w:szCs w:val="20"/>
        </w:rPr>
        <w:t>and</w:t>
      </w:r>
      <w:r w:rsidRPr="008638B1">
        <w:rPr>
          <w:rFonts w:ascii="Arial" w:hAnsi="Arial" w:cs="Arial"/>
          <w:sz w:val="20"/>
          <w:szCs w:val="20"/>
        </w:rPr>
        <w:t xml:space="preserve"> Singh, V. P. (2007). </w:t>
      </w:r>
      <w:proofErr w:type="spellStart"/>
      <w:r w:rsidRPr="008638B1">
        <w:rPr>
          <w:rFonts w:ascii="Arial" w:hAnsi="Arial" w:cs="Arial"/>
          <w:sz w:val="20"/>
          <w:szCs w:val="20"/>
        </w:rPr>
        <w:t>Tapi</w:t>
      </w:r>
      <w:proofErr w:type="spellEnd"/>
      <w:r w:rsidRPr="008638B1">
        <w:rPr>
          <w:rFonts w:ascii="Arial" w:hAnsi="Arial" w:cs="Arial"/>
          <w:sz w:val="20"/>
          <w:szCs w:val="20"/>
        </w:rPr>
        <w:t xml:space="preserve">, </w:t>
      </w:r>
      <w:proofErr w:type="spellStart"/>
      <w:r w:rsidRPr="008638B1">
        <w:rPr>
          <w:rFonts w:ascii="Arial" w:hAnsi="Arial" w:cs="Arial"/>
          <w:sz w:val="20"/>
          <w:szCs w:val="20"/>
        </w:rPr>
        <w:t>sabarmati</w:t>
      </w:r>
      <w:proofErr w:type="spellEnd"/>
      <w:r w:rsidRPr="008638B1">
        <w:rPr>
          <w:rFonts w:ascii="Arial" w:hAnsi="Arial" w:cs="Arial"/>
          <w:sz w:val="20"/>
          <w:szCs w:val="20"/>
        </w:rPr>
        <w:t xml:space="preserve"> and mahi basins. </w:t>
      </w:r>
      <w:r w:rsidRPr="008638B1">
        <w:rPr>
          <w:rFonts w:ascii="Arial" w:hAnsi="Arial" w:cs="Arial"/>
          <w:i/>
          <w:iCs/>
          <w:sz w:val="20"/>
          <w:szCs w:val="20"/>
        </w:rPr>
        <w:t>Hydrology and water resources of India</w:t>
      </w:r>
      <w:r w:rsidRPr="008638B1">
        <w:rPr>
          <w:rFonts w:ascii="Arial" w:hAnsi="Arial" w:cs="Arial"/>
          <w:sz w:val="20"/>
          <w:szCs w:val="20"/>
        </w:rPr>
        <w:t>, 561-595.</w:t>
      </w:r>
    </w:p>
    <w:p w14:paraId="1F656744"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Pawar</w:t>
      </w:r>
      <w:proofErr w:type="spellEnd"/>
      <w:r w:rsidRPr="008638B1">
        <w:rPr>
          <w:rFonts w:ascii="Arial" w:hAnsi="Arial" w:cs="Arial"/>
          <w:sz w:val="20"/>
          <w:szCs w:val="20"/>
        </w:rPr>
        <w:t xml:space="preserve">, U., Hire, P., </w:t>
      </w:r>
      <w:proofErr w:type="spellStart"/>
      <w:r w:rsidRPr="008638B1">
        <w:rPr>
          <w:rFonts w:ascii="Arial" w:hAnsi="Arial" w:cs="Arial"/>
          <w:sz w:val="20"/>
          <w:szCs w:val="20"/>
        </w:rPr>
        <w:t>Gunathilake</w:t>
      </w:r>
      <w:proofErr w:type="spellEnd"/>
      <w:r w:rsidRPr="008638B1">
        <w:rPr>
          <w:rFonts w:ascii="Arial" w:hAnsi="Arial" w:cs="Arial"/>
          <w:sz w:val="20"/>
          <w:szCs w:val="20"/>
        </w:rPr>
        <w:t xml:space="preserve">, M. B., </w:t>
      </w:r>
      <w:r>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Rathnayake</w:t>
      </w:r>
      <w:proofErr w:type="spellEnd"/>
      <w:r w:rsidRPr="008638B1">
        <w:rPr>
          <w:rFonts w:ascii="Arial" w:hAnsi="Arial" w:cs="Arial"/>
          <w:sz w:val="20"/>
          <w:szCs w:val="20"/>
        </w:rPr>
        <w:t>, U. (2023). Spatiotemporal rainfall variability and trends over the Mahi basin, India. </w:t>
      </w:r>
      <w:r w:rsidRPr="008638B1">
        <w:rPr>
          <w:rFonts w:ascii="Arial" w:hAnsi="Arial" w:cs="Arial"/>
          <w:i/>
          <w:iCs/>
          <w:sz w:val="20"/>
          <w:szCs w:val="20"/>
        </w:rPr>
        <w:t>Climate</w:t>
      </w:r>
      <w:r w:rsidRPr="008638B1">
        <w:rPr>
          <w:rFonts w:ascii="Arial" w:hAnsi="Arial" w:cs="Arial"/>
          <w:sz w:val="20"/>
          <w:szCs w:val="20"/>
        </w:rPr>
        <w:t>, </w:t>
      </w:r>
      <w:r w:rsidRPr="008638B1">
        <w:rPr>
          <w:rFonts w:ascii="Arial" w:hAnsi="Arial" w:cs="Arial"/>
          <w:i/>
          <w:iCs/>
          <w:sz w:val="20"/>
          <w:szCs w:val="20"/>
        </w:rPr>
        <w:t>11</w:t>
      </w:r>
      <w:r w:rsidRPr="008638B1">
        <w:rPr>
          <w:rFonts w:ascii="Arial" w:hAnsi="Arial" w:cs="Arial"/>
          <w:sz w:val="20"/>
          <w:szCs w:val="20"/>
        </w:rPr>
        <w:t>(8), 163.</w:t>
      </w:r>
    </w:p>
    <w:p w14:paraId="10376BCE"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Das, S., </w:t>
      </w:r>
      <w:r>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Scaringi</w:t>
      </w:r>
      <w:proofErr w:type="spellEnd"/>
      <w:r w:rsidRPr="008638B1">
        <w:rPr>
          <w:rFonts w:ascii="Arial" w:hAnsi="Arial" w:cs="Arial"/>
          <w:sz w:val="20"/>
          <w:szCs w:val="20"/>
        </w:rPr>
        <w:t>, G. (2021). River flooding in a changing climate: rainfall-discharge trends, controlling factors, and susceptibility mapping for the Mahi catchment, Western India. </w:t>
      </w:r>
      <w:r w:rsidRPr="008638B1">
        <w:rPr>
          <w:rFonts w:ascii="Arial" w:hAnsi="Arial" w:cs="Arial"/>
          <w:i/>
          <w:iCs/>
          <w:sz w:val="20"/>
          <w:szCs w:val="20"/>
        </w:rPr>
        <w:t>Natural Hazards</w:t>
      </w:r>
      <w:r w:rsidRPr="008638B1">
        <w:rPr>
          <w:rFonts w:ascii="Arial" w:hAnsi="Arial" w:cs="Arial"/>
          <w:sz w:val="20"/>
          <w:szCs w:val="20"/>
        </w:rPr>
        <w:t>, </w:t>
      </w:r>
      <w:r w:rsidRPr="008638B1">
        <w:rPr>
          <w:rFonts w:ascii="Arial" w:hAnsi="Arial" w:cs="Arial"/>
          <w:i/>
          <w:iCs/>
          <w:sz w:val="20"/>
          <w:szCs w:val="20"/>
        </w:rPr>
        <w:t>109</w:t>
      </w:r>
      <w:r w:rsidRPr="008638B1">
        <w:rPr>
          <w:rFonts w:ascii="Arial" w:hAnsi="Arial" w:cs="Arial"/>
          <w:sz w:val="20"/>
          <w:szCs w:val="20"/>
        </w:rPr>
        <w:t>(3), 2439-2459.</w:t>
      </w:r>
    </w:p>
    <w:p w14:paraId="392F77FB"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Laskar</w:t>
      </w:r>
      <w:proofErr w:type="spellEnd"/>
      <w:r w:rsidRPr="008638B1">
        <w:rPr>
          <w:rFonts w:ascii="Arial" w:hAnsi="Arial" w:cs="Arial"/>
          <w:sz w:val="20"/>
          <w:szCs w:val="20"/>
        </w:rPr>
        <w:t>, S. I. "India meteorological department." (2016): 1021-1037.</w:t>
      </w:r>
    </w:p>
    <w:p w14:paraId="6D1AB039"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CORDEX, W. (2023). </w:t>
      </w:r>
      <w:proofErr w:type="spellStart"/>
      <w:r w:rsidRPr="008638B1">
        <w:rPr>
          <w:rFonts w:ascii="Arial" w:hAnsi="Arial" w:cs="Arial"/>
          <w:i/>
          <w:iCs/>
          <w:sz w:val="20"/>
          <w:szCs w:val="20"/>
        </w:rPr>
        <w:t>Cordex</w:t>
      </w:r>
      <w:proofErr w:type="spellEnd"/>
      <w:r w:rsidRPr="008638B1">
        <w:rPr>
          <w:rFonts w:ascii="Arial" w:hAnsi="Arial" w:cs="Arial"/>
          <w:i/>
          <w:iCs/>
          <w:sz w:val="20"/>
          <w:szCs w:val="20"/>
        </w:rPr>
        <w:t>–Coordinated Regional Climate Downscaling Experiment</w:t>
      </w:r>
      <w:r w:rsidRPr="008638B1">
        <w:rPr>
          <w:rFonts w:ascii="Arial" w:hAnsi="Arial" w:cs="Arial"/>
          <w:sz w:val="20"/>
          <w:szCs w:val="20"/>
        </w:rPr>
        <w:t>.</w:t>
      </w:r>
    </w:p>
    <w:p w14:paraId="33E764F5" w14:textId="77777777" w:rsidR="003D205F" w:rsidRPr="008638B1" w:rsidRDefault="003D205F" w:rsidP="003D205F">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Geng</w:t>
      </w:r>
      <w:proofErr w:type="spellEnd"/>
      <w:r w:rsidRPr="008638B1">
        <w:rPr>
          <w:rFonts w:ascii="Arial" w:hAnsi="Arial" w:cs="Arial"/>
          <w:sz w:val="20"/>
          <w:szCs w:val="20"/>
        </w:rPr>
        <w:t xml:space="preserve">, S., de Vries, F. W. P., </w:t>
      </w:r>
      <w:r>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Supit</w:t>
      </w:r>
      <w:proofErr w:type="spellEnd"/>
      <w:r w:rsidRPr="008638B1">
        <w:rPr>
          <w:rFonts w:ascii="Arial" w:hAnsi="Arial" w:cs="Arial"/>
          <w:sz w:val="20"/>
          <w:szCs w:val="20"/>
        </w:rPr>
        <w:t>, I. (1986). A simple method for generating daily rainfall data. </w:t>
      </w:r>
      <w:r w:rsidRPr="008638B1">
        <w:rPr>
          <w:rFonts w:ascii="Arial" w:hAnsi="Arial" w:cs="Arial"/>
          <w:i/>
          <w:iCs/>
          <w:sz w:val="20"/>
          <w:szCs w:val="20"/>
        </w:rPr>
        <w:t>Agricultural and Forest meteorology</w:t>
      </w:r>
      <w:r w:rsidRPr="008638B1">
        <w:rPr>
          <w:rFonts w:ascii="Arial" w:hAnsi="Arial" w:cs="Arial"/>
          <w:sz w:val="20"/>
          <w:szCs w:val="20"/>
        </w:rPr>
        <w:t>, </w:t>
      </w:r>
      <w:r w:rsidRPr="008638B1">
        <w:rPr>
          <w:rFonts w:ascii="Arial" w:hAnsi="Arial" w:cs="Arial"/>
          <w:i/>
          <w:iCs/>
          <w:sz w:val="20"/>
          <w:szCs w:val="20"/>
        </w:rPr>
        <w:t>36</w:t>
      </w:r>
      <w:r w:rsidRPr="008638B1">
        <w:rPr>
          <w:rFonts w:ascii="Arial" w:hAnsi="Arial" w:cs="Arial"/>
          <w:sz w:val="20"/>
          <w:szCs w:val="20"/>
        </w:rPr>
        <w:t>(4), 363-376.</w:t>
      </w:r>
    </w:p>
    <w:p w14:paraId="4F18D45C"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Ivanova, M. (2007). Designing the United Nations Environment Programme: a story of compromise and confrontation. </w:t>
      </w:r>
      <w:r w:rsidRPr="008638B1">
        <w:rPr>
          <w:rFonts w:ascii="Arial" w:hAnsi="Arial" w:cs="Arial"/>
          <w:i/>
          <w:iCs/>
          <w:sz w:val="20"/>
          <w:szCs w:val="20"/>
        </w:rPr>
        <w:t>International Environmental Agreements: Politics, Law and Economics</w:t>
      </w:r>
      <w:r w:rsidRPr="008638B1">
        <w:rPr>
          <w:rFonts w:ascii="Arial" w:hAnsi="Arial" w:cs="Arial"/>
          <w:sz w:val="20"/>
          <w:szCs w:val="20"/>
        </w:rPr>
        <w:t>, </w:t>
      </w:r>
      <w:r w:rsidRPr="008638B1">
        <w:rPr>
          <w:rFonts w:ascii="Arial" w:hAnsi="Arial" w:cs="Arial"/>
          <w:i/>
          <w:iCs/>
          <w:sz w:val="20"/>
          <w:szCs w:val="20"/>
        </w:rPr>
        <w:t>7</w:t>
      </w:r>
      <w:r w:rsidRPr="008638B1">
        <w:rPr>
          <w:rFonts w:ascii="Arial" w:hAnsi="Arial" w:cs="Arial"/>
          <w:sz w:val="20"/>
          <w:szCs w:val="20"/>
        </w:rPr>
        <w:t>, 337-361.</w:t>
      </w:r>
    </w:p>
    <w:p w14:paraId="0697A099"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Rahimi, J., </w:t>
      </w:r>
      <w:proofErr w:type="spellStart"/>
      <w:r w:rsidRPr="008638B1">
        <w:rPr>
          <w:rFonts w:ascii="Arial" w:hAnsi="Arial" w:cs="Arial"/>
          <w:sz w:val="20"/>
          <w:szCs w:val="20"/>
        </w:rPr>
        <w:t>Ebrahimpour</w:t>
      </w:r>
      <w:proofErr w:type="spellEnd"/>
      <w:r w:rsidRPr="008638B1">
        <w:rPr>
          <w:rFonts w:ascii="Arial" w:hAnsi="Arial" w:cs="Arial"/>
          <w:sz w:val="20"/>
          <w:szCs w:val="20"/>
        </w:rPr>
        <w:t xml:space="preserve">, M., </w:t>
      </w:r>
      <w:r>
        <w:rPr>
          <w:rFonts w:ascii="Arial" w:hAnsi="Arial" w:cs="Arial"/>
          <w:sz w:val="20"/>
          <w:szCs w:val="20"/>
        </w:rPr>
        <w:t>and</w:t>
      </w:r>
      <w:r w:rsidRPr="008638B1">
        <w:rPr>
          <w:rFonts w:ascii="Arial" w:hAnsi="Arial" w:cs="Arial"/>
          <w:sz w:val="20"/>
          <w:szCs w:val="20"/>
        </w:rPr>
        <w:t xml:space="preserve"> Khalili, A. (2013). Spatial changes of extended De </w:t>
      </w:r>
      <w:proofErr w:type="spellStart"/>
      <w:r w:rsidRPr="008638B1">
        <w:rPr>
          <w:rFonts w:ascii="Arial" w:hAnsi="Arial" w:cs="Arial"/>
          <w:sz w:val="20"/>
          <w:szCs w:val="20"/>
        </w:rPr>
        <w:t>Martonne</w:t>
      </w:r>
      <w:proofErr w:type="spellEnd"/>
      <w:r w:rsidRPr="008638B1">
        <w:rPr>
          <w:rFonts w:ascii="Arial" w:hAnsi="Arial" w:cs="Arial"/>
          <w:sz w:val="20"/>
          <w:szCs w:val="20"/>
        </w:rPr>
        <w:t xml:space="preserve"> climatic zones affected by climate change in Iran. </w:t>
      </w:r>
      <w:r w:rsidRPr="008638B1">
        <w:rPr>
          <w:rFonts w:ascii="Arial" w:hAnsi="Arial" w:cs="Arial"/>
          <w:i/>
          <w:iCs/>
          <w:sz w:val="20"/>
          <w:szCs w:val="20"/>
        </w:rPr>
        <w:t>Theoretical and applied climatology</w:t>
      </w:r>
      <w:r w:rsidRPr="008638B1">
        <w:rPr>
          <w:rFonts w:ascii="Arial" w:hAnsi="Arial" w:cs="Arial"/>
          <w:sz w:val="20"/>
          <w:szCs w:val="20"/>
        </w:rPr>
        <w:t>, </w:t>
      </w:r>
      <w:r w:rsidRPr="008638B1">
        <w:rPr>
          <w:rFonts w:ascii="Arial" w:hAnsi="Arial" w:cs="Arial"/>
          <w:i/>
          <w:iCs/>
          <w:sz w:val="20"/>
          <w:szCs w:val="20"/>
        </w:rPr>
        <w:t>112</w:t>
      </w:r>
      <w:r w:rsidRPr="008638B1">
        <w:rPr>
          <w:rFonts w:ascii="Arial" w:hAnsi="Arial" w:cs="Arial"/>
          <w:sz w:val="20"/>
          <w:szCs w:val="20"/>
        </w:rPr>
        <w:t>, 409-418.</w:t>
      </w:r>
    </w:p>
    <w:p w14:paraId="01F8B287" w14:textId="77777777" w:rsidR="003D205F" w:rsidRPr="008638B1" w:rsidRDefault="003D205F" w:rsidP="003D205F">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Jahangir, M. H., </w:t>
      </w:r>
      <w:r>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Danehkar</w:t>
      </w:r>
      <w:proofErr w:type="spellEnd"/>
      <w:r w:rsidRPr="008638B1">
        <w:rPr>
          <w:rFonts w:ascii="Arial" w:hAnsi="Arial" w:cs="Arial"/>
          <w:sz w:val="20"/>
          <w:szCs w:val="20"/>
        </w:rPr>
        <w:t xml:space="preserve">, S. (2022). A comparative drought assessment in </w:t>
      </w:r>
      <w:proofErr w:type="spellStart"/>
      <w:r w:rsidRPr="008638B1">
        <w:rPr>
          <w:rFonts w:ascii="Arial" w:hAnsi="Arial" w:cs="Arial"/>
          <w:sz w:val="20"/>
          <w:szCs w:val="20"/>
        </w:rPr>
        <w:t>Gilan</w:t>
      </w:r>
      <w:proofErr w:type="spellEnd"/>
      <w:r w:rsidRPr="008638B1">
        <w:rPr>
          <w:rFonts w:ascii="Arial" w:hAnsi="Arial" w:cs="Arial"/>
          <w:sz w:val="20"/>
          <w:szCs w:val="20"/>
        </w:rPr>
        <w:t xml:space="preserve">, Iran using </w:t>
      </w:r>
      <w:proofErr w:type="spellStart"/>
      <w:r w:rsidRPr="008638B1">
        <w:rPr>
          <w:rFonts w:ascii="Arial" w:hAnsi="Arial" w:cs="Arial"/>
          <w:sz w:val="20"/>
          <w:szCs w:val="20"/>
        </w:rPr>
        <w:t>Pálfai</w:t>
      </w:r>
      <w:proofErr w:type="spellEnd"/>
      <w:r w:rsidRPr="008638B1">
        <w:rPr>
          <w:rFonts w:ascii="Arial" w:hAnsi="Arial" w:cs="Arial"/>
          <w:sz w:val="20"/>
          <w:szCs w:val="20"/>
        </w:rPr>
        <w:t xml:space="preserve"> drought index, de </w:t>
      </w:r>
      <w:proofErr w:type="spellStart"/>
      <w:r w:rsidRPr="008638B1">
        <w:rPr>
          <w:rFonts w:ascii="Arial" w:hAnsi="Arial" w:cs="Arial"/>
          <w:sz w:val="20"/>
          <w:szCs w:val="20"/>
        </w:rPr>
        <w:t>Martonne</w:t>
      </w:r>
      <w:proofErr w:type="spellEnd"/>
      <w:r w:rsidRPr="008638B1">
        <w:rPr>
          <w:rFonts w:ascii="Arial" w:hAnsi="Arial" w:cs="Arial"/>
          <w:sz w:val="20"/>
          <w:szCs w:val="20"/>
        </w:rPr>
        <w:t xml:space="preserve"> aridity index, and Pinna combinative index. </w:t>
      </w:r>
      <w:r w:rsidRPr="008638B1">
        <w:rPr>
          <w:rFonts w:ascii="Arial" w:hAnsi="Arial" w:cs="Arial"/>
          <w:i/>
          <w:iCs/>
          <w:sz w:val="20"/>
          <w:szCs w:val="20"/>
        </w:rPr>
        <w:t>Arabian Journal of Geosciences</w:t>
      </w:r>
      <w:r w:rsidRPr="008638B1">
        <w:rPr>
          <w:rFonts w:ascii="Arial" w:hAnsi="Arial" w:cs="Arial"/>
          <w:sz w:val="20"/>
          <w:szCs w:val="20"/>
        </w:rPr>
        <w:t>, </w:t>
      </w:r>
      <w:r w:rsidRPr="008638B1">
        <w:rPr>
          <w:rFonts w:ascii="Arial" w:hAnsi="Arial" w:cs="Arial"/>
          <w:i/>
          <w:iCs/>
          <w:sz w:val="20"/>
          <w:szCs w:val="20"/>
        </w:rPr>
        <w:t>15</w:t>
      </w:r>
      <w:r w:rsidRPr="008638B1">
        <w:rPr>
          <w:rFonts w:ascii="Arial" w:hAnsi="Arial" w:cs="Arial"/>
          <w:sz w:val="20"/>
          <w:szCs w:val="20"/>
        </w:rPr>
        <w:t>(1), 90.</w:t>
      </w:r>
    </w:p>
    <w:p w14:paraId="3CE58736" w14:textId="77777777" w:rsidR="003D205F" w:rsidRDefault="003D205F" w:rsidP="003D205F"/>
    <w:p w14:paraId="7603BCA1" w14:textId="77777777" w:rsidR="00253875" w:rsidRPr="008638B1" w:rsidRDefault="00253875" w:rsidP="00253875">
      <w:pPr>
        <w:spacing w:line="360" w:lineRule="auto"/>
        <w:rPr>
          <w:rFonts w:ascii="Arial" w:eastAsia="Calibri" w:hAnsi="Arial" w:cs="Arial"/>
          <w:sz w:val="20"/>
          <w:szCs w:val="20"/>
        </w:rPr>
      </w:pPr>
    </w:p>
    <w:sectPr w:rsidR="00253875" w:rsidRPr="008638B1">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159F7" w14:textId="77777777" w:rsidR="002E1B51" w:rsidRDefault="002E1B51" w:rsidP="000E73D3">
      <w:pPr>
        <w:spacing w:after="0" w:line="240" w:lineRule="auto"/>
      </w:pPr>
      <w:r>
        <w:separator/>
      </w:r>
    </w:p>
  </w:endnote>
  <w:endnote w:type="continuationSeparator" w:id="0">
    <w:p w14:paraId="15CA0EAD" w14:textId="77777777" w:rsidR="002E1B51" w:rsidRDefault="002E1B51" w:rsidP="000E7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TT3713a231+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BF5C8" w14:textId="77777777" w:rsidR="000E73D3" w:rsidRDefault="000E7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6EEE9" w14:textId="77777777" w:rsidR="000E73D3" w:rsidRDefault="000E7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2964" w14:textId="77777777" w:rsidR="000E73D3" w:rsidRDefault="000E7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B48A2" w14:textId="77777777" w:rsidR="002E1B51" w:rsidRDefault="002E1B51" w:rsidP="000E73D3">
      <w:pPr>
        <w:spacing w:after="0" w:line="240" w:lineRule="auto"/>
      </w:pPr>
      <w:r>
        <w:separator/>
      </w:r>
    </w:p>
  </w:footnote>
  <w:footnote w:type="continuationSeparator" w:id="0">
    <w:p w14:paraId="2EEC8D6D" w14:textId="77777777" w:rsidR="002E1B51" w:rsidRDefault="002E1B51" w:rsidP="000E7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54BA" w14:textId="7CFC69A5" w:rsidR="000E73D3" w:rsidRDefault="002E1B51">
    <w:pPr>
      <w:pStyle w:val="Header"/>
    </w:pPr>
    <w:r>
      <w:rPr>
        <w:noProof/>
      </w:rPr>
      <w:pict w14:anchorId="54347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9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BF5FC" w14:textId="68D322A0" w:rsidR="000E73D3" w:rsidRDefault="002E1B51">
    <w:pPr>
      <w:pStyle w:val="Header"/>
    </w:pPr>
    <w:r>
      <w:rPr>
        <w:noProof/>
      </w:rPr>
      <w:pict w14:anchorId="70117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9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68733" w14:textId="0392ED69" w:rsidR="000E73D3" w:rsidRDefault="002E1B51">
    <w:pPr>
      <w:pStyle w:val="Header"/>
    </w:pPr>
    <w:r>
      <w:rPr>
        <w:noProof/>
      </w:rPr>
      <w:pict w14:anchorId="6B8FB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9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D4978"/>
    <w:multiLevelType w:val="multilevel"/>
    <w:tmpl w:val="D098D20A"/>
    <w:lvl w:ilvl="0">
      <w:start w:val="2"/>
      <w:numFmt w:val="decimal"/>
      <w:lvlText w:val="%1."/>
      <w:lvlJc w:val="left"/>
      <w:pPr>
        <w:ind w:left="405"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959" w:hanging="720"/>
      </w:pPr>
      <w:rPr>
        <w:rFonts w:hint="default"/>
      </w:rPr>
    </w:lvl>
    <w:lvl w:ilvl="3">
      <w:start w:val="1"/>
      <w:numFmt w:val="decimal"/>
      <w:isLgl/>
      <w:lvlText w:val="%1.%2.%3.%4"/>
      <w:lvlJc w:val="left"/>
      <w:pPr>
        <w:ind w:left="1056" w:hanging="720"/>
      </w:pPr>
      <w:rPr>
        <w:rFonts w:hint="default"/>
      </w:rPr>
    </w:lvl>
    <w:lvl w:ilvl="4">
      <w:start w:val="1"/>
      <w:numFmt w:val="decimal"/>
      <w:isLgl/>
      <w:lvlText w:val="%1.%2.%3.%4.%5"/>
      <w:lvlJc w:val="left"/>
      <w:pPr>
        <w:ind w:left="1513" w:hanging="1080"/>
      </w:pPr>
      <w:rPr>
        <w:rFonts w:hint="default"/>
      </w:rPr>
    </w:lvl>
    <w:lvl w:ilvl="5">
      <w:start w:val="1"/>
      <w:numFmt w:val="decimal"/>
      <w:isLgl/>
      <w:lvlText w:val="%1.%2.%3.%4.%5.%6"/>
      <w:lvlJc w:val="left"/>
      <w:pPr>
        <w:ind w:left="1610" w:hanging="1080"/>
      </w:pPr>
      <w:rPr>
        <w:rFonts w:hint="default"/>
      </w:rPr>
    </w:lvl>
    <w:lvl w:ilvl="6">
      <w:start w:val="1"/>
      <w:numFmt w:val="decimal"/>
      <w:isLgl/>
      <w:lvlText w:val="%1.%2.%3.%4.%5.%6.%7"/>
      <w:lvlJc w:val="left"/>
      <w:pPr>
        <w:ind w:left="2067" w:hanging="1440"/>
      </w:pPr>
      <w:rPr>
        <w:rFonts w:hint="default"/>
      </w:rPr>
    </w:lvl>
    <w:lvl w:ilvl="7">
      <w:start w:val="1"/>
      <w:numFmt w:val="decimal"/>
      <w:isLgl/>
      <w:lvlText w:val="%1.%2.%3.%4.%5.%6.%7.%8"/>
      <w:lvlJc w:val="left"/>
      <w:pPr>
        <w:ind w:left="2164" w:hanging="1440"/>
      </w:pPr>
      <w:rPr>
        <w:rFonts w:hint="default"/>
      </w:rPr>
    </w:lvl>
    <w:lvl w:ilvl="8">
      <w:start w:val="1"/>
      <w:numFmt w:val="decimal"/>
      <w:isLgl/>
      <w:lvlText w:val="%1.%2.%3.%4.%5.%6.%7.%8.%9"/>
      <w:lvlJc w:val="left"/>
      <w:pPr>
        <w:ind w:left="2621" w:hanging="1800"/>
      </w:pPr>
      <w:rPr>
        <w:rFonts w:hint="default"/>
      </w:rPr>
    </w:lvl>
  </w:abstractNum>
  <w:abstractNum w:abstractNumId="1" w15:restartNumberingAfterBreak="0">
    <w:nsid w:val="1DE04537"/>
    <w:multiLevelType w:val="hybridMultilevel"/>
    <w:tmpl w:val="21504F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C0700E"/>
    <w:multiLevelType w:val="multilevel"/>
    <w:tmpl w:val="1E84370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F37817"/>
    <w:multiLevelType w:val="hybridMultilevel"/>
    <w:tmpl w:val="1108C16C"/>
    <w:lvl w:ilvl="0" w:tplc="4009000F">
      <w:start w:val="2"/>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1563FB8"/>
    <w:multiLevelType w:val="hybridMultilevel"/>
    <w:tmpl w:val="983CAC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16E1F60"/>
    <w:multiLevelType w:val="multilevel"/>
    <w:tmpl w:val="B9A2F2DA"/>
    <w:lvl w:ilvl="0">
      <w:start w:val="4"/>
      <w:numFmt w:val="decimal"/>
      <w:lvlText w:val="%1."/>
      <w:lvlJc w:val="left"/>
      <w:pPr>
        <w:ind w:left="502" w:hanging="360"/>
      </w:pPr>
      <w:rPr>
        <w:rFonts w:hint="default"/>
        <w:sz w:val="22"/>
        <w:szCs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E081AA5"/>
    <w:multiLevelType w:val="hybridMultilevel"/>
    <w:tmpl w:val="AEFC95C0"/>
    <w:lvl w:ilvl="0" w:tplc="4009000F">
      <w:start w:val="2"/>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C430568"/>
    <w:multiLevelType w:val="hybridMultilevel"/>
    <w:tmpl w:val="296687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6B136CA"/>
    <w:multiLevelType w:val="multilevel"/>
    <w:tmpl w:val="22B24B14"/>
    <w:lvl w:ilvl="0">
      <w:start w:val="6"/>
      <w:numFmt w:val="decimal"/>
      <w:lvlText w:val="%1.0"/>
      <w:lvlJc w:val="left"/>
      <w:pPr>
        <w:ind w:left="502"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9" w15:restartNumberingAfterBreak="0">
    <w:nsid w:val="77892548"/>
    <w:multiLevelType w:val="multilevel"/>
    <w:tmpl w:val="C978A3AC"/>
    <w:lvl w:ilvl="0">
      <w:start w:val="1"/>
      <w:numFmt w:val="decimal"/>
      <w:lvlText w:val="%1."/>
      <w:lvlJc w:val="left"/>
      <w:pPr>
        <w:ind w:left="502" w:hanging="360"/>
      </w:pPr>
      <w:rPr>
        <w:rFonts w:hint="default"/>
      </w:rPr>
    </w:lvl>
    <w:lvl w:ilvl="1">
      <w:start w:val="3"/>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0" w15:restartNumberingAfterBreak="0">
    <w:nsid w:val="78E54656"/>
    <w:multiLevelType w:val="hybridMultilevel"/>
    <w:tmpl w:val="35BA88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10"/>
  </w:num>
  <w:num w:numId="5">
    <w:abstractNumId w:val="6"/>
  </w:num>
  <w:num w:numId="6">
    <w:abstractNumId w:val="3"/>
  </w:num>
  <w:num w:numId="7">
    <w:abstractNumId w:val="0"/>
  </w:num>
  <w:num w:numId="8">
    <w:abstractNumId w:val="8"/>
  </w:num>
  <w:num w:numId="9">
    <w:abstractNumId w:val="4"/>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A87"/>
    <w:rsid w:val="00024B06"/>
    <w:rsid w:val="00070DCA"/>
    <w:rsid w:val="000B6C60"/>
    <w:rsid w:val="000E5DC9"/>
    <w:rsid w:val="000E737B"/>
    <w:rsid w:val="000E73D3"/>
    <w:rsid w:val="000F4963"/>
    <w:rsid w:val="000F7696"/>
    <w:rsid w:val="00105967"/>
    <w:rsid w:val="001314CD"/>
    <w:rsid w:val="00132D64"/>
    <w:rsid w:val="00137442"/>
    <w:rsid w:val="00146B6D"/>
    <w:rsid w:val="0015787A"/>
    <w:rsid w:val="00166721"/>
    <w:rsid w:val="001B0E60"/>
    <w:rsid w:val="00201D3A"/>
    <w:rsid w:val="00206BC2"/>
    <w:rsid w:val="00226999"/>
    <w:rsid w:val="00253875"/>
    <w:rsid w:val="00266059"/>
    <w:rsid w:val="00272570"/>
    <w:rsid w:val="0028784E"/>
    <w:rsid w:val="0029164F"/>
    <w:rsid w:val="00296D5B"/>
    <w:rsid w:val="002E1B51"/>
    <w:rsid w:val="002E247E"/>
    <w:rsid w:val="00321270"/>
    <w:rsid w:val="003325C7"/>
    <w:rsid w:val="003333BA"/>
    <w:rsid w:val="00384EE9"/>
    <w:rsid w:val="003A0C8C"/>
    <w:rsid w:val="003A4342"/>
    <w:rsid w:val="003D205F"/>
    <w:rsid w:val="003D4123"/>
    <w:rsid w:val="003F0B36"/>
    <w:rsid w:val="00433713"/>
    <w:rsid w:val="004531DA"/>
    <w:rsid w:val="004E06C5"/>
    <w:rsid w:val="004E184E"/>
    <w:rsid w:val="004E63BF"/>
    <w:rsid w:val="00574941"/>
    <w:rsid w:val="00584EB5"/>
    <w:rsid w:val="00597938"/>
    <w:rsid w:val="005A3FC4"/>
    <w:rsid w:val="005B0086"/>
    <w:rsid w:val="005C641E"/>
    <w:rsid w:val="005E39F8"/>
    <w:rsid w:val="005E5A2B"/>
    <w:rsid w:val="005E73AF"/>
    <w:rsid w:val="005F24DD"/>
    <w:rsid w:val="00603673"/>
    <w:rsid w:val="00607BB9"/>
    <w:rsid w:val="00623567"/>
    <w:rsid w:val="00640666"/>
    <w:rsid w:val="006627D5"/>
    <w:rsid w:val="00682E7E"/>
    <w:rsid w:val="006D59B5"/>
    <w:rsid w:val="006D6CBB"/>
    <w:rsid w:val="006E4489"/>
    <w:rsid w:val="006E50BC"/>
    <w:rsid w:val="00706A60"/>
    <w:rsid w:val="00734A87"/>
    <w:rsid w:val="00787BB2"/>
    <w:rsid w:val="0079651D"/>
    <w:rsid w:val="007B3E92"/>
    <w:rsid w:val="007B5FA3"/>
    <w:rsid w:val="007C194C"/>
    <w:rsid w:val="007D280D"/>
    <w:rsid w:val="007E5F97"/>
    <w:rsid w:val="00802610"/>
    <w:rsid w:val="00831B0A"/>
    <w:rsid w:val="00842D6C"/>
    <w:rsid w:val="008601DE"/>
    <w:rsid w:val="008638B1"/>
    <w:rsid w:val="00887A66"/>
    <w:rsid w:val="008D1833"/>
    <w:rsid w:val="008D36C8"/>
    <w:rsid w:val="008E394E"/>
    <w:rsid w:val="008E5EF6"/>
    <w:rsid w:val="008F786C"/>
    <w:rsid w:val="009062E4"/>
    <w:rsid w:val="00957509"/>
    <w:rsid w:val="00984965"/>
    <w:rsid w:val="009D28B7"/>
    <w:rsid w:val="009F4CD0"/>
    <w:rsid w:val="009F603E"/>
    <w:rsid w:val="00A00A87"/>
    <w:rsid w:val="00A7213D"/>
    <w:rsid w:val="00A82EB1"/>
    <w:rsid w:val="00AB6E58"/>
    <w:rsid w:val="00AE171A"/>
    <w:rsid w:val="00B304D1"/>
    <w:rsid w:val="00B52921"/>
    <w:rsid w:val="00B56EC8"/>
    <w:rsid w:val="00B64262"/>
    <w:rsid w:val="00B90709"/>
    <w:rsid w:val="00B95239"/>
    <w:rsid w:val="00BA6906"/>
    <w:rsid w:val="00BB7943"/>
    <w:rsid w:val="00BC24C7"/>
    <w:rsid w:val="00BD6CE3"/>
    <w:rsid w:val="00C25D0D"/>
    <w:rsid w:val="00C61696"/>
    <w:rsid w:val="00C61EDD"/>
    <w:rsid w:val="00C73629"/>
    <w:rsid w:val="00CE5CCE"/>
    <w:rsid w:val="00CF7FB0"/>
    <w:rsid w:val="00D05DAA"/>
    <w:rsid w:val="00D2111A"/>
    <w:rsid w:val="00D30126"/>
    <w:rsid w:val="00D60436"/>
    <w:rsid w:val="00D665EB"/>
    <w:rsid w:val="00D82A01"/>
    <w:rsid w:val="00D857CE"/>
    <w:rsid w:val="00D87430"/>
    <w:rsid w:val="00D973AD"/>
    <w:rsid w:val="00DD35D9"/>
    <w:rsid w:val="00DF6DB7"/>
    <w:rsid w:val="00E1056C"/>
    <w:rsid w:val="00E11E78"/>
    <w:rsid w:val="00E33EE9"/>
    <w:rsid w:val="00E54D9B"/>
    <w:rsid w:val="00E61356"/>
    <w:rsid w:val="00E64F80"/>
    <w:rsid w:val="00E73EB9"/>
    <w:rsid w:val="00E82DC2"/>
    <w:rsid w:val="00EC7085"/>
    <w:rsid w:val="00ED2E02"/>
    <w:rsid w:val="00EF696A"/>
    <w:rsid w:val="00F20DE0"/>
    <w:rsid w:val="00F77465"/>
    <w:rsid w:val="00F87494"/>
    <w:rsid w:val="00FB0E89"/>
    <w:rsid w:val="00FB47E5"/>
    <w:rsid w:val="00FC3F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7334C7"/>
  <w15:chartTrackingRefBased/>
  <w15:docId w15:val="{4A2F871E-D5D4-45AD-85FD-BBF5CD9F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A87"/>
    <w:rPr>
      <w:kern w:val="0"/>
      <w:szCs w:val="22"/>
      <w:lang w:bidi="ar-SA"/>
      <w14:ligatures w14:val="none"/>
    </w:rPr>
  </w:style>
  <w:style w:type="paragraph" w:styleId="Heading1">
    <w:name w:val="heading 1"/>
    <w:basedOn w:val="Normal"/>
    <w:next w:val="Normal"/>
    <w:link w:val="Heading1Char"/>
    <w:uiPriority w:val="9"/>
    <w:qFormat/>
    <w:rsid w:val="00734A8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734A8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734A8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734A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4A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4A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4A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4A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4A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A8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734A8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734A8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734A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4A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4A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4A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4A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4A87"/>
    <w:rPr>
      <w:rFonts w:eastAsiaTheme="majorEastAsia" w:cstheme="majorBidi"/>
      <w:color w:val="272727" w:themeColor="text1" w:themeTint="D8"/>
    </w:rPr>
  </w:style>
  <w:style w:type="paragraph" w:styleId="Title">
    <w:name w:val="Title"/>
    <w:basedOn w:val="Normal"/>
    <w:next w:val="Normal"/>
    <w:link w:val="TitleChar"/>
    <w:uiPriority w:val="10"/>
    <w:qFormat/>
    <w:rsid w:val="00734A8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734A8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734A8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734A8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734A87"/>
    <w:pPr>
      <w:spacing w:before="160"/>
      <w:jc w:val="center"/>
    </w:pPr>
    <w:rPr>
      <w:i/>
      <w:iCs/>
      <w:color w:val="404040" w:themeColor="text1" w:themeTint="BF"/>
    </w:rPr>
  </w:style>
  <w:style w:type="character" w:customStyle="1" w:styleId="QuoteChar">
    <w:name w:val="Quote Char"/>
    <w:basedOn w:val="DefaultParagraphFont"/>
    <w:link w:val="Quote"/>
    <w:uiPriority w:val="29"/>
    <w:rsid w:val="00734A87"/>
    <w:rPr>
      <w:rFonts w:cs="Mangal"/>
      <w:i/>
      <w:iCs/>
      <w:color w:val="404040" w:themeColor="text1" w:themeTint="BF"/>
    </w:rPr>
  </w:style>
  <w:style w:type="paragraph" w:styleId="ListParagraph">
    <w:name w:val="List Paragraph"/>
    <w:basedOn w:val="Normal"/>
    <w:uiPriority w:val="34"/>
    <w:qFormat/>
    <w:rsid w:val="00734A87"/>
    <w:pPr>
      <w:ind w:left="720"/>
      <w:contextualSpacing/>
    </w:pPr>
  </w:style>
  <w:style w:type="character" w:styleId="IntenseEmphasis">
    <w:name w:val="Intense Emphasis"/>
    <w:basedOn w:val="DefaultParagraphFont"/>
    <w:uiPriority w:val="21"/>
    <w:qFormat/>
    <w:rsid w:val="00734A87"/>
    <w:rPr>
      <w:i/>
      <w:iCs/>
      <w:color w:val="2F5496" w:themeColor="accent1" w:themeShade="BF"/>
    </w:rPr>
  </w:style>
  <w:style w:type="paragraph" w:styleId="IntenseQuote">
    <w:name w:val="Intense Quote"/>
    <w:basedOn w:val="Normal"/>
    <w:next w:val="Normal"/>
    <w:link w:val="IntenseQuoteChar"/>
    <w:uiPriority w:val="30"/>
    <w:qFormat/>
    <w:rsid w:val="00734A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4A87"/>
    <w:rPr>
      <w:rFonts w:cs="Mangal"/>
      <w:i/>
      <w:iCs/>
      <w:color w:val="2F5496" w:themeColor="accent1" w:themeShade="BF"/>
    </w:rPr>
  </w:style>
  <w:style w:type="character" w:styleId="IntenseReference">
    <w:name w:val="Intense Reference"/>
    <w:basedOn w:val="DefaultParagraphFont"/>
    <w:uiPriority w:val="32"/>
    <w:qFormat/>
    <w:rsid w:val="00734A87"/>
    <w:rPr>
      <w:b/>
      <w:bCs/>
      <w:smallCaps/>
      <w:color w:val="2F5496" w:themeColor="accent1" w:themeShade="BF"/>
      <w:spacing w:val="5"/>
    </w:rPr>
  </w:style>
  <w:style w:type="character" w:styleId="Hyperlink">
    <w:name w:val="Hyperlink"/>
    <w:basedOn w:val="DefaultParagraphFont"/>
    <w:uiPriority w:val="99"/>
    <w:unhideWhenUsed/>
    <w:rsid w:val="00734A87"/>
    <w:rPr>
      <w:color w:val="0000FF"/>
      <w:u w:val="single"/>
    </w:rPr>
  </w:style>
  <w:style w:type="paragraph" w:styleId="TOC3">
    <w:name w:val="toc 3"/>
    <w:basedOn w:val="Normal"/>
    <w:next w:val="Normal"/>
    <w:autoRedefine/>
    <w:uiPriority w:val="39"/>
    <w:unhideWhenUsed/>
    <w:rsid w:val="00842D6C"/>
    <w:pPr>
      <w:spacing w:after="100" w:line="360" w:lineRule="auto"/>
    </w:pPr>
    <w:rPr>
      <w:rFonts w:ascii="Arial" w:eastAsiaTheme="minorEastAsia" w:hAnsi="Arial" w:cs="Arial"/>
      <w:b/>
      <w:iCs/>
      <w:sz w:val="24"/>
      <w:szCs w:val="24"/>
      <w:lang w:val="en-US"/>
    </w:rPr>
  </w:style>
  <w:style w:type="character" w:customStyle="1" w:styleId="UnresolvedMention1">
    <w:name w:val="Unresolved Mention1"/>
    <w:basedOn w:val="DefaultParagraphFont"/>
    <w:uiPriority w:val="99"/>
    <w:semiHidden/>
    <w:unhideWhenUsed/>
    <w:rsid w:val="00B90709"/>
    <w:rPr>
      <w:color w:val="605E5C"/>
      <w:shd w:val="clear" w:color="auto" w:fill="E1DFDD"/>
    </w:rPr>
  </w:style>
  <w:style w:type="character" w:customStyle="1" w:styleId="UnresolvedMention2">
    <w:name w:val="Unresolved Mention2"/>
    <w:basedOn w:val="DefaultParagraphFont"/>
    <w:uiPriority w:val="99"/>
    <w:semiHidden/>
    <w:unhideWhenUsed/>
    <w:rsid w:val="00146B6D"/>
    <w:rPr>
      <w:color w:val="605E5C"/>
      <w:shd w:val="clear" w:color="auto" w:fill="E1DFDD"/>
    </w:rPr>
  </w:style>
  <w:style w:type="character" w:customStyle="1" w:styleId="UnresolvedMention3">
    <w:name w:val="Unresolved Mention3"/>
    <w:basedOn w:val="DefaultParagraphFont"/>
    <w:uiPriority w:val="99"/>
    <w:semiHidden/>
    <w:unhideWhenUsed/>
    <w:rsid w:val="00597938"/>
    <w:rPr>
      <w:color w:val="605E5C"/>
      <w:shd w:val="clear" w:color="auto" w:fill="E1DFDD"/>
    </w:rPr>
  </w:style>
  <w:style w:type="paragraph" w:styleId="Header">
    <w:name w:val="header"/>
    <w:basedOn w:val="Normal"/>
    <w:link w:val="HeaderChar"/>
    <w:uiPriority w:val="99"/>
    <w:unhideWhenUsed/>
    <w:rsid w:val="000E7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3D3"/>
    <w:rPr>
      <w:kern w:val="0"/>
      <w:szCs w:val="22"/>
      <w:lang w:bidi="ar-SA"/>
      <w14:ligatures w14:val="none"/>
    </w:rPr>
  </w:style>
  <w:style w:type="paragraph" w:styleId="Footer">
    <w:name w:val="footer"/>
    <w:basedOn w:val="Normal"/>
    <w:link w:val="FooterChar"/>
    <w:uiPriority w:val="99"/>
    <w:unhideWhenUsed/>
    <w:rsid w:val="000E7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3D3"/>
    <w:rPr>
      <w:kern w:val="0"/>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831370">
      <w:bodyDiv w:val="1"/>
      <w:marLeft w:val="0"/>
      <w:marRight w:val="0"/>
      <w:marTop w:val="0"/>
      <w:marBottom w:val="0"/>
      <w:divBdr>
        <w:top w:val="none" w:sz="0" w:space="0" w:color="auto"/>
        <w:left w:val="none" w:sz="0" w:space="0" w:color="auto"/>
        <w:bottom w:val="none" w:sz="0" w:space="0" w:color="auto"/>
        <w:right w:val="none" w:sz="0" w:space="0" w:color="auto"/>
      </w:divBdr>
    </w:div>
    <w:div w:id="168200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6.xml"/><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Desktop_May_2019\M.Tech_Ankit_BHU_2018-19\4_Thesis\Chapters\rainfall_5grids\rainfall(1961-2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esktop_May_2019\M.Tech_Ankit_BHU_2018-19\4_Thesis\Chapters\rainfall_5grids\rainfall(1961-2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esktop_May_2019\M.Tech_Ankit_BHU_2018-19\4_Thesis\Chapters\rainfall_5grids\rainfall(1961-2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oleObject" Target="file:///D:\Desktop_May_2019\M.Tech_Ankit_BHU_2018-19\4_Thesis\Chapters\mean%20temperature_5grids\mean%20temp.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oleObject" Target="file:///D:\Desktop_May_2019\M.Tech_Ankit_BHU_2018-19\4_Thesis\Chapters\mean%20temperature_5grids\mean%20temp.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Desktop_May_2019\M.Tech_Ankit_BHU_2018-19\4_Thesis\Chapters\mean%20temperature_5grids\mean%20temp.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rgbClr val="C00000"/>
            </a:solidFill>
          </c:spPr>
          <c:invertIfNegative val="0"/>
          <c:cat>
            <c:numRef>
              <c:f>Baseline!$B$13:$B$42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Baseline!$H$13:$H$42</c:f>
              <c:numCache>
                <c:formatCode>General</c:formatCode>
                <c:ptCount val="30"/>
                <c:pt idx="0">
                  <c:v>1043.6399999999999</c:v>
                </c:pt>
                <c:pt idx="1">
                  <c:v>694.64</c:v>
                </c:pt>
                <c:pt idx="2">
                  <c:v>821.1400000000001</c:v>
                </c:pt>
                <c:pt idx="3">
                  <c:v>718.11999999999989</c:v>
                </c:pt>
                <c:pt idx="4">
                  <c:v>478.2</c:v>
                </c:pt>
                <c:pt idx="5">
                  <c:v>520.48</c:v>
                </c:pt>
                <c:pt idx="6">
                  <c:v>892.36000000000024</c:v>
                </c:pt>
                <c:pt idx="7">
                  <c:v>666.93999999999994</c:v>
                </c:pt>
                <c:pt idx="8">
                  <c:v>911.74000000000012</c:v>
                </c:pt>
                <c:pt idx="9">
                  <c:v>970.72</c:v>
                </c:pt>
                <c:pt idx="10">
                  <c:v>877.63999999999976</c:v>
                </c:pt>
                <c:pt idx="11">
                  <c:v>566.38</c:v>
                </c:pt>
                <c:pt idx="12">
                  <c:v>1602.0600000000002</c:v>
                </c:pt>
                <c:pt idx="13">
                  <c:v>623.54</c:v>
                </c:pt>
                <c:pt idx="14">
                  <c:v>887</c:v>
                </c:pt>
                <c:pt idx="15">
                  <c:v>1367.12</c:v>
                </c:pt>
                <c:pt idx="16">
                  <c:v>993.66000000000008</c:v>
                </c:pt>
                <c:pt idx="17">
                  <c:v>1088.4199999999998</c:v>
                </c:pt>
                <c:pt idx="18">
                  <c:v>735.84</c:v>
                </c:pt>
                <c:pt idx="19">
                  <c:v>834.33999999999992</c:v>
                </c:pt>
                <c:pt idx="20">
                  <c:v>1122.3799999999999</c:v>
                </c:pt>
                <c:pt idx="21">
                  <c:v>799.61999999999978</c:v>
                </c:pt>
                <c:pt idx="22">
                  <c:v>1255.92</c:v>
                </c:pt>
                <c:pt idx="23">
                  <c:v>839.0200000000001</c:v>
                </c:pt>
                <c:pt idx="24">
                  <c:v>578.46</c:v>
                </c:pt>
                <c:pt idx="25">
                  <c:v>686.40000000000009</c:v>
                </c:pt>
                <c:pt idx="26">
                  <c:v>579.79999999999995</c:v>
                </c:pt>
                <c:pt idx="27">
                  <c:v>813.43999999999994</c:v>
                </c:pt>
                <c:pt idx="28">
                  <c:v>805.98</c:v>
                </c:pt>
                <c:pt idx="29">
                  <c:v>1231.2399999999998</c:v>
                </c:pt>
              </c:numCache>
            </c:numRef>
          </c:val>
          <c:extLst>
            <c:ext xmlns:c16="http://schemas.microsoft.com/office/drawing/2014/chart" uri="{C3380CC4-5D6E-409C-BE32-E72D297353CC}">
              <c16:uniqueId val="{00000000-BE7B-415D-963D-BE955062B626}"/>
            </c:ext>
          </c:extLst>
        </c:ser>
        <c:dLbls>
          <c:showLegendKey val="0"/>
          <c:showVal val="0"/>
          <c:showCatName val="0"/>
          <c:showSerName val="0"/>
          <c:showPercent val="0"/>
          <c:showBubbleSize val="0"/>
        </c:dLbls>
        <c:gapWidth val="150"/>
        <c:axId val="383223360"/>
        <c:axId val="308540936"/>
      </c:barChart>
      <c:catAx>
        <c:axId val="383223360"/>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308540936"/>
        <c:crosses val="autoZero"/>
        <c:auto val="1"/>
        <c:lblAlgn val="ctr"/>
        <c:lblOffset val="100"/>
        <c:noMultiLvlLbl val="0"/>
      </c:catAx>
      <c:valAx>
        <c:axId val="308540936"/>
        <c:scaling>
          <c:orientation val="minMax"/>
        </c:scaling>
        <c:delete val="0"/>
        <c:axPos val="l"/>
        <c:title>
          <c:tx>
            <c:rich>
              <a:bodyPr rot="-5400000" vert="horz"/>
              <a:lstStyle/>
              <a:p>
                <a:pPr>
                  <a:defRPr sz="1100" b="0"/>
                </a:pPr>
                <a:r>
                  <a:rPr lang="en-US" sz="1100" b="0"/>
                  <a:t>Annual rainfall (mm)</a:t>
                </a:r>
              </a:p>
            </c:rich>
          </c:tx>
          <c:layout>
            <c:manualLayout>
              <c:xMode val="edge"/>
              <c:yMode val="edge"/>
              <c:x val="1.486805155175188E-2"/>
              <c:y val="0.17269536347415423"/>
            </c:manualLayout>
          </c:layout>
          <c:overlay val="0"/>
        </c:title>
        <c:numFmt formatCode="General" sourceLinked="1"/>
        <c:majorTickMark val="out"/>
        <c:minorTickMark val="none"/>
        <c:tickLblPos val="nextTo"/>
        <c:spPr>
          <a:ln>
            <a:solidFill>
              <a:srgbClr val="002060"/>
            </a:solidFill>
          </a:ln>
        </c:spPr>
        <c:txPr>
          <a:bodyPr/>
          <a:lstStyle/>
          <a:p>
            <a:pPr>
              <a:defRPr sz="1000"/>
            </a:pPr>
            <a:endParaRPr lang="en-US"/>
          </a:p>
        </c:txPr>
        <c:crossAx val="383223360"/>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rgbClr val="C00000"/>
            </a:solidFill>
          </c:spPr>
          <c:invertIfNegative val="0"/>
          <c:cat>
            <c:numRef>
              <c:f>Present!$B$3:$B$17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Present!$H$3:$H$17</c:f>
              <c:numCache>
                <c:formatCode>General</c:formatCode>
                <c:ptCount val="15"/>
                <c:pt idx="0">
                  <c:v>727.59999999999991</c:v>
                </c:pt>
                <c:pt idx="1">
                  <c:v>776.6</c:v>
                </c:pt>
                <c:pt idx="2">
                  <c:v>858.54</c:v>
                </c:pt>
                <c:pt idx="3">
                  <c:v>1327.3799999999997</c:v>
                </c:pt>
                <c:pt idx="4">
                  <c:v>640.24</c:v>
                </c:pt>
                <c:pt idx="5">
                  <c:v>1000.7800000000001</c:v>
                </c:pt>
                <c:pt idx="6">
                  <c:v>819.57999999999993</c:v>
                </c:pt>
                <c:pt idx="7">
                  <c:v>713.46</c:v>
                </c:pt>
                <c:pt idx="8">
                  <c:v>464.78000000000003</c:v>
                </c:pt>
                <c:pt idx="9">
                  <c:v>446.32000000000005</c:v>
                </c:pt>
                <c:pt idx="10">
                  <c:v>706.46</c:v>
                </c:pt>
                <c:pt idx="11">
                  <c:v>554.6</c:v>
                </c:pt>
                <c:pt idx="12">
                  <c:v>824.62000000000012</c:v>
                </c:pt>
                <c:pt idx="13">
                  <c:v>909.19999999999982</c:v>
                </c:pt>
                <c:pt idx="14">
                  <c:v>811.42000000000019</c:v>
                </c:pt>
              </c:numCache>
            </c:numRef>
          </c:val>
          <c:extLst>
            <c:ext xmlns:c16="http://schemas.microsoft.com/office/drawing/2014/chart" uri="{C3380CC4-5D6E-409C-BE32-E72D297353CC}">
              <c16:uniqueId val="{00000000-00DF-43D4-8C20-746639CA0496}"/>
            </c:ext>
          </c:extLst>
        </c:ser>
        <c:dLbls>
          <c:showLegendKey val="0"/>
          <c:showVal val="0"/>
          <c:showCatName val="0"/>
          <c:showSerName val="0"/>
          <c:showPercent val="0"/>
          <c:showBubbleSize val="0"/>
        </c:dLbls>
        <c:gapWidth val="250"/>
        <c:axId val="518814912"/>
        <c:axId val="518810208"/>
      </c:barChart>
      <c:catAx>
        <c:axId val="518814912"/>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518810208"/>
        <c:crosses val="autoZero"/>
        <c:auto val="1"/>
        <c:lblAlgn val="ctr"/>
        <c:lblOffset val="100"/>
        <c:noMultiLvlLbl val="0"/>
      </c:catAx>
      <c:valAx>
        <c:axId val="518810208"/>
        <c:scaling>
          <c:orientation val="minMax"/>
        </c:scaling>
        <c:delete val="0"/>
        <c:axPos val="l"/>
        <c:title>
          <c:tx>
            <c:rich>
              <a:bodyPr rot="-5400000" vert="horz"/>
              <a:lstStyle/>
              <a:p>
                <a:pPr>
                  <a:defRPr sz="1100" b="0"/>
                </a:pPr>
                <a:r>
                  <a:rPr lang="en-US" sz="1100" b="0"/>
                  <a:t>Annual rainfall (mm)</a:t>
                </a:r>
              </a:p>
            </c:rich>
          </c:tx>
          <c:layout>
            <c:manualLayout>
              <c:xMode val="edge"/>
              <c:yMode val="edge"/>
              <c:x val="2.7402269654187034E-2"/>
              <c:y val="0.17538833300329287"/>
            </c:manualLayout>
          </c:layout>
          <c:overlay val="0"/>
        </c:title>
        <c:numFmt formatCode="General" sourceLinked="1"/>
        <c:majorTickMark val="out"/>
        <c:minorTickMark val="none"/>
        <c:tickLblPos val="nextTo"/>
        <c:txPr>
          <a:bodyPr/>
          <a:lstStyle/>
          <a:p>
            <a:pPr>
              <a:defRPr sz="1000"/>
            </a:pPr>
            <a:endParaRPr lang="en-US"/>
          </a:p>
        </c:txPr>
        <c:crossAx val="51881491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2403079071899"/>
          <c:y val="5.9253433064244819E-2"/>
          <c:w val="0.83899094156004117"/>
          <c:h val="0.69469476691501952"/>
        </c:manualLayout>
      </c:layout>
      <c:barChart>
        <c:barDir val="col"/>
        <c:grouping val="clustered"/>
        <c:varyColors val="0"/>
        <c:ser>
          <c:idx val="1"/>
          <c:order val="0"/>
          <c:spPr>
            <a:solidFill>
              <a:srgbClr val="C00000"/>
            </a:solidFill>
          </c:spPr>
          <c:invertIfNegative val="0"/>
          <c:cat>
            <c:numRef>
              <c:f>Future1!$B$4:$B$38</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Future1!$H$4:$H$38</c:f>
              <c:numCache>
                <c:formatCode>General</c:formatCode>
                <c:ptCount val="35"/>
                <c:pt idx="0">
                  <c:v>307.93600000000004</c:v>
                </c:pt>
                <c:pt idx="1">
                  <c:v>374.84800000000007</c:v>
                </c:pt>
                <c:pt idx="2">
                  <c:v>889.15599999999995</c:v>
                </c:pt>
                <c:pt idx="3">
                  <c:v>442.88</c:v>
                </c:pt>
                <c:pt idx="4">
                  <c:v>434.90800000000002</c:v>
                </c:pt>
                <c:pt idx="5">
                  <c:v>375.29600000000011</c:v>
                </c:pt>
                <c:pt idx="6">
                  <c:v>821.7879999999999</c:v>
                </c:pt>
                <c:pt idx="7">
                  <c:v>718.62999999999988</c:v>
                </c:pt>
                <c:pt idx="8">
                  <c:v>220.35</c:v>
                </c:pt>
                <c:pt idx="9">
                  <c:v>436.28399999999993</c:v>
                </c:pt>
                <c:pt idx="10">
                  <c:v>361.82399999999996</c:v>
                </c:pt>
                <c:pt idx="11">
                  <c:v>343.27199999999999</c:v>
                </c:pt>
                <c:pt idx="12">
                  <c:v>309.61599999999987</c:v>
                </c:pt>
                <c:pt idx="13">
                  <c:v>517.16200000000003</c:v>
                </c:pt>
                <c:pt idx="14">
                  <c:v>832.37799999999993</c:v>
                </c:pt>
                <c:pt idx="15">
                  <c:v>494.72199999999987</c:v>
                </c:pt>
                <c:pt idx="16">
                  <c:v>455.54400000000004</c:v>
                </c:pt>
                <c:pt idx="17">
                  <c:v>356.00200000000001</c:v>
                </c:pt>
                <c:pt idx="18">
                  <c:v>547.97799999999984</c:v>
                </c:pt>
                <c:pt idx="19">
                  <c:v>426.59199999999998</c:v>
                </c:pt>
                <c:pt idx="20">
                  <c:v>336.41800000000001</c:v>
                </c:pt>
                <c:pt idx="21">
                  <c:v>622.18999999999971</c:v>
                </c:pt>
                <c:pt idx="22">
                  <c:v>411.86200000000008</c:v>
                </c:pt>
                <c:pt idx="23">
                  <c:v>475.23400000000004</c:v>
                </c:pt>
                <c:pt idx="24">
                  <c:v>252.6999999999999</c:v>
                </c:pt>
                <c:pt idx="25">
                  <c:v>389.83799999999997</c:v>
                </c:pt>
                <c:pt idx="26">
                  <c:v>616.87</c:v>
                </c:pt>
                <c:pt idx="27">
                  <c:v>397.38400000000001</c:v>
                </c:pt>
                <c:pt idx="28">
                  <c:v>600.2639999999999</c:v>
                </c:pt>
                <c:pt idx="29">
                  <c:v>480.92399999999986</c:v>
                </c:pt>
                <c:pt idx="30">
                  <c:v>563.92399999999998</c:v>
                </c:pt>
                <c:pt idx="31">
                  <c:v>741.15399999999966</c:v>
                </c:pt>
                <c:pt idx="32">
                  <c:v>419.30399999999992</c:v>
                </c:pt>
                <c:pt idx="33">
                  <c:v>356.85599999999988</c:v>
                </c:pt>
                <c:pt idx="34">
                  <c:v>462.02800000000008</c:v>
                </c:pt>
              </c:numCache>
            </c:numRef>
          </c:val>
          <c:extLst>
            <c:ext xmlns:c16="http://schemas.microsoft.com/office/drawing/2014/chart" uri="{C3380CC4-5D6E-409C-BE32-E72D297353CC}">
              <c16:uniqueId val="{00000000-82E1-4AAB-B517-F14A274B57A9}"/>
            </c:ext>
          </c:extLst>
        </c:ser>
        <c:dLbls>
          <c:showLegendKey val="0"/>
          <c:showVal val="0"/>
          <c:showCatName val="0"/>
          <c:showSerName val="0"/>
          <c:showPercent val="0"/>
          <c:showBubbleSize val="0"/>
        </c:dLbls>
        <c:gapWidth val="250"/>
        <c:axId val="518813736"/>
        <c:axId val="518810600"/>
      </c:barChart>
      <c:catAx>
        <c:axId val="518813736"/>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518810600"/>
        <c:crosses val="autoZero"/>
        <c:auto val="1"/>
        <c:lblAlgn val="ctr"/>
        <c:lblOffset val="100"/>
        <c:noMultiLvlLbl val="0"/>
      </c:catAx>
      <c:valAx>
        <c:axId val="518810600"/>
        <c:scaling>
          <c:orientation val="minMax"/>
        </c:scaling>
        <c:delete val="0"/>
        <c:axPos val="l"/>
        <c:title>
          <c:tx>
            <c:rich>
              <a:bodyPr rot="-5400000" vert="horz"/>
              <a:lstStyle/>
              <a:p>
                <a:pPr>
                  <a:defRPr sz="1100" b="0"/>
                </a:pPr>
                <a:r>
                  <a:rPr lang="en-US" sz="1100" b="0"/>
                  <a:t>Annual rainfall (mm)</a:t>
                </a:r>
              </a:p>
            </c:rich>
          </c:tx>
          <c:layout>
            <c:manualLayout>
              <c:xMode val="edge"/>
              <c:yMode val="edge"/>
              <c:x val="1.6323098101547407E-2"/>
              <c:y val="0.17538840146623172"/>
            </c:manualLayout>
          </c:layout>
          <c:overlay val="0"/>
        </c:title>
        <c:numFmt formatCode="General" sourceLinked="1"/>
        <c:majorTickMark val="out"/>
        <c:minorTickMark val="none"/>
        <c:tickLblPos val="nextTo"/>
        <c:txPr>
          <a:bodyPr/>
          <a:lstStyle/>
          <a:p>
            <a:pPr>
              <a:defRPr sz="1000"/>
            </a:pPr>
            <a:endParaRPr lang="en-US"/>
          </a:p>
        </c:txPr>
        <c:crossAx val="518813736"/>
        <c:crosses val="autoZero"/>
        <c:crossBetween val="between"/>
      </c:valAx>
    </c:plotArea>
    <c:plotVisOnly val="1"/>
    <c:dispBlanksAs val="gap"/>
    <c:showDLblsOverMax val="0"/>
  </c:chart>
  <c:spPr>
    <a:ln>
      <a:solidFill>
        <a:srgbClr val="00206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2021057591249"/>
          <c:y val="5.1400554097404488E-2"/>
          <c:w val="0.8142047354002816"/>
          <c:h val="0.7748990071893187"/>
        </c:manualLayout>
      </c:layout>
      <c:lineChart>
        <c:grouping val="standard"/>
        <c:varyColors val="0"/>
        <c:ser>
          <c:idx val="0"/>
          <c:order val="0"/>
          <c:spPr>
            <a:ln w="19050" cap="rnd" cmpd="sng" algn="ctr">
              <a:solidFill>
                <a:schemeClr val="accent1"/>
              </a:solidFill>
              <a:prstDash val="solid"/>
              <a:round/>
            </a:ln>
            <a:effectLst/>
          </c:spPr>
          <c:marker>
            <c:spPr>
              <a:solidFill>
                <a:srgbClr val="FFC000"/>
              </a:solidFill>
              <a:ln w="6350" cap="flat" cmpd="sng" algn="ctr">
                <a:solidFill>
                  <a:schemeClr val="accent1"/>
                </a:solidFill>
                <a:prstDash val="solid"/>
                <a:round/>
              </a:ln>
              <a:effectLst/>
            </c:spPr>
          </c:marker>
          <c:trendline>
            <c:spPr>
              <a:ln w="15875" cap="rnd" cmpd="sng" algn="ctr">
                <a:solidFill>
                  <a:srgbClr val="FF0000"/>
                </a:solidFill>
                <a:prstDash val="sysDash"/>
                <a:round/>
              </a:ln>
              <a:effectLst/>
            </c:spPr>
            <c:trendlineType val="linear"/>
            <c:dispRSqr val="0"/>
            <c:dispEq val="0"/>
          </c:trendline>
          <c:cat>
            <c:numRef>
              <c:f>Baseline_MeanT!$A$13:$A$42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Baseline_MeanT!$G$13:$G$42</c:f>
              <c:numCache>
                <c:formatCode>0.00</c:formatCode>
                <c:ptCount val="30"/>
                <c:pt idx="0">
                  <c:v>25.480876712328765</c:v>
                </c:pt>
                <c:pt idx="1">
                  <c:v>25.667915068493151</c:v>
                </c:pt>
                <c:pt idx="2">
                  <c:v>26.125569863013702</c:v>
                </c:pt>
                <c:pt idx="3">
                  <c:v>25.840617486338793</c:v>
                </c:pt>
                <c:pt idx="4">
                  <c:v>26.203671232876701</c:v>
                </c:pt>
                <c:pt idx="5">
                  <c:v>26.352682191780833</c:v>
                </c:pt>
                <c:pt idx="6">
                  <c:v>25.804038356164376</c:v>
                </c:pt>
                <c:pt idx="7">
                  <c:v>25.81358469945355</c:v>
                </c:pt>
                <c:pt idx="8">
                  <c:v>26.664575342465753</c:v>
                </c:pt>
                <c:pt idx="9">
                  <c:v>25.822901369863025</c:v>
                </c:pt>
                <c:pt idx="10">
                  <c:v>25.363284931506843</c:v>
                </c:pt>
                <c:pt idx="11">
                  <c:v>25.694614754098364</c:v>
                </c:pt>
                <c:pt idx="12">
                  <c:v>25.711290410958917</c:v>
                </c:pt>
                <c:pt idx="13">
                  <c:v>25.902183561643835</c:v>
                </c:pt>
                <c:pt idx="14">
                  <c:v>25.16543835616438</c:v>
                </c:pt>
                <c:pt idx="15">
                  <c:v>25.653603825136607</c:v>
                </c:pt>
                <c:pt idx="16">
                  <c:v>26.119517808219179</c:v>
                </c:pt>
                <c:pt idx="17">
                  <c:v>25.68178904109589</c:v>
                </c:pt>
                <c:pt idx="18">
                  <c:v>26.071279452054785</c:v>
                </c:pt>
                <c:pt idx="19">
                  <c:v>26.543234972677602</c:v>
                </c:pt>
                <c:pt idx="20">
                  <c:v>25.888041095890411</c:v>
                </c:pt>
                <c:pt idx="21">
                  <c:v>25.889739726027393</c:v>
                </c:pt>
                <c:pt idx="22">
                  <c:v>25.658649315068487</c:v>
                </c:pt>
                <c:pt idx="23">
                  <c:v>25.362945355191247</c:v>
                </c:pt>
                <c:pt idx="24">
                  <c:v>25.939854794520549</c:v>
                </c:pt>
                <c:pt idx="25">
                  <c:v>25.955583561643842</c:v>
                </c:pt>
                <c:pt idx="26">
                  <c:v>26.99390410958905</c:v>
                </c:pt>
                <c:pt idx="27">
                  <c:v>26.629633879781419</c:v>
                </c:pt>
                <c:pt idx="28">
                  <c:v>25.900164383561645</c:v>
                </c:pt>
                <c:pt idx="29">
                  <c:v>25.688134246575334</c:v>
                </c:pt>
              </c:numCache>
            </c:numRef>
          </c:val>
          <c:smooth val="0"/>
          <c:extLst>
            <c:ext xmlns:c16="http://schemas.microsoft.com/office/drawing/2014/chart" uri="{C3380CC4-5D6E-409C-BE32-E72D297353CC}">
              <c16:uniqueId val="{00000001-76D4-4497-8662-643F40AD1EEB}"/>
            </c:ext>
          </c:extLst>
        </c:ser>
        <c:dLbls>
          <c:showLegendKey val="0"/>
          <c:showVal val="0"/>
          <c:showCatName val="0"/>
          <c:showSerName val="0"/>
          <c:showPercent val="0"/>
          <c:showBubbleSize val="0"/>
        </c:dLbls>
        <c:marker val="1"/>
        <c:smooth val="0"/>
        <c:axId val="518815696"/>
        <c:axId val="518814128"/>
      </c:lineChart>
      <c:catAx>
        <c:axId val="51881569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b="0"/>
                  <a:t>Year</a:t>
                </a:r>
              </a:p>
            </c:rich>
          </c:tx>
          <c:layout>
            <c:manualLayout>
              <c:xMode val="edge"/>
              <c:yMode val="edge"/>
              <c:x val="0.53033456438542703"/>
              <c:y val="0.7064901669899956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8814128"/>
        <c:crosses val="autoZero"/>
        <c:auto val="1"/>
        <c:lblAlgn val="ctr"/>
        <c:lblOffset val="100"/>
        <c:noMultiLvlLbl val="0"/>
      </c:catAx>
      <c:valAx>
        <c:axId val="518814128"/>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b="0"/>
                  <a:t>Mean temperature (</a:t>
                </a:r>
                <a:r>
                  <a:rPr lang="en-US" sz="1050" b="0" i="0" u="none" strike="noStrike" baseline="30000">
                    <a:effectLst/>
                  </a:rPr>
                  <a:t>0  </a:t>
                </a:r>
                <a:r>
                  <a:rPr lang="en-US" sz="1050" b="0"/>
                  <a:t>C)</a:t>
                </a:r>
              </a:p>
            </c:rich>
          </c:tx>
          <c:layout>
            <c:manualLayout>
              <c:xMode val="edge"/>
              <c:yMode val="edge"/>
              <c:x val="2.9852383957414186E-2"/>
              <c:y val="8.3656282095172882E-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881569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12021057591249"/>
          <c:y val="5.1400554097404488E-2"/>
          <c:w val="0.83065571290467788"/>
          <c:h val="0.78353172835969631"/>
        </c:manualLayout>
      </c:layout>
      <c:lineChart>
        <c:grouping val="standard"/>
        <c:varyColors val="0"/>
        <c:ser>
          <c:idx val="0"/>
          <c:order val="0"/>
          <c:spPr>
            <a:ln>
              <a:solidFill>
                <a:srgbClr val="4472C4"/>
              </a:solidFill>
            </a:ln>
          </c:spPr>
          <c:marker>
            <c:spPr>
              <a:solidFill>
                <a:srgbClr val="FFC000"/>
              </a:solidFill>
              <a:ln>
                <a:solidFill>
                  <a:srgbClr val="4472C4"/>
                </a:solidFill>
              </a:ln>
            </c:spPr>
          </c:marker>
          <c:trendline>
            <c:spPr>
              <a:ln w="15875">
                <a:solidFill>
                  <a:srgbClr val="FF0000"/>
                </a:solidFill>
                <a:prstDash val="sysDash"/>
              </a:ln>
            </c:spPr>
            <c:trendlineType val="linear"/>
            <c:dispRSqr val="0"/>
            <c:dispEq val="0"/>
          </c:trendline>
          <c:cat>
            <c:numRef>
              <c:f>Present_MeanT!$A$3:$A$17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Present_MeanT!$G$3:$G$17</c:f>
              <c:numCache>
                <c:formatCode>0.00</c:formatCode>
                <c:ptCount val="15"/>
                <c:pt idx="0">
                  <c:v>26.025473972602732</c:v>
                </c:pt>
                <c:pt idx="1">
                  <c:v>25.798456284153001</c:v>
                </c:pt>
                <c:pt idx="2">
                  <c:v>26.255430136986309</c:v>
                </c:pt>
                <c:pt idx="3">
                  <c:v>25.418663013698641</c:v>
                </c:pt>
                <c:pt idx="4">
                  <c:v>26.039627397260279</c:v>
                </c:pt>
                <c:pt idx="5">
                  <c:v>26.004912568305997</c:v>
                </c:pt>
                <c:pt idx="6">
                  <c:v>25.300534246575346</c:v>
                </c:pt>
                <c:pt idx="7">
                  <c:v>26.019271232876712</c:v>
                </c:pt>
                <c:pt idx="8">
                  <c:v>25.647199999999998</c:v>
                </c:pt>
                <c:pt idx="9">
                  <c:v>25.963846994535505</c:v>
                </c:pt>
                <c:pt idx="10">
                  <c:v>26.116145205479448</c:v>
                </c:pt>
                <c:pt idx="11">
                  <c:v>26.610430136986302</c:v>
                </c:pt>
                <c:pt idx="12">
                  <c:v>26.191865753424644</c:v>
                </c:pt>
                <c:pt idx="13">
                  <c:v>26.378748633879781</c:v>
                </c:pt>
                <c:pt idx="14">
                  <c:v>25.746219178082193</c:v>
                </c:pt>
              </c:numCache>
            </c:numRef>
          </c:val>
          <c:smooth val="0"/>
          <c:extLst>
            <c:ext xmlns:c16="http://schemas.microsoft.com/office/drawing/2014/chart" uri="{C3380CC4-5D6E-409C-BE32-E72D297353CC}">
              <c16:uniqueId val="{00000001-83F6-4386-A041-122C16D0783D}"/>
            </c:ext>
          </c:extLst>
        </c:ser>
        <c:dLbls>
          <c:showLegendKey val="0"/>
          <c:showVal val="0"/>
          <c:showCatName val="0"/>
          <c:showSerName val="0"/>
          <c:showPercent val="0"/>
          <c:showBubbleSize val="0"/>
        </c:dLbls>
        <c:marker val="1"/>
        <c:smooth val="0"/>
        <c:axId val="518817656"/>
        <c:axId val="518816088"/>
      </c:lineChart>
      <c:catAx>
        <c:axId val="518817656"/>
        <c:scaling>
          <c:orientation val="minMax"/>
        </c:scaling>
        <c:delete val="0"/>
        <c:axPos val="b"/>
        <c:title>
          <c:tx>
            <c:rich>
              <a:bodyPr/>
              <a:lstStyle/>
              <a:p>
                <a:pPr>
                  <a:defRPr sz="1050" b="0"/>
                </a:pPr>
                <a:r>
                  <a:rPr lang="en-US" sz="1050" b="0"/>
                  <a:t>Year</a:t>
                </a:r>
              </a:p>
            </c:rich>
          </c:tx>
          <c:layout>
            <c:manualLayout>
              <c:xMode val="edge"/>
              <c:yMode val="edge"/>
              <c:x val="0.53609612645654536"/>
              <c:y val="0.64570347385879745"/>
            </c:manualLayout>
          </c:layout>
          <c:overlay val="0"/>
        </c:title>
        <c:numFmt formatCode="General" sourceLinked="1"/>
        <c:majorTickMark val="out"/>
        <c:minorTickMark val="none"/>
        <c:tickLblPos val="nextTo"/>
        <c:crossAx val="518816088"/>
        <c:crosses val="autoZero"/>
        <c:auto val="1"/>
        <c:lblAlgn val="ctr"/>
        <c:lblOffset val="100"/>
        <c:noMultiLvlLbl val="0"/>
      </c:catAx>
      <c:valAx>
        <c:axId val="518816088"/>
        <c:scaling>
          <c:orientation val="minMax"/>
        </c:scaling>
        <c:delete val="0"/>
        <c:axPos val="l"/>
        <c:title>
          <c:tx>
            <c:rich>
              <a:bodyPr rot="-5400000" vert="horz"/>
              <a:lstStyle/>
              <a:p>
                <a:pPr>
                  <a:defRPr sz="1050" b="0"/>
                </a:pPr>
                <a:r>
                  <a:rPr lang="en-US" sz="1050" b="0"/>
                  <a:t>Mean temperature (</a:t>
                </a:r>
                <a:r>
                  <a:rPr lang="en-US" sz="1050" b="0" i="0" u="none" strike="noStrike" baseline="30000">
                    <a:effectLst/>
                  </a:rPr>
                  <a:t>0 </a:t>
                </a:r>
                <a:r>
                  <a:rPr lang="en-US" sz="1050" b="0"/>
                  <a:t>C)</a:t>
                </a:r>
              </a:p>
            </c:rich>
          </c:tx>
          <c:layout>
            <c:manualLayout>
              <c:xMode val="edge"/>
              <c:yMode val="edge"/>
              <c:x val="2.4074805513744604E-2"/>
              <c:y val="7.5929969163515215E-2"/>
            </c:manualLayout>
          </c:layout>
          <c:overlay val="0"/>
        </c:title>
        <c:numFmt formatCode="0.00" sourceLinked="1"/>
        <c:majorTickMark val="out"/>
        <c:minorTickMark val="none"/>
        <c:tickLblPos val="nextTo"/>
        <c:crossAx val="51881765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66211978349851"/>
          <c:y val="5.1400554097404488E-2"/>
          <c:w val="0.84464738739133927"/>
          <c:h val="0.75477811609512735"/>
        </c:manualLayout>
      </c:layout>
      <c:lineChart>
        <c:grouping val="standard"/>
        <c:varyColors val="0"/>
        <c:ser>
          <c:idx val="0"/>
          <c:order val="0"/>
          <c:spPr>
            <a:ln>
              <a:solidFill>
                <a:srgbClr val="4472C4"/>
              </a:solidFill>
            </a:ln>
          </c:spPr>
          <c:marker>
            <c:spPr>
              <a:solidFill>
                <a:srgbClr val="FFC000"/>
              </a:solidFill>
            </c:spPr>
          </c:marker>
          <c:trendline>
            <c:spPr>
              <a:ln w="15875">
                <a:solidFill>
                  <a:srgbClr val="FF0000"/>
                </a:solidFill>
                <a:prstDash val="sysDash"/>
              </a:ln>
            </c:spPr>
            <c:trendlineType val="linear"/>
            <c:dispRSqr val="0"/>
            <c:dispEq val="0"/>
          </c:trendline>
          <c:cat>
            <c:numRef>
              <c:f>Future1_MeanT!$A$3:$A$37</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Future1_MeanT!$G$3:$G$37</c:f>
              <c:numCache>
                <c:formatCode>General</c:formatCode>
                <c:ptCount val="35"/>
                <c:pt idx="0">
                  <c:v>27.872265753424678</c:v>
                </c:pt>
                <c:pt idx="1">
                  <c:v>27.356758904109618</c:v>
                </c:pt>
                <c:pt idx="2">
                  <c:v>27.213953551912585</c:v>
                </c:pt>
                <c:pt idx="3">
                  <c:v>27.154043835616449</c:v>
                </c:pt>
                <c:pt idx="4">
                  <c:v>27.40714520547948</c:v>
                </c:pt>
                <c:pt idx="5">
                  <c:v>27.941438356164404</c:v>
                </c:pt>
                <c:pt idx="6">
                  <c:v>26.366617486338832</c:v>
                </c:pt>
                <c:pt idx="7">
                  <c:v>25.688739726027414</c:v>
                </c:pt>
                <c:pt idx="8">
                  <c:v>28.329230136986325</c:v>
                </c:pt>
                <c:pt idx="9">
                  <c:v>27.445323287671254</c:v>
                </c:pt>
                <c:pt idx="10">
                  <c:v>28.438685792349752</c:v>
                </c:pt>
                <c:pt idx="11">
                  <c:v>27.81449315068495</c:v>
                </c:pt>
                <c:pt idx="12">
                  <c:v>28.08211506849317</c:v>
                </c:pt>
                <c:pt idx="13">
                  <c:v>27.475646575342495</c:v>
                </c:pt>
                <c:pt idx="14">
                  <c:v>26.491469945355202</c:v>
                </c:pt>
                <c:pt idx="15">
                  <c:v>27.035936986301401</c:v>
                </c:pt>
                <c:pt idx="16">
                  <c:v>27.513295890410983</c:v>
                </c:pt>
                <c:pt idx="17">
                  <c:v>27.854567123287694</c:v>
                </c:pt>
                <c:pt idx="18">
                  <c:v>27.694316939890712</c:v>
                </c:pt>
                <c:pt idx="19">
                  <c:v>28.133082191780847</c:v>
                </c:pt>
                <c:pt idx="20">
                  <c:v>29.219161643835626</c:v>
                </c:pt>
                <c:pt idx="21">
                  <c:v>27.598652054794552</c:v>
                </c:pt>
                <c:pt idx="22">
                  <c:v>27.928043715847014</c:v>
                </c:pt>
                <c:pt idx="23">
                  <c:v>27.945728767123303</c:v>
                </c:pt>
                <c:pt idx="24">
                  <c:v>29.006123287671251</c:v>
                </c:pt>
                <c:pt idx="25">
                  <c:v>28.970572602739757</c:v>
                </c:pt>
                <c:pt idx="26">
                  <c:v>27.777680327868872</c:v>
                </c:pt>
                <c:pt idx="27">
                  <c:v>28.388315068493178</c:v>
                </c:pt>
                <c:pt idx="28">
                  <c:v>27.881531506849342</c:v>
                </c:pt>
                <c:pt idx="29">
                  <c:v>27.172586301369893</c:v>
                </c:pt>
                <c:pt idx="30">
                  <c:v>27.772959016393468</c:v>
                </c:pt>
                <c:pt idx="31">
                  <c:v>27.691123287671257</c:v>
                </c:pt>
                <c:pt idx="32">
                  <c:v>28.156597260274008</c:v>
                </c:pt>
                <c:pt idx="33">
                  <c:v>28.25554246575345</c:v>
                </c:pt>
                <c:pt idx="34">
                  <c:v>28.329663934426254</c:v>
                </c:pt>
              </c:numCache>
            </c:numRef>
          </c:val>
          <c:smooth val="0"/>
          <c:extLst>
            <c:ext xmlns:c16="http://schemas.microsoft.com/office/drawing/2014/chart" uri="{C3380CC4-5D6E-409C-BE32-E72D297353CC}">
              <c16:uniqueId val="{00000001-8691-4BC6-8708-157B17D8A695}"/>
            </c:ext>
          </c:extLst>
        </c:ser>
        <c:dLbls>
          <c:showLegendKey val="0"/>
          <c:showVal val="0"/>
          <c:showCatName val="0"/>
          <c:showSerName val="0"/>
          <c:showPercent val="0"/>
          <c:showBubbleSize val="0"/>
        </c:dLbls>
        <c:marker val="1"/>
        <c:smooth val="0"/>
        <c:axId val="518813344"/>
        <c:axId val="664225096"/>
      </c:lineChart>
      <c:catAx>
        <c:axId val="518813344"/>
        <c:scaling>
          <c:orientation val="minMax"/>
        </c:scaling>
        <c:delete val="0"/>
        <c:axPos val="b"/>
        <c:title>
          <c:tx>
            <c:rich>
              <a:bodyPr/>
              <a:lstStyle/>
              <a:p>
                <a:pPr>
                  <a:defRPr sz="1050" b="0"/>
                </a:pPr>
                <a:r>
                  <a:rPr lang="en-US" sz="1050" b="0"/>
                  <a:t>Year</a:t>
                </a:r>
              </a:p>
            </c:rich>
          </c:tx>
          <c:layout>
            <c:manualLayout>
              <c:xMode val="edge"/>
              <c:yMode val="edge"/>
              <c:x val="0.51877462914628703"/>
              <c:y val="0.65715896279594144"/>
            </c:manualLayout>
          </c:layout>
          <c:overlay val="0"/>
        </c:title>
        <c:numFmt formatCode="General" sourceLinked="1"/>
        <c:majorTickMark val="out"/>
        <c:minorTickMark val="none"/>
        <c:tickLblPos val="nextTo"/>
        <c:crossAx val="664225096"/>
        <c:crosses val="autoZero"/>
        <c:auto val="1"/>
        <c:lblAlgn val="ctr"/>
        <c:lblOffset val="100"/>
        <c:noMultiLvlLbl val="0"/>
      </c:catAx>
      <c:valAx>
        <c:axId val="664225096"/>
        <c:scaling>
          <c:orientation val="minMax"/>
        </c:scaling>
        <c:delete val="0"/>
        <c:axPos val="l"/>
        <c:title>
          <c:tx>
            <c:rich>
              <a:bodyPr rot="-5400000" vert="horz"/>
              <a:lstStyle/>
              <a:p>
                <a:pPr>
                  <a:defRPr sz="1050" b="0"/>
                </a:pPr>
                <a:r>
                  <a:rPr lang="en-US" sz="1050" b="0"/>
                  <a:t>Mean temperature (</a:t>
                </a:r>
                <a:r>
                  <a:rPr lang="en-US" sz="1050" b="0" baseline="30000"/>
                  <a:t>0 </a:t>
                </a:r>
                <a:r>
                  <a:rPr lang="en-US" sz="1050" b="0"/>
                  <a:t>C)</a:t>
                </a:r>
              </a:p>
            </c:rich>
          </c:tx>
          <c:layout>
            <c:manualLayout>
              <c:xMode val="edge"/>
              <c:yMode val="edge"/>
              <c:x val="2.4074784871946718E-2"/>
              <c:y val="0.10843993288888495"/>
            </c:manualLayout>
          </c:layout>
          <c:overlay val="0"/>
        </c:title>
        <c:numFmt formatCode="General" sourceLinked="1"/>
        <c:majorTickMark val="out"/>
        <c:minorTickMark val="none"/>
        <c:tickLblPos val="nextTo"/>
        <c:crossAx val="518813344"/>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3202F-B9B4-4FBD-8024-75FB03576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30</Pages>
  <Words>7464</Words>
  <Characters>42548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1183</cp:lastModifiedBy>
  <cp:revision>147</cp:revision>
  <dcterms:created xsi:type="dcterms:W3CDTF">2025-04-06T08:00:00Z</dcterms:created>
  <dcterms:modified xsi:type="dcterms:W3CDTF">2025-04-14T11:37:00Z</dcterms:modified>
</cp:coreProperties>
</file>