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73FE" w14:textId="77777777" w:rsidR="00AB1F6C" w:rsidRDefault="00AB1F6C" w:rsidP="00C9478A">
      <w:pPr>
        <w:spacing w:line="480" w:lineRule="auto"/>
        <w:jc w:val="center"/>
        <w:rPr>
          <w:rFonts w:ascii="Times New Roman" w:hAnsi="Times New Roman" w:cs="Times New Roman"/>
          <w:b/>
          <w:bCs/>
          <w:sz w:val="28"/>
          <w:szCs w:val="28"/>
        </w:rPr>
      </w:pPr>
      <w:r w:rsidRPr="00AB1F6C">
        <w:rPr>
          <w:rFonts w:ascii="Times New Roman" w:hAnsi="Times New Roman" w:cs="Times New Roman"/>
          <w:b/>
          <w:bCs/>
          <w:sz w:val="28"/>
          <w:szCs w:val="28"/>
        </w:rPr>
        <w:t xml:space="preserve">Original Research Article </w:t>
      </w:r>
    </w:p>
    <w:p w14:paraId="21FC8D1B" w14:textId="77777777" w:rsidR="00AB1F6C" w:rsidRDefault="00AB1F6C" w:rsidP="00C9478A">
      <w:pPr>
        <w:spacing w:line="480" w:lineRule="auto"/>
        <w:jc w:val="center"/>
        <w:rPr>
          <w:rFonts w:ascii="Times New Roman" w:hAnsi="Times New Roman" w:cs="Times New Roman"/>
          <w:b/>
          <w:bCs/>
          <w:sz w:val="28"/>
          <w:szCs w:val="28"/>
        </w:rPr>
      </w:pPr>
    </w:p>
    <w:p w14:paraId="11BB3010" w14:textId="552F8EC2" w:rsidR="00B31362" w:rsidRPr="00B31362" w:rsidRDefault="00B31362" w:rsidP="00C9478A">
      <w:pPr>
        <w:spacing w:line="480" w:lineRule="auto"/>
        <w:jc w:val="center"/>
        <w:rPr>
          <w:rFonts w:ascii="Times New Roman" w:hAnsi="Times New Roman" w:cs="Times New Roman"/>
          <w:b/>
          <w:bCs/>
          <w:color w:val="FF0000"/>
          <w:sz w:val="28"/>
          <w:szCs w:val="28"/>
        </w:rPr>
      </w:pPr>
      <w:r w:rsidRPr="000D50FB">
        <w:rPr>
          <w:rFonts w:ascii="Times New Roman" w:hAnsi="Times New Roman" w:cs="Times New Roman"/>
          <w:b/>
          <w:bCs/>
          <w:color w:val="FF0000"/>
          <w:sz w:val="28"/>
          <w:szCs w:val="28"/>
          <w:highlight w:val="yellow"/>
        </w:rPr>
        <w:t>Physicians’ Knowledge, Attitudes, and Practices in Gout Management: A Cross-sectional Study at Soba Teaching Hospital</w:t>
      </w:r>
    </w:p>
    <w:p w14:paraId="3CAB413E" w14:textId="77777777" w:rsidR="00466E78" w:rsidRPr="00CC2071" w:rsidRDefault="00466E78" w:rsidP="00C9478A">
      <w:pPr>
        <w:spacing w:line="480" w:lineRule="auto"/>
        <w:jc w:val="center"/>
        <w:rPr>
          <w:rFonts w:ascii="Times New Roman" w:hAnsi="Times New Roman" w:cs="Times New Roman"/>
          <w:b/>
          <w:bCs/>
          <w:sz w:val="28"/>
          <w:szCs w:val="28"/>
        </w:rPr>
      </w:pPr>
    </w:p>
    <w:p w14:paraId="4FC718A1" w14:textId="77777777" w:rsidR="00DE410E" w:rsidRDefault="00DE410E" w:rsidP="00C9478A">
      <w:pPr>
        <w:spacing w:line="480" w:lineRule="auto"/>
        <w:jc w:val="both"/>
        <w:rPr>
          <w:rFonts w:ascii="Times New Roman" w:eastAsia="Times New Roman" w:hAnsi="Times New Roman" w:cs="Times New Roman"/>
          <w:b/>
          <w:bCs/>
          <w:sz w:val="24"/>
          <w:szCs w:val="24"/>
        </w:rPr>
      </w:pPr>
    </w:p>
    <w:p w14:paraId="00000003" w14:textId="72F22D77" w:rsidR="00CE6ECD" w:rsidRPr="00673E97" w:rsidRDefault="00110001" w:rsidP="00C9478A">
      <w:pPr>
        <w:spacing w:line="480" w:lineRule="auto"/>
        <w:jc w:val="both"/>
        <w:rPr>
          <w:rFonts w:ascii="Times New Roman" w:eastAsia="Times New Roman" w:hAnsi="Times New Roman" w:cs="Times New Roman"/>
          <w:b/>
          <w:bCs/>
          <w:sz w:val="24"/>
          <w:szCs w:val="24"/>
        </w:rPr>
      </w:pPr>
      <w:r w:rsidRPr="00673E97">
        <w:rPr>
          <w:rFonts w:ascii="Times New Roman" w:eastAsia="Times New Roman" w:hAnsi="Times New Roman" w:cs="Times New Roman"/>
          <w:b/>
          <w:bCs/>
          <w:sz w:val="24"/>
          <w:szCs w:val="24"/>
        </w:rPr>
        <w:t>Abstract</w:t>
      </w:r>
    </w:p>
    <w:p w14:paraId="392DD9A5" w14:textId="34BC2C02" w:rsidR="00673E97" w:rsidRPr="00673E97" w:rsidRDefault="00673E97" w:rsidP="00C9478A">
      <w:pPr>
        <w:spacing w:line="480" w:lineRule="auto"/>
        <w:jc w:val="both"/>
        <w:rPr>
          <w:rFonts w:ascii="Times New Roman" w:eastAsia="Times New Roman" w:hAnsi="Times New Roman" w:cs="Times New Roman"/>
          <w:sz w:val="24"/>
          <w:szCs w:val="24"/>
        </w:rPr>
      </w:pPr>
      <w:r w:rsidRPr="00673E97">
        <w:rPr>
          <w:rFonts w:ascii="Times New Roman" w:eastAsia="Times New Roman" w:hAnsi="Times New Roman" w:cs="Times New Roman"/>
          <w:b/>
          <w:bCs/>
          <w:sz w:val="24"/>
          <w:szCs w:val="24"/>
        </w:rPr>
        <w:t>Background:</w:t>
      </w:r>
      <w:r w:rsidRPr="00673E97">
        <w:rPr>
          <w:rFonts w:ascii="Times New Roman" w:eastAsia="Times New Roman" w:hAnsi="Times New Roman" w:cs="Times New Roman"/>
          <w:sz w:val="24"/>
          <w:szCs w:val="24"/>
        </w:rPr>
        <w:t xml:space="preserve"> Gout is a disease caused by an overload of uric acid in the body, which leads to the formation of urate crystals that deposit in tissues, particularly in the joints. The deposition of these crystals causes recurring episodes of joint inflammation. This study aims to evaluate the knowledge, attitude, and practice</w:t>
      </w:r>
      <w:r w:rsidR="00104E37">
        <w:rPr>
          <w:rFonts w:ascii="Times New Roman" w:eastAsia="Times New Roman" w:hAnsi="Times New Roman" w:cs="Times New Roman"/>
          <w:sz w:val="24"/>
          <w:szCs w:val="24"/>
        </w:rPr>
        <w:t xml:space="preserve"> (KAP)</w:t>
      </w:r>
      <w:r w:rsidRPr="00673E97">
        <w:rPr>
          <w:rFonts w:ascii="Times New Roman" w:eastAsia="Times New Roman" w:hAnsi="Times New Roman" w:cs="Times New Roman"/>
          <w:sz w:val="24"/>
          <w:szCs w:val="24"/>
        </w:rPr>
        <w:t xml:space="preserve"> of physicians in the Department of Medicine at Soba Teaching Hospital regarding gout management.</w:t>
      </w:r>
    </w:p>
    <w:p w14:paraId="2F03664F" w14:textId="0F5CD059" w:rsidR="00673E97" w:rsidRPr="000D50FB" w:rsidRDefault="00673E97" w:rsidP="00C9478A">
      <w:pPr>
        <w:spacing w:line="480" w:lineRule="auto"/>
        <w:jc w:val="both"/>
        <w:rPr>
          <w:rFonts w:ascii="Times New Roman" w:eastAsia="Times New Roman" w:hAnsi="Times New Roman" w:cs="Times New Roman"/>
          <w:color w:val="FF0000"/>
          <w:sz w:val="24"/>
          <w:szCs w:val="24"/>
        </w:rPr>
      </w:pPr>
      <w:r w:rsidRPr="00673E97">
        <w:rPr>
          <w:rFonts w:ascii="Times New Roman" w:eastAsia="Times New Roman" w:hAnsi="Times New Roman" w:cs="Times New Roman"/>
          <w:b/>
          <w:bCs/>
          <w:sz w:val="24"/>
          <w:szCs w:val="24"/>
        </w:rPr>
        <w:t>Methods:</w:t>
      </w:r>
      <w:r w:rsidRPr="00673E97">
        <w:rPr>
          <w:rFonts w:ascii="Times New Roman" w:eastAsia="Times New Roman" w:hAnsi="Times New Roman" w:cs="Times New Roman"/>
          <w:sz w:val="24"/>
          <w:szCs w:val="24"/>
        </w:rPr>
        <w:t xml:space="preserve"> A cross-sectional study was conducted to assess physicians' </w:t>
      </w:r>
      <w:r w:rsidR="00104E37">
        <w:rPr>
          <w:rFonts w:ascii="Times New Roman" w:eastAsia="Times New Roman" w:hAnsi="Times New Roman" w:cs="Times New Roman"/>
          <w:sz w:val="24"/>
          <w:szCs w:val="24"/>
        </w:rPr>
        <w:t>KAP</w:t>
      </w:r>
      <w:r w:rsidRPr="00673E97">
        <w:rPr>
          <w:rFonts w:ascii="Times New Roman" w:eastAsia="Times New Roman" w:hAnsi="Times New Roman" w:cs="Times New Roman"/>
          <w:sz w:val="24"/>
          <w:szCs w:val="24"/>
        </w:rPr>
        <w:t xml:space="preserve"> related to gout management. </w:t>
      </w:r>
      <w:r w:rsidRPr="000D50FB">
        <w:rPr>
          <w:rFonts w:ascii="Times New Roman" w:eastAsia="Times New Roman" w:hAnsi="Times New Roman" w:cs="Times New Roman"/>
          <w:color w:val="FF0000"/>
          <w:sz w:val="24"/>
          <w:szCs w:val="24"/>
          <w:highlight w:val="yellow"/>
        </w:rPr>
        <w:t>A structured and validated questionnaire</w:t>
      </w:r>
      <w:r w:rsidRPr="000D50FB">
        <w:rPr>
          <w:rFonts w:ascii="Times New Roman" w:eastAsia="Times New Roman" w:hAnsi="Times New Roman" w:cs="Times New Roman"/>
          <w:color w:val="FF0000"/>
          <w:sz w:val="24"/>
          <w:szCs w:val="24"/>
        </w:rPr>
        <w:t xml:space="preserve"> </w:t>
      </w:r>
      <w:r w:rsidRPr="00673E97">
        <w:rPr>
          <w:rFonts w:ascii="Times New Roman" w:eastAsia="Times New Roman" w:hAnsi="Times New Roman" w:cs="Times New Roman"/>
          <w:sz w:val="24"/>
          <w:szCs w:val="24"/>
        </w:rPr>
        <w:t>was developed, and a total of 67 physicians participated in the study.</w:t>
      </w:r>
      <w:r w:rsidR="00104E37">
        <w:rPr>
          <w:rFonts w:ascii="Times New Roman" w:eastAsia="Times New Roman" w:hAnsi="Times New Roman" w:cs="Times New Roman"/>
          <w:sz w:val="24"/>
          <w:szCs w:val="24"/>
        </w:rPr>
        <w:t xml:space="preserve"> </w:t>
      </w:r>
      <w:r w:rsidR="00104E37" w:rsidRPr="00104E37">
        <w:rPr>
          <w:rFonts w:ascii="Times New Roman" w:eastAsia="Times New Roman" w:hAnsi="Times New Roman" w:cs="Times New Roman"/>
          <w:sz w:val="24"/>
          <w:szCs w:val="24"/>
        </w:rPr>
        <w:t>Descriptive statistics were used for demographic characteristics</w:t>
      </w:r>
      <w:r w:rsidR="00104E37">
        <w:rPr>
          <w:rFonts w:ascii="Times New Roman" w:eastAsia="Times New Roman" w:hAnsi="Times New Roman" w:cs="Times New Roman"/>
          <w:sz w:val="24"/>
          <w:szCs w:val="24"/>
        </w:rPr>
        <w:t>, i</w:t>
      </w:r>
      <w:r w:rsidR="00104E37" w:rsidRPr="00104E37">
        <w:rPr>
          <w:rFonts w:ascii="Times New Roman" w:eastAsia="Times New Roman" w:hAnsi="Times New Roman" w:cs="Times New Roman"/>
          <w:sz w:val="24"/>
          <w:szCs w:val="24"/>
        </w:rPr>
        <w:t>nferential statistics was used to identify the relationship between</w:t>
      </w:r>
      <w:r w:rsidR="00104E37">
        <w:rPr>
          <w:rFonts w:ascii="Times New Roman" w:eastAsia="Times New Roman" w:hAnsi="Times New Roman" w:cs="Times New Roman"/>
          <w:sz w:val="24"/>
          <w:szCs w:val="24"/>
        </w:rPr>
        <w:t xml:space="preserve"> </w:t>
      </w:r>
      <w:r w:rsidR="00104E37" w:rsidRPr="000D50FB">
        <w:rPr>
          <w:rFonts w:ascii="Times New Roman" w:eastAsia="Times New Roman" w:hAnsi="Times New Roman" w:cs="Times New Roman"/>
          <w:color w:val="FF0000"/>
          <w:sz w:val="24"/>
          <w:szCs w:val="24"/>
          <w:highlight w:val="yellow"/>
        </w:rPr>
        <w:t xml:space="preserve">KAP scores with </w:t>
      </w:r>
      <w:r w:rsidR="000D50FB" w:rsidRPr="000D50FB">
        <w:rPr>
          <w:rFonts w:ascii="Times New Roman" w:eastAsia="Times New Roman" w:hAnsi="Times New Roman" w:cs="Times New Roman"/>
          <w:color w:val="FF0000"/>
          <w:sz w:val="24"/>
          <w:szCs w:val="24"/>
          <w:highlight w:val="yellow"/>
        </w:rPr>
        <w:t>and</w:t>
      </w:r>
      <w:r w:rsidR="00104E37" w:rsidRPr="000D50FB">
        <w:rPr>
          <w:rFonts w:ascii="Times New Roman" w:eastAsia="Times New Roman" w:hAnsi="Times New Roman" w:cs="Times New Roman"/>
          <w:color w:val="FF0000"/>
          <w:sz w:val="24"/>
          <w:szCs w:val="24"/>
          <w:highlight w:val="yellow"/>
        </w:rPr>
        <w:t xml:space="preserve"> physician</w:t>
      </w:r>
      <w:r w:rsidR="000D50FB" w:rsidRPr="000D50FB">
        <w:rPr>
          <w:rFonts w:ascii="Times New Roman" w:eastAsia="Times New Roman" w:hAnsi="Times New Roman" w:cs="Times New Roman"/>
          <w:color w:val="FF0000"/>
          <w:sz w:val="24"/>
          <w:szCs w:val="24"/>
          <w:highlight w:val="yellow"/>
        </w:rPr>
        <w:t xml:space="preserve">-related </w:t>
      </w:r>
      <w:r w:rsidR="00104E37" w:rsidRPr="000D50FB">
        <w:rPr>
          <w:rFonts w:ascii="Times New Roman" w:eastAsia="Times New Roman" w:hAnsi="Times New Roman" w:cs="Times New Roman"/>
          <w:color w:val="FF0000"/>
          <w:sz w:val="24"/>
          <w:szCs w:val="24"/>
          <w:highlight w:val="yellow"/>
        </w:rPr>
        <w:t>factors.</w:t>
      </w:r>
    </w:p>
    <w:p w14:paraId="3078B699" w14:textId="53FDD7D4" w:rsidR="00673E97" w:rsidRPr="00673E97" w:rsidRDefault="00673E97" w:rsidP="00C9478A">
      <w:pPr>
        <w:spacing w:line="480" w:lineRule="auto"/>
        <w:jc w:val="both"/>
        <w:rPr>
          <w:rFonts w:ascii="Times New Roman" w:eastAsia="Times New Roman" w:hAnsi="Times New Roman" w:cs="Times New Roman"/>
          <w:sz w:val="24"/>
          <w:szCs w:val="24"/>
        </w:rPr>
      </w:pPr>
      <w:r w:rsidRPr="00673E97">
        <w:rPr>
          <w:rFonts w:ascii="Times New Roman" w:eastAsia="Times New Roman" w:hAnsi="Times New Roman" w:cs="Times New Roman"/>
          <w:b/>
          <w:bCs/>
          <w:sz w:val="24"/>
          <w:szCs w:val="24"/>
        </w:rPr>
        <w:t>Results</w:t>
      </w:r>
      <w:r w:rsidR="00CC2071">
        <w:rPr>
          <w:rFonts w:ascii="Times New Roman" w:eastAsia="Times New Roman" w:hAnsi="Times New Roman" w:cs="Times New Roman"/>
          <w:b/>
          <w:bCs/>
          <w:sz w:val="24"/>
          <w:szCs w:val="24"/>
        </w:rPr>
        <w:t>:</w:t>
      </w:r>
      <w:r w:rsidRPr="00673E97">
        <w:rPr>
          <w:rFonts w:ascii="Times New Roman" w:eastAsia="Times New Roman" w:hAnsi="Times New Roman" w:cs="Times New Roman"/>
          <w:sz w:val="24"/>
          <w:szCs w:val="24"/>
        </w:rPr>
        <w:t xml:space="preserve"> </w:t>
      </w:r>
      <w:r w:rsidR="00CC2071">
        <w:rPr>
          <w:rFonts w:ascii="Times New Roman" w:eastAsia="Times New Roman" w:hAnsi="Times New Roman" w:cs="Times New Roman"/>
          <w:sz w:val="24"/>
          <w:szCs w:val="24"/>
        </w:rPr>
        <w:t xml:space="preserve">Among the </w:t>
      </w:r>
      <w:r w:rsidRPr="00673E97">
        <w:rPr>
          <w:rFonts w:ascii="Times New Roman" w:eastAsia="Times New Roman" w:hAnsi="Times New Roman" w:cs="Times New Roman"/>
          <w:sz w:val="24"/>
          <w:szCs w:val="24"/>
        </w:rPr>
        <w:t>67 respondents</w:t>
      </w:r>
      <w:r w:rsidR="00CC2071">
        <w:rPr>
          <w:rFonts w:ascii="Times New Roman" w:eastAsia="Times New Roman" w:hAnsi="Times New Roman" w:cs="Times New Roman"/>
          <w:sz w:val="24"/>
          <w:szCs w:val="24"/>
        </w:rPr>
        <w:t xml:space="preserve">, </w:t>
      </w:r>
      <w:r w:rsidRPr="00673E97">
        <w:rPr>
          <w:rFonts w:ascii="Times New Roman" w:eastAsia="Times New Roman" w:hAnsi="Times New Roman" w:cs="Times New Roman"/>
          <w:sz w:val="24"/>
          <w:szCs w:val="24"/>
        </w:rPr>
        <w:t xml:space="preserve">50.4% were registrars, 37.2% were house officers, and 12% were consultants. Most respondents (61.2%) had less than five years of work experience, and 86.6% reported seeing patients with active gout </w:t>
      </w:r>
      <w:r w:rsidR="00CC2071" w:rsidRPr="00673E97">
        <w:rPr>
          <w:rFonts w:ascii="Times New Roman" w:eastAsia="Times New Roman" w:hAnsi="Times New Roman" w:cs="Times New Roman"/>
          <w:sz w:val="24"/>
          <w:szCs w:val="24"/>
        </w:rPr>
        <w:t>monthly</w:t>
      </w:r>
      <w:r w:rsidRPr="00673E97">
        <w:rPr>
          <w:rFonts w:ascii="Times New Roman" w:eastAsia="Times New Roman" w:hAnsi="Times New Roman" w:cs="Times New Roman"/>
          <w:sz w:val="24"/>
          <w:szCs w:val="24"/>
        </w:rPr>
        <w:t xml:space="preserve">. Overall, 69% of physicians demonstrated poor knowledge of gout management. Consultants and physicians with more than five years of experience scored higher in knowledge, with statistically significant differences (p = 0.001 and p = 0.016, respectively). Regarding attitudes, 91% of respondents believed that gout is a disease that </w:t>
      </w:r>
      <w:r w:rsidRPr="00673E97">
        <w:rPr>
          <w:rFonts w:ascii="Times New Roman" w:eastAsia="Times New Roman" w:hAnsi="Times New Roman" w:cs="Times New Roman"/>
          <w:sz w:val="24"/>
          <w:szCs w:val="24"/>
        </w:rPr>
        <w:lastRenderedPageBreak/>
        <w:t>can significantly impact quality of life, and 74.8% thought that gout is a lifelong condition. Furthermore, 51% of respondents had poor practice scores. Consultants and physicians with over five years of experience also had higher practice scores, with p-values of 0.036 and 0.048, respectively. No significant association was found between knowledge and practice scores.</w:t>
      </w:r>
    </w:p>
    <w:p w14:paraId="2201D384" w14:textId="5BD32E27" w:rsidR="00673E97" w:rsidRPr="00673E97" w:rsidRDefault="00673E97" w:rsidP="00C9478A">
      <w:pPr>
        <w:spacing w:line="480" w:lineRule="auto"/>
        <w:jc w:val="both"/>
        <w:rPr>
          <w:rFonts w:ascii="Times New Roman" w:eastAsia="Times New Roman" w:hAnsi="Times New Roman" w:cs="Times New Roman"/>
          <w:sz w:val="24"/>
          <w:szCs w:val="24"/>
        </w:rPr>
      </w:pPr>
      <w:r w:rsidRPr="00673E97">
        <w:rPr>
          <w:rFonts w:ascii="Times New Roman" w:eastAsia="Times New Roman" w:hAnsi="Times New Roman" w:cs="Times New Roman"/>
          <w:b/>
          <w:bCs/>
          <w:sz w:val="24"/>
          <w:szCs w:val="24"/>
        </w:rPr>
        <w:t>Conclusion:</w:t>
      </w:r>
      <w:r w:rsidRPr="00673E97">
        <w:rPr>
          <w:rFonts w:ascii="Times New Roman" w:eastAsia="Times New Roman" w:hAnsi="Times New Roman" w:cs="Times New Roman"/>
          <w:sz w:val="24"/>
          <w:szCs w:val="24"/>
        </w:rPr>
        <w:t xml:space="preserve"> The results indicate that physicians have below-average knowledge of gout management, particularly in the context of renal disease and prophylactic treatment. Additionally, 51% of the respondents demonstrated poor practice regarding gout management, and there was no significant association between knowledge and practice scores. However, physicians exhibited a positive attitude toward gout management</w:t>
      </w:r>
    </w:p>
    <w:p w14:paraId="667DFADF" w14:textId="77777777" w:rsidR="00CC2071" w:rsidRDefault="00673E97" w:rsidP="00CC2071">
      <w:pPr>
        <w:spacing w:line="480" w:lineRule="auto"/>
        <w:jc w:val="both"/>
        <w:rPr>
          <w:rFonts w:ascii="Times New Roman" w:hAnsi="Times New Roman" w:cs="Times New Roman"/>
          <w:sz w:val="24"/>
          <w:szCs w:val="24"/>
        </w:rPr>
      </w:pPr>
      <w:r w:rsidRPr="00673E97">
        <w:rPr>
          <w:rFonts w:ascii="Times New Roman" w:eastAsia="Times New Roman" w:hAnsi="Times New Roman" w:cs="Times New Roman"/>
          <w:b/>
          <w:bCs/>
          <w:sz w:val="24"/>
          <w:szCs w:val="24"/>
        </w:rPr>
        <w:t xml:space="preserve">Keywords: </w:t>
      </w:r>
      <w:r>
        <w:rPr>
          <w:rFonts w:ascii="Times New Roman" w:hAnsi="Times New Roman" w:cs="Times New Roman"/>
          <w:sz w:val="24"/>
          <w:szCs w:val="24"/>
        </w:rPr>
        <w:t>Gout</w:t>
      </w:r>
      <w:r w:rsidRPr="00E244F1">
        <w:rPr>
          <w:rFonts w:ascii="Times New Roman" w:hAnsi="Times New Roman" w:cs="Times New Roman"/>
          <w:sz w:val="24"/>
          <w:szCs w:val="24"/>
        </w:rPr>
        <w:t xml:space="preserve">, </w:t>
      </w:r>
      <w:r>
        <w:rPr>
          <w:rFonts w:ascii="Times New Roman" w:hAnsi="Times New Roman" w:cs="Times New Roman"/>
          <w:sz w:val="24"/>
          <w:szCs w:val="24"/>
        </w:rPr>
        <w:t>Uric acid</w:t>
      </w:r>
      <w:r w:rsidRPr="00E244F1">
        <w:rPr>
          <w:rFonts w:ascii="Times New Roman" w:hAnsi="Times New Roman" w:cs="Times New Roman"/>
          <w:sz w:val="24"/>
          <w:szCs w:val="24"/>
        </w:rPr>
        <w:t xml:space="preserve">, Knowledge, </w:t>
      </w:r>
      <w:r>
        <w:rPr>
          <w:rFonts w:ascii="Times New Roman" w:hAnsi="Times New Roman" w:cs="Times New Roman"/>
          <w:sz w:val="24"/>
          <w:szCs w:val="24"/>
        </w:rPr>
        <w:t xml:space="preserve">Attitude, </w:t>
      </w:r>
      <w:r w:rsidRPr="00E244F1">
        <w:rPr>
          <w:rFonts w:ascii="Times New Roman" w:hAnsi="Times New Roman" w:cs="Times New Roman"/>
          <w:sz w:val="24"/>
          <w:szCs w:val="24"/>
        </w:rPr>
        <w:t>Practice</w:t>
      </w:r>
      <w:r>
        <w:rPr>
          <w:rFonts w:ascii="Times New Roman" w:hAnsi="Times New Roman" w:cs="Times New Roman"/>
          <w:sz w:val="24"/>
          <w:szCs w:val="24"/>
        </w:rPr>
        <w:t>, Sudan</w:t>
      </w:r>
    </w:p>
    <w:p w14:paraId="00000009" w14:textId="61A0F36D" w:rsidR="00CE6ECD" w:rsidRPr="00CC2071" w:rsidRDefault="00110001" w:rsidP="009034D8">
      <w:pPr>
        <w:spacing w:line="480" w:lineRule="auto"/>
        <w:rPr>
          <w:rFonts w:ascii="Times New Roman" w:eastAsia="Times New Roman" w:hAnsi="Times New Roman" w:cs="Times New Roman"/>
          <w:b/>
          <w:bCs/>
          <w:sz w:val="24"/>
          <w:szCs w:val="24"/>
        </w:rPr>
      </w:pPr>
      <w:r w:rsidRPr="00F04651">
        <w:rPr>
          <w:rFonts w:ascii="Times New Roman" w:eastAsia="Times New Roman" w:hAnsi="Times New Roman" w:cs="Times New Roman"/>
          <w:b/>
          <w:sz w:val="24"/>
          <w:szCs w:val="24"/>
        </w:rPr>
        <w:t>1.</w:t>
      </w:r>
      <w:r w:rsidR="00CC2071">
        <w:rPr>
          <w:rFonts w:ascii="Times New Roman" w:eastAsia="Times New Roman" w:hAnsi="Times New Roman" w:cs="Times New Roman"/>
          <w:b/>
          <w:sz w:val="24"/>
          <w:szCs w:val="24"/>
        </w:rPr>
        <w:t xml:space="preserve"> </w:t>
      </w:r>
      <w:r w:rsidRPr="00F04651">
        <w:rPr>
          <w:rFonts w:ascii="Times New Roman" w:eastAsia="Times New Roman" w:hAnsi="Times New Roman" w:cs="Times New Roman"/>
          <w:b/>
          <w:sz w:val="24"/>
          <w:szCs w:val="24"/>
        </w:rPr>
        <w:t>Introduction</w:t>
      </w:r>
      <w:r w:rsidRPr="00F04651">
        <w:rPr>
          <w:rFonts w:ascii="Times New Roman" w:eastAsia="Times New Roman" w:hAnsi="Times New Roman" w:cs="Times New Roman"/>
          <w:sz w:val="24"/>
          <w:szCs w:val="24"/>
        </w:rPr>
        <w:t xml:space="preserve"> </w:t>
      </w:r>
    </w:p>
    <w:p w14:paraId="3F73BF38" w14:textId="48594C7C" w:rsidR="000713FB" w:rsidRDefault="00110001" w:rsidP="009034D8">
      <w:pPr>
        <w:spacing w:line="480" w:lineRule="auto"/>
        <w:ind w:firstLine="720"/>
        <w:jc w:val="both"/>
        <w:rPr>
          <w:rFonts w:ascii="Times New Roman" w:eastAsia="Times New Roman" w:hAnsi="Times New Roman" w:cs="Times New Roman"/>
          <w:sz w:val="24"/>
          <w:szCs w:val="24"/>
        </w:rPr>
      </w:pPr>
      <w:r w:rsidRPr="00F04651">
        <w:rPr>
          <w:rFonts w:ascii="Times New Roman" w:eastAsia="Times New Roman" w:hAnsi="Times New Roman" w:cs="Times New Roman"/>
          <w:sz w:val="24"/>
          <w:szCs w:val="24"/>
        </w:rPr>
        <w:t xml:space="preserve">Gout is a disorder that manifests as a spectrum of clinical and pathologic features built on a foundation of an excess body burden of uric acid, manifested in part by hyperuricemia, which is variably defined as a serum urate level greater than either 6.8 or 7.0 mg/dl </w:t>
      </w:r>
      <w:r w:rsidR="00817A31">
        <w:rPr>
          <w:rFonts w:ascii="Times New Roman" w:eastAsia="Times New Roman" w:hAnsi="Times New Roman" w:cs="Times New Roman"/>
          <w:sz w:val="24"/>
          <w:szCs w:val="24"/>
        </w:rPr>
        <w:t>(</w:t>
      </w:r>
      <w:r w:rsidRPr="00F04651">
        <w:rPr>
          <w:rFonts w:ascii="Times New Roman" w:eastAsia="Times New Roman" w:hAnsi="Times New Roman" w:cs="Times New Roman"/>
          <w:sz w:val="24"/>
          <w:szCs w:val="24"/>
        </w:rPr>
        <w:t>1</w:t>
      </w:r>
      <w:r w:rsidR="00817A31">
        <w:rPr>
          <w:rFonts w:ascii="Times New Roman" w:eastAsia="Times New Roman" w:hAnsi="Times New Roman" w:cs="Times New Roman"/>
          <w:sz w:val="24"/>
          <w:szCs w:val="24"/>
        </w:rPr>
        <w:t>)</w:t>
      </w:r>
      <w:r w:rsidRPr="00F04651">
        <w:rPr>
          <w:rFonts w:ascii="Times New Roman" w:eastAsia="Times New Roman" w:hAnsi="Times New Roman" w:cs="Times New Roman"/>
          <w:sz w:val="24"/>
          <w:szCs w:val="24"/>
        </w:rPr>
        <w:t xml:space="preserve">. </w:t>
      </w:r>
      <w:r w:rsidR="00817A31" w:rsidRPr="00817A31">
        <w:rPr>
          <w:rFonts w:ascii="Times New Roman" w:eastAsia="Times New Roman" w:hAnsi="Times New Roman" w:cs="Times New Roman"/>
          <w:sz w:val="24"/>
          <w:szCs w:val="24"/>
        </w:rPr>
        <w:t xml:space="preserve">Gout is one of the most prevalent rheumatic conditions in adults, with recent self-reported prevalence estimates in the United States at 3.9% of adults, equivalent to approximately 8.3 million individuals </w:t>
      </w:r>
      <w:r w:rsidR="00817A31">
        <w:rPr>
          <w:rFonts w:ascii="Times New Roman" w:eastAsia="Times New Roman" w:hAnsi="Times New Roman" w:cs="Times New Roman"/>
          <w:sz w:val="24"/>
          <w:szCs w:val="24"/>
        </w:rPr>
        <w:t>(2)</w:t>
      </w:r>
      <w:r w:rsidR="00817A31" w:rsidRPr="00817A31">
        <w:rPr>
          <w:rFonts w:ascii="Times New Roman" w:eastAsia="Times New Roman" w:hAnsi="Times New Roman" w:cs="Times New Roman"/>
          <w:sz w:val="24"/>
          <w:szCs w:val="24"/>
        </w:rPr>
        <w:t xml:space="preserve">. The incidence of gout has increased in many countries, including New Zealand, and particularly in the United States, over recent decades. This rise can be attributed to various factors, such as the growing prevalence of comorbidities that contribute to hyperuricemia, including hypertension, obesity, metabolic syndrome, type 2 diabetes, and chronic kidney disease (CKD) </w:t>
      </w:r>
      <w:r w:rsidR="00817A31">
        <w:rPr>
          <w:rFonts w:ascii="Times New Roman" w:eastAsia="Times New Roman" w:hAnsi="Times New Roman" w:cs="Times New Roman"/>
          <w:sz w:val="24"/>
          <w:szCs w:val="24"/>
        </w:rPr>
        <w:t>(3,4)</w:t>
      </w:r>
      <w:r w:rsidR="00817A31" w:rsidRPr="00817A31">
        <w:rPr>
          <w:rFonts w:ascii="Times New Roman" w:eastAsia="Times New Roman" w:hAnsi="Times New Roman" w:cs="Times New Roman"/>
          <w:sz w:val="24"/>
          <w:szCs w:val="24"/>
        </w:rPr>
        <w:t>. Additionally, dietary trends and the widespread use of thiazide and loop diuretics for treating cardiovascular conditions have also played a role in the increasing prevalence of gout (</w:t>
      </w:r>
      <w:r w:rsidR="00817A31">
        <w:rPr>
          <w:rFonts w:ascii="Times New Roman" w:eastAsia="Times New Roman" w:hAnsi="Times New Roman" w:cs="Times New Roman"/>
          <w:sz w:val="24"/>
          <w:szCs w:val="24"/>
        </w:rPr>
        <w:t>5</w:t>
      </w:r>
      <w:r w:rsidR="00817A31" w:rsidRPr="00817A31">
        <w:rPr>
          <w:rFonts w:ascii="Times New Roman" w:eastAsia="Times New Roman" w:hAnsi="Times New Roman" w:cs="Times New Roman"/>
          <w:sz w:val="24"/>
          <w:szCs w:val="24"/>
        </w:rPr>
        <w:t>)</w:t>
      </w:r>
      <w:r w:rsidR="00817A31">
        <w:rPr>
          <w:rFonts w:ascii="Times New Roman" w:eastAsia="Times New Roman" w:hAnsi="Times New Roman" w:cs="Times New Roman"/>
          <w:sz w:val="24"/>
          <w:szCs w:val="24"/>
        </w:rPr>
        <w:t>.</w:t>
      </w:r>
    </w:p>
    <w:p w14:paraId="24D81E12" w14:textId="2DB90DDE" w:rsidR="00B70CFF" w:rsidRDefault="00B70CFF" w:rsidP="00CC2071">
      <w:pPr>
        <w:spacing w:line="480" w:lineRule="auto"/>
        <w:ind w:firstLine="720"/>
        <w:jc w:val="both"/>
        <w:rPr>
          <w:rFonts w:ascii="Times New Roman" w:eastAsia="Times New Roman" w:hAnsi="Times New Roman" w:cs="Times New Roman"/>
          <w:sz w:val="24"/>
          <w:szCs w:val="24"/>
        </w:rPr>
      </w:pPr>
      <w:r w:rsidRPr="00B70CFF">
        <w:rPr>
          <w:rFonts w:ascii="Times New Roman" w:eastAsia="Times New Roman" w:hAnsi="Times New Roman" w:cs="Times New Roman"/>
          <w:sz w:val="24"/>
          <w:szCs w:val="24"/>
        </w:rPr>
        <w:lastRenderedPageBreak/>
        <w:t>A gout flare is an acute inflammatory response in the joints triggered by monosodium urate crystals</w:t>
      </w:r>
      <w:r>
        <w:rPr>
          <w:rFonts w:ascii="Times New Roman" w:eastAsia="Times New Roman" w:hAnsi="Times New Roman" w:cs="Times New Roman"/>
          <w:sz w:val="24"/>
          <w:szCs w:val="24"/>
        </w:rPr>
        <w:t xml:space="preserve"> (6)</w:t>
      </w:r>
      <w:r w:rsidRPr="00B70CFF">
        <w:rPr>
          <w:rFonts w:ascii="Times New Roman" w:eastAsia="Times New Roman" w:hAnsi="Times New Roman" w:cs="Times New Roman"/>
          <w:sz w:val="24"/>
          <w:szCs w:val="24"/>
        </w:rPr>
        <w:t xml:space="preserve">. Following a flare, the transition from asymptomatic hyperuricemia to gout is considered to have occurred, and it is typically regarded as a lifelong condition </w:t>
      </w:r>
      <w:r>
        <w:rPr>
          <w:rFonts w:ascii="Times New Roman" w:eastAsia="Times New Roman" w:hAnsi="Times New Roman" w:cs="Times New Roman"/>
          <w:sz w:val="24"/>
          <w:szCs w:val="24"/>
        </w:rPr>
        <w:t>(</w:t>
      </w:r>
      <w:r w:rsidR="00A54ED0">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B70CFF">
        <w:rPr>
          <w:rFonts w:ascii="Times New Roman" w:eastAsia="Times New Roman" w:hAnsi="Times New Roman" w:cs="Times New Roman"/>
          <w:sz w:val="24"/>
          <w:szCs w:val="24"/>
        </w:rPr>
        <w:t xml:space="preserve">. Gouty arthritis is a chronic disorder </w:t>
      </w:r>
      <w:r>
        <w:rPr>
          <w:rFonts w:ascii="Times New Roman" w:eastAsia="Times New Roman" w:hAnsi="Times New Roman" w:cs="Times New Roman"/>
          <w:sz w:val="24"/>
          <w:szCs w:val="24"/>
        </w:rPr>
        <w:t>(</w:t>
      </w:r>
      <w:r w:rsidR="00A54ED0">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r w:rsidRPr="00B70CFF">
        <w:rPr>
          <w:rFonts w:ascii="Times New Roman" w:eastAsia="Times New Roman" w:hAnsi="Times New Roman" w:cs="Times New Roman"/>
          <w:sz w:val="24"/>
          <w:szCs w:val="24"/>
        </w:rPr>
        <w:t xml:space="preserve">. Secondary prevention of acute gout attacks and the progression of gouty arthritis involves addressing risk factors, such as reducing or eliminating high-purine foods, fructose, alcohol, and diuretics, as well as managing obesity. Additionally, long-term use of urate-lowering therapies is essential </w:t>
      </w:r>
      <w:r w:rsidR="00A54ED0">
        <w:rPr>
          <w:rFonts w:ascii="Times New Roman" w:eastAsia="Times New Roman" w:hAnsi="Times New Roman" w:cs="Times New Roman"/>
          <w:sz w:val="24"/>
          <w:szCs w:val="24"/>
        </w:rPr>
        <w:t>(8)</w:t>
      </w:r>
      <w:r w:rsidRPr="00B70CFF">
        <w:rPr>
          <w:rFonts w:ascii="Times New Roman" w:eastAsia="Times New Roman" w:hAnsi="Times New Roman" w:cs="Times New Roman"/>
          <w:sz w:val="24"/>
          <w:szCs w:val="24"/>
        </w:rPr>
        <w:t xml:space="preserve">. Although the benefits of urate-lowering treatments for certain gout-related comorbidities are still under investigation, they may provide some advantage </w:t>
      </w:r>
      <w:r>
        <w:rPr>
          <w:rFonts w:ascii="Times New Roman" w:eastAsia="Times New Roman" w:hAnsi="Times New Roman" w:cs="Times New Roman"/>
          <w:sz w:val="24"/>
          <w:szCs w:val="24"/>
        </w:rPr>
        <w:t>(6,7)</w:t>
      </w:r>
      <w:r w:rsidRPr="00B70CFF">
        <w:rPr>
          <w:rFonts w:ascii="Times New Roman" w:eastAsia="Times New Roman" w:hAnsi="Times New Roman" w:cs="Times New Roman"/>
          <w:sz w:val="24"/>
          <w:szCs w:val="24"/>
        </w:rPr>
        <w:t>.</w:t>
      </w:r>
    </w:p>
    <w:p w14:paraId="697ECB64" w14:textId="765C205F" w:rsidR="00104E37" w:rsidRDefault="00A54ED0" w:rsidP="00CC2071">
      <w:pPr>
        <w:spacing w:line="480" w:lineRule="auto"/>
        <w:ind w:firstLine="720"/>
        <w:jc w:val="both"/>
        <w:rPr>
          <w:rFonts w:ascii="Times New Roman" w:eastAsia="Times New Roman" w:hAnsi="Times New Roman" w:cs="Times New Roman"/>
          <w:sz w:val="24"/>
          <w:szCs w:val="24"/>
        </w:rPr>
      </w:pPr>
      <w:r w:rsidRPr="00A54ED0">
        <w:rPr>
          <w:rFonts w:ascii="Times New Roman" w:eastAsia="Times New Roman" w:hAnsi="Times New Roman" w:cs="Times New Roman"/>
          <w:sz w:val="24"/>
          <w:szCs w:val="24"/>
        </w:rPr>
        <w:t>The underlying causes of gout reveal that renal underexcretion of uric acid accounts for 90% of cases, while the remaining 10% is attributed to purine overproduction (9). Physicians' knowledge and attitudes towards gout management are critical in ensuring accurate diagnosis and effective treatment, which ultimately improves patient outcomes. Therefore, this study aims to identify gaps in knowledge and practice among physicians regarding gout management. Understanding these gaps is essential for developing targeted educational programs and specialized training. These initiatives are designed to enhance the skills of healthcare professionals, thereby improving the quality of care provided to patients affected by these conditions</w:t>
      </w:r>
      <w:r w:rsidR="00104E37" w:rsidRPr="00104E37">
        <w:rPr>
          <w:rFonts w:ascii="Times New Roman" w:eastAsia="Times New Roman" w:hAnsi="Times New Roman" w:cs="Times New Roman"/>
          <w:sz w:val="24"/>
          <w:szCs w:val="24"/>
        </w:rPr>
        <w:t>.</w:t>
      </w:r>
    </w:p>
    <w:p w14:paraId="4CC6E9EC" w14:textId="77777777" w:rsidR="00C9478A" w:rsidRPr="00F04651" w:rsidRDefault="00C9478A" w:rsidP="00C9478A">
      <w:pPr>
        <w:spacing w:line="480" w:lineRule="auto"/>
        <w:jc w:val="both"/>
        <w:rPr>
          <w:rFonts w:ascii="Times New Roman" w:eastAsia="Times New Roman" w:hAnsi="Times New Roman" w:cs="Times New Roman"/>
          <w:b/>
          <w:sz w:val="24"/>
          <w:szCs w:val="24"/>
        </w:rPr>
      </w:pPr>
      <w:r w:rsidRPr="00F04651">
        <w:rPr>
          <w:rFonts w:ascii="Times New Roman" w:eastAsia="Times New Roman" w:hAnsi="Times New Roman" w:cs="Times New Roman"/>
          <w:b/>
          <w:sz w:val="24"/>
          <w:szCs w:val="24"/>
        </w:rPr>
        <w:t>2. Methods</w:t>
      </w:r>
    </w:p>
    <w:p w14:paraId="0608D6A8" w14:textId="77777777" w:rsidR="00C9478A" w:rsidRPr="00F04651" w:rsidRDefault="00C9478A" w:rsidP="00C9478A">
      <w:pPr>
        <w:spacing w:line="480" w:lineRule="auto"/>
        <w:jc w:val="both"/>
        <w:rPr>
          <w:rFonts w:ascii="Times New Roman" w:eastAsia="Times New Roman" w:hAnsi="Times New Roman" w:cs="Times New Roman"/>
          <w:b/>
          <w:sz w:val="24"/>
          <w:szCs w:val="24"/>
        </w:rPr>
      </w:pPr>
      <w:r w:rsidRPr="00F04651">
        <w:rPr>
          <w:rFonts w:ascii="Times New Roman" w:eastAsia="Times New Roman" w:hAnsi="Times New Roman" w:cs="Times New Roman"/>
          <w:b/>
          <w:sz w:val="24"/>
          <w:szCs w:val="24"/>
        </w:rPr>
        <w:t>2.1 Study Design and Setting</w:t>
      </w:r>
    </w:p>
    <w:p w14:paraId="1C1FAF4B" w14:textId="69D274C8" w:rsidR="00C9478A" w:rsidRPr="00F04651" w:rsidRDefault="00222EE9" w:rsidP="00222EE9">
      <w:pPr>
        <w:spacing w:line="480" w:lineRule="auto"/>
        <w:ind w:firstLine="720"/>
        <w:jc w:val="both"/>
        <w:rPr>
          <w:rFonts w:ascii="Times New Roman" w:eastAsia="Times New Roman" w:hAnsi="Times New Roman" w:cs="Times New Roman"/>
          <w:sz w:val="24"/>
          <w:szCs w:val="24"/>
        </w:rPr>
      </w:pPr>
      <w:r w:rsidRPr="00222EE9">
        <w:rPr>
          <w:rFonts w:ascii="Times New Roman" w:eastAsia="Times New Roman" w:hAnsi="Times New Roman" w:cs="Times New Roman"/>
          <w:sz w:val="24"/>
          <w:szCs w:val="24"/>
        </w:rPr>
        <w:t xml:space="preserve">This study employed a descriptive cross-sectional design using a questionnaire-based approach. A quantitative method was chosen to target registered physicians in the Department of Medicine at Soba Teaching Hospital, located in Khartoum State, Sudan. The study was conducted from </w:t>
      </w:r>
      <w:r>
        <w:rPr>
          <w:rFonts w:ascii="Times New Roman" w:eastAsia="Times New Roman" w:hAnsi="Times New Roman" w:cs="Times New Roman"/>
          <w:sz w:val="24"/>
          <w:szCs w:val="24"/>
        </w:rPr>
        <w:t>July</w:t>
      </w:r>
      <w:r w:rsidRPr="00222EE9">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September</w:t>
      </w:r>
      <w:r w:rsidRPr="00222EE9">
        <w:rPr>
          <w:rFonts w:ascii="Times New Roman" w:eastAsia="Times New Roman" w:hAnsi="Times New Roman" w:cs="Times New Roman"/>
          <w:sz w:val="24"/>
          <w:szCs w:val="24"/>
        </w:rPr>
        <w:t xml:space="preserve"> 2022</w:t>
      </w:r>
      <w:r w:rsidR="00C9478A">
        <w:rPr>
          <w:rFonts w:ascii="Times New Roman" w:eastAsia="Times New Roman" w:hAnsi="Times New Roman" w:cs="Times New Roman"/>
          <w:sz w:val="24"/>
          <w:szCs w:val="24"/>
        </w:rPr>
        <w:t>.</w:t>
      </w:r>
    </w:p>
    <w:p w14:paraId="069495EF" w14:textId="77777777" w:rsidR="00C9478A" w:rsidRPr="003B1FCE" w:rsidRDefault="00C9478A" w:rsidP="00C9478A">
      <w:pPr>
        <w:spacing w:line="480" w:lineRule="auto"/>
        <w:jc w:val="both"/>
        <w:rPr>
          <w:rFonts w:ascii="Times New Roman" w:eastAsia="Times New Roman" w:hAnsi="Times New Roman" w:cs="Times New Roman"/>
          <w:b/>
          <w:bCs/>
          <w:sz w:val="24"/>
          <w:szCs w:val="24"/>
        </w:rPr>
      </w:pPr>
      <w:r w:rsidRPr="003B1FCE">
        <w:rPr>
          <w:rFonts w:ascii="Times New Roman" w:eastAsia="Times New Roman" w:hAnsi="Times New Roman" w:cs="Times New Roman"/>
          <w:b/>
          <w:bCs/>
          <w:sz w:val="24"/>
          <w:szCs w:val="24"/>
        </w:rPr>
        <w:lastRenderedPageBreak/>
        <w:t>2.2 Study Population and Sampling Procedure</w:t>
      </w:r>
    </w:p>
    <w:p w14:paraId="5CE7777C" w14:textId="407C3B35" w:rsidR="00C9478A" w:rsidRPr="00F04651" w:rsidRDefault="00CC2071" w:rsidP="00222EE9">
      <w:pPr>
        <w:spacing w:line="480" w:lineRule="auto"/>
        <w:ind w:firstLine="720"/>
        <w:jc w:val="both"/>
        <w:rPr>
          <w:rFonts w:ascii="Times New Roman" w:eastAsia="Times New Roman" w:hAnsi="Times New Roman" w:cs="Times New Roman"/>
          <w:sz w:val="24"/>
          <w:szCs w:val="24"/>
        </w:rPr>
      </w:pPr>
      <w:r w:rsidRPr="00CC2071">
        <w:rPr>
          <w:rFonts w:ascii="Times New Roman" w:eastAsia="Times New Roman" w:hAnsi="Times New Roman" w:cs="Times New Roman"/>
          <w:sz w:val="24"/>
          <w:szCs w:val="24"/>
        </w:rPr>
        <w:t>The study targeted registered physicians in the Department of Medicine at Soba Teaching Hospital who agreed to participate. All physicians working in the department during the study period were included, resulting in a total population of 67 participants</w:t>
      </w:r>
      <w:r>
        <w:rPr>
          <w:rFonts w:ascii="Times New Roman" w:eastAsia="Times New Roman" w:hAnsi="Times New Roman" w:cs="Times New Roman"/>
          <w:sz w:val="24"/>
          <w:szCs w:val="24"/>
        </w:rPr>
        <w:t>.</w:t>
      </w:r>
    </w:p>
    <w:p w14:paraId="36DFB666" w14:textId="77777777" w:rsidR="00C9478A" w:rsidRPr="00CC2071" w:rsidRDefault="00C9478A" w:rsidP="00C9478A">
      <w:pPr>
        <w:spacing w:line="480" w:lineRule="auto"/>
        <w:jc w:val="both"/>
        <w:rPr>
          <w:rFonts w:ascii="Times New Roman" w:eastAsia="Times New Roman" w:hAnsi="Times New Roman" w:cs="Times New Roman"/>
          <w:b/>
          <w:bCs/>
          <w:sz w:val="24"/>
          <w:szCs w:val="24"/>
        </w:rPr>
      </w:pPr>
      <w:r w:rsidRPr="00CC2071">
        <w:rPr>
          <w:rFonts w:ascii="Times New Roman" w:eastAsia="Times New Roman" w:hAnsi="Times New Roman" w:cs="Times New Roman"/>
          <w:b/>
          <w:bCs/>
          <w:sz w:val="24"/>
          <w:szCs w:val="24"/>
        </w:rPr>
        <w:t>2.3 Data Collection Method</w:t>
      </w:r>
    </w:p>
    <w:p w14:paraId="3314D4A5" w14:textId="31724834" w:rsidR="00C9478A" w:rsidRPr="00F04651" w:rsidRDefault="00222EE9" w:rsidP="00222EE9">
      <w:pPr>
        <w:spacing w:line="480" w:lineRule="auto"/>
        <w:ind w:firstLine="720"/>
        <w:jc w:val="both"/>
        <w:rPr>
          <w:rFonts w:ascii="Times New Roman" w:eastAsia="Times New Roman" w:hAnsi="Times New Roman" w:cs="Times New Roman"/>
          <w:sz w:val="24"/>
          <w:szCs w:val="24"/>
        </w:rPr>
      </w:pPr>
      <w:r w:rsidRPr="00222EE9">
        <w:rPr>
          <w:rFonts w:ascii="Times New Roman" w:eastAsia="Times New Roman" w:hAnsi="Times New Roman" w:cs="Times New Roman"/>
          <w:sz w:val="24"/>
          <w:szCs w:val="24"/>
        </w:rPr>
        <w:t>The validated questionnaire was adapted from the American College of Rheumatology guidelines and published studies that assess physicians' knowledge, attitudes, and practices regarding gout management</w:t>
      </w:r>
      <w:r>
        <w:rPr>
          <w:rFonts w:ascii="Times New Roman" w:eastAsia="Times New Roman" w:hAnsi="Times New Roman" w:cs="Times New Roman"/>
          <w:sz w:val="24"/>
          <w:szCs w:val="24"/>
        </w:rPr>
        <w:t xml:space="preserve"> (10,11)</w:t>
      </w:r>
      <w:r w:rsidRPr="00222EE9">
        <w:rPr>
          <w:rFonts w:ascii="Times New Roman" w:eastAsia="Times New Roman" w:hAnsi="Times New Roman" w:cs="Times New Roman"/>
          <w:sz w:val="24"/>
          <w:szCs w:val="24"/>
        </w:rPr>
        <w:t xml:space="preserve">. </w:t>
      </w:r>
      <w:r w:rsidRPr="00D16B45">
        <w:rPr>
          <w:rFonts w:ascii="Times New Roman" w:eastAsia="Times New Roman" w:hAnsi="Times New Roman" w:cs="Times New Roman"/>
          <w:color w:val="FF0000"/>
          <w:sz w:val="24"/>
          <w:szCs w:val="24"/>
          <w:highlight w:val="yellow"/>
        </w:rPr>
        <w:t>The questionnaire consists of four sections. The first section includes questions about the physicians' demographic and baseline characteristics. The second section contains 15 questions to assess physicians' knowledge of gout management. The third section includes four questions to evaluate physicians' attitudes toward gout management. The final section contains six questions to assess physicians' practices in managing gout patients</w:t>
      </w:r>
      <w:r w:rsidRPr="00D16B45">
        <w:rPr>
          <w:rFonts w:ascii="Times New Roman" w:eastAsia="Times New Roman" w:hAnsi="Times New Roman" w:cs="Times New Roman"/>
          <w:sz w:val="24"/>
          <w:szCs w:val="24"/>
          <w:highlight w:val="yellow"/>
        </w:rPr>
        <w:t>.</w:t>
      </w:r>
      <w:r w:rsidRPr="00222EE9">
        <w:rPr>
          <w:rFonts w:ascii="Times New Roman" w:eastAsia="Times New Roman" w:hAnsi="Times New Roman" w:cs="Times New Roman"/>
          <w:sz w:val="24"/>
          <w:szCs w:val="24"/>
        </w:rPr>
        <w:t xml:space="preserve"> For scoring knowledge and practice, a score of one was awarded for correct answers, and a score of zero was given for incorrect or "do not know" responses. Minor adjustments were made to the wording of several questions to improve clarity and ensure that the items accurately captured the intended concepts. These modifications were based on feedback from the physicians, resulting in a more refined and effective questionnaire for the main study</w:t>
      </w:r>
      <w:r w:rsidR="00C9478A" w:rsidRPr="00F04651">
        <w:rPr>
          <w:rFonts w:ascii="Times New Roman" w:eastAsia="Times New Roman" w:hAnsi="Times New Roman" w:cs="Times New Roman"/>
          <w:sz w:val="24"/>
          <w:szCs w:val="24"/>
        </w:rPr>
        <w:t xml:space="preserve">. </w:t>
      </w:r>
    </w:p>
    <w:p w14:paraId="7FFCCBF7" w14:textId="45E73034" w:rsidR="00C9478A" w:rsidRPr="00222EE9" w:rsidRDefault="00C9478A" w:rsidP="00222EE9">
      <w:pPr>
        <w:spacing w:line="480" w:lineRule="auto"/>
        <w:jc w:val="both"/>
        <w:rPr>
          <w:rFonts w:ascii="Times New Roman" w:eastAsia="Times New Roman" w:hAnsi="Times New Roman" w:cs="Times New Roman"/>
          <w:b/>
          <w:bCs/>
          <w:sz w:val="24"/>
          <w:szCs w:val="24"/>
        </w:rPr>
      </w:pPr>
      <w:r w:rsidRPr="00222EE9">
        <w:rPr>
          <w:rFonts w:ascii="Times New Roman" w:eastAsia="Times New Roman" w:hAnsi="Times New Roman" w:cs="Times New Roman"/>
          <w:b/>
          <w:bCs/>
          <w:sz w:val="24"/>
          <w:szCs w:val="24"/>
        </w:rPr>
        <w:t>2.4 Data Management and Analysis</w:t>
      </w:r>
    </w:p>
    <w:p w14:paraId="2955569B" w14:textId="31C2AA1D" w:rsidR="00C9478A" w:rsidRPr="00222EE9" w:rsidRDefault="00222EE9" w:rsidP="00222EE9">
      <w:pPr>
        <w:spacing w:line="480" w:lineRule="auto"/>
        <w:ind w:firstLine="720"/>
        <w:jc w:val="both"/>
        <w:rPr>
          <w:rFonts w:ascii="Times New Roman" w:hAnsi="Times New Roman" w:cs="Times New Roman"/>
          <w:sz w:val="24"/>
          <w:szCs w:val="24"/>
        </w:rPr>
      </w:pPr>
      <w:r w:rsidRPr="00222EE9">
        <w:rPr>
          <w:rFonts w:ascii="Times New Roman" w:hAnsi="Times New Roman" w:cs="Times New Roman"/>
          <w:sz w:val="24"/>
          <w:szCs w:val="24"/>
        </w:rPr>
        <w:t>A scoring system was implemented to provide a more comprehensive evaluation of overall knowledge</w:t>
      </w:r>
      <w:r>
        <w:rPr>
          <w:rFonts w:ascii="Times New Roman" w:hAnsi="Times New Roman" w:cs="Times New Roman"/>
          <w:sz w:val="24"/>
          <w:szCs w:val="24"/>
        </w:rPr>
        <w:t xml:space="preserve"> (12</w:t>
      </w:r>
      <w:r w:rsidR="003A212E">
        <w:rPr>
          <w:rFonts w:ascii="Times New Roman" w:hAnsi="Times New Roman" w:cs="Times New Roman"/>
          <w:sz w:val="24"/>
          <w:szCs w:val="24"/>
        </w:rPr>
        <w:t>-14</w:t>
      </w:r>
      <w:r>
        <w:rPr>
          <w:rFonts w:ascii="Times New Roman" w:hAnsi="Times New Roman" w:cs="Times New Roman"/>
          <w:sz w:val="24"/>
          <w:szCs w:val="24"/>
        </w:rPr>
        <w:t>)</w:t>
      </w:r>
      <w:r w:rsidRPr="00222EE9">
        <w:rPr>
          <w:rFonts w:ascii="Times New Roman" w:hAnsi="Times New Roman" w:cs="Times New Roman"/>
          <w:sz w:val="24"/>
          <w:szCs w:val="24"/>
        </w:rPr>
        <w:t xml:space="preserve">. Each correct answer received 1 point, while incorrect answers received 0 points. For multiple-choice questions, 1 point was distributed among the correct answers, resulting in a total score range of 0 to 15. The practice assessment had a total score range of 0 to 6. Since the scores for both knowledge and practice were not normally distributed, they were expressed as </w:t>
      </w:r>
      <w:r w:rsidRPr="00222EE9">
        <w:rPr>
          <w:rFonts w:ascii="Times New Roman" w:hAnsi="Times New Roman" w:cs="Times New Roman"/>
          <w:sz w:val="24"/>
          <w:szCs w:val="24"/>
        </w:rPr>
        <w:lastRenderedPageBreak/>
        <w:t>medians and then categorized into two groups: "poor" (scores below the median) and "good" (scores at the median and above). The collected data were entered into SPSS version 24.0 (IBM SPSS Inc., Chicago, IL). Frequencies and percentages were used to represent descriptive statistics. Fisher's Exact Test was applied to assess the association between knowledge and practice scores and socio-demographic characteristics</w:t>
      </w:r>
      <w:r w:rsidR="00FA464A">
        <w:rPr>
          <w:rFonts w:ascii="Times New Roman" w:hAnsi="Times New Roman" w:cs="Times New Roman"/>
          <w:sz w:val="24"/>
          <w:szCs w:val="24"/>
        </w:rPr>
        <w:t xml:space="preserve">, </w:t>
      </w:r>
      <w:r w:rsidR="00FA464A" w:rsidRPr="00FA464A">
        <w:rPr>
          <w:rFonts w:ascii="Times New Roman" w:hAnsi="Times New Roman" w:cs="Times New Roman"/>
          <w:sz w:val="24"/>
          <w:szCs w:val="24"/>
        </w:rPr>
        <w:t xml:space="preserve">one-way ANOVA was used to assess the associations between scores and </w:t>
      </w:r>
      <w:r w:rsidR="00FA464A" w:rsidRPr="003A212E">
        <w:rPr>
          <w:rFonts w:ascii="Times New Roman" w:hAnsi="Times New Roman" w:cs="Times New Roman"/>
          <w:sz w:val="24"/>
          <w:szCs w:val="24"/>
        </w:rPr>
        <w:t>physicians’</w:t>
      </w:r>
      <w:r w:rsidR="00FA464A" w:rsidRPr="00FA464A">
        <w:rPr>
          <w:rFonts w:ascii="Times New Roman" w:hAnsi="Times New Roman" w:cs="Times New Roman"/>
          <w:sz w:val="24"/>
          <w:szCs w:val="24"/>
        </w:rPr>
        <w:t xml:space="preserve"> variables. </w:t>
      </w:r>
      <w:r w:rsidRPr="00222EE9">
        <w:rPr>
          <w:rFonts w:ascii="Times New Roman" w:hAnsi="Times New Roman" w:cs="Times New Roman"/>
          <w:sz w:val="24"/>
          <w:szCs w:val="24"/>
        </w:rPr>
        <w:t>A p-value of &lt;0.05 was considered statistically significant</w:t>
      </w:r>
      <w:r w:rsidR="00C9478A" w:rsidRPr="00222EE9">
        <w:rPr>
          <w:rFonts w:ascii="Times New Roman" w:hAnsi="Times New Roman" w:cs="Times New Roman"/>
          <w:sz w:val="24"/>
          <w:szCs w:val="24"/>
        </w:rPr>
        <w:t>.</w:t>
      </w:r>
    </w:p>
    <w:p w14:paraId="6CC9AA4B" w14:textId="13152D63" w:rsidR="00C9478A" w:rsidRPr="00E244F1" w:rsidRDefault="00C9478A" w:rsidP="00C9478A">
      <w:pPr>
        <w:spacing w:line="480" w:lineRule="auto"/>
        <w:jc w:val="both"/>
        <w:rPr>
          <w:rFonts w:ascii="Times New Roman" w:hAnsi="Times New Roman" w:cs="Times New Roman"/>
          <w:b/>
          <w:bCs/>
          <w:sz w:val="24"/>
          <w:szCs w:val="24"/>
        </w:rPr>
      </w:pPr>
      <w:r w:rsidRPr="00E244F1">
        <w:rPr>
          <w:rFonts w:ascii="Times New Roman" w:hAnsi="Times New Roman" w:cs="Times New Roman"/>
          <w:b/>
          <w:bCs/>
          <w:sz w:val="24"/>
          <w:szCs w:val="24"/>
        </w:rPr>
        <w:t>2.</w:t>
      </w:r>
      <w:r w:rsidR="00222EE9">
        <w:rPr>
          <w:rFonts w:ascii="Times New Roman" w:hAnsi="Times New Roman" w:cs="Times New Roman"/>
          <w:b/>
          <w:bCs/>
          <w:sz w:val="24"/>
          <w:szCs w:val="24"/>
        </w:rPr>
        <w:t>5</w:t>
      </w:r>
      <w:r w:rsidRPr="00E244F1">
        <w:rPr>
          <w:rFonts w:ascii="Times New Roman" w:hAnsi="Times New Roman" w:cs="Times New Roman"/>
          <w:b/>
          <w:bCs/>
          <w:sz w:val="24"/>
          <w:szCs w:val="24"/>
        </w:rPr>
        <w:t xml:space="preserve"> Ethical </w:t>
      </w:r>
      <w:r w:rsidR="003A212E">
        <w:rPr>
          <w:rFonts w:ascii="Times New Roman" w:hAnsi="Times New Roman" w:cs="Times New Roman"/>
          <w:b/>
          <w:bCs/>
          <w:sz w:val="24"/>
          <w:szCs w:val="24"/>
        </w:rPr>
        <w:t>Approval</w:t>
      </w:r>
    </w:p>
    <w:p w14:paraId="0F96F6AF" w14:textId="2BE61FC8" w:rsidR="00C9478A" w:rsidRDefault="00222EE9" w:rsidP="00222EE9">
      <w:pPr>
        <w:spacing w:line="480" w:lineRule="auto"/>
        <w:ind w:firstLine="720"/>
        <w:jc w:val="both"/>
        <w:rPr>
          <w:rFonts w:ascii="Times New Roman" w:hAnsi="Times New Roman" w:cs="Times New Roman"/>
          <w:sz w:val="24"/>
          <w:szCs w:val="24"/>
        </w:rPr>
      </w:pPr>
      <w:r w:rsidRPr="00222EE9">
        <w:rPr>
          <w:rFonts w:ascii="Times New Roman" w:hAnsi="Times New Roman" w:cs="Times New Roman"/>
          <w:sz w:val="24"/>
          <w:szCs w:val="24"/>
        </w:rPr>
        <w:t>The study was carried out in compliance with the 1975 Declaration of Helsinki and was approved by the Ethical Committee of the Faculty of Pharmacy at the University of Khartoum (FPEC-45-2022). Written informed consent was obtained from all participants, and confidentiality was maintained throughout the research process</w:t>
      </w:r>
      <w:r w:rsidR="00C9478A" w:rsidRPr="00E244F1">
        <w:rPr>
          <w:rFonts w:ascii="Times New Roman" w:hAnsi="Times New Roman" w:cs="Times New Roman"/>
          <w:sz w:val="24"/>
          <w:szCs w:val="24"/>
        </w:rPr>
        <w:t>.</w:t>
      </w:r>
    </w:p>
    <w:p w14:paraId="521DDE4D" w14:textId="77777777" w:rsidR="003A212E" w:rsidRPr="00F04651" w:rsidRDefault="003A212E" w:rsidP="003A212E">
      <w:pPr>
        <w:spacing w:line="480" w:lineRule="auto"/>
        <w:jc w:val="both"/>
        <w:rPr>
          <w:rFonts w:ascii="Times New Roman" w:eastAsia="Times New Roman" w:hAnsi="Times New Roman" w:cs="Times New Roman"/>
          <w:b/>
          <w:sz w:val="24"/>
          <w:szCs w:val="24"/>
        </w:rPr>
      </w:pPr>
      <w:r w:rsidRPr="00F04651">
        <w:rPr>
          <w:rFonts w:ascii="Times New Roman" w:eastAsia="Times New Roman" w:hAnsi="Times New Roman" w:cs="Times New Roman"/>
          <w:b/>
          <w:sz w:val="24"/>
          <w:szCs w:val="24"/>
        </w:rPr>
        <w:t>3. Results</w:t>
      </w:r>
    </w:p>
    <w:p w14:paraId="5EE6058A" w14:textId="77777777" w:rsidR="003A212E" w:rsidRPr="00F04651" w:rsidRDefault="003A212E" w:rsidP="003A212E">
      <w:pPr>
        <w:keepNext/>
        <w:keepLines/>
        <w:spacing w:line="480" w:lineRule="auto"/>
        <w:jc w:val="both"/>
        <w:rPr>
          <w:rFonts w:ascii="Times New Roman" w:eastAsia="Times New Roman" w:hAnsi="Times New Roman" w:cs="Times New Roman"/>
          <w:b/>
          <w:sz w:val="24"/>
          <w:szCs w:val="24"/>
        </w:rPr>
      </w:pPr>
      <w:bookmarkStart w:id="0" w:name="_47sws3aqkkvu" w:colFirst="0" w:colLast="0"/>
      <w:bookmarkEnd w:id="0"/>
      <w:r w:rsidRPr="00F04651">
        <w:rPr>
          <w:rFonts w:ascii="Times New Roman" w:eastAsia="Times New Roman" w:hAnsi="Times New Roman" w:cs="Times New Roman"/>
          <w:b/>
          <w:sz w:val="24"/>
          <w:szCs w:val="24"/>
        </w:rPr>
        <w:t>3.1 Demographic characteristics of physicians</w:t>
      </w:r>
    </w:p>
    <w:p w14:paraId="396F699B" w14:textId="4C6B5593" w:rsidR="003A212E" w:rsidRPr="003A212E" w:rsidRDefault="003A212E" w:rsidP="003A212E">
      <w:pPr>
        <w:spacing w:line="480" w:lineRule="auto"/>
        <w:ind w:firstLine="720"/>
        <w:jc w:val="both"/>
        <w:rPr>
          <w:rFonts w:ascii="Times New Roman" w:hAnsi="Times New Roman" w:cs="Times New Roman"/>
          <w:sz w:val="24"/>
          <w:szCs w:val="24"/>
        </w:rPr>
      </w:pPr>
      <w:bookmarkStart w:id="1" w:name="_pitbn3kwoa43" w:colFirst="0" w:colLast="0"/>
      <w:bookmarkEnd w:id="1"/>
      <w:r w:rsidRPr="003A212E">
        <w:rPr>
          <w:rFonts w:ascii="Times New Roman" w:hAnsi="Times New Roman" w:cs="Times New Roman"/>
          <w:sz w:val="24"/>
          <w:szCs w:val="24"/>
        </w:rPr>
        <w:t>A total of 67 physicians participated in this study, with the majority being female (55.2%) and under 30 years old (55.2%). Most of the participants were house officers (37.2%), and 61.2% had less than 5 years of work experience. Additionally, 62.7% had read articles about gout, and 59.7% were aware of gout</w:t>
      </w:r>
      <w:r w:rsidR="00FA464A">
        <w:rPr>
          <w:rFonts w:ascii="Times New Roman" w:hAnsi="Times New Roman" w:cs="Times New Roman"/>
          <w:sz w:val="24"/>
          <w:szCs w:val="24"/>
        </w:rPr>
        <w:t xml:space="preserve"> (</w:t>
      </w:r>
      <w:r w:rsidRPr="003A212E">
        <w:rPr>
          <w:rFonts w:ascii="Times New Roman" w:hAnsi="Times New Roman" w:cs="Times New Roman"/>
          <w:sz w:val="24"/>
          <w:szCs w:val="24"/>
        </w:rPr>
        <w:t>Table 1</w:t>
      </w:r>
      <w:r w:rsidR="00FA464A">
        <w:rPr>
          <w:rFonts w:ascii="Times New Roman" w:hAnsi="Times New Roman" w:cs="Times New Roman"/>
          <w:sz w:val="24"/>
          <w:szCs w:val="24"/>
        </w:rPr>
        <w:t>)</w:t>
      </w:r>
      <w:r w:rsidRPr="003A212E">
        <w:rPr>
          <w:rFonts w:ascii="Times New Roman" w:hAnsi="Times New Roman" w:cs="Times New Roman"/>
          <w:sz w:val="24"/>
          <w:szCs w:val="24"/>
        </w:rPr>
        <w:t>.</w:t>
      </w:r>
    </w:p>
    <w:p w14:paraId="02333D6C" w14:textId="77777777" w:rsidR="003A212E" w:rsidRDefault="003A212E" w:rsidP="003A212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Pr="003B1FCE">
        <w:rPr>
          <w:rFonts w:ascii="Times New Roman" w:eastAsia="Times New Roman" w:hAnsi="Times New Roman" w:cs="Times New Roman"/>
          <w:bCs/>
          <w:sz w:val="24"/>
          <w:szCs w:val="24"/>
        </w:rPr>
        <w:t>Sociodemographic characteristic</w:t>
      </w:r>
      <w:r>
        <w:rPr>
          <w:rFonts w:ascii="Times New Roman" w:eastAsia="Times New Roman" w:hAnsi="Times New Roman" w:cs="Times New Roman"/>
          <w:bCs/>
          <w:sz w:val="24"/>
          <w:szCs w:val="24"/>
        </w:rPr>
        <w:t>s</w:t>
      </w:r>
      <w:r w:rsidRPr="003B1FCE">
        <w:rPr>
          <w:rFonts w:ascii="Times New Roman" w:eastAsia="Times New Roman" w:hAnsi="Times New Roman" w:cs="Times New Roman"/>
          <w:bCs/>
          <w:sz w:val="24"/>
          <w:szCs w:val="24"/>
        </w:rPr>
        <w:t xml:space="preserve"> of the physician (N=67)</w:t>
      </w:r>
    </w:p>
    <w:tbl>
      <w:tblPr>
        <w:tblStyle w:val="TableGrid"/>
        <w:tblW w:w="9085" w:type="dxa"/>
        <w:tblLayout w:type="fixed"/>
        <w:tblLook w:val="0400" w:firstRow="0" w:lastRow="0" w:firstColumn="0" w:lastColumn="0" w:noHBand="0" w:noVBand="1"/>
      </w:tblPr>
      <w:tblGrid>
        <w:gridCol w:w="6565"/>
        <w:gridCol w:w="2520"/>
      </w:tblGrid>
      <w:tr w:rsidR="003A212E" w:rsidRPr="003B1FCE" w14:paraId="0422FBE7" w14:textId="77777777" w:rsidTr="003F5469">
        <w:tc>
          <w:tcPr>
            <w:tcW w:w="6565" w:type="dxa"/>
          </w:tcPr>
          <w:p w14:paraId="02C8111C"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 xml:space="preserve">Variables </w:t>
            </w:r>
          </w:p>
        </w:tc>
        <w:tc>
          <w:tcPr>
            <w:tcW w:w="2520" w:type="dxa"/>
          </w:tcPr>
          <w:p w14:paraId="50450D7B" w14:textId="77777777" w:rsidR="003A212E" w:rsidRPr="003B1FCE" w:rsidRDefault="003A212E" w:rsidP="003F5469">
            <w:pPr>
              <w:contextualSpacing/>
              <w:jc w:val="center"/>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Frequency (%)</w:t>
            </w:r>
          </w:p>
        </w:tc>
      </w:tr>
      <w:tr w:rsidR="003A212E" w:rsidRPr="003B1FCE" w14:paraId="05EB1F55" w14:textId="77777777" w:rsidTr="003F5469">
        <w:tc>
          <w:tcPr>
            <w:tcW w:w="6565" w:type="dxa"/>
          </w:tcPr>
          <w:p w14:paraId="4D267F0B"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Gender</w:t>
            </w:r>
          </w:p>
          <w:p w14:paraId="58E4B6B1" w14:textId="77777777" w:rsidR="003A212E" w:rsidRPr="003B1FCE" w:rsidRDefault="003A212E" w:rsidP="003F5469">
            <w:pPr>
              <w:contextualSpacing/>
              <w:jc w:val="both"/>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Female</w:t>
            </w:r>
          </w:p>
          <w:p w14:paraId="59417B24"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sz w:val="24"/>
                <w:szCs w:val="24"/>
              </w:rPr>
              <w:t>Male</w:t>
            </w:r>
          </w:p>
        </w:tc>
        <w:tc>
          <w:tcPr>
            <w:tcW w:w="2520" w:type="dxa"/>
          </w:tcPr>
          <w:p w14:paraId="401E01EC" w14:textId="77777777" w:rsidR="003A212E" w:rsidRPr="003B1FCE" w:rsidRDefault="003A212E" w:rsidP="003F5469">
            <w:pPr>
              <w:contextualSpacing/>
              <w:jc w:val="center"/>
              <w:rPr>
                <w:rFonts w:ascii="Times New Roman" w:eastAsia="Times New Roman" w:hAnsi="Times New Roman" w:cs="Times New Roman"/>
                <w:sz w:val="24"/>
                <w:szCs w:val="24"/>
              </w:rPr>
            </w:pPr>
          </w:p>
          <w:p w14:paraId="5A3C9F83"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37 (55.2)</w:t>
            </w:r>
          </w:p>
          <w:p w14:paraId="62C04A3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30 (44.8)</w:t>
            </w:r>
          </w:p>
        </w:tc>
      </w:tr>
      <w:tr w:rsidR="003A212E" w:rsidRPr="003B1FCE" w14:paraId="231C2FC1" w14:textId="77777777" w:rsidTr="003F5469">
        <w:tc>
          <w:tcPr>
            <w:tcW w:w="6565" w:type="dxa"/>
          </w:tcPr>
          <w:p w14:paraId="281DB814"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Age group i</w:t>
            </w:r>
            <w:r>
              <w:rPr>
                <w:rFonts w:ascii="Times New Roman" w:eastAsia="Times New Roman" w:hAnsi="Times New Roman" w:cs="Times New Roman"/>
                <w:b/>
                <w:sz w:val="24"/>
                <w:szCs w:val="24"/>
              </w:rPr>
              <w:t>n</w:t>
            </w:r>
            <w:r w:rsidRPr="003B1FCE">
              <w:rPr>
                <w:rFonts w:ascii="Times New Roman" w:eastAsia="Times New Roman" w:hAnsi="Times New Roman" w:cs="Times New Roman"/>
                <w:b/>
                <w:sz w:val="24"/>
                <w:szCs w:val="24"/>
              </w:rPr>
              <w:t xml:space="preserve"> years</w:t>
            </w:r>
          </w:p>
          <w:p w14:paraId="172B9396"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&lt;</w:t>
            </w:r>
            <w:r>
              <w:rPr>
                <w:rFonts w:ascii="Times New Roman" w:eastAsia="Times New Roman" w:hAnsi="Times New Roman" w:cs="Times New Roman"/>
                <w:sz w:val="24"/>
                <w:szCs w:val="24"/>
              </w:rPr>
              <w:t xml:space="preserve"> </w:t>
            </w:r>
            <w:r w:rsidRPr="003B1FCE">
              <w:rPr>
                <w:rFonts w:ascii="Times New Roman" w:eastAsia="Times New Roman" w:hAnsi="Times New Roman" w:cs="Times New Roman"/>
                <w:sz w:val="24"/>
                <w:szCs w:val="24"/>
              </w:rPr>
              <w:t>30</w:t>
            </w:r>
          </w:p>
          <w:p w14:paraId="7DC99D6E"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sz w:val="24"/>
                <w:szCs w:val="24"/>
              </w:rPr>
              <w:t>30-4</w:t>
            </w:r>
            <w:r>
              <w:rPr>
                <w:rFonts w:ascii="Times New Roman" w:eastAsia="Times New Roman" w:hAnsi="Times New Roman" w:cs="Times New Roman"/>
                <w:sz w:val="24"/>
                <w:szCs w:val="24"/>
              </w:rPr>
              <w:t>5</w:t>
            </w:r>
            <w:r w:rsidRPr="003B1FCE">
              <w:rPr>
                <w:rFonts w:ascii="Times New Roman" w:eastAsia="Times New Roman" w:hAnsi="Times New Roman" w:cs="Times New Roman"/>
                <w:sz w:val="24"/>
                <w:szCs w:val="24"/>
              </w:rPr>
              <w:t xml:space="preserve"> years</w:t>
            </w:r>
          </w:p>
        </w:tc>
        <w:tc>
          <w:tcPr>
            <w:tcW w:w="2520" w:type="dxa"/>
          </w:tcPr>
          <w:p w14:paraId="3AA99127" w14:textId="77777777" w:rsidR="003A212E" w:rsidRPr="003B1FCE" w:rsidRDefault="003A212E" w:rsidP="003F5469">
            <w:pPr>
              <w:contextualSpacing/>
              <w:jc w:val="center"/>
              <w:rPr>
                <w:rFonts w:ascii="Times New Roman" w:eastAsia="Times New Roman" w:hAnsi="Times New Roman" w:cs="Times New Roman"/>
                <w:sz w:val="24"/>
                <w:szCs w:val="24"/>
              </w:rPr>
            </w:pPr>
          </w:p>
          <w:p w14:paraId="1632595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37 (55.2)</w:t>
            </w:r>
          </w:p>
          <w:p w14:paraId="24992B3B"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30 (44.8)</w:t>
            </w:r>
          </w:p>
        </w:tc>
      </w:tr>
      <w:tr w:rsidR="003A212E" w:rsidRPr="003B1FCE" w14:paraId="0AC0F44B" w14:textId="77777777" w:rsidTr="003F5469">
        <w:tc>
          <w:tcPr>
            <w:tcW w:w="6565" w:type="dxa"/>
          </w:tcPr>
          <w:p w14:paraId="0B60D73C"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Current status</w:t>
            </w:r>
          </w:p>
          <w:p w14:paraId="1D2DBD4A"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lastRenderedPageBreak/>
              <w:t>House officer</w:t>
            </w:r>
          </w:p>
          <w:p w14:paraId="7EC384F7"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Registrar 1</w:t>
            </w:r>
          </w:p>
          <w:p w14:paraId="2DD0E3B4"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Registrar 2</w:t>
            </w:r>
          </w:p>
          <w:p w14:paraId="41BC407D"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Registrar 3</w:t>
            </w:r>
          </w:p>
          <w:p w14:paraId="6E02DBEA"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sz w:val="24"/>
                <w:szCs w:val="24"/>
              </w:rPr>
              <w:t>Consultant</w:t>
            </w:r>
          </w:p>
        </w:tc>
        <w:tc>
          <w:tcPr>
            <w:tcW w:w="2520" w:type="dxa"/>
          </w:tcPr>
          <w:p w14:paraId="7EBB9E69" w14:textId="77777777" w:rsidR="003A212E" w:rsidRPr="003B1FCE" w:rsidRDefault="003A212E" w:rsidP="003F5469">
            <w:pPr>
              <w:contextualSpacing/>
              <w:jc w:val="center"/>
              <w:rPr>
                <w:rFonts w:ascii="Times New Roman" w:eastAsia="Times New Roman" w:hAnsi="Times New Roman" w:cs="Times New Roman"/>
                <w:sz w:val="24"/>
                <w:szCs w:val="24"/>
              </w:rPr>
            </w:pPr>
          </w:p>
          <w:p w14:paraId="7EB90C77"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lastRenderedPageBreak/>
              <w:t>25 (37.2)</w:t>
            </w:r>
          </w:p>
          <w:p w14:paraId="1C2027D8"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6 (9)</w:t>
            </w:r>
          </w:p>
          <w:p w14:paraId="18A551A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17 (25.4)</w:t>
            </w:r>
          </w:p>
          <w:p w14:paraId="19393DE5"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11 (16.4)</w:t>
            </w:r>
          </w:p>
          <w:p w14:paraId="44083AB4"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8 (12)</w:t>
            </w:r>
          </w:p>
        </w:tc>
      </w:tr>
      <w:tr w:rsidR="003A212E" w:rsidRPr="003B1FCE" w14:paraId="4F2C18F3" w14:textId="77777777" w:rsidTr="003F5469">
        <w:tc>
          <w:tcPr>
            <w:tcW w:w="6565" w:type="dxa"/>
          </w:tcPr>
          <w:p w14:paraId="2768A01D" w14:textId="77777777" w:rsidR="003A212E" w:rsidRPr="003B1FCE" w:rsidRDefault="003A212E" w:rsidP="003F5469">
            <w:pPr>
              <w:contextualSpacing/>
              <w:jc w:val="both"/>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lastRenderedPageBreak/>
              <w:t>Work experience</w:t>
            </w:r>
            <w:r>
              <w:rPr>
                <w:rFonts w:ascii="Times New Roman" w:eastAsia="Times New Roman" w:hAnsi="Times New Roman" w:cs="Times New Roman"/>
                <w:b/>
                <w:sz w:val="24"/>
                <w:szCs w:val="24"/>
              </w:rPr>
              <w:t xml:space="preserve"> (Years)</w:t>
            </w:r>
          </w:p>
          <w:p w14:paraId="73D33B38" w14:textId="77777777" w:rsidR="003A212E" w:rsidRPr="003B1FCE" w:rsidRDefault="003A212E" w:rsidP="003F546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3B1FCE">
              <w:rPr>
                <w:rFonts w:ascii="Times New Roman" w:eastAsia="Times New Roman" w:hAnsi="Times New Roman" w:cs="Times New Roman"/>
                <w:sz w:val="24"/>
                <w:szCs w:val="24"/>
              </w:rPr>
              <w:t>ess than 5</w:t>
            </w:r>
          </w:p>
          <w:p w14:paraId="0993C683"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5-10</w:t>
            </w:r>
          </w:p>
          <w:p w14:paraId="05334A1D" w14:textId="77777777" w:rsidR="003A212E" w:rsidRPr="003B1FCE" w:rsidRDefault="003A212E" w:rsidP="003F5469">
            <w:pPr>
              <w:contextualSpacing/>
              <w:jc w:val="both"/>
              <w:rPr>
                <w:rFonts w:ascii="Times New Roman" w:eastAsia="Times New Roman" w:hAnsi="Times New Roman" w:cs="Times New Roman"/>
                <w:b/>
                <w:sz w:val="24"/>
                <w:szCs w:val="24"/>
                <w:u w:val="single"/>
              </w:rPr>
            </w:pPr>
            <w:r w:rsidRPr="003B1FCE">
              <w:rPr>
                <w:rFonts w:ascii="Times New Roman" w:eastAsia="Times New Roman" w:hAnsi="Times New Roman" w:cs="Times New Roman"/>
                <w:sz w:val="24"/>
                <w:szCs w:val="24"/>
              </w:rPr>
              <w:t>More than 10</w:t>
            </w:r>
          </w:p>
        </w:tc>
        <w:tc>
          <w:tcPr>
            <w:tcW w:w="2520" w:type="dxa"/>
          </w:tcPr>
          <w:p w14:paraId="1BAEE8B2" w14:textId="77777777" w:rsidR="003A212E" w:rsidRPr="003B1FCE" w:rsidRDefault="003A212E" w:rsidP="003F5469">
            <w:pPr>
              <w:contextualSpacing/>
              <w:jc w:val="center"/>
              <w:rPr>
                <w:rFonts w:ascii="Times New Roman" w:eastAsia="Times New Roman" w:hAnsi="Times New Roman" w:cs="Times New Roman"/>
                <w:sz w:val="24"/>
                <w:szCs w:val="24"/>
              </w:rPr>
            </w:pPr>
          </w:p>
          <w:p w14:paraId="2021A3F2"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41 (61.2)</w:t>
            </w:r>
          </w:p>
          <w:p w14:paraId="459B45FE"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21 (31.3)</w:t>
            </w:r>
          </w:p>
          <w:p w14:paraId="70D8FB42"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5 (7.5)</w:t>
            </w:r>
          </w:p>
        </w:tc>
      </w:tr>
      <w:tr w:rsidR="003A212E" w:rsidRPr="003B1FCE" w14:paraId="3E9D82BE" w14:textId="77777777" w:rsidTr="003F5469">
        <w:tc>
          <w:tcPr>
            <w:tcW w:w="6565" w:type="dxa"/>
          </w:tcPr>
          <w:p w14:paraId="69C5F36C"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Hours in patients care</w:t>
            </w:r>
          </w:p>
          <w:p w14:paraId="6A186B92" w14:textId="77777777" w:rsidR="003A212E" w:rsidRPr="003B1FCE" w:rsidRDefault="003A212E" w:rsidP="003F546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3B1FCE">
              <w:rPr>
                <w:rFonts w:ascii="Times New Roman" w:eastAsia="Times New Roman" w:hAnsi="Times New Roman" w:cs="Times New Roman"/>
                <w:sz w:val="24"/>
                <w:szCs w:val="24"/>
              </w:rPr>
              <w:t>ess than 20</w:t>
            </w:r>
          </w:p>
          <w:p w14:paraId="45E3AB1D"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20- 40</w:t>
            </w:r>
          </w:p>
          <w:p w14:paraId="4A2840AA" w14:textId="77777777" w:rsidR="003A212E" w:rsidRPr="003B1FCE" w:rsidRDefault="003A212E" w:rsidP="003F5469">
            <w:pPr>
              <w:contextualSpacing/>
              <w:jc w:val="both"/>
              <w:rPr>
                <w:rFonts w:ascii="Times New Roman" w:eastAsia="Times New Roman" w:hAnsi="Times New Roman" w:cs="Times New Roman"/>
                <w:b/>
                <w:sz w:val="24"/>
                <w:szCs w:val="24"/>
                <w:u w:val="single"/>
              </w:rPr>
            </w:pPr>
            <w:r w:rsidRPr="003B1FCE">
              <w:rPr>
                <w:rFonts w:ascii="Times New Roman" w:eastAsia="Times New Roman" w:hAnsi="Times New Roman" w:cs="Times New Roman"/>
                <w:sz w:val="24"/>
                <w:szCs w:val="24"/>
              </w:rPr>
              <w:t>More than 40</w:t>
            </w:r>
          </w:p>
        </w:tc>
        <w:tc>
          <w:tcPr>
            <w:tcW w:w="2520" w:type="dxa"/>
          </w:tcPr>
          <w:p w14:paraId="05459E64" w14:textId="77777777" w:rsidR="003A212E" w:rsidRPr="003B1FCE" w:rsidRDefault="003A212E" w:rsidP="003F5469">
            <w:pPr>
              <w:contextualSpacing/>
              <w:jc w:val="center"/>
              <w:rPr>
                <w:rFonts w:ascii="Times New Roman" w:eastAsia="Times New Roman" w:hAnsi="Times New Roman" w:cs="Times New Roman"/>
                <w:sz w:val="24"/>
                <w:szCs w:val="24"/>
              </w:rPr>
            </w:pPr>
          </w:p>
          <w:p w14:paraId="5ADA13A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26 (38.8)</w:t>
            </w:r>
          </w:p>
          <w:p w14:paraId="7B2FF54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26 (38.8)</w:t>
            </w:r>
          </w:p>
          <w:p w14:paraId="79E0C2C9"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15 (22.4)</w:t>
            </w:r>
          </w:p>
        </w:tc>
      </w:tr>
      <w:tr w:rsidR="003A212E" w:rsidRPr="003B1FCE" w14:paraId="615C884E" w14:textId="77777777" w:rsidTr="003F5469">
        <w:tc>
          <w:tcPr>
            <w:tcW w:w="6565" w:type="dxa"/>
          </w:tcPr>
          <w:p w14:paraId="3BAD9841"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Read gout articles</w:t>
            </w:r>
          </w:p>
          <w:p w14:paraId="0DB6B84E"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Yes</w:t>
            </w:r>
          </w:p>
          <w:p w14:paraId="35C92EC6" w14:textId="77777777" w:rsidR="003A212E" w:rsidRPr="003B1FCE" w:rsidRDefault="003A212E" w:rsidP="003F5469">
            <w:pPr>
              <w:contextualSpacing/>
              <w:rPr>
                <w:rFonts w:ascii="Times New Roman" w:eastAsia="Times New Roman" w:hAnsi="Times New Roman" w:cs="Times New Roman"/>
                <w:b/>
                <w:sz w:val="24"/>
                <w:szCs w:val="24"/>
                <w:u w:val="single"/>
              </w:rPr>
            </w:pPr>
            <w:r w:rsidRPr="003B1FCE">
              <w:rPr>
                <w:rFonts w:ascii="Times New Roman" w:eastAsia="Times New Roman" w:hAnsi="Times New Roman" w:cs="Times New Roman"/>
                <w:sz w:val="24"/>
                <w:szCs w:val="24"/>
              </w:rPr>
              <w:t>No</w:t>
            </w:r>
          </w:p>
        </w:tc>
        <w:tc>
          <w:tcPr>
            <w:tcW w:w="2520" w:type="dxa"/>
          </w:tcPr>
          <w:p w14:paraId="021442BE" w14:textId="77777777" w:rsidR="003A212E" w:rsidRPr="003B1FCE" w:rsidRDefault="003A212E" w:rsidP="003F5469">
            <w:pPr>
              <w:contextualSpacing/>
              <w:jc w:val="center"/>
              <w:rPr>
                <w:rFonts w:ascii="Times New Roman" w:eastAsia="Times New Roman" w:hAnsi="Times New Roman" w:cs="Times New Roman"/>
                <w:sz w:val="24"/>
                <w:szCs w:val="24"/>
              </w:rPr>
            </w:pPr>
          </w:p>
          <w:p w14:paraId="5E511A36"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42 (62.7)</w:t>
            </w:r>
          </w:p>
          <w:p w14:paraId="68676362"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25 (37.7)</w:t>
            </w:r>
          </w:p>
        </w:tc>
      </w:tr>
      <w:tr w:rsidR="003A212E" w:rsidRPr="003B1FCE" w14:paraId="5F9A520C" w14:textId="77777777" w:rsidTr="003F5469">
        <w:tc>
          <w:tcPr>
            <w:tcW w:w="6565" w:type="dxa"/>
          </w:tcPr>
          <w:p w14:paraId="35E61325"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Awareness about gout</w:t>
            </w:r>
          </w:p>
          <w:p w14:paraId="5679411D"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 xml:space="preserve">Yes </w:t>
            </w:r>
          </w:p>
          <w:p w14:paraId="04C3EB1A"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 xml:space="preserve">No </w:t>
            </w:r>
          </w:p>
          <w:p w14:paraId="6B1EF7B2" w14:textId="77777777" w:rsidR="003A212E" w:rsidRPr="003B1FCE" w:rsidRDefault="003A212E" w:rsidP="003F5469">
            <w:pPr>
              <w:contextualSpacing/>
              <w:rPr>
                <w:rFonts w:ascii="Times New Roman" w:eastAsia="Times New Roman" w:hAnsi="Times New Roman" w:cs="Times New Roman"/>
                <w:b/>
                <w:sz w:val="24"/>
                <w:szCs w:val="24"/>
                <w:u w:val="single"/>
              </w:rPr>
            </w:pPr>
            <w:r w:rsidRPr="003B1FCE">
              <w:rPr>
                <w:rFonts w:ascii="Times New Roman" w:eastAsia="Times New Roman" w:hAnsi="Times New Roman" w:cs="Times New Roman"/>
                <w:sz w:val="24"/>
                <w:szCs w:val="24"/>
              </w:rPr>
              <w:t>I do not Know</w:t>
            </w:r>
          </w:p>
        </w:tc>
        <w:tc>
          <w:tcPr>
            <w:tcW w:w="2520" w:type="dxa"/>
          </w:tcPr>
          <w:p w14:paraId="1E114ACC" w14:textId="77777777" w:rsidR="003A212E" w:rsidRPr="003B1FCE" w:rsidRDefault="003A212E" w:rsidP="003F5469">
            <w:pPr>
              <w:contextualSpacing/>
              <w:jc w:val="center"/>
              <w:rPr>
                <w:rFonts w:ascii="Times New Roman" w:eastAsia="Times New Roman" w:hAnsi="Times New Roman" w:cs="Times New Roman"/>
                <w:sz w:val="24"/>
                <w:szCs w:val="24"/>
              </w:rPr>
            </w:pPr>
          </w:p>
          <w:p w14:paraId="186F3394"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40 (59.7)</w:t>
            </w:r>
          </w:p>
          <w:p w14:paraId="7D1A6278"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18 (27)</w:t>
            </w:r>
          </w:p>
          <w:p w14:paraId="78408E26"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9 (13.3)</w:t>
            </w:r>
          </w:p>
        </w:tc>
      </w:tr>
      <w:tr w:rsidR="003A212E" w:rsidRPr="003B1FCE" w14:paraId="661CD74A" w14:textId="77777777" w:rsidTr="003F5469">
        <w:tc>
          <w:tcPr>
            <w:tcW w:w="6565" w:type="dxa"/>
          </w:tcPr>
          <w:p w14:paraId="3E4A7525" w14:textId="77777777" w:rsidR="003A212E" w:rsidRPr="003B1FCE" w:rsidRDefault="003A212E" w:rsidP="003F5469">
            <w:pPr>
              <w:contextualSpacing/>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Seeing gout patient/month</w:t>
            </w:r>
          </w:p>
          <w:p w14:paraId="497CDDAA" w14:textId="77777777" w:rsidR="003A212E" w:rsidRPr="003B1FCE" w:rsidRDefault="003A212E" w:rsidP="003F5469">
            <w:pPr>
              <w:contextualSpacing/>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1- 5</w:t>
            </w:r>
          </w:p>
          <w:p w14:paraId="565098B3" w14:textId="77777777" w:rsidR="003A212E" w:rsidRPr="003B1FCE" w:rsidRDefault="003A212E" w:rsidP="003F5469">
            <w:pPr>
              <w:contextualSpacing/>
              <w:rPr>
                <w:rFonts w:ascii="Times New Roman" w:eastAsia="Times New Roman" w:hAnsi="Times New Roman" w:cs="Times New Roman"/>
                <w:b/>
                <w:sz w:val="24"/>
                <w:szCs w:val="24"/>
                <w:u w:val="single"/>
              </w:rPr>
            </w:pPr>
            <w:r w:rsidRPr="003B1FCE">
              <w:rPr>
                <w:rFonts w:ascii="Times New Roman" w:eastAsia="Times New Roman" w:hAnsi="Times New Roman" w:cs="Times New Roman"/>
                <w:sz w:val="24"/>
                <w:szCs w:val="24"/>
              </w:rPr>
              <w:t>More than 5</w:t>
            </w:r>
          </w:p>
        </w:tc>
        <w:tc>
          <w:tcPr>
            <w:tcW w:w="2520" w:type="dxa"/>
          </w:tcPr>
          <w:p w14:paraId="6CFEF1FA" w14:textId="77777777" w:rsidR="003A212E" w:rsidRPr="003B1FCE" w:rsidRDefault="003A212E" w:rsidP="003F5469">
            <w:pPr>
              <w:contextualSpacing/>
              <w:jc w:val="center"/>
              <w:rPr>
                <w:rFonts w:ascii="Times New Roman" w:eastAsia="Times New Roman" w:hAnsi="Times New Roman" w:cs="Times New Roman"/>
                <w:sz w:val="24"/>
                <w:szCs w:val="24"/>
              </w:rPr>
            </w:pPr>
          </w:p>
          <w:p w14:paraId="0B95F3B1"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58 (86.6)</w:t>
            </w:r>
          </w:p>
          <w:p w14:paraId="12B2881F" w14:textId="77777777" w:rsidR="003A212E" w:rsidRPr="003B1FCE" w:rsidRDefault="003A212E" w:rsidP="003F5469">
            <w:pPr>
              <w:contextualSpacing/>
              <w:jc w:val="center"/>
              <w:rPr>
                <w:rFonts w:ascii="Times New Roman" w:eastAsia="Times New Roman" w:hAnsi="Times New Roman" w:cs="Times New Roman"/>
                <w:sz w:val="24"/>
                <w:szCs w:val="24"/>
              </w:rPr>
            </w:pPr>
            <w:r w:rsidRPr="003B1FCE">
              <w:rPr>
                <w:rFonts w:ascii="Times New Roman" w:eastAsia="Times New Roman" w:hAnsi="Times New Roman" w:cs="Times New Roman"/>
                <w:sz w:val="24"/>
                <w:szCs w:val="24"/>
              </w:rPr>
              <w:t>9 (13.4)</w:t>
            </w:r>
          </w:p>
        </w:tc>
      </w:tr>
    </w:tbl>
    <w:p w14:paraId="1A8247D5" w14:textId="77777777" w:rsidR="006A3EC1" w:rsidRDefault="006A3EC1" w:rsidP="006A3EC1">
      <w:pPr>
        <w:spacing w:line="360" w:lineRule="auto"/>
        <w:jc w:val="both"/>
        <w:rPr>
          <w:rFonts w:ascii="Times New Roman" w:eastAsia="Times New Roman" w:hAnsi="Times New Roman" w:cs="Times New Roman"/>
          <w:b/>
          <w:bCs/>
          <w:sz w:val="24"/>
          <w:szCs w:val="24"/>
        </w:rPr>
      </w:pPr>
    </w:p>
    <w:p w14:paraId="6D6B696E" w14:textId="4B29B7F0" w:rsidR="006A3EC1" w:rsidRPr="00673E97" w:rsidRDefault="006A3EC1" w:rsidP="006A3EC1">
      <w:pPr>
        <w:spacing w:line="480" w:lineRule="auto"/>
        <w:jc w:val="both"/>
        <w:rPr>
          <w:rFonts w:ascii="Times New Roman" w:eastAsia="Times New Roman" w:hAnsi="Times New Roman" w:cs="Times New Roman"/>
          <w:b/>
          <w:bCs/>
          <w:sz w:val="24"/>
          <w:szCs w:val="24"/>
        </w:rPr>
      </w:pPr>
      <w:r w:rsidRPr="00673E97">
        <w:rPr>
          <w:rFonts w:ascii="Times New Roman" w:eastAsia="Times New Roman" w:hAnsi="Times New Roman" w:cs="Times New Roman"/>
          <w:b/>
          <w:bCs/>
          <w:sz w:val="24"/>
          <w:szCs w:val="24"/>
        </w:rPr>
        <w:t xml:space="preserve">3.2 Knowledge Assessment </w:t>
      </w:r>
    </w:p>
    <w:p w14:paraId="2D031C45" w14:textId="2A98AB6B" w:rsidR="006A3EC1" w:rsidRPr="006A3EC1" w:rsidRDefault="006A3EC1" w:rsidP="006A3EC1">
      <w:pPr>
        <w:spacing w:line="480" w:lineRule="auto"/>
        <w:ind w:firstLine="720"/>
        <w:jc w:val="both"/>
        <w:rPr>
          <w:rFonts w:ascii="Times New Roman" w:hAnsi="Times New Roman" w:cs="Times New Roman"/>
          <w:sz w:val="24"/>
          <w:szCs w:val="24"/>
        </w:rPr>
      </w:pPr>
      <w:r w:rsidRPr="006A3EC1">
        <w:rPr>
          <w:rFonts w:ascii="Times New Roman" w:hAnsi="Times New Roman" w:cs="Times New Roman"/>
          <w:sz w:val="24"/>
          <w:szCs w:val="24"/>
        </w:rPr>
        <w:t>Regarding physicians' knowledge, 52.2% responded "No" when asked about administering allopurinol to patients experiencing joint pain for the first time. Concerning the recommended drugs for acute symptoms in patients with normal renal function, 60% correctly identified NSAIDs. However, in the context of renal disease, 56.7% selected colchicine. When asked about managing special patient situations, 52.2% responded "No" when asked if allopurinol should be given to a patient with joint pain for the first time, without signs of inflammation but with mild hyperuricemia. Additionally, 53.7% answered "No" when asked about giving allopurinol to a patient with signs of inflammation, and 46.3% answered "No" when asked about administering allopurinol to a patient with a confirmed gout diagnosis</w:t>
      </w:r>
      <w:r>
        <w:rPr>
          <w:rFonts w:ascii="Times New Roman" w:hAnsi="Times New Roman" w:cs="Times New Roman"/>
          <w:sz w:val="24"/>
          <w:szCs w:val="24"/>
        </w:rPr>
        <w:t xml:space="preserve"> (Table 2)</w:t>
      </w:r>
      <w:r w:rsidRPr="006A3EC1">
        <w:rPr>
          <w:rFonts w:ascii="Times New Roman" w:hAnsi="Times New Roman" w:cs="Times New Roman"/>
          <w:sz w:val="24"/>
          <w:szCs w:val="24"/>
        </w:rPr>
        <w:t>.</w:t>
      </w:r>
    </w:p>
    <w:p w14:paraId="4CB895A0" w14:textId="10F34C0D" w:rsidR="006A3EC1" w:rsidRPr="006A3EC1" w:rsidRDefault="006A3EC1" w:rsidP="006A3EC1">
      <w:pPr>
        <w:spacing w:line="480" w:lineRule="auto"/>
        <w:ind w:firstLine="720"/>
        <w:jc w:val="both"/>
        <w:rPr>
          <w:rFonts w:ascii="Times New Roman" w:hAnsi="Times New Roman" w:cs="Times New Roman"/>
          <w:sz w:val="24"/>
          <w:szCs w:val="24"/>
        </w:rPr>
      </w:pPr>
      <w:r w:rsidRPr="006A3EC1">
        <w:rPr>
          <w:rFonts w:ascii="Times New Roman" w:hAnsi="Times New Roman" w:cs="Times New Roman"/>
          <w:sz w:val="24"/>
          <w:szCs w:val="24"/>
        </w:rPr>
        <w:lastRenderedPageBreak/>
        <w:t>Regarding the recommended drugs for acute symptoms in patients with normal renal function, 60% identified NSAIDs, while 56.7% correctly identified colchicine for renal disease. Nearly half of the participants (45%) responded "I don't know" when asked if ice packs could relieve pain during an acute gout attack. For the initiation and discontinuation of allopurinol therapy, 67% answered "2 weeks after an acute gout attack" for initiating allopurinol, and 43.3% stated that allopurinol should be discontinued when serum uric acid levels normalize. Finally, 75% of participants answered "Yes" when asked if diuretics could interact with hyperuricemia</w:t>
      </w:r>
      <w:r>
        <w:rPr>
          <w:rFonts w:ascii="Times New Roman" w:hAnsi="Times New Roman" w:cs="Times New Roman"/>
          <w:sz w:val="24"/>
          <w:szCs w:val="24"/>
        </w:rPr>
        <w:t xml:space="preserve"> (Table 2)</w:t>
      </w:r>
      <w:r w:rsidRPr="006A3EC1">
        <w:rPr>
          <w:rFonts w:ascii="Times New Roman" w:hAnsi="Times New Roman" w:cs="Times New Roman"/>
          <w:sz w:val="24"/>
          <w:szCs w:val="24"/>
        </w:rPr>
        <w:t>.</w:t>
      </w:r>
      <w:r w:rsidR="00D36C64">
        <w:rPr>
          <w:rFonts w:ascii="Times New Roman" w:hAnsi="Times New Roman" w:cs="Times New Roman"/>
          <w:sz w:val="24"/>
          <w:szCs w:val="24"/>
        </w:rPr>
        <w:t xml:space="preserve"> </w:t>
      </w:r>
      <w:r w:rsidR="00D36C64" w:rsidRPr="00E244F1">
        <w:rPr>
          <w:rFonts w:ascii="Times New Roman" w:hAnsi="Times New Roman" w:cs="Times New Roman"/>
          <w:sz w:val="24"/>
          <w:szCs w:val="24"/>
        </w:rPr>
        <w:t xml:space="preserve">Overall, </w:t>
      </w:r>
      <w:r w:rsidR="00D36C64">
        <w:rPr>
          <w:rFonts w:ascii="Times New Roman" w:hAnsi="Times New Roman" w:cs="Times New Roman"/>
          <w:sz w:val="24"/>
          <w:szCs w:val="24"/>
        </w:rPr>
        <w:t>31</w:t>
      </w:r>
      <w:r w:rsidR="00D36C64" w:rsidRPr="00E244F1">
        <w:rPr>
          <w:rFonts w:ascii="Times New Roman" w:hAnsi="Times New Roman" w:cs="Times New Roman"/>
          <w:sz w:val="24"/>
          <w:szCs w:val="24"/>
        </w:rPr>
        <w:t xml:space="preserve">% of participants achieved a good knowledge score, while </w:t>
      </w:r>
      <w:r w:rsidR="00D36C64">
        <w:rPr>
          <w:rFonts w:ascii="Times New Roman" w:hAnsi="Times New Roman" w:cs="Times New Roman"/>
          <w:sz w:val="24"/>
          <w:szCs w:val="24"/>
        </w:rPr>
        <w:t>69</w:t>
      </w:r>
      <w:r w:rsidR="00D36C64" w:rsidRPr="00E244F1">
        <w:rPr>
          <w:rFonts w:ascii="Times New Roman" w:hAnsi="Times New Roman" w:cs="Times New Roman"/>
          <w:sz w:val="24"/>
          <w:szCs w:val="24"/>
        </w:rPr>
        <w:t>% had a poor score (</w:t>
      </w:r>
      <w:r w:rsidR="00D36C64">
        <w:rPr>
          <w:rFonts w:ascii="Times New Roman" w:hAnsi="Times New Roman" w:cs="Times New Roman"/>
          <w:sz w:val="24"/>
          <w:szCs w:val="24"/>
        </w:rPr>
        <w:t>Table 5</w:t>
      </w:r>
      <w:r w:rsidR="00D36C64" w:rsidRPr="00E244F1">
        <w:rPr>
          <w:rFonts w:ascii="Times New Roman" w:hAnsi="Times New Roman" w:cs="Times New Roman"/>
          <w:sz w:val="24"/>
          <w:szCs w:val="24"/>
        </w:rPr>
        <w:t>).</w:t>
      </w:r>
    </w:p>
    <w:p w14:paraId="6050EDEB" w14:textId="57BB35C7" w:rsidR="006A3EC1" w:rsidRDefault="006A3EC1" w:rsidP="006A3EC1">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w:t>
      </w:r>
      <w:r w:rsidRPr="006A3EC1">
        <w:rPr>
          <w:rFonts w:ascii="Times New Roman" w:eastAsia="Times New Roman" w:hAnsi="Times New Roman" w:cs="Times New Roman"/>
          <w:bCs/>
          <w:sz w:val="24"/>
          <w:szCs w:val="24"/>
        </w:rPr>
        <w:t>Knowledge of the physicians regarding gout management (n=67)</w:t>
      </w:r>
    </w:p>
    <w:tbl>
      <w:tblPr>
        <w:tblStyle w:val="a0"/>
        <w:tblW w:w="9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30"/>
        <w:gridCol w:w="3780"/>
        <w:gridCol w:w="1800"/>
      </w:tblGrid>
      <w:tr w:rsidR="006A3EC1" w14:paraId="284C98AB" w14:textId="77777777" w:rsidTr="009E3EE1">
        <w:trPr>
          <w:trHeight w:val="20"/>
          <w:jc w:val="center"/>
        </w:trPr>
        <w:tc>
          <w:tcPr>
            <w:tcW w:w="4130" w:type="dxa"/>
            <w:shd w:val="clear" w:color="auto" w:fill="auto"/>
            <w:tcMar>
              <w:top w:w="100" w:type="dxa"/>
              <w:left w:w="100" w:type="dxa"/>
              <w:bottom w:w="100" w:type="dxa"/>
              <w:right w:w="100" w:type="dxa"/>
            </w:tcMar>
          </w:tcPr>
          <w:p w14:paraId="1BC44590"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Knowledge Questions </w:t>
            </w:r>
          </w:p>
        </w:tc>
        <w:tc>
          <w:tcPr>
            <w:tcW w:w="3780" w:type="dxa"/>
            <w:shd w:val="clear" w:color="auto" w:fill="auto"/>
            <w:tcMar>
              <w:top w:w="100" w:type="dxa"/>
              <w:left w:w="100" w:type="dxa"/>
              <w:bottom w:w="100" w:type="dxa"/>
              <w:right w:w="100" w:type="dxa"/>
            </w:tcMar>
          </w:tcPr>
          <w:p w14:paraId="53AD5C16" w14:textId="2ADC6EFC"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1800" w:type="dxa"/>
            <w:shd w:val="clear" w:color="auto" w:fill="auto"/>
            <w:tcMar>
              <w:top w:w="100" w:type="dxa"/>
              <w:left w:w="100" w:type="dxa"/>
              <w:bottom w:w="100" w:type="dxa"/>
              <w:right w:w="100" w:type="dxa"/>
            </w:tcMar>
          </w:tcPr>
          <w:p w14:paraId="3CB2895D" w14:textId="12047ADB"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Frequency (%)</w:t>
            </w:r>
          </w:p>
        </w:tc>
      </w:tr>
      <w:tr w:rsidR="006A3EC1" w14:paraId="7067DAC4" w14:textId="77777777" w:rsidTr="009E3EE1">
        <w:trPr>
          <w:trHeight w:val="33"/>
          <w:jc w:val="center"/>
        </w:trPr>
        <w:tc>
          <w:tcPr>
            <w:tcW w:w="4130" w:type="dxa"/>
            <w:shd w:val="clear" w:color="auto" w:fill="auto"/>
            <w:tcMar>
              <w:top w:w="100" w:type="dxa"/>
              <w:left w:w="100" w:type="dxa"/>
              <w:bottom w:w="100" w:type="dxa"/>
              <w:right w:w="100" w:type="dxa"/>
            </w:tcMar>
          </w:tcPr>
          <w:p w14:paraId="1D899078"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Normal Serum Uric Acid </w:t>
            </w:r>
          </w:p>
        </w:tc>
        <w:tc>
          <w:tcPr>
            <w:tcW w:w="3780" w:type="dxa"/>
            <w:shd w:val="clear" w:color="auto" w:fill="auto"/>
            <w:tcMar>
              <w:top w:w="100" w:type="dxa"/>
              <w:left w:w="100" w:type="dxa"/>
              <w:bottom w:w="100" w:type="dxa"/>
              <w:right w:w="100" w:type="dxa"/>
            </w:tcMar>
          </w:tcPr>
          <w:p w14:paraId="4643C05D"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than 6 mg/dL </w:t>
            </w:r>
          </w:p>
          <w:p w14:paraId="3037789E"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to 7.5 mg/dl</w:t>
            </w:r>
          </w:p>
          <w:p w14:paraId="5B1B0E27"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7 mg /dl</w:t>
            </w:r>
          </w:p>
          <w:p w14:paraId="417815D9" w14:textId="37FAD652"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1800" w:type="dxa"/>
            <w:shd w:val="clear" w:color="auto" w:fill="auto"/>
            <w:tcMar>
              <w:top w:w="100" w:type="dxa"/>
              <w:left w:w="100" w:type="dxa"/>
              <w:bottom w:w="100" w:type="dxa"/>
              <w:right w:w="100" w:type="dxa"/>
            </w:tcMar>
          </w:tcPr>
          <w:p w14:paraId="3CE24227" w14:textId="3295A3F5"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39(58.2)</w:t>
            </w:r>
          </w:p>
          <w:p w14:paraId="4F109CF2" w14:textId="31BFB0FE"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13(19.3)</w:t>
            </w:r>
          </w:p>
          <w:p w14:paraId="4B61D464" w14:textId="21F5C296"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p w14:paraId="36EAFFE6" w14:textId="6C36C4D0"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6A3EC1" w14:paraId="0A694514" w14:textId="77777777" w:rsidTr="009E3EE1">
        <w:trPr>
          <w:trHeight w:val="20"/>
          <w:jc w:val="center"/>
        </w:trPr>
        <w:tc>
          <w:tcPr>
            <w:tcW w:w="9710" w:type="dxa"/>
            <w:gridSpan w:val="3"/>
            <w:shd w:val="clear" w:color="auto" w:fill="auto"/>
            <w:tcMar>
              <w:top w:w="100" w:type="dxa"/>
              <w:left w:w="100" w:type="dxa"/>
              <w:bottom w:w="100" w:type="dxa"/>
              <w:right w:w="100" w:type="dxa"/>
            </w:tcMar>
          </w:tcPr>
          <w:p w14:paraId="004C4E6C" w14:textId="22BD1482"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Patient’s situation</w:t>
            </w:r>
          </w:p>
        </w:tc>
      </w:tr>
      <w:tr w:rsidR="006A3EC1" w14:paraId="1838BC16" w14:textId="77777777" w:rsidTr="009E3EE1">
        <w:trPr>
          <w:trHeight w:val="771"/>
          <w:jc w:val="center"/>
        </w:trPr>
        <w:tc>
          <w:tcPr>
            <w:tcW w:w="4130" w:type="dxa"/>
            <w:shd w:val="clear" w:color="auto" w:fill="auto"/>
            <w:tcMar>
              <w:top w:w="100" w:type="dxa"/>
              <w:left w:w="100" w:type="dxa"/>
              <w:bottom w:w="100" w:type="dxa"/>
              <w:right w:w="100" w:type="dxa"/>
            </w:tcMar>
          </w:tcPr>
          <w:p w14:paraId="038BBA75" w14:textId="77777777" w:rsidR="006A3EC1" w:rsidRDefault="006A3EC1" w:rsidP="006A3EC1">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male patient presents with chief complaint of joint pain experienced for the first time, without signs of inflammation but with mild hyperuricemia. Do you administer allopurinol to this patient?</w:t>
            </w:r>
          </w:p>
        </w:tc>
        <w:tc>
          <w:tcPr>
            <w:tcW w:w="3780" w:type="dxa"/>
            <w:shd w:val="clear" w:color="auto" w:fill="auto"/>
            <w:tcMar>
              <w:top w:w="100" w:type="dxa"/>
              <w:left w:w="100" w:type="dxa"/>
              <w:bottom w:w="100" w:type="dxa"/>
              <w:right w:w="100" w:type="dxa"/>
            </w:tcMar>
          </w:tcPr>
          <w:p w14:paraId="227CC01C"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26E2C3CC"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647E42F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5ADB35F3" w14:textId="28ADC693"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23(34.3)</w:t>
            </w:r>
          </w:p>
          <w:p w14:paraId="26B184AB" w14:textId="0C2954FB"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35(52.2)</w:t>
            </w:r>
          </w:p>
          <w:p w14:paraId="033B625A" w14:textId="2DA7C162"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9(13.4)</w:t>
            </w:r>
          </w:p>
        </w:tc>
      </w:tr>
      <w:tr w:rsidR="006A3EC1" w14:paraId="54307C73" w14:textId="77777777" w:rsidTr="009E3EE1">
        <w:trPr>
          <w:trHeight w:val="20"/>
          <w:jc w:val="center"/>
        </w:trPr>
        <w:tc>
          <w:tcPr>
            <w:tcW w:w="4130" w:type="dxa"/>
            <w:shd w:val="clear" w:color="auto" w:fill="auto"/>
            <w:tcMar>
              <w:top w:w="100" w:type="dxa"/>
              <w:left w:w="100" w:type="dxa"/>
              <w:bottom w:w="100" w:type="dxa"/>
              <w:right w:w="100" w:type="dxa"/>
            </w:tcMar>
          </w:tcPr>
          <w:p w14:paraId="7ECC18FA" w14:textId="4F87238A" w:rsidR="006A3EC1" w:rsidRDefault="006A3EC1" w:rsidP="006A3EC1">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signs of inflammation are present, do you administer allopurinol to the abovementioned patient?</w:t>
            </w:r>
          </w:p>
        </w:tc>
        <w:tc>
          <w:tcPr>
            <w:tcW w:w="3780" w:type="dxa"/>
            <w:shd w:val="clear" w:color="auto" w:fill="auto"/>
            <w:tcMar>
              <w:top w:w="100" w:type="dxa"/>
              <w:left w:w="100" w:type="dxa"/>
              <w:bottom w:w="100" w:type="dxa"/>
              <w:right w:w="100" w:type="dxa"/>
            </w:tcMar>
          </w:tcPr>
          <w:p w14:paraId="76E720A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1BDBE3C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5DBD5B86"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446CF98C" w14:textId="17B28720"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27(40.3)</w:t>
            </w:r>
          </w:p>
          <w:p w14:paraId="23AE4FD8" w14:textId="36F684C8"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36(53.7)</w:t>
            </w:r>
          </w:p>
          <w:p w14:paraId="7139DF17" w14:textId="2A50C24D"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6A3EC1" w14:paraId="7FDE9DAD" w14:textId="77777777" w:rsidTr="009E3EE1">
        <w:trPr>
          <w:trHeight w:val="20"/>
          <w:jc w:val="center"/>
        </w:trPr>
        <w:tc>
          <w:tcPr>
            <w:tcW w:w="4130" w:type="dxa"/>
            <w:shd w:val="clear" w:color="auto" w:fill="auto"/>
            <w:tcMar>
              <w:top w:w="100" w:type="dxa"/>
              <w:left w:w="100" w:type="dxa"/>
              <w:bottom w:w="100" w:type="dxa"/>
              <w:right w:w="100" w:type="dxa"/>
            </w:tcMar>
          </w:tcPr>
          <w:p w14:paraId="632334CC" w14:textId="77777777" w:rsidR="006A3EC1" w:rsidRDefault="006A3EC1" w:rsidP="006A3EC1">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patient is experiencing acute joint pain for the first time. The diagnosis of gout has been confirmed. Do you administer allopurinol to this patient?</w:t>
            </w:r>
          </w:p>
        </w:tc>
        <w:tc>
          <w:tcPr>
            <w:tcW w:w="3780" w:type="dxa"/>
            <w:shd w:val="clear" w:color="auto" w:fill="auto"/>
            <w:tcMar>
              <w:top w:w="100" w:type="dxa"/>
              <w:left w:w="100" w:type="dxa"/>
              <w:bottom w:w="100" w:type="dxa"/>
              <w:right w:w="100" w:type="dxa"/>
            </w:tcMar>
          </w:tcPr>
          <w:p w14:paraId="58AD5AF6"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0D877BF1"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p w14:paraId="21AA8799"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2620B128" w14:textId="773ACF0C"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29(43.3)</w:t>
            </w:r>
          </w:p>
          <w:p w14:paraId="4F390454" w14:textId="2625FFB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31(46.3)</w:t>
            </w:r>
          </w:p>
          <w:p w14:paraId="5967D837" w14:textId="1ACFC8CE"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7(10.4)</w:t>
            </w:r>
          </w:p>
        </w:tc>
      </w:tr>
      <w:tr w:rsidR="006A3EC1" w14:paraId="48FF18CF" w14:textId="77777777" w:rsidTr="009E3EE1">
        <w:trPr>
          <w:trHeight w:val="276"/>
          <w:jc w:val="center"/>
        </w:trPr>
        <w:tc>
          <w:tcPr>
            <w:tcW w:w="4130" w:type="dxa"/>
            <w:shd w:val="clear" w:color="auto" w:fill="auto"/>
            <w:tcMar>
              <w:top w:w="100" w:type="dxa"/>
              <w:left w:w="100" w:type="dxa"/>
              <w:bottom w:w="100" w:type="dxa"/>
              <w:right w:w="100" w:type="dxa"/>
            </w:tcMar>
          </w:tcPr>
          <w:p w14:paraId="1A54050A" w14:textId="1F753144" w:rsidR="006A3EC1" w:rsidRDefault="006A3EC1" w:rsidP="006A3EC1">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Physician’s knowledge about drugs recommended for acute symptoms in </w:t>
            </w:r>
            <w:r>
              <w:rPr>
                <w:rFonts w:ascii="Times New Roman" w:eastAsia="Times New Roman" w:hAnsi="Times New Roman" w:cs="Times New Roman"/>
                <w:b/>
                <w:sz w:val="24"/>
                <w:szCs w:val="24"/>
              </w:rPr>
              <w:lastRenderedPageBreak/>
              <w:t>the setting of normal renal function</w:t>
            </w:r>
          </w:p>
        </w:tc>
        <w:tc>
          <w:tcPr>
            <w:tcW w:w="3780" w:type="dxa"/>
            <w:shd w:val="clear" w:color="auto" w:fill="auto"/>
            <w:tcMar>
              <w:top w:w="100" w:type="dxa"/>
              <w:left w:w="100" w:type="dxa"/>
              <w:bottom w:w="100" w:type="dxa"/>
              <w:right w:w="100" w:type="dxa"/>
            </w:tcMar>
          </w:tcPr>
          <w:p w14:paraId="2452089B"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Colchicine </w:t>
            </w:r>
          </w:p>
          <w:p w14:paraId="7A20F015"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NSAIDs </w:t>
            </w:r>
          </w:p>
          <w:p w14:paraId="5CA7444C"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Glucocorticosteroids</w:t>
            </w:r>
            <w:proofErr w:type="spellEnd"/>
            <w:r>
              <w:rPr>
                <w:rFonts w:ascii="Times New Roman" w:eastAsia="Times New Roman" w:hAnsi="Times New Roman" w:cs="Times New Roman"/>
                <w:sz w:val="24"/>
                <w:szCs w:val="24"/>
              </w:rPr>
              <w:t xml:space="preserve"> </w:t>
            </w:r>
          </w:p>
          <w:p w14:paraId="17F3FC64"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Allopurinol </w:t>
            </w:r>
          </w:p>
        </w:tc>
        <w:tc>
          <w:tcPr>
            <w:tcW w:w="1800" w:type="dxa"/>
            <w:shd w:val="clear" w:color="auto" w:fill="auto"/>
            <w:tcMar>
              <w:top w:w="100" w:type="dxa"/>
              <w:left w:w="100" w:type="dxa"/>
              <w:bottom w:w="100" w:type="dxa"/>
              <w:right w:w="100" w:type="dxa"/>
            </w:tcMar>
          </w:tcPr>
          <w:p w14:paraId="06264792" w14:textId="3057389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14(21)</w:t>
            </w:r>
          </w:p>
          <w:p w14:paraId="05946B35" w14:textId="1D22C3B6"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40(60)</w:t>
            </w:r>
          </w:p>
          <w:p w14:paraId="29E18874" w14:textId="59BAE233"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p w14:paraId="4C3C8675" w14:textId="7184AA7F"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11(16.4)</w:t>
            </w:r>
          </w:p>
        </w:tc>
      </w:tr>
      <w:tr w:rsidR="006A3EC1" w14:paraId="6D406B6E" w14:textId="77777777" w:rsidTr="009E3EE1">
        <w:trPr>
          <w:trHeight w:val="20"/>
          <w:jc w:val="center"/>
        </w:trPr>
        <w:tc>
          <w:tcPr>
            <w:tcW w:w="4130" w:type="dxa"/>
            <w:shd w:val="clear" w:color="auto" w:fill="auto"/>
            <w:tcMar>
              <w:top w:w="100" w:type="dxa"/>
              <w:left w:w="100" w:type="dxa"/>
              <w:bottom w:w="100" w:type="dxa"/>
              <w:right w:w="100" w:type="dxa"/>
            </w:tcMar>
          </w:tcPr>
          <w:p w14:paraId="7D67A306" w14:textId="6DEFD272" w:rsidR="006A3EC1" w:rsidRDefault="006A3EC1" w:rsidP="006A3EC1">
            <w:pPr>
              <w:widowControl w:val="0"/>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Physician’s knowledge about drugs recommended for acute symptoms in the setting of renal disease </w:t>
            </w:r>
          </w:p>
        </w:tc>
        <w:tc>
          <w:tcPr>
            <w:tcW w:w="3780" w:type="dxa"/>
            <w:shd w:val="clear" w:color="auto" w:fill="auto"/>
            <w:tcMar>
              <w:top w:w="100" w:type="dxa"/>
              <w:left w:w="100" w:type="dxa"/>
              <w:bottom w:w="100" w:type="dxa"/>
              <w:right w:w="100" w:type="dxa"/>
            </w:tcMar>
          </w:tcPr>
          <w:p w14:paraId="0BE6179E"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Colchicine </w:t>
            </w:r>
          </w:p>
          <w:p w14:paraId="1524B46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NSAIDs </w:t>
            </w:r>
          </w:p>
          <w:p w14:paraId="3C28DEFB"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Glucocorticosteroids</w:t>
            </w:r>
            <w:proofErr w:type="spellEnd"/>
            <w:r>
              <w:rPr>
                <w:rFonts w:ascii="Times New Roman" w:eastAsia="Times New Roman" w:hAnsi="Times New Roman" w:cs="Times New Roman"/>
                <w:sz w:val="24"/>
                <w:szCs w:val="24"/>
              </w:rPr>
              <w:t xml:space="preserve"> </w:t>
            </w:r>
          </w:p>
          <w:p w14:paraId="06FF12B0"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Allopurinol</w:t>
            </w:r>
          </w:p>
        </w:tc>
        <w:tc>
          <w:tcPr>
            <w:tcW w:w="1800" w:type="dxa"/>
            <w:shd w:val="clear" w:color="auto" w:fill="auto"/>
            <w:tcMar>
              <w:top w:w="100" w:type="dxa"/>
              <w:left w:w="100" w:type="dxa"/>
              <w:bottom w:w="100" w:type="dxa"/>
              <w:right w:w="100" w:type="dxa"/>
            </w:tcMar>
          </w:tcPr>
          <w:p w14:paraId="027C92B4" w14:textId="098DC08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38(56.7)</w:t>
            </w:r>
          </w:p>
          <w:p w14:paraId="0014AFAD" w14:textId="1E1FAE39"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p w14:paraId="34A440BD" w14:textId="406B7681"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p w14:paraId="1C5468AD" w14:textId="75AE1CBC"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9(13.4)</w:t>
            </w:r>
          </w:p>
        </w:tc>
      </w:tr>
      <w:tr w:rsidR="006A3EC1" w14:paraId="2F723000" w14:textId="77777777" w:rsidTr="009E3EE1">
        <w:trPr>
          <w:trHeight w:val="20"/>
          <w:jc w:val="center"/>
        </w:trPr>
        <w:tc>
          <w:tcPr>
            <w:tcW w:w="4130" w:type="dxa"/>
            <w:shd w:val="clear" w:color="auto" w:fill="auto"/>
            <w:tcMar>
              <w:top w:w="100" w:type="dxa"/>
              <w:left w:w="100" w:type="dxa"/>
              <w:bottom w:w="100" w:type="dxa"/>
              <w:right w:w="100" w:type="dxa"/>
            </w:tcMar>
          </w:tcPr>
          <w:p w14:paraId="5B665475" w14:textId="77777777" w:rsidR="006A3EC1" w:rsidRDefault="006A3EC1" w:rsidP="009E3EE1">
            <w:pPr>
              <w:spacing w:after="20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dose of colchicine do you usually administer in acute gout attack?</w:t>
            </w:r>
          </w:p>
        </w:tc>
        <w:tc>
          <w:tcPr>
            <w:tcW w:w="3780" w:type="dxa"/>
            <w:shd w:val="clear" w:color="auto" w:fill="auto"/>
            <w:tcMar>
              <w:top w:w="100" w:type="dxa"/>
              <w:left w:w="100" w:type="dxa"/>
              <w:bottom w:w="100" w:type="dxa"/>
              <w:right w:w="100" w:type="dxa"/>
            </w:tcMar>
          </w:tcPr>
          <w:p w14:paraId="7FC2E78A" w14:textId="11DBF842"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tab/ day for 3 days </w:t>
            </w:r>
          </w:p>
          <w:p w14:paraId="73398D9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tabs/ day for 3 days</w:t>
            </w:r>
          </w:p>
          <w:p w14:paraId="01F8FE5F"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tabs/ day for 3 days</w:t>
            </w:r>
          </w:p>
          <w:p w14:paraId="48433E61"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hour until pain is relieved </w:t>
            </w:r>
          </w:p>
        </w:tc>
        <w:tc>
          <w:tcPr>
            <w:tcW w:w="1800" w:type="dxa"/>
            <w:shd w:val="clear" w:color="auto" w:fill="auto"/>
            <w:tcMar>
              <w:top w:w="100" w:type="dxa"/>
              <w:left w:w="100" w:type="dxa"/>
              <w:bottom w:w="100" w:type="dxa"/>
              <w:right w:w="100" w:type="dxa"/>
            </w:tcMar>
          </w:tcPr>
          <w:p w14:paraId="56BCEE19" w14:textId="33914B63"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p w14:paraId="29072447" w14:textId="46A72682"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24(36)</w:t>
            </w:r>
          </w:p>
          <w:p w14:paraId="1207808D" w14:textId="6805EECD"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19(28)</w:t>
            </w:r>
          </w:p>
          <w:p w14:paraId="44DB6302" w14:textId="157D229E"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7(11)</w:t>
            </w:r>
          </w:p>
        </w:tc>
      </w:tr>
      <w:tr w:rsidR="006A3EC1" w14:paraId="138A1B3B" w14:textId="77777777" w:rsidTr="009E3EE1">
        <w:trPr>
          <w:trHeight w:val="20"/>
          <w:jc w:val="center"/>
        </w:trPr>
        <w:tc>
          <w:tcPr>
            <w:tcW w:w="4130" w:type="dxa"/>
            <w:shd w:val="clear" w:color="auto" w:fill="auto"/>
            <w:tcMar>
              <w:top w:w="100" w:type="dxa"/>
              <w:left w:w="100" w:type="dxa"/>
              <w:bottom w:w="100" w:type="dxa"/>
              <w:right w:w="100" w:type="dxa"/>
            </w:tcMar>
          </w:tcPr>
          <w:p w14:paraId="4AA83588" w14:textId="4B9D32FA" w:rsidR="006A3EC1" w:rsidRDefault="006A3EC1" w:rsidP="009E3EE1">
            <w:pPr>
              <w:spacing w:after="20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Ice packs can help relieve the pain in acute gout attack</w:t>
            </w:r>
          </w:p>
          <w:p w14:paraId="321A91D3" w14:textId="77777777" w:rsidR="006A3EC1" w:rsidRDefault="006A3EC1" w:rsidP="006A3EC1">
            <w:pPr>
              <w:spacing w:after="200" w:line="240" w:lineRule="auto"/>
              <w:contextualSpacing/>
              <w:rPr>
                <w:rFonts w:ascii="Times New Roman" w:eastAsia="Times New Roman" w:hAnsi="Times New Roman" w:cs="Times New Roman"/>
                <w:b/>
                <w:sz w:val="24"/>
                <w:szCs w:val="24"/>
              </w:rPr>
            </w:pPr>
          </w:p>
        </w:tc>
        <w:tc>
          <w:tcPr>
            <w:tcW w:w="3780" w:type="dxa"/>
            <w:shd w:val="clear" w:color="auto" w:fill="auto"/>
            <w:tcMar>
              <w:top w:w="100" w:type="dxa"/>
              <w:left w:w="100" w:type="dxa"/>
              <w:bottom w:w="100" w:type="dxa"/>
              <w:right w:w="100" w:type="dxa"/>
            </w:tcMar>
          </w:tcPr>
          <w:p w14:paraId="2A31D5EF"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54E8FF00"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40592950" w14:textId="098B804A"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01B249DC" w14:textId="7CA5D59F"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24(36)</w:t>
            </w:r>
          </w:p>
          <w:p w14:paraId="2FC827A2" w14:textId="010126E2"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13(19)</w:t>
            </w:r>
          </w:p>
          <w:p w14:paraId="3792BDDA" w14:textId="243D51CB"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30(45)</w:t>
            </w:r>
          </w:p>
        </w:tc>
      </w:tr>
      <w:tr w:rsidR="006A3EC1" w14:paraId="57E26E93" w14:textId="77777777" w:rsidTr="009E3EE1">
        <w:trPr>
          <w:trHeight w:val="1230"/>
          <w:jc w:val="center"/>
        </w:trPr>
        <w:tc>
          <w:tcPr>
            <w:tcW w:w="4130" w:type="dxa"/>
            <w:shd w:val="clear" w:color="auto" w:fill="auto"/>
            <w:tcMar>
              <w:top w:w="100" w:type="dxa"/>
              <w:left w:w="100" w:type="dxa"/>
              <w:bottom w:w="100" w:type="dxa"/>
              <w:right w:w="100" w:type="dxa"/>
            </w:tcMar>
          </w:tcPr>
          <w:p w14:paraId="1D8DABBF" w14:textId="77777777" w:rsidR="006A3EC1" w:rsidRDefault="006A3EC1" w:rsidP="009E3EE1">
            <w:pPr>
              <w:spacing w:after="20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Whom do you usually prescribe allopurinol to?</w:t>
            </w:r>
          </w:p>
          <w:p w14:paraId="5F0272FC" w14:textId="77777777" w:rsidR="006A3EC1" w:rsidRDefault="006A3EC1" w:rsidP="006A3EC1">
            <w:pPr>
              <w:spacing w:after="200" w:line="240" w:lineRule="auto"/>
              <w:contextualSpacing/>
              <w:rPr>
                <w:rFonts w:ascii="Times New Roman" w:eastAsia="Times New Roman" w:hAnsi="Times New Roman" w:cs="Times New Roman"/>
                <w:b/>
                <w:sz w:val="24"/>
                <w:szCs w:val="24"/>
              </w:rPr>
            </w:pPr>
          </w:p>
          <w:p w14:paraId="7C021B04" w14:textId="77777777" w:rsidR="006A3EC1" w:rsidRDefault="006A3EC1" w:rsidP="006A3EC1">
            <w:pPr>
              <w:spacing w:after="200" w:line="240" w:lineRule="auto"/>
              <w:contextualSpacing/>
              <w:rPr>
                <w:rFonts w:ascii="Times New Roman" w:eastAsia="Times New Roman" w:hAnsi="Times New Roman" w:cs="Times New Roman"/>
                <w:b/>
                <w:sz w:val="24"/>
                <w:szCs w:val="24"/>
              </w:rPr>
            </w:pPr>
          </w:p>
        </w:tc>
        <w:tc>
          <w:tcPr>
            <w:tcW w:w="3780" w:type="dxa"/>
            <w:shd w:val="clear" w:color="auto" w:fill="auto"/>
            <w:tcMar>
              <w:top w:w="100" w:type="dxa"/>
              <w:left w:w="100" w:type="dxa"/>
              <w:bottom w:w="100" w:type="dxa"/>
              <w:right w:w="100" w:type="dxa"/>
            </w:tcMar>
          </w:tcPr>
          <w:p w14:paraId="77D350C0" w14:textId="00567B9F" w:rsidR="006A3EC1" w:rsidRDefault="009E3EE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A3EC1">
              <w:rPr>
                <w:rFonts w:ascii="Times New Roman" w:eastAsia="Times New Roman" w:hAnsi="Times New Roman" w:cs="Times New Roman"/>
                <w:sz w:val="24"/>
                <w:szCs w:val="24"/>
              </w:rPr>
              <w:t xml:space="preserve">atient who </w:t>
            </w:r>
            <w:r>
              <w:rPr>
                <w:rFonts w:ascii="Times New Roman" w:eastAsia="Times New Roman" w:hAnsi="Times New Roman" w:cs="Times New Roman"/>
                <w:sz w:val="24"/>
                <w:szCs w:val="24"/>
              </w:rPr>
              <w:t>has</w:t>
            </w:r>
            <w:r w:rsidR="006A3EC1">
              <w:rPr>
                <w:rFonts w:ascii="Times New Roman" w:eastAsia="Times New Roman" w:hAnsi="Times New Roman" w:cs="Times New Roman"/>
                <w:sz w:val="24"/>
                <w:szCs w:val="24"/>
              </w:rPr>
              <w:t xml:space="preserve"> had 2-4 acute gout attack in 1 year</w:t>
            </w:r>
          </w:p>
          <w:p w14:paraId="6755DD0D" w14:textId="013EE555" w:rsidR="006A3EC1" w:rsidRDefault="009E3EE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A3EC1">
              <w:rPr>
                <w:rFonts w:ascii="Times New Roman" w:eastAsia="Times New Roman" w:hAnsi="Times New Roman" w:cs="Times New Roman"/>
                <w:sz w:val="24"/>
                <w:szCs w:val="24"/>
              </w:rPr>
              <w:t>atient with a symptomatic hyperuricemia</w:t>
            </w:r>
          </w:p>
          <w:p w14:paraId="640E33AE" w14:textId="44A1D944"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who </w:t>
            </w:r>
            <w:r w:rsidR="009E3EE1">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had &gt; 4 gout attacks in 1 year</w:t>
            </w:r>
          </w:p>
          <w:p w14:paraId="00CDCFF6" w14:textId="248BF97F"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who </w:t>
            </w:r>
            <w:r w:rsidR="009E3EE1">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had 1 acute gout attack in 1 year</w:t>
            </w:r>
          </w:p>
        </w:tc>
        <w:tc>
          <w:tcPr>
            <w:tcW w:w="1800" w:type="dxa"/>
            <w:shd w:val="clear" w:color="auto" w:fill="auto"/>
            <w:tcMar>
              <w:top w:w="100" w:type="dxa"/>
              <w:left w:w="100" w:type="dxa"/>
              <w:bottom w:w="100" w:type="dxa"/>
              <w:right w:w="100" w:type="dxa"/>
            </w:tcMar>
          </w:tcPr>
          <w:p w14:paraId="72AFCDBB" w14:textId="5F779A3C"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39(58.2)</w:t>
            </w:r>
          </w:p>
          <w:p w14:paraId="61EDC9EE" w14:textId="7777777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p>
          <w:p w14:paraId="0FA827E7" w14:textId="0A64CBB3"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18(27)</w:t>
            </w:r>
          </w:p>
          <w:p w14:paraId="1B02D722" w14:textId="7777777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p>
          <w:p w14:paraId="410F8888" w14:textId="57E7505E"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9(13.4)</w:t>
            </w:r>
          </w:p>
          <w:p w14:paraId="4EA68310" w14:textId="77777777"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p>
          <w:p w14:paraId="5D747612" w14:textId="600304C8"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r>
      <w:tr w:rsidR="006A3EC1" w14:paraId="4499F563" w14:textId="77777777" w:rsidTr="009E3EE1">
        <w:trPr>
          <w:trHeight w:val="20"/>
          <w:jc w:val="center"/>
        </w:trPr>
        <w:tc>
          <w:tcPr>
            <w:tcW w:w="4130" w:type="dxa"/>
            <w:shd w:val="clear" w:color="auto" w:fill="auto"/>
            <w:tcMar>
              <w:top w:w="100" w:type="dxa"/>
              <w:left w:w="100" w:type="dxa"/>
              <w:bottom w:w="100" w:type="dxa"/>
              <w:right w:w="100" w:type="dxa"/>
            </w:tcMar>
          </w:tcPr>
          <w:p w14:paraId="6BCEF058" w14:textId="77777777" w:rsidR="006A3EC1" w:rsidRDefault="006A3EC1" w:rsidP="006A3EC1">
            <w:p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for initiate allopurinol therapy</w:t>
            </w:r>
          </w:p>
        </w:tc>
        <w:tc>
          <w:tcPr>
            <w:tcW w:w="3780" w:type="dxa"/>
            <w:shd w:val="clear" w:color="auto" w:fill="auto"/>
            <w:tcMar>
              <w:top w:w="100" w:type="dxa"/>
              <w:left w:w="100" w:type="dxa"/>
              <w:bottom w:w="100" w:type="dxa"/>
              <w:right w:w="100" w:type="dxa"/>
            </w:tcMar>
          </w:tcPr>
          <w:p w14:paraId="778C6643"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During acute Gout attack</w:t>
            </w:r>
          </w:p>
          <w:p w14:paraId="603C182A"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1- 2 weeks after acute Gout attack</w:t>
            </w:r>
          </w:p>
          <w:p w14:paraId="7C77FEF6"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&lt;1 week after acute Gout attack</w:t>
            </w:r>
          </w:p>
          <w:p w14:paraId="7CE7603E" w14:textId="227D1F4D"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&gt;1 week after acute Gout attack</w:t>
            </w:r>
          </w:p>
        </w:tc>
        <w:tc>
          <w:tcPr>
            <w:tcW w:w="1800" w:type="dxa"/>
            <w:shd w:val="clear" w:color="auto" w:fill="auto"/>
            <w:tcMar>
              <w:top w:w="100" w:type="dxa"/>
              <w:left w:w="100" w:type="dxa"/>
              <w:bottom w:w="100" w:type="dxa"/>
              <w:right w:w="100" w:type="dxa"/>
            </w:tcMar>
          </w:tcPr>
          <w:p w14:paraId="6E7FA41A" w14:textId="6EDB564D"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14:paraId="31C75921" w14:textId="6F8ACC85"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45(67)</w:t>
            </w:r>
          </w:p>
          <w:p w14:paraId="47B31F2E" w14:textId="3AD4F098"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p w14:paraId="53642987" w14:textId="161ECED0"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r>
      <w:tr w:rsidR="006A3EC1" w14:paraId="7D74F709" w14:textId="77777777" w:rsidTr="009E3EE1">
        <w:trPr>
          <w:trHeight w:val="78"/>
          <w:jc w:val="center"/>
        </w:trPr>
        <w:tc>
          <w:tcPr>
            <w:tcW w:w="4130" w:type="dxa"/>
            <w:shd w:val="clear" w:color="auto" w:fill="auto"/>
            <w:tcMar>
              <w:top w:w="100" w:type="dxa"/>
              <w:left w:w="100" w:type="dxa"/>
              <w:bottom w:w="100" w:type="dxa"/>
              <w:right w:w="100" w:type="dxa"/>
            </w:tcMar>
          </w:tcPr>
          <w:p w14:paraId="148710E5" w14:textId="77777777" w:rsidR="006A3EC1" w:rsidRDefault="006A3EC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for discontinuing allopurinol therapy</w:t>
            </w:r>
          </w:p>
        </w:tc>
        <w:tc>
          <w:tcPr>
            <w:tcW w:w="3780" w:type="dxa"/>
            <w:shd w:val="clear" w:color="auto" w:fill="auto"/>
            <w:tcMar>
              <w:top w:w="100" w:type="dxa"/>
              <w:left w:w="100" w:type="dxa"/>
              <w:bottom w:w="100" w:type="dxa"/>
              <w:right w:w="100" w:type="dxa"/>
            </w:tcMar>
          </w:tcPr>
          <w:p w14:paraId="7CF03BF6"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serum uric acid normalizes</w:t>
            </w:r>
          </w:p>
          <w:p w14:paraId="273936C4" w14:textId="4D4F5BEE"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serum acid is less </w:t>
            </w:r>
            <w:r w:rsidR="009E3EE1">
              <w:rPr>
                <w:rFonts w:ascii="Times New Roman" w:eastAsia="Times New Roman" w:hAnsi="Times New Roman" w:cs="Times New Roman"/>
                <w:sz w:val="24"/>
                <w:szCs w:val="24"/>
              </w:rPr>
              <w:t>t</w:t>
            </w:r>
            <w:r>
              <w:rPr>
                <w:rFonts w:ascii="Times New Roman" w:eastAsia="Times New Roman" w:hAnsi="Times New Roman" w:cs="Times New Roman"/>
                <w:sz w:val="24"/>
                <w:szCs w:val="24"/>
              </w:rPr>
              <w:t>han normal</w:t>
            </w:r>
          </w:p>
          <w:p w14:paraId="58F6D458"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After 1 year</w:t>
            </w:r>
          </w:p>
          <w:p w14:paraId="1C9FCBD4" w14:textId="103D1754"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p>
        </w:tc>
        <w:tc>
          <w:tcPr>
            <w:tcW w:w="1800" w:type="dxa"/>
            <w:shd w:val="clear" w:color="auto" w:fill="auto"/>
            <w:tcMar>
              <w:top w:w="100" w:type="dxa"/>
              <w:left w:w="100" w:type="dxa"/>
              <w:bottom w:w="100" w:type="dxa"/>
              <w:right w:w="100" w:type="dxa"/>
            </w:tcMar>
          </w:tcPr>
          <w:p w14:paraId="60D5475F" w14:textId="488903C8"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(43.3)</w:t>
            </w:r>
          </w:p>
          <w:p w14:paraId="711FDFB3" w14:textId="4E5C5DD8"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(9)</w:t>
            </w:r>
          </w:p>
          <w:p w14:paraId="6ED5CE36" w14:textId="6908CF0D" w:rsidR="006A3EC1" w:rsidRDefault="006A3EC1" w:rsidP="006A3EC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(13.4)</w:t>
            </w:r>
          </w:p>
          <w:p w14:paraId="395B450E" w14:textId="11FC1E10"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(34.3)</w:t>
            </w:r>
          </w:p>
        </w:tc>
      </w:tr>
      <w:tr w:rsidR="006A3EC1" w14:paraId="25DE9CC6" w14:textId="77777777" w:rsidTr="009E3EE1">
        <w:trPr>
          <w:trHeight w:val="20"/>
          <w:jc w:val="center"/>
        </w:trPr>
        <w:tc>
          <w:tcPr>
            <w:tcW w:w="4130" w:type="dxa"/>
            <w:shd w:val="clear" w:color="auto" w:fill="auto"/>
            <w:tcMar>
              <w:top w:w="100" w:type="dxa"/>
              <w:left w:w="100" w:type="dxa"/>
              <w:bottom w:w="100" w:type="dxa"/>
              <w:right w:w="100" w:type="dxa"/>
            </w:tcMar>
          </w:tcPr>
          <w:p w14:paraId="5A08AEDF" w14:textId="77777777" w:rsidR="006A3EC1" w:rsidRDefault="006A3EC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prophylactic drug do you usually administer? </w:t>
            </w:r>
          </w:p>
        </w:tc>
        <w:tc>
          <w:tcPr>
            <w:tcW w:w="3780" w:type="dxa"/>
            <w:shd w:val="clear" w:color="auto" w:fill="auto"/>
            <w:tcMar>
              <w:top w:w="100" w:type="dxa"/>
              <w:left w:w="100" w:type="dxa"/>
              <w:bottom w:w="100" w:type="dxa"/>
              <w:right w:w="100" w:type="dxa"/>
            </w:tcMar>
          </w:tcPr>
          <w:p w14:paraId="0C37DF0F"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NSAIDs </w:t>
            </w:r>
          </w:p>
          <w:p w14:paraId="5674EFEE"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Corticosteroids </w:t>
            </w:r>
          </w:p>
          <w:p w14:paraId="5F25611D" w14:textId="4A1018C8"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not usually give prophylactic</w:t>
            </w:r>
          </w:p>
          <w:p w14:paraId="1A2978FB" w14:textId="380B85B4"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800" w:type="dxa"/>
            <w:shd w:val="clear" w:color="auto" w:fill="auto"/>
            <w:tcMar>
              <w:top w:w="100" w:type="dxa"/>
              <w:left w:w="100" w:type="dxa"/>
              <w:bottom w:w="100" w:type="dxa"/>
              <w:right w:w="100" w:type="dxa"/>
            </w:tcMar>
          </w:tcPr>
          <w:p w14:paraId="48F09C57" w14:textId="76994A70"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w:t>
            </w:r>
          </w:p>
          <w:p w14:paraId="51AA9FA1" w14:textId="71C9AC3C"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14:paraId="19BABE27" w14:textId="60E17C3F"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p w14:paraId="4412F21A" w14:textId="66938B18"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r>
      <w:tr w:rsidR="006A3EC1" w14:paraId="281BE9D5" w14:textId="77777777" w:rsidTr="009E3EE1">
        <w:trPr>
          <w:trHeight w:val="510"/>
          <w:jc w:val="center"/>
        </w:trPr>
        <w:tc>
          <w:tcPr>
            <w:tcW w:w="4130" w:type="dxa"/>
            <w:shd w:val="clear" w:color="auto" w:fill="auto"/>
            <w:tcMar>
              <w:top w:w="100" w:type="dxa"/>
              <w:left w:w="100" w:type="dxa"/>
              <w:bottom w:w="100" w:type="dxa"/>
              <w:right w:w="100" w:type="dxa"/>
            </w:tcMar>
          </w:tcPr>
          <w:p w14:paraId="706B73A9" w14:textId="77777777" w:rsidR="006A3EC1" w:rsidRDefault="006A3EC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 to reading this questionnaire, are you aware that gout can cause joint contracture?</w:t>
            </w:r>
          </w:p>
        </w:tc>
        <w:tc>
          <w:tcPr>
            <w:tcW w:w="3780" w:type="dxa"/>
            <w:shd w:val="clear" w:color="auto" w:fill="auto"/>
            <w:tcMar>
              <w:top w:w="100" w:type="dxa"/>
              <w:left w:w="100" w:type="dxa"/>
              <w:bottom w:w="100" w:type="dxa"/>
              <w:right w:w="100" w:type="dxa"/>
            </w:tcMar>
          </w:tcPr>
          <w:p w14:paraId="03F7F742"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5AD55CF1"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654117F9" w14:textId="465B6BB5"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488E0367" w14:textId="31C53BF1"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44(66)</w:t>
            </w:r>
          </w:p>
          <w:p w14:paraId="0B255E63" w14:textId="4EBFDE70"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14(21)</w:t>
            </w:r>
          </w:p>
          <w:p w14:paraId="0D4195C9" w14:textId="1019F45A"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r>
      <w:tr w:rsidR="006A3EC1" w14:paraId="1B19B41D" w14:textId="77777777" w:rsidTr="009E3EE1">
        <w:trPr>
          <w:trHeight w:val="20"/>
          <w:jc w:val="center"/>
        </w:trPr>
        <w:tc>
          <w:tcPr>
            <w:tcW w:w="4130" w:type="dxa"/>
            <w:shd w:val="clear" w:color="auto" w:fill="auto"/>
            <w:tcMar>
              <w:top w:w="100" w:type="dxa"/>
              <w:left w:w="100" w:type="dxa"/>
              <w:bottom w:w="100" w:type="dxa"/>
              <w:right w:w="100" w:type="dxa"/>
            </w:tcMar>
          </w:tcPr>
          <w:p w14:paraId="348F26F8" w14:textId="77777777" w:rsidR="006A3EC1" w:rsidRDefault="006A3EC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initiating allopurinol therapy, how often do you give prophylactic </w:t>
            </w:r>
            <w:r>
              <w:rPr>
                <w:rFonts w:ascii="Times New Roman" w:eastAsia="Times New Roman" w:hAnsi="Times New Roman" w:cs="Times New Roman"/>
                <w:b/>
                <w:sz w:val="24"/>
                <w:szCs w:val="24"/>
              </w:rPr>
              <w:lastRenderedPageBreak/>
              <w:t>treatment to prevent acute gout attacks?</w:t>
            </w:r>
          </w:p>
        </w:tc>
        <w:tc>
          <w:tcPr>
            <w:tcW w:w="3780" w:type="dxa"/>
            <w:shd w:val="clear" w:color="auto" w:fill="auto"/>
            <w:tcMar>
              <w:top w:w="100" w:type="dxa"/>
              <w:left w:w="100" w:type="dxa"/>
              <w:bottom w:w="100" w:type="dxa"/>
              <w:right w:w="100" w:type="dxa"/>
            </w:tcMar>
          </w:tcPr>
          <w:p w14:paraId="21714075"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Rarely</w:t>
            </w:r>
          </w:p>
          <w:p w14:paraId="10C287E5"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Often</w:t>
            </w:r>
          </w:p>
          <w:p w14:paraId="11E4294C"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Sometimes </w:t>
            </w:r>
          </w:p>
          <w:p w14:paraId="72D6CCD6" w14:textId="7910F88F"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Very often</w:t>
            </w:r>
          </w:p>
        </w:tc>
        <w:tc>
          <w:tcPr>
            <w:tcW w:w="1800" w:type="dxa"/>
            <w:shd w:val="clear" w:color="auto" w:fill="auto"/>
            <w:tcMar>
              <w:top w:w="100" w:type="dxa"/>
              <w:left w:w="100" w:type="dxa"/>
              <w:bottom w:w="100" w:type="dxa"/>
              <w:right w:w="100" w:type="dxa"/>
            </w:tcMar>
          </w:tcPr>
          <w:p w14:paraId="122D228C" w14:textId="454BFAC6"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36(53.7)</w:t>
            </w:r>
          </w:p>
          <w:p w14:paraId="6892FD18" w14:textId="0EE05CB8"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p w14:paraId="6A047BD0" w14:textId="5051A9B4"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20(30)</w:t>
            </w:r>
          </w:p>
          <w:p w14:paraId="357D184B" w14:textId="67E83455"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r>
      <w:tr w:rsidR="006A3EC1" w14:paraId="2C62EC48" w14:textId="77777777" w:rsidTr="009E3EE1">
        <w:trPr>
          <w:trHeight w:val="20"/>
          <w:jc w:val="center"/>
        </w:trPr>
        <w:tc>
          <w:tcPr>
            <w:tcW w:w="4130" w:type="dxa"/>
            <w:shd w:val="clear" w:color="auto" w:fill="auto"/>
            <w:tcMar>
              <w:top w:w="100" w:type="dxa"/>
              <w:left w:w="100" w:type="dxa"/>
              <w:bottom w:w="100" w:type="dxa"/>
              <w:right w:w="100" w:type="dxa"/>
            </w:tcMar>
          </w:tcPr>
          <w:p w14:paraId="15D9098A" w14:textId="77777777" w:rsidR="006A3EC1" w:rsidRDefault="006A3EC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Diuretics can cause drug interaction with hyperuricemia?</w:t>
            </w:r>
          </w:p>
        </w:tc>
        <w:tc>
          <w:tcPr>
            <w:tcW w:w="3780" w:type="dxa"/>
            <w:shd w:val="clear" w:color="auto" w:fill="auto"/>
            <w:tcMar>
              <w:top w:w="100" w:type="dxa"/>
              <w:left w:w="100" w:type="dxa"/>
              <w:bottom w:w="100" w:type="dxa"/>
              <w:right w:w="100" w:type="dxa"/>
            </w:tcMar>
          </w:tcPr>
          <w:p w14:paraId="025F9376"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27A8CFF0" w14:textId="77777777"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424FA33D" w14:textId="123DFB44" w:rsidR="006A3EC1" w:rsidRDefault="006A3EC1" w:rsidP="006A3EC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800" w:type="dxa"/>
            <w:shd w:val="clear" w:color="auto" w:fill="auto"/>
            <w:tcMar>
              <w:top w:w="100" w:type="dxa"/>
              <w:left w:w="100" w:type="dxa"/>
              <w:bottom w:w="100" w:type="dxa"/>
              <w:right w:w="100" w:type="dxa"/>
            </w:tcMar>
          </w:tcPr>
          <w:p w14:paraId="76B33C08" w14:textId="522C87D4"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50(75)</w:t>
            </w:r>
          </w:p>
          <w:p w14:paraId="551302EE" w14:textId="1163BFE3"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14:paraId="0436262B" w14:textId="3AC52236" w:rsidR="006A3EC1" w:rsidRDefault="006A3EC1" w:rsidP="006A3EC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12(18)</w:t>
            </w:r>
          </w:p>
        </w:tc>
      </w:tr>
    </w:tbl>
    <w:p w14:paraId="4BA1E80B" w14:textId="77777777" w:rsidR="00FA464A" w:rsidRDefault="00FA464A" w:rsidP="009E3EE1">
      <w:pPr>
        <w:spacing w:line="480" w:lineRule="auto"/>
        <w:jc w:val="both"/>
        <w:rPr>
          <w:rFonts w:ascii="Times New Roman" w:eastAsia="Times New Roman" w:hAnsi="Times New Roman" w:cs="Times New Roman"/>
          <w:b/>
          <w:bCs/>
          <w:sz w:val="24"/>
          <w:szCs w:val="24"/>
        </w:rPr>
      </w:pPr>
    </w:p>
    <w:p w14:paraId="6C51C5FD" w14:textId="4CBEB7E7" w:rsidR="009E3EE1" w:rsidRPr="009E3EE1" w:rsidRDefault="009E3EE1" w:rsidP="009E3EE1">
      <w:pPr>
        <w:spacing w:line="480" w:lineRule="auto"/>
        <w:jc w:val="both"/>
        <w:rPr>
          <w:rFonts w:ascii="Times New Roman" w:eastAsia="Times New Roman" w:hAnsi="Times New Roman" w:cs="Times New Roman"/>
          <w:b/>
          <w:bCs/>
          <w:sz w:val="24"/>
          <w:szCs w:val="24"/>
        </w:rPr>
      </w:pPr>
      <w:r w:rsidRPr="009E3EE1">
        <w:rPr>
          <w:rFonts w:ascii="Times New Roman" w:eastAsia="Times New Roman" w:hAnsi="Times New Roman" w:cs="Times New Roman"/>
          <w:b/>
          <w:bCs/>
          <w:sz w:val="24"/>
          <w:szCs w:val="24"/>
        </w:rPr>
        <w:t xml:space="preserve">3.3 Attitude Assessment </w:t>
      </w:r>
    </w:p>
    <w:p w14:paraId="18257605" w14:textId="4EBB7999" w:rsidR="009E3EE1" w:rsidRPr="009E3EE1" w:rsidRDefault="009E3EE1" w:rsidP="009E3EE1">
      <w:pPr>
        <w:spacing w:line="480" w:lineRule="auto"/>
        <w:ind w:firstLine="720"/>
        <w:jc w:val="both"/>
        <w:rPr>
          <w:rFonts w:ascii="Times New Roman" w:hAnsi="Times New Roman" w:cs="Times New Roman"/>
          <w:sz w:val="24"/>
          <w:szCs w:val="24"/>
        </w:rPr>
      </w:pPr>
      <w:r w:rsidRPr="009E3EE1">
        <w:rPr>
          <w:rFonts w:ascii="Times New Roman" w:hAnsi="Times New Roman" w:cs="Times New Roman"/>
          <w:sz w:val="24"/>
          <w:szCs w:val="24"/>
        </w:rPr>
        <w:t xml:space="preserve">Regarding physicians' attitudes, 91% agreed that "gout is a disease that can affect quality of life," and 47.8% believed that "gout is a lifelong condition." Additionally, 64% responded affirmatively to the statement "the guidelines for gout management are clear and understandable." Most participants (92.5%) thought that gout requires personal and treatment control. However, 64% of the participants felt that the gout management guidelines are not clear and understandable. </w:t>
      </w:r>
    </w:p>
    <w:p w14:paraId="702D6213" w14:textId="0934D48D" w:rsidR="009E3EE1" w:rsidRDefault="009E3EE1" w:rsidP="009E3EE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3. </w:t>
      </w:r>
      <w:r w:rsidRPr="009E3EE1">
        <w:rPr>
          <w:rFonts w:ascii="Times New Roman" w:eastAsia="Times New Roman" w:hAnsi="Times New Roman" w:cs="Times New Roman"/>
          <w:bCs/>
          <w:sz w:val="24"/>
          <w:szCs w:val="24"/>
        </w:rPr>
        <w:t>Attitude of the physicians regarding gout management (n=67)</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20"/>
        <w:gridCol w:w="2340"/>
        <w:gridCol w:w="1900"/>
      </w:tblGrid>
      <w:tr w:rsidR="009E3EE1" w14:paraId="71322083" w14:textId="77777777" w:rsidTr="009E3EE1">
        <w:trPr>
          <w:jc w:val="center"/>
        </w:trPr>
        <w:tc>
          <w:tcPr>
            <w:tcW w:w="5120" w:type="dxa"/>
            <w:shd w:val="clear" w:color="auto" w:fill="auto"/>
            <w:tcMar>
              <w:top w:w="100" w:type="dxa"/>
              <w:left w:w="100" w:type="dxa"/>
              <w:bottom w:w="100" w:type="dxa"/>
              <w:right w:w="100" w:type="dxa"/>
            </w:tcMar>
          </w:tcPr>
          <w:p w14:paraId="18185EF4"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Attitude Questions</w:t>
            </w:r>
          </w:p>
        </w:tc>
        <w:tc>
          <w:tcPr>
            <w:tcW w:w="2340" w:type="dxa"/>
            <w:shd w:val="clear" w:color="auto" w:fill="auto"/>
            <w:tcMar>
              <w:top w:w="100" w:type="dxa"/>
              <w:left w:w="100" w:type="dxa"/>
              <w:bottom w:w="100" w:type="dxa"/>
              <w:right w:w="100" w:type="dxa"/>
            </w:tcMar>
          </w:tcPr>
          <w:p w14:paraId="79FF676A" w14:textId="0854DF2C"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1900" w:type="dxa"/>
            <w:shd w:val="clear" w:color="auto" w:fill="auto"/>
            <w:tcMar>
              <w:top w:w="100" w:type="dxa"/>
              <w:left w:w="100" w:type="dxa"/>
              <w:bottom w:w="100" w:type="dxa"/>
              <w:right w:w="100" w:type="dxa"/>
            </w:tcMar>
          </w:tcPr>
          <w:p w14:paraId="562F573A" w14:textId="205F375B"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Frequency (%)</w:t>
            </w:r>
          </w:p>
        </w:tc>
      </w:tr>
      <w:tr w:rsidR="009E3EE1" w14:paraId="40764222" w14:textId="77777777" w:rsidTr="009E3EE1">
        <w:trPr>
          <w:trHeight w:val="20"/>
          <w:jc w:val="center"/>
        </w:trPr>
        <w:tc>
          <w:tcPr>
            <w:tcW w:w="5120" w:type="dxa"/>
            <w:shd w:val="clear" w:color="auto" w:fill="auto"/>
            <w:tcMar>
              <w:top w:w="100" w:type="dxa"/>
              <w:left w:w="100" w:type="dxa"/>
              <w:bottom w:w="100" w:type="dxa"/>
              <w:right w:w="100" w:type="dxa"/>
            </w:tcMar>
          </w:tcPr>
          <w:p w14:paraId="2B1636A1" w14:textId="61DF1C83" w:rsidR="009E3EE1" w:rsidRDefault="009E3EE1" w:rsidP="009E3EE1">
            <w:p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think gout is a disease that can affect</w:t>
            </w:r>
            <w:r w:rsidR="000D50FB">
              <w:rPr>
                <w:rFonts w:ascii="Times New Roman" w:eastAsia="Times New Roman" w:hAnsi="Times New Roman" w:cs="Times New Roman"/>
                <w:b/>
                <w:sz w:val="24"/>
                <w:szCs w:val="24"/>
              </w:rPr>
              <w:t xml:space="preserve"> </w:t>
            </w:r>
            <w:r w:rsidR="000D50FB" w:rsidRPr="000D50FB">
              <w:rPr>
                <w:rFonts w:ascii="Times New Roman" w:eastAsia="Times New Roman" w:hAnsi="Times New Roman" w:cs="Times New Roman"/>
                <w:b/>
                <w:color w:val="FF0000"/>
                <w:sz w:val="24"/>
                <w:szCs w:val="24"/>
                <w:highlight w:val="yellow"/>
              </w:rPr>
              <w:t>quality of</w:t>
            </w:r>
            <w:r w:rsidRPr="000D50FB">
              <w:rPr>
                <w:rFonts w:ascii="Times New Roman" w:eastAsia="Times New Roman" w:hAnsi="Times New Roman" w:cs="Times New Roman"/>
                <w:b/>
                <w:color w:val="FF0000"/>
                <w:sz w:val="24"/>
                <w:szCs w:val="24"/>
                <w:highlight w:val="yellow"/>
              </w:rPr>
              <w:t xml:space="preserve"> life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tc>
        <w:tc>
          <w:tcPr>
            <w:tcW w:w="2340" w:type="dxa"/>
            <w:shd w:val="clear" w:color="auto" w:fill="auto"/>
            <w:tcMar>
              <w:top w:w="100" w:type="dxa"/>
              <w:left w:w="100" w:type="dxa"/>
              <w:bottom w:w="100" w:type="dxa"/>
              <w:right w:w="100" w:type="dxa"/>
            </w:tcMar>
          </w:tcPr>
          <w:p w14:paraId="5634410B"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2DB015AE"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0E3A8DD7" w14:textId="573C8BBA"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900" w:type="dxa"/>
            <w:shd w:val="clear" w:color="auto" w:fill="auto"/>
            <w:tcMar>
              <w:top w:w="100" w:type="dxa"/>
              <w:left w:w="100" w:type="dxa"/>
              <w:bottom w:w="100" w:type="dxa"/>
              <w:right w:w="100" w:type="dxa"/>
            </w:tcMar>
          </w:tcPr>
          <w:p w14:paraId="74647B44" w14:textId="171A1FC1"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(91)</w:t>
            </w:r>
          </w:p>
          <w:p w14:paraId="4DD9DDF5" w14:textId="6040E3B6" w:rsidR="009E3EE1" w:rsidRDefault="009E3EE1" w:rsidP="009E3EE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7760324A" w14:textId="346CAA97"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w:t>
            </w:r>
          </w:p>
        </w:tc>
      </w:tr>
      <w:tr w:rsidR="009E3EE1" w14:paraId="3F2CA965" w14:textId="77777777" w:rsidTr="009E3EE1">
        <w:trPr>
          <w:trHeight w:val="20"/>
          <w:jc w:val="center"/>
        </w:trPr>
        <w:tc>
          <w:tcPr>
            <w:tcW w:w="5120" w:type="dxa"/>
            <w:shd w:val="clear" w:color="auto" w:fill="auto"/>
            <w:tcMar>
              <w:top w:w="100" w:type="dxa"/>
              <w:left w:w="100" w:type="dxa"/>
              <w:bottom w:w="100" w:type="dxa"/>
              <w:right w:w="100" w:type="dxa"/>
            </w:tcMar>
          </w:tcPr>
          <w:p w14:paraId="72A19112"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think gout continues forever?</w:t>
            </w:r>
          </w:p>
        </w:tc>
        <w:tc>
          <w:tcPr>
            <w:tcW w:w="2340" w:type="dxa"/>
            <w:shd w:val="clear" w:color="auto" w:fill="auto"/>
            <w:tcMar>
              <w:top w:w="100" w:type="dxa"/>
              <w:left w:w="100" w:type="dxa"/>
              <w:bottom w:w="100" w:type="dxa"/>
              <w:right w:w="100" w:type="dxa"/>
            </w:tcMar>
          </w:tcPr>
          <w:p w14:paraId="4E4A9F85"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1FD6956C"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3B4760CA" w14:textId="062F1D7D"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900" w:type="dxa"/>
            <w:shd w:val="clear" w:color="auto" w:fill="auto"/>
            <w:tcMar>
              <w:top w:w="100" w:type="dxa"/>
              <w:left w:w="100" w:type="dxa"/>
              <w:bottom w:w="100" w:type="dxa"/>
              <w:right w:w="100" w:type="dxa"/>
            </w:tcMar>
          </w:tcPr>
          <w:p w14:paraId="050EC9F1" w14:textId="1832E692"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(47.8)</w:t>
            </w:r>
          </w:p>
          <w:p w14:paraId="2365CBFD" w14:textId="73C41FF7"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(41.8)</w:t>
            </w:r>
          </w:p>
          <w:p w14:paraId="3C590BF6" w14:textId="460B3806"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(10.4)</w:t>
            </w:r>
          </w:p>
        </w:tc>
      </w:tr>
      <w:tr w:rsidR="009E3EE1" w14:paraId="53890B97" w14:textId="77777777" w:rsidTr="009E3EE1">
        <w:trPr>
          <w:trHeight w:val="20"/>
          <w:jc w:val="center"/>
        </w:trPr>
        <w:tc>
          <w:tcPr>
            <w:tcW w:w="5120" w:type="dxa"/>
            <w:shd w:val="clear" w:color="auto" w:fill="auto"/>
            <w:tcMar>
              <w:top w:w="100" w:type="dxa"/>
              <w:left w:w="100" w:type="dxa"/>
              <w:bottom w:w="100" w:type="dxa"/>
              <w:right w:w="100" w:type="dxa"/>
            </w:tcMar>
          </w:tcPr>
          <w:p w14:paraId="68582F42"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Gout needs personal and treatment control</w:t>
            </w:r>
          </w:p>
        </w:tc>
        <w:tc>
          <w:tcPr>
            <w:tcW w:w="2340" w:type="dxa"/>
            <w:shd w:val="clear" w:color="auto" w:fill="auto"/>
            <w:tcMar>
              <w:top w:w="100" w:type="dxa"/>
              <w:left w:w="100" w:type="dxa"/>
              <w:bottom w:w="100" w:type="dxa"/>
              <w:right w:w="100" w:type="dxa"/>
            </w:tcMar>
          </w:tcPr>
          <w:p w14:paraId="4C021BC4"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07EFFB9C"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1A19E187" w14:textId="1C943523"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900" w:type="dxa"/>
            <w:shd w:val="clear" w:color="auto" w:fill="auto"/>
            <w:tcMar>
              <w:top w:w="100" w:type="dxa"/>
              <w:left w:w="100" w:type="dxa"/>
              <w:bottom w:w="100" w:type="dxa"/>
              <w:right w:w="100" w:type="dxa"/>
            </w:tcMar>
          </w:tcPr>
          <w:p w14:paraId="21FA2E93" w14:textId="41FD7F5E"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 (92.5)</w:t>
            </w:r>
          </w:p>
          <w:p w14:paraId="15D98B41" w14:textId="350C1F47" w:rsidR="009E3EE1" w:rsidRDefault="009E3EE1" w:rsidP="009E3EE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w:t>
            </w:r>
          </w:p>
          <w:p w14:paraId="6DEDB6C1" w14:textId="2D18B060"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(4.5)</w:t>
            </w:r>
          </w:p>
        </w:tc>
      </w:tr>
      <w:tr w:rsidR="009E3EE1" w14:paraId="63F6CBCC" w14:textId="77777777" w:rsidTr="009E3EE1">
        <w:trPr>
          <w:trHeight w:val="20"/>
          <w:jc w:val="center"/>
        </w:trPr>
        <w:tc>
          <w:tcPr>
            <w:tcW w:w="5120" w:type="dxa"/>
            <w:shd w:val="clear" w:color="auto" w:fill="auto"/>
            <w:tcMar>
              <w:top w:w="100" w:type="dxa"/>
              <w:left w:w="100" w:type="dxa"/>
              <w:bottom w:w="100" w:type="dxa"/>
              <w:right w:w="100" w:type="dxa"/>
            </w:tcMar>
          </w:tcPr>
          <w:p w14:paraId="72485A82"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About guidelines of gout management, is it clear and understandable? </w:t>
            </w:r>
          </w:p>
        </w:tc>
        <w:tc>
          <w:tcPr>
            <w:tcW w:w="2340" w:type="dxa"/>
            <w:shd w:val="clear" w:color="auto" w:fill="auto"/>
            <w:tcMar>
              <w:top w:w="100" w:type="dxa"/>
              <w:left w:w="100" w:type="dxa"/>
              <w:bottom w:w="100" w:type="dxa"/>
              <w:right w:w="100" w:type="dxa"/>
            </w:tcMar>
          </w:tcPr>
          <w:p w14:paraId="06A37FB8"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p>
          <w:p w14:paraId="49676306" w14:textId="77777777"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5CC52988" w14:textId="1E4ECB54" w:rsidR="009E3EE1" w:rsidRDefault="009E3EE1" w:rsidP="009E3EE1">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w:t>
            </w:r>
          </w:p>
        </w:tc>
        <w:tc>
          <w:tcPr>
            <w:tcW w:w="1900" w:type="dxa"/>
            <w:shd w:val="clear" w:color="auto" w:fill="auto"/>
            <w:tcMar>
              <w:top w:w="100" w:type="dxa"/>
              <w:left w:w="100" w:type="dxa"/>
              <w:bottom w:w="100" w:type="dxa"/>
              <w:right w:w="100" w:type="dxa"/>
            </w:tcMar>
          </w:tcPr>
          <w:p w14:paraId="54FBA78D" w14:textId="3E8C6B63" w:rsidR="009E3EE1" w:rsidRDefault="009E3EE1" w:rsidP="009E3EE1">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(64)</w:t>
            </w:r>
          </w:p>
          <w:p w14:paraId="5557B858" w14:textId="2C0097CC"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(15)</w:t>
            </w:r>
          </w:p>
          <w:p w14:paraId="12D72D70" w14:textId="2DCC36FD" w:rsidR="009E3EE1" w:rsidRDefault="009E3EE1" w:rsidP="009E3EE1">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(21)</w:t>
            </w:r>
          </w:p>
        </w:tc>
      </w:tr>
    </w:tbl>
    <w:p w14:paraId="78A851A9" w14:textId="77E15C59" w:rsidR="009E3EE1" w:rsidRDefault="009E3EE1" w:rsidP="009E3EE1">
      <w:pPr>
        <w:spacing w:after="200" w:line="360" w:lineRule="auto"/>
        <w:rPr>
          <w:rFonts w:ascii="Times New Roman" w:eastAsia="Times New Roman" w:hAnsi="Times New Roman" w:cs="Times New Roman"/>
          <w:b/>
          <w:sz w:val="24"/>
          <w:szCs w:val="24"/>
        </w:rPr>
      </w:pPr>
    </w:p>
    <w:p w14:paraId="001D617D" w14:textId="77777777" w:rsidR="009E3EE1" w:rsidRPr="00673E97" w:rsidRDefault="009E3EE1" w:rsidP="009E3EE1">
      <w:pPr>
        <w:spacing w:line="480" w:lineRule="auto"/>
        <w:jc w:val="both"/>
        <w:rPr>
          <w:rFonts w:ascii="Times New Roman" w:eastAsia="Times New Roman" w:hAnsi="Times New Roman" w:cs="Times New Roman"/>
          <w:b/>
          <w:bCs/>
          <w:sz w:val="24"/>
          <w:szCs w:val="24"/>
        </w:rPr>
      </w:pPr>
      <w:r w:rsidRPr="00673E97">
        <w:rPr>
          <w:rFonts w:ascii="Times New Roman" w:eastAsia="Times New Roman" w:hAnsi="Times New Roman" w:cs="Times New Roman"/>
          <w:b/>
          <w:bCs/>
          <w:sz w:val="24"/>
          <w:szCs w:val="24"/>
        </w:rPr>
        <w:t xml:space="preserve">3.4 Practice Assessment </w:t>
      </w:r>
    </w:p>
    <w:p w14:paraId="3EF99ABC" w14:textId="79030868" w:rsidR="00A42F08" w:rsidRPr="003676C4" w:rsidRDefault="00A42F08" w:rsidP="003676C4">
      <w:pPr>
        <w:spacing w:line="480" w:lineRule="auto"/>
        <w:ind w:firstLine="720"/>
        <w:jc w:val="both"/>
        <w:rPr>
          <w:rFonts w:ascii="Times New Roman" w:hAnsi="Times New Roman" w:cs="Times New Roman"/>
          <w:sz w:val="24"/>
          <w:szCs w:val="24"/>
        </w:rPr>
      </w:pPr>
      <w:r w:rsidRPr="00A42F08">
        <w:rPr>
          <w:rFonts w:ascii="Times New Roman" w:hAnsi="Times New Roman" w:cs="Times New Roman"/>
          <w:sz w:val="24"/>
          <w:szCs w:val="24"/>
        </w:rPr>
        <w:t xml:space="preserve">Regarding physicians' practices, 37.3% recommended synovial fluid examination for patients with suspected gouty arthritis. Additionally, 80.6% ordered serum uric acid levels for </w:t>
      </w:r>
      <w:r w:rsidRPr="00A42F08">
        <w:rPr>
          <w:rFonts w:ascii="Times New Roman" w:hAnsi="Times New Roman" w:cs="Times New Roman"/>
          <w:sz w:val="24"/>
          <w:szCs w:val="24"/>
        </w:rPr>
        <w:lastRenderedPageBreak/>
        <w:t>patients presenting with joint pain. Seventy-six percent advised "resting the joint," while 12% suggested frequent joint movement. When counseling patients, 76% recommended reducing beef consumption, and 38.8% advised decreasing organ meat intake. Most participants (62.7%) repeated serum uric acid measurements every 3-6 months. Furthermore, 41.8% of the participants educated patients about joint movement to prevent and manage joint contractures in gout patients</w:t>
      </w:r>
      <w:r w:rsidR="009E3EE1" w:rsidRPr="00A42F08">
        <w:rPr>
          <w:rFonts w:ascii="Times New Roman" w:hAnsi="Times New Roman" w:cs="Times New Roman"/>
          <w:sz w:val="24"/>
          <w:szCs w:val="24"/>
        </w:rPr>
        <w:t xml:space="preserve">. </w:t>
      </w:r>
      <w:r w:rsidR="00D36C64" w:rsidRPr="00E244F1">
        <w:rPr>
          <w:rFonts w:ascii="Times New Roman" w:hAnsi="Times New Roman" w:cs="Times New Roman"/>
          <w:sz w:val="24"/>
          <w:szCs w:val="24"/>
        </w:rPr>
        <w:t xml:space="preserve">Overall, </w:t>
      </w:r>
      <w:r w:rsidR="00D36C64">
        <w:rPr>
          <w:rFonts w:ascii="Times New Roman" w:hAnsi="Times New Roman" w:cs="Times New Roman"/>
          <w:sz w:val="24"/>
          <w:szCs w:val="24"/>
        </w:rPr>
        <w:t>49</w:t>
      </w:r>
      <w:r w:rsidR="00D36C64" w:rsidRPr="00E244F1">
        <w:rPr>
          <w:rFonts w:ascii="Times New Roman" w:hAnsi="Times New Roman" w:cs="Times New Roman"/>
          <w:sz w:val="24"/>
          <w:szCs w:val="24"/>
        </w:rPr>
        <w:t xml:space="preserve">% of participants achieved a good </w:t>
      </w:r>
      <w:r w:rsidR="00D36C64">
        <w:rPr>
          <w:rFonts w:ascii="Times New Roman" w:hAnsi="Times New Roman" w:cs="Times New Roman"/>
          <w:sz w:val="24"/>
          <w:szCs w:val="24"/>
        </w:rPr>
        <w:t>practice</w:t>
      </w:r>
      <w:r w:rsidR="00D36C64" w:rsidRPr="00E244F1">
        <w:rPr>
          <w:rFonts w:ascii="Times New Roman" w:hAnsi="Times New Roman" w:cs="Times New Roman"/>
          <w:sz w:val="24"/>
          <w:szCs w:val="24"/>
        </w:rPr>
        <w:t xml:space="preserve"> score, while </w:t>
      </w:r>
      <w:r w:rsidR="00D36C64">
        <w:rPr>
          <w:rFonts w:ascii="Times New Roman" w:hAnsi="Times New Roman" w:cs="Times New Roman"/>
          <w:sz w:val="24"/>
          <w:szCs w:val="24"/>
        </w:rPr>
        <w:t>51</w:t>
      </w:r>
      <w:r w:rsidR="00D36C64" w:rsidRPr="00E244F1">
        <w:rPr>
          <w:rFonts w:ascii="Times New Roman" w:hAnsi="Times New Roman" w:cs="Times New Roman"/>
          <w:sz w:val="24"/>
          <w:szCs w:val="24"/>
        </w:rPr>
        <w:t>% had a poor score (</w:t>
      </w:r>
      <w:r w:rsidR="00D36C64">
        <w:rPr>
          <w:rFonts w:ascii="Times New Roman" w:hAnsi="Times New Roman" w:cs="Times New Roman"/>
          <w:sz w:val="24"/>
          <w:szCs w:val="24"/>
        </w:rPr>
        <w:t>Table 5</w:t>
      </w:r>
      <w:r w:rsidR="00D36C64" w:rsidRPr="00E244F1">
        <w:rPr>
          <w:rFonts w:ascii="Times New Roman" w:hAnsi="Times New Roman" w:cs="Times New Roman"/>
          <w:sz w:val="24"/>
          <w:szCs w:val="24"/>
        </w:rPr>
        <w:t>).</w:t>
      </w:r>
      <w:r w:rsidR="003676C4">
        <w:rPr>
          <w:rFonts w:ascii="Times New Roman" w:hAnsi="Times New Roman" w:cs="Times New Roman"/>
          <w:sz w:val="24"/>
          <w:szCs w:val="24"/>
        </w:rPr>
        <w:t xml:space="preserve"> </w:t>
      </w:r>
      <w:r w:rsidR="003676C4" w:rsidRPr="003676C4">
        <w:rPr>
          <w:rFonts w:ascii="Times New Roman" w:hAnsi="Times New Roman" w:cs="Times New Roman"/>
          <w:sz w:val="24"/>
          <w:szCs w:val="24"/>
        </w:rPr>
        <w:t>The p-value of 0.16 indicate</w:t>
      </w:r>
      <w:r w:rsidR="003676C4">
        <w:rPr>
          <w:rFonts w:ascii="Times New Roman" w:hAnsi="Times New Roman" w:cs="Times New Roman"/>
          <w:sz w:val="24"/>
          <w:szCs w:val="24"/>
        </w:rPr>
        <w:t>d</w:t>
      </w:r>
      <w:r w:rsidR="003676C4" w:rsidRPr="003676C4">
        <w:rPr>
          <w:rFonts w:ascii="Times New Roman" w:hAnsi="Times New Roman" w:cs="Times New Roman"/>
          <w:sz w:val="24"/>
          <w:szCs w:val="24"/>
        </w:rPr>
        <w:t xml:space="preserve"> that there is no statistically significant association between knowledge and practice scores in this study.</w:t>
      </w:r>
    </w:p>
    <w:p w14:paraId="454BA445" w14:textId="1A335968" w:rsidR="009E3EE1" w:rsidRDefault="009E3EE1" w:rsidP="00D36C64">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w:t>
      </w:r>
      <w:r w:rsidRPr="009E3EE1">
        <w:rPr>
          <w:rFonts w:ascii="Times New Roman" w:eastAsia="Times New Roman" w:hAnsi="Times New Roman" w:cs="Times New Roman"/>
          <w:bCs/>
          <w:sz w:val="24"/>
          <w:szCs w:val="24"/>
        </w:rPr>
        <w:t>Practice of the physicians regarding gout management (n=67)</w:t>
      </w:r>
    </w:p>
    <w:tbl>
      <w:tblPr>
        <w:tblStyle w:val="a2"/>
        <w:tblW w:w="9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0"/>
        <w:gridCol w:w="4320"/>
        <w:gridCol w:w="1620"/>
      </w:tblGrid>
      <w:tr w:rsidR="00A42F08" w14:paraId="012785E0" w14:textId="77777777" w:rsidTr="003676C4">
        <w:tc>
          <w:tcPr>
            <w:tcW w:w="3860" w:type="dxa"/>
            <w:shd w:val="clear" w:color="auto" w:fill="auto"/>
            <w:tcMar>
              <w:top w:w="100" w:type="dxa"/>
              <w:left w:w="100" w:type="dxa"/>
              <w:bottom w:w="100" w:type="dxa"/>
              <w:right w:w="100" w:type="dxa"/>
            </w:tcMar>
          </w:tcPr>
          <w:p w14:paraId="01E9C246"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Practice Questions</w:t>
            </w:r>
          </w:p>
        </w:tc>
        <w:tc>
          <w:tcPr>
            <w:tcW w:w="4320" w:type="dxa"/>
            <w:shd w:val="clear" w:color="auto" w:fill="auto"/>
            <w:tcMar>
              <w:top w:w="100" w:type="dxa"/>
              <w:left w:w="100" w:type="dxa"/>
              <w:bottom w:w="100" w:type="dxa"/>
              <w:right w:w="100" w:type="dxa"/>
            </w:tcMar>
          </w:tcPr>
          <w:p w14:paraId="7FCEBB76" w14:textId="63EEB9F6"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1620" w:type="dxa"/>
            <w:shd w:val="clear" w:color="auto" w:fill="auto"/>
            <w:tcMar>
              <w:top w:w="100" w:type="dxa"/>
              <w:left w:w="100" w:type="dxa"/>
              <w:bottom w:w="100" w:type="dxa"/>
              <w:right w:w="100" w:type="dxa"/>
            </w:tcMar>
          </w:tcPr>
          <w:p w14:paraId="38FA9B60" w14:textId="1E65C479"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b/>
                <w:sz w:val="24"/>
                <w:szCs w:val="24"/>
              </w:rPr>
            </w:pPr>
            <w:r w:rsidRPr="003B1FCE">
              <w:rPr>
                <w:rFonts w:ascii="Times New Roman" w:eastAsia="Times New Roman" w:hAnsi="Times New Roman" w:cs="Times New Roman"/>
                <w:b/>
                <w:sz w:val="24"/>
                <w:szCs w:val="24"/>
              </w:rPr>
              <w:t>Frequency (%)</w:t>
            </w:r>
          </w:p>
        </w:tc>
      </w:tr>
      <w:tr w:rsidR="00A42F08" w14:paraId="71EA2D87" w14:textId="77777777" w:rsidTr="003676C4">
        <w:trPr>
          <w:trHeight w:val="519"/>
        </w:trPr>
        <w:tc>
          <w:tcPr>
            <w:tcW w:w="3860" w:type="dxa"/>
            <w:shd w:val="clear" w:color="auto" w:fill="auto"/>
            <w:tcMar>
              <w:top w:w="100" w:type="dxa"/>
              <w:left w:w="100" w:type="dxa"/>
              <w:bottom w:w="100" w:type="dxa"/>
              <w:right w:w="100" w:type="dxa"/>
            </w:tcMar>
          </w:tcPr>
          <w:p w14:paraId="6447873D"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 you usually recommend synovial fluid examination to patient with suspected gouty arthritis? </w:t>
            </w:r>
          </w:p>
        </w:tc>
        <w:tc>
          <w:tcPr>
            <w:tcW w:w="4320" w:type="dxa"/>
            <w:shd w:val="clear" w:color="auto" w:fill="auto"/>
            <w:tcMar>
              <w:top w:w="100" w:type="dxa"/>
              <w:left w:w="100" w:type="dxa"/>
              <w:bottom w:w="100" w:type="dxa"/>
              <w:right w:w="100" w:type="dxa"/>
            </w:tcMar>
          </w:tcPr>
          <w:p w14:paraId="53427303"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3743217E"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271C1717" w14:textId="2568ABBA"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620" w:type="dxa"/>
            <w:shd w:val="clear" w:color="auto" w:fill="auto"/>
            <w:tcMar>
              <w:top w:w="100" w:type="dxa"/>
              <w:left w:w="100" w:type="dxa"/>
              <w:bottom w:w="100" w:type="dxa"/>
              <w:right w:w="100" w:type="dxa"/>
            </w:tcMar>
          </w:tcPr>
          <w:p w14:paraId="5A62A711" w14:textId="224CA15D"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(37.3)</w:t>
            </w:r>
          </w:p>
          <w:p w14:paraId="15B028EB" w14:textId="70D72DAC"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(52.2)</w:t>
            </w:r>
          </w:p>
          <w:p w14:paraId="7BAE89D2" w14:textId="0A0004DE"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(10.5)</w:t>
            </w:r>
          </w:p>
        </w:tc>
      </w:tr>
      <w:tr w:rsidR="00A42F08" w14:paraId="5A3B1DDE" w14:textId="77777777" w:rsidTr="003676C4">
        <w:trPr>
          <w:trHeight w:val="20"/>
        </w:trPr>
        <w:tc>
          <w:tcPr>
            <w:tcW w:w="3860" w:type="dxa"/>
            <w:shd w:val="clear" w:color="auto" w:fill="auto"/>
            <w:tcMar>
              <w:top w:w="100" w:type="dxa"/>
              <w:left w:w="100" w:type="dxa"/>
              <w:bottom w:w="100" w:type="dxa"/>
              <w:right w:w="100" w:type="dxa"/>
            </w:tcMar>
          </w:tcPr>
          <w:p w14:paraId="4719EC59"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order serum uric acid level to patients with chief complains of joint pain?</w:t>
            </w:r>
          </w:p>
        </w:tc>
        <w:tc>
          <w:tcPr>
            <w:tcW w:w="4320" w:type="dxa"/>
            <w:shd w:val="clear" w:color="auto" w:fill="auto"/>
            <w:tcMar>
              <w:top w:w="100" w:type="dxa"/>
              <w:left w:w="100" w:type="dxa"/>
              <w:bottom w:w="100" w:type="dxa"/>
              <w:right w:w="100" w:type="dxa"/>
            </w:tcMar>
          </w:tcPr>
          <w:p w14:paraId="12309210"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6C603B1D"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488CDE29" w14:textId="42C8B66E"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t>
            </w:r>
          </w:p>
        </w:tc>
        <w:tc>
          <w:tcPr>
            <w:tcW w:w="1620" w:type="dxa"/>
            <w:shd w:val="clear" w:color="auto" w:fill="auto"/>
            <w:tcMar>
              <w:top w:w="100" w:type="dxa"/>
              <w:left w:w="100" w:type="dxa"/>
              <w:bottom w:w="100" w:type="dxa"/>
              <w:right w:w="100" w:type="dxa"/>
            </w:tcMar>
          </w:tcPr>
          <w:p w14:paraId="08488200" w14:textId="19FA364E"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 (80.6)</w:t>
            </w:r>
          </w:p>
          <w:p w14:paraId="60AFF617" w14:textId="2F0204BC" w:rsidR="00A42F08" w:rsidRDefault="00A42F08" w:rsidP="00A42F08">
            <w:pPr>
              <w:widowControl w:val="0"/>
              <w:pBdr>
                <w:top w:val="nil"/>
                <w:left w:val="nil"/>
                <w:bottom w:val="nil"/>
                <w:right w:val="nil"/>
                <w:between w:val="nil"/>
              </w:pBd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(13.4)</w:t>
            </w:r>
          </w:p>
          <w:p w14:paraId="5F339DD7" w14:textId="7B7C7530"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w:t>
            </w:r>
          </w:p>
        </w:tc>
      </w:tr>
      <w:tr w:rsidR="00A42F08" w14:paraId="12A6C236" w14:textId="77777777" w:rsidTr="003676C4">
        <w:trPr>
          <w:trHeight w:val="20"/>
        </w:trPr>
        <w:tc>
          <w:tcPr>
            <w:tcW w:w="3860" w:type="dxa"/>
            <w:shd w:val="clear" w:color="auto" w:fill="auto"/>
            <w:tcMar>
              <w:top w:w="100" w:type="dxa"/>
              <w:left w:w="100" w:type="dxa"/>
              <w:bottom w:w="100" w:type="dxa"/>
              <w:right w:w="100" w:type="dxa"/>
            </w:tcMar>
          </w:tcPr>
          <w:p w14:paraId="53C29649"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do you usually suggest the patient to do to the affected joint?</w:t>
            </w:r>
          </w:p>
        </w:tc>
        <w:tc>
          <w:tcPr>
            <w:tcW w:w="4320" w:type="dxa"/>
            <w:shd w:val="clear" w:color="auto" w:fill="auto"/>
            <w:tcMar>
              <w:top w:w="100" w:type="dxa"/>
              <w:left w:w="100" w:type="dxa"/>
              <w:bottom w:w="100" w:type="dxa"/>
              <w:right w:w="100" w:type="dxa"/>
            </w:tcMar>
          </w:tcPr>
          <w:p w14:paraId="74BEAA9F"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Rest the joint</w:t>
            </w:r>
          </w:p>
          <w:p w14:paraId="51A498D0"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Frequently move the joint</w:t>
            </w:r>
          </w:p>
          <w:p w14:paraId="6B0C5DA3" w14:textId="32873190"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difference </w:t>
            </w:r>
          </w:p>
        </w:tc>
        <w:tc>
          <w:tcPr>
            <w:tcW w:w="1620" w:type="dxa"/>
            <w:shd w:val="clear" w:color="auto" w:fill="auto"/>
            <w:tcMar>
              <w:top w:w="100" w:type="dxa"/>
              <w:left w:w="100" w:type="dxa"/>
              <w:bottom w:w="100" w:type="dxa"/>
              <w:right w:w="100" w:type="dxa"/>
            </w:tcMar>
          </w:tcPr>
          <w:p w14:paraId="599184E3" w14:textId="1CCC5C34"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51(76)</w:t>
            </w:r>
          </w:p>
          <w:p w14:paraId="3EA3ED21" w14:textId="66FA06B0"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p w14:paraId="54711E5D" w14:textId="20DF78F0"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r>
      <w:tr w:rsidR="00A42F08" w14:paraId="22A8280E" w14:textId="77777777" w:rsidTr="003676C4">
        <w:trPr>
          <w:trHeight w:val="20"/>
        </w:trPr>
        <w:tc>
          <w:tcPr>
            <w:tcW w:w="3860" w:type="dxa"/>
            <w:shd w:val="clear" w:color="auto" w:fill="auto"/>
            <w:tcMar>
              <w:top w:w="100" w:type="dxa"/>
              <w:left w:w="100" w:type="dxa"/>
              <w:bottom w:w="100" w:type="dxa"/>
              <w:right w:w="100" w:type="dxa"/>
            </w:tcMar>
          </w:tcPr>
          <w:p w14:paraId="62972BC7" w14:textId="2C8966ED"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Did you counsel patient to</w:t>
            </w:r>
            <w:r w:rsidR="003676C4">
              <w:rPr>
                <w:rFonts w:ascii="Times New Roman" w:eastAsia="Times New Roman" w:hAnsi="Times New Roman" w:cs="Times New Roman"/>
                <w:b/>
                <w:sz w:val="24"/>
                <w:szCs w:val="24"/>
              </w:rPr>
              <w:t>?</w:t>
            </w:r>
          </w:p>
        </w:tc>
        <w:tc>
          <w:tcPr>
            <w:tcW w:w="4320" w:type="dxa"/>
            <w:shd w:val="clear" w:color="auto" w:fill="auto"/>
            <w:tcMar>
              <w:top w:w="100" w:type="dxa"/>
              <w:left w:w="100" w:type="dxa"/>
              <w:bottom w:w="100" w:type="dxa"/>
              <w:right w:w="100" w:type="dxa"/>
            </w:tcMar>
          </w:tcPr>
          <w:p w14:paraId="5FC80C91"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 beef consumption </w:t>
            </w:r>
          </w:p>
          <w:p w14:paraId="1896FD8E"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 organ meat consumption </w:t>
            </w:r>
          </w:p>
          <w:p w14:paraId="7389F31F"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 beer consumption </w:t>
            </w:r>
          </w:p>
          <w:p w14:paraId="5C774CDB" w14:textId="0E40D17E"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 pork consumption </w:t>
            </w:r>
          </w:p>
        </w:tc>
        <w:tc>
          <w:tcPr>
            <w:tcW w:w="1620" w:type="dxa"/>
            <w:shd w:val="clear" w:color="auto" w:fill="auto"/>
            <w:tcMar>
              <w:top w:w="100" w:type="dxa"/>
              <w:left w:w="100" w:type="dxa"/>
              <w:bottom w:w="100" w:type="dxa"/>
              <w:right w:w="100" w:type="dxa"/>
            </w:tcMar>
          </w:tcPr>
          <w:p w14:paraId="79F8DF68" w14:textId="382F515A"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51(76)</w:t>
            </w:r>
          </w:p>
          <w:p w14:paraId="5B9FA14D" w14:textId="0A50AC16"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26(38.8)</w:t>
            </w:r>
          </w:p>
          <w:p w14:paraId="15FBDF04" w14:textId="53E678EB"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22(32.8)</w:t>
            </w:r>
          </w:p>
          <w:p w14:paraId="67CC460C" w14:textId="4BB9C0AA"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15(22.4)</w:t>
            </w:r>
          </w:p>
        </w:tc>
      </w:tr>
      <w:tr w:rsidR="00A42F08" w14:paraId="64F5775B" w14:textId="77777777" w:rsidTr="003676C4">
        <w:trPr>
          <w:trHeight w:val="20"/>
        </w:trPr>
        <w:tc>
          <w:tcPr>
            <w:tcW w:w="3860" w:type="dxa"/>
            <w:shd w:val="clear" w:color="auto" w:fill="auto"/>
            <w:tcMar>
              <w:top w:w="100" w:type="dxa"/>
              <w:left w:w="100" w:type="dxa"/>
              <w:bottom w:w="100" w:type="dxa"/>
              <w:right w:w="100" w:type="dxa"/>
            </w:tcMar>
          </w:tcPr>
          <w:p w14:paraId="0D93E432"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do you usually repeat the measurement of serum uric acid level?</w:t>
            </w:r>
          </w:p>
        </w:tc>
        <w:tc>
          <w:tcPr>
            <w:tcW w:w="4320" w:type="dxa"/>
            <w:shd w:val="clear" w:color="auto" w:fill="auto"/>
            <w:tcMar>
              <w:top w:w="100" w:type="dxa"/>
              <w:left w:w="100" w:type="dxa"/>
              <w:bottom w:w="100" w:type="dxa"/>
              <w:right w:w="100" w:type="dxa"/>
            </w:tcMar>
          </w:tcPr>
          <w:p w14:paraId="4D15D36B"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week </w:t>
            </w:r>
          </w:p>
          <w:p w14:paraId="595C837D"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2 months </w:t>
            </w:r>
          </w:p>
          <w:p w14:paraId="4D2D4786"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Every 3-6 months</w:t>
            </w:r>
          </w:p>
          <w:p w14:paraId="7DA607E2" w14:textId="5D1DB5D9"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Every year</w:t>
            </w:r>
          </w:p>
        </w:tc>
        <w:tc>
          <w:tcPr>
            <w:tcW w:w="1620" w:type="dxa"/>
            <w:shd w:val="clear" w:color="auto" w:fill="auto"/>
            <w:tcMar>
              <w:top w:w="100" w:type="dxa"/>
              <w:left w:w="100" w:type="dxa"/>
              <w:bottom w:w="100" w:type="dxa"/>
              <w:right w:w="100" w:type="dxa"/>
            </w:tcMar>
          </w:tcPr>
          <w:p w14:paraId="39E3A251" w14:textId="302105D0"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14:paraId="6CD6D89C" w14:textId="7DE8BE0C"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15(22.3)</w:t>
            </w:r>
          </w:p>
          <w:p w14:paraId="0940DB0D" w14:textId="64CFC91E"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42(62.7)</w:t>
            </w:r>
          </w:p>
          <w:p w14:paraId="6589725E" w14:textId="1263805C"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r>
      <w:tr w:rsidR="00A42F08" w14:paraId="2C435A55" w14:textId="77777777" w:rsidTr="003676C4">
        <w:trPr>
          <w:trHeight w:val="20"/>
        </w:trPr>
        <w:tc>
          <w:tcPr>
            <w:tcW w:w="3860" w:type="dxa"/>
            <w:shd w:val="clear" w:color="auto" w:fill="auto"/>
            <w:tcMar>
              <w:top w:w="100" w:type="dxa"/>
              <w:left w:w="100" w:type="dxa"/>
              <w:bottom w:w="100" w:type="dxa"/>
              <w:right w:w="100" w:type="dxa"/>
            </w:tcMar>
          </w:tcPr>
          <w:p w14:paraId="199A39F5"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you usually prevent and manage joint contracture in gout patients?</w:t>
            </w:r>
          </w:p>
          <w:p w14:paraId="4CAE22ED" w14:textId="77777777" w:rsidR="00A42F08" w:rsidRDefault="00A42F08" w:rsidP="003676C4">
            <w:pPr>
              <w:widowControl w:val="0"/>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p>
        </w:tc>
        <w:tc>
          <w:tcPr>
            <w:tcW w:w="4320" w:type="dxa"/>
            <w:shd w:val="clear" w:color="auto" w:fill="auto"/>
            <w:tcMar>
              <w:top w:w="100" w:type="dxa"/>
              <w:left w:w="100" w:type="dxa"/>
              <w:bottom w:w="100" w:type="dxa"/>
              <w:right w:w="100" w:type="dxa"/>
            </w:tcMar>
          </w:tcPr>
          <w:p w14:paraId="340ABEFB"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the patient about joint movement </w:t>
            </w:r>
          </w:p>
          <w:p w14:paraId="1B4D70F6"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the Dept. of Physical Medicine and Rehabilitation </w:t>
            </w:r>
          </w:p>
          <w:p w14:paraId="04F355AD" w14:textId="77777777"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Tightly control serum uric acid level</w:t>
            </w:r>
          </w:p>
          <w:p w14:paraId="4F7EBD68" w14:textId="062A8C31" w:rsidR="00A42F08" w:rsidRDefault="00A42F08" w:rsidP="00A42F08">
            <w:pPr>
              <w:widowControl w:val="0"/>
              <w:pBdr>
                <w:top w:val="nil"/>
                <w:left w:val="nil"/>
                <w:bottom w:val="nil"/>
                <w:right w:val="nil"/>
                <w:between w:val="nil"/>
              </w:pBd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don't know </w:t>
            </w:r>
          </w:p>
        </w:tc>
        <w:tc>
          <w:tcPr>
            <w:tcW w:w="1620" w:type="dxa"/>
            <w:shd w:val="clear" w:color="auto" w:fill="auto"/>
            <w:tcMar>
              <w:top w:w="100" w:type="dxa"/>
              <w:left w:w="100" w:type="dxa"/>
              <w:bottom w:w="100" w:type="dxa"/>
              <w:right w:w="100" w:type="dxa"/>
            </w:tcMar>
          </w:tcPr>
          <w:p w14:paraId="0AA1D110" w14:textId="0E3FF196"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28(41.8)</w:t>
            </w:r>
          </w:p>
          <w:p w14:paraId="7CDE078F" w14:textId="4623C8C1"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27(40.3)</w:t>
            </w:r>
          </w:p>
          <w:p w14:paraId="6D5C46B0" w14:textId="77777777" w:rsidR="00A42F08" w:rsidRDefault="00A42F08" w:rsidP="00A42F08">
            <w:pPr>
              <w:spacing w:line="240" w:lineRule="auto"/>
              <w:contextualSpacing/>
              <w:jc w:val="center"/>
              <w:rPr>
                <w:rFonts w:ascii="Times New Roman" w:eastAsia="Times New Roman" w:hAnsi="Times New Roman" w:cs="Times New Roman"/>
                <w:sz w:val="24"/>
                <w:szCs w:val="24"/>
              </w:rPr>
            </w:pPr>
          </w:p>
          <w:p w14:paraId="6CD4F45B" w14:textId="551A4F2D"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25(37.3)</w:t>
            </w:r>
          </w:p>
          <w:p w14:paraId="4C351A6B" w14:textId="628F8D79" w:rsidR="00A42F08" w:rsidRDefault="00A42F08" w:rsidP="00A42F08">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11(16.4)</w:t>
            </w:r>
          </w:p>
        </w:tc>
      </w:tr>
    </w:tbl>
    <w:p w14:paraId="428AA079" w14:textId="77777777" w:rsidR="009E3EE1" w:rsidRDefault="009E3EE1" w:rsidP="009E3EE1">
      <w:pPr>
        <w:spacing w:after="200" w:line="360" w:lineRule="auto"/>
        <w:rPr>
          <w:rFonts w:ascii="Times New Roman" w:eastAsia="Times New Roman" w:hAnsi="Times New Roman" w:cs="Times New Roman"/>
          <w:b/>
          <w:sz w:val="24"/>
          <w:szCs w:val="24"/>
        </w:rPr>
      </w:pPr>
    </w:p>
    <w:p w14:paraId="1E23983B" w14:textId="184749F6" w:rsidR="00D36C64" w:rsidRPr="00A37D9B" w:rsidRDefault="00D36C64" w:rsidP="009259F6">
      <w:pPr>
        <w:spacing w:line="480" w:lineRule="auto"/>
        <w:rPr>
          <w:rFonts w:ascii="Times New Roman" w:hAnsi="Times New Roman" w:cs="Times New Roman"/>
          <w:b/>
          <w:bCs/>
          <w:sz w:val="24"/>
          <w:szCs w:val="24"/>
        </w:rPr>
      </w:pPr>
      <w:r>
        <w:rPr>
          <w:rFonts w:ascii="Times New Roman" w:hAnsi="Times New Roman" w:cs="Times New Roman"/>
          <w:b/>
          <w:bCs/>
          <w:sz w:val="24"/>
          <w:szCs w:val="24"/>
        </w:rPr>
        <w:t>Table 5.</w:t>
      </w:r>
      <w:r w:rsidRPr="00A37D9B">
        <w:rPr>
          <w:rFonts w:ascii="Times New Roman" w:hAnsi="Times New Roman" w:cs="Times New Roman"/>
          <w:b/>
          <w:bCs/>
          <w:sz w:val="24"/>
          <w:szCs w:val="24"/>
        </w:rPr>
        <w:t xml:space="preserve"> </w:t>
      </w:r>
      <w:r w:rsidRPr="00D36C64">
        <w:rPr>
          <w:rFonts w:ascii="Times New Roman" w:hAnsi="Times New Roman" w:cs="Times New Roman"/>
          <w:sz w:val="24"/>
          <w:szCs w:val="24"/>
        </w:rPr>
        <w:t xml:space="preserve">Overall knowledge and practice scores of </w:t>
      </w:r>
      <w:r w:rsidRPr="00D36C64">
        <w:rPr>
          <w:rFonts w:ascii="Times New Roman" w:eastAsia="Times New Roman" w:hAnsi="Times New Roman" w:cs="Times New Roman"/>
          <w:sz w:val="24"/>
          <w:szCs w:val="24"/>
        </w:rPr>
        <w:t>the physicians regarding gout management</w:t>
      </w:r>
      <w:r w:rsidRPr="00D36C64">
        <w:rPr>
          <w:rFonts w:ascii="Times New Roman" w:hAnsi="Times New Roman" w:cs="Times New Roman"/>
          <w:sz w:val="24"/>
          <w:szCs w:val="24"/>
        </w:rPr>
        <w:t xml:space="preserve"> and the association between knowledge and practice scores</w:t>
      </w:r>
    </w:p>
    <w:tbl>
      <w:tblPr>
        <w:tblStyle w:val="TableGrid"/>
        <w:tblW w:w="5000" w:type="pct"/>
        <w:tblLook w:val="04A0" w:firstRow="1" w:lastRow="0" w:firstColumn="1" w:lastColumn="0" w:noHBand="0" w:noVBand="1"/>
      </w:tblPr>
      <w:tblGrid>
        <w:gridCol w:w="1995"/>
        <w:gridCol w:w="1406"/>
        <w:gridCol w:w="1517"/>
        <w:gridCol w:w="1518"/>
        <w:gridCol w:w="1457"/>
        <w:gridCol w:w="1457"/>
      </w:tblGrid>
      <w:tr w:rsidR="00D36C64" w:rsidRPr="00A37D9B" w14:paraId="12BCD8F9" w14:textId="77777777" w:rsidTr="00D36C64">
        <w:trPr>
          <w:trHeight w:val="315"/>
        </w:trPr>
        <w:tc>
          <w:tcPr>
            <w:tcW w:w="1819" w:type="pct"/>
            <w:gridSpan w:val="2"/>
            <w:vMerge w:val="restart"/>
            <w:hideMark/>
          </w:tcPr>
          <w:p w14:paraId="5693E4A0" w14:textId="77777777" w:rsidR="00D36C64" w:rsidRPr="00A37D9B" w:rsidRDefault="00D36C64" w:rsidP="003F5469">
            <w:pPr>
              <w:rPr>
                <w:rFonts w:ascii="Times New Roman" w:eastAsia="Times New Roman" w:hAnsi="Times New Roman" w:cs="Times New Roman"/>
                <w:b/>
                <w:bCs/>
              </w:rPr>
            </w:pPr>
            <w:r w:rsidRPr="00A37D9B">
              <w:rPr>
                <w:rFonts w:ascii="Times New Roman" w:eastAsia="Times New Roman" w:hAnsi="Times New Roman" w:cs="Times New Roman"/>
                <w:b/>
                <w:bCs/>
              </w:rPr>
              <w:t> </w:t>
            </w:r>
          </w:p>
        </w:tc>
        <w:tc>
          <w:tcPr>
            <w:tcW w:w="1623" w:type="pct"/>
            <w:gridSpan w:val="2"/>
            <w:hideMark/>
          </w:tcPr>
          <w:p w14:paraId="02B6BC20" w14:textId="77777777" w:rsidR="00D36C64" w:rsidRPr="00A37D9B" w:rsidRDefault="00D36C64" w:rsidP="00D36C64">
            <w:pPr>
              <w:spacing w:line="360" w:lineRule="auto"/>
              <w:jc w:val="center"/>
              <w:rPr>
                <w:rFonts w:ascii="Times New Roman" w:eastAsia="Times New Roman" w:hAnsi="Times New Roman" w:cs="Times New Roman"/>
                <w:b/>
                <w:bCs/>
                <w:sz w:val="24"/>
                <w:szCs w:val="24"/>
              </w:rPr>
            </w:pPr>
            <w:r w:rsidRPr="00A37D9B">
              <w:rPr>
                <w:rFonts w:ascii="Times New Roman" w:eastAsia="Times New Roman" w:hAnsi="Times New Roman" w:cs="Times New Roman"/>
                <w:b/>
                <w:bCs/>
                <w:sz w:val="24"/>
                <w:szCs w:val="24"/>
              </w:rPr>
              <w:t>Practice score</w:t>
            </w:r>
          </w:p>
        </w:tc>
        <w:tc>
          <w:tcPr>
            <w:tcW w:w="779" w:type="pct"/>
            <w:vMerge w:val="restart"/>
            <w:hideMark/>
          </w:tcPr>
          <w:p w14:paraId="375BBD9D" w14:textId="77777777" w:rsidR="00D36C64" w:rsidRPr="00A37D9B" w:rsidRDefault="00D36C64" w:rsidP="00D36C64">
            <w:pPr>
              <w:jc w:val="center"/>
              <w:rPr>
                <w:rFonts w:ascii="Times New Roman" w:eastAsia="Times New Roman" w:hAnsi="Times New Roman" w:cs="Times New Roman"/>
                <w:b/>
                <w:bCs/>
              </w:rPr>
            </w:pPr>
            <w:r w:rsidRPr="00A37D9B">
              <w:rPr>
                <w:rFonts w:ascii="Times New Roman" w:eastAsia="Times New Roman" w:hAnsi="Times New Roman" w:cs="Times New Roman"/>
                <w:b/>
                <w:bCs/>
              </w:rPr>
              <w:t>Total</w:t>
            </w:r>
          </w:p>
        </w:tc>
        <w:tc>
          <w:tcPr>
            <w:tcW w:w="779" w:type="pct"/>
            <w:vMerge w:val="restart"/>
          </w:tcPr>
          <w:p w14:paraId="55860D66" w14:textId="77777777" w:rsidR="00D36C64" w:rsidRPr="00A37D9B" w:rsidRDefault="00D36C64" w:rsidP="00D36C64">
            <w:pPr>
              <w:jc w:val="center"/>
              <w:rPr>
                <w:rFonts w:ascii="Times New Roman" w:eastAsia="Times New Roman" w:hAnsi="Times New Roman" w:cs="Times New Roman"/>
                <w:b/>
                <w:bCs/>
              </w:rPr>
            </w:pPr>
            <w:r w:rsidRPr="00A37D9B">
              <w:rPr>
                <w:rFonts w:ascii="Times New Roman" w:eastAsia="Times New Roman" w:hAnsi="Times New Roman" w:cs="Times New Roman"/>
                <w:b/>
                <w:bCs/>
              </w:rPr>
              <w:t>P value</w:t>
            </w:r>
          </w:p>
        </w:tc>
      </w:tr>
      <w:tr w:rsidR="00D36C64" w:rsidRPr="00A37D9B" w14:paraId="7356EBFD" w14:textId="77777777" w:rsidTr="00D36C64">
        <w:trPr>
          <w:trHeight w:val="315"/>
        </w:trPr>
        <w:tc>
          <w:tcPr>
            <w:tcW w:w="1819" w:type="pct"/>
            <w:gridSpan w:val="2"/>
            <w:vMerge/>
            <w:hideMark/>
          </w:tcPr>
          <w:p w14:paraId="71DC96E7" w14:textId="77777777" w:rsidR="00D36C64" w:rsidRPr="00A37D9B" w:rsidRDefault="00D36C64" w:rsidP="003F5469">
            <w:pPr>
              <w:rPr>
                <w:rFonts w:ascii="Times New Roman" w:eastAsia="Times New Roman" w:hAnsi="Times New Roman" w:cs="Times New Roman"/>
              </w:rPr>
            </w:pPr>
          </w:p>
        </w:tc>
        <w:tc>
          <w:tcPr>
            <w:tcW w:w="811" w:type="pct"/>
            <w:noWrap/>
            <w:hideMark/>
          </w:tcPr>
          <w:p w14:paraId="369622F1" w14:textId="3B4B771C" w:rsidR="00D36C64" w:rsidRPr="00A37D9B" w:rsidRDefault="00D36C64" w:rsidP="00D36C64">
            <w:pPr>
              <w:jc w:val="center"/>
              <w:rPr>
                <w:rFonts w:ascii="Times New Roman" w:hAnsi="Times New Roman" w:cs="Times New Roman"/>
                <w:b/>
                <w:bCs/>
              </w:rPr>
            </w:pPr>
            <w:r w:rsidRPr="00A37D9B">
              <w:rPr>
                <w:rFonts w:ascii="Times New Roman" w:hAnsi="Times New Roman" w:cs="Times New Roman"/>
                <w:b/>
                <w:bCs/>
              </w:rPr>
              <w:t>Poor</w:t>
            </w:r>
          </w:p>
        </w:tc>
        <w:tc>
          <w:tcPr>
            <w:tcW w:w="812" w:type="pct"/>
            <w:noWrap/>
            <w:hideMark/>
          </w:tcPr>
          <w:p w14:paraId="38C73751" w14:textId="59253939" w:rsidR="00D36C64" w:rsidRPr="00A37D9B" w:rsidRDefault="00D36C64" w:rsidP="00D36C64">
            <w:pPr>
              <w:jc w:val="center"/>
              <w:rPr>
                <w:rFonts w:ascii="Times New Roman" w:hAnsi="Times New Roman" w:cs="Times New Roman"/>
                <w:b/>
                <w:bCs/>
              </w:rPr>
            </w:pPr>
            <w:r w:rsidRPr="00A37D9B">
              <w:rPr>
                <w:rFonts w:ascii="Times New Roman" w:hAnsi="Times New Roman" w:cs="Times New Roman"/>
                <w:b/>
                <w:bCs/>
              </w:rPr>
              <w:t>Good</w:t>
            </w:r>
          </w:p>
        </w:tc>
        <w:tc>
          <w:tcPr>
            <w:tcW w:w="779" w:type="pct"/>
            <w:vMerge/>
            <w:hideMark/>
          </w:tcPr>
          <w:p w14:paraId="4DA1E801" w14:textId="77777777" w:rsidR="00D36C64" w:rsidRPr="00A37D9B" w:rsidRDefault="00D36C64" w:rsidP="00D36C64">
            <w:pPr>
              <w:jc w:val="center"/>
              <w:rPr>
                <w:rFonts w:ascii="Times New Roman" w:hAnsi="Times New Roman" w:cs="Times New Roman"/>
                <w:b/>
                <w:bCs/>
              </w:rPr>
            </w:pPr>
          </w:p>
        </w:tc>
        <w:tc>
          <w:tcPr>
            <w:tcW w:w="779" w:type="pct"/>
            <w:vMerge/>
          </w:tcPr>
          <w:p w14:paraId="574E5670" w14:textId="77777777" w:rsidR="00D36C64" w:rsidRPr="00A37D9B" w:rsidRDefault="00D36C64" w:rsidP="00D36C64">
            <w:pPr>
              <w:jc w:val="center"/>
              <w:rPr>
                <w:rFonts w:ascii="Times New Roman" w:hAnsi="Times New Roman" w:cs="Times New Roman"/>
                <w:b/>
                <w:bCs/>
              </w:rPr>
            </w:pPr>
          </w:p>
        </w:tc>
      </w:tr>
      <w:tr w:rsidR="00D36C64" w:rsidRPr="00A37D9B" w14:paraId="269EDDA0" w14:textId="77777777" w:rsidTr="00D36C64">
        <w:trPr>
          <w:trHeight w:val="315"/>
        </w:trPr>
        <w:tc>
          <w:tcPr>
            <w:tcW w:w="1067" w:type="pct"/>
            <w:tcBorders>
              <w:bottom w:val="nil"/>
            </w:tcBorders>
            <w:hideMark/>
          </w:tcPr>
          <w:p w14:paraId="68A838ED" w14:textId="77777777" w:rsidR="00D36C64" w:rsidRPr="00A37D9B" w:rsidRDefault="00D36C64" w:rsidP="003F5469">
            <w:pPr>
              <w:spacing w:line="360" w:lineRule="auto"/>
              <w:rPr>
                <w:rFonts w:ascii="Times New Roman" w:eastAsia="Times New Roman" w:hAnsi="Times New Roman" w:cs="Times New Roman"/>
                <w:b/>
                <w:bCs/>
              </w:rPr>
            </w:pPr>
            <w:r w:rsidRPr="00A37D9B">
              <w:rPr>
                <w:rFonts w:ascii="Times New Roman" w:eastAsia="Times New Roman" w:hAnsi="Times New Roman" w:cs="Times New Roman"/>
                <w:b/>
                <w:bCs/>
              </w:rPr>
              <w:t xml:space="preserve">Knowledge score </w:t>
            </w:r>
          </w:p>
        </w:tc>
        <w:tc>
          <w:tcPr>
            <w:tcW w:w="752" w:type="pct"/>
            <w:noWrap/>
            <w:hideMark/>
          </w:tcPr>
          <w:p w14:paraId="189CCB38" w14:textId="77777777" w:rsidR="00D36C64" w:rsidRPr="00A37D9B" w:rsidRDefault="00D36C64" w:rsidP="003F5469">
            <w:pPr>
              <w:rPr>
                <w:rFonts w:ascii="Times New Roman" w:hAnsi="Times New Roman" w:cs="Times New Roman"/>
                <w:b/>
                <w:bCs/>
              </w:rPr>
            </w:pPr>
            <w:r w:rsidRPr="00A37D9B">
              <w:rPr>
                <w:rFonts w:ascii="Times New Roman" w:hAnsi="Times New Roman" w:cs="Times New Roman"/>
                <w:b/>
                <w:bCs/>
              </w:rPr>
              <w:t xml:space="preserve">Poor </w:t>
            </w:r>
          </w:p>
        </w:tc>
        <w:tc>
          <w:tcPr>
            <w:tcW w:w="811" w:type="pct"/>
            <w:noWrap/>
            <w:hideMark/>
          </w:tcPr>
          <w:p w14:paraId="522CE521"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26 (56.5%)</w:t>
            </w:r>
          </w:p>
        </w:tc>
        <w:tc>
          <w:tcPr>
            <w:tcW w:w="812" w:type="pct"/>
            <w:noWrap/>
            <w:hideMark/>
          </w:tcPr>
          <w:p w14:paraId="1F5F0F43"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20 (43.5%)</w:t>
            </w:r>
          </w:p>
        </w:tc>
        <w:tc>
          <w:tcPr>
            <w:tcW w:w="779" w:type="pct"/>
            <w:noWrap/>
            <w:hideMark/>
          </w:tcPr>
          <w:p w14:paraId="1CD942E0"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46 (69%)</w:t>
            </w:r>
          </w:p>
        </w:tc>
        <w:tc>
          <w:tcPr>
            <w:tcW w:w="779" w:type="pct"/>
            <w:vMerge w:val="restart"/>
          </w:tcPr>
          <w:p w14:paraId="55E7546E" w14:textId="77777777" w:rsidR="00D36C64" w:rsidRPr="00D36C64" w:rsidRDefault="00D36C64" w:rsidP="00D36C64">
            <w:pPr>
              <w:jc w:val="center"/>
              <w:rPr>
                <w:rFonts w:ascii="Times New Roman" w:hAnsi="Times New Roman" w:cs="Times New Roman"/>
              </w:rPr>
            </w:pPr>
            <w:r w:rsidRPr="00D36C64">
              <w:rPr>
                <w:rFonts w:ascii="Times New Roman" w:hAnsi="Times New Roman" w:cs="Times New Roman"/>
              </w:rPr>
              <w:t>0.16</w:t>
            </w:r>
          </w:p>
        </w:tc>
      </w:tr>
      <w:tr w:rsidR="00D36C64" w:rsidRPr="00A37D9B" w14:paraId="165A9516" w14:textId="77777777" w:rsidTr="00D36C64">
        <w:trPr>
          <w:trHeight w:val="300"/>
        </w:trPr>
        <w:tc>
          <w:tcPr>
            <w:tcW w:w="1067" w:type="pct"/>
            <w:tcBorders>
              <w:top w:val="nil"/>
            </w:tcBorders>
            <w:hideMark/>
          </w:tcPr>
          <w:p w14:paraId="37A8F88D" w14:textId="77777777" w:rsidR="00D36C64" w:rsidRPr="00A37D9B" w:rsidRDefault="00D36C64" w:rsidP="003F5469">
            <w:pPr>
              <w:rPr>
                <w:rFonts w:ascii="Times New Roman" w:eastAsia="Times New Roman" w:hAnsi="Times New Roman" w:cs="Times New Roman"/>
                <w:b/>
                <w:bCs/>
              </w:rPr>
            </w:pPr>
          </w:p>
        </w:tc>
        <w:tc>
          <w:tcPr>
            <w:tcW w:w="752" w:type="pct"/>
            <w:noWrap/>
            <w:hideMark/>
          </w:tcPr>
          <w:p w14:paraId="68540041" w14:textId="77777777" w:rsidR="00D36C64" w:rsidRPr="00A37D9B" w:rsidRDefault="00D36C64" w:rsidP="003F5469">
            <w:pPr>
              <w:rPr>
                <w:rFonts w:ascii="Times New Roman" w:hAnsi="Times New Roman" w:cs="Times New Roman"/>
                <w:b/>
                <w:bCs/>
              </w:rPr>
            </w:pPr>
            <w:r w:rsidRPr="00A37D9B">
              <w:rPr>
                <w:rFonts w:ascii="Times New Roman" w:hAnsi="Times New Roman" w:cs="Times New Roman"/>
                <w:b/>
                <w:bCs/>
              </w:rPr>
              <w:t xml:space="preserve">Good </w:t>
            </w:r>
          </w:p>
        </w:tc>
        <w:tc>
          <w:tcPr>
            <w:tcW w:w="811" w:type="pct"/>
            <w:noWrap/>
            <w:hideMark/>
          </w:tcPr>
          <w:p w14:paraId="799A9EF1"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8 (38%)</w:t>
            </w:r>
          </w:p>
        </w:tc>
        <w:tc>
          <w:tcPr>
            <w:tcW w:w="812" w:type="pct"/>
            <w:noWrap/>
            <w:hideMark/>
          </w:tcPr>
          <w:p w14:paraId="3BD081E1"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13 (61%)</w:t>
            </w:r>
          </w:p>
        </w:tc>
        <w:tc>
          <w:tcPr>
            <w:tcW w:w="779" w:type="pct"/>
            <w:noWrap/>
            <w:hideMark/>
          </w:tcPr>
          <w:p w14:paraId="4913782B"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21 (31%)</w:t>
            </w:r>
          </w:p>
        </w:tc>
        <w:tc>
          <w:tcPr>
            <w:tcW w:w="779" w:type="pct"/>
            <w:vMerge/>
          </w:tcPr>
          <w:p w14:paraId="0AF5E4E3" w14:textId="77777777" w:rsidR="00D36C64" w:rsidRPr="00D36C64" w:rsidRDefault="00D36C64" w:rsidP="00D36C64">
            <w:pPr>
              <w:jc w:val="center"/>
              <w:rPr>
                <w:rFonts w:ascii="Times New Roman" w:hAnsi="Times New Roman" w:cs="Times New Roman"/>
              </w:rPr>
            </w:pPr>
          </w:p>
        </w:tc>
      </w:tr>
      <w:tr w:rsidR="00D36C64" w:rsidRPr="00A37D9B" w14:paraId="547715A0" w14:textId="77777777" w:rsidTr="00D36C64">
        <w:trPr>
          <w:trHeight w:val="300"/>
        </w:trPr>
        <w:tc>
          <w:tcPr>
            <w:tcW w:w="1819" w:type="pct"/>
            <w:gridSpan w:val="2"/>
            <w:hideMark/>
          </w:tcPr>
          <w:p w14:paraId="2C161E72" w14:textId="77777777" w:rsidR="00D36C64" w:rsidRPr="00A37D9B" w:rsidRDefault="00D36C64" w:rsidP="003F5469">
            <w:pPr>
              <w:rPr>
                <w:rFonts w:ascii="Times New Roman" w:eastAsia="Times New Roman" w:hAnsi="Times New Roman" w:cs="Times New Roman"/>
                <w:b/>
                <w:bCs/>
              </w:rPr>
            </w:pPr>
            <w:r w:rsidRPr="00A37D9B">
              <w:rPr>
                <w:rFonts w:ascii="Times New Roman" w:eastAsia="Times New Roman" w:hAnsi="Times New Roman" w:cs="Times New Roman"/>
                <w:b/>
                <w:bCs/>
              </w:rPr>
              <w:t>Total</w:t>
            </w:r>
          </w:p>
        </w:tc>
        <w:tc>
          <w:tcPr>
            <w:tcW w:w="811" w:type="pct"/>
            <w:noWrap/>
            <w:hideMark/>
          </w:tcPr>
          <w:p w14:paraId="679AD0C1"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34 (50.7%)</w:t>
            </w:r>
          </w:p>
        </w:tc>
        <w:tc>
          <w:tcPr>
            <w:tcW w:w="812" w:type="pct"/>
            <w:noWrap/>
            <w:hideMark/>
          </w:tcPr>
          <w:p w14:paraId="3947780C"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33 (49.3%)</w:t>
            </w:r>
          </w:p>
        </w:tc>
        <w:tc>
          <w:tcPr>
            <w:tcW w:w="779" w:type="pct"/>
            <w:noWrap/>
            <w:hideMark/>
          </w:tcPr>
          <w:p w14:paraId="05D52879" w14:textId="77777777" w:rsidR="00D36C64" w:rsidRPr="004610CC" w:rsidRDefault="00D36C64" w:rsidP="00D36C64">
            <w:pPr>
              <w:jc w:val="center"/>
              <w:rPr>
                <w:rFonts w:ascii="Times New Roman" w:hAnsi="Times New Roman" w:cs="Times New Roman"/>
                <w:color w:val="FF0000"/>
                <w:highlight w:val="yellow"/>
              </w:rPr>
            </w:pPr>
            <w:r w:rsidRPr="004610CC">
              <w:rPr>
                <w:rFonts w:ascii="Times New Roman" w:hAnsi="Times New Roman" w:cs="Times New Roman"/>
                <w:color w:val="FF0000"/>
                <w:highlight w:val="yellow"/>
              </w:rPr>
              <w:t>67 (100%)</w:t>
            </w:r>
          </w:p>
        </w:tc>
        <w:tc>
          <w:tcPr>
            <w:tcW w:w="779" w:type="pct"/>
          </w:tcPr>
          <w:p w14:paraId="5D7E61B4" w14:textId="77777777" w:rsidR="00D36C64" w:rsidRPr="00D36C64" w:rsidRDefault="00D36C64" w:rsidP="00D36C64">
            <w:pPr>
              <w:jc w:val="center"/>
              <w:rPr>
                <w:rFonts w:ascii="Times New Roman" w:hAnsi="Times New Roman" w:cs="Times New Roman"/>
              </w:rPr>
            </w:pPr>
          </w:p>
        </w:tc>
      </w:tr>
    </w:tbl>
    <w:p w14:paraId="4DB7C594" w14:textId="77777777" w:rsidR="00D36C64" w:rsidRDefault="00D36C64" w:rsidP="009E3EE1">
      <w:pPr>
        <w:spacing w:after="200" w:line="360" w:lineRule="auto"/>
        <w:rPr>
          <w:rFonts w:ascii="Times New Roman" w:eastAsia="Times New Roman" w:hAnsi="Times New Roman" w:cs="Times New Roman"/>
          <w:b/>
          <w:sz w:val="24"/>
          <w:szCs w:val="24"/>
        </w:rPr>
      </w:pPr>
    </w:p>
    <w:p w14:paraId="7B7C1D67" w14:textId="7B3DD516" w:rsidR="003A212E" w:rsidRPr="00E43AAB" w:rsidRDefault="00E43AAB" w:rsidP="00E43AAB">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3.5. </w:t>
      </w:r>
      <w:r w:rsidRPr="00E43AAB">
        <w:rPr>
          <w:rFonts w:ascii="Times New Roman" w:eastAsia="Times New Roman" w:hAnsi="Times New Roman" w:cs="Times New Roman"/>
          <w:b/>
          <w:bCs/>
          <w:sz w:val="24"/>
          <w:szCs w:val="24"/>
        </w:rPr>
        <w:t>Association between knowledge</w:t>
      </w:r>
      <w:r>
        <w:rPr>
          <w:rFonts w:ascii="Times New Roman" w:eastAsia="Times New Roman" w:hAnsi="Times New Roman" w:cs="Times New Roman"/>
          <w:b/>
          <w:bCs/>
          <w:sz w:val="24"/>
          <w:szCs w:val="24"/>
        </w:rPr>
        <w:t xml:space="preserve"> and </w:t>
      </w:r>
      <w:r w:rsidRPr="00E43AAB">
        <w:rPr>
          <w:rFonts w:ascii="Times New Roman" w:eastAsia="Times New Roman" w:hAnsi="Times New Roman" w:cs="Times New Roman"/>
          <w:b/>
          <w:bCs/>
          <w:sz w:val="24"/>
          <w:szCs w:val="24"/>
        </w:rPr>
        <w:t>practice scores</w:t>
      </w:r>
      <w:r>
        <w:rPr>
          <w:rFonts w:ascii="Times New Roman" w:eastAsia="Times New Roman" w:hAnsi="Times New Roman" w:cs="Times New Roman"/>
          <w:b/>
          <w:bCs/>
          <w:sz w:val="24"/>
          <w:szCs w:val="24"/>
        </w:rPr>
        <w:t xml:space="preserve"> with </w:t>
      </w:r>
      <w:r>
        <w:rPr>
          <w:rFonts w:ascii="Times New Roman" w:eastAsia="Times New Roman" w:hAnsi="Times New Roman" w:cs="Times New Roman"/>
          <w:b/>
          <w:sz w:val="24"/>
          <w:szCs w:val="24"/>
        </w:rPr>
        <w:t>physician variables</w:t>
      </w:r>
    </w:p>
    <w:p w14:paraId="365E1379" w14:textId="045D6210" w:rsidR="003A212E" w:rsidRDefault="003676C4" w:rsidP="003676C4">
      <w:pPr>
        <w:spacing w:line="480" w:lineRule="auto"/>
        <w:jc w:val="both"/>
        <w:rPr>
          <w:rFonts w:ascii="Times New Roman" w:eastAsia="Times New Roman" w:hAnsi="Times New Roman" w:cs="Times New Roman"/>
          <w:sz w:val="24"/>
          <w:szCs w:val="24"/>
        </w:rPr>
      </w:pPr>
      <w:r w:rsidRPr="003676C4">
        <w:rPr>
          <w:rFonts w:ascii="Times New Roman" w:eastAsia="Times New Roman" w:hAnsi="Times New Roman" w:cs="Times New Roman"/>
          <w:sz w:val="24"/>
          <w:szCs w:val="24"/>
        </w:rPr>
        <w:t>The results indicate a significant difference in knowledge scores based on physicians' current status (p = 0.001) and years of experience (p = 0.016), suggesting that both current status and years of experience significantly influence physicians' knowledge of gout management. However, the number of hours spent in patient care did not show a statistically significant effect on knowledge scores (p = 0.056)</w:t>
      </w:r>
      <w:r w:rsidR="00E43AAB">
        <w:rPr>
          <w:rFonts w:ascii="Times New Roman" w:eastAsia="Times New Roman" w:hAnsi="Times New Roman" w:cs="Times New Roman"/>
          <w:sz w:val="24"/>
          <w:szCs w:val="24"/>
        </w:rPr>
        <w:t xml:space="preserve"> (Table 6).</w:t>
      </w:r>
    </w:p>
    <w:p w14:paraId="49EEAE03" w14:textId="1F429CBA" w:rsidR="00E43AAB" w:rsidRDefault="00E43AAB" w:rsidP="00E43AAB">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6. </w:t>
      </w:r>
      <w:r w:rsidRPr="00FA464A">
        <w:rPr>
          <w:rFonts w:ascii="Times New Roman" w:eastAsia="Times New Roman" w:hAnsi="Times New Roman" w:cs="Times New Roman"/>
          <w:bCs/>
          <w:sz w:val="24"/>
          <w:szCs w:val="24"/>
        </w:rPr>
        <w:t>Comparison between mean knowledge score and physician variables</w:t>
      </w:r>
    </w:p>
    <w:tbl>
      <w:tblPr>
        <w:tblStyle w:val="TableGrid"/>
        <w:tblW w:w="10060" w:type="dxa"/>
        <w:tblLayout w:type="fixed"/>
        <w:tblLook w:val="0400" w:firstRow="0" w:lastRow="0" w:firstColumn="0" w:lastColumn="0" w:noHBand="0" w:noVBand="1"/>
      </w:tblPr>
      <w:tblGrid>
        <w:gridCol w:w="2823"/>
        <w:gridCol w:w="1481"/>
        <w:gridCol w:w="1523"/>
        <w:gridCol w:w="1392"/>
        <w:gridCol w:w="1322"/>
        <w:gridCol w:w="1519"/>
      </w:tblGrid>
      <w:tr w:rsidR="00E43AAB" w14:paraId="7D54D431" w14:textId="77777777" w:rsidTr="00E43AAB">
        <w:trPr>
          <w:trHeight w:val="300"/>
        </w:trPr>
        <w:tc>
          <w:tcPr>
            <w:tcW w:w="10060" w:type="dxa"/>
            <w:gridSpan w:val="6"/>
          </w:tcPr>
          <w:p w14:paraId="6496840D"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One way ANOVA</w:t>
            </w:r>
          </w:p>
        </w:tc>
      </w:tr>
      <w:tr w:rsidR="00E43AAB" w14:paraId="270A6D4B" w14:textId="77777777" w:rsidTr="00E43AAB">
        <w:trPr>
          <w:trHeight w:val="315"/>
        </w:trPr>
        <w:tc>
          <w:tcPr>
            <w:tcW w:w="10060" w:type="dxa"/>
            <w:gridSpan w:val="6"/>
          </w:tcPr>
          <w:p w14:paraId="3A5D441A"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b/>
              </w:rPr>
              <w:t>Current status</w:t>
            </w:r>
          </w:p>
        </w:tc>
      </w:tr>
      <w:tr w:rsidR="00E43AAB" w14:paraId="27F91F9F" w14:textId="77777777" w:rsidTr="00E43AAB">
        <w:trPr>
          <w:trHeight w:val="525"/>
        </w:trPr>
        <w:tc>
          <w:tcPr>
            <w:tcW w:w="2823" w:type="dxa"/>
          </w:tcPr>
          <w:p w14:paraId="560F9389"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 </w:t>
            </w:r>
          </w:p>
        </w:tc>
        <w:tc>
          <w:tcPr>
            <w:tcW w:w="1481" w:type="dxa"/>
          </w:tcPr>
          <w:p w14:paraId="2E9BDEF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523" w:type="dxa"/>
          </w:tcPr>
          <w:p w14:paraId="2CC473C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392" w:type="dxa"/>
          </w:tcPr>
          <w:p w14:paraId="079B7EC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322" w:type="dxa"/>
          </w:tcPr>
          <w:p w14:paraId="735B631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519" w:type="dxa"/>
          </w:tcPr>
          <w:p w14:paraId="13F48E0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5DB76458" w14:textId="77777777" w:rsidTr="00E43AAB">
        <w:trPr>
          <w:trHeight w:val="495"/>
        </w:trPr>
        <w:tc>
          <w:tcPr>
            <w:tcW w:w="2823" w:type="dxa"/>
          </w:tcPr>
          <w:p w14:paraId="1B3EED62"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481" w:type="dxa"/>
          </w:tcPr>
          <w:p w14:paraId="58257B2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146.493</w:t>
            </w:r>
          </w:p>
        </w:tc>
        <w:tc>
          <w:tcPr>
            <w:tcW w:w="1523" w:type="dxa"/>
          </w:tcPr>
          <w:p w14:paraId="30F35E7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4</w:t>
            </w:r>
          </w:p>
        </w:tc>
        <w:tc>
          <w:tcPr>
            <w:tcW w:w="1392" w:type="dxa"/>
          </w:tcPr>
          <w:p w14:paraId="037CC5E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36.623</w:t>
            </w:r>
          </w:p>
        </w:tc>
        <w:tc>
          <w:tcPr>
            <w:tcW w:w="1322" w:type="dxa"/>
          </w:tcPr>
          <w:p w14:paraId="64C0858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16.700</w:t>
            </w:r>
          </w:p>
        </w:tc>
        <w:tc>
          <w:tcPr>
            <w:tcW w:w="1519" w:type="dxa"/>
            <w:vMerge w:val="restart"/>
          </w:tcPr>
          <w:p w14:paraId="48D08E99"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.001*</w:t>
            </w:r>
          </w:p>
          <w:p w14:paraId="03FB60A6"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2C1A3EA8" w14:textId="77777777" w:rsidTr="00E43AAB">
        <w:trPr>
          <w:trHeight w:val="480"/>
        </w:trPr>
        <w:tc>
          <w:tcPr>
            <w:tcW w:w="2823" w:type="dxa"/>
          </w:tcPr>
          <w:p w14:paraId="5F916BF8"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481" w:type="dxa"/>
          </w:tcPr>
          <w:p w14:paraId="68E7E76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135.970</w:t>
            </w:r>
          </w:p>
        </w:tc>
        <w:tc>
          <w:tcPr>
            <w:tcW w:w="1523" w:type="dxa"/>
          </w:tcPr>
          <w:p w14:paraId="23A634B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62</w:t>
            </w:r>
          </w:p>
        </w:tc>
        <w:tc>
          <w:tcPr>
            <w:tcW w:w="1392" w:type="dxa"/>
          </w:tcPr>
          <w:p w14:paraId="3A41FEF7"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2.193</w:t>
            </w:r>
          </w:p>
        </w:tc>
        <w:tc>
          <w:tcPr>
            <w:tcW w:w="1322" w:type="dxa"/>
          </w:tcPr>
          <w:p w14:paraId="10DF2E7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vMerge/>
          </w:tcPr>
          <w:p w14:paraId="5D0536F5" w14:textId="77777777" w:rsidR="00E43AAB" w:rsidRDefault="00E43AAB" w:rsidP="00E43AAB">
            <w:pPr>
              <w:widowControl w:val="0"/>
              <w:contextualSpacing/>
              <w:rPr>
                <w:rFonts w:ascii="Times New Roman" w:eastAsia="Times New Roman" w:hAnsi="Times New Roman" w:cs="Times New Roman"/>
                <w:b/>
              </w:rPr>
            </w:pPr>
          </w:p>
        </w:tc>
      </w:tr>
      <w:tr w:rsidR="00E43AAB" w14:paraId="6E7633E6" w14:textId="77777777" w:rsidTr="00E43AAB">
        <w:trPr>
          <w:trHeight w:val="315"/>
        </w:trPr>
        <w:tc>
          <w:tcPr>
            <w:tcW w:w="2823" w:type="dxa"/>
          </w:tcPr>
          <w:p w14:paraId="05E26ADB"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Total</w:t>
            </w:r>
          </w:p>
        </w:tc>
        <w:tc>
          <w:tcPr>
            <w:tcW w:w="1481" w:type="dxa"/>
          </w:tcPr>
          <w:p w14:paraId="5A2A136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282.463</w:t>
            </w:r>
          </w:p>
        </w:tc>
        <w:tc>
          <w:tcPr>
            <w:tcW w:w="1523" w:type="dxa"/>
          </w:tcPr>
          <w:p w14:paraId="1B37009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392" w:type="dxa"/>
          </w:tcPr>
          <w:p w14:paraId="281EF7E7"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322" w:type="dxa"/>
          </w:tcPr>
          <w:p w14:paraId="4719183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tcPr>
          <w:p w14:paraId="28C37BEE"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0E28FC9C" w14:textId="77777777" w:rsidTr="00E43AAB">
        <w:trPr>
          <w:trHeight w:val="315"/>
        </w:trPr>
        <w:tc>
          <w:tcPr>
            <w:tcW w:w="10060" w:type="dxa"/>
            <w:gridSpan w:val="6"/>
          </w:tcPr>
          <w:p w14:paraId="47B1E19C"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Years of experience</w:t>
            </w:r>
          </w:p>
        </w:tc>
      </w:tr>
      <w:tr w:rsidR="00E43AAB" w14:paraId="5457D6EC" w14:textId="77777777" w:rsidTr="00E43AAB">
        <w:trPr>
          <w:trHeight w:val="525"/>
        </w:trPr>
        <w:tc>
          <w:tcPr>
            <w:tcW w:w="2823" w:type="dxa"/>
          </w:tcPr>
          <w:p w14:paraId="556FA577"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 </w:t>
            </w:r>
          </w:p>
        </w:tc>
        <w:tc>
          <w:tcPr>
            <w:tcW w:w="1481" w:type="dxa"/>
          </w:tcPr>
          <w:p w14:paraId="372BBA4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523" w:type="dxa"/>
          </w:tcPr>
          <w:p w14:paraId="2396B6F3"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392" w:type="dxa"/>
          </w:tcPr>
          <w:p w14:paraId="67F54AB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322" w:type="dxa"/>
          </w:tcPr>
          <w:p w14:paraId="484112E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519" w:type="dxa"/>
          </w:tcPr>
          <w:p w14:paraId="037FAE8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5331AABD" w14:textId="77777777" w:rsidTr="00E43AAB">
        <w:trPr>
          <w:trHeight w:val="525"/>
        </w:trPr>
        <w:tc>
          <w:tcPr>
            <w:tcW w:w="2823" w:type="dxa"/>
          </w:tcPr>
          <w:p w14:paraId="48DD0010"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481" w:type="dxa"/>
          </w:tcPr>
          <w:p w14:paraId="615847F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24.092</w:t>
            </w:r>
          </w:p>
        </w:tc>
        <w:tc>
          <w:tcPr>
            <w:tcW w:w="1523" w:type="dxa"/>
          </w:tcPr>
          <w:p w14:paraId="12CDCCF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w:t>
            </w:r>
          </w:p>
        </w:tc>
        <w:tc>
          <w:tcPr>
            <w:tcW w:w="1392" w:type="dxa"/>
          </w:tcPr>
          <w:p w14:paraId="7C3DBBD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24.092</w:t>
            </w:r>
          </w:p>
        </w:tc>
        <w:tc>
          <w:tcPr>
            <w:tcW w:w="1322" w:type="dxa"/>
          </w:tcPr>
          <w:p w14:paraId="675CB85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6.061</w:t>
            </w:r>
          </w:p>
        </w:tc>
        <w:tc>
          <w:tcPr>
            <w:tcW w:w="1519" w:type="dxa"/>
            <w:vMerge w:val="restart"/>
          </w:tcPr>
          <w:p w14:paraId="6B19D912"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.016*</w:t>
            </w:r>
          </w:p>
          <w:p w14:paraId="59A96918"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38F3A974" w14:textId="77777777" w:rsidTr="00E43AAB">
        <w:trPr>
          <w:trHeight w:val="495"/>
        </w:trPr>
        <w:tc>
          <w:tcPr>
            <w:tcW w:w="2823" w:type="dxa"/>
          </w:tcPr>
          <w:p w14:paraId="336FF984"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481" w:type="dxa"/>
          </w:tcPr>
          <w:p w14:paraId="69C40329"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258.371</w:t>
            </w:r>
          </w:p>
        </w:tc>
        <w:tc>
          <w:tcPr>
            <w:tcW w:w="1523" w:type="dxa"/>
          </w:tcPr>
          <w:p w14:paraId="1FBA1D4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65</w:t>
            </w:r>
          </w:p>
        </w:tc>
        <w:tc>
          <w:tcPr>
            <w:tcW w:w="1392" w:type="dxa"/>
          </w:tcPr>
          <w:p w14:paraId="4202F1E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3.975</w:t>
            </w:r>
          </w:p>
        </w:tc>
        <w:tc>
          <w:tcPr>
            <w:tcW w:w="1322" w:type="dxa"/>
          </w:tcPr>
          <w:p w14:paraId="0607307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vMerge/>
          </w:tcPr>
          <w:p w14:paraId="5CDA2CC0" w14:textId="77777777" w:rsidR="00E43AAB" w:rsidRDefault="00E43AAB" w:rsidP="00E43AAB">
            <w:pPr>
              <w:widowControl w:val="0"/>
              <w:contextualSpacing/>
              <w:rPr>
                <w:rFonts w:ascii="Times New Roman" w:eastAsia="Times New Roman" w:hAnsi="Times New Roman" w:cs="Times New Roman"/>
                <w:b/>
              </w:rPr>
            </w:pPr>
          </w:p>
        </w:tc>
      </w:tr>
      <w:tr w:rsidR="00E43AAB" w14:paraId="55920316" w14:textId="77777777" w:rsidTr="00E43AAB">
        <w:trPr>
          <w:trHeight w:val="495"/>
        </w:trPr>
        <w:tc>
          <w:tcPr>
            <w:tcW w:w="2823" w:type="dxa"/>
          </w:tcPr>
          <w:p w14:paraId="76B88999"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lastRenderedPageBreak/>
              <w:t>Total</w:t>
            </w:r>
          </w:p>
        </w:tc>
        <w:tc>
          <w:tcPr>
            <w:tcW w:w="1481" w:type="dxa"/>
          </w:tcPr>
          <w:p w14:paraId="2083B73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282.463</w:t>
            </w:r>
          </w:p>
        </w:tc>
        <w:tc>
          <w:tcPr>
            <w:tcW w:w="1523" w:type="dxa"/>
          </w:tcPr>
          <w:p w14:paraId="7818333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392" w:type="dxa"/>
          </w:tcPr>
          <w:p w14:paraId="537178F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322" w:type="dxa"/>
          </w:tcPr>
          <w:p w14:paraId="433B116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tcPr>
          <w:p w14:paraId="4C1826B6"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0E71E868" w14:textId="77777777" w:rsidTr="00E43AAB">
        <w:trPr>
          <w:trHeight w:val="315"/>
        </w:trPr>
        <w:tc>
          <w:tcPr>
            <w:tcW w:w="10060" w:type="dxa"/>
            <w:gridSpan w:val="6"/>
          </w:tcPr>
          <w:p w14:paraId="5D8D3D34"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b/>
              </w:rPr>
              <w:t>Hours in patients care</w:t>
            </w:r>
          </w:p>
        </w:tc>
      </w:tr>
      <w:tr w:rsidR="00E43AAB" w14:paraId="4855A543" w14:textId="77777777" w:rsidTr="00E43AAB">
        <w:trPr>
          <w:trHeight w:val="525"/>
        </w:trPr>
        <w:tc>
          <w:tcPr>
            <w:tcW w:w="2823" w:type="dxa"/>
          </w:tcPr>
          <w:p w14:paraId="42EDA291"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 </w:t>
            </w:r>
          </w:p>
        </w:tc>
        <w:tc>
          <w:tcPr>
            <w:tcW w:w="1481" w:type="dxa"/>
          </w:tcPr>
          <w:p w14:paraId="318264C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523" w:type="dxa"/>
          </w:tcPr>
          <w:p w14:paraId="7260E06F"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392" w:type="dxa"/>
          </w:tcPr>
          <w:p w14:paraId="098F00B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322" w:type="dxa"/>
          </w:tcPr>
          <w:p w14:paraId="4E1BC9E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519" w:type="dxa"/>
          </w:tcPr>
          <w:p w14:paraId="1B1D265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1D077E46" w14:textId="77777777" w:rsidTr="00E43AAB">
        <w:trPr>
          <w:trHeight w:val="495"/>
        </w:trPr>
        <w:tc>
          <w:tcPr>
            <w:tcW w:w="2823" w:type="dxa"/>
          </w:tcPr>
          <w:p w14:paraId="18B1CF43"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481" w:type="dxa"/>
          </w:tcPr>
          <w:p w14:paraId="78690199"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24.338</w:t>
            </w:r>
          </w:p>
        </w:tc>
        <w:tc>
          <w:tcPr>
            <w:tcW w:w="1523" w:type="dxa"/>
          </w:tcPr>
          <w:p w14:paraId="6F6F36A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w:t>
            </w:r>
          </w:p>
        </w:tc>
        <w:tc>
          <w:tcPr>
            <w:tcW w:w="1392" w:type="dxa"/>
          </w:tcPr>
          <w:p w14:paraId="188F95A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12.169</w:t>
            </w:r>
          </w:p>
        </w:tc>
        <w:tc>
          <w:tcPr>
            <w:tcW w:w="1322" w:type="dxa"/>
          </w:tcPr>
          <w:p w14:paraId="576C24E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3.017</w:t>
            </w:r>
          </w:p>
        </w:tc>
        <w:tc>
          <w:tcPr>
            <w:tcW w:w="1519" w:type="dxa"/>
            <w:vMerge w:val="restart"/>
          </w:tcPr>
          <w:p w14:paraId="6AD126A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.056</w:t>
            </w:r>
          </w:p>
          <w:p w14:paraId="74C3F7D4"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r>
      <w:tr w:rsidR="00E43AAB" w14:paraId="7B9C2A26" w14:textId="77777777" w:rsidTr="00E43AAB">
        <w:trPr>
          <w:trHeight w:val="480"/>
        </w:trPr>
        <w:tc>
          <w:tcPr>
            <w:tcW w:w="2823" w:type="dxa"/>
          </w:tcPr>
          <w:p w14:paraId="4383F974"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481" w:type="dxa"/>
          </w:tcPr>
          <w:p w14:paraId="3905AF8F"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258.124</w:t>
            </w:r>
          </w:p>
        </w:tc>
        <w:tc>
          <w:tcPr>
            <w:tcW w:w="1523" w:type="dxa"/>
          </w:tcPr>
          <w:p w14:paraId="2A2CC15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64</w:t>
            </w:r>
          </w:p>
        </w:tc>
        <w:tc>
          <w:tcPr>
            <w:tcW w:w="1392" w:type="dxa"/>
          </w:tcPr>
          <w:p w14:paraId="1200F507"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4.033</w:t>
            </w:r>
          </w:p>
        </w:tc>
        <w:tc>
          <w:tcPr>
            <w:tcW w:w="1322" w:type="dxa"/>
          </w:tcPr>
          <w:p w14:paraId="49C4D4A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vMerge/>
          </w:tcPr>
          <w:p w14:paraId="1F1ECC9B" w14:textId="77777777" w:rsidR="00E43AAB" w:rsidRPr="00E43AAB" w:rsidRDefault="00E43AAB" w:rsidP="00E43AAB">
            <w:pPr>
              <w:widowControl w:val="0"/>
              <w:contextualSpacing/>
              <w:rPr>
                <w:rFonts w:ascii="Times New Roman" w:eastAsia="Times New Roman" w:hAnsi="Times New Roman" w:cs="Times New Roman"/>
                <w:bCs/>
              </w:rPr>
            </w:pPr>
          </w:p>
        </w:tc>
      </w:tr>
      <w:tr w:rsidR="00E43AAB" w14:paraId="7582567C" w14:textId="77777777" w:rsidTr="00E43AAB">
        <w:trPr>
          <w:trHeight w:val="315"/>
        </w:trPr>
        <w:tc>
          <w:tcPr>
            <w:tcW w:w="2823" w:type="dxa"/>
          </w:tcPr>
          <w:p w14:paraId="3109FDD3"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Total</w:t>
            </w:r>
          </w:p>
        </w:tc>
        <w:tc>
          <w:tcPr>
            <w:tcW w:w="1481" w:type="dxa"/>
          </w:tcPr>
          <w:p w14:paraId="675B519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282.463</w:t>
            </w:r>
          </w:p>
        </w:tc>
        <w:tc>
          <w:tcPr>
            <w:tcW w:w="1523" w:type="dxa"/>
          </w:tcPr>
          <w:p w14:paraId="35568BD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392" w:type="dxa"/>
          </w:tcPr>
          <w:p w14:paraId="54406DF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322" w:type="dxa"/>
          </w:tcPr>
          <w:p w14:paraId="46C82813"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519" w:type="dxa"/>
          </w:tcPr>
          <w:p w14:paraId="07B63E57"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r>
    </w:tbl>
    <w:p w14:paraId="243CCCCF" w14:textId="77777777" w:rsidR="00E43AAB" w:rsidRDefault="00E43AAB" w:rsidP="00E43AAB">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*Statistically Significant </w:t>
      </w:r>
    </w:p>
    <w:p w14:paraId="104F0251" w14:textId="158EFC1D" w:rsidR="00E43AAB" w:rsidRDefault="00E43AAB" w:rsidP="00E43AA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presented in Table 7. t</w:t>
      </w:r>
      <w:r w:rsidRPr="00E43AAB">
        <w:rPr>
          <w:rFonts w:ascii="Times New Roman" w:eastAsia="Times New Roman" w:hAnsi="Times New Roman" w:cs="Times New Roman"/>
          <w:sz w:val="24"/>
          <w:szCs w:val="24"/>
        </w:rPr>
        <w:t>he analysis reveals a statistically significant difference in practice scores based on current status (p = 0.036), indicating that current status has a significant impact on physicians' practice in gout management. Similarly, there was a significant difference in practice scores based on years of experience (p = 0.048), suggesting that years of experience influence physicians' practices. However, the number of hours spent in patient care did not show a significant effect on practice scores (p = 0.521), indicating that this variable does not significantly affect physicians' practice in managing gout.</w:t>
      </w:r>
    </w:p>
    <w:p w14:paraId="371C862D" w14:textId="77777777" w:rsidR="00E43AAB" w:rsidRDefault="00E43AAB" w:rsidP="00E43AAB">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7. </w:t>
      </w:r>
      <w:r w:rsidRPr="00FA464A">
        <w:rPr>
          <w:rFonts w:ascii="Times New Roman" w:eastAsia="Times New Roman" w:hAnsi="Times New Roman" w:cs="Times New Roman"/>
          <w:bCs/>
          <w:sz w:val="24"/>
          <w:szCs w:val="24"/>
        </w:rPr>
        <w:t>Comparison between mean practice score and physician variable</w:t>
      </w:r>
      <w:r>
        <w:rPr>
          <w:rFonts w:ascii="Times New Roman" w:eastAsia="Times New Roman" w:hAnsi="Times New Roman" w:cs="Times New Roman"/>
          <w:b/>
          <w:sz w:val="24"/>
          <w:szCs w:val="24"/>
        </w:rPr>
        <w:t xml:space="preserve"> </w:t>
      </w:r>
    </w:p>
    <w:tbl>
      <w:tblPr>
        <w:tblStyle w:val="TableGrid"/>
        <w:tblW w:w="10060" w:type="dxa"/>
        <w:tblLayout w:type="fixed"/>
        <w:tblLook w:val="0400" w:firstRow="0" w:lastRow="0" w:firstColumn="0" w:lastColumn="0" w:noHBand="0" w:noVBand="1"/>
      </w:tblPr>
      <w:tblGrid>
        <w:gridCol w:w="2822"/>
        <w:gridCol w:w="1560"/>
        <w:gridCol w:w="1418"/>
        <w:gridCol w:w="1422"/>
        <w:gridCol w:w="1422"/>
        <w:gridCol w:w="1416"/>
      </w:tblGrid>
      <w:tr w:rsidR="00E43AAB" w14:paraId="26692461" w14:textId="77777777" w:rsidTr="003F5469">
        <w:trPr>
          <w:trHeight w:val="300"/>
        </w:trPr>
        <w:tc>
          <w:tcPr>
            <w:tcW w:w="10060" w:type="dxa"/>
            <w:gridSpan w:val="6"/>
          </w:tcPr>
          <w:p w14:paraId="5C543B05"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One way ANOVA</w:t>
            </w:r>
          </w:p>
        </w:tc>
      </w:tr>
      <w:tr w:rsidR="00E43AAB" w14:paraId="28CD6C54" w14:textId="77777777" w:rsidTr="003F5469">
        <w:trPr>
          <w:trHeight w:val="315"/>
        </w:trPr>
        <w:tc>
          <w:tcPr>
            <w:tcW w:w="10060" w:type="dxa"/>
            <w:gridSpan w:val="6"/>
          </w:tcPr>
          <w:p w14:paraId="2AA576DB"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b/>
              </w:rPr>
              <w:t>Current status</w:t>
            </w:r>
          </w:p>
        </w:tc>
      </w:tr>
      <w:tr w:rsidR="00E43AAB" w14:paraId="6F5DFE2E" w14:textId="77777777" w:rsidTr="003F5469">
        <w:trPr>
          <w:trHeight w:val="525"/>
        </w:trPr>
        <w:tc>
          <w:tcPr>
            <w:tcW w:w="2822" w:type="dxa"/>
          </w:tcPr>
          <w:p w14:paraId="6BC191E7"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 </w:t>
            </w:r>
          </w:p>
        </w:tc>
        <w:tc>
          <w:tcPr>
            <w:tcW w:w="1560" w:type="dxa"/>
          </w:tcPr>
          <w:p w14:paraId="7C073E61"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418" w:type="dxa"/>
          </w:tcPr>
          <w:p w14:paraId="3CF10BFF"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422" w:type="dxa"/>
          </w:tcPr>
          <w:p w14:paraId="0665F9C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422" w:type="dxa"/>
          </w:tcPr>
          <w:p w14:paraId="112AF28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416" w:type="dxa"/>
          </w:tcPr>
          <w:p w14:paraId="37A5D15F"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23DBE101" w14:textId="77777777" w:rsidTr="003F5469">
        <w:trPr>
          <w:trHeight w:val="495"/>
        </w:trPr>
        <w:tc>
          <w:tcPr>
            <w:tcW w:w="2822" w:type="dxa"/>
          </w:tcPr>
          <w:p w14:paraId="03ED0E4B"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560" w:type="dxa"/>
          </w:tcPr>
          <w:p w14:paraId="384A162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10.270</w:t>
            </w:r>
          </w:p>
        </w:tc>
        <w:tc>
          <w:tcPr>
            <w:tcW w:w="1418" w:type="dxa"/>
          </w:tcPr>
          <w:p w14:paraId="0D40DE3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4</w:t>
            </w:r>
          </w:p>
        </w:tc>
        <w:tc>
          <w:tcPr>
            <w:tcW w:w="1422" w:type="dxa"/>
          </w:tcPr>
          <w:p w14:paraId="0C9A9E9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2.568</w:t>
            </w:r>
          </w:p>
        </w:tc>
        <w:tc>
          <w:tcPr>
            <w:tcW w:w="1422" w:type="dxa"/>
          </w:tcPr>
          <w:p w14:paraId="22C36EF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2.755</w:t>
            </w:r>
          </w:p>
        </w:tc>
        <w:tc>
          <w:tcPr>
            <w:tcW w:w="1416" w:type="dxa"/>
          </w:tcPr>
          <w:p w14:paraId="3E8588BF"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.036*</w:t>
            </w:r>
          </w:p>
        </w:tc>
      </w:tr>
      <w:tr w:rsidR="00E43AAB" w14:paraId="2B4E6657" w14:textId="77777777" w:rsidTr="003F5469">
        <w:trPr>
          <w:trHeight w:val="480"/>
        </w:trPr>
        <w:tc>
          <w:tcPr>
            <w:tcW w:w="2822" w:type="dxa"/>
          </w:tcPr>
          <w:p w14:paraId="4553A021"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560" w:type="dxa"/>
          </w:tcPr>
          <w:p w14:paraId="3432F7B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57.778</w:t>
            </w:r>
          </w:p>
        </w:tc>
        <w:tc>
          <w:tcPr>
            <w:tcW w:w="1418" w:type="dxa"/>
          </w:tcPr>
          <w:p w14:paraId="2257012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62</w:t>
            </w:r>
          </w:p>
        </w:tc>
        <w:tc>
          <w:tcPr>
            <w:tcW w:w="1422" w:type="dxa"/>
          </w:tcPr>
          <w:p w14:paraId="7ED2FEF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.932</w:t>
            </w:r>
          </w:p>
        </w:tc>
        <w:tc>
          <w:tcPr>
            <w:tcW w:w="1422" w:type="dxa"/>
          </w:tcPr>
          <w:p w14:paraId="7F8B46FA"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1D2EE686"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6BCE5572" w14:textId="77777777" w:rsidTr="003F5469">
        <w:trPr>
          <w:trHeight w:val="315"/>
        </w:trPr>
        <w:tc>
          <w:tcPr>
            <w:tcW w:w="2822" w:type="dxa"/>
          </w:tcPr>
          <w:p w14:paraId="79B8F244"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Total</w:t>
            </w:r>
          </w:p>
        </w:tc>
        <w:tc>
          <w:tcPr>
            <w:tcW w:w="1560" w:type="dxa"/>
          </w:tcPr>
          <w:p w14:paraId="473312AA"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68.049</w:t>
            </w:r>
          </w:p>
        </w:tc>
        <w:tc>
          <w:tcPr>
            <w:tcW w:w="1418" w:type="dxa"/>
          </w:tcPr>
          <w:p w14:paraId="0D5FD64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422" w:type="dxa"/>
          </w:tcPr>
          <w:p w14:paraId="30AB54E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22" w:type="dxa"/>
          </w:tcPr>
          <w:p w14:paraId="37E5F5B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0C1063B9"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4CC76D0D" w14:textId="77777777" w:rsidTr="003F5469">
        <w:trPr>
          <w:trHeight w:val="315"/>
        </w:trPr>
        <w:tc>
          <w:tcPr>
            <w:tcW w:w="10060" w:type="dxa"/>
            <w:gridSpan w:val="6"/>
          </w:tcPr>
          <w:p w14:paraId="65B0DAD1"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b/>
              </w:rPr>
              <w:t>Years of experience</w:t>
            </w:r>
          </w:p>
        </w:tc>
      </w:tr>
      <w:tr w:rsidR="00E43AAB" w14:paraId="42B826CC" w14:textId="77777777" w:rsidTr="003F5469">
        <w:trPr>
          <w:trHeight w:val="525"/>
        </w:trPr>
        <w:tc>
          <w:tcPr>
            <w:tcW w:w="2822" w:type="dxa"/>
          </w:tcPr>
          <w:p w14:paraId="19AF5F7F"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 </w:t>
            </w:r>
          </w:p>
        </w:tc>
        <w:tc>
          <w:tcPr>
            <w:tcW w:w="1560" w:type="dxa"/>
          </w:tcPr>
          <w:p w14:paraId="77EF417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418" w:type="dxa"/>
          </w:tcPr>
          <w:p w14:paraId="30AF19C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422" w:type="dxa"/>
          </w:tcPr>
          <w:p w14:paraId="487D56F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422" w:type="dxa"/>
          </w:tcPr>
          <w:p w14:paraId="0B7F046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416" w:type="dxa"/>
          </w:tcPr>
          <w:p w14:paraId="22D78FE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3E792411" w14:textId="77777777" w:rsidTr="003F5469">
        <w:trPr>
          <w:trHeight w:val="495"/>
        </w:trPr>
        <w:tc>
          <w:tcPr>
            <w:tcW w:w="2822" w:type="dxa"/>
          </w:tcPr>
          <w:p w14:paraId="2DB53B73"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560" w:type="dxa"/>
          </w:tcPr>
          <w:p w14:paraId="1CB66E5D"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3.199</w:t>
            </w:r>
          </w:p>
        </w:tc>
        <w:tc>
          <w:tcPr>
            <w:tcW w:w="1418" w:type="dxa"/>
          </w:tcPr>
          <w:p w14:paraId="1DB4B97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w:t>
            </w:r>
          </w:p>
        </w:tc>
        <w:tc>
          <w:tcPr>
            <w:tcW w:w="1422" w:type="dxa"/>
          </w:tcPr>
          <w:p w14:paraId="393C7967"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3.199</w:t>
            </w:r>
          </w:p>
        </w:tc>
        <w:tc>
          <w:tcPr>
            <w:tcW w:w="1422" w:type="dxa"/>
          </w:tcPr>
          <w:p w14:paraId="600A367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3.206</w:t>
            </w:r>
          </w:p>
        </w:tc>
        <w:tc>
          <w:tcPr>
            <w:tcW w:w="1416" w:type="dxa"/>
          </w:tcPr>
          <w:p w14:paraId="02D8491A"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.048*</w:t>
            </w:r>
          </w:p>
        </w:tc>
      </w:tr>
      <w:tr w:rsidR="00E43AAB" w14:paraId="79C315BC" w14:textId="77777777" w:rsidTr="003F5469">
        <w:trPr>
          <w:trHeight w:val="480"/>
        </w:trPr>
        <w:tc>
          <w:tcPr>
            <w:tcW w:w="2822" w:type="dxa"/>
          </w:tcPr>
          <w:p w14:paraId="48696DCE"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560" w:type="dxa"/>
          </w:tcPr>
          <w:p w14:paraId="0FA6493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64.849</w:t>
            </w:r>
          </w:p>
        </w:tc>
        <w:tc>
          <w:tcPr>
            <w:tcW w:w="1418" w:type="dxa"/>
          </w:tcPr>
          <w:p w14:paraId="79535A21"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65</w:t>
            </w:r>
          </w:p>
        </w:tc>
        <w:tc>
          <w:tcPr>
            <w:tcW w:w="1422" w:type="dxa"/>
          </w:tcPr>
          <w:p w14:paraId="0DB5A91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.998</w:t>
            </w:r>
          </w:p>
        </w:tc>
        <w:tc>
          <w:tcPr>
            <w:tcW w:w="1422" w:type="dxa"/>
          </w:tcPr>
          <w:p w14:paraId="0D23951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291A873E"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5F1FBF55" w14:textId="77777777" w:rsidTr="003F5469">
        <w:trPr>
          <w:trHeight w:val="315"/>
        </w:trPr>
        <w:tc>
          <w:tcPr>
            <w:tcW w:w="2822" w:type="dxa"/>
          </w:tcPr>
          <w:p w14:paraId="4C25C0B0"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Total</w:t>
            </w:r>
          </w:p>
        </w:tc>
        <w:tc>
          <w:tcPr>
            <w:tcW w:w="1560" w:type="dxa"/>
          </w:tcPr>
          <w:p w14:paraId="5F5DEF49"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68.049</w:t>
            </w:r>
          </w:p>
        </w:tc>
        <w:tc>
          <w:tcPr>
            <w:tcW w:w="1418" w:type="dxa"/>
          </w:tcPr>
          <w:p w14:paraId="31B1AB12"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422" w:type="dxa"/>
          </w:tcPr>
          <w:p w14:paraId="07FCAC6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22" w:type="dxa"/>
          </w:tcPr>
          <w:p w14:paraId="036FB81B"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6FF68380" w14:textId="77777777" w:rsidR="00E43AAB" w:rsidRDefault="00E43AAB" w:rsidP="00E43AAB">
            <w:pPr>
              <w:contextualSpacing/>
              <w:rPr>
                <w:rFonts w:ascii="Times New Roman" w:eastAsia="Times New Roman" w:hAnsi="Times New Roman" w:cs="Times New Roman"/>
                <w:b/>
              </w:rPr>
            </w:pPr>
            <w:r>
              <w:rPr>
                <w:rFonts w:ascii="Times New Roman" w:eastAsia="Times New Roman" w:hAnsi="Times New Roman" w:cs="Times New Roman"/>
                <w:b/>
              </w:rPr>
              <w:t> </w:t>
            </w:r>
          </w:p>
        </w:tc>
      </w:tr>
      <w:tr w:rsidR="00E43AAB" w14:paraId="62AD423C" w14:textId="77777777" w:rsidTr="003F5469">
        <w:trPr>
          <w:trHeight w:val="315"/>
        </w:trPr>
        <w:tc>
          <w:tcPr>
            <w:tcW w:w="10060" w:type="dxa"/>
            <w:gridSpan w:val="6"/>
          </w:tcPr>
          <w:p w14:paraId="5FFC0734"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b/>
              </w:rPr>
              <w:t>Hours in patients care</w:t>
            </w:r>
          </w:p>
        </w:tc>
      </w:tr>
      <w:tr w:rsidR="00E43AAB" w14:paraId="207FA4C1" w14:textId="77777777" w:rsidTr="003F5469">
        <w:trPr>
          <w:trHeight w:val="525"/>
        </w:trPr>
        <w:tc>
          <w:tcPr>
            <w:tcW w:w="2822" w:type="dxa"/>
          </w:tcPr>
          <w:p w14:paraId="2BD2EAAA"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lastRenderedPageBreak/>
              <w:t> </w:t>
            </w:r>
          </w:p>
        </w:tc>
        <w:tc>
          <w:tcPr>
            <w:tcW w:w="1560" w:type="dxa"/>
          </w:tcPr>
          <w:p w14:paraId="558140B1"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Sum of Squares</w:t>
            </w:r>
          </w:p>
        </w:tc>
        <w:tc>
          <w:tcPr>
            <w:tcW w:w="1418" w:type="dxa"/>
          </w:tcPr>
          <w:p w14:paraId="5A9BA456"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Df</w:t>
            </w:r>
          </w:p>
        </w:tc>
        <w:tc>
          <w:tcPr>
            <w:tcW w:w="1422" w:type="dxa"/>
          </w:tcPr>
          <w:p w14:paraId="1FFC4F83"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Mean Square</w:t>
            </w:r>
          </w:p>
        </w:tc>
        <w:tc>
          <w:tcPr>
            <w:tcW w:w="1422" w:type="dxa"/>
          </w:tcPr>
          <w:p w14:paraId="2D830705"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F</w:t>
            </w:r>
          </w:p>
        </w:tc>
        <w:tc>
          <w:tcPr>
            <w:tcW w:w="1416" w:type="dxa"/>
          </w:tcPr>
          <w:p w14:paraId="16B107A9"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Sig.</w:t>
            </w:r>
          </w:p>
        </w:tc>
      </w:tr>
      <w:tr w:rsidR="00E43AAB" w14:paraId="6C592E52" w14:textId="77777777" w:rsidTr="003F5469">
        <w:trPr>
          <w:trHeight w:val="495"/>
        </w:trPr>
        <w:tc>
          <w:tcPr>
            <w:tcW w:w="2822" w:type="dxa"/>
          </w:tcPr>
          <w:p w14:paraId="5BE04918"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Between Groups</w:t>
            </w:r>
          </w:p>
        </w:tc>
        <w:tc>
          <w:tcPr>
            <w:tcW w:w="1560" w:type="dxa"/>
          </w:tcPr>
          <w:p w14:paraId="4660F469"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1.372</w:t>
            </w:r>
          </w:p>
        </w:tc>
        <w:tc>
          <w:tcPr>
            <w:tcW w:w="1418" w:type="dxa"/>
          </w:tcPr>
          <w:p w14:paraId="108D400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2</w:t>
            </w:r>
          </w:p>
        </w:tc>
        <w:tc>
          <w:tcPr>
            <w:tcW w:w="1422" w:type="dxa"/>
          </w:tcPr>
          <w:p w14:paraId="15DF1FBF"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.686</w:t>
            </w:r>
          </w:p>
        </w:tc>
        <w:tc>
          <w:tcPr>
            <w:tcW w:w="1422" w:type="dxa"/>
          </w:tcPr>
          <w:p w14:paraId="2BD1A0E1"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.659</w:t>
            </w:r>
          </w:p>
        </w:tc>
        <w:tc>
          <w:tcPr>
            <w:tcW w:w="1416" w:type="dxa"/>
          </w:tcPr>
          <w:p w14:paraId="24159DF3"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.521</w:t>
            </w:r>
          </w:p>
        </w:tc>
      </w:tr>
      <w:tr w:rsidR="00E43AAB" w14:paraId="6F4B6660" w14:textId="77777777" w:rsidTr="003F5469">
        <w:trPr>
          <w:trHeight w:val="480"/>
        </w:trPr>
        <w:tc>
          <w:tcPr>
            <w:tcW w:w="2822" w:type="dxa"/>
          </w:tcPr>
          <w:p w14:paraId="3452DEB9"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Within Groups</w:t>
            </w:r>
          </w:p>
        </w:tc>
        <w:tc>
          <w:tcPr>
            <w:tcW w:w="1560" w:type="dxa"/>
          </w:tcPr>
          <w:p w14:paraId="6A373E7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66.676</w:t>
            </w:r>
          </w:p>
        </w:tc>
        <w:tc>
          <w:tcPr>
            <w:tcW w:w="1418" w:type="dxa"/>
          </w:tcPr>
          <w:p w14:paraId="646349B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64</w:t>
            </w:r>
          </w:p>
        </w:tc>
        <w:tc>
          <w:tcPr>
            <w:tcW w:w="1422" w:type="dxa"/>
          </w:tcPr>
          <w:p w14:paraId="500FFB6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1.042</w:t>
            </w:r>
          </w:p>
        </w:tc>
        <w:tc>
          <w:tcPr>
            <w:tcW w:w="1422" w:type="dxa"/>
          </w:tcPr>
          <w:p w14:paraId="102D477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341A4810"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r>
      <w:tr w:rsidR="00E43AAB" w14:paraId="0D3E6836" w14:textId="77777777" w:rsidTr="003F5469">
        <w:trPr>
          <w:trHeight w:val="315"/>
        </w:trPr>
        <w:tc>
          <w:tcPr>
            <w:tcW w:w="2822" w:type="dxa"/>
          </w:tcPr>
          <w:p w14:paraId="3AA3658A" w14:textId="77777777" w:rsidR="00E43AAB" w:rsidRDefault="00E43AAB" w:rsidP="00E43AAB">
            <w:pPr>
              <w:contextualSpacing/>
              <w:rPr>
                <w:rFonts w:ascii="Times New Roman" w:eastAsia="Times New Roman" w:hAnsi="Times New Roman" w:cs="Times New Roman"/>
              </w:rPr>
            </w:pPr>
            <w:r>
              <w:rPr>
                <w:rFonts w:ascii="Times New Roman" w:eastAsia="Times New Roman" w:hAnsi="Times New Roman" w:cs="Times New Roman"/>
              </w:rPr>
              <w:t>Total</w:t>
            </w:r>
          </w:p>
        </w:tc>
        <w:tc>
          <w:tcPr>
            <w:tcW w:w="1560" w:type="dxa"/>
          </w:tcPr>
          <w:p w14:paraId="297B31EE"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68.049</w:t>
            </w:r>
          </w:p>
        </w:tc>
        <w:tc>
          <w:tcPr>
            <w:tcW w:w="1418" w:type="dxa"/>
          </w:tcPr>
          <w:p w14:paraId="7637464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66</w:t>
            </w:r>
          </w:p>
        </w:tc>
        <w:tc>
          <w:tcPr>
            <w:tcW w:w="1422" w:type="dxa"/>
          </w:tcPr>
          <w:p w14:paraId="41903BA8"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22" w:type="dxa"/>
          </w:tcPr>
          <w:p w14:paraId="554D6D7A"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c>
          <w:tcPr>
            <w:tcW w:w="1416" w:type="dxa"/>
          </w:tcPr>
          <w:p w14:paraId="166DCC2C" w14:textId="77777777" w:rsidR="00E43AAB" w:rsidRPr="00E43AAB" w:rsidRDefault="00E43AAB" w:rsidP="00E43AAB">
            <w:pPr>
              <w:contextualSpacing/>
              <w:rPr>
                <w:rFonts w:ascii="Times New Roman" w:eastAsia="Times New Roman" w:hAnsi="Times New Roman" w:cs="Times New Roman"/>
                <w:bCs/>
              </w:rPr>
            </w:pPr>
            <w:r w:rsidRPr="00E43AAB">
              <w:rPr>
                <w:rFonts w:ascii="Times New Roman" w:eastAsia="Times New Roman" w:hAnsi="Times New Roman" w:cs="Times New Roman"/>
                <w:bCs/>
              </w:rPr>
              <w:t> </w:t>
            </w:r>
          </w:p>
        </w:tc>
      </w:tr>
    </w:tbl>
    <w:p w14:paraId="2E30AA3F" w14:textId="77777777" w:rsidR="00E43AAB" w:rsidRDefault="00E43AAB" w:rsidP="00E43AAB">
      <w:pPr>
        <w:spacing w:after="200" w:line="360" w:lineRule="auto"/>
        <w:rPr>
          <w:rFonts w:ascii="Times New Roman" w:eastAsia="Times New Roman" w:hAnsi="Times New Roman" w:cs="Times New Roman"/>
          <w:b/>
        </w:rPr>
      </w:pPr>
      <w:r>
        <w:rPr>
          <w:rFonts w:ascii="Times New Roman" w:eastAsia="Times New Roman" w:hAnsi="Times New Roman" w:cs="Times New Roman"/>
          <w:b/>
        </w:rPr>
        <w:t>* Statistically significant</w:t>
      </w:r>
    </w:p>
    <w:p w14:paraId="000002A0" w14:textId="77777777" w:rsidR="00CE6ECD" w:rsidRPr="001E456C" w:rsidRDefault="00110001" w:rsidP="001E456C">
      <w:pPr>
        <w:spacing w:line="480" w:lineRule="auto"/>
        <w:jc w:val="both"/>
        <w:rPr>
          <w:rFonts w:ascii="Times New Roman" w:eastAsia="Times New Roman" w:hAnsi="Times New Roman" w:cs="Times New Roman"/>
          <w:b/>
          <w:bCs/>
          <w:sz w:val="24"/>
          <w:szCs w:val="24"/>
        </w:rPr>
      </w:pPr>
      <w:r w:rsidRPr="001E456C">
        <w:rPr>
          <w:rFonts w:ascii="Times New Roman" w:eastAsia="Times New Roman" w:hAnsi="Times New Roman" w:cs="Times New Roman"/>
          <w:b/>
          <w:bCs/>
          <w:sz w:val="24"/>
          <w:szCs w:val="24"/>
        </w:rPr>
        <w:t xml:space="preserve">4. Discussion </w:t>
      </w:r>
    </w:p>
    <w:p w14:paraId="5665A49F" w14:textId="75537011" w:rsidR="001E456C" w:rsidRPr="004610CC" w:rsidRDefault="001E456C" w:rsidP="004610CC">
      <w:pPr>
        <w:spacing w:line="480" w:lineRule="auto"/>
        <w:ind w:firstLine="720"/>
        <w:jc w:val="both"/>
      </w:pPr>
      <w:r w:rsidRPr="001E456C">
        <w:rPr>
          <w:rFonts w:ascii="Times New Roman" w:eastAsia="Times New Roman" w:hAnsi="Times New Roman" w:cs="Times New Roman"/>
          <w:sz w:val="24"/>
          <w:szCs w:val="24"/>
        </w:rPr>
        <w:t>The results of this study offer valuable insights into the knowledge, attitudes, and practices of physicians regarding gout management in Soba Teaching Hospital, Khartoum. The demographic data show a predominantly young and female cohort of physicians, with the majority being house officers and having less than five years of work experience. This finding aligns with similar studies in developing countries, where young physicians often make up a significant portion of the workforce in teaching hospitals (15,16).</w:t>
      </w:r>
      <w:r w:rsidR="004610CC">
        <w:rPr>
          <w:rFonts w:ascii="Times New Roman" w:eastAsia="Times New Roman" w:hAnsi="Times New Roman" w:cs="Times New Roman"/>
          <w:sz w:val="24"/>
          <w:szCs w:val="24"/>
        </w:rPr>
        <w:t xml:space="preserve"> </w:t>
      </w:r>
      <w:r w:rsidR="004610CC" w:rsidRPr="004610CC">
        <w:rPr>
          <w:rFonts w:ascii="Times New Roman" w:eastAsia="Times New Roman" w:hAnsi="Times New Roman" w:cs="Times New Roman"/>
          <w:color w:val="FF0000"/>
          <w:sz w:val="24"/>
          <w:szCs w:val="24"/>
          <w:highlight w:val="yellow"/>
        </w:rPr>
        <w:t>However, th</w:t>
      </w:r>
      <w:r w:rsidR="004610CC" w:rsidRPr="004610CC">
        <w:rPr>
          <w:rFonts w:ascii="Times New Roman" w:eastAsia="Times New Roman" w:hAnsi="Times New Roman" w:cs="Times New Roman"/>
          <w:color w:val="FF0000"/>
          <w:sz w:val="24"/>
          <w:szCs w:val="24"/>
          <w:highlight w:val="yellow"/>
        </w:rPr>
        <w:t xml:space="preserve">ese </w:t>
      </w:r>
      <w:r w:rsidR="004610CC" w:rsidRPr="004610CC">
        <w:rPr>
          <w:rFonts w:ascii="Times New Roman" w:eastAsia="Times New Roman" w:hAnsi="Times New Roman" w:cs="Times New Roman"/>
          <w:color w:val="FF0000"/>
          <w:sz w:val="24"/>
          <w:szCs w:val="24"/>
          <w:highlight w:val="yellow"/>
        </w:rPr>
        <w:t>demographic</w:t>
      </w:r>
      <w:r w:rsidR="004610CC" w:rsidRPr="004610CC">
        <w:rPr>
          <w:rFonts w:ascii="Times New Roman" w:eastAsia="Times New Roman" w:hAnsi="Times New Roman" w:cs="Times New Roman"/>
          <w:color w:val="FF0000"/>
          <w:sz w:val="24"/>
          <w:szCs w:val="24"/>
          <w:highlight w:val="yellow"/>
        </w:rPr>
        <w:t>s</w:t>
      </w:r>
      <w:r w:rsidR="004610CC" w:rsidRPr="004610CC">
        <w:rPr>
          <w:rFonts w:ascii="Times New Roman" w:eastAsia="Times New Roman" w:hAnsi="Times New Roman" w:cs="Times New Roman"/>
          <w:color w:val="FF0000"/>
          <w:sz w:val="24"/>
          <w:szCs w:val="24"/>
          <w:highlight w:val="yellow"/>
        </w:rPr>
        <w:t xml:space="preserve"> </w:t>
      </w:r>
      <w:r w:rsidR="004610CC" w:rsidRPr="004610CC">
        <w:rPr>
          <w:rFonts w:ascii="Times New Roman" w:eastAsia="Times New Roman" w:hAnsi="Times New Roman" w:cs="Times New Roman"/>
          <w:color w:val="FF0000"/>
          <w:sz w:val="24"/>
          <w:szCs w:val="24"/>
          <w:highlight w:val="yellow"/>
        </w:rPr>
        <w:t>indicated that</w:t>
      </w:r>
      <w:r w:rsidR="004610CC" w:rsidRPr="004610CC">
        <w:rPr>
          <w:rFonts w:ascii="Times New Roman" w:eastAsia="Times New Roman" w:hAnsi="Times New Roman" w:cs="Times New Roman"/>
          <w:color w:val="FF0000"/>
          <w:sz w:val="24"/>
          <w:szCs w:val="24"/>
          <w:highlight w:val="yellow"/>
        </w:rPr>
        <w:t xml:space="preserve"> the need for continuing medical education programs tailored to less experienced </w:t>
      </w:r>
      <w:r w:rsidR="004610CC" w:rsidRPr="004610CC">
        <w:rPr>
          <w:rFonts w:ascii="Times New Roman" w:eastAsia="Times New Roman" w:hAnsi="Times New Roman" w:cs="Times New Roman"/>
          <w:color w:val="FF0000"/>
          <w:sz w:val="24"/>
          <w:szCs w:val="24"/>
          <w:highlight w:val="yellow"/>
        </w:rPr>
        <w:t>physicians</w:t>
      </w:r>
      <w:r w:rsidR="004610CC" w:rsidRPr="004610CC">
        <w:rPr>
          <w:rFonts w:ascii="Times New Roman" w:eastAsia="Times New Roman" w:hAnsi="Times New Roman" w:cs="Times New Roman"/>
          <w:color w:val="FF0000"/>
          <w:sz w:val="24"/>
          <w:szCs w:val="24"/>
          <w:highlight w:val="yellow"/>
        </w:rPr>
        <w:t>.</w:t>
      </w:r>
      <w:r w:rsidRPr="001E456C">
        <w:rPr>
          <w:rFonts w:ascii="Times New Roman" w:eastAsia="Times New Roman" w:hAnsi="Times New Roman" w:cs="Times New Roman"/>
          <w:sz w:val="24"/>
          <w:szCs w:val="24"/>
        </w:rPr>
        <w:t xml:space="preserve"> A noteworthy 62.7% of the physicians reported having read articles about gout, and 59.7% expressed awareness of the disease, which suggests a moderate level of engagement with recent medical literature on gout. However, the relatively high percentage of physicians with limited knowledge about various aspects of gout management indicates that there is a substantial gap in the comprehensive understanding of the disease.</w:t>
      </w:r>
    </w:p>
    <w:p w14:paraId="14694E57" w14:textId="0922D2A8" w:rsidR="001E456C" w:rsidRPr="001E456C" w:rsidRDefault="001E456C" w:rsidP="001E456C">
      <w:pPr>
        <w:spacing w:line="480" w:lineRule="auto"/>
        <w:ind w:firstLine="720"/>
        <w:jc w:val="both"/>
        <w:rPr>
          <w:rFonts w:ascii="Times New Roman" w:eastAsia="Times New Roman" w:hAnsi="Times New Roman" w:cs="Times New Roman"/>
          <w:sz w:val="24"/>
          <w:szCs w:val="24"/>
        </w:rPr>
      </w:pPr>
      <w:r w:rsidRPr="001E456C">
        <w:rPr>
          <w:rFonts w:ascii="Times New Roman" w:eastAsia="Times New Roman" w:hAnsi="Times New Roman" w:cs="Times New Roman"/>
          <w:sz w:val="24"/>
          <w:szCs w:val="24"/>
        </w:rPr>
        <w:t xml:space="preserve">In terms of knowledge, the study revealed that over 50% of physicians were not confident in their decision to administer allopurinol to patients with joint pain for the first time, despite the presence of mild hyperuricemia or inflammation. This gap may reflect the uncertainty surrounding the use of allopurinol in the early stages of gout, which is a common concern among practitioners (10,17). </w:t>
      </w:r>
      <w:r w:rsidRPr="00673E97">
        <w:rPr>
          <w:rFonts w:ascii="Times New Roman" w:eastAsia="Times New Roman" w:hAnsi="Times New Roman" w:cs="Times New Roman"/>
          <w:sz w:val="24"/>
          <w:szCs w:val="24"/>
        </w:rPr>
        <w:t xml:space="preserve">These results in agree with study in Malaysia which revealed that anti-inflammatory agents are </w:t>
      </w:r>
      <w:r w:rsidRPr="001E456C">
        <w:rPr>
          <w:rFonts w:ascii="Times New Roman" w:eastAsia="Times New Roman" w:hAnsi="Times New Roman" w:cs="Times New Roman"/>
          <w:sz w:val="24"/>
          <w:szCs w:val="24"/>
        </w:rPr>
        <w:t>most used</w:t>
      </w:r>
      <w:r w:rsidRPr="00673E97">
        <w:rPr>
          <w:rFonts w:ascii="Times New Roman" w:eastAsia="Times New Roman" w:hAnsi="Times New Roman" w:cs="Times New Roman"/>
          <w:sz w:val="24"/>
          <w:szCs w:val="24"/>
        </w:rPr>
        <w:t xml:space="preserve"> for the treatment of acute and chronic gout, with corticosteroid usage at a low </w:t>
      </w:r>
      <w:r w:rsidRPr="00673E97">
        <w:rPr>
          <w:rFonts w:ascii="Times New Roman" w:eastAsia="Times New Roman" w:hAnsi="Times New Roman" w:cs="Times New Roman"/>
          <w:sz w:val="24"/>
          <w:szCs w:val="24"/>
        </w:rPr>
        <w:lastRenderedPageBreak/>
        <w:t>level</w:t>
      </w:r>
      <w:r w:rsidRPr="001E456C">
        <w:rPr>
          <w:rFonts w:ascii="Times New Roman" w:eastAsia="Times New Roman" w:hAnsi="Times New Roman" w:cs="Times New Roman"/>
          <w:sz w:val="24"/>
          <w:szCs w:val="24"/>
        </w:rPr>
        <w:t xml:space="preserve"> (18). A similar uncertainty was found when physicians were asked about the use of ice packs during an acute gout attack, with 45% responding that they did not know. These findings underscore the importance of targeted education on the management of acute gout attacks and the initiation of urate-lowering therapy. The low knowledge about the appropriate timing for discontinuing allopurinol and the recommended dose of colchicine also highlights a potential area for improvement in clinical practice (19).</w:t>
      </w:r>
    </w:p>
    <w:p w14:paraId="26EF2CA2" w14:textId="7EF5C03A" w:rsidR="001E456C" w:rsidRPr="00583DCF" w:rsidRDefault="001E456C" w:rsidP="001E456C">
      <w:pPr>
        <w:spacing w:line="480" w:lineRule="auto"/>
        <w:ind w:firstLine="720"/>
        <w:jc w:val="both"/>
        <w:rPr>
          <w:rFonts w:ascii="Times New Roman" w:eastAsia="Times New Roman" w:hAnsi="Times New Roman" w:cs="Times New Roman"/>
          <w:color w:val="FF0000"/>
          <w:sz w:val="24"/>
          <w:szCs w:val="24"/>
        </w:rPr>
      </w:pPr>
      <w:r w:rsidRPr="001E456C">
        <w:rPr>
          <w:rFonts w:ascii="Times New Roman" w:eastAsia="Times New Roman" w:hAnsi="Times New Roman" w:cs="Times New Roman"/>
          <w:sz w:val="24"/>
          <w:szCs w:val="24"/>
        </w:rPr>
        <w:t>Two trials demonstrated that the use of regular colchicine (1.2–1.5 mg daily) for 6 months was associated with a reduced frequency and severity of acute gout attacks when initiating urate-lowering therapy (ULT), compared to placebo (20,21). In our study, however, only 11% of participants correctly identified the appropriate colchicine dose. Regarding acute gout attacks, it is recommended to rest, elevate, and expose the affected joint to a cool environment. Only 36% of respondents were aware that ice packs can help relieve the pain, a finding that contrasts with a study conducted in Indonesia (22). Most physicians (76%) in our study recommended resting the affected joint, which aligns with the Indonesian study's findings. Additionally, 66% of physicians recognized that gout could lead to joint contracture, but only 37.3% would prevent it by tightly controlling serum uric acid levels.</w:t>
      </w:r>
      <w:r w:rsidR="00583DCF">
        <w:rPr>
          <w:rFonts w:ascii="Times New Roman" w:eastAsia="Times New Roman" w:hAnsi="Times New Roman" w:cs="Times New Roman"/>
          <w:sz w:val="24"/>
          <w:szCs w:val="24"/>
        </w:rPr>
        <w:t xml:space="preserve"> </w:t>
      </w:r>
      <w:r w:rsidR="00583DCF" w:rsidRPr="00583DCF">
        <w:rPr>
          <w:rFonts w:ascii="Times New Roman" w:eastAsia="Times New Roman" w:hAnsi="Times New Roman" w:cs="Times New Roman"/>
          <w:color w:val="FF0000"/>
          <w:sz w:val="24"/>
          <w:szCs w:val="24"/>
          <w:highlight w:val="yellow"/>
        </w:rPr>
        <w:t xml:space="preserve">Similar </w:t>
      </w:r>
      <w:r w:rsidR="00583DCF" w:rsidRPr="00583DCF">
        <w:rPr>
          <w:rFonts w:ascii="Times New Roman" w:eastAsia="Times New Roman" w:hAnsi="Times New Roman" w:cs="Times New Roman"/>
          <w:color w:val="FF0000"/>
          <w:sz w:val="24"/>
          <w:szCs w:val="24"/>
          <w:highlight w:val="yellow"/>
        </w:rPr>
        <w:t>findings</w:t>
      </w:r>
      <w:r w:rsidR="00583DCF" w:rsidRPr="00583DCF">
        <w:rPr>
          <w:rFonts w:ascii="Times New Roman" w:eastAsia="Times New Roman" w:hAnsi="Times New Roman" w:cs="Times New Roman"/>
          <w:color w:val="FF0000"/>
          <w:sz w:val="24"/>
          <w:szCs w:val="24"/>
          <w:highlight w:val="yellow"/>
        </w:rPr>
        <w:t xml:space="preserve"> have been reported in other </w:t>
      </w:r>
      <w:r w:rsidR="00583DCF" w:rsidRPr="00583DCF">
        <w:rPr>
          <w:rFonts w:ascii="Times New Roman" w:eastAsia="Times New Roman" w:hAnsi="Times New Roman" w:cs="Times New Roman"/>
          <w:color w:val="FF0000"/>
          <w:sz w:val="24"/>
          <w:szCs w:val="24"/>
          <w:highlight w:val="yellow"/>
        </w:rPr>
        <w:t>low-income</w:t>
      </w:r>
      <w:r w:rsidR="00583DCF" w:rsidRPr="00583DCF">
        <w:rPr>
          <w:rFonts w:ascii="Times New Roman" w:eastAsia="Times New Roman" w:hAnsi="Times New Roman" w:cs="Times New Roman"/>
          <w:color w:val="FF0000"/>
          <w:sz w:val="24"/>
          <w:szCs w:val="24"/>
          <w:highlight w:val="yellow"/>
        </w:rPr>
        <w:t xml:space="preserve"> countries</w:t>
      </w:r>
      <w:r w:rsidR="00583DCF" w:rsidRPr="00583DCF">
        <w:rPr>
          <w:rFonts w:ascii="Times New Roman" w:eastAsia="Times New Roman" w:hAnsi="Times New Roman" w:cs="Times New Roman"/>
          <w:color w:val="FF0000"/>
          <w:sz w:val="24"/>
          <w:szCs w:val="24"/>
          <w:highlight w:val="yellow"/>
        </w:rPr>
        <w:t xml:space="preserve"> like Sudan,</w:t>
      </w:r>
      <w:r w:rsidR="00583DCF" w:rsidRPr="00583DCF">
        <w:rPr>
          <w:rFonts w:ascii="Times New Roman" w:eastAsia="Times New Roman" w:hAnsi="Times New Roman" w:cs="Times New Roman"/>
          <w:color w:val="FF0000"/>
          <w:sz w:val="24"/>
          <w:szCs w:val="24"/>
          <w:highlight w:val="yellow"/>
        </w:rPr>
        <w:t xml:space="preserve"> where </w:t>
      </w:r>
      <w:r w:rsidR="00583DCF" w:rsidRPr="00583DCF">
        <w:rPr>
          <w:rFonts w:ascii="Times New Roman" w:eastAsia="Times New Roman" w:hAnsi="Times New Roman" w:cs="Times New Roman"/>
          <w:color w:val="FF0000"/>
          <w:sz w:val="24"/>
          <w:szCs w:val="24"/>
          <w:highlight w:val="yellow"/>
        </w:rPr>
        <w:t xml:space="preserve">there are </w:t>
      </w:r>
      <w:r w:rsidR="00583DCF" w:rsidRPr="00583DCF">
        <w:rPr>
          <w:rFonts w:ascii="Times New Roman" w:eastAsia="Times New Roman" w:hAnsi="Times New Roman" w:cs="Times New Roman"/>
          <w:color w:val="FF0000"/>
          <w:sz w:val="24"/>
          <w:szCs w:val="24"/>
          <w:highlight w:val="yellow"/>
        </w:rPr>
        <w:t>resource constraints, and gaps in undergraduate training contribute to inconsistent practice patterns</w:t>
      </w:r>
      <w:r w:rsidR="009A43BB">
        <w:rPr>
          <w:rFonts w:ascii="Times New Roman" w:eastAsia="Times New Roman" w:hAnsi="Times New Roman" w:cs="Times New Roman"/>
          <w:color w:val="FF0000"/>
          <w:sz w:val="24"/>
          <w:szCs w:val="24"/>
          <w:highlight w:val="yellow"/>
        </w:rPr>
        <w:t xml:space="preserve"> (23)</w:t>
      </w:r>
      <w:r w:rsidR="00583DCF" w:rsidRPr="00583DCF">
        <w:rPr>
          <w:rFonts w:ascii="Times New Roman" w:eastAsia="Times New Roman" w:hAnsi="Times New Roman" w:cs="Times New Roman"/>
          <w:color w:val="FF0000"/>
          <w:sz w:val="24"/>
          <w:szCs w:val="24"/>
          <w:highlight w:val="yellow"/>
        </w:rPr>
        <w:t>.</w:t>
      </w:r>
    </w:p>
    <w:p w14:paraId="40901233" w14:textId="1380B840" w:rsidR="001E456C" w:rsidRPr="00583DCF" w:rsidRDefault="001E456C" w:rsidP="001E456C">
      <w:pPr>
        <w:spacing w:line="480" w:lineRule="auto"/>
        <w:ind w:firstLine="720"/>
        <w:jc w:val="both"/>
        <w:rPr>
          <w:rFonts w:ascii="Times New Roman" w:eastAsia="Times New Roman" w:hAnsi="Times New Roman" w:cs="Times New Roman"/>
          <w:color w:val="FF0000"/>
          <w:sz w:val="24"/>
          <w:szCs w:val="24"/>
        </w:rPr>
      </w:pPr>
      <w:r w:rsidRPr="001E456C">
        <w:rPr>
          <w:rFonts w:ascii="Times New Roman" w:eastAsia="Times New Roman" w:hAnsi="Times New Roman" w:cs="Times New Roman"/>
          <w:sz w:val="24"/>
          <w:szCs w:val="24"/>
        </w:rPr>
        <w:t xml:space="preserve">The findings from the attitude assessment indicated that most physicians recognized the significant impact of gout on quality of life and agreed that the condition requires personalized and controlled treatment. However, while 64% believed that the guidelines for gout management were clear, there was a notable contradiction, as 64% also felt that the guidelines were not well-understood. This discrepancy could be due to the perceived complexity of current gout </w:t>
      </w:r>
      <w:r w:rsidRPr="001E456C">
        <w:rPr>
          <w:rFonts w:ascii="Times New Roman" w:eastAsia="Times New Roman" w:hAnsi="Times New Roman" w:cs="Times New Roman"/>
          <w:sz w:val="24"/>
          <w:szCs w:val="24"/>
        </w:rPr>
        <w:lastRenderedPageBreak/>
        <w:t>management protocols or a lack of proper training in their implementation. Such disparities in attitude and understanding suggest the need for further investigation into the clarity and accessibility of existing gout management guidelines (2</w:t>
      </w:r>
      <w:r w:rsidR="009A43BB">
        <w:rPr>
          <w:rFonts w:ascii="Times New Roman" w:eastAsia="Times New Roman" w:hAnsi="Times New Roman" w:cs="Times New Roman"/>
          <w:sz w:val="24"/>
          <w:szCs w:val="24"/>
        </w:rPr>
        <w:t>4</w:t>
      </w:r>
      <w:r w:rsidRPr="001E456C">
        <w:rPr>
          <w:rFonts w:ascii="Times New Roman" w:eastAsia="Times New Roman" w:hAnsi="Times New Roman" w:cs="Times New Roman"/>
          <w:sz w:val="24"/>
          <w:szCs w:val="24"/>
        </w:rPr>
        <w:t>). In this study, participating physicians recommended several approaches to improving gout care, such as counseling patients about joint rest and reducing beef consumption. However, fewer than 50% of physicians counseled patients on reducing organ meat consumption, pork consumption, or beer consumption</w:t>
      </w:r>
      <w:r w:rsidR="00583DCF">
        <w:rPr>
          <w:rFonts w:ascii="Times New Roman" w:eastAsia="Times New Roman" w:hAnsi="Times New Roman" w:cs="Times New Roman"/>
          <w:sz w:val="24"/>
          <w:szCs w:val="24"/>
        </w:rPr>
        <w:t xml:space="preserve">. </w:t>
      </w:r>
      <w:r w:rsidR="00583DCF" w:rsidRPr="00583DCF">
        <w:rPr>
          <w:rFonts w:ascii="Times New Roman" w:eastAsia="Times New Roman" w:hAnsi="Times New Roman" w:cs="Times New Roman"/>
          <w:color w:val="FF0000"/>
          <w:sz w:val="24"/>
          <w:szCs w:val="24"/>
          <w:highlight w:val="yellow"/>
        </w:rPr>
        <w:t>C</w:t>
      </w:r>
      <w:r w:rsidR="00583DCF" w:rsidRPr="00583DCF">
        <w:rPr>
          <w:rFonts w:ascii="Times New Roman" w:eastAsia="Times New Roman" w:hAnsi="Times New Roman" w:cs="Times New Roman"/>
          <w:color w:val="FF0000"/>
          <w:sz w:val="24"/>
          <w:szCs w:val="24"/>
          <w:highlight w:val="yellow"/>
        </w:rPr>
        <w:t xml:space="preserve">ommon dietary habits </w:t>
      </w:r>
      <w:r w:rsidR="00583DCF">
        <w:rPr>
          <w:rFonts w:ascii="Times New Roman" w:eastAsia="Times New Roman" w:hAnsi="Times New Roman" w:cs="Times New Roman"/>
          <w:color w:val="FF0000"/>
          <w:sz w:val="24"/>
          <w:szCs w:val="24"/>
          <w:highlight w:val="yellow"/>
        </w:rPr>
        <w:t xml:space="preserve">such as </w:t>
      </w:r>
      <w:r w:rsidR="00583DCF" w:rsidRPr="00583DCF">
        <w:rPr>
          <w:rFonts w:ascii="Times New Roman" w:eastAsia="Times New Roman" w:hAnsi="Times New Roman" w:cs="Times New Roman"/>
          <w:color w:val="FF0000"/>
          <w:sz w:val="24"/>
          <w:szCs w:val="24"/>
          <w:highlight w:val="yellow"/>
        </w:rPr>
        <w:t>high intake of red meat and organ meats</w:t>
      </w:r>
      <w:r w:rsidR="00583DCF">
        <w:rPr>
          <w:rFonts w:ascii="Times New Roman" w:eastAsia="Times New Roman" w:hAnsi="Times New Roman" w:cs="Times New Roman"/>
          <w:color w:val="FF0000"/>
          <w:sz w:val="24"/>
          <w:szCs w:val="24"/>
          <w:highlight w:val="yellow"/>
        </w:rPr>
        <w:t xml:space="preserve">, </w:t>
      </w:r>
      <w:r w:rsidR="00583DCF" w:rsidRPr="00583DCF">
        <w:rPr>
          <w:rFonts w:ascii="Times New Roman" w:eastAsia="Times New Roman" w:hAnsi="Times New Roman" w:cs="Times New Roman"/>
          <w:color w:val="FF0000"/>
          <w:sz w:val="24"/>
          <w:szCs w:val="24"/>
          <w:highlight w:val="yellow"/>
        </w:rPr>
        <w:t>and medication access issues</w:t>
      </w:r>
      <w:r w:rsidR="00583DCF">
        <w:rPr>
          <w:rFonts w:ascii="Times New Roman" w:eastAsia="Times New Roman" w:hAnsi="Times New Roman" w:cs="Times New Roman"/>
          <w:color w:val="FF0000"/>
          <w:sz w:val="24"/>
          <w:szCs w:val="24"/>
          <w:highlight w:val="yellow"/>
        </w:rPr>
        <w:t xml:space="preserve"> </w:t>
      </w:r>
      <w:r w:rsidR="00583DCF" w:rsidRPr="00583DCF">
        <w:rPr>
          <w:rFonts w:ascii="Times New Roman" w:eastAsia="Times New Roman" w:hAnsi="Times New Roman" w:cs="Times New Roman"/>
          <w:color w:val="FF0000"/>
          <w:sz w:val="24"/>
          <w:szCs w:val="24"/>
          <w:highlight w:val="yellow"/>
        </w:rPr>
        <w:t xml:space="preserve">may influence both physician practices </w:t>
      </w:r>
      <w:r w:rsidR="00583DCF">
        <w:rPr>
          <w:rFonts w:ascii="Times New Roman" w:eastAsia="Times New Roman" w:hAnsi="Times New Roman" w:cs="Times New Roman"/>
          <w:color w:val="FF0000"/>
          <w:sz w:val="24"/>
          <w:szCs w:val="24"/>
          <w:highlight w:val="yellow"/>
        </w:rPr>
        <w:t xml:space="preserve">to manage gout and affecting </w:t>
      </w:r>
      <w:r w:rsidR="00583DCF" w:rsidRPr="00583DCF">
        <w:rPr>
          <w:rFonts w:ascii="Times New Roman" w:eastAsia="Times New Roman" w:hAnsi="Times New Roman" w:cs="Times New Roman"/>
          <w:color w:val="FF0000"/>
          <w:sz w:val="24"/>
          <w:szCs w:val="24"/>
          <w:highlight w:val="yellow"/>
        </w:rPr>
        <w:t>patient adherence</w:t>
      </w:r>
      <w:r w:rsidR="00583DCF">
        <w:rPr>
          <w:rFonts w:ascii="Times New Roman" w:eastAsia="Times New Roman" w:hAnsi="Times New Roman" w:cs="Times New Roman"/>
          <w:color w:val="FF0000"/>
          <w:sz w:val="24"/>
          <w:szCs w:val="24"/>
          <w:highlight w:val="yellow"/>
        </w:rPr>
        <w:t xml:space="preserve"> (2</w:t>
      </w:r>
      <w:r w:rsidR="009A43BB">
        <w:rPr>
          <w:rFonts w:ascii="Times New Roman" w:eastAsia="Times New Roman" w:hAnsi="Times New Roman" w:cs="Times New Roman"/>
          <w:color w:val="FF0000"/>
          <w:sz w:val="24"/>
          <w:szCs w:val="24"/>
          <w:highlight w:val="yellow"/>
        </w:rPr>
        <w:t>5</w:t>
      </w:r>
      <w:r w:rsidR="00583DCF">
        <w:rPr>
          <w:rFonts w:ascii="Times New Roman" w:eastAsia="Times New Roman" w:hAnsi="Times New Roman" w:cs="Times New Roman"/>
          <w:color w:val="FF0000"/>
          <w:sz w:val="24"/>
          <w:szCs w:val="24"/>
          <w:highlight w:val="yellow"/>
        </w:rPr>
        <w:t>)</w:t>
      </w:r>
      <w:r w:rsidR="00583DCF" w:rsidRPr="00583DCF">
        <w:rPr>
          <w:rFonts w:ascii="Times New Roman" w:eastAsia="Times New Roman" w:hAnsi="Times New Roman" w:cs="Times New Roman"/>
          <w:color w:val="FF0000"/>
          <w:sz w:val="24"/>
          <w:szCs w:val="24"/>
          <w:highlight w:val="yellow"/>
        </w:rPr>
        <w:t>.</w:t>
      </w:r>
    </w:p>
    <w:p w14:paraId="72171613" w14:textId="07FC6C51" w:rsidR="001E456C" w:rsidRPr="001E456C" w:rsidRDefault="001E456C" w:rsidP="001E456C">
      <w:pPr>
        <w:spacing w:line="480" w:lineRule="auto"/>
        <w:ind w:firstLine="720"/>
        <w:jc w:val="both"/>
        <w:rPr>
          <w:rFonts w:ascii="Times New Roman" w:eastAsia="Times New Roman" w:hAnsi="Times New Roman" w:cs="Times New Roman"/>
          <w:sz w:val="24"/>
          <w:szCs w:val="24"/>
        </w:rPr>
      </w:pPr>
      <w:r w:rsidRPr="001E456C">
        <w:rPr>
          <w:rFonts w:ascii="Times New Roman" w:eastAsia="Times New Roman" w:hAnsi="Times New Roman" w:cs="Times New Roman"/>
          <w:sz w:val="24"/>
          <w:szCs w:val="24"/>
        </w:rPr>
        <w:t>Regarding the practice assessment, a considerable proportion of physicians did not routinely recommend synovial fluid examination or consistently monitor serum uric acid levels in patients with gout. The decision to advise resting the joint rather than promoting joint movement is in line with standard practice for managing acute gout attacks, but a lack of uniformity in the approaches to dietary recommendations, such as reducing beef and organ meat intake, highlights the need for standardization in patient education (2</w:t>
      </w:r>
      <w:r w:rsidR="009A43BB">
        <w:rPr>
          <w:rFonts w:ascii="Times New Roman" w:eastAsia="Times New Roman" w:hAnsi="Times New Roman" w:cs="Times New Roman"/>
          <w:sz w:val="24"/>
          <w:szCs w:val="24"/>
        </w:rPr>
        <w:t>6</w:t>
      </w:r>
      <w:r w:rsidRPr="001E456C">
        <w:rPr>
          <w:rFonts w:ascii="Times New Roman" w:eastAsia="Times New Roman" w:hAnsi="Times New Roman" w:cs="Times New Roman"/>
          <w:sz w:val="24"/>
          <w:szCs w:val="24"/>
        </w:rPr>
        <w:t>). The observed variation in the frequency of serum uric acid testing and the education about joint movement for preventing contractures may also reflect differences in individual clinical practices, which could be influenced by the physicians' knowledge and their experience with gout patients (2</w:t>
      </w:r>
      <w:r w:rsidR="009A43BB">
        <w:rPr>
          <w:rFonts w:ascii="Times New Roman" w:eastAsia="Times New Roman" w:hAnsi="Times New Roman" w:cs="Times New Roman"/>
          <w:sz w:val="24"/>
          <w:szCs w:val="24"/>
        </w:rPr>
        <w:t>7</w:t>
      </w:r>
      <w:r w:rsidRPr="001E456C">
        <w:rPr>
          <w:rFonts w:ascii="Times New Roman" w:eastAsia="Times New Roman" w:hAnsi="Times New Roman" w:cs="Times New Roman"/>
          <w:sz w:val="24"/>
          <w:szCs w:val="24"/>
        </w:rPr>
        <w:t>).</w:t>
      </w:r>
    </w:p>
    <w:p w14:paraId="7AB6D827" w14:textId="4EE31D82" w:rsidR="001E456C" w:rsidRPr="001E456C" w:rsidRDefault="001E456C" w:rsidP="001E456C">
      <w:pPr>
        <w:spacing w:line="480" w:lineRule="auto"/>
        <w:ind w:firstLine="720"/>
        <w:jc w:val="both"/>
        <w:rPr>
          <w:rFonts w:ascii="Times New Roman" w:eastAsia="Times New Roman" w:hAnsi="Times New Roman" w:cs="Times New Roman"/>
          <w:sz w:val="24"/>
          <w:szCs w:val="24"/>
        </w:rPr>
      </w:pPr>
      <w:r w:rsidRPr="001E456C">
        <w:rPr>
          <w:rFonts w:ascii="Times New Roman" w:eastAsia="Times New Roman" w:hAnsi="Times New Roman" w:cs="Times New Roman"/>
          <w:sz w:val="24"/>
          <w:szCs w:val="24"/>
        </w:rPr>
        <w:t>The association between physician variables and both knowledge and practice scores suggests that experience and current status are important factors in shaping physicians' approaches to gout management. Specifically, physicians with more years of experience and those in more senior positions exhibited better knowledge and practice scores, which supports findings from other studies that suggest experienced physicians are more likely to provide evidence-based care (2</w:t>
      </w:r>
      <w:r w:rsidR="009A43BB">
        <w:rPr>
          <w:rFonts w:ascii="Times New Roman" w:eastAsia="Times New Roman" w:hAnsi="Times New Roman" w:cs="Times New Roman"/>
          <w:sz w:val="24"/>
          <w:szCs w:val="24"/>
        </w:rPr>
        <w:t>8</w:t>
      </w:r>
      <w:r w:rsidRPr="001E456C">
        <w:rPr>
          <w:rFonts w:ascii="Times New Roman" w:eastAsia="Times New Roman" w:hAnsi="Times New Roman" w:cs="Times New Roman"/>
          <w:sz w:val="24"/>
          <w:szCs w:val="24"/>
        </w:rPr>
        <w:t xml:space="preserve">). However, the number of hours spent in patient care did not show a significant impact on </w:t>
      </w:r>
      <w:r w:rsidRPr="001E456C">
        <w:rPr>
          <w:rFonts w:ascii="Times New Roman" w:eastAsia="Times New Roman" w:hAnsi="Times New Roman" w:cs="Times New Roman"/>
          <w:sz w:val="24"/>
          <w:szCs w:val="24"/>
        </w:rPr>
        <w:lastRenderedPageBreak/>
        <w:t xml:space="preserve">knowledge or practice scores, which may imply that simply spending more time with patients does not necessarily correlate with improved clinical decision-making in gout management. </w:t>
      </w:r>
      <w:r w:rsidRPr="00583DCF">
        <w:rPr>
          <w:rFonts w:ascii="Times New Roman" w:eastAsia="Times New Roman" w:hAnsi="Times New Roman" w:cs="Times New Roman"/>
          <w:color w:val="FF0000"/>
          <w:sz w:val="24"/>
          <w:szCs w:val="24"/>
          <w:highlight w:val="yellow"/>
        </w:rPr>
        <w:t>This may suggest that targeted education and structured training programs are more effective in improving healthcare providers’ performance than just increasing patient exposure</w:t>
      </w:r>
      <w:r w:rsidRPr="00583DCF">
        <w:rPr>
          <w:rFonts w:ascii="Times New Roman" w:eastAsia="Times New Roman" w:hAnsi="Times New Roman" w:cs="Times New Roman"/>
          <w:color w:val="FF0000"/>
          <w:sz w:val="24"/>
          <w:szCs w:val="24"/>
        </w:rPr>
        <w:t xml:space="preserve"> </w:t>
      </w:r>
      <w:r w:rsidRPr="001E456C">
        <w:rPr>
          <w:rFonts w:ascii="Times New Roman" w:eastAsia="Times New Roman" w:hAnsi="Times New Roman" w:cs="Times New Roman"/>
          <w:sz w:val="24"/>
          <w:szCs w:val="24"/>
        </w:rPr>
        <w:t>(2</w:t>
      </w:r>
      <w:r w:rsidR="009A43BB">
        <w:rPr>
          <w:rFonts w:ascii="Times New Roman" w:eastAsia="Times New Roman" w:hAnsi="Times New Roman" w:cs="Times New Roman"/>
          <w:sz w:val="24"/>
          <w:szCs w:val="24"/>
        </w:rPr>
        <w:t>9</w:t>
      </w:r>
      <w:r w:rsidRPr="001E456C">
        <w:rPr>
          <w:rFonts w:ascii="Times New Roman" w:eastAsia="Times New Roman" w:hAnsi="Times New Roman" w:cs="Times New Roman"/>
          <w:sz w:val="24"/>
          <w:szCs w:val="24"/>
        </w:rPr>
        <w:t>,</w:t>
      </w:r>
      <w:r w:rsidR="009A43BB">
        <w:rPr>
          <w:rFonts w:ascii="Times New Roman" w:eastAsia="Times New Roman" w:hAnsi="Times New Roman" w:cs="Times New Roman"/>
          <w:sz w:val="24"/>
          <w:szCs w:val="24"/>
        </w:rPr>
        <w:t>30</w:t>
      </w:r>
      <w:r w:rsidRPr="001E456C">
        <w:rPr>
          <w:rFonts w:ascii="Times New Roman" w:eastAsia="Times New Roman" w:hAnsi="Times New Roman" w:cs="Times New Roman"/>
          <w:sz w:val="24"/>
          <w:szCs w:val="24"/>
        </w:rPr>
        <w:t>).</w:t>
      </w:r>
    </w:p>
    <w:p w14:paraId="000002A8" w14:textId="12D415BF" w:rsidR="00CE6ECD" w:rsidRDefault="006611F7" w:rsidP="006611F7">
      <w:pPr>
        <w:spacing w:line="480" w:lineRule="auto"/>
        <w:ind w:firstLine="720"/>
        <w:jc w:val="both"/>
        <w:rPr>
          <w:rFonts w:ascii="Times New Roman" w:eastAsia="Times New Roman" w:hAnsi="Times New Roman" w:cs="Times New Roman"/>
          <w:sz w:val="24"/>
          <w:szCs w:val="24"/>
        </w:rPr>
      </w:pPr>
      <w:r w:rsidRPr="006611F7">
        <w:rPr>
          <w:rFonts w:ascii="Times New Roman" w:eastAsia="Times New Roman" w:hAnsi="Times New Roman" w:cs="Times New Roman"/>
          <w:sz w:val="24"/>
          <w:szCs w:val="24"/>
        </w:rPr>
        <w:t>The current study has several limitations. First, it was conducted in a single hospital, which may limit the generalizability of the findings to all physicians in Sudan. Second, the study's cross-sectional design does not allow for the determination of causal relationships between the findings and other influencing factors. Additionally, the use of a closed-ended questionnaire restricted physicians' ability to fully express their views on the research topic. Despite these limitations, the study provides valuable insights into physicians' knowledge, attitudes, and practices regarding gout management. It highlights the need for enhanced continuing education and training programs to address the identified gaps</w:t>
      </w:r>
      <w:r>
        <w:rPr>
          <w:rFonts w:ascii="Times New Roman" w:eastAsia="Times New Roman" w:hAnsi="Times New Roman" w:cs="Times New Roman"/>
          <w:sz w:val="24"/>
          <w:szCs w:val="24"/>
        </w:rPr>
        <w:t>.</w:t>
      </w:r>
    </w:p>
    <w:p w14:paraId="6D52EA0B" w14:textId="030A1645" w:rsidR="006611F7" w:rsidRPr="006611F7" w:rsidRDefault="006611F7" w:rsidP="006611F7">
      <w:pPr>
        <w:spacing w:line="480" w:lineRule="auto"/>
        <w:jc w:val="both"/>
        <w:rPr>
          <w:rFonts w:ascii="Times New Roman" w:eastAsia="Times New Roman" w:hAnsi="Times New Roman" w:cs="Times New Roman"/>
          <w:b/>
          <w:bCs/>
          <w:sz w:val="24"/>
          <w:szCs w:val="24"/>
        </w:rPr>
      </w:pPr>
      <w:r w:rsidRPr="006611F7">
        <w:rPr>
          <w:rFonts w:ascii="Times New Roman" w:eastAsia="Times New Roman" w:hAnsi="Times New Roman" w:cs="Times New Roman"/>
          <w:b/>
          <w:bCs/>
          <w:sz w:val="24"/>
          <w:szCs w:val="24"/>
        </w:rPr>
        <w:t>5. Conclusion</w:t>
      </w:r>
    </w:p>
    <w:p w14:paraId="6C617B87" w14:textId="067D9E3E" w:rsidR="006611F7" w:rsidRPr="006611F7" w:rsidRDefault="006611F7" w:rsidP="006611F7">
      <w:pPr>
        <w:spacing w:line="480" w:lineRule="auto"/>
        <w:ind w:firstLine="720"/>
        <w:jc w:val="both"/>
        <w:rPr>
          <w:rFonts w:ascii="Times New Roman" w:eastAsia="Times New Roman" w:hAnsi="Times New Roman" w:cs="Times New Roman"/>
          <w:sz w:val="24"/>
          <w:szCs w:val="24"/>
        </w:rPr>
      </w:pPr>
      <w:r w:rsidRPr="006611F7">
        <w:rPr>
          <w:rFonts w:ascii="Times New Roman" w:eastAsia="Times New Roman" w:hAnsi="Times New Roman" w:cs="Times New Roman"/>
          <w:sz w:val="24"/>
          <w:szCs w:val="24"/>
        </w:rPr>
        <w:t>This study reveals those physicians at Soba University Teaching Hospital's Department of Medicine exhibit below-average knowledge of gout management, particularly in the context of renal disease and prophylactic treatment. Notably, 51% of participants demonstrated poor practice in gout management, and there was no significant association between knowledge and practice scores. Despite these gaps in knowledge and practice, the physicians displayed a positive attitude toward gout management, recognizing its impact on patients' quality of life and the need for personalized care. These findings underscore the importance of addressing the identified knowledge gaps through targeted educational interventions, particularly in renal disease management and prophylactic strategies, to improve both the knowledge base and practical application of gout management in clinical settings</w:t>
      </w:r>
    </w:p>
    <w:p w14:paraId="72CCD75C" w14:textId="77777777" w:rsidR="006611F7" w:rsidRPr="006611F7" w:rsidRDefault="006611F7" w:rsidP="006611F7">
      <w:pPr>
        <w:spacing w:line="480" w:lineRule="auto"/>
        <w:jc w:val="both"/>
        <w:rPr>
          <w:rFonts w:ascii="Times New Roman" w:hAnsi="Times New Roman" w:cs="Times New Roman"/>
          <w:b/>
          <w:bCs/>
          <w:sz w:val="24"/>
          <w:szCs w:val="24"/>
        </w:rPr>
      </w:pPr>
      <w:r w:rsidRPr="006611F7">
        <w:rPr>
          <w:rFonts w:ascii="Times New Roman" w:hAnsi="Times New Roman" w:cs="Times New Roman"/>
          <w:b/>
          <w:bCs/>
          <w:sz w:val="24"/>
          <w:szCs w:val="24"/>
        </w:rPr>
        <w:lastRenderedPageBreak/>
        <w:t>Disclaimer (Artificial intelligence)</w:t>
      </w:r>
    </w:p>
    <w:p w14:paraId="376EE539" w14:textId="77777777" w:rsidR="006611F7" w:rsidRDefault="006611F7" w:rsidP="006611F7">
      <w:pPr>
        <w:spacing w:line="480" w:lineRule="auto"/>
        <w:ind w:firstLine="720"/>
        <w:jc w:val="both"/>
        <w:rPr>
          <w:rFonts w:ascii="Times New Roman" w:hAnsi="Times New Roman" w:cs="Times New Roman"/>
          <w:sz w:val="24"/>
          <w:szCs w:val="24"/>
        </w:rPr>
      </w:pPr>
      <w:r w:rsidRPr="00E244F1">
        <w:rPr>
          <w:rFonts w:ascii="Times New Roman" w:hAnsi="Times New Roman" w:cs="Times New Roman"/>
          <w:sz w:val="24"/>
          <w:szCs w:val="24"/>
        </w:rPr>
        <w:t>Author(s) hereby declare that NO generative AI technologies such as Large Language Models (</w:t>
      </w:r>
      <w:proofErr w:type="spellStart"/>
      <w:r w:rsidRPr="00E244F1">
        <w:rPr>
          <w:rFonts w:ascii="Times New Roman" w:hAnsi="Times New Roman" w:cs="Times New Roman"/>
          <w:sz w:val="24"/>
          <w:szCs w:val="24"/>
        </w:rPr>
        <w:t>ChatGPT</w:t>
      </w:r>
      <w:proofErr w:type="spellEnd"/>
      <w:r w:rsidRPr="00E244F1">
        <w:rPr>
          <w:rFonts w:ascii="Times New Roman" w:hAnsi="Times New Roman" w:cs="Times New Roman"/>
          <w:sz w:val="24"/>
          <w:szCs w:val="24"/>
        </w:rPr>
        <w:t xml:space="preserve">, COPILOT, etc.) and text-to-image generators have been used during the writing or editing of this manuscript. </w:t>
      </w:r>
    </w:p>
    <w:p w14:paraId="000002B0" w14:textId="03A7B994" w:rsidR="00CE6ECD" w:rsidRDefault="006611F7" w:rsidP="006611F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7B9C0291" w14:textId="63C64B92" w:rsidR="00817A31" w:rsidRPr="00817A31" w:rsidRDefault="003B1FCE"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817A31">
        <w:rPr>
          <w:rFonts w:ascii="Times New Roman" w:eastAsia="Times New Roman" w:hAnsi="Times New Roman" w:cs="Times New Roman"/>
          <w:sz w:val="24"/>
          <w:szCs w:val="24"/>
        </w:rPr>
        <w:t xml:space="preserve">Khanna D, Fitzgerald JD, Khanna PP, Bae S, Singh MK, </w:t>
      </w:r>
      <w:proofErr w:type="spellStart"/>
      <w:r w:rsidRPr="00817A31">
        <w:rPr>
          <w:rFonts w:ascii="Times New Roman" w:eastAsia="Times New Roman" w:hAnsi="Times New Roman" w:cs="Times New Roman"/>
          <w:sz w:val="24"/>
          <w:szCs w:val="24"/>
        </w:rPr>
        <w:t>Neogi</w:t>
      </w:r>
      <w:proofErr w:type="spellEnd"/>
      <w:r w:rsidRPr="00817A31">
        <w:rPr>
          <w:rFonts w:ascii="Times New Roman" w:eastAsia="Times New Roman" w:hAnsi="Times New Roman" w:cs="Times New Roman"/>
          <w:sz w:val="24"/>
          <w:szCs w:val="24"/>
        </w:rPr>
        <w:t xml:space="preserve"> T, et al. 2012 American College of Rheumatology guidelines for management of gout. Part 1: systematic nonpharmacologic and pharmacologic therapeutic approaches to hyperuricemia. Arthritis Care Res (Hoboken). 2012;64(10):1431-46. </w:t>
      </w:r>
      <w:hyperlink r:id="rId7" w:history="1">
        <w:r w:rsidR="00817A31" w:rsidRPr="0033275E">
          <w:rPr>
            <w:rStyle w:val="Hyperlink"/>
            <w:rFonts w:ascii="Times New Roman" w:hAnsi="Times New Roman" w:cs="Times New Roman"/>
            <w:sz w:val="24"/>
            <w:szCs w:val="24"/>
          </w:rPr>
          <w:t>https://doi.org/10.1002/acr.21772</w:t>
        </w:r>
      </w:hyperlink>
    </w:p>
    <w:p w14:paraId="483D62F7" w14:textId="25F88DC2" w:rsidR="003B1FCE" w:rsidRDefault="00817A31"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817A31">
        <w:rPr>
          <w:rFonts w:ascii="Times New Roman" w:eastAsia="Times New Roman" w:hAnsi="Times New Roman" w:cs="Times New Roman"/>
          <w:sz w:val="24"/>
          <w:szCs w:val="24"/>
        </w:rPr>
        <w:t xml:space="preserve">Zhu Y, Pandya BJ, Choi HK. Prevalence of gout and hyperuricemia in the US general population: the National Health and Nutrition Examination Survey 2007-2008. Arthritis Rheum. 2011;63(10):3136-41. </w:t>
      </w:r>
      <w:hyperlink r:id="rId8" w:history="1">
        <w:r w:rsidRPr="0033275E">
          <w:rPr>
            <w:rStyle w:val="Hyperlink"/>
            <w:rFonts w:ascii="Times New Roman" w:eastAsia="Times New Roman" w:hAnsi="Times New Roman" w:cs="Times New Roman"/>
            <w:sz w:val="24"/>
            <w:szCs w:val="24"/>
          </w:rPr>
          <w:t>https://doi.org/10.1002/art.30520</w:t>
        </w:r>
      </w:hyperlink>
    </w:p>
    <w:p w14:paraId="74C18C66" w14:textId="0328182E" w:rsidR="00817A31" w:rsidRDefault="00817A31"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817A31">
        <w:rPr>
          <w:rFonts w:ascii="Times New Roman" w:eastAsia="Times New Roman" w:hAnsi="Times New Roman" w:cs="Times New Roman"/>
          <w:sz w:val="24"/>
          <w:szCs w:val="24"/>
        </w:rPr>
        <w:t xml:space="preserve">Dehlin M, Jacobsson L, Roddy E. Global epidemiology of gout: prevalence, incidence, treatment patterns and risk factors. Nat Rev </w:t>
      </w:r>
      <w:proofErr w:type="spellStart"/>
      <w:r w:rsidRPr="00817A31">
        <w:rPr>
          <w:rFonts w:ascii="Times New Roman" w:eastAsia="Times New Roman" w:hAnsi="Times New Roman" w:cs="Times New Roman"/>
          <w:sz w:val="24"/>
          <w:szCs w:val="24"/>
        </w:rPr>
        <w:t>Rheumatol</w:t>
      </w:r>
      <w:proofErr w:type="spellEnd"/>
      <w:r w:rsidRPr="00817A31">
        <w:rPr>
          <w:rFonts w:ascii="Times New Roman" w:eastAsia="Times New Roman" w:hAnsi="Times New Roman" w:cs="Times New Roman"/>
          <w:sz w:val="24"/>
          <w:szCs w:val="24"/>
        </w:rPr>
        <w:t xml:space="preserve">. 2020;16(7):380-390. </w:t>
      </w:r>
      <w:hyperlink r:id="rId9" w:history="1">
        <w:r w:rsidRPr="0033275E">
          <w:rPr>
            <w:rStyle w:val="Hyperlink"/>
            <w:rFonts w:ascii="Times New Roman" w:eastAsia="Times New Roman" w:hAnsi="Times New Roman" w:cs="Times New Roman"/>
            <w:sz w:val="24"/>
            <w:szCs w:val="24"/>
          </w:rPr>
          <w:t>https://doi.org/10.1038/s41584-020-0441-1</w:t>
        </w:r>
      </w:hyperlink>
    </w:p>
    <w:p w14:paraId="6164E3FA" w14:textId="52AB262A" w:rsidR="00817A31" w:rsidRDefault="00817A31"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817A31">
        <w:rPr>
          <w:rFonts w:ascii="Times New Roman" w:eastAsia="Times New Roman" w:hAnsi="Times New Roman" w:cs="Times New Roman"/>
          <w:sz w:val="24"/>
          <w:szCs w:val="24"/>
        </w:rPr>
        <w:t xml:space="preserve">Ahn JK. Epidemiology and treatment-related concerns of gout and hyperuricemia in Korean. J Rheum Dis. 2023;30(2):88-98. </w:t>
      </w:r>
      <w:hyperlink r:id="rId10" w:history="1">
        <w:r w:rsidRPr="0033275E">
          <w:rPr>
            <w:rStyle w:val="Hyperlink"/>
            <w:rFonts w:ascii="Times New Roman" w:eastAsia="Times New Roman" w:hAnsi="Times New Roman" w:cs="Times New Roman"/>
            <w:sz w:val="24"/>
            <w:szCs w:val="24"/>
          </w:rPr>
          <w:t>https://doi.org/10.4078/jrd.2022.0001</w:t>
        </w:r>
      </w:hyperlink>
    </w:p>
    <w:p w14:paraId="677946B0" w14:textId="10A02C8C" w:rsidR="00817A31" w:rsidRDefault="00817A31"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817A31">
        <w:rPr>
          <w:rFonts w:ascii="Times New Roman" w:eastAsia="Times New Roman" w:hAnsi="Times New Roman" w:cs="Times New Roman"/>
          <w:sz w:val="24"/>
          <w:szCs w:val="24"/>
        </w:rPr>
        <w:t xml:space="preserve">Asghari KM, </w:t>
      </w:r>
      <w:proofErr w:type="spellStart"/>
      <w:r w:rsidRPr="00817A31">
        <w:rPr>
          <w:rFonts w:ascii="Times New Roman" w:eastAsia="Times New Roman" w:hAnsi="Times New Roman" w:cs="Times New Roman"/>
          <w:sz w:val="24"/>
          <w:szCs w:val="24"/>
        </w:rPr>
        <w:t>Zahmatyar</w:t>
      </w:r>
      <w:proofErr w:type="spellEnd"/>
      <w:r w:rsidRPr="00817A31">
        <w:rPr>
          <w:rFonts w:ascii="Times New Roman" w:eastAsia="Times New Roman" w:hAnsi="Times New Roman" w:cs="Times New Roman"/>
          <w:sz w:val="24"/>
          <w:szCs w:val="24"/>
        </w:rPr>
        <w:t xml:space="preserve"> M, Seyedi F, Motamedi A, Zolfi M, </w:t>
      </w:r>
      <w:proofErr w:type="spellStart"/>
      <w:r w:rsidRPr="00817A31">
        <w:rPr>
          <w:rFonts w:ascii="Times New Roman" w:eastAsia="Times New Roman" w:hAnsi="Times New Roman" w:cs="Times New Roman"/>
          <w:sz w:val="24"/>
          <w:szCs w:val="24"/>
        </w:rPr>
        <w:t>Alamdary</w:t>
      </w:r>
      <w:proofErr w:type="spellEnd"/>
      <w:r w:rsidRPr="00817A31">
        <w:rPr>
          <w:rFonts w:ascii="Times New Roman" w:eastAsia="Times New Roman" w:hAnsi="Times New Roman" w:cs="Times New Roman"/>
          <w:sz w:val="24"/>
          <w:szCs w:val="24"/>
        </w:rPr>
        <w:t xml:space="preserve"> SJ, et al. Gout: global epidemiology, risk factors, comorbidities and complications: a narrative review. BMC </w:t>
      </w:r>
      <w:proofErr w:type="spellStart"/>
      <w:r w:rsidRPr="00817A31">
        <w:rPr>
          <w:rFonts w:ascii="Times New Roman" w:eastAsia="Times New Roman" w:hAnsi="Times New Roman" w:cs="Times New Roman"/>
          <w:sz w:val="24"/>
          <w:szCs w:val="24"/>
        </w:rPr>
        <w:t>Musculoskelet</w:t>
      </w:r>
      <w:proofErr w:type="spellEnd"/>
      <w:r w:rsidRPr="00817A31">
        <w:rPr>
          <w:rFonts w:ascii="Times New Roman" w:eastAsia="Times New Roman" w:hAnsi="Times New Roman" w:cs="Times New Roman"/>
          <w:sz w:val="24"/>
          <w:szCs w:val="24"/>
        </w:rPr>
        <w:t xml:space="preserve"> </w:t>
      </w:r>
      <w:proofErr w:type="spellStart"/>
      <w:r w:rsidRPr="00817A31">
        <w:rPr>
          <w:rFonts w:ascii="Times New Roman" w:eastAsia="Times New Roman" w:hAnsi="Times New Roman" w:cs="Times New Roman"/>
          <w:sz w:val="24"/>
          <w:szCs w:val="24"/>
        </w:rPr>
        <w:t>Disord</w:t>
      </w:r>
      <w:proofErr w:type="spellEnd"/>
      <w:r w:rsidRPr="00817A31">
        <w:rPr>
          <w:rFonts w:ascii="Times New Roman" w:eastAsia="Times New Roman" w:hAnsi="Times New Roman" w:cs="Times New Roman"/>
          <w:sz w:val="24"/>
          <w:szCs w:val="24"/>
        </w:rPr>
        <w:t xml:space="preserve">. 2024;25(1):1047. </w:t>
      </w:r>
      <w:hyperlink r:id="rId11" w:history="1">
        <w:r w:rsidRPr="0033275E">
          <w:rPr>
            <w:rStyle w:val="Hyperlink"/>
            <w:rFonts w:ascii="Times New Roman" w:eastAsia="Times New Roman" w:hAnsi="Times New Roman" w:cs="Times New Roman"/>
            <w:sz w:val="24"/>
            <w:szCs w:val="24"/>
          </w:rPr>
          <w:t>https://doi.org/10.1186/s12891-024-08180-9</w:t>
        </w:r>
      </w:hyperlink>
    </w:p>
    <w:p w14:paraId="7424090B" w14:textId="22C5691A" w:rsidR="00B70CFF" w:rsidRDefault="00B70CFF"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A54ED0">
        <w:rPr>
          <w:rFonts w:ascii="Times New Roman" w:eastAsia="Times New Roman" w:hAnsi="Times New Roman" w:cs="Times New Roman"/>
          <w:sz w:val="24"/>
          <w:szCs w:val="24"/>
        </w:rPr>
        <w:t>Dalbeth</w:t>
      </w:r>
      <w:proofErr w:type="spellEnd"/>
      <w:r w:rsidRPr="00A54ED0">
        <w:rPr>
          <w:rFonts w:ascii="Times New Roman" w:eastAsia="Times New Roman" w:hAnsi="Times New Roman" w:cs="Times New Roman"/>
          <w:sz w:val="24"/>
          <w:szCs w:val="24"/>
        </w:rPr>
        <w:t xml:space="preserve"> N, Merriman TR, Stamp LK. Gout. Lancet. 2016;388(10055):2039-2052. </w:t>
      </w:r>
      <w:hyperlink r:id="rId12" w:history="1">
        <w:r w:rsidR="00A54ED0" w:rsidRPr="0033275E">
          <w:rPr>
            <w:rStyle w:val="Hyperlink"/>
            <w:rFonts w:ascii="Times New Roman" w:eastAsia="Times New Roman" w:hAnsi="Times New Roman" w:cs="Times New Roman"/>
            <w:sz w:val="24"/>
            <w:szCs w:val="24"/>
          </w:rPr>
          <w:t>https://doi.org/10.1016/S0140-6736(16)00346-9</w:t>
        </w:r>
      </w:hyperlink>
    </w:p>
    <w:p w14:paraId="6C09C527" w14:textId="3DAA6EDA" w:rsidR="00B70CFF" w:rsidRDefault="00B70CFF"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A54ED0">
        <w:rPr>
          <w:rFonts w:ascii="Times New Roman" w:eastAsia="Times New Roman" w:hAnsi="Times New Roman" w:cs="Times New Roman"/>
          <w:sz w:val="24"/>
          <w:szCs w:val="24"/>
        </w:rPr>
        <w:lastRenderedPageBreak/>
        <w:t>Neogi</w:t>
      </w:r>
      <w:proofErr w:type="spellEnd"/>
      <w:r w:rsidRPr="00A54ED0">
        <w:rPr>
          <w:rFonts w:ascii="Times New Roman" w:eastAsia="Times New Roman" w:hAnsi="Times New Roman" w:cs="Times New Roman"/>
          <w:sz w:val="24"/>
          <w:szCs w:val="24"/>
        </w:rPr>
        <w:t xml:space="preserve"> T. Gout. Ann Intern Med. 2016;165(1</w:t>
      </w:r>
      <w:proofErr w:type="gramStart"/>
      <w:r w:rsidRPr="00A54ED0">
        <w:rPr>
          <w:rFonts w:ascii="Times New Roman" w:eastAsia="Times New Roman" w:hAnsi="Times New Roman" w:cs="Times New Roman"/>
          <w:sz w:val="24"/>
          <w:szCs w:val="24"/>
        </w:rPr>
        <w:t>):ITC</w:t>
      </w:r>
      <w:proofErr w:type="gramEnd"/>
      <w:r w:rsidRPr="00A54ED0">
        <w:rPr>
          <w:rFonts w:ascii="Times New Roman" w:eastAsia="Times New Roman" w:hAnsi="Times New Roman" w:cs="Times New Roman"/>
          <w:sz w:val="24"/>
          <w:szCs w:val="24"/>
        </w:rPr>
        <w:t xml:space="preserve">1-ITC16. </w:t>
      </w:r>
      <w:hyperlink r:id="rId13" w:history="1">
        <w:r w:rsidR="00A54ED0" w:rsidRPr="0033275E">
          <w:rPr>
            <w:rStyle w:val="Hyperlink"/>
            <w:rFonts w:ascii="Times New Roman" w:eastAsia="Times New Roman" w:hAnsi="Times New Roman" w:cs="Times New Roman"/>
            <w:sz w:val="24"/>
            <w:szCs w:val="24"/>
          </w:rPr>
          <w:t>https://doi.org/10.7326/AITC201607050</w:t>
        </w:r>
      </w:hyperlink>
    </w:p>
    <w:p w14:paraId="72F30CEA" w14:textId="5A451BFA" w:rsidR="00B70CFF" w:rsidRDefault="00A54ED0"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A54ED0">
        <w:rPr>
          <w:rFonts w:ascii="Times New Roman" w:eastAsia="Times New Roman" w:hAnsi="Times New Roman" w:cs="Times New Roman"/>
          <w:sz w:val="24"/>
          <w:szCs w:val="24"/>
        </w:rPr>
        <w:t xml:space="preserve">Richette P, Doherty M, Pascual E, </w:t>
      </w:r>
      <w:proofErr w:type="spellStart"/>
      <w:r w:rsidRPr="00A54ED0">
        <w:rPr>
          <w:rFonts w:ascii="Times New Roman" w:eastAsia="Times New Roman" w:hAnsi="Times New Roman" w:cs="Times New Roman"/>
          <w:sz w:val="24"/>
          <w:szCs w:val="24"/>
        </w:rPr>
        <w:t>Barskova</w:t>
      </w:r>
      <w:proofErr w:type="spellEnd"/>
      <w:r w:rsidRPr="00A54ED0">
        <w:rPr>
          <w:rFonts w:ascii="Times New Roman" w:eastAsia="Times New Roman" w:hAnsi="Times New Roman" w:cs="Times New Roman"/>
          <w:sz w:val="24"/>
          <w:szCs w:val="24"/>
        </w:rPr>
        <w:t xml:space="preserve"> V, </w:t>
      </w:r>
      <w:proofErr w:type="spellStart"/>
      <w:r w:rsidRPr="00A54ED0">
        <w:rPr>
          <w:rFonts w:ascii="Times New Roman" w:eastAsia="Times New Roman" w:hAnsi="Times New Roman" w:cs="Times New Roman"/>
          <w:sz w:val="24"/>
          <w:szCs w:val="24"/>
        </w:rPr>
        <w:t>Becce</w:t>
      </w:r>
      <w:proofErr w:type="spellEnd"/>
      <w:r w:rsidRPr="00A54ED0">
        <w:rPr>
          <w:rFonts w:ascii="Times New Roman" w:eastAsia="Times New Roman" w:hAnsi="Times New Roman" w:cs="Times New Roman"/>
          <w:sz w:val="24"/>
          <w:szCs w:val="24"/>
        </w:rPr>
        <w:t xml:space="preserve"> F, Castañeda-Sanabria J, et al. 2016 updated EULAR evidence-based recommendations for the management of gout. Ann Rheum Dis. 2017;76(1):29-42. </w:t>
      </w:r>
      <w:hyperlink r:id="rId14" w:history="1">
        <w:r w:rsidRPr="0033275E">
          <w:rPr>
            <w:rStyle w:val="Hyperlink"/>
            <w:rFonts w:ascii="Times New Roman" w:eastAsia="Times New Roman" w:hAnsi="Times New Roman" w:cs="Times New Roman"/>
            <w:sz w:val="24"/>
            <w:szCs w:val="24"/>
          </w:rPr>
          <w:t>https://doi.org/10.1136/annrheumdis-2016-209707</w:t>
        </w:r>
      </w:hyperlink>
    </w:p>
    <w:p w14:paraId="06E18A13" w14:textId="1D77B32A" w:rsidR="00817A31" w:rsidRDefault="00B70CFF"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B70CFF">
        <w:rPr>
          <w:rFonts w:ascii="Times New Roman" w:eastAsia="Times New Roman" w:hAnsi="Times New Roman" w:cs="Times New Roman"/>
          <w:sz w:val="24"/>
          <w:szCs w:val="24"/>
        </w:rPr>
        <w:t>Tawhari</w:t>
      </w:r>
      <w:proofErr w:type="spellEnd"/>
      <w:r w:rsidRPr="00B70CFF">
        <w:rPr>
          <w:rFonts w:ascii="Times New Roman" w:eastAsia="Times New Roman" w:hAnsi="Times New Roman" w:cs="Times New Roman"/>
          <w:sz w:val="24"/>
          <w:szCs w:val="24"/>
        </w:rPr>
        <w:t xml:space="preserve"> I, AlQahtani OA, Alqahtani MS, Alshehri RM, </w:t>
      </w:r>
      <w:proofErr w:type="spellStart"/>
      <w:r w:rsidRPr="00B70CFF">
        <w:rPr>
          <w:rFonts w:ascii="Times New Roman" w:eastAsia="Times New Roman" w:hAnsi="Times New Roman" w:cs="Times New Roman"/>
          <w:sz w:val="24"/>
          <w:szCs w:val="24"/>
        </w:rPr>
        <w:t>Alsairy</w:t>
      </w:r>
      <w:proofErr w:type="spellEnd"/>
      <w:r w:rsidRPr="00B70CFF">
        <w:rPr>
          <w:rFonts w:ascii="Times New Roman" w:eastAsia="Times New Roman" w:hAnsi="Times New Roman" w:cs="Times New Roman"/>
          <w:sz w:val="24"/>
          <w:szCs w:val="24"/>
        </w:rPr>
        <w:t xml:space="preserve"> MA, Alqahtani SM, </w:t>
      </w:r>
      <w:r>
        <w:rPr>
          <w:rFonts w:ascii="Times New Roman" w:eastAsia="Times New Roman" w:hAnsi="Times New Roman" w:cs="Times New Roman"/>
          <w:sz w:val="24"/>
          <w:szCs w:val="24"/>
        </w:rPr>
        <w:t>et al</w:t>
      </w:r>
      <w:r w:rsidRPr="00B70CFF">
        <w:rPr>
          <w:rFonts w:ascii="Times New Roman" w:eastAsia="Times New Roman" w:hAnsi="Times New Roman" w:cs="Times New Roman"/>
          <w:sz w:val="24"/>
          <w:szCs w:val="24"/>
        </w:rPr>
        <w:t xml:space="preserve">. Assessment of Primary Healthcare Providers' Knowledge and Practices in Addressing Asymptomatic Hyperuricemia and Gout in the Asir Region of Saudi Arabia. </w:t>
      </w:r>
      <w:proofErr w:type="spellStart"/>
      <w:r w:rsidRPr="00B70CFF">
        <w:rPr>
          <w:rFonts w:ascii="Times New Roman" w:eastAsia="Times New Roman" w:hAnsi="Times New Roman" w:cs="Times New Roman"/>
          <w:sz w:val="24"/>
          <w:szCs w:val="24"/>
        </w:rPr>
        <w:t>Cureus</w:t>
      </w:r>
      <w:proofErr w:type="spellEnd"/>
      <w:r w:rsidRPr="00B70CFF">
        <w:rPr>
          <w:rFonts w:ascii="Times New Roman" w:eastAsia="Times New Roman" w:hAnsi="Times New Roman" w:cs="Times New Roman"/>
          <w:sz w:val="24"/>
          <w:szCs w:val="24"/>
        </w:rPr>
        <w:t>. 2024;16(1</w:t>
      </w:r>
      <w:proofErr w:type="gramStart"/>
      <w:r w:rsidRPr="00B70CFF">
        <w:rPr>
          <w:rFonts w:ascii="Times New Roman" w:eastAsia="Times New Roman" w:hAnsi="Times New Roman" w:cs="Times New Roman"/>
          <w:sz w:val="24"/>
          <w:szCs w:val="24"/>
        </w:rPr>
        <w:t>):e</w:t>
      </w:r>
      <w:proofErr w:type="gramEnd"/>
      <w:r w:rsidRPr="00B70CFF">
        <w:rPr>
          <w:rFonts w:ascii="Times New Roman" w:eastAsia="Times New Roman" w:hAnsi="Times New Roman" w:cs="Times New Roman"/>
          <w:sz w:val="24"/>
          <w:szCs w:val="24"/>
        </w:rPr>
        <w:t xml:space="preserve">51745. </w:t>
      </w:r>
      <w:hyperlink r:id="rId15" w:history="1">
        <w:r w:rsidRPr="0033275E">
          <w:rPr>
            <w:rStyle w:val="Hyperlink"/>
            <w:rFonts w:ascii="Times New Roman" w:eastAsia="Times New Roman" w:hAnsi="Times New Roman" w:cs="Times New Roman"/>
            <w:sz w:val="24"/>
            <w:szCs w:val="24"/>
          </w:rPr>
          <w:t>https://doi.org/10.7759/cureus.51745</w:t>
        </w:r>
      </w:hyperlink>
    </w:p>
    <w:p w14:paraId="1528F0B9" w14:textId="54831099" w:rsidR="00B70CFF" w:rsidRDefault="00CC2071"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CC2071">
        <w:rPr>
          <w:rFonts w:ascii="Times New Roman" w:eastAsia="Times New Roman" w:hAnsi="Times New Roman" w:cs="Times New Roman"/>
          <w:sz w:val="24"/>
          <w:szCs w:val="24"/>
        </w:rPr>
        <w:t xml:space="preserve">FitzGerald JD, </w:t>
      </w:r>
      <w:proofErr w:type="spellStart"/>
      <w:r w:rsidRPr="00CC2071">
        <w:rPr>
          <w:rFonts w:ascii="Times New Roman" w:eastAsia="Times New Roman" w:hAnsi="Times New Roman" w:cs="Times New Roman"/>
          <w:sz w:val="24"/>
          <w:szCs w:val="24"/>
        </w:rPr>
        <w:t>Dalbeth</w:t>
      </w:r>
      <w:proofErr w:type="spellEnd"/>
      <w:r w:rsidRPr="00CC2071">
        <w:rPr>
          <w:rFonts w:ascii="Times New Roman" w:eastAsia="Times New Roman" w:hAnsi="Times New Roman" w:cs="Times New Roman"/>
          <w:sz w:val="24"/>
          <w:szCs w:val="24"/>
        </w:rPr>
        <w:t xml:space="preserve"> N, </w:t>
      </w:r>
      <w:proofErr w:type="spellStart"/>
      <w:r w:rsidRPr="00CC2071">
        <w:rPr>
          <w:rFonts w:ascii="Times New Roman" w:eastAsia="Times New Roman" w:hAnsi="Times New Roman" w:cs="Times New Roman"/>
          <w:sz w:val="24"/>
          <w:szCs w:val="24"/>
        </w:rPr>
        <w:t>Mikuls</w:t>
      </w:r>
      <w:proofErr w:type="spellEnd"/>
      <w:r w:rsidRPr="00CC2071">
        <w:rPr>
          <w:rFonts w:ascii="Times New Roman" w:eastAsia="Times New Roman" w:hAnsi="Times New Roman" w:cs="Times New Roman"/>
          <w:sz w:val="24"/>
          <w:szCs w:val="24"/>
        </w:rPr>
        <w:t xml:space="preserve"> T, </w:t>
      </w:r>
      <w:proofErr w:type="spellStart"/>
      <w:r w:rsidRPr="00CC2071">
        <w:rPr>
          <w:rFonts w:ascii="Times New Roman" w:eastAsia="Times New Roman" w:hAnsi="Times New Roman" w:cs="Times New Roman"/>
          <w:sz w:val="24"/>
          <w:szCs w:val="24"/>
        </w:rPr>
        <w:t>Brignardello</w:t>
      </w:r>
      <w:proofErr w:type="spellEnd"/>
      <w:r w:rsidRPr="00CC2071">
        <w:rPr>
          <w:rFonts w:ascii="Times New Roman" w:eastAsia="Times New Roman" w:hAnsi="Times New Roman" w:cs="Times New Roman"/>
          <w:sz w:val="24"/>
          <w:szCs w:val="24"/>
        </w:rPr>
        <w:t xml:space="preserve">-Petersen R, </w:t>
      </w:r>
      <w:proofErr w:type="spellStart"/>
      <w:r w:rsidRPr="00CC2071">
        <w:rPr>
          <w:rFonts w:ascii="Times New Roman" w:eastAsia="Times New Roman" w:hAnsi="Times New Roman" w:cs="Times New Roman"/>
          <w:sz w:val="24"/>
          <w:szCs w:val="24"/>
        </w:rPr>
        <w:t>Guyatt</w:t>
      </w:r>
      <w:proofErr w:type="spellEnd"/>
      <w:r w:rsidRPr="00CC2071">
        <w:rPr>
          <w:rFonts w:ascii="Times New Roman" w:eastAsia="Times New Roman" w:hAnsi="Times New Roman" w:cs="Times New Roman"/>
          <w:sz w:val="24"/>
          <w:szCs w:val="24"/>
        </w:rPr>
        <w:t xml:space="preserve"> G, Abeles AM, et al. 2020 American College of Rheumatology Guideline for the Management of Gout. Arthritis Care Res (Hoboken). 2020;72(6):744-760. </w:t>
      </w:r>
      <w:hyperlink r:id="rId16" w:history="1">
        <w:r w:rsidRPr="0033275E">
          <w:rPr>
            <w:rStyle w:val="Hyperlink"/>
            <w:rFonts w:ascii="Times New Roman" w:eastAsia="Times New Roman" w:hAnsi="Times New Roman" w:cs="Times New Roman"/>
            <w:sz w:val="24"/>
            <w:szCs w:val="24"/>
          </w:rPr>
          <w:t>https://doi.org/10.1002/acr.24566</w:t>
        </w:r>
      </w:hyperlink>
    </w:p>
    <w:p w14:paraId="4320AA01" w14:textId="71A3471C" w:rsidR="00222EE9" w:rsidRDefault="00222EE9"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222EE9">
        <w:rPr>
          <w:rFonts w:ascii="Times New Roman" w:eastAsia="Times New Roman" w:hAnsi="Times New Roman" w:cs="Times New Roman"/>
          <w:sz w:val="24"/>
          <w:szCs w:val="24"/>
        </w:rPr>
        <w:t xml:space="preserve">Tiwaskar M, </w:t>
      </w:r>
      <w:proofErr w:type="spellStart"/>
      <w:r w:rsidRPr="00222EE9">
        <w:rPr>
          <w:rFonts w:ascii="Times New Roman" w:eastAsia="Times New Roman" w:hAnsi="Times New Roman" w:cs="Times New Roman"/>
          <w:sz w:val="24"/>
          <w:szCs w:val="24"/>
        </w:rPr>
        <w:t>Sholapuri</w:t>
      </w:r>
      <w:proofErr w:type="spellEnd"/>
      <w:r w:rsidRPr="00222EE9">
        <w:rPr>
          <w:rFonts w:ascii="Times New Roman" w:eastAsia="Times New Roman" w:hAnsi="Times New Roman" w:cs="Times New Roman"/>
          <w:sz w:val="24"/>
          <w:szCs w:val="24"/>
        </w:rPr>
        <w:t xml:space="preserve"> D. An Assessment of Knowledge, Attitude, and Practices of Physicians in the Management of Hyperuricemia in India: A Questionnaire-Based Study. J Assoc Physicians India. 2021;69(4):11-12. </w:t>
      </w:r>
    </w:p>
    <w:p w14:paraId="335347C2" w14:textId="0D8B8331" w:rsidR="003A212E" w:rsidRDefault="00222EE9"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3A212E">
        <w:rPr>
          <w:rFonts w:ascii="Times New Roman" w:eastAsia="Times New Roman" w:hAnsi="Times New Roman" w:cs="Times New Roman"/>
          <w:sz w:val="24"/>
          <w:szCs w:val="24"/>
        </w:rPr>
        <w:t>Badi S, Abdulraheem MA, Mustafa AA, Matar MS, Yousef BA. Knowledge, attitude, and practice of university students toward COVID-19 in Sudan: an online-based cross-sectional study. Current Medical Issues. 2021;19(2):70-7.</w:t>
      </w:r>
      <w:r w:rsidR="003A212E" w:rsidRPr="003A212E">
        <w:rPr>
          <w:rFonts w:ascii="Times New Roman" w:eastAsia="Times New Roman" w:hAnsi="Times New Roman" w:cs="Times New Roman"/>
          <w:sz w:val="24"/>
          <w:szCs w:val="24"/>
        </w:rPr>
        <w:t xml:space="preserve"> </w:t>
      </w:r>
      <w:hyperlink r:id="rId17" w:history="1">
        <w:r w:rsidR="003A212E" w:rsidRPr="0033275E">
          <w:rPr>
            <w:rStyle w:val="Hyperlink"/>
            <w:rFonts w:ascii="Times New Roman" w:eastAsia="Times New Roman" w:hAnsi="Times New Roman" w:cs="Times New Roman"/>
            <w:sz w:val="24"/>
            <w:szCs w:val="24"/>
          </w:rPr>
          <w:t>https://doi.org/10.4103/cmi.cmi_155_20</w:t>
        </w:r>
      </w:hyperlink>
    </w:p>
    <w:p w14:paraId="4FF522C2" w14:textId="6EF08B6F"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 xml:space="preserve">Babiker LA, Babiker AO, Badawi BA, Abdalla RA, Abdalla RM, Hassan ZF, </w:t>
      </w:r>
      <w:r>
        <w:rPr>
          <w:rFonts w:ascii="Times New Roman" w:eastAsia="Times New Roman" w:hAnsi="Times New Roman" w:cs="Times New Roman"/>
          <w:sz w:val="24"/>
          <w:szCs w:val="24"/>
        </w:rPr>
        <w:t>et al</w:t>
      </w:r>
      <w:r w:rsidRPr="00987408">
        <w:rPr>
          <w:rFonts w:ascii="Times New Roman" w:eastAsia="Times New Roman" w:hAnsi="Times New Roman" w:cs="Times New Roman"/>
          <w:sz w:val="24"/>
          <w:szCs w:val="24"/>
        </w:rPr>
        <w:t xml:space="preserve">. Knowledge and practice about mycetoma infection among community pharmacists in Khartoum State: A descriptive cross-sectional study. Informatics in Medicine Unlocked. </w:t>
      </w:r>
      <w:proofErr w:type="gramStart"/>
      <w:r w:rsidRPr="00987408">
        <w:rPr>
          <w:rFonts w:ascii="Times New Roman" w:eastAsia="Times New Roman" w:hAnsi="Times New Roman" w:cs="Times New Roman"/>
          <w:sz w:val="24"/>
          <w:szCs w:val="24"/>
        </w:rPr>
        <w:t>2023;37:101175</w:t>
      </w:r>
      <w:proofErr w:type="gramEnd"/>
      <w:r w:rsidRPr="00987408">
        <w:rPr>
          <w:rFonts w:ascii="Times New Roman" w:eastAsia="Times New Roman" w:hAnsi="Times New Roman" w:cs="Times New Roman"/>
          <w:sz w:val="24"/>
          <w:szCs w:val="24"/>
        </w:rPr>
        <w:t>.</w:t>
      </w:r>
      <w:r w:rsidRPr="003A212E">
        <w:rPr>
          <w:rFonts w:ascii="Times New Roman" w:eastAsia="Times New Roman" w:hAnsi="Times New Roman" w:cs="Times New Roman"/>
          <w:sz w:val="24"/>
          <w:szCs w:val="24"/>
        </w:rPr>
        <w:t xml:space="preserve"> </w:t>
      </w:r>
      <w:hyperlink r:id="rId18" w:history="1">
        <w:r w:rsidRPr="0033275E">
          <w:rPr>
            <w:rStyle w:val="Hyperlink"/>
            <w:rFonts w:ascii="Times New Roman" w:eastAsia="Times New Roman" w:hAnsi="Times New Roman" w:cs="Times New Roman"/>
            <w:sz w:val="24"/>
            <w:szCs w:val="24"/>
          </w:rPr>
          <w:t>https://doi.org/10.1016/j.imu.2023.101175</w:t>
        </w:r>
      </w:hyperlink>
    </w:p>
    <w:p w14:paraId="14E83AB8" w14:textId="48811307" w:rsidR="003A212E" w:rsidRDefault="003A212E"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3A212E">
        <w:rPr>
          <w:rFonts w:ascii="Times New Roman" w:eastAsia="Times New Roman" w:hAnsi="Times New Roman" w:cs="Times New Roman"/>
          <w:sz w:val="24"/>
          <w:szCs w:val="24"/>
        </w:rPr>
        <w:lastRenderedPageBreak/>
        <w:t>Abudleek</w:t>
      </w:r>
      <w:proofErr w:type="spellEnd"/>
      <w:r w:rsidRPr="003A212E">
        <w:rPr>
          <w:rFonts w:ascii="Times New Roman" w:eastAsia="Times New Roman" w:hAnsi="Times New Roman" w:cs="Times New Roman"/>
          <w:sz w:val="24"/>
          <w:szCs w:val="24"/>
        </w:rPr>
        <w:t xml:space="preserve"> MF, Adam ME, Ahmed KO, Yousef BA. Doctors' Attitude and Satisfaction Toward Clinical Pharmacists' Role at Omdurman Military Hospital: A Descriptive Cross-Sectional Study. Matrix Science Medica. 2022;6(3):80-4. </w:t>
      </w:r>
      <w:hyperlink r:id="rId19" w:history="1">
        <w:r w:rsidR="00987408" w:rsidRPr="0033275E">
          <w:rPr>
            <w:rStyle w:val="Hyperlink"/>
            <w:rFonts w:ascii="Times New Roman" w:eastAsia="Times New Roman" w:hAnsi="Times New Roman" w:cs="Times New Roman"/>
            <w:sz w:val="24"/>
            <w:szCs w:val="24"/>
          </w:rPr>
          <w:t>https://doi.org/10.4103/mtsm.mtsm_22_21</w:t>
        </w:r>
      </w:hyperlink>
    </w:p>
    <w:p w14:paraId="768D4E4B" w14:textId="77777777"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Liu M, Gao Z, Zhang X, Yuan X, Lu Y, Meng J. General practitioners’ knowledge of gout and its management: a case study in Beijing. Prim Health Care Res Dev. 2021 Oct 19;</w:t>
      </w:r>
      <w:proofErr w:type="gramStart"/>
      <w:r w:rsidRPr="00987408">
        <w:rPr>
          <w:rFonts w:ascii="Times New Roman" w:eastAsia="Times New Roman" w:hAnsi="Times New Roman" w:cs="Times New Roman"/>
          <w:sz w:val="24"/>
          <w:szCs w:val="24"/>
        </w:rPr>
        <w:t>22:e</w:t>
      </w:r>
      <w:proofErr w:type="gramEnd"/>
      <w:r w:rsidRPr="00987408">
        <w:rPr>
          <w:rFonts w:ascii="Times New Roman" w:eastAsia="Times New Roman" w:hAnsi="Times New Roman" w:cs="Times New Roman"/>
          <w:sz w:val="24"/>
          <w:szCs w:val="24"/>
        </w:rPr>
        <w:t xml:space="preserve">54. </w:t>
      </w:r>
      <w:hyperlink r:id="rId20" w:history="1">
        <w:r w:rsidRPr="0033275E">
          <w:rPr>
            <w:rStyle w:val="Hyperlink"/>
            <w:rFonts w:ascii="Times New Roman" w:eastAsia="Times New Roman" w:hAnsi="Times New Roman" w:cs="Times New Roman"/>
            <w:sz w:val="24"/>
            <w:szCs w:val="24"/>
          </w:rPr>
          <w:t>https://doi.org/10.1017/S1463423621000608</w:t>
        </w:r>
      </w:hyperlink>
    </w:p>
    <w:p w14:paraId="54295061" w14:textId="77777777"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3A212E">
        <w:rPr>
          <w:rFonts w:ascii="Times New Roman" w:eastAsia="Times New Roman" w:hAnsi="Times New Roman" w:cs="Times New Roman"/>
          <w:sz w:val="24"/>
          <w:szCs w:val="24"/>
        </w:rPr>
        <w:t xml:space="preserve">Ali S, Badi S, Yousef B. Physicians’ knowledge and practice with regard to acute kidney injury at Omdurman Military Hospital: A cross-sectional survey. Int J Health Allied Sci. 2020;9(1):39. </w:t>
      </w:r>
      <w:hyperlink r:id="rId21" w:history="1">
        <w:r w:rsidRPr="0033275E">
          <w:rPr>
            <w:rStyle w:val="Hyperlink"/>
            <w:rFonts w:ascii="Times New Roman" w:eastAsia="Times New Roman" w:hAnsi="Times New Roman" w:cs="Times New Roman"/>
            <w:sz w:val="24"/>
            <w:szCs w:val="24"/>
          </w:rPr>
          <w:t>https://doi.org/10.4103/ijhas.IJHAS_97_19</w:t>
        </w:r>
      </w:hyperlink>
    </w:p>
    <w:p w14:paraId="33E25B7C" w14:textId="4E0E5766"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987408">
        <w:rPr>
          <w:rFonts w:ascii="Times New Roman" w:eastAsia="Times New Roman" w:hAnsi="Times New Roman" w:cs="Times New Roman"/>
          <w:sz w:val="24"/>
          <w:szCs w:val="24"/>
        </w:rPr>
        <w:t>Afinogenova</w:t>
      </w:r>
      <w:proofErr w:type="spellEnd"/>
      <w:r w:rsidRPr="00987408">
        <w:rPr>
          <w:rFonts w:ascii="Times New Roman" w:eastAsia="Times New Roman" w:hAnsi="Times New Roman" w:cs="Times New Roman"/>
          <w:sz w:val="24"/>
          <w:szCs w:val="24"/>
        </w:rPr>
        <w:t xml:space="preserve"> Y, </w:t>
      </w:r>
      <w:proofErr w:type="spellStart"/>
      <w:r w:rsidRPr="00987408">
        <w:rPr>
          <w:rFonts w:ascii="Times New Roman" w:eastAsia="Times New Roman" w:hAnsi="Times New Roman" w:cs="Times New Roman"/>
          <w:sz w:val="24"/>
          <w:szCs w:val="24"/>
        </w:rPr>
        <w:t>Danve</w:t>
      </w:r>
      <w:proofErr w:type="spellEnd"/>
      <w:r w:rsidRPr="00987408">
        <w:rPr>
          <w:rFonts w:ascii="Times New Roman" w:eastAsia="Times New Roman" w:hAnsi="Times New Roman" w:cs="Times New Roman"/>
          <w:sz w:val="24"/>
          <w:szCs w:val="24"/>
        </w:rPr>
        <w:t xml:space="preserve"> A, </w:t>
      </w:r>
      <w:proofErr w:type="spellStart"/>
      <w:r w:rsidRPr="00987408">
        <w:rPr>
          <w:rFonts w:ascii="Times New Roman" w:eastAsia="Times New Roman" w:hAnsi="Times New Roman" w:cs="Times New Roman"/>
          <w:sz w:val="24"/>
          <w:szCs w:val="24"/>
        </w:rPr>
        <w:t>Neogi</w:t>
      </w:r>
      <w:proofErr w:type="spellEnd"/>
      <w:r w:rsidRPr="00987408">
        <w:rPr>
          <w:rFonts w:ascii="Times New Roman" w:eastAsia="Times New Roman" w:hAnsi="Times New Roman" w:cs="Times New Roman"/>
          <w:sz w:val="24"/>
          <w:szCs w:val="24"/>
        </w:rPr>
        <w:t xml:space="preserve"> T. Update on gout management: what is old and what is new. </w:t>
      </w:r>
      <w:proofErr w:type="spellStart"/>
      <w:r w:rsidRPr="00987408">
        <w:rPr>
          <w:rFonts w:ascii="Times New Roman" w:eastAsia="Times New Roman" w:hAnsi="Times New Roman" w:cs="Times New Roman"/>
          <w:sz w:val="24"/>
          <w:szCs w:val="24"/>
        </w:rPr>
        <w:t>Curr</w:t>
      </w:r>
      <w:proofErr w:type="spellEnd"/>
      <w:r w:rsidRPr="00987408">
        <w:rPr>
          <w:rFonts w:ascii="Times New Roman" w:eastAsia="Times New Roman" w:hAnsi="Times New Roman" w:cs="Times New Roman"/>
          <w:sz w:val="24"/>
          <w:szCs w:val="24"/>
        </w:rPr>
        <w:t xml:space="preserve"> </w:t>
      </w:r>
      <w:proofErr w:type="spellStart"/>
      <w:r w:rsidRPr="00987408">
        <w:rPr>
          <w:rFonts w:ascii="Times New Roman" w:eastAsia="Times New Roman" w:hAnsi="Times New Roman" w:cs="Times New Roman"/>
          <w:sz w:val="24"/>
          <w:szCs w:val="24"/>
        </w:rPr>
        <w:t>Opin</w:t>
      </w:r>
      <w:proofErr w:type="spellEnd"/>
      <w:r w:rsidRPr="00987408">
        <w:rPr>
          <w:rFonts w:ascii="Times New Roman" w:eastAsia="Times New Roman" w:hAnsi="Times New Roman" w:cs="Times New Roman"/>
          <w:sz w:val="24"/>
          <w:szCs w:val="24"/>
        </w:rPr>
        <w:t xml:space="preserve"> </w:t>
      </w:r>
      <w:proofErr w:type="spellStart"/>
      <w:r w:rsidRPr="00987408">
        <w:rPr>
          <w:rFonts w:ascii="Times New Roman" w:eastAsia="Times New Roman" w:hAnsi="Times New Roman" w:cs="Times New Roman"/>
          <w:sz w:val="24"/>
          <w:szCs w:val="24"/>
        </w:rPr>
        <w:t>Rheumatol</w:t>
      </w:r>
      <w:proofErr w:type="spellEnd"/>
      <w:r w:rsidRPr="00987408">
        <w:rPr>
          <w:rFonts w:ascii="Times New Roman" w:eastAsia="Times New Roman" w:hAnsi="Times New Roman" w:cs="Times New Roman"/>
          <w:sz w:val="24"/>
          <w:szCs w:val="24"/>
        </w:rPr>
        <w:t xml:space="preserve">. 2022;34(2):118-124. </w:t>
      </w:r>
      <w:hyperlink r:id="rId22" w:history="1">
        <w:r w:rsidRPr="0033275E">
          <w:rPr>
            <w:rStyle w:val="Hyperlink"/>
            <w:rFonts w:ascii="Times New Roman" w:eastAsia="Times New Roman" w:hAnsi="Times New Roman" w:cs="Times New Roman"/>
            <w:sz w:val="24"/>
            <w:szCs w:val="24"/>
          </w:rPr>
          <w:t>https://doi.org/10.1097/BOR.0000000000000861</w:t>
        </w:r>
      </w:hyperlink>
    </w:p>
    <w:p w14:paraId="173BB940" w14:textId="38C3AB09"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 xml:space="preserve">Yeap SS, Goh EM, Gun SC. A survey on the management of gout in Malaysia. Int J Rheum Dis. 2009;12(4):329-35. </w:t>
      </w:r>
      <w:hyperlink r:id="rId23" w:history="1">
        <w:r w:rsidRPr="0033275E">
          <w:rPr>
            <w:rStyle w:val="Hyperlink"/>
            <w:rFonts w:ascii="Times New Roman" w:eastAsia="Times New Roman" w:hAnsi="Times New Roman" w:cs="Times New Roman"/>
            <w:sz w:val="24"/>
            <w:szCs w:val="24"/>
          </w:rPr>
          <w:t>https://doi.org/10.1111/j.1756-185X.2009.01431.x</w:t>
        </w:r>
      </w:hyperlink>
    </w:p>
    <w:p w14:paraId="2C7FE800" w14:textId="5F2B35E8"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 xml:space="preserve">Cha Y, Lee J, Choy W, Lee JS, Lee HH, Chae DS. Pathophysiology and Treatment of Gout Arthritis; including Gout Arthritis of Hip Joint: A Literature Review. Hip Pelvis. 2024;36(1):1-11. </w:t>
      </w:r>
      <w:hyperlink r:id="rId24" w:history="1">
        <w:r w:rsidRPr="0033275E">
          <w:rPr>
            <w:rStyle w:val="Hyperlink"/>
            <w:rFonts w:ascii="Times New Roman" w:eastAsia="Times New Roman" w:hAnsi="Times New Roman" w:cs="Times New Roman"/>
            <w:sz w:val="24"/>
            <w:szCs w:val="24"/>
          </w:rPr>
          <w:t>https://doi.org/10.5371/hp.2024.36.1.1</w:t>
        </w:r>
      </w:hyperlink>
    </w:p>
    <w:p w14:paraId="69460FEF" w14:textId="38B8F48C" w:rsidR="00987408" w:rsidRP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 xml:space="preserve">Borstad GC, Bryant LR, Abel MP, Scroggie DA, Harris MD, Alloway JA. Colchicine for prophylaxis of acute flares when initiating allopurinol for chronic gouty arthritis. J </w:t>
      </w:r>
      <w:proofErr w:type="spellStart"/>
      <w:r w:rsidRPr="00987408">
        <w:rPr>
          <w:rFonts w:ascii="Times New Roman" w:eastAsia="Times New Roman" w:hAnsi="Times New Roman" w:cs="Times New Roman"/>
          <w:sz w:val="24"/>
          <w:szCs w:val="24"/>
        </w:rPr>
        <w:t>Rheumatol</w:t>
      </w:r>
      <w:proofErr w:type="spellEnd"/>
      <w:r w:rsidRPr="00987408">
        <w:rPr>
          <w:rFonts w:ascii="Times New Roman" w:eastAsia="Times New Roman" w:hAnsi="Times New Roman" w:cs="Times New Roman"/>
          <w:sz w:val="24"/>
          <w:szCs w:val="24"/>
        </w:rPr>
        <w:t>. 2004;31(12):2429-32</w:t>
      </w:r>
    </w:p>
    <w:p w14:paraId="2A8A6119" w14:textId="52D1921A" w:rsidR="00987408" w:rsidRDefault="00987408"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987408">
        <w:rPr>
          <w:rFonts w:ascii="Times New Roman" w:eastAsia="Times New Roman" w:hAnsi="Times New Roman" w:cs="Times New Roman"/>
          <w:sz w:val="24"/>
          <w:szCs w:val="24"/>
        </w:rPr>
        <w:t xml:space="preserve">Paulus HE, </w:t>
      </w:r>
      <w:proofErr w:type="spellStart"/>
      <w:r w:rsidRPr="00987408">
        <w:rPr>
          <w:rFonts w:ascii="Times New Roman" w:eastAsia="Times New Roman" w:hAnsi="Times New Roman" w:cs="Times New Roman"/>
          <w:sz w:val="24"/>
          <w:szCs w:val="24"/>
        </w:rPr>
        <w:t>Schlosstein</w:t>
      </w:r>
      <w:proofErr w:type="spellEnd"/>
      <w:r w:rsidRPr="00987408">
        <w:rPr>
          <w:rFonts w:ascii="Times New Roman" w:eastAsia="Times New Roman" w:hAnsi="Times New Roman" w:cs="Times New Roman"/>
          <w:sz w:val="24"/>
          <w:szCs w:val="24"/>
        </w:rPr>
        <w:t xml:space="preserve"> LH, Godfrey RG, </w:t>
      </w:r>
      <w:proofErr w:type="spellStart"/>
      <w:r w:rsidRPr="00987408">
        <w:rPr>
          <w:rFonts w:ascii="Times New Roman" w:eastAsia="Times New Roman" w:hAnsi="Times New Roman" w:cs="Times New Roman"/>
          <w:sz w:val="24"/>
          <w:szCs w:val="24"/>
        </w:rPr>
        <w:t>Klinenberg</w:t>
      </w:r>
      <w:proofErr w:type="spellEnd"/>
      <w:r w:rsidRPr="00987408">
        <w:rPr>
          <w:rFonts w:ascii="Times New Roman" w:eastAsia="Times New Roman" w:hAnsi="Times New Roman" w:cs="Times New Roman"/>
          <w:sz w:val="24"/>
          <w:szCs w:val="24"/>
        </w:rPr>
        <w:t xml:space="preserve"> JR, Bluestone R. Prophylactic colchicine therapy of </w:t>
      </w:r>
      <w:proofErr w:type="spellStart"/>
      <w:r w:rsidRPr="00987408">
        <w:rPr>
          <w:rFonts w:ascii="Times New Roman" w:eastAsia="Times New Roman" w:hAnsi="Times New Roman" w:cs="Times New Roman"/>
          <w:sz w:val="24"/>
          <w:szCs w:val="24"/>
        </w:rPr>
        <w:t>intercritical</w:t>
      </w:r>
      <w:proofErr w:type="spellEnd"/>
      <w:r w:rsidRPr="00987408">
        <w:rPr>
          <w:rFonts w:ascii="Times New Roman" w:eastAsia="Times New Roman" w:hAnsi="Times New Roman" w:cs="Times New Roman"/>
          <w:sz w:val="24"/>
          <w:szCs w:val="24"/>
        </w:rPr>
        <w:t xml:space="preserve"> gout. A placebo-controlled study of probenecid-treated patients. Arthritis Rheum. 1974;17(5):609-14. </w:t>
      </w:r>
      <w:hyperlink r:id="rId25" w:history="1">
        <w:r w:rsidRPr="0033275E">
          <w:rPr>
            <w:rStyle w:val="Hyperlink"/>
            <w:rFonts w:ascii="Times New Roman" w:eastAsia="Times New Roman" w:hAnsi="Times New Roman" w:cs="Times New Roman"/>
            <w:sz w:val="24"/>
            <w:szCs w:val="24"/>
          </w:rPr>
          <w:t>https://doi.org/10.1002/art.1780170517</w:t>
        </w:r>
      </w:hyperlink>
    </w:p>
    <w:p w14:paraId="3A45F5C0" w14:textId="34DC7ACA" w:rsidR="00AB5F34" w:rsidRPr="009A43BB" w:rsidRDefault="00AB5F34" w:rsidP="006611F7">
      <w:pPr>
        <w:pStyle w:val="ListParagraph"/>
        <w:numPr>
          <w:ilvl w:val="0"/>
          <w:numId w:val="1"/>
        </w:numPr>
        <w:spacing w:line="480" w:lineRule="auto"/>
        <w:ind w:left="360"/>
        <w:jc w:val="both"/>
        <w:rPr>
          <w:rStyle w:val="Hyperlink"/>
          <w:rFonts w:ascii="Times New Roman" w:eastAsia="Times New Roman" w:hAnsi="Times New Roman" w:cs="Times New Roman"/>
          <w:color w:val="auto"/>
          <w:sz w:val="24"/>
          <w:szCs w:val="24"/>
          <w:u w:val="none"/>
        </w:rPr>
      </w:pPr>
      <w:r w:rsidRPr="00AB5F34">
        <w:rPr>
          <w:rFonts w:ascii="Times New Roman" w:eastAsia="Times New Roman" w:hAnsi="Times New Roman" w:cs="Times New Roman"/>
          <w:sz w:val="24"/>
          <w:szCs w:val="24"/>
        </w:rPr>
        <w:lastRenderedPageBreak/>
        <w:t xml:space="preserve">Hidayat II, </w:t>
      </w:r>
      <w:proofErr w:type="spellStart"/>
      <w:r w:rsidRPr="00AB5F34">
        <w:rPr>
          <w:rFonts w:ascii="Times New Roman" w:eastAsia="Times New Roman" w:hAnsi="Times New Roman" w:cs="Times New Roman"/>
          <w:sz w:val="24"/>
          <w:szCs w:val="24"/>
        </w:rPr>
        <w:t>Hamijoyo</w:t>
      </w:r>
      <w:proofErr w:type="spellEnd"/>
      <w:r w:rsidRPr="00AB5F34">
        <w:rPr>
          <w:rFonts w:ascii="Times New Roman" w:eastAsia="Times New Roman" w:hAnsi="Times New Roman" w:cs="Times New Roman"/>
          <w:sz w:val="24"/>
          <w:szCs w:val="24"/>
        </w:rPr>
        <w:t xml:space="preserve"> L, </w:t>
      </w:r>
      <w:proofErr w:type="spellStart"/>
      <w:r w:rsidRPr="00AB5F34">
        <w:rPr>
          <w:rFonts w:ascii="Times New Roman" w:eastAsia="Times New Roman" w:hAnsi="Times New Roman" w:cs="Times New Roman"/>
          <w:sz w:val="24"/>
          <w:szCs w:val="24"/>
        </w:rPr>
        <w:t>Moeliono</w:t>
      </w:r>
      <w:proofErr w:type="spellEnd"/>
      <w:r w:rsidRPr="00AB5F34">
        <w:rPr>
          <w:rFonts w:ascii="Times New Roman" w:eastAsia="Times New Roman" w:hAnsi="Times New Roman" w:cs="Times New Roman"/>
          <w:sz w:val="24"/>
          <w:szCs w:val="24"/>
        </w:rPr>
        <w:t xml:space="preserve"> MA. A survey on the clinical diagnosis and management of gout among general practitioners in Bandung. Indonesian Journal of Rheumatology. 2013;4(1)</w:t>
      </w:r>
      <w:r>
        <w:rPr>
          <w:rFonts w:ascii="Times New Roman" w:eastAsia="Times New Roman" w:hAnsi="Times New Roman" w:cs="Times New Roman"/>
          <w:sz w:val="24"/>
          <w:szCs w:val="24"/>
        </w:rPr>
        <w:t>:14-19</w:t>
      </w:r>
      <w:r w:rsidRPr="00AB5F34">
        <w:rPr>
          <w:rFonts w:ascii="Times New Roman" w:eastAsia="Times New Roman" w:hAnsi="Times New Roman" w:cs="Times New Roman"/>
          <w:sz w:val="24"/>
          <w:szCs w:val="24"/>
        </w:rPr>
        <w:t xml:space="preserve">. </w:t>
      </w:r>
      <w:hyperlink r:id="rId26" w:history="1">
        <w:r w:rsidRPr="0033275E">
          <w:rPr>
            <w:rStyle w:val="Hyperlink"/>
            <w:rFonts w:ascii="Times New Roman" w:eastAsia="Times New Roman" w:hAnsi="Times New Roman" w:cs="Times New Roman"/>
            <w:sz w:val="24"/>
            <w:szCs w:val="24"/>
          </w:rPr>
          <w:t>https://doi.org/10.37275/IJR.V4I1.86</w:t>
        </w:r>
      </w:hyperlink>
    </w:p>
    <w:p w14:paraId="095F7738" w14:textId="769A9028" w:rsidR="009A43BB" w:rsidRPr="009A43BB" w:rsidRDefault="009A43BB" w:rsidP="006611F7">
      <w:pPr>
        <w:pStyle w:val="ListParagraph"/>
        <w:numPr>
          <w:ilvl w:val="0"/>
          <w:numId w:val="1"/>
        </w:numPr>
        <w:spacing w:line="480" w:lineRule="auto"/>
        <w:ind w:left="360"/>
        <w:jc w:val="both"/>
        <w:rPr>
          <w:rFonts w:ascii="Times New Roman" w:eastAsia="Times New Roman" w:hAnsi="Times New Roman" w:cs="Times New Roman"/>
          <w:color w:val="FF0000"/>
          <w:sz w:val="24"/>
          <w:szCs w:val="24"/>
          <w:highlight w:val="yellow"/>
        </w:rPr>
      </w:pPr>
      <w:r w:rsidRPr="009A43BB">
        <w:rPr>
          <w:rFonts w:ascii="Times New Roman" w:eastAsia="Times New Roman" w:hAnsi="Times New Roman" w:cs="Times New Roman"/>
          <w:color w:val="FF0000"/>
          <w:sz w:val="24"/>
          <w:szCs w:val="24"/>
          <w:highlight w:val="yellow"/>
        </w:rPr>
        <w:t xml:space="preserve">Wang T, Tan JB, Liu XL, Zhao I. </w:t>
      </w:r>
      <w:proofErr w:type="gramStart"/>
      <w:r w:rsidRPr="009A43BB">
        <w:rPr>
          <w:rFonts w:ascii="Times New Roman" w:eastAsia="Times New Roman" w:hAnsi="Times New Roman" w:cs="Times New Roman"/>
          <w:color w:val="FF0000"/>
          <w:sz w:val="24"/>
          <w:szCs w:val="24"/>
          <w:highlight w:val="yellow"/>
        </w:rPr>
        <w:t>Barriers</w:t>
      </w:r>
      <w:proofErr w:type="gramEnd"/>
      <w:r w:rsidRPr="009A43BB">
        <w:rPr>
          <w:rFonts w:ascii="Times New Roman" w:eastAsia="Times New Roman" w:hAnsi="Times New Roman" w:cs="Times New Roman"/>
          <w:color w:val="FF0000"/>
          <w:sz w:val="24"/>
          <w:szCs w:val="24"/>
          <w:highlight w:val="yellow"/>
        </w:rPr>
        <w:t xml:space="preserve"> and enablers to implementing clinical practice guidelines in primary care: an overview of systematic reviews. BMJ Open. 2023;13(1</w:t>
      </w:r>
      <w:proofErr w:type="gramStart"/>
      <w:r w:rsidRPr="009A43BB">
        <w:rPr>
          <w:rFonts w:ascii="Times New Roman" w:eastAsia="Times New Roman" w:hAnsi="Times New Roman" w:cs="Times New Roman"/>
          <w:color w:val="FF0000"/>
          <w:sz w:val="24"/>
          <w:szCs w:val="24"/>
          <w:highlight w:val="yellow"/>
        </w:rPr>
        <w:t>):e</w:t>
      </w:r>
      <w:proofErr w:type="gramEnd"/>
      <w:r w:rsidRPr="009A43BB">
        <w:rPr>
          <w:rFonts w:ascii="Times New Roman" w:eastAsia="Times New Roman" w:hAnsi="Times New Roman" w:cs="Times New Roman"/>
          <w:color w:val="FF0000"/>
          <w:sz w:val="24"/>
          <w:szCs w:val="24"/>
          <w:highlight w:val="yellow"/>
        </w:rPr>
        <w:t>062158. 10.</w:t>
      </w:r>
      <w:r w:rsidRPr="009A43BB">
        <w:rPr>
          <w:rFonts w:ascii="Times New Roman" w:eastAsia="Times New Roman" w:hAnsi="Times New Roman" w:cs="Times New Roman"/>
          <w:color w:val="FF0000"/>
          <w:sz w:val="24"/>
          <w:szCs w:val="24"/>
          <w:highlight w:val="yellow"/>
        </w:rPr>
        <w:t xml:space="preserve"> </w:t>
      </w:r>
      <w:hyperlink r:id="rId27" w:history="1">
        <w:r w:rsidRPr="009A43BB">
          <w:rPr>
            <w:rStyle w:val="Hyperlink"/>
            <w:rFonts w:ascii="Times New Roman" w:eastAsia="Times New Roman" w:hAnsi="Times New Roman" w:cs="Times New Roman"/>
            <w:color w:val="FF0000"/>
            <w:sz w:val="24"/>
            <w:szCs w:val="24"/>
            <w:highlight w:val="yellow"/>
          </w:rPr>
          <w:t>https://doi.org/1136/bmjopen-2022-062158</w:t>
        </w:r>
      </w:hyperlink>
    </w:p>
    <w:p w14:paraId="783CEDFE" w14:textId="2D7DA846" w:rsidR="00222EE9" w:rsidRPr="00583DCF" w:rsidRDefault="00AB5F34" w:rsidP="006611F7">
      <w:pPr>
        <w:pStyle w:val="ListParagraph"/>
        <w:numPr>
          <w:ilvl w:val="0"/>
          <w:numId w:val="1"/>
        </w:numPr>
        <w:spacing w:line="480" w:lineRule="auto"/>
        <w:ind w:left="360"/>
        <w:jc w:val="both"/>
        <w:rPr>
          <w:rStyle w:val="Hyperlink"/>
          <w:rFonts w:ascii="Times New Roman" w:eastAsia="Times New Roman" w:hAnsi="Times New Roman" w:cs="Times New Roman"/>
          <w:color w:val="auto"/>
          <w:sz w:val="24"/>
          <w:szCs w:val="24"/>
          <w:u w:val="none"/>
        </w:rPr>
      </w:pPr>
      <w:r w:rsidRPr="00AB5F34">
        <w:rPr>
          <w:rFonts w:ascii="Times New Roman" w:eastAsia="Times New Roman" w:hAnsi="Times New Roman" w:cs="Times New Roman"/>
          <w:sz w:val="24"/>
          <w:szCs w:val="24"/>
        </w:rPr>
        <w:t xml:space="preserve">Zhao M, Jian J, Yang D, Sun H, Liu L, Yan Z, Ma Y, Zhao Y. Knowledge, attitudes, and practices of gouty arthritis in the general population aged &gt; 30. BMC Med Educ. 2024;24(1):775. </w:t>
      </w:r>
      <w:hyperlink r:id="rId28" w:history="1">
        <w:r w:rsidRPr="0033275E">
          <w:rPr>
            <w:rStyle w:val="Hyperlink"/>
            <w:rFonts w:ascii="Times New Roman" w:eastAsia="Times New Roman" w:hAnsi="Times New Roman" w:cs="Times New Roman"/>
            <w:sz w:val="24"/>
            <w:szCs w:val="24"/>
          </w:rPr>
          <w:t>https://doi.org/10.1186/s12909-024-05690-x</w:t>
        </w:r>
      </w:hyperlink>
    </w:p>
    <w:p w14:paraId="48AD620B" w14:textId="7603E1CE" w:rsidR="00583DCF" w:rsidRPr="00583DCF" w:rsidRDefault="00583DCF" w:rsidP="006611F7">
      <w:pPr>
        <w:pStyle w:val="ListParagraph"/>
        <w:numPr>
          <w:ilvl w:val="0"/>
          <w:numId w:val="1"/>
        </w:numPr>
        <w:spacing w:line="480" w:lineRule="auto"/>
        <w:ind w:left="360"/>
        <w:jc w:val="both"/>
        <w:rPr>
          <w:rFonts w:ascii="Times New Roman" w:eastAsia="Times New Roman" w:hAnsi="Times New Roman" w:cs="Times New Roman"/>
          <w:color w:val="FF0000"/>
          <w:sz w:val="24"/>
          <w:szCs w:val="24"/>
          <w:highlight w:val="yellow"/>
        </w:rPr>
      </w:pPr>
      <w:r w:rsidRPr="00583DCF">
        <w:rPr>
          <w:rFonts w:ascii="Times New Roman" w:eastAsia="Times New Roman" w:hAnsi="Times New Roman" w:cs="Times New Roman"/>
          <w:color w:val="FF0000"/>
          <w:sz w:val="24"/>
          <w:szCs w:val="24"/>
          <w:highlight w:val="yellow"/>
        </w:rPr>
        <w:t xml:space="preserve">Zhang Y, Chen S, Yuan M, Xu Y, Xu H. Gout and Diet: A Comprehensive Review of Mechanisms and Management. Nutrients. 2022;14(17):3525. </w:t>
      </w:r>
      <w:hyperlink r:id="rId29" w:history="1">
        <w:r w:rsidRPr="00583DCF">
          <w:rPr>
            <w:rStyle w:val="Hyperlink"/>
            <w:rFonts w:ascii="Times New Roman" w:eastAsia="Times New Roman" w:hAnsi="Times New Roman" w:cs="Times New Roman"/>
            <w:color w:val="FF0000"/>
            <w:sz w:val="24"/>
            <w:szCs w:val="24"/>
            <w:highlight w:val="yellow"/>
          </w:rPr>
          <w:t>https://doi.org/10.3390/nu14173525</w:t>
        </w:r>
      </w:hyperlink>
    </w:p>
    <w:p w14:paraId="447F6CDF" w14:textId="4F89AF99" w:rsidR="00CC2071" w:rsidRDefault="00222EE9"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222EE9">
        <w:rPr>
          <w:rFonts w:ascii="Times New Roman" w:eastAsia="Times New Roman" w:hAnsi="Times New Roman" w:cs="Times New Roman"/>
          <w:sz w:val="24"/>
          <w:szCs w:val="24"/>
        </w:rPr>
        <w:t xml:space="preserve">Peng H, Zhang K, Zhang C, Gao J. Knowledge, attitude, and practice toward hyperuricemia among healthcare workers in Shandong, China. </w:t>
      </w:r>
      <w:proofErr w:type="spellStart"/>
      <w:r w:rsidRPr="00222EE9">
        <w:rPr>
          <w:rFonts w:ascii="Times New Roman" w:eastAsia="Times New Roman" w:hAnsi="Times New Roman" w:cs="Times New Roman"/>
          <w:sz w:val="24"/>
          <w:szCs w:val="24"/>
        </w:rPr>
        <w:t>PeerJ</w:t>
      </w:r>
      <w:proofErr w:type="spellEnd"/>
      <w:r w:rsidRPr="00222EE9">
        <w:rPr>
          <w:rFonts w:ascii="Times New Roman" w:eastAsia="Times New Roman" w:hAnsi="Times New Roman" w:cs="Times New Roman"/>
          <w:sz w:val="24"/>
          <w:szCs w:val="24"/>
        </w:rPr>
        <w:t>. 2024;</w:t>
      </w:r>
      <w:proofErr w:type="gramStart"/>
      <w:r w:rsidRPr="00222EE9">
        <w:rPr>
          <w:rFonts w:ascii="Times New Roman" w:eastAsia="Times New Roman" w:hAnsi="Times New Roman" w:cs="Times New Roman"/>
          <w:sz w:val="24"/>
          <w:szCs w:val="24"/>
        </w:rPr>
        <w:t>12:e</w:t>
      </w:r>
      <w:proofErr w:type="gramEnd"/>
      <w:r w:rsidRPr="00222EE9">
        <w:rPr>
          <w:rFonts w:ascii="Times New Roman" w:eastAsia="Times New Roman" w:hAnsi="Times New Roman" w:cs="Times New Roman"/>
          <w:sz w:val="24"/>
          <w:szCs w:val="24"/>
        </w:rPr>
        <w:t xml:space="preserve">17926. </w:t>
      </w:r>
      <w:hyperlink r:id="rId30" w:history="1">
        <w:r w:rsidR="001E456C" w:rsidRPr="0033275E">
          <w:rPr>
            <w:rStyle w:val="Hyperlink"/>
            <w:rFonts w:ascii="Times New Roman" w:eastAsia="Times New Roman" w:hAnsi="Times New Roman" w:cs="Times New Roman"/>
            <w:sz w:val="24"/>
            <w:szCs w:val="24"/>
          </w:rPr>
          <w:t>https://doi.org/10.7717/peerj.17926</w:t>
        </w:r>
      </w:hyperlink>
    </w:p>
    <w:p w14:paraId="6A426F84" w14:textId="55FD543B" w:rsidR="001E456C" w:rsidRDefault="001E456C"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1E456C">
        <w:rPr>
          <w:rFonts w:ascii="Times New Roman" w:eastAsia="Times New Roman" w:hAnsi="Times New Roman" w:cs="Times New Roman"/>
          <w:sz w:val="24"/>
          <w:szCs w:val="24"/>
        </w:rPr>
        <w:t xml:space="preserve">Zhang J, Sun W, Gao F, Lu J, Li K, Xu Y, Li Y, Li C, Chen Y. Changes of serum uric acid level during acute gout flare and related factors. Front Endocrinol (Lausanne). </w:t>
      </w:r>
      <w:proofErr w:type="gramStart"/>
      <w:r w:rsidRPr="001E456C">
        <w:rPr>
          <w:rFonts w:ascii="Times New Roman" w:eastAsia="Times New Roman" w:hAnsi="Times New Roman" w:cs="Times New Roman"/>
          <w:sz w:val="24"/>
          <w:szCs w:val="24"/>
        </w:rPr>
        <w:t>2023;14:1077059</w:t>
      </w:r>
      <w:proofErr w:type="gramEnd"/>
      <w:r w:rsidRPr="001E456C">
        <w:rPr>
          <w:rFonts w:ascii="Times New Roman" w:eastAsia="Times New Roman" w:hAnsi="Times New Roman" w:cs="Times New Roman"/>
          <w:sz w:val="24"/>
          <w:szCs w:val="24"/>
        </w:rPr>
        <w:t xml:space="preserve">. </w:t>
      </w:r>
      <w:hyperlink r:id="rId31" w:history="1">
        <w:r w:rsidRPr="0033275E">
          <w:rPr>
            <w:rStyle w:val="Hyperlink"/>
            <w:rFonts w:ascii="Times New Roman" w:eastAsia="Times New Roman" w:hAnsi="Times New Roman" w:cs="Times New Roman"/>
            <w:sz w:val="24"/>
            <w:szCs w:val="24"/>
          </w:rPr>
          <w:t>https://doi.org/10.3389/fendo.2023.1077059</w:t>
        </w:r>
      </w:hyperlink>
    </w:p>
    <w:p w14:paraId="700BAC53" w14:textId="18AB492C" w:rsidR="001E456C" w:rsidRDefault="001E456C"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r w:rsidRPr="001E456C">
        <w:rPr>
          <w:rFonts w:ascii="Times New Roman" w:eastAsia="Times New Roman" w:hAnsi="Times New Roman" w:cs="Times New Roman"/>
          <w:sz w:val="24"/>
          <w:szCs w:val="24"/>
        </w:rPr>
        <w:t xml:space="preserve">Low QJ, Lim TH, Hon SA, Low QJ, Wei MW, Cheo SW, </w:t>
      </w:r>
      <w:proofErr w:type="spellStart"/>
      <w:r w:rsidRPr="001E456C">
        <w:rPr>
          <w:rFonts w:ascii="Times New Roman" w:eastAsia="Times New Roman" w:hAnsi="Times New Roman" w:cs="Times New Roman"/>
          <w:sz w:val="24"/>
          <w:szCs w:val="24"/>
        </w:rPr>
        <w:t>Ramlan</w:t>
      </w:r>
      <w:proofErr w:type="spellEnd"/>
      <w:r w:rsidRPr="001E456C">
        <w:rPr>
          <w:rFonts w:ascii="Times New Roman" w:eastAsia="Times New Roman" w:hAnsi="Times New Roman" w:cs="Times New Roman"/>
          <w:sz w:val="24"/>
          <w:szCs w:val="24"/>
        </w:rPr>
        <w:t xml:space="preserve"> AH. Management of gout in the primary care setting. Malays Fam Physician. 2022;17(1):2-9. </w:t>
      </w:r>
      <w:hyperlink r:id="rId32" w:history="1">
        <w:r w:rsidRPr="0033275E">
          <w:rPr>
            <w:rStyle w:val="Hyperlink"/>
            <w:rFonts w:ascii="Times New Roman" w:eastAsia="Times New Roman" w:hAnsi="Times New Roman" w:cs="Times New Roman"/>
            <w:sz w:val="24"/>
            <w:szCs w:val="24"/>
          </w:rPr>
          <w:t>https://doi.org/10.51866/rv1165</w:t>
        </w:r>
      </w:hyperlink>
    </w:p>
    <w:p w14:paraId="0B7B34A3" w14:textId="03B6DEAF" w:rsidR="001E456C" w:rsidRDefault="001E456C"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1E456C">
        <w:rPr>
          <w:rFonts w:ascii="Times New Roman" w:eastAsia="Times New Roman" w:hAnsi="Times New Roman" w:cs="Times New Roman"/>
          <w:sz w:val="24"/>
          <w:szCs w:val="24"/>
        </w:rPr>
        <w:t>Hamadouk</w:t>
      </w:r>
      <w:proofErr w:type="spellEnd"/>
      <w:r w:rsidRPr="001E456C">
        <w:rPr>
          <w:rFonts w:ascii="Times New Roman" w:eastAsia="Times New Roman" w:hAnsi="Times New Roman" w:cs="Times New Roman"/>
          <w:sz w:val="24"/>
          <w:szCs w:val="24"/>
        </w:rPr>
        <w:t xml:space="preserve"> RM, Yousef BA, </w:t>
      </w:r>
      <w:proofErr w:type="spellStart"/>
      <w:r w:rsidRPr="001E456C">
        <w:rPr>
          <w:rFonts w:ascii="Times New Roman" w:eastAsia="Times New Roman" w:hAnsi="Times New Roman" w:cs="Times New Roman"/>
          <w:sz w:val="24"/>
          <w:szCs w:val="24"/>
        </w:rPr>
        <w:t>Albashair</w:t>
      </w:r>
      <w:proofErr w:type="spellEnd"/>
      <w:r w:rsidRPr="001E456C">
        <w:rPr>
          <w:rFonts w:ascii="Times New Roman" w:eastAsia="Times New Roman" w:hAnsi="Times New Roman" w:cs="Times New Roman"/>
          <w:sz w:val="24"/>
          <w:szCs w:val="24"/>
        </w:rPr>
        <w:t xml:space="preserve"> ED, Mohammed FM, Arbab AH. Perceptions of Community Pharmacists Towards Patient Counseling and Continuing Pharmacy Education </w:t>
      </w:r>
      <w:r w:rsidRPr="001E456C">
        <w:rPr>
          <w:rFonts w:ascii="Times New Roman" w:eastAsia="Times New Roman" w:hAnsi="Times New Roman" w:cs="Times New Roman"/>
          <w:sz w:val="24"/>
          <w:szCs w:val="24"/>
        </w:rPr>
        <w:lastRenderedPageBreak/>
        <w:t xml:space="preserve">Programs in Sudan. </w:t>
      </w:r>
      <w:proofErr w:type="spellStart"/>
      <w:r w:rsidRPr="001E456C">
        <w:rPr>
          <w:rFonts w:ascii="Times New Roman" w:eastAsia="Times New Roman" w:hAnsi="Times New Roman" w:cs="Times New Roman"/>
          <w:sz w:val="24"/>
          <w:szCs w:val="24"/>
        </w:rPr>
        <w:t>Integr</w:t>
      </w:r>
      <w:proofErr w:type="spellEnd"/>
      <w:r w:rsidRPr="001E456C">
        <w:rPr>
          <w:rFonts w:ascii="Times New Roman" w:eastAsia="Times New Roman" w:hAnsi="Times New Roman" w:cs="Times New Roman"/>
          <w:sz w:val="24"/>
          <w:szCs w:val="24"/>
        </w:rPr>
        <w:t xml:space="preserve"> Pharm Res </w:t>
      </w:r>
      <w:proofErr w:type="spellStart"/>
      <w:r w:rsidRPr="001E456C">
        <w:rPr>
          <w:rFonts w:ascii="Times New Roman" w:eastAsia="Times New Roman" w:hAnsi="Times New Roman" w:cs="Times New Roman"/>
          <w:sz w:val="24"/>
          <w:szCs w:val="24"/>
        </w:rPr>
        <w:t>Pract</w:t>
      </w:r>
      <w:proofErr w:type="spellEnd"/>
      <w:r w:rsidRPr="001E456C">
        <w:rPr>
          <w:rFonts w:ascii="Times New Roman" w:eastAsia="Times New Roman" w:hAnsi="Times New Roman" w:cs="Times New Roman"/>
          <w:sz w:val="24"/>
          <w:szCs w:val="24"/>
        </w:rPr>
        <w:t xml:space="preserve">. </w:t>
      </w:r>
      <w:proofErr w:type="gramStart"/>
      <w:r w:rsidRPr="001E456C">
        <w:rPr>
          <w:rFonts w:ascii="Times New Roman" w:eastAsia="Times New Roman" w:hAnsi="Times New Roman" w:cs="Times New Roman"/>
          <w:sz w:val="24"/>
          <w:szCs w:val="24"/>
        </w:rPr>
        <w:t>2023;12:77</w:t>
      </w:r>
      <w:proofErr w:type="gramEnd"/>
      <w:r w:rsidRPr="001E456C">
        <w:rPr>
          <w:rFonts w:ascii="Times New Roman" w:eastAsia="Times New Roman" w:hAnsi="Times New Roman" w:cs="Times New Roman"/>
          <w:sz w:val="24"/>
          <w:szCs w:val="24"/>
        </w:rPr>
        <w:t xml:space="preserve">-85. </w:t>
      </w:r>
      <w:hyperlink r:id="rId33" w:history="1">
        <w:r w:rsidRPr="0033275E">
          <w:rPr>
            <w:rStyle w:val="Hyperlink"/>
            <w:rFonts w:ascii="Times New Roman" w:eastAsia="Times New Roman" w:hAnsi="Times New Roman" w:cs="Times New Roman"/>
            <w:sz w:val="24"/>
            <w:szCs w:val="24"/>
          </w:rPr>
          <w:t>https://doi.org/10.2147/IPRP.S406219</w:t>
        </w:r>
      </w:hyperlink>
    </w:p>
    <w:p w14:paraId="000002C7" w14:textId="273BEFE3" w:rsidR="00CE6ECD" w:rsidRPr="006611F7" w:rsidRDefault="001E456C" w:rsidP="006611F7">
      <w:pPr>
        <w:pStyle w:val="ListParagraph"/>
        <w:numPr>
          <w:ilvl w:val="0"/>
          <w:numId w:val="1"/>
        </w:numPr>
        <w:spacing w:line="480" w:lineRule="auto"/>
        <w:ind w:left="360"/>
        <w:jc w:val="both"/>
        <w:rPr>
          <w:rFonts w:ascii="Times New Roman" w:eastAsia="Times New Roman" w:hAnsi="Times New Roman" w:cs="Times New Roman"/>
          <w:sz w:val="24"/>
          <w:szCs w:val="24"/>
        </w:rPr>
      </w:pPr>
      <w:proofErr w:type="spellStart"/>
      <w:r w:rsidRPr="001E456C">
        <w:rPr>
          <w:rFonts w:ascii="Times New Roman" w:eastAsia="Times New Roman" w:hAnsi="Times New Roman" w:cs="Times New Roman"/>
          <w:sz w:val="24"/>
          <w:szCs w:val="24"/>
        </w:rPr>
        <w:t>Nieuwlaat</w:t>
      </w:r>
      <w:proofErr w:type="spellEnd"/>
      <w:r w:rsidRPr="001E456C">
        <w:rPr>
          <w:rFonts w:ascii="Times New Roman" w:eastAsia="Times New Roman" w:hAnsi="Times New Roman" w:cs="Times New Roman"/>
          <w:sz w:val="24"/>
          <w:szCs w:val="24"/>
        </w:rPr>
        <w:t xml:space="preserve"> R, Wilczynski N, Navarro T, Hobson N, Jeffery R, </w:t>
      </w:r>
      <w:proofErr w:type="spellStart"/>
      <w:r w:rsidRPr="001E456C">
        <w:rPr>
          <w:rFonts w:ascii="Times New Roman" w:eastAsia="Times New Roman" w:hAnsi="Times New Roman" w:cs="Times New Roman"/>
          <w:sz w:val="24"/>
          <w:szCs w:val="24"/>
        </w:rPr>
        <w:t>Keepanasseril</w:t>
      </w:r>
      <w:proofErr w:type="spellEnd"/>
      <w:r w:rsidRPr="001E456C">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et al</w:t>
      </w:r>
      <w:r w:rsidRPr="001E456C">
        <w:rPr>
          <w:rFonts w:ascii="Times New Roman" w:eastAsia="Times New Roman" w:hAnsi="Times New Roman" w:cs="Times New Roman"/>
          <w:sz w:val="24"/>
          <w:szCs w:val="24"/>
        </w:rPr>
        <w:t xml:space="preserve">. Interventions for enhancing medication adherence. Cochrane Database Syst Rev. 2014;2014(11):CD000011. </w:t>
      </w:r>
      <w:hyperlink r:id="rId34" w:history="1">
        <w:r w:rsidRPr="0033275E">
          <w:rPr>
            <w:rStyle w:val="Hyperlink"/>
            <w:rFonts w:ascii="Times New Roman" w:eastAsia="Times New Roman" w:hAnsi="Times New Roman" w:cs="Times New Roman"/>
            <w:sz w:val="24"/>
            <w:szCs w:val="24"/>
          </w:rPr>
          <w:t>https://doi.org/10.1002/14651858.CD000011.pub4</w:t>
        </w:r>
      </w:hyperlink>
    </w:p>
    <w:sectPr w:rsidR="00CE6ECD" w:rsidRPr="006611F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5AFE" w14:textId="77777777" w:rsidR="00E130D0" w:rsidRDefault="00E130D0">
      <w:pPr>
        <w:spacing w:line="240" w:lineRule="auto"/>
      </w:pPr>
      <w:r>
        <w:separator/>
      </w:r>
    </w:p>
  </w:endnote>
  <w:endnote w:type="continuationSeparator" w:id="0">
    <w:p w14:paraId="46A354A8" w14:textId="77777777" w:rsidR="00E130D0" w:rsidRDefault="00E13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B7F9" w14:textId="77777777" w:rsidR="00DE410E" w:rsidRDefault="00DE4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8" w14:textId="77777777" w:rsidR="00CE6ECD" w:rsidRDefault="00CE6ECD"/>
  <w:p w14:paraId="000002C9" w14:textId="77777777" w:rsidR="00CE6ECD" w:rsidRDefault="00CE6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25E7" w14:textId="77777777" w:rsidR="00DE410E" w:rsidRDefault="00DE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5A70" w14:textId="77777777" w:rsidR="00E130D0" w:rsidRDefault="00E130D0">
      <w:pPr>
        <w:spacing w:line="240" w:lineRule="auto"/>
      </w:pPr>
      <w:r>
        <w:separator/>
      </w:r>
    </w:p>
  </w:footnote>
  <w:footnote w:type="continuationSeparator" w:id="0">
    <w:p w14:paraId="680DCED8" w14:textId="77777777" w:rsidR="00E130D0" w:rsidRDefault="00E13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499A" w14:textId="4A0191ED" w:rsidR="00DE410E" w:rsidRDefault="00E130D0">
    <w:pPr>
      <w:pStyle w:val="Header"/>
    </w:pPr>
    <w:r>
      <w:rPr>
        <w:noProof/>
      </w:rPr>
      <w:pict w14:anchorId="7626C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25636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A" w14:textId="31F0EF4F" w:rsidR="00CE6ECD" w:rsidRDefault="00E130D0">
    <w:r>
      <w:rPr>
        <w:noProof/>
      </w:rPr>
      <w:pict w14:anchorId="3B6F2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25636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15EF" w14:textId="23212B53" w:rsidR="00DE410E" w:rsidRDefault="00E130D0">
    <w:pPr>
      <w:pStyle w:val="Header"/>
    </w:pPr>
    <w:r>
      <w:rPr>
        <w:noProof/>
      </w:rPr>
      <w:pict w14:anchorId="2CED3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25635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A7989"/>
    <w:multiLevelType w:val="multilevel"/>
    <w:tmpl w:val="9852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8272C"/>
    <w:multiLevelType w:val="multilevel"/>
    <w:tmpl w:val="FF4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75450"/>
    <w:multiLevelType w:val="hybridMultilevel"/>
    <w:tmpl w:val="201C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CD"/>
    <w:rsid w:val="000713FB"/>
    <w:rsid w:val="000D50FB"/>
    <w:rsid w:val="00104E37"/>
    <w:rsid w:val="00110001"/>
    <w:rsid w:val="001812A1"/>
    <w:rsid w:val="001E456C"/>
    <w:rsid w:val="00222EE9"/>
    <w:rsid w:val="00357975"/>
    <w:rsid w:val="003676C4"/>
    <w:rsid w:val="003A212E"/>
    <w:rsid w:val="003B094E"/>
    <w:rsid w:val="003B1FCE"/>
    <w:rsid w:val="004610CC"/>
    <w:rsid w:val="00463A80"/>
    <w:rsid w:val="00466E78"/>
    <w:rsid w:val="005227CF"/>
    <w:rsid w:val="00583DCF"/>
    <w:rsid w:val="006611F7"/>
    <w:rsid w:val="00673E97"/>
    <w:rsid w:val="006A3EC1"/>
    <w:rsid w:val="007D11E6"/>
    <w:rsid w:val="00817A31"/>
    <w:rsid w:val="009034D8"/>
    <w:rsid w:val="0091136A"/>
    <w:rsid w:val="009259F6"/>
    <w:rsid w:val="00987408"/>
    <w:rsid w:val="009A43BB"/>
    <w:rsid w:val="009B1C04"/>
    <w:rsid w:val="009E3EE1"/>
    <w:rsid w:val="00A42F08"/>
    <w:rsid w:val="00A54ED0"/>
    <w:rsid w:val="00A87CB0"/>
    <w:rsid w:val="00AB1F6C"/>
    <w:rsid w:val="00AB402D"/>
    <w:rsid w:val="00AB5F34"/>
    <w:rsid w:val="00AF389F"/>
    <w:rsid w:val="00B31362"/>
    <w:rsid w:val="00B70CFF"/>
    <w:rsid w:val="00BA2313"/>
    <w:rsid w:val="00C85DC7"/>
    <w:rsid w:val="00C9478A"/>
    <w:rsid w:val="00CC2071"/>
    <w:rsid w:val="00CE6ECD"/>
    <w:rsid w:val="00D1147E"/>
    <w:rsid w:val="00D16B45"/>
    <w:rsid w:val="00D36C64"/>
    <w:rsid w:val="00D6631C"/>
    <w:rsid w:val="00DE410E"/>
    <w:rsid w:val="00E130D0"/>
    <w:rsid w:val="00E43AAB"/>
    <w:rsid w:val="00E64680"/>
    <w:rsid w:val="00F04651"/>
    <w:rsid w:val="00FA4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046C3"/>
  <w15:docId w15:val="{83B5843D-D82A-476A-ADA3-CA03707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04651"/>
    <w:rPr>
      <w:color w:val="0000FF" w:themeColor="hyperlink"/>
      <w:u w:val="single"/>
    </w:rPr>
  </w:style>
  <w:style w:type="paragraph" w:styleId="NormalWeb">
    <w:name w:val="Normal (Web)"/>
    <w:basedOn w:val="Normal"/>
    <w:uiPriority w:val="99"/>
    <w:unhideWhenUsed/>
    <w:rsid w:val="00F046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73E97"/>
    <w:rPr>
      <w:b/>
      <w:bCs/>
    </w:rPr>
  </w:style>
  <w:style w:type="table" w:styleId="TableGrid">
    <w:name w:val="Table Grid"/>
    <w:basedOn w:val="TableNormal"/>
    <w:uiPriority w:val="39"/>
    <w:rsid w:val="00673E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FCE"/>
    <w:pPr>
      <w:ind w:left="720"/>
      <w:contextualSpacing/>
    </w:pPr>
  </w:style>
  <w:style w:type="character" w:styleId="UnresolvedMention">
    <w:name w:val="Unresolved Mention"/>
    <w:basedOn w:val="DefaultParagraphFont"/>
    <w:uiPriority w:val="99"/>
    <w:semiHidden/>
    <w:unhideWhenUsed/>
    <w:rsid w:val="003B1FCE"/>
    <w:rPr>
      <w:color w:val="605E5C"/>
      <w:shd w:val="clear" w:color="auto" w:fill="E1DFDD"/>
    </w:rPr>
  </w:style>
  <w:style w:type="character" w:customStyle="1" w:styleId="anchor-text">
    <w:name w:val="anchor-text"/>
    <w:basedOn w:val="DefaultParagraphFont"/>
    <w:rsid w:val="00987408"/>
  </w:style>
  <w:style w:type="paragraph" w:styleId="Header">
    <w:name w:val="header"/>
    <w:basedOn w:val="Normal"/>
    <w:link w:val="HeaderChar"/>
    <w:uiPriority w:val="99"/>
    <w:unhideWhenUsed/>
    <w:rsid w:val="00DE410E"/>
    <w:pPr>
      <w:tabs>
        <w:tab w:val="center" w:pos="4680"/>
        <w:tab w:val="right" w:pos="9360"/>
      </w:tabs>
      <w:spacing w:line="240" w:lineRule="auto"/>
    </w:pPr>
  </w:style>
  <w:style w:type="character" w:customStyle="1" w:styleId="HeaderChar">
    <w:name w:val="Header Char"/>
    <w:basedOn w:val="DefaultParagraphFont"/>
    <w:link w:val="Header"/>
    <w:uiPriority w:val="99"/>
    <w:rsid w:val="00DE410E"/>
  </w:style>
  <w:style w:type="paragraph" w:styleId="Footer">
    <w:name w:val="footer"/>
    <w:basedOn w:val="Normal"/>
    <w:link w:val="FooterChar"/>
    <w:uiPriority w:val="99"/>
    <w:unhideWhenUsed/>
    <w:rsid w:val="00DE410E"/>
    <w:pPr>
      <w:tabs>
        <w:tab w:val="center" w:pos="4680"/>
        <w:tab w:val="right" w:pos="9360"/>
      </w:tabs>
      <w:spacing w:line="240" w:lineRule="auto"/>
    </w:pPr>
  </w:style>
  <w:style w:type="character" w:customStyle="1" w:styleId="FooterChar">
    <w:name w:val="Footer Char"/>
    <w:basedOn w:val="DefaultParagraphFont"/>
    <w:link w:val="Footer"/>
    <w:uiPriority w:val="99"/>
    <w:rsid w:val="00DE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3005">
      <w:bodyDiv w:val="1"/>
      <w:marLeft w:val="0"/>
      <w:marRight w:val="0"/>
      <w:marTop w:val="0"/>
      <w:marBottom w:val="0"/>
      <w:divBdr>
        <w:top w:val="none" w:sz="0" w:space="0" w:color="auto"/>
        <w:left w:val="none" w:sz="0" w:space="0" w:color="auto"/>
        <w:bottom w:val="none" w:sz="0" w:space="0" w:color="auto"/>
        <w:right w:val="none" w:sz="0" w:space="0" w:color="auto"/>
      </w:divBdr>
    </w:div>
    <w:div w:id="196159655">
      <w:bodyDiv w:val="1"/>
      <w:marLeft w:val="0"/>
      <w:marRight w:val="0"/>
      <w:marTop w:val="0"/>
      <w:marBottom w:val="0"/>
      <w:divBdr>
        <w:top w:val="none" w:sz="0" w:space="0" w:color="auto"/>
        <w:left w:val="none" w:sz="0" w:space="0" w:color="auto"/>
        <w:bottom w:val="none" w:sz="0" w:space="0" w:color="auto"/>
        <w:right w:val="none" w:sz="0" w:space="0" w:color="auto"/>
      </w:divBdr>
    </w:div>
    <w:div w:id="828984152">
      <w:bodyDiv w:val="1"/>
      <w:marLeft w:val="0"/>
      <w:marRight w:val="0"/>
      <w:marTop w:val="0"/>
      <w:marBottom w:val="0"/>
      <w:divBdr>
        <w:top w:val="none" w:sz="0" w:space="0" w:color="auto"/>
        <w:left w:val="none" w:sz="0" w:space="0" w:color="auto"/>
        <w:bottom w:val="none" w:sz="0" w:space="0" w:color="auto"/>
        <w:right w:val="none" w:sz="0" w:space="0" w:color="auto"/>
      </w:divBdr>
    </w:div>
    <w:div w:id="1357344944">
      <w:bodyDiv w:val="1"/>
      <w:marLeft w:val="0"/>
      <w:marRight w:val="0"/>
      <w:marTop w:val="0"/>
      <w:marBottom w:val="0"/>
      <w:divBdr>
        <w:top w:val="none" w:sz="0" w:space="0" w:color="auto"/>
        <w:left w:val="none" w:sz="0" w:space="0" w:color="auto"/>
        <w:bottom w:val="none" w:sz="0" w:space="0" w:color="auto"/>
        <w:right w:val="none" w:sz="0" w:space="0" w:color="auto"/>
      </w:divBdr>
    </w:div>
    <w:div w:id="1679381165">
      <w:bodyDiv w:val="1"/>
      <w:marLeft w:val="0"/>
      <w:marRight w:val="0"/>
      <w:marTop w:val="0"/>
      <w:marBottom w:val="0"/>
      <w:divBdr>
        <w:top w:val="none" w:sz="0" w:space="0" w:color="auto"/>
        <w:left w:val="none" w:sz="0" w:space="0" w:color="auto"/>
        <w:bottom w:val="none" w:sz="0" w:space="0" w:color="auto"/>
        <w:right w:val="none" w:sz="0" w:space="0" w:color="auto"/>
      </w:divBdr>
    </w:div>
    <w:div w:id="201892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rt.30520" TargetMode="External"/><Relationship Id="rId13" Type="http://schemas.openxmlformats.org/officeDocument/2006/relationships/hyperlink" Target="https://doi.org/10.7326/AITC201607050" TargetMode="External"/><Relationship Id="rId18" Type="http://schemas.openxmlformats.org/officeDocument/2006/relationships/hyperlink" Target="https://doi.org/10.1016/j.imu.2023.101175" TargetMode="External"/><Relationship Id="rId26" Type="http://schemas.openxmlformats.org/officeDocument/2006/relationships/hyperlink" Target="https://doi.org/10.37275/IJR.V4I1.86"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4103/ijhas.IJHAS_97_19" TargetMode="External"/><Relationship Id="rId34" Type="http://schemas.openxmlformats.org/officeDocument/2006/relationships/hyperlink" Target="https://doi.org/10.1002/14651858.CD000011.pub4" TargetMode="External"/><Relationship Id="rId42" Type="http://schemas.openxmlformats.org/officeDocument/2006/relationships/theme" Target="theme/theme1.xml"/><Relationship Id="rId7" Type="http://schemas.openxmlformats.org/officeDocument/2006/relationships/hyperlink" Target="https://doi.org/10.1002/acr.21772" TargetMode="External"/><Relationship Id="rId12" Type="http://schemas.openxmlformats.org/officeDocument/2006/relationships/hyperlink" Target="https://doi.org/10.1016/S0140-6736(16)00346-9" TargetMode="External"/><Relationship Id="rId17" Type="http://schemas.openxmlformats.org/officeDocument/2006/relationships/hyperlink" Target="https://doi.org/10.4103/cmi.cmi_155_20" TargetMode="External"/><Relationship Id="rId25" Type="http://schemas.openxmlformats.org/officeDocument/2006/relationships/hyperlink" Target="https://doi.org/10.1002/art.1780170517" TargetMode="External"/><Relationship Id="rId33" Type="http://schemas.openxmlformats.org/officeDocument/2006/relationships/hyperlink" Target="https://doi.org/10.2147/IPRP.S406219"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02/acr.24566" TargetMode="External"/><Relationship Id="rId20" Type="http://schemas.openxmlformats.org/officeDocument/2006/relationships/hyperlink" Target="https://doi.org/10.1017/S1463423621000608" TargetMode="External"/><Relationship Id="rId29" Type="http://schemas.openxmlformats.org/officeDocument/2006/relationships/hyperlink" Target="https://doi.org/10.3390/nu1417352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91-024-08180-9" TargetMode="External"/><Relationship Id="rId24" Type="http://schemas.openxmlformats.org/officeDocument/2006/relationships/hyperlink" Target="https://doi.org/10.5371/hp.2024.36.1.1" TargetMode="External"/><Relationship Id="rId32" Type="http://schemas.openxmlformats.org/officeDocument/2006/relationships/hyperlink" Target="https://doi.org/10.51866/rv116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7759/cureus.51745" TargetMode="External"/><Relationship Id="rId23" Type="http://schemas.openxmlformats.org/officeDocument/2006/relationships/hyperlink" Target="https://doi.org/10.1111/j.1756-185X.2009.01431.x" TargetMode="External"/><Relationship Id="rId28" Type="http://schemas.openxmlformats.org/officeDocument/2006/relationships/hyperlink" Target="https://doi.org/10.1186/s12909-024-05690-x" TargetMode="External"/><Relationship Id="rId36" Type="http://schemas.openxmlformats.org/officeDocument/2006/relationships/header" Target="header2.xml"/><Relationship Id="rId10" Type="http://schemas.openxmlformats.org/officeDocument/2006/relationships/hyperlink" Target="https://doi.org/10.4078/jrd.2022.0001" TargetMode="External"/><Relationship Id="rId19" Type="http://schemas.openxmlformats.org/officeDocument/2006/relationships/hyperlink" Target="https://doi.org/10.4103/mtsm.mtsm_22_21" TargetMode="External"/><Relationship Id="rId31" Type="http://schemas.openxmlformats.org/officeDocument/2006/relationships/hyperlink" Target="https://doi.org/10.3389/fendo.2023.1077059" TargetMode="External"/><Relationship Id="rId4" Type="http://schemas.openxmlformats.org/officeDocument/2006/relationships/webSettings" Target="webSettings.xml"/><Relationship Id="rId9" Type="http://schemas.openxmlformats.org/officeDocument/2006/relationships/hyperlink" Target="https://doi.org/10.1038/s41584-020-0441-1" TargetMode="External"/><Relationship Id="rId14" Type="http://schemas.openxmlformats.org/officeDocument/2006/relationships/hyperlink" Target="https://doi.org/10.1136/annrheumdis-2016-209707" TargetMode="External"/><Relationship Id="rId22" Type="http://schemas.openxmlformats.org/officeDocument/2006/relationships/hyperlink" Target="https://doi.org/10.1097/BOR.0000000000000861" TargetMode="External"/><Relationship Id="rId27" Type="http://schemas.openxmlformats.org/officeDocument/2006/relationships/hyperlink" Target="https://doi.org/1136/bmjopen-2022-062158" TargetMode="External"/><Relationship Id="rId30" Type="http://schemas.openxmlformats.org/officeDocument/2006/relationships/hyperlink" Target="https://doi.org/10.7717/peerj.17926"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21</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bashir asiddig</dc:creator>
  <cp:lastModifiedBy>Bashir Alsiddig Yousef Mohamed Ahmed</cp:lastModifiedBy>
  <cp:revision>4</cp:revision>
  <dcterms:created xsi:type="dcterms:W3CDTF">2025-04-14T16:28:00Z</dcterms:created>
  <dcterms:modified xsi:type="dcterms:W3CDTF">2025-04-14T19:01:00Z</dcterms:modified>
</cp:coreProperties>
</file>