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93642" w14:textId="7BF14F4F" w:rsidR="00F134DB" w:rsidRDefault="00F134DB" w:rsidP="00956427">
      <w:pPr>
        <w:spacing w:line="360" w:lineRule="auto"/>
        <w:jc w:val="right"/>
        <w:rPr>
          <w:rFonts w:ascii="Arial" w:hAnsi="Arial" w:cs="Arial"/>
          <w:b/>
          <w:bCs/>
          <w:sz w:val="28"/>
          <w:szCs w:val="28"/>
          <w:lang w:val="en-US"/>
        </w:rPr>
      </w:pPr>
      <w:r w:rsidRPr="00F134DB">
        <w:rPr>
          <w:rFonts w:ascii="Arial" w:hAnsi="Arial" w:cs="Arial"/>
          <w:b/>
          <w:bCs/>
          <w:sz w:val="28"/>
          <w:szCs w:val="28"/>
          <w:lang w:val="en-US"/>
        </w:rPr>
        <w:t>Review Article</w:t>
      </w:r>
    </w:p>
    <w:p w14:paraId="4D1AFA68" w14:textId="4E6D7116" w:rsidR="00781CF0" w:rsidRDefault="005D17EB" w:rsidP="00956427">
      <w:pPr>
        <w:tabs>
          <w:tab w:val="left" w:pos="3119"/>
        </w:tabs>
        <w:spacing w:line="360" w:lineRule="auto"/>
        <w:jc w:val="right"/>
        <w:rPr>
          <w:rFonts w:ascii="Arial" w:hAnsi="Arial" w:cs="Arial"/>
          <w:b/>
          <w:bCs/>
          <w:sz w:val="28"/>
          <w:szCs w:val="28"/>
          <w:lang w:val="en-US"/>
        </w:rPr>
      </w:pPr>
      <w:r w:rsidRPr="00963A27">
        <w:rPr>
          <w:rFonts w:ascii="Arial" w:hAnsi="Arial" w:cs="Arial"/>
          <w:b/>
          <w:bCs/>
          <w:sz w:val="28"/>
          <w:szCs w:val="28"/>
          <w:lang w:val="en-US"/>
        </w:rPr>
        <w:t xml:space="preserve">ORAL WAFER TECHNOLOGY: </w:t>
      </w:r>
      <w:r w:rsidRPr="005D17EB">
        <w:rPr>
          <w:rFonts w:ascii="Arial" w:hAnsi="Arial" w:cs="Arial"/>
          <w:b/>
          <w:bCs/>
          <w:sz w:val="28"/>
          <w:szCs w:val="28"/>
          <w:lang w:val="en-US"/>
        </w:rPr>
        <w:t xml:space="preserve">REVOLUTIONIZING DRUG DELIVERY </w:t>
      </w:r>
      <w:r w:rsidR="00F21D13">
        <w:rPr>
          <w:rFonts w:ascii="Arial" w:hAnsi="Arial" w:cs="Arial"/>
          <w:b/>
          <w:bCs/>
          <w:sz w:val="28"/>
          <w:szCs w:val="28"/>
          <w:lang w:val="en-US"/>
        </w:rPr>
        <w:t>FOR ENHANCED</w:t>
      </w:r>
      <w:r w:rsidR="00D03359">
        <w:rPr>
          <w:rFonts w:ascii="Arial" w:hAnsi="Arial" w:cs="Arial"/>
          <w:b/>
          <w:bCs/>
          <w:sz w:val="28"/>
          <w:szCs w:val="28"/>
          <w:lang w:val="en-US"/>
        </w:rPr>
        <w:t xml:space="preserve"> PATIENT COMPLIANCE</w:t>
      </w:r>
      <w:r w:rsidR="00F21D13">
        <w:rPr>
          <w:rFonts w:ascii="Arial" w:hAnsi="Arial" w:cs="Arial"/>
          <w:b/>
          <w:bCs/>
          <w:sz w:val="28"/>
          <w:szCs w:val="28"/>
          <w:lang w:val="en-US"/>
        </w:rPr>
        <w:t xml:space="preserve"> AND </w:t>
      </w:r>
      <w:r w:rsidR="00ED4D52" w:rsidRPr="00ED4D52">
        <w:rPr>
          <w:rFonts w:ascii="Arial" w:hAnsi="Arial" w:cs="Arial"/>
          <w:b/>
          <w:bCs/>
          <w:sz w:val="28"/>
          <w:szCs w:val="28"/>
          <w:lang w:val="en-US"/>
        </w:rPr>
        <w:t>BIOAVAIALABILITY</w:t>
      </w:r>
      <w:r w:rsidR="00ED4D52">
        <w:rPr>
          <w:rFonts w:ascii="Arial" w:hAnsi="Arial" w:cs="Arial"/>
          <w:b/>
          <w:bCs/>
          <w:sz w:val="28"/>
          <w:szCs w:val="28"/>
          <w:lang w:val="en-US"/>
        </w:rPr>
        <w:t xml:space="preserve"> </w:t>
      </w:r>
      <w:r w:rsidR="00F21D13">
        <w:rPr>
          <w:rFonts w:ascii="Arial" w:hAnsi="Arial" w:cs="Arial"/>
          <w:b/>
          <w:bCs/>
          <w:sz w:val="28"/>
          <w:szCs w:val="28"/>
          <w:lang w:val="en-US"/>
        </w:rPr>
        <w:t>OF SPECIFIC LOW DOSE DRUG CATEGORIES</w:t>
      </w:r>
    </w:p>
    <w:p w14:paraId="76559CCE" w14:textId="77777777" w:rsidR="00D03359" w:rsidRDefault="00D03359" w:rsidP="00956427">
      <w:pPr>
        <w:tabs>
          <w:tab w:val="left" w:pos="3119"/>
        </w:tabs>
        <w:spacing w:line="360" w:lineRule="auto"/>
        <w:jc w:val="right"/>
        <w:rPr>
          <w:rFonts w:ascii="Arial" w:hAnsi="Arial" w:cs="Arial"/>
          <w:b/>
          <w:bCs/>
          <w:sz w:val="28"/>
          <w:szCs w:val="28"/>
          <w:lang w:val="en-US"/>
        </w:rPr>
      </w:pPr>
    </w:p>
    <w:p w14:paraId="7D901AFB" w14:textId="77777777" w:rsidR="00D03359" w:rsidRDefault="00D03359" w:rsidP="00956427">
      <w:pPr>
        <w:tabs>
          <w:tab w:val="left" w:pos="3119"/>
        </w:tabs>
        <w:spacing w:line="360" w:lineRule="auto"/>
        <w:jc w:val="right"/>
        <w:rPr>
          <w:rFonts w:ascii="Arial" w:hAnsi="Arial" w:cs="Arial"/>
          <w:b/>
          <w:bCs/>
          <w:sz w:val="28"/>
          <w:szCs w:val="28"/>
          <w:lang w:val="en-US"/>
        </w:rPr>
      </w:pPr>
    </w:p>
    <w:p w14:paraId="5F037C0F" w14:textId="77777777" w:rsidR="00D03359" w:rsidRPr="00CA7BA5" w:rsidRDefault="00D03359" w:rsidP="00956427">
      <w:pPr>
        <w:tabs>
          <w:tab w:val="left" w:pos="3119"/>
        </w:tabs>
        <w:spacing w:line="360" w:lineRule="auto"/>
        <w:jc w:val="right"/>
        <w:rPr>
          <w:rFonts w:ascii="Arial" w:hAnsi="Arial" w:cs="Arial"/>
          <w:b/>
          <w:bCs/>
          <w:sz w:val="28"/>
          <w:szCs w:val="28"/>
          <w:lang w:val="en-US"/>
        </w:rPr>
      </w:pPr>
    </w:p>
    <w:p w14:paraId="54F77432" w14:textId="403F9E26" w:rsidR="002A52F3" w:rsidRPr="002A52F3" w:rsidRDefault="007C0D5C" w:rsidP="002A52F3">
      <w:pPr>
        <w:spacing w:line="360" w:lineRule="auto"/>
        <w:ind w:hanging="142"/>
        <w:jc w:val="both"/>
        <w:rPr>
          <w:rFonts w:ascii="Arial" w:hAnsi="Arial" w:cs="Arial"/>
          <w:b/>
          <w:bCs/>
          <w:lang w:val="en-US"/>
        </w:rPr>
      </w:pPr>
      <w:r w:rsidRPr="00963A27">
        <w:rPr>
          <w:rFonts w:ascii="Arial" w:hAnsi="Arial" w:cs="Arial"/>
          <w:b/>
          <w:bCs/>
          <w:lang w:val="en-US"/>
        </w:rPr>
        <w:t>ABSTRACT</w:t>
      </w:r>
    </w:p>
    <w:p w14:paraId="683B71DF" w14:textId="67A575F4" w:rsidR="002A52F3" w:rsidRPr="002A52F3" w:rsidRDefault="002A52F3" w:rsidP="002A52F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2A52F3">
        <w:rPr>
          <w:rFonts w:ascii="Arial" w:hAnsi="Arial" w:cs="Arial"/>
        </w:rPr>
        <w:t>Oral wafer technology has emerged as a significant innovation in pharmaceutical drug delivery, offering enhanced therapeutic efficacy, patient compliance, and ease of administration compared to conventional dosage forms. These thin, rapidly dissolving films eliminate the need for water, making them particularly advantageous for pediatric, geriatric, and dysphagic populations. The formulation of oral wafers is primarily based on hydrophilic polymers, facilitating rapid disintegration, improved bioavailability, and controlled drug release.</w:t>
      </w:r>
    </w:p>
    <w:p w14:paraId="63F2E9EC" w14:textId="43C55B47" w:rsidR="002A52F3" w:rsidRPr="002A52F3" w:rsidRDefault="002A52F3" w:rsidP="002A52F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2A52F3">
        <w:rPr>
          <w:rFonts w:ascii="Arial" w:hAnsi="Arial" w:cs="Arial"/>
        </w:rPr>
        <w:t>Recent advancements have expanded their applications beyond fast-dissolving oral wafers to include mucoadhesive and melt-away formulations, enabling prolonged drug release and targeted therapeutic effects. The integration of nanotechnology, including drug-loaded nanoparticles and liposomal systems, has significantly enhanced solubility, precision targeting, and bioavailability. Additionally, state-of-the-art manufacturing techniques such as solvent casting, hot-melt extrusion, electrospinning, and 3D printing have improved scalability, formulation consistency, and mechanical stability. These wafers are now being explored for a wide range of therapeutic applications, including pain management, neurological disorders, cardiovascular treatments, and pediatric drug delivery, demonstrating their versatility and clinical relevance.</w:t>
      </w:r>
    </w:p>
    <w:p w14:paraId="7904EE07" w14:textId="77777777" w:rsidR="002A52F3" w:rsidRPr="002A52F3" w:rsidRDefault="002A52F3" w:rsidP="002A52F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2A52F3">
        <w:rPr>
          <w:rFonts w:ascii="Arial" w:hAnsi="Arial" w:cs="Arial"/>
        </w:rPr>
        <w:t>This review aims to provide a comprehensive analysis of the advancements in oral wafer technology, with a focus on formulation strategies, material selection, and their impact on drug release kinetics. Furthermore, it highlights recent applications, in vivo study outcomes, and emerging trends in personalized medicine to illustrate their clinical significance.</w:t>
      </w:r>
    </w:p>
    <w:p w14:paraId="4D2C86F1" w14:textId="77777777" w:rsidR="002A52F3" w:rsidRPr="002A52F3" w:rsidRDefault="002A52F3" w:rsidP="002A52F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p>
    <w:p w14:paraId="4041A3E4" w14:textId="77777777" w:rsidR="002A52F3" w:rsidRPr="002A52F3" w:rsidRDefault="002A52F3" w:rsidP="002A52F3">
      <w:pPr>
        <w:pBdr>
          <w:top w:val="single" w:sz="4" w:space="1" w:color="auto"/>
          <w:left w:val="single" w:sz="4" w:space="4" w:color="auto"/>
          <w:bottom w:val="single" w:sz="4" w:space="1" w:color="auto"/>
          <w:right w:val="single" w:sz="4" w:space="4" w:color="auto"/>
        </w:pBdr>
        <w:spacing w:line="360" w:lineRule="auto"/>
        <w:jc w:val="both"/>
        <w:rPr>
          <w:rFonts w:ascii="Arial" w:hAnsi="Arial" w:cs="Arial"/>
        </w:rPr>
      </w:pPr>
      <w:r w:rsidRPr="002A52F3">
        <w:rPr>
          <w:rFonts w:ascii="Arial" w:hAnsi="Arial" w:cs="Arial"/>
        </w:rPr>
        <w:lastRenderedPageBreak/>
        <w:t>Despite these advancements, challenges related to stability, moisture sensitivity, and dose uniformity persist. Ongoing research focuses on optimizing biodegradable polymers, smart drug delivery systems, and AI-driven formulation strategies to enhance therapeutic precision and patient adherence. The integration of personalized medicine through 3D-printed wafers is anticipated to revolutionize drug administration by enabling tailored treatments. By addressing these limitations and leveraging emerging technologies, oral wafer technology is set to transform pharmaceutical therapeutics, establishing itself as a highly promising alternative to traditional oral drug delivery systems.</w:t>
      </w:r>
    </w:p>
    <w:p w14:paraId="481C85D1" w14:textId="70F07CF8" w:rsidR="00CA7BA5" w:rsidRDefault="00CD3EA8" w:rsidP="00956427">
      <w:pPr>
        <w:spacing w:line="360" w:lineRule="auto"/>
        <w:jc w:val="both"/>
        <w:rPr>
          <w:rFonts w:ascii="Arial" w:hAnsi="Arial" w:cs="Arial"/>
          <w:i/>
          <w:iCs/>
          <w:sz w:val="20"/>
          <w:szCs w:val="20"/>
        </w:rPr>
      </w:pPr>
      <w:r w:rsidRPr="006F67ED">
        <w:rPr>
          <w:rFonts w:ascii="Arial" w:hAnsi="Arial" w:cs="Arial"/>
          <w:b/>
          <w:bCs/>
          <w:i/>
          <w:iCs/>
          <w:sz w:val="20"/>
          <w:szCs w:val="20"/>
          <w:lang w:val="en-US"/>
        </w:rPr>
        <w:t>Keywords:</w:t>
      </w:r>
      <w:r w:rsidRPr="006F67ED">
        <w:rPr>
          <w:rFonts w:ascii="Arial" w:hAnsi="Arial" w:cs="Arial"/>
          <w:i/>
          <w:iCs/>
          <w:sz w:val="20"/>
          <w:szCs w:val="20"/>
          <w:lang w:val="en-US"/>
        </w:rPr>
        <w:t xml:space="preserve"> </w:t>
      </w:r>
      <w:r w:rsidRPr="006F67ED">
        <w:rPr>
          <w:rFonts w:ascii="Arial" w:hAnsi="Arial" w:cs="Arial"/>
          <w:i/>
          <w:iCs/>
          <w:sz w:val="20"/>
          <w:szCs w:val="20"/>
        </w:rPr>
        <w:t>Oral wafer,</w:t>
      </w:r>
      <w:r w:rsidR="00070C99" w:rsidRPr="006F67ED">
        <w:rPr>
          <w:rFonts w:ascii="Arial" w:hAnsi="Arial" w:cs="Arial"/>
          <w:i/>
          <w:iCs/>
          <w:sz w:val="20"/>
          <w:szCs w:val="20"/>
        </w:rPr>
        <w:t xml:space="preserve"> Lyophilization (freeze</w:t>
      </w:r>
      <w:r w:rsidR="00044585" w:rsidRPr="006F67ED">
        <w:rPr>
          <w:rFonts w:ascii="Arial" w:hAnsi="Arial" w:cs="Arial"/>
          <w:i/>
          <w:iCs/>
          <w:sz w:val="20"/>
          <w:szCs w:val="20"/>
        </w:rPr>
        <w:t>-drying</w:t>
      </w:r>
      <w:r w:rsidR="000B7398" w:rsidRPr="006F67ED">
        <w:rPr>
          <w:rFonts w:ascii="Arial" w:hAnsi="Arial" w:cs="Arial"/>
          <w:i/>
          <w:iCs/>
          <w:sz w:val="20"/>
          <w:szCs w:val="20"/>
        </w:rPr>
        <w:t xml:space="preserve">), </w:t>
      </w:r>
      <w:r w:rsidR="00113EED" w:rsidRPr="006F67ED">
        <w:rPr>
          <w:rFonts w:ascii="Arial" w:hAnsi="Arial" w:cs="Arial"/>
          <w:i/>
          <w:iCs/>
          <w:sz w:val="20"/>
          <w:szCs w:val="20"/>
        </w:rPr>
        <w:t>A</w:t>
      </w:r>
      <w:r w:rsidR="000B7398" w:rsidRPr="006F67ED">
        <w:rPr>
          <w:rFonts w:ascii="Arial" w:hAnsi="Arial" w:cs="Arial"/>
          <w:i/>
          <w:iCs/>
          <w:sz w:val="20"/>
          <w:szCs w:val="20"/>
        </w:rPr>
        <w:t>pplications</w:t>
      </w:r>
      <w:r w:rsidR="00944667" w:rsidRPr="006F67ED">
        <w:rPr>
          <w:rFonts w:ascii="Arial" w:hAnsi="Arial" w:cs="Arial"/>
          <w:i/>
          <w:iCs/>
          <w:sz w:val="20"/>
          <w:szCs w:val="20"/>
        </w:rPr>
        <w:t>, drug delivery</w:t>
      </w:r>
      <w:r w:rsidR="00B5710A" w:rsidRPr="006F67ED">
        <w:rPr>
          <w:rFonts w:ascii="Arial" w:hAnsi="Arial" w:cs="Arial"/>
          <w:i/>
          <w:iCs/>
          <w:sz w:val="20"/>
          <w:szCs w:val="20"/>
        </w:rPr>
        <w:t>.</w:t>
      </w:r>
    </w:p>
    <w:p w14:paraId="7F1AD6E1" w14:textId="2BDFA9AA" w:rsidR="001A33F9" w:rsidRDefault="001A33F9" w:rsidP="00956427">
      <w:pPr>
        <w:spacing w:line="360" w:lineRule="auto"/>
        <w:jc w:val="both"/>
        <w:rPr>
          <w:rFonts w:ascii="Arial" w:hAnsi="Arial" w:cs="Arial"/>
          <w:i/>
          <w:iCs/>
          <w:sz w:val="20"/>
          <w:szCs w:val="20"/>
        </w:rPr>
      </w:pPr>
      <w:r w:rsidRPr="001A33F9">
        <w:rPr>
          <w:rFonts w:ascii="Arial" w:hAnsi="Arial" w:cs="Arial"/>
          <w:i/>
          <w:iCs/>
          <w:sz w:val="20"/>
          <w:szCs w:val="20"/>
        </w:rPr>
        <w:t>GRAPHICAL ABSTRACT</w:t>
      </w:r>
    </w:p>
    <w:p w14:paraId="230A451C" w14:textId="5C0A15AB" w:rsidR="001A33F9" w:rsidRPr="006F67ED" w:rsidRDefault="001A33F9" w:rsidP="00956427">
      <w:pPr>
        <w:spacing w:line="360" w:lineRule="auto"/>
        <w:jc w:val="both"/>
        <w:rPr>
          <w:rFonts w:ascii="Arial" w:hAnsi="Arial" w:cs="Arial"/>
          <w:i/>
          <w:iCs/>
          <w:sz w:val="20"/>
          <w:szCs w:val="20"/>
        </w:rPr>
      </w:pPr>
      <w:r w:rsidRPr="00963A27">
        <w:rPr>
          <w:rFonts w:ascii="Arial" w:hAnsi="Arial" w:cs="Arial"/>
          <w:b/>
          <w:bCs/>
          <w:noProof/>
          <w:sz w:val="24"/>
          <w:szCs w:val="24"/>
        </w:rPr>
        <w:drawing>
          <wp:inline distT="0" distB="0" distL="0" distR="0" wp14:anchorId="09EE1A70" wp14:editId="1AF15D6E">
            <wp:extent cx="5731510" cy="4739381"/>
            <wp:effectExtent l="0" t="0" r="2540" b="0"/>
            <wp:docPr id="1705164449" name="Picture 9">
              <a:extLst xmlns:a="http://schemas.openxmlformats.org/drawingml/2006/main">
                <a:ext uri="{FF2B5EF4-FFF2-40B4-BE49-F238E27FC236}">
                  <a16:creationId xmlns:a16="http://schemas.microsoft.com/office/drawing/2014/main" id="{EC58A8AB-7A1A-B64D-376D-EB2384F8A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C58A8AB-7A1A-B64D-376D-EB2384F8A48B}"/>
                        </a:ext>
                      </a:extLst>
                    </pic:cNvPr>
                    <pic:cNvPicPr>
                      <a:picLocks noChangeAspect="1"/>
                    </pic:cNvPicPr>
                  </pic:nvPicPr>
                  <pic:blipFill rotWithShape="1">
                    <a:blip r:embed="rId8"/>
                    <a:srcRect l="2226" r="566"/>
                    <a:stretch/>
                  </pic:blipFill>
                  <pic:spPr bwMode="auto">
                    <a:xfrm>
                      <a:off x="0" y="0"/>
                      <a:ext cx="5731510" cy="4739381"/>
                    </a:xfrm>
                    <a:prstGeom prst="rect">
                      <a:avLst/>
                    </a:prstGeom>
                    <a:ln>
                      <a:noFill/>
                    </a:ln>
                    <a:extLst>
                      <a:ext uri="{53640926-AAD7-44D8-BBD7-CCE9431645EC}">
                        <a14:shadowObscured xmlns:a14="http://schemas.microsoft.com/office/drawing/2010/main"/>
                      </a:ext>
                    </a:extLst>
                  </pic:spPr>
                </pic:pic>
              </a:graphicData>
            </a:graphic>
          </wp:inline>
        </w:drawing>
      </w:r>
    </w:p>
    <w:p w14:paraId="4610FD26" w14:textId="61A9B477" w:rsidR="00791B80" w:rsidRPr="00963A27" w:rsidRDefault="00C31FD2" w:rsidP="00882252">
      <w:pPr>
        <w:pStyle w:val="Title"/>
        <w:numPr>
          <w:ilvl w:val="0"/>
          <w:numId w:val="10"/>
        </w:numPr>
        <w:spacing w:line="360" w:lineRule="auto"/>
        <w:ind w:left="284" w:hanging="284"/>
        <w:contextualSpacing w:val="0"/>
        <w:jc w:val="both"/>
        <w:rPr>
          <w:rFonts w:ascii="Arial" w:hAnsi="Arial" w:cs="Arial"/>
          <w:sz w:val="24"/>
          <w:szCs w:val="24"/>
        </w:rPr>
      </w:pPr>
      <w:r w:rsidRPr="00963A27">
        <w:rPr>
          <w:rFonts w:ascii="Arial" w:hAnsi="Arial" w:cs="Arial"/>
          <w:sz w:val="22"/>
          <w:szCs w:val="22"/>
        </w:rPr>
        <w:t>INTRODUCTIO</w:t>
      </w:r>
      <w:r w:rsidR="007D5C50" w:rsidRPr="00963A27">
        <w:rPr>
          <w:rFonts w:ascii="Arial" w:hAnsi="Arial" w:cs="Arial"/>
          <w:sz w:val="22"/>
          <w:szCs w:val="22"/>
        </w:rPr>
        <w:t>N</w:t>
      </w:r>
    </w:p>
    <w:p w14:paraId="58F08050" w14:textId="77777777" w:rsidR="009F177F" w:rsidRPr="00963A27" w:rsidRDefault="00CB69BA" w:rsidP="00956427">
      <w:pPr>
        <w:spacing w:line="360" w:lineRule="auto"/>
        <w:ind w:left="284"/>
        <w:jc w:val="both"/>
        <w:rPr>
          <w:rFonts w:ascii="Arial" w:hAnsi="Arial" w:cs="Arial"/>
          <w:sz w:val="20"/>
          <w:szCs w:val="20"/>
        </w:rPr>
      </w:pPr>
      <w:r w:rsidRPr="00963A27">
        <w:rPr>
          <w:rFonts w:ascii="Arial" w:hAnsi="Arial" w:cs="Arial"/>
          <w:sz w:val="20"/>
          <w:szCs w:val="20"/>
        </w:rPr>
        <w:t xml:space="preserve">Over the years, drug delivery system </w:t>
      </w:r>
      <w:r w:rsidR="00525529" w:rsidRPr="00963A27">
        <w:rPr>
          <w:rFonts w:ascii="Arial" w:hAnsi="Arial" w:cs="Arial"/>
          <w:sz w:val="20"/>
          <w:szCs w:val="20"/>
        </w:rPr>
        <w:t>has</w:t>
      </w:r>
      <w:r w:rsidRPr="00963A27">
        <w:rPr>
          <w:rFonts w:ascii="Arial" w:hAnsi="Arial" w:cs="Arial"/>
          <w:sz w:val="20"/>
          <w:szCs w:val="20"/>
        </w:rPr>
        <w:t xml:space="preserve"> significantly</w:t>
      </w:r>
      <w:r w:rsidR="00AA6343" w:rsidRPr="00963A27">
        <w:rPr>
          <w:rFonts w:ascii="Arial" w:hAnsi="Arial" w:cs="Arial"/>
          <w:sz w:val="20"/>
          <w:szCs w:val="20"/>
        </w:rPr>
        <w:t xml:space="preserve"> evolved</w:t>
      </w:r>
      <w:r w:rsidRPr="00963A27">
        <w:rPr>
          <w:rFonts w:ascii="Arial" w:hAnsi="Arial" w:cs="Arial"/>
          <w:sz w:val="20"/>
          <w:szCs w:val="20"/>
        </w:rPr>
        <w:t xml:space="preserve">, </w:t>
      </w:r>
      <w:r w:rsidR="00155050" w:rsidRPr="00963A27">
        <w:rPr>
          <w:rFonts w:ascii="Arial" w:hAnsi="Arial" w:cs="Arial"/>
          <w:sz w:val="20"/>
          <w:szCs w:val="20"/>
        </w:rPr>
        <w:t xml:space="preserve">transitioning </w:t>
      </w:r>
      <w:r w:rsidRPr="00963A27">
        <w:rPr>
          <w:rFonts w:ascii="Arial" w:hAnsi="Arial" w:cs="Arial"/>
          <w:sz w:val="20"/>
          <w:szCs w:val="20"/>
        </w:rPr>
        <w:t xml:space="preserve"> from conventional </w:t>
      </w:r>
      <w:r w:rsidR="003375F6" w:rsidRPr="00963A27">
        <w:rPr>
          <w:rFonts w:ascii="Arial" w:hAnsi="Arial" w:cs="Arial"/>
          <w:sz w:val="20"/>
          <w:szCs w:val="20"/>
        </w:rPr>
        <w:t>solid dosage forms</w:t>
      </w:r>
      <w:r w:rsidRPr="00963A27">
        <w:rPr>
          <w:rFonts w:ascii="Arial" w:hAnsi="Arial" w:cs="Arial"/>
          <w:sz w:val="20"/>
          <w:szCs w:val="20"/>
        </w:rPr>
        <w:t xml:space="preserve"> to more patient-centric alternatives</w:t>
      </w:r>
      <w:r w:rsidR="004F3533" w:rsidRPr="00963A27">
        <w:rPr>
          <w:rFonts w:ascii="Arial" w:hAnsi="Arial" w:cs="Arial"/>
          <w:sz w:val="20"/>
          <w:szCs w:val="20"/>
        </w:rPr>
        <w:t xml:space="preserve"> </w:t>
      </w:r>
      <w:r w:rsidR="00244033" w:rsidRPr="00963A27">
        <w:rPr>
          <w:rFonts w:ascii="Arial" w:hAnsi="Arial" w:cs="Arial"/>
          <w:sz w:val="20"/>
          <w:szCs w:val="20"/>
        </w:rPr>
        <w:t>[1]</w:t>
      </w:r>
      <w:r w:rsidRPr="00963A27">
        <w:rPr>
          <w:rFonts w:ascii="Arial" w:hAnsi="Arial" w:cs="Arial"/>
          <w:sz w:val="20"/>
          <w:szCs w:val="20"/>
        </w:rPr>
        <w:t xml:space="preserve">. </w:t>
      </w:r>
      <w:r w:rsidR="006402FB" w:rsidRPr="00963A27">
        <w:rPr>
          <w:rFonts w:ascii="Arial" w:hAnsi="Arial" w:cs="Arial"/>
          <w:sz w:val="20"/>
          <w:szCs w:val="20"/>
        </w:rPr>
        <w:t>Among</w:t>
      </w:r>
      <w:r w:rsidR="0028182B" w:rsidRPr="00963A27">
        <w:rPr>
          <w:rFonts w:ascii="Arial" w:hAnsi="Arial" w:cs="Arial"/>
          <w:sz w:val="20"/>
          <w:szCs w:val="20"/>
        </w:rPr>
        <w:t>st</w:t>
      </w:r>
      <w:r w:rsidR="0067569E" w:rsidRPr="00963A27">
        <w:rPr>
          <w:rFonts w:ascii="Arial" w:hAnsi="Arial" w:cs="Arial"/>
          <w:sz w:val="20"/>
          <w:szCs w:val="20"/>
        </w:rPr>
        <w:t xml:space="preserve"> such </w:t>
      </w:r>
      <w:r w:rsidR="00110F9D" w:rsidRPr="00963A27">
        <w:rPr>
          <w:rFonts w:ascii="Arial" w:hAnsi="Arial" w:cs="Arial"/>
          <w:sz w:val="20"/>
          <w:szCs w:val="20"/>
        </w:rPr>
        <w:t>novel</w:t>
      </w:r>
      <w:r w:rsidR="00FC56EE" w:rsidRPr="00963A27">
        <w:rPr>
          <w:rFonts w:ascii="Arial" w:hAnsi="Arial" w:cs="Arial"/>
          <w:sz w:val="20"/>
          <w:szCs w:val="20"/>
        </w:rPr>
        <w:t xml:space="preserve"> </w:t>
      </w:r>
      <w:r w:rsidR="0067569E" w:rsidRPr="00963A27">
        <w:rPr>
          <w:rFonts w:ascii="Arial" w:hAnsi="Arial" w:cs="Arial"/>
          <w:sz w:val="20"/>
          <w:szCs w:val="20"/>
        </w:rPr>
        <w:t>alternatives, o</w:t>
      </w:r>
      <w:r w:rsidRPr="00963A27">
        <w:rPr>
          <w:rFonts w:ascii="Arial" w:hAnsi="Arial" w:cs="Arial"/>
          <w:sz w:val="20"/>
          <w:szCs w:val="20"/>
        </w:rPr>
        <w:t>ral wafer</w:t>
      </w:r>
      <w:r w:rsidR="005535D2" w:rsidRPr="00963A27">
        <w:rPr>
          <w:rFonts w:ascii="Arial" w:hAnsi="Arial" w:cs="Arial"/>
          <w:sz w:val="20"/>
          <w:szCs w:val="20"/>
        </w:rPr>
        <w:t xml:space="preserve"> technology is </w:t>
      </w:r>
      <w:r w:rsidR="00A372F4" w:rsidRPr="00963A27">
        <w:rPr>
          <w:rFonts w:ascii="Arial" w:hAnsi="Arial" w:cs="Arial"/>
          <w:sz w:val="20"/>
          <w:szCs w:val="20"/>
        </w:rPr>
        <w:t xml:space="preserve">an emerging innovation </w:t>
      </w:r>
      <w:r w:rsidR="00D25F3B" w:rsidRPr="00963A27">
        <w:rPr>
          <w:rFonts w:ascii="Arial" w:hAnsi="Arial" w:cs="Arial"/>
          <w:sz w:val="20"/>
          <w:szCs w:val="20"/>
        </w:rPr>
        <w:t xml:space="preserve">and a </w:t>
      </w:r>
      <w:r w:rsidRPr="00963A27">
        <w:rPr>
          <w:rFonts w:ascii="Arial" w:hAnsi="Arial" w:cs="Arial"/>
          <w:sz w:val="20"/>
          <w:szCs w:val="20"/>
        </w:rPr>
        <w:t>next-generation drug delivery system</w:t>
      </w:r>
      <w:r w:rsidR="00AA6343" w:rsidRPr="00963A27">
        <w:rPr>
          <w:rFonts w:ascii="Arial" w:hAnsi="Arial" w:cs="Arial"/>
          <w:sz w:val="20"/>
          <w:szCs w:val="20"/>
        </w:rPr>
        <w:t>,</w:t>
      </w:r>
      <w:r w:rsidR="005535D2" w:rsidRPr="00963A27">
        <w:rPr>
          <w:rFonts w:ascii="Arial" w:hAnsi="Arial" w:cs="Arial"/>
          <w:sz w:val="20"/>
          <w:szCs w:val="20"/>
        </w:rPr>
        <w:t xml:space="preserve"> </w:t>
      </w:r>
      <w:r w:rsidR="00791B80" w:rsidRPr="00963A27">
        <w:rPr>
          <w:rFonts w:ascii="Arial" w:hAnsi="Arial" w:cs="Arial"/>
          <w:sz w:val="20"/>
          <w:szCs w:val="20"/>
        </w:rPr>
        <w:t xml:space="preserve">designed to </w:t>
      </w:r>
      <w:r w:rsidR="0053203C" w:rsidRPr="00963A27">
        <w:rPr>
          <w:rFonts w:ascii="Arial" w:hAnsi="Arial" w:cs="Arial"/>
          <w:sz w:val="20"/>
          <w:szCs w:val="20"/>
        </w:rPr>
        <w:lastRenderedPageBreak/>
        <w:t>enhance therapeutic efficacy by utilizing rapidly dissolving films that promote quick absorption, leading to improved bioavailability and better therapeutic outcomes</w:t>
      </w:r>
      <w:r w:rsidR="008E6D6C" w:rsidRPr="00963A27">
        <w:rPr>
          <w:rFonts w:ascii="Arial" w:hAnsi="Arial" w:cs="Arial"/>
          <w:sz w:val="20"/>
          <w:szCs w:val="20"/>
        </w:rPr>
        <w:t>.</w:t>
      </w:r>
      <w:r w:rsidR="00A91120" w:rsidRPr="00963A27">
        <w:rPr>
          <w:rFonts w:ascii="Arial" w:hAnsi="Arial" w:cs="Arial"/>
          <w:sz w:val="20"/>
          <w:szCs w:val="20"/>
        </w:rPr>
        <w:t xml:space="preserve"> </w:t>
      </w:r>
    </w:p>
    <w:p w14:paraId="5833DC73" w14:textId="37A67046" w:rsidR="009F177F" w:rsidRPr="00963A27" w:rsidRDefault="001269F7" w:rsidP="00956427">
      <w:pPr>
        <w:spacing w:line="360" w:lineRule="auto"/>
        <w:ind w:left="284"/>
        <w:jc w:val="both"/>
        <w:rPr>
          <w:rFonts w:ascii="Arial" w:hAnsi="Arial" w:cs="Arial"/>
          <w:sz w:val="20"/>
          <w:szCs w:val="20"/>
        </w:rPr>
      </w:pPr>
      <w:r w:rsidRPr="00963A27">
        <w:rPr>
          <w:rFonts w:ascii="Arial" w:hAnsi="Arial" w:cs="Arial"/>
          <w:noProof/>
          <w:sz w:val="20"/>
          <w:szCs w:val="20"/>
        </w:rPr>
        <w:drawing>
          <wp:anchor distT="0" distB="0" distL="114300" distR="114300" simplePos="0" relativeHeight="251658241" behindDoc="0" locked="0" layoutInCell="1" allowOverlap="1" wp14:anchorId="0F8F0540" wp14:editId="5053649E">
            <wp:simplePos x="0" y="0"/>
            <wp:positionH relativeFrom="margin">
              <wp:posOffset>441793</wp:posOffset>
            </wp:positionH>
            <wp:positionV relativeFrom="paragraph">
              <wp:posOffset>3540693</wp:posOffset>
            </wp:positionV>
            <wp:extent cx="5242560" cy="2434590"/>
            <wp:effectExtent l="0" t="0" r="0" b="0"/>
            <wp:wrapTopAndBottom/>
            <wp:docPr id="10" name="Picture 9">
              <a:extLst xmlns:a="http://schemas.openxmlformats.org/drawingml/2006/main">
                <a:ext uri="{FF2B5EF4-FFF2-40B4-BE49-F238E27FC236}">
                  <a16:creationId xmlns:a16="http://schemas.microsoft.com/office/drawing/2014/main" id="{15885750-2D60-0B36-9852-7D5509A66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5885750-2D60-0B36-9852-7D5509A66A4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2560" cy="2434590"/>
                    </a:xfrm>
                    <a:prstGeom prst="rect">
                      <a:avLst/>
                    </a:prstGeom>
                  </pic:spPr>
                </pic:pic>
              </a:graphicData>
            </a:graphic>
            <wp14:sizeRelH relativeFrom="margin">
              <wp14:pctWidth>0</wp14:pctWidth>
            </wp14:sizeRelH>
            <wp14:sizeRelV relativeFrom="margin">
              <wp14:pctHeight>0</wp14:pctHeight>
            </wp14:sizeRelV>
          </wp:anchor>
        </w:drawing>
      </w:r>
      <w:r w:rsidR="00840AAE" w:rsidRPr="00963A27">
        <w:rPr>
          <w:rFonts w:ascii="Arial" w:hAnsi="Arial" w:cs="Arial"/>
          <w:sz w:val="20"/>
          <w:szCs w:val="20"/>
        </w:rPr>
        <w:t xml:space="preserve">Oral wafers are thin, flexible and rapidly disintegrating </w:t>
      </w:r>
      <w:r w:rsidR="00781685" w:rsidRPr="00963A27">
        <w:rPr>
          <w:rFonts w:ascii="Arial" w:hAnsi="Arial" w:cs="Arial"/>
          <w:sz w:val="20"/>
          <w:szCs w:val="20"/>
        </w:rPr>
        <w:t>formulations</w:t>
      </w:r>
      <w:r w:rsidR="00840AAE" w:rsidRPr="00963A27">
        <w:rPr>
          <w:rFonts w:ascii="Arial" w:hAnsi="Arial" w:cs="Arial"/>
          <w:sz w:val="20"/>
          <w:szCs w:val="20"/>
        </w:rPr>
        <w:t xml:space="preserve"> for oral delivery of active pharmaceutical ingredients (APIs). Formulated from hydrophilic polymers, they disintegrate promptly in saliva without the need for water, ensuring effective drug absorption by oral mucosa. </w:t>
      </w:r>
      <w:r w:rsidR="009F3404" w:rsidRPr="00963A27">
        <w:rPr>
          <w:rFonts w:ascii="Arial" w:hAnsi="Arial" w:cs="Arial"/>
          <w:sz w:val="20"/>
          <w:szCs w:val="20"/>
        </w:rPr>
        <w:t>Additionally</w:t>
      </w:r>
      <w:r w:rsidR="007009DE" w:rsidRPr="00963A27">
        <w:rPr>
          <w:rFonts w:ascii="Arial" w:hAnsi="Arial" w:cs="Arial"/>
          <w:sz w:val="20"/>
          <w:szCs w:val="20"/>
        </w:rPr>
        <w:t xml:space="preserve">, these wafers </w:t>
      </w:r>
      <w:r w:rsidR="009F3404" w:rsidRPr="00963A27">
        <w:rPr>
          <w:rFonts w:ascii="Arial" w:hAnsi="Arial" w:cs="Arial"/>
          <w:sz w:val="20"/>
          <w:szCs w:val="20"/>
        </w:rPr>
        <w:t>provide</w:t>
      </w:r>
      <w:r w:rsidR="006762BB" w:rsidRPr="00963A27">
        <w:rPr>
          <w:rFonts w:ascii="Arial" w:hAnsi="Arial" w:cs="Arial"/>
          <w:sz w:val="20"/>
          <w:szCs w:val="20"/>
        </w:rPr>
        <w:t xml:space="preserve"> for </w:t>
      </w:r>
      <w:r w:rsidR="003B397E" w:rsidRPr="00963A27">
        <w:rPr>
          <w:rFonts w:ascii="Arial" w:hAnsi="Arial" w:cs="Arial"/>
          <w:sz w:val="20"/>
          <w:szCs w:val="20"/>
        </w:rPr>
        <w:t>s</w:t>
      </w:r>
      <w:r w:rsidR="00840AAE" w:rsidRPr="00963A27">
        <w:rPr>
          <w:rFonts w:ascii="Arial" w:hAnsi="Arial" w:cs="Arial"/>
          <w:sz w:val="20"/>
          <w:szCs w:val="20"/>
        </w:rPr>
        <w:t xml:space="preserve">imple administration </w:t>
      </w:r>
      <w:r w:rsidR="00813B13" w:rsidRPr="00963A27">
        <w:rPr>
          <w:rFonts w:ascii="Arial" w:hAnsi="Arial" w:cs="Arial"/>
          <w:sz w:val="20"/>
          <w:szCs w:val="20"/>
        </w:rPr>
        <w:t>making</w:t>
      </w:r>
      <w:r w:rsidR="00840AAE" w:rsidRPr="00963A27">
        <w:rPr>
          <w:rFonts w:ascii="Arial" w:hAnsi="Arial" w:cs="Arial"/>
          <w:sz w:val="20"/>
          <w:szCs w:val="20"/>
        </w:rPr>
        <w:t xml:space="preserve"> them extremely desirable for </w:t>
      </w:r>
      <w:r>
        <w:rPr>
          <w:rFonts w:ascii="Arial" w:hAnsi="Arial" w:cs="Arial"/>
          <w:sz w:val="20"/>
          <w:szCs w:val="20"/>
        </w:rPr>
        <w:t>pediatric</w:t>
      </w:r>
      <w:r w:rsidR="00840AAE" w:rsidRPr="00963A27">
        <w:rPr>
          <w:rFonts w:ascii="Arial" w:hAnsi="Arial" w:cs="Arial"/>
          <w:sz w:val="20"/>
          <w:szCs w:val="20"/>
        </w:rPr>
        <w:t>, geriatric and dysphagic patients with impaired ability to swallow conventional solid dosage forms</w:t>
      </w:r>
      <w:r w:rsidR="00057633" w:rsidRPr="00963A27">
        <w:rPr>
          <w:rFonts w:ascii="Arial" w:hAnsi="Arial" w:cs="Arial"/>
          <w:sz w:val="20"/>
          <w:szCs w:val="20"/>
        </w:rPr>
        <w:t xml:space="preserve"> [2]</w:t>
      </w:r>
      <w:r w:rsidR="00840AAE" w:rsidRPr="00963A27">
        <w:rPr>
          <w:rFonts w:ascii="Arial" w:hAnsi="Arial" w:cs="Arial"/>
          <w:sz w:val="20"/>
          <w:szCs w:val="20"/>
        </w:rPr>
        <w:t>.</w:t>
      </w:r>
      <w:r w:rsidR="00813B13" w:rsidRPr="00963A27">
        <w:rPr>
          <w:rFonts w:ascii="Arial" w:hAnsi="Arial" w:cs="Arial"/>
          <w:sz w:val="20"/>
          <w:szCs w:val="20"/>
        </w:rPr>
        <w:t xml:space="preserve"> </w:t>
      </w:r>
      <w:r w:rsidR="00032A17" w:rsidRPr="00963A27">
        <w:rPr>
          <w:rFonts w:ascii="Arial" w:hAnsi="Arial" w:cs="Arial"/>
          <w:sz w:val="20"/>
          <w:szCs w:val="20"/>
        </w:rPr>
        <w:t xml:space="preserve">Structurally, </w:t>
      </w:r>
      <w:r w:rsidR="00840AAE" w:rsidRPr="00963A27">
        <w:rPr>
          <w:rFonts w:ascii="Arial" w:hAnsi="Arial" w:cs="Arial"/>
          <w:sz w:val="20"/>
          <w:szCs w:val="20"/>
        </w:rPr>
        <w:t xml:space="preserve">Oral wafers </w:t>
      </w:r>
      <w:r w:rsidR="005F7EAB" w:rsidRPr="00963A27">
        <w:rPr>
          <w:rFonts w:ascii="Arial" w:hAnsi="Arial" w:cs="Arial"/>
          <w:sz w:val="20"/>
          <w:szCs w:val="20"/>
        </w:rPr>
        <w:t>are</w:t>
      </w:r>
      <w:r w:rsidR="00032A17" w:rsidRPr="00963A27">
        <w:rPr>
          <w:rFonts w:ascii="Arial" w:hAnsi="Arial" w:cs="Arial"/>
          <w:sz w:val="20"/>
          <w:szCs w:val="20"/>
        </w:rPr>
        <w:t xml:space="preserve"> characterised </w:t>
      </w:r>
      <w:r w:rsidR="00387BD3" w:rsidRPr="00963A27">
        <w:rPr>
          <w:rFonts w:ascii="Arial" w:hAnsi="Arial" w:cs="Arial"/>
          <w:sz w:val="20"/>
          <w:szCs w:val="20"/>
        </w:rPr>
        <w:t xml:space="preserve">by their </w:t>
      </w:r>
      <w:r w:rsidR="00032A17" w:rsidRPr="00963A27">
        <w:rPr>
          <w:rFonts w:ascii="Arial" w:hAnsi="Arial" w:cs="Arial"/>
          <w:sz w:val="20"/>
          <w:szCs w:val="20"/>
        </w:rPr>
        <w:t>porous nature</w:t>
      </w:r>
      <w:r w:rsidR="009F3404" w:rsidRPr="00963A27">
        <w:rPr>
          <w:rFonts w:ascii="Arial" w:hAnsi="Arial" w:cs="Arial"/>
          <w:sz w:val="20"/>
          <w:szCs w:val="20"/>
        </w:rPr>
        <w:t xml:space="preserve">, </w:t>
      </w:r>
      <w:r w:rsidR="005D6187" w:rsidRPr="00963A27">
        <w:rPr>
          <w:rFonts w:ascii="Arial" w:hAnsi="Arial" w:cs="Arial"/>
          <w:sz w:val="20"/>
          <w:szCs w:val="20"/>
        </w:rPr>
        <w:t>(</w:t>
      </w:r>
      <w:r w:rsidR="00A443A4" w:rsidRPr="00963A27">
        <w:rPr>
          <w:rFonts w:ascii="Arial" w:hAnsi="Arial" w:cs="Arial"/>
          <w:sz w:val="20"/>
          <w:szCs w:val="20"/>
        </w:rPr>
        <w:t xml:space="preserve">as depicted in </w:t>
      </w:r>
      <w:r w:rsidR="00F009C3" w:rsidRPr="00963A27">
        <w:rPr>
          <w:rFonts w:ascii="Arial" w:hAnsi="Arial" w:cs="Arial"/>
          <w:sz w:val="20"/>
          <w:szCs w:val="20"/>
        </w:rPr>
        <w:t xml:space="preserve">Figure </w:t>
      </w:r>
      <w:r w:rsidR="009F3404" w:rsidRPr="00963A27">
        <w:rPr>
          <w:rFonts w:ascii="Arial" w:hAnsi="Arial" w:cs="Arial"/>
          <w:sz w:val="20"/>
          <w:szCs w:val="20"/>
        </w:rPr>
        <w:t>1</w:t>
      </w:r>
      <w:r w:rsidR="005D6187" w:rsidRPr="00963A27">
        <w:rPr>
          <w:rFonts w:ascii="Arial" w:hAnsi="Arial" w:cs="Arial"/>
          <w:sz w:val="20"/>
          <w:szCs w:val="20"/>
        </w:rPr>
        <w:t>)</w:t>
      </w:r>
      <w:r w:rsidR="00032A17" w:rsidRPr="00963A27">
        <w:rPr>
          <w:rFonts w:ascii="Arial" w:hAnsi="Arial" w:cs="Arial"/>
          <w:sz w:val="20"/>
          <w:szCs w:val="20"/>
        </w:rPr>
        <w:t xml:space="preserve"> </w:t>
      </w:r>
      <w:r w:rsidR="00387BD3" w:rsidRPr="00963A27">
        <w:rPr>
          <w:rFonts w:ascii="Arial" w:hAnsi="Arial" w:cs="Arial"/>
          <w:sz w:val="20"/>
          <w:szCs w:val="20"/>
        </w:rPr>
        <w:t>that</w:t>
      </w:r>
      <w:r w:rsidR="00032A17" w:rsidRPr="00963A27">
        <w:rPr>
          <w:rFonts w:ascii="Arial" w:hAnsi="Arial" w:cs="Arial"/>
          <w:sz w:val="20"/>
          <w:szCs w:val="20"/>
        </w:rPr>
        <w:t xml:space="preserve"> </w:t>
      </w:r>
      <w:r w:rsidR="00387BD3" w:rsidRPr="00963A27">
        <w:rPr>
          <w:rFonts w:ascii="Arial" w:hAnsi="Arial" w:cs="Arial"/>
          <w:sz w:val="20"/>
          <w:szCs w:val="20"/>
        </w:rPr>
        <w:t>has a marked effect on</w:t>
      </w:r>
      <w:r w:rsidR="00840AAE" w:rsidRPr="00963A27">
        <w:rPr>
          <w:rFonts w:ascii="Arial" w:hAnsi="Arial" w:cs="Arial"/>
          <w:sz w:val="20"/>
          <w:szCs w:val="20"/>
        </w:rPr>
        <w:t xml:space="preserve"> drug delivery </w:t>
      </w:r>
      <w:r w:rsidR="00387BD3" w:rsidRPr="00963A27">
        <w:rPr>
          <w:rFonts w:ascii="Arial" w:hAnsi="Arial" w:cs="Arial"/>
          <w:sz w:val="20"/>
          <w:szCs w:val="20"/>
        </w:rPr>
        <w:t>properties</w:t>
      </w:r>
      <w:r w:rsidR="00840AAE" w:rsidRPr="00963A27">
        <w:rPr>
          <w:rFonts w:ascii="Arial" w:hAnsi="Arial" w:cs="Arial"/>
          <w:sz w:val="20"/>
          <w:szCs w:val="20"/>
        </w:rPr>
        <w:t>. Micro-</w:t>
      </w:r>
      <w:r w:rsidR="00AC06C2" w:rsidRPr="00963A27">
        <w:rPr>
          <w:rFonts w:ascii="Arial" w:hAnsi="Arial" w:cs="Arial"/>
          <w:sz w:val="20"/>
          <w:szCs w:val="20"/>
        </w:rPr>
        <w:t>scale</w:t>
      </w:r>
      <w:r w:rsidR="00840AAE" w:rsidRPr="00963A27">
        <w:rPr>
          <w:rFonts w:ascii="Arial" w:hAnsi="Arial" w:cs="Arial"/>
          <w:sz w:val="20"/>
          <w:szCs w:val="20"/>
        </w:rPr>
        <w:t xml:space="preserve"> and nano-scale pores enhance disintegration by </w:t>
      </w:r>
      <w:r w:rsidR="00BB37D0" w:rsidRPr="00963A27">
        <w:rPr>
          <w:rFonts w:ascii="Arial" w:hAnsi="Arial" w:cs="Arial"/>
          <w:sz w:val="20"/>
          <w:szCs w:val="20"/>
        </w:rPr>
        <w:t>providing</w:t>
      </w:r>
      <w:r w:rsidR="00840AAE" w:rsidRPr="00963A27">
        <w:rPr>
          <w:rFonts w:ascii="Arial" w:hAnsi="Arial" w:cs="Arial"/>
          <w:sz w:val="20"/>
          <w:szCs w:val="20"/>
        </w:rPr>
        <w:t xml:space="preserve"> more surface area to act with saliva. The </w:t>
      </w:r>
      <w:r w:rsidR="001E2A80" w:rsidRPr="00963A27">
        <w:rPr>
          <w:rFonts w:ascii="Arial" w:hAnsi="Arial" w:cs="Arial"/>
          <w:sz w:val="20"/>
          <w:szCs w:val="20"/>
        </w:rPr>
        <w:t>wafer</w:t>
      </w:r>
      <w:r w:rsidR="00840AAE" w:rsidRPr="00963A27">
        <w:rPr>
          <w:rFonts w:ascii="Arial" w:hAnsi="Arial" w:cs="Arial"/>
          <w:sz w:val="20"/>
          <w:szCs w:val="20"/>
        </w:rPr>
        <w:t xml:space="preserve"> matrix, often composed of</w:t>
      </w:r>
      <w:r w:rsidR="007A461B" w:rsidRPr="00963A27">
        <w:rPr>
          <w:rFonts w:ascii="Arial" w:hAnsi="Arial" w:cs="Arial"/>
          <w:sz w:val="20"/>
          <w:szCs w:val="20"/>
        </w:rPr>
        <w:t xml:space="preserve"> </w:t>
      </w:r>
      <w:r w:rsidR="001E2A80" w:rsidRPr="00963A27">
        <w:rPr>
          <w:rFonts w:ascii="Arial" w:hAnsi="Arial" w:cs="Arial"/>
          <w:sz w:val="20"/>
          <w:szCs w:val="20"/>
        </w:rPr>
        <w:t>polymers such as</w:t>
      </w:r>
      <w:r w:rsidR="00840AAE" w:rsidRPr="00963A27">
        <w:rPr>
          <w:rFonts w:ascii="Arial" w:hAnsi="Arial" w:cs="Arial"/>
          <w:sz w:val="20"/>
          <w:szCs w:val="20"/>
        </w:rPr>
        <w:t xml:space="preserve"> hydroxypropyl methylcellulose (HPMC), polyvinyl alcohol (PVA), or sodium alginate, provides strength and facilitates rapid dissolution</w:t>
      </w:r>
      <w:r w:rsidR="00BE3FCF" w:rsidRPr="00963A27">
        <w:rPr>
          <w:rFonts w:ascii="Arial" w:hAnsi="Arial" w:cs="Arial"/>
          <w:sz w:val="20"/>
          <w:szCs w:val="20"/>
        </w:rPr>
        <w:t xml:space="preserve"> of formulation</w:t>
      </w:r>
      <w:r w:rsidR="00E86E0A" w:rsidRPr="00963A27">
        <w:rPr>
          <w:rFonts w:ascii="Arial" w:hAnsi="Arial" w:cs="Arial"/>
          <w:sz w:val="20"/>
          <w:szCs w:val="20"/>
        </w:rPr>
        <w:t xml:space="preserve"> in saliva</w:t>
      </w:r>
      <w:r w:rsidR="00840AAE" w:rsidRPr="00963A27">
        <w:rPr>
          <w:rFonts w:ascii="Arial" w:hAnsi="Arial" w:cs="Arial"/>
          <w:sz w:val="20"/>
          <w:szCs w:val="20"/>
        </w:rPr>
        <w:t xml:space="preserve">. </w:t>
      </w:r>
      <w:r w:rsidR="0036638E" w:rsidRPr="00963A27">
        <w:rPr>
          <w:rFonts w:ascii="Arial" w:hAnsi="Arial" w:cs="Arial"/>
          <w:sz w:val="20"/>
          <w:szCs w:val="20"/>
        </w:rPr>
        <w:t>And the</w:t>
      </w:r>
      <w:r w:rsidR="00840AAE" w:rsidRPr="00963A27">
        <w:rPr>
          <w:rFonts w:ascii="Arial" w:hAnsi="Arial" w:cs="Arial"/>
          <w:sz w:val="20"/>
          <w:szCs w:val="20"/>
        </w:rPr>
        <w:t xml:space="preserve"> porous network in the matrix facilitates salivary penetration, providing fast</w:t>
      </w:r>
      <w:r w:rsidR="001E2A80" w:rsidRPr="00963A27">
        <w:rPr>
          <w:rFonts w:ascii="Arial" w:hAnsi="Arial" w:cs="Arial"/>
          <w:sz w:val="20"/>
          <w:szCs w:val="20"/>
        </w:rPr>
        <w:t>er</w:t>
      </w:r>
      <w:r w:rsidR="00840AAE" w:rsidRPr="00963A27">
        <w:rPr>
          <w:rFonts w:ascii="Arial" w:hAnsi="Arial" w:cs="Arial"/>
          <w:sz w:val="20"/>
          <w:szCs w:val="20"/>
        </w:rPr>
        <w:t xml:space="preserve"> hydration and </w:t>
      </w:r>
      <w:r w:rsidR="003E0D8C" w:rsidRPr="00963A27">
        <w:rPr>
          <w:rFonts w:ascii="Arial" w:hAnsi="Arial" w:cs="Arial"/>
          <w:sz w:val="20"/>
          <w:szCs w:val="20"/>
        </w:rPr>
        <w:t xml:space="preserve">eventually </w:t>
      </w:r>
      <w:r w:rsidR="00840AAE" w:rsidRPr="00963A27">
        <w:rPr>
          <w:rFonts w:ascii="Arial" w:hAnsi="Arial" w:cs="Arial"/>
          <w:sz w:val="20"/>
          <w:szCs w:val="20"/>
        </w:rPr>
        <w:t xml:space="preserve">drug release. Besides, the drug may be </w:t>
      </w:r>
      <w:r w:rsidR="00E86E0A" w:rsidRPr="00963A27">
        <w:rPr>
          <w:rFonts w:ascii="Arial" w:hAnsi="Arial" w:cs="Arial"/>
          <w:sz w:val="20"/>
          <w:szCs w:val="20"/>
        </w:rPr>
        <w:t xml:space="preserve">uniformly </w:t>
      </w:r>
      <w:r w:rsidR="00840AAE" w:rsidRPr="00963A27">
        <w:rPr>
          <w:rFonts w:ascii="Arial" w:hAnsi="Arial" w:cs="Arial"/>
          <w:sz w:val="20"/>
          <w:szCs w:val="20"/>
        </w:rPr>
        <w:t xml:space="preserve">distributed in the wafer or encapsulated within nanoparticles or lipid carriers dispersed within the porous matrix to modify the release profile. The porous nature </w:t>
      </w:r>
      <w:r w:rsidR="001E2A80" w:rsidRPr="00963A27">
        <w:rPr>
          <w:rFonts w:ascii="Arial" w:hAnsi="Arial" w:cs="Arial"/>
          <w:sz w:val="20"/>
          <w:szCs w:val="20"/>
        </w:rPr>
        <w:t>also</w:t>
      </w:r>
      <w:r w:rsidR="00155050" w:rsidRPr="00963A27">
        <w:rPr>
          <w:rFonts w:ascii="Arial" w:hAnsi="Arial" w:cs="Arial"/>
          <w:sz w:val="20"/>
          <w:szCs w:val="20"/>
        </w:rPr>
        <w:t xml:space="preserve"> </w:t>
      </w:r>
      <w:r w:rsidR="00840AAE" w:rsidRPr="00963A27">
        <w:rPr>
          <w:rFonts w:ascii="Arial" w:hAnsi="Arial" w:cs="Arial"/>
          <w:sz w:val="20"/>
          <w:szCs w:val="20"/>
        </w:rPr>
        <w:t>allows for</w:t>
      </w:r>
      <w:r w:rsidR="00155050" w:rsidRPr="00963A27">
        <w:rPr>
          <w:rFonts w:ascii="Arial" w:hAnsi="Arial" w:cs="Arial"/>
          <w:sz w:val="20"/>
          <w:szCs w:val="20"/>
        </w:rPr>
        <w:t xml:space="preserve"> a</w:t>
      </w:r>
      <w:r w:rsidR="00840AAE" w:rsidRPr="00963A27">
        <w:rPr>
          <w:rFonts w:ascii="Arial" w:hAnsi="Arial" w:cs="Arial"/>
          <w:sz w:val="20"/>
          <w:szCs w:val="20"/>
        </w:rPr>
        <w:t xml:space="preserve"> quick onset of action</w:t>
      </w:r>
      <w:r w:rsidR="00155050" w:rsidRPr="00963A27">
        <w:rPr>
          <w:rFonts w:ascii="Arial" w:hAnsi="Arial" w:cs="Arial"/>
          <w:sz w:val="20"/>
          <w:szCs w:val="20"/>
        </w:rPr>
        <w:t xml:space="preserve"> thereby</w:t>
      </w:r>
      <w:r w:rsidR="00840AAE" w:rsidRPr="00963A27">
        <w:rPr>
          <w:rFonts w:ascii="Arial" w:hAnsi="Arial" w:cs="Arial"/>
          <w:sz w:val="20"/>
          <w:szCs w:val="20"/>
        </w:rPr>
        <w:t xml:space="preserve"> enhanced bioavailability and enhanced patient compliance, and hence oral wafers become a viable choice in comparison to traditional solid dosage forms</w:t>
      </w:r>
      <w:r w:rsidR="00A255B6" w:rsidRPr="00963A27">
        <w:rPr>
          <w:rFonts w:ascii="Arial" w:hAnsi="Arial" w:cs="Arial"/>
          <w:sz w:val="20"/>
          <w:szCs w:val="20"/>
        </w:rPr>
        <w:t xml:space="preserve"> </w:t>
      </w:r>
      <w:r w:rsidR="00CE0669" w:rsidRPr="00963A27">
        <w:rPr>
          <w:rFonts w:ascii="Arial" w:hAnsi="Arial" w:cs="Arial"/>
          <w:sz w:val="20"/>
          <w:szCs w:val="20"/>
        </w:rPr>
        <w:t>[3]</w:t>
      </w:r>
      <w:r w:rsidR="00840AAE" w:rsidRPr="00963A27">
        <w:rPr>
          <w:rFonts w:ascii="Arial" w:hAnsi="Arial" w:cs="Arial"/>
          <w:sz w:val="20"/>
          <w:szCs w:val="20"/>
        </w:rPr>
        <w:t>.</w:t>
      </w:r>
      <w:r w:rsidR="00476330" w:rsidRPr="00963A27">
        <w:rPr>
          <w:rFonts w:ascii="Arial" w:hAnsi="Arial" w:cs="Arial"/>
          <w:sz w:val="20"/>
          <w:szCs w:val="20"/>
        </w:rPr>
        <w:t xml:space="preserve"> </w:t>
      </w:r>
    </w:p>
    <w:p w14:paraId="4543EA2F" w14:textId="6D46E7F2" w:rsidR="00963A27" w:rsidRDefault="00963A27" w:rsidP="00956427">
      <w:pPr>
        <w:spacing w:line="360" w:lineRule="auto"/>
        <w:jc w:val="both"/>
        <w:rPr>
          <w:rFonts w:ascii="Arial" w:hAnsi="Arial" w:cs="Arial"/>
          <w:b/>
          <w:bCs/>
          <w:sz w:val="20"/>
          <w:szCs w:val="20"/>
        </w:rPr>
      </w:pPr>
    </w:p>
    <w:p w14:paraId="39D6EBC9" w14:textId="724CEE78" w:rsidR="00234B32" w:rsidRPr="00963A27" w:rsidRDefault="009F6496" w:rsidP="00956427">
      <w:pPr>
        <w:spacing w:line="360" w:lineRule="auto"/>
        <w:ind w:left="284"/>
        <w:jc w:val="center"/>
        <w:rPr>
          <w:rFonts w:ascii="Arial" w:hAnsi="Arial" w:cs="Arial"/>
          <w:sz w:val="20"/>
          <w:szCs w:val="20"/>
        </w:rPr>
      </w:pPr>
      <w:r w:rsidRPr="00963A27">
        <w:rPr>
          <w:rFonts w:ascii="Arial" w:hAnsi="Arial" w:cs="Arial"/>
          <w:b/>
          <w:bCs/>
          <w:sz w:val="20"/>
          <w:szCs w:val="20"/>
        </w:rPr>
        <w:t>Figure 1: Porous polymeric matrix structure. The left section illustrates a 3D porous network, while the right section depicts schematic representations of the polymeric matrix organization</w:t>
      </w:r>
    </w:p>
    <w:p w14:paraId="5A42B38F" w14:textId="2592FCFB" w:rsidR="00EC79FE" w:rsidRPr="00963A27" w:rsidRDefault="001579FF" w:rsidP="00956427">
      <w:pPr>
        <w:spacing w:line="360" w:lineRule="auto"/>
        <w:ind w:left="284"/>
        <w:jc w:val="both"/>
        <w:rPr>
          <w:rFonts w:ascii="Arial" w:hAnsi="Arial" w:cs="Arial"/>
          <w:sz w:val="20"/>
          <w:szCs w:val="20"/>
        </w:rPr>
      </w:pPr>
      <w:r w:rsidRPr="00963A27">
        <w:rPr>
          <w:rFonts w:ascii="Arial" w:hAnsi="Arial" w:cs="Arial"/>
          <w:sz w:val="20"/>
          <w:szCs w:val="20"/>
        </w:rPr>
        <w:t xml:space="preserve">Clinical surveys have shown that about 8% of patients miss doses and 4% abandon therapy due to </w:t>
      </w:r>
      <w:r w:rsidR="0001285C" w:rsidRPr="00963A27">
        <w:rPr>
          <w:rFonts w:ascii="Arial" w:hAnsi="Arial" w:cs="Arial"/>
          <w:sz w:val="20"/>
          <w:szCs w:val="20"/>
        </w:rPr>
        <w:t>challenges</w:t>
      </w:r>
      <w:r w:rsidRPr="00963A27">
        <w:rPr>
          <w:rFonts w:ascii="Arial" w:hAnsi="Arial" w:cs="Arial"/>
          <w:sz w:val="20"/>
          <w:szCs w:val="20"/>
        </w:rPr>
        <w:t xml:space="preserve"> to swallow </w:t>
      </w:r>
      <w:r w:rsidR="0001285C" w:rsidRPr="00963A27">
        <w:rPr>
          <w:rFonts w:ascii="Arial" w:hAnsi="Arial" w:cs="Arial"/>
          <w:sz w:val="20"/>
          <w:szCs w:val="20"/>
        </w:rPr>
        <w:t>solid dosage forms</w:t>
      </w:r>
      <w:r w:rsidRPr="00963A27">
        <w:rPr>
          <w:rFonts w:ascii="Arial" w:hAnsi="Arial" w:cs="Arial"/>
          <w:sz w:val="20"/>
          <w:szCs w:val="20"/>
        </w:rPr>
        <w:t xml:space="preserve">. Moreover, patient distaste for injectable drugs further restricts compliance </w:t>
      </w:r>
      <w:r w:rsidR="009E3D52" w:rsidRPr="00963A27">
        <w:rPr>
          <w:rFonts w:ascii="Arial" w:hAnsi="Arial" w:cs="Arial"/>
          <w:sz w:val="20"/>
          <w:szCs w:val="20"/>
        </w:rPr>
        <w:t>[2].</w:t>
      </w:r>
      <w:r w:rsidR="00791B80" w:rsidRPr="00963A27">
        <w:rPr>
          <w:rFonts w:ascii="Arial" w:hAnsi="Arial" w:cs="Arial"/>
          <w:sz w:val="20"/>
          <w:szCs w:val="20"/>
        </w:rPr>
        <w:t xml:space="preserve"> </w:t>
      </w:r>
      <w:r w:rsidR="00454D06" w:rsidRPr="00963A27">
        <w:rPr>
          <w:rFonts w:ascii="Arial" w:hAnsi="Arial" w:cs="Arial"/>
          <w:sz w:val="20"/>
          <w:szCs w:val="20"/>
        </w:rPr>
        <w:t>In addition</w:t>
      </w:r>
      <w:r w:rsidR="006B068F" w:rsidRPr="00963A27">
        <w:rPr>
          <w:rFonts w:ascii="Arial" w:hAnsi="Arial" w:cs="Arial"/>
          <w:sz w:val="20"/>
          <w:szCs w:val="20"/>
        </w:rPr>
        <w:t>, oral wafers</w:t>
      </w:r>
      <w:r w:rsidR="00791B80" w:rsidRPr="00963A27">
        <w:rPr>
          <w:rFonts w:ascii="Arial" w:hAnsi="Arial" w:cs="Arial"/>
          <w:sz w:val="20"/>
          <w:szCs w:val="20"/>
        </w:rPr>
        <w:t xml:space="preserve"> provide an innovative solution by enabling drug delivery through the oral mucosa,</w:t>
      </w:r>
      <w:r w:rsidR="003412A2" w:rsidRPr="00963A27">
        <w:rPr>
          <w:rFonts w:ascii="Arial" w:hAnsi="Arial" w:cs="Arial"/>
          <w:sz w:val="20"/>
          <w:szCs w:val="20"/>
        </w:rPr>
        <w:t xml:space="preserve"> which helps in</w:t>
      </w:r>
      <w:r w:rsidR="00791B80" w:rsidRPr="00963A27">
        <w:rPr>
          <w:rFonts w:ascii="Arial" w:hAnsi="Arial" w:cs="Arial"/>
          <w:sz w:val="20"/>
          <w:szCs w:val="20"/>
        </w:rPr>
        <w:t xml:space="preserve"> bypassing first-pass metabolism and </w:t>
      </w:r>
      <w:r w:rsidR="00A606DC" w:rsidRPr="00963A27">
        <w:rPr>
          <w:rFonts w:ascii="Arial" w:hAnsi="Arial" w:cs="Arial"/>
          <w:sz w:val="20"/>
          <w:szCs w:val="20"/>
        </w:rPr>
        <w:t>preventing gastric degradation of the drug</w:t>
      </w:r>
      <w:r w:rsidR="00CC70C0" w:rsidRPr="00963A27">
        <w:rPr>
          <w:rFonts w:ascii="Arial" w:hAnsi="Arial" w:cs="Arial"/>
          <w:sz w:val="20"/>
          <w:szCs w:val="20"/>
        </w:rPr>
        <w:t xml:space="preserve"> [4]</w:t>
      </w:r>
      <w:r w:rsidR="009F4B73" w:rsidRPr="00963A27">
        <w:rPr>
          <w:rFonts w:ascii="Arial" w:hAnsi="Arial" w:cs="Arial"/>
          <w:sz w:val="20"/>
          <w:szCs w:val="20"/>
        </w:rPr>
        <w:t>. Thereby, allowing t</w:t>
      </w:r>
      <w:r w:rsidR="00435470" w:rsidRPr="00963A27">
        <w:rPr>
          <w:rFonts w:ascii="Arial" w:hAnsi="Arial" w:cs="Arial"/>
          <w:sz w:val="20"/>
          <w:szCs w:val="20"/>
        </w:rPr>
        <w:t>hese formulations</w:t>
      </w:r>
      <w:r w:rsidR="009F4B73" w:rsidRPr="00963A27">
        <w:rPr>
          <w:rFonts w:ascii="Arial" w:hAnsi="Arial" w:cs="Arial"/>
          <w:sz w:val="20"/>
          <w:szCs w:val="20"/>
        </w:rPr>
        <w:t xml:space="preserve"> to</w:t>
      </w:r>
      <w:r w:rsidR="00435470" w:rsidRPr="00963A27">
        <w:rPr>
          <w:rFonts w:ascii="Arial" w:hAnsi="Arial" w:cs="Arial"/>
          <w:sz w:val="20"/>
          <w:szCs w:val="20"/>
        </w:rPr>
        <w:t xml:space="preserve"> offer rapid onset of action and improved </w:t>
      </w:r>
      <w:r w:rsidR="00D2627C" w:rsidRPr="00963A27">
        <w:rPr>
          <w:rFonts w:ascii="Arial" w:hAnsi="Arial" w:cs="Arial"/>
          <w:sz w:val="20"/>
          <w:szCs w:val="20"/>
        </w:rPr>
        <w:t>drug absorption</w:t>
      </w:r>
      <w:r w:rsidR="00435470" w:rsidRPr="00963A27">
        <w:rPr>
          <w:rFonts w:ascii="Arial" w:hAnsi="Arial" w:cs="Arial"/>
          <w:sz w:val="20"/>
          <w:szCs w:val="20"/>
        </w:rPr>
        <w:t xml:space="preserve">. However, drug absorption via oral wafers depends on multiple </w:t>
      </w:r>
      <w:r w:rsidR="00435470" w:rsidRPr="00963A27">
        <w:rPr>
          <w:rFonts w:ascii="Arial" w:hAnsi="Arial" w:cs="Arial"/>
          <w:sz w:val="20"/>
          <w:szCs w:val="20"/>
        </w:rPr>
        <w:lastRenderedPageBreak/>
        <w:t>physicochemical factors, including molecular size, enzymatic stability, hydrophobicity</w:t>
      </w:r>
      <w:r w:rsidR="00763600" w:rsidRPr="00963A27">
        <w:rPr>
          <w:rFonts w:ascii="Arial" w:hAnsi="Arial" w:cs="Arial"/>
          <w:sz w:val="20"/>
          <w:szCs w:val="20"/>
        </w:rPr>
        <w:t xml:space="preserve"> </w:t>
      </w:r>
      <w:r w:rsidR="00435470" w:rsidRPr="00963A27">
        <w:rPr>
          <w:rFonts w:ascii="Arial" w:hAnsi="Arial" w:cs="Arial"/>
          <w:sz w:val="20"/>
          <w:szCs w:val="20"/>
        </w:rPr>
        <w:t>and the specific site of drug delivery within the oral cavity</w:t>
      </w:r>
      <w:r w:rsidR="00127F30" w:rsidRPr="00963A27">
        <w:rPr>
          <w:rFonts w:ascii="Arial" w:hAnsi="Arial" w:cs="Arial"/>
          <w:sz w:val="20"/>
          <w:szCs w:val="20"/>
        </w:rPr>
        <w:t xml:space="preserve"> </w:t>
      </w:r>
      <w:r w:rsidR="001678E2" w:rsidRPr="00963A27">
        <w:rPr>
          <w:rFonts w:ascii="Arial" w:hAnsi="Arial" w:cs="Arial"/>
          <w:sz w:val="20"/>
          <w:szCs w:val="20"/>
        </w:rPr>
        <w:t>[5]</w:t>
      </w:r>
      <w:r w:rsidR="00221C8D" w:rsidRPr="00963A27">
        <w:rPr>
          <w:rFonts w:ascii="Arial" w:hAnsi="Arial" w:cs="Arial"/>
          <w:sz w:val="20"/>
          <w:szCs w:val="20"/>
        </w:rPr>
        <w:t>[6]</w:t>
      </w:r>
      <w:r w:rsidR="00331D95" w:rsidRPr="00963A27">
        <w:rPr>
          <w:rFonts w:ascii="Arial" w:hAnsi="Arial" w:cs="Arial"/>
          <w:sz w:val="20"/>
          <w:szCs w:val="20"/>
        </w:rPr>
        <w:t>. FDA suggests,</w:t>
      </w:r>
      <w:r w:rsidR="0001040B" w:rsidRPr="00963A27">
        <w:rPr>
          <w:rFonts w:ascii="Arial" w:hAnsi="Arial" w:cs="Arial"/>
          <w:sz w:val="20"/>
          <w:szCs w:val="20"/>
        </w:rPr>
        <w:t xml:space="preserve"> any type of</w:t>
      </w:r>
      <w:r w:rsidR="00331D95" w:rsidRPr="00963A27">
        <w:rPr>
          <w:rFonts w:ascii="Arial" w:hAnsi="Arial" w:cs="Arial"/>
          <w:sz w:val="20"/>
          <w:szCs w:val="20"/>
        </w:rPr>
        <w:t xml:space="preserve"> </w:t>
      </w:r>
      <w:r w:rsidR="0001040B" w:rsidRPr="00963A27">
        <w:rPr>
          <w:rFonts w:ascii="Arial" w:hAnsi="Arial" w:cs="Arial"/>
          <w:sz w:val="20"/>
          <w:szCs w:val="20"/>
        </w:rPr>
        <w:t>orodispersible films</w:t>
      </w:r>
      <w:r w:rsidR="00331D95" w:rsidRPr="00963A27">
        <w:rPr>
          <w:rFonts w:ascii="Arial" w:hAnsi="Arial" w:cs="Arial"/>
          <w:sz w:val="20"/>
          <w:szCs w:val="20"/>
        </w:rPr>
        <w:t xml:space="preserve"> must be weigh up to 500 mg and breakdown within 30 seconds. Among them, wafers are highly porous solid matrix, obtained with the help of freeze-drying of polymer gels or suspensions, usually between 3 mm in thickness and 9×12 mm in dimension</w:t>
      </w:r>
      <w:r w:rsidR="00CD10D8" w:rsidRPr="00963A27">
        <w:rPr>
          <w:rFonts w:ascii="Arial" w:hAnsi="Arial" w:cs="Arial"/>
          <w:sz w:val="20"/>
          <w:szCs w:val="20"/>
        </w:rPr>
        <w:t xml:space="preserve"> [2][</w:t>
      </w:r>
      <w:r w:rsidR="00AF0943" w:rsidRPr="00963A27">
        <w:rPr>
          <w:rFonts w:ascii="Arial" w:hAnsi="Arial" w:cs="Arial"/>
          <w:sz w:val="20"/>
          <w:szCs w:val="20"/>
        </w:rPr>
        <w:t>6]</w:t>
      </w:r>
      <w:r w:rsidR="0033363B" w:rsidRPr="00963A27">
        <w:rPr>
          <w:rFonts w:ascii="Arial" w:hAnsi="Arial" w:cs="Arial"/>
          <w:sz w:val="20"/>
          <w:szCs w:val="20"/>
        </w:rPr>
        <w:t>.</w:t>
      </w:r>
    </w:p>
    <w:p w14:paraId="0814B29A" w14:textId="6F0EC498" w:rsidR="009F4B73" w:rsidRPr="00963A27" w:rsidRDefault="009F4B73" w:rsidP="00956427">
      <w:pPr>
        <w:spacing w:line="360" w:lineRule="auto"/>
        <w:ind w:left="284"/>
        <w:jc w:val="both"/>
        <w:rPr>
          <w:rFonts w:ascii="Arial" w:hAnsi="Arial" w:cs="Arial"/>
          <w:sz w:val="20"/>
          <w:szCs w:val="20"/>
        </w:rPr>
      </w:pPr>
      <w:r w:rsidRPr="00963A27">
        <w:rPr>
          <w:rFonts w:ascii="Arial" w:hAnsi="Arial" w:cs="Arial"/>
          <w:sz w:val="20"/>
          <w:szCs w:val="20"/>
        </w:rPr>
        <w:t>Another advantage of oral wafers lies in their precise dosing capability, ensuring consistent drug delivery with minimal risk of dose variation. Unlike liquid formulations, which may require careful measurement</w:t>
      </w:r>
      <w:r w:rsidR="003412A2" w:rsidRPr="00963A27">
        <w:rPr>
          <w:rFonts w:ascii="Arial" w:hAnsi="Arial" w:cs="Arial"/>
          <w:sz w:val="20"/>
          <w:szCs w:val="20"/>
        </w:rPr>
        <w:t xml:space="preserve"> of dose</w:t>
      </w:r>
      <w:r w:rsidRPr="00963A27">
        <w:rPr>
          <w:rFonts w:ascii="Arial" w:hAnsi="Arial" w:cs="Arial"/>
          <w:sz w:val="20"/>
          <w:szCs w:val="20"/>
        </w:rPr>
        <w:t>, wafers provide a pre-measured dose that eliminates dosing errors, further enhancing treatment efficacy. Their thin, flexible, and lightweight nature also makes them highly convenient to store and transport, reducing the risk of breakage associated with conventional solid dosage forms</w:t>
      </w:r>
      <w:r w:rsidR="003D58BA" w:rsidRPr="00963A27">
        <w:rPr>
          <w:rFonts w:ascii="Arial" w:hAnsi="Arial" w:cs="Arial"/>
          <w:sz w:val="20"/>
          <w:szCs w:val="20"/>
        </w:rPr>
        <w:t xml:space="preserve"> [5]</w:t>
      </w:r>
      <w:r w:rsidR="00AD3D87" w:rsidRPr="00963A27">
        <w:rPr>
          <w:rFonts w:ascii="Arial" w:hAnsi="Arial" w:cs="Arial"/>
          <w:sz w:val="20"/>
          <w:szCs w:val="20"/>
        </w:rPr>
        <w:t>[</w:t>
      </w:r>
      <w:r w:rsidR="003742C4" w:rsidRPr="00963A27">
        <w:rPr>
          <w:rFonts w:ascii="Arial" w:hAnsi="Arial" w:cs="Arial"/>
          <w:sz w:val="20"/>
          <w:szCs w:val="20"/>
        </w:rPr>
        <w:t>7</w:t>
      </w:r>
      <w:r w:rsidR="00AD3D87" w:rsidRPr="00963A27">
        <w:rPr>
          <w:rFonts w:ascii="Arial" w:hAnsi="Arial" w:cs="Arial"/>
          <w:sz w:val="20"/>
          <w:szCs w:val="20"/>
        </w:rPr>
        <w:t>]</w:t>
      </w:r>
      <w:r w:rsidRPr="00963A27">
        <w:rPr>
          <w:rFonts w:ascii="Arial" w:hAnsi="Arial" w:cs="Arial"/>
          <w:sz w:val="20"/>
          <w:szCs w:val="20"/>
        </w:rPr>
        <w:t>. Furthermore, they offer superior stability for moisture-sensitive drugs, particularly lyophilized wafers, which contain lower moisture content compared to oral films and are less susceptible to microbial contamination.</w:t>
      </w:r>
    </w:p>
    <w:p w14:paraId="1D146A28" w14:textId="1F62F266" w:rsidR="009F4B73" w:rsidRPr="00963A27" w:rsidRDefault="009F4B73" w:rsidP="00956427">
      <w:pPr>
        <w:spacing w:line="360" w:lineRule="auto"/>
        <w:ind w:left="284"/>
        <w:jc w:val="both"/>
        <w:rPr>
          <w:rFonts w:ascii="Arial" w:hAnsi="Arial" w:cs="Arial"/>
          <w:sz w:val="20"/>
          <w:szCs w:val="20"/>
        </w:rPr>
      </w:pPr>
      <w:r w:rsidRPr="00963A27">
        <w:rPr>
          <w:rFonts w:ascii="Arial" w:hAnsi="Arial" w:cs="Arial"/>
          <w:sz w:val="20"/>
          <w:szCs w:val="20"/>
        </w:rPr>
        <w:t xml:space="preserve">The porous structure of oral wafers allows for enhanced drug loading, which is particularly beneficial for poorly water-soluble drugs that require improved dissolution properties. Additionally, by incorporating taste-masking agents, </w:t>
      </w:r>
      <w:r w:rsidR="000B195B" w:rsidRPr="00963A27">
        <w:rPr>
          <w:rFonts w:ascii="Arial" w:hAnsi="Arial" w:cs="Arial"/>
          <w:sz w:val="20"/>
          <w:szCs w:val="20"/>
        </w:rPr>
        <w:t>flavour</w:t>
      </w:r>
      <w:r w:rsidRPr="00963A27">
        <w:rPr>
          <w:rFonts w:ascii="Arial" w:hAnsi="Arial" w:cs="Arial"/>
          <w:sz w:val="20"/>
          <w:szCs w:val="20"/>
        </w:rPr>
        <w:t xml:space="preserve"> enhancers, and mucoadhesive polymers, wafers can be formulated to improve patient acceptance, ensuring better adherence to prescribed therapy. Their potential for customized drug release profiles—ranging from immediate to sustained release—further adds to their versatility across various therapeutic applications</w:t>
      </w:r>
      <w:r w:rsidR="003742C4" w:rsidRPr="00963A27">
        <w:rPr>
          <w:rFonts w:ascii="Arial" w:hAnsi="Arial" w:cs="Arial"/>
          <w:sz w:val="20"/>
          <w:szCs w:val="20"/>
        </w:rPr>
        <w:t xml:space="preserve"> </w:t>
      </w:r>
      <w:r w:rsidR="00550A06" w:rsidRPr="00963A27">
        <w:rPr>
          <w:rFonts w:ascii="Arial" w:hAnsi="Arial" w:cs="Arial"/>
          <w:sz w:val="20"/>
          <w:szCs w:val="20"/>
        </w:rPr>
        <w:t>[</w:t>
      </w:r>
      <w:r w:rsidR="003742C4" w:rsidRPr="00963A27">
        <w:rPr>
          <w:rFonts w:ascii="Arial" w:hAnsi="Arial" w:cs="Arial"/>
          <w:sz w:val="20"/>
          <w:szCs w:val="20"/>
        </w:rPr>
        <w:t>8</w:t>
      </w:r>
      <w:r w:rsidR="00550A06" w:rsidRPr="00963A27">
        <w:rPr>
          <w:rFonts w:ascii="Arial" w:hAnsi="Arial" w:cs="Arial"/>
          <w:sz w:val="20"/>
          <w:szCs w:val="20"/>
        </w:rPr>
        <w:t>]</w:t>
      </w:r>
      <w:r w:rsidR="003742C4" w:rsidRPr="00963A27">
        <w:rPr>
          <w:rFonts w:ascii="Arial" w:hAnsi="Arial" w:cs="Arial"/>
          <w:sz w:val="20"/>
          <w:szCs w:val="20"/>
        </w:rPr>
        <w:t>.</w:t>
      </w:r>
    </w:p>
    <w:p w14:paraId="33393A74" w14:textId="4C51B553" w:rsidR="009F4B73" w:rsidRPr="00963A27" w:rsidRDefault="009F4B73" w:rsidP="00956427">
      <w:pPr>
        <w:spacing w:line="360" w:lineRule="auto"/>
        <w:ind w:left="284"/>
        <w:jc w:val="both"/>
        <w:rPr>
          <w:rFonts w:ascii="Arial" w:hAnsi="Arial" w:cs="Arial"/>
          <w:sz w:val="20"/>
          <w:szCs w:val="20"/>
        </w:rPr>
      </w:pPr>
      <w:r w:rsidRPr="00963A27">
        <w:rPr>
          <w:rFonts w:ascii="Arial" w:hAnsi="Arial" w:cs="Arial"/>
          <w:sz w:val="20"/>
          <w:szCs w:val="20"/>
        </w:rPr>
        <w:t>Despite these advantages, oral wafers do present some challenges. Their formulation requires careful optimization to balance mechanical strength with rapid disintegration, as an excessively brittle or flexible structure may affect handling and packaging. The cost of manufacturing, particularly for lyophilized wafers, is relatively higher than traditional tablet compression methods, potentially limiting widespread commercial adoption. Furthermore, some drugs may have poor permeability through the oral mucosa, reducing their effectiveness when delivered via this route. Stability concerns related to environmental factors such as humidity and temperature also require specialized packaging solutions to maintain product integrity.</w:t>
      </w:r>
      <w:r w:rsidR="00CD4F67" w:rsidRPr="00963A27">
        <w:rPr>
          <w:rFonts w:ascii="Arial" w:hAnsi="Arial" w:cs="Arial"/>
          <w:sz w:val="20"/>
          <w:szCs w:val="20"/>
        </w:rPr>
        <w:t>[</w:t>
      </w:r>
      <w:r w:rsidR="003742C4" w:rsidRPr="00963A27">
        <w:rPr>
          <w:rFonts w:ascii="Arial" w:hAnsi="Arial" w:cs="Arial"/>
          <w:sz w:val="20"/>
          <w:szCs w:val="20"/>
        </w:rPr>
        <w:t>9</w:t>
      </w:r>
      <w:r w:rsidR="00CD4F67" w:rsidRPr="00963A27">
        <w:rPr>
          <w:rFonts w:ascii="Arial" w:hAnsi="Arial" w:cs="Arial"/>
          <w:sz w:val="20"/>
          <w:szCs w:val="20"/>
        </w:rPr>
        <w:t>]</w:t>
      </w:r>
      <w:r w:rsidR="00974EE4" w:rsidRPr="00963A27">
        <w:rPr>
          <w:rFonts w:ascii="Arial" w:hAnsi="Arial" w:cs="Arial"/>
          <w:sz w:val="20"/>
          <w:szCs w:val="20"/>
        </w:rPr>
        <w:t>[10]</w:t>
      </w:r>
    </w:p>
    <w:p w14:paraId="5CC7807F" w14:textId="5EE0B418" w:rsidR="00435470" w:rsidRPr="00963A27" w:rsidRDefault="009F4B73" w:rsidP="00956427">
      <w:pPr>
        <w:spacing w:line="360" w:lineRule="auto"/>
        <w:ind w:left="284"/>
        <w:jc w:val="both"/>
        <w:rPr>
          <w:rFonts w:ascii="Arial" w:hAnsi="Arial" w:cs="Arial"/>
          <w:sz w:val="20"/>
          <w:szCs w:val="20"/>
        </w:rPr>
      </w:pPr>
      <w:r w:rsidRPr="00963A27">
        <w:rPr>
          <w:rFonts w:ascii="Arial" w:hAnsi="Arial" w:cs="Arial"/>
          <w:sz w:val="20"/>
          <w:szCs w:val="20"/>
        </w:rPr>
        <w:t>Overall, the numerous advantages of oral wafer</w:t>
      </w:r>
      <w:r w:rsidR="007A0E46" w:rsidRPr="00963A27">
        <w:rPr>
          <w:rFonts w:ascii="Arial" w:hAnsi="Arial" w:cs="Arial"/>
          <w:sz w:val="20"/>
          <w:szCs w:val="20"/>
        </w:rPr>
        <w:t>s</w:t>
      </w:r>
      <w:r w:rsidR="004706C1" w:rsidRPr="00963A27">
        <w:rPr>
          <w:rFonts w:ascii="Arial" w:hAnsi="Arial" w:cs="Arial"/>
          <w:sz w:val="20"/>
          <w:szCs w:val="20"/>
        </w:rPr>
        <w:t xml:space="preserve">, </w:t>
      </w:r>
      <w:r w:rsidRPr="00963A27">
        <w:rPr>
          <w:rFonts w:ascii="Arial" w:hAnsi="Arial" w:cs="Arial"/>
          <w:sz w:val="20"/>
          <w:szCs w:val="20"/>
        </w:rPr>
        <w:t>ranging from improved patient compliance and bioavailability to enhanced stability and precise dosing</w:t>
      </w:r>
      <w:r w:rsidR="004706C1" w:rsidRPr="00963A27">
        <w:rPr>
          <w:rFonts w:ascii="Arial" w:hAnsi="Arial" w:cs="Arial"/>
          <w:sz w:val="20"/>
          <w:szCs w:val="20"/>
        </w:rPr>
        <w:t xml:space="preserve"> </w:t>
      </w:r>
      <w:r w:rsidRPr="00963A27">
        <w:rPr>
          <w:rFonts w:ascii="Arial" w:hAnsi="Arial" w:cs="Arial"/>
          <w:sz w:val="20"/>
          <w:szCs w:val="20"/>
        </w:rPr>
        <w:t>make them a valuable alternative to traditional oral drug delivery systems. While certain formulation and manufacturing challenges exist, continued advancements in pharmaceutical technology are likely to further optimize this dosage form, expanding its potential across a wide range of therapeutic areas.</w:t>
      </w:r>
      <w:r w:rsidR="00174241" w:rsidRPr="00963A27">
        <w:rPr>
          <w:rFonts w:ascii="Arial" w:hAnsi="Arial" w:cs="Arial"/>
          <w:sz w:val="20"/>
          <w:szCs w:val="20"/>
        </w:rPr>
        <w:t xml:space="preserve"> G</w:t>
      </w:r>
      <w:r w:rsidR="00435470" w:rsidRPr="00963A27">
        <w:rPr>
          <w:rFonts w:ascii="Arial" w:hAnsi="Arial" w:cs="Arial"/>
          <w:sz w:val="20"/>
          <w:szCs w:val="20"/>
        </w:rPr>
        <w:t>iven their numerous benefits and the limited availability of comprehensive reviews on wafer-based drug delivery systems, this paper aims to explore their formulation strategies, production methods and critical evaluation parameters, highlighting their potential to revolutionize modern pharmaceutical therapeutics.</w:t>
      </w:r>
    </w:p>
    <w:p w14:paraId="08B4D7F4" w14:textId="77777777" w:rsidR="001269F7" w:rsidRDefault="001269F7" w:rsidP="00956427">
      <w:pPr>
        <w:spacing w:line="360" w:lineRule="auto"/>
        <w:ind w:left="284"/>
        <w:jc w:val="both"/>
        <w:rPr>
          <w:rFonts w:ascii="Arial" w:hAnsi="Arial" w:cs="Arial"/>
          <w:sz w:val="20"/>
          <w:szCs w:val="20"/>
        </w:rPr>
      </w:pPr>
    </w:p>
    <w:p w14:paraId="0481376E" w14:textId="77777777" w:rsidR="001269F7" w:rsidRPr="00963A27" w:rsidRDefault="001269F7" w:rsidP="00956427">
      <w:pPr>
        <w:spacing w:line="360" w:lineRule="auto"/>
        <w:ind w:left="284"/>
        <w:jc w:val="both"/>
        <w:rPr>
          <w:rFonts w:ascii="Arial" w:hAnsi="Arial" w:cs="Arial"/>
          <w:sz w:val="20"/>
          <w:szCs w:val="20"/>
        </w:rPr>
      </w:pPr>
    </w:p>
    <w:p w14:paraId="74EF9D37" w14:textId="1C978116" w:rsidR="0016775F" w:rsidRPr="00963A27" w:rsidRDefault="00791B80" w:rsidP="00882252">
      <w:pPr>
        <w:pStyle w:val="ListParagraph"/>
        <w:numPr>
          <w:ilvl w:val="1"/>
          <w:numId w:val="15"/>
        </w:numPr>
        <w:spacing w:line="360" w:lineRule="auto"/>
        <w:ind w:left="567" w:hanging="567"/>
        <w:jc w:val="both"/>
        <w:rPr>
          <w:rFonts w:ascii="Arial" w:hAnsi="Arial" w:cs="Arial"/>
        </w:rPr>
      </w:pPr>
      <w:r w:rsidRPr="00963A27">
        <w:rPr>
          <w:rFonts w:ascii="Arial" w:hAnsi="Arial" w:cs="Arial"/>
          <w:b/>
          <w:bCs/>
        </w:rPr>
        <w:lastRenderedPageBreak/>
        <w:t>Historical Evolution of Fast-Dissolving Drug Delivery Systems</w:t>
      </w:r>
    </w:p>
    <w:p w14:paraId="0314E766" w14:textId="646D5FA5" w:rsidR="00C01C27" w:rsidRPr="00963A27" w:rsidRDefault="00C01C27" w:rsidP="00956427">
      <w:pPr>
        <w:spacing w:line="360" w:lineRule="auto"/>
        <w:ind w:left="567"/>
        <w:jc w:val="both"/>
        <w:rPr>
          <w:rFonts w:ascii="Arial" w:hAnsi="Arial" w:cs="Arial"/>
          <w:sz w:val="20"/>
          <w:szCs w:val="20"/>
        </w:rPr>
      </w:pPr>
      <w:r w:rsidRPr="00963A27">
        <w:rPr>
          <w:rFonts w:ascii="Arial" w:hAnsi="Arial" w:cs="Arial"/>
          <w:sz w:val="20"/>
          <w:szCs w:val="20"/>
        </w:rPr>
        <w:t>The history of fast-dissolving drug delivery systems goes back to the early 20th century, with initial breakthroughs in the forms of sublingual and buccal tablets that provide drugs for quick absorption. Nonetheless, major breakthroughs in polymer science and production technologies during the late 20th and early 21st centuries resulted in the development of oral wafers as a separate and improved option. The initial commercial oral wafers appeared in the early 2000s based on the requirement for non-invasive, patient-compliant drug delivery. From then on, the technology developed with advances in formulation, integrity of the film, and techniques for incorporating drugs, resulting in extensive applications in diverse therapeutic areas</w:t>
      </w:r>
      <w:r w:rsidR="00B56510" w:rsidRPr="00963A27">
        <w:rPr>
          <w:rFonts w:ascii="Arial" w:hAnsi="Arial" w:cs="Arial"/>
          <w:sz w:val="20"/>
          <w:szCs w:val="20"/>
        </w:rPr>
        <w:t xml:space="preserve"> </w:t>
      </w:r>
      <w:r w:rsidR="007818BC" w:rsidRPr="00963A27">
        <w:rPr>
          <w:rFonts w:ascii="Arial" w:hAnsi="Arial" w:cs="Arial"/>
          <w:sz w:val="20"/>
          <w:szCs w:val="20"/>
        </w:rPr>
        <w:t>[</w:t>
      </w:r>
      <w:r w:rsidR="00B856BB" w:rsidRPr="00963A27">
        <w:rPr>
          <w:rFonts w:ascii="Arial" w:hAnsi="Arial" w:cs="Arial"/>
          <w:sz w:val="20"/>
          <w:szCs w:val="20"/>
        </w:rPr>
        <w:t>1</w:t>
      </w:r>
      <w:r w:rsidR="00974EE4" w:rsidRPr="00963A27">
        <w:rPr>
          <w:rFonts w:ascii="Arial" w:hAnsi="Arial" w:cs="Arial"/>
          <w:sz w:val="20"/>
          <w:szCs w:val="20"/>
        </w:rPr>
        <w:t>1</w:t>
      </w:r>
      <w:r w:rsidR="007818BC" w:rsidRPr="00963A27">
        <w:rPr>
          <w:rFonts w:ascii="Arial" w:hAnsi="Arial" w:cs="Arial"/>
          <w:sz w:val="20"/>
          <w:szCs w:val="20"/>
        </w:rPr>
        <w:t>]</w:t>
      </w:r>
      <w:r w:rsidR="00B56510" w:rsidRPr="00963A27">
        <w:rPr>
          <w:rFonts w:ascii="Arial" w:hAnsi="Arial" w:cs="Arial"/>
          <w:sz w:val="20"/>
          <w:szCs w:val="20"/>
        </w:rPr>
        <w:t>.</w:t>
      </w:r>
      <w:r w:rsidR="00C40DF8" w:rsidRPr="00963A27">
        <w:rPr>
          <w:rFonts w:ascii="Arial" w:hAnsi="Arial" w:cs="Arial"/>
          <w:sz w:val="20"/>
          <w:szCs w:val="20"/>
        </w:rPr>
        <w:t xml:space="preserve"> Figure 2, represents the flow</w:t>
      </w:r>
      <w:r w:rsidR="00FB73D4" w:rsidRPr="00963A27">
        <w:rPr>
          <w:rFonts w:ascii="Arial" w:hAnsi="Arial" w:cs="Arial"/>
          <w:sz w:val="20"/>
          <w:szCs w:val="20"/>
        </w:rPr>
        <w:t xml:space="preserve"> </w:t>
      </w:r>
      <w:r w:rsidR="00C40DF8" w:rsidRPr="00963A27">
        <w:rPr>
          <w:rFonts w:ascii="Arial" w:hAnsi="Arial" w:cs="Arial"/>
          <w:sz w:val="20"/>
          <w:szCs w:val="20"/>
        </w:rPr>
        <w:t>of the</w:t>
      </w:r>
      <w:r w:rsidR="00FB73D4" w:rsidRPr="00963A27">
        <w:rPr>
          <w:rFonts w:ascii="Arial" w:hAnsi="Arial" w:cs="Arial"/>
          <w:sz w:val="20"/>
          <w:szCs w:val="20"/>
        </w:rPr>
        <w:t xml:space="preserve"> major breakthroughs </w:t>
      </w:r>
      <w:r w:rsidR="00C8733C" w:rsidRPr="00963A27">
        <w:rPr>
          <w:rFonts w:ascii="Arial" w:hAnsi="Arial" w:cs="Arial"/>
          <w:sz w:val="20"/>
          <w:szCs w:val="20"/>
        </w:rPr>
        <w:t>leading to technological advancement in formulation development</w:t>
      </w:r>
      <w:r w:rsidR="007F52AD" w:rsidRPr="00963A27">
        <w:rPr>
          <w:rFonts w:ascii="Arial" w:hAnsi="Arial" w:cs="Arial"/>
          <w:sz w:val="20"/>
          <w:szCs w:val="20"/>
        </w:rPr>
        <w:t>.</w:t>
      </w:r>
      <w:r w:rsidR="00C8733C" w:rsidRPr="00963A27">
        <w:rPr>
          <w:rFonts w:ascii="Arial" w:hAnsi="Arial" w:cs="Arial"/>
          <w:sz w:val="20"/>
          <w:szCs w:val="20"/>
        </w:rPr>
        <w:t xml:space="preserve"> </w:t>
      </w:r>
    </w:p>
    <w:p w14:paraId="188D2FF1" w14:textId="52FB3A25" w:rsidR="007771CF" w:rsidRPr="00963A27" w:rsidRDefault="00EE4854" w:rsidP="00956427">
      <w:pPr>
        <w:spacing w:line="360" w:lineRule="auto"/>
        <w:jc w:val="both"/>
        <w:rPr>
          <w:rFonts w:ascii="Arial" w:hAnsi="Arial" w:cs="Arial"/>
          <w:sz w:val="24"/>
          <w:szCs w:val="24"/>
        </w:rPr>
      </w:pPr>
      <w:r w:rsidRPr="00963A27">
        <w:rPr>
          <w:rFonts w:ascii="Arial" w:hAnsi="Arial" w:cs="Arial"/>
          <w:noProof/>
          <w:sz w:val="24"/>
          <w:szCs w:val="24"/>
        </w:rPr>
        <w:drawing>
          <wp:anchor distT="0" distB="0" distL="114300" distR="114300" simplePos="0" relativeHeight="251658240" behindDoc="0" locked="0" layoutInCell="1" allowOverlap="1" wp14:anchorId="0AF28B4A" wp14:editId="36045F1A">
            <wp:simplePos x="0" y="0"/>
            <wp:positionH relativeFrom="margin">
              <wp:posOffset>51435</wp:posOffset>
            </wp:positionH>
            <wp:positionV relativeFrom="paragraph">
              <wp:posOffset>0</wp:posOffset>
            </wp:positionV>
            <wp:extent cx="5685155" cy="4313555"/>
            <wp:effectExtent l="19050" t="19050" r="10795" b="10795"/>
            <wp:wrapTopAndBottom/>
            <wp:docPr id="1604194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94488" name="Picture 1604194488"/>
                    <pic:cNvPicPr/>
                  </pic:nvPicPr>
                  <pic:blipFill rotWithShape="1">
                    <a:blip r:embed="rId10">
                      <a:extLst>
                        <a:ext uri="{28A0092B-C50C-407E-A947-70E740481C1C}">
                          <a14:useLocalDpi xmlns:a14="http://schemas.microsoft.com/office/drawing/2010/main" val="0"/>
                        </a:ext>
                      </a:extLst>
                    </a:blip>
                    <a:srcRect l="1209" t="3801" r="8626" b="7824"/>
                    <a:stretch/>
                  </pic:blipFill>
                  <pic:spPr bwMode="auto">
                    <a:xfrm>
                      <a:off x="0" y="0"/>
                      <a:ext cx="5685155" cy="43135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BD172" w14:textId="109EC86D" w:rsidR="006703E1" w:rsidRPr="00963A27" w:rsidRDefault="006703E1" w:rsidP="00956427">
      <w:pPr>
        <w:spacing w:line="360" w:lineRule="auto"/>
        <w:ind w:left="426"/>
        <w:jc w:val="center"/>
        <w:rPr>
          <w:rFonts w:ascii="Arial" w:hAnsi="Arial" w:cs="Arial"/>
          <w:b/>
          <w:bCs/>
          <w:noProof/>
          <w:sz w:val="20"/>
          <w:szCs w:val="20"/>
        </w:rPr>
      </w:pPr>
      <w:r w:rsidRPr="00963A27">
        <w:rPr>
          <w:rFonts w:ascii="Arial" w:hAnsi="Arial" w:cs="Arial"/>
          <w:b/>
          <w:bCs/>
          <w:noProof/>
          <w:sz w:val="20"/>
          <w:szCs w:val="20"/>
        </w:rPr>
        <w:t xml:space="preserve">Figure </w:t>
      </w:r>
      <w:r w:rsidR="007771CF" w:rsidRPr="00963A27">
        <w:rPr>
          <w:rFonts w:ascii="Arial" w:hAnsi="Arial" w:cs="Arial"/>
          <w:b/>
          <w:bCs/>
          <w:noProof/>
          <w:sz w:val="20"/>
          <w:szCs w:val="20"/>
        </w:rPr>
        <w:t>2</w:t>
      </w:r>
      <w:r w:rsidRPr="00963A27">
        <w:rPr>
          <w:rFonts w:ascii="Arial" w:hAnsi="Arial" w:cs="Arial"/>
          <w:b/>
          <w:bCs/>
          <w:noProof/>
          <w:sz w:val="20"/>
          <w:szCs w:val="20"/>
        </w:rPr>
        <w:t>: Historical Evolution of Fast-Dissolving Drug Delivery Systems. The diagram illustrates the transition from sublingual and buccal tablets to films and wafers, highlighting technological advancements in drug delivery.</w:t>
      </w:r>
    </w:p>
    <w:p w14:paraId="25A52691" w14:textId="2AA494F6" w:rsidR="00791B80" w:rsidRPr="00963A27" w:rsidRDefault="00791B80" w:rsidP="00956427">
      <w:pPr>
        <w:pStyle w:val="ListParagraph"/>
        <w:numPr>
          <w:ilvl w:val="1"/>
          <w:numId w:val="1"/>
        </w:numPr>
        <w:spacing w:line="360" w:lineRule="auto"/>
        <w:ind w:left="426" w:hanging="426"/>
        <w:contextualSpacing w:val="0"/>
        <w:jc w:val="both"/>
        <w:rPr>
          <w:rFonts w:ascii="Arial" w:hAnsi="Arial" w:cs="Arial"/>
        </w:rPr>
      </w:pPr>
      <w:r w:rsidRPr="00963A27">
        <w:rPr>
          <w:rFonts w:ascii="Arial" w:hAnsi="Arial" w:cs="Arial"/>
          <w:b/>
          <w:bCs/>
        </w:rPr>
        <w:t>Mechanism of Drug Release from Oral Wafers</w:t>
      </w:r>
    </w:p>
    <w:p w14:paraId="1BE3EB13" w14:textId="173EF8A3" w:rsidR="009B62B3" w:rsidRPr="00963A27" w:rsidRDefault="007818BC" w:rsidP="00956427">
      <w:pPr>
        <w:spacing w:line="360" w:lineRule="auto"/>
        <w:ind w:left="426"/>
        <w:jc w:val="both"/>
        <w:rPr>
          <w:rFonts w:ascii="Arial" w:hAnsi="Arial" w:cs="Arial"/>
          <w:sz w:val="20"/>
          <w:szCs w:val="20"/>
        </w:rPr>
      </w:pPr>
      <w:r w:rsidRPr="00963A27">
        <w:rPr>
          <w:rFonts w:ascii="Arial" w:hAnsi="Arial" w:cs="Arial"/>
          <w:sz w:val="20"/>
          <w:szCs w:val="20"/>
        </w:rPr>
        <w:t xml:space="preserve">Release of drugs from oral wafers is a multifaceted process, </w:t>
      </w:r>
      <w:r w:rsidR="009B0FD1" w:rsidRPr="00963A27">
        <w:rPr>
          <w:rFonts w:ascii="Arial" w:hAnsi="Arial" w:cs="Arial"/>
          <w:sz w:val="20"/>
          <w:szCs w:val="20"/>
        </w:rPr>
        <w:t>which involves</w:t>
      </w:r>
      <w:r w:rsidRPr="00963A27">
        <w:rPr>
          <w:rFonts w:ascii="Arial" w:hAnsi="Arial" w:cs="Arial"/>
          <w:sz w:val="20"/>
          <w:szCs w:val="20"/>
        </w:rPr>
        <w:t xml:space="preserve"> hydration, swelling and disintegration upon exposure to saliva</w:t>
      </w:r>
      <w:r w:rsidR="00E44F08" w:rsidRPr="00963A27">
        <w:rPr>
          <w:rFonts w:ascii="Arial" w:hAnsi="Arial" w:cs="Arial"/>
          <w:sz w:val="20"/>
          <w:szCs w:val="20"/>
        </w:rPr>
        <w:t xml:space="preserve">, represented in </w:t>
      </w:r>
      <w:r w:rsidR="009B0FD1" w:rsidRPr="00963A27">
        <w:rPr>
          <w:rFonts w:ascii="Arial" w:hAnsi="Arial" w:cs="Arial"/>
          <w:sz w:val="20"/>
          <w:szCs w:val="20"/>
        </w:rPr>
        <w:t>Figure 3</w:t>
      </w:r>
      <w:r w:rsidRPr="00963A27">
        <w:rPr>
          <w:rFonts w:ascii="Arial" w:hAnsi="Arial" w:cs="Arial"/>
          <w:sz w:val="20"/>
          <w:szCs w:val="20"/>
        </w:rPr>
        <w:t xml:space="preserve">. Hydrophilic polymers take in </w:t>
      </w:r>
      <w:r w:rsidRPr="00963A27">
        <w:rPr>
          <w:rFonts w:ascii="Arial" w:hAnsi="Arial" w:cs="Arial"/>
          <w:sz w:val="20"/>
          <w:szCs w:val="20"/>
        </w:rPr>
        <w:lastRenderedPageBreak/>
        <w:t xml:space="preserve">water, swell, and dissolve, promoting the drug for quick dissolution. Based on formulation, the drug release might be through diffusion from the polymer matrix, film erosion, or through ion-exchange processes. Mucoadhesive polymers enable extended retention of drugs and controlled delivery through the buccal mucosa without first-pass metabolism. In certain instances, enzymatic erosion of bioerodible polymers controls drug release. A few important parameters like </w:t>
      </w:r>
      <w:r w:rsidR="00002938" w:rsidRPr="00963A27">
        <w:rPr>
          <w:rFonts w:ascii="Arial" w:hAnsi="Arial" w:cs="Arial"/>
          <w:sz w:val="20"/>
          <w:szCs w:val="20"/>
        </w:rPr>
        <w:t xml:space="preserve">type and </w:t>
      </w:r>
      <w:r w:rsidRPr="00963A27">
        <w:rPr>
          <w:rFonts w:ascii="Arial" w:hAnsi="Arial" w:cs="Arial"/>
          <w:sz w:val="20"/>
          <w:szCs w:val="20"/>
        </w:rPr>
        <w:t xml:space="preserve">concentration  </w:t>
      </w:r>
      <w:r w:rsidR="00002938" w:rsidRPr="00963A27">
        <w:rPr>
          <w:rFonts w:ascii="Arial" w:hAnsi="Arial" w:cs="Arial"/>
          <w:sz w:val="20"/>
          <w:szCs w:val="20"/>
        </w:rPr>
        <w:t>of polymer</w:t>
      </w:r>
      <w:r w:rsidRPr="00963A27">
        <w:rPr>
          <w:rFonts w:ascii="Arial" w:hAnsi="Arial" w:cs="Arial"/>
          <w:sz w:val="20"/>
          <w:szCs w:val="20"/>
        </w:rPr>
        <w:t>, drug solubility, pH of saliva, film thickness, and inclusion of plasticizers or permeation enhancers control the release pattern. The drug is then absorbed via sublingual, buccal, or gastrointestinal pathways to either provide a quick onset or a prolonged effect, depending on the design of the formulation</w:t>
      </w:r>
      <w:r w:rsidR="007F52AD" w:rsidRPr="00963A27">
        <w:rPr>
          <w:rFonts w:ascii="Arial" w:hAnsi="Arial" w:cs="Arial"/>
          <w:sz w:val="20"/>
          <w:szCs w:val="20"/>
        </w:rPr>
        <w:t xml:space="preserve"> </w:t>
      </w:r>
      <w:r w:rsidR="000D5BB2" w:rsidRPr="00963A27">
        <w:rPr>
          <w:rFonts w:ascii="Arial" w:hAnsi="Arial" w:cs="Arial"/>
          <w:sz w:val="20"/>
          <w:szCs w:val="20"/>
        </w:rPr>
        <w:t>[</w:t>
      </w:r>
      <w:r w:rsidR="00173614" w:rsidRPr="00963A27">
        <w:rPr>
          <w:rFonts w:ascii="Arial" w:hAnsi="Arial" w:cs="Arial"/>
          <w:sz w:val="20"/>
          <w:szCs w:val="20"/>
        </w:rPr>
        <w:t>1</w:t>
      </w:r>
      <w:r w:rsidR="00974EE4" w:rsidRPr="00963A27">
        <w:rPr>
          <w:rFonts w:ascii="Arial" w:hAnsi="Arial" w:cs="Arial"/>
          <w:sz w:val="20"/>
          <w:szCs w:val="20"/>
        </w:rPr>
        <w:t>2</w:t>
      </w:r>
      <w:r w:rsidR="000D5BB2" w:rsidRPr="00963A27">
        <w:rPr>
          <w:rFonts w:ascii="Arial" w:hAnsi="Arial" w:cs="Arial"/>
          <w:sz w:val="20"/>
          <w:szCs w:val="20"/>
        </w:rPr>
        <w:t>]</w:t>
      </w:r>
      <w:r w:rsidR="00DD1985" w:rsidRPr="00963A27">
        <w:rPr>
          <w:rFonts w:ascii="Arial" w:hAnsi="Arial" w:cs="Arial"/>
          <w:sz w:val="20"/>
          <w:szCs w:val="20"/>
        </w:rPr>
        <w:t>[</w:t>
      </w:r>
      <w:r w:rsidR="001F1151" w:rsidRPr="00963A27">
        <w:rPr>
          <w:rFonts w:ascii="Arial" w:hAnsi="Arial" w:cs="Arial"/>
          <w:sz w:val="20"/>
          <w:szCs w:val="20"/>
        </w:rPr>
        <w:t>1</w:t>
      </w:r>
      <w:r w:rsidR="00974EE4" w:rsidRPr="00963A27">
        <w:rPr>
          <w:rFonts w:ascii="Arial" w:hAnsi="Arial" w:cs="Arial"/>
          <w:sz w:val="20"/>
          <w:szCs w:val="20"/>
        </w:rPr>
        <w:t>3</w:t>
      </w:r>
      <w:r w:rsidR="00DD1985" w:rsidRPr="00963A27">
        <w:rPr>
          <w:rFonts w:ascii="Arial" w:hAnsi="Arial" w:cs="Arial"/>
          <w:sz w:val="20"/>
          <w:szCs w:val="20"/>
        </w:rPr>
        <w:t>]</w:t>
      </w:r>
      <w:r w:rsidR="007F52AD" w:rsidRPr="00963A27">
        <w:rPr>
          <w:rFonts w:ascii="Arial" w:hAnsi="Arial" w:cs="Arial"/>
          <w:sz w:val="20"/>
          <w:szCs w:val="20"/>
        </w:rPr>
        <w:t xml:space="preserve">. </w:t>
      </w:r>
    </w:p>
    <w:p w14:paraId="32D405C6" w14:textId="3A1F6FC3" w:rsidR="003D2D90" w:rsidRPr="00963A27" w:rsidRDefault="003D2D90" w:rsidP="00956427">
      <w:pPr>
        <w:spacing w:line="360" w:lineRule="auto"/>
        <w:jc w:val="both"/>
        <w:rPr>
          <w:rFonts w:ascii="Arial" w:hAnsi="Arial" w:cs="Arial"/>
          <w:sz w:val="24"/>
          <w:szCs w:val="24"/>
        </w:rPr>
      </w:pPr>
      <w:r w:rsidRPr="00963A27">
        <w:rPr>
          <w:rFonts w:ascii="Arial" w:hAnsi="Arial" w:cs="Arial"/>
          <w:noProof/>
          <w:sz w:val="24"/>
          <w:szCs w:val="24"/>
        </w:rPr>
        <w:drawing>
          <wp:inline distT="0" distB="0" distL="0" distR="0" wp14:anchorId="630F5006" wp14:editId="12E68206">
            <wp:extent cx="5980471" cy="3773170"/>
            <wp:effectExtent l="19050" t="19050" r="20320" b="17780"/>
            <wp:docPr id="14" name="Picture 13">
              <a:extLst xmlns:a="http://schemas.openxmlformats.org/drawingml/2006/main">
                <a:ext uri="{FF2B5EF4-FFF2-40B4-BE49-F238E27FC236}">
                  <a16:creationId xmlns:a16="http://schemas.microsoft.com/office/drawing/2014/main" id="{D29EE1B1-F199-BF99-7C5E-FABDBC654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29EE1B1-F199-BF99-7C5E-FABDBC654B48}"/>
                        </a:ext>
                      </a:extLst>
                    </pic:cNvPr>
                    <pic:cNvPicPr>
                      <a:picLocks noChangeAspect="1"/>
                    </pic:cNvPicPr>
                  </pic:nvPicPr>
                  <pic:blipFill rotWithShape="1">
                    <a:blip r:embed="rId11"/>
                    <a:srcRect l="2625"/>
                    <a:stretch/>
                  </pic:blipFill>
                  <pic:spPr bwMode="auto">
                    <a:xfrm>
                      <a:off x="0" y="0"/>
                      <a:ext cx="5980471" cy="3773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A362FE" w14:textId="77D24631" w:rsidR="00D80325" w:rsidRPr="00963A27" w:rsidRDefault="00D80325" w:rsidP="00956427">
      <w:pPr>
        <w:spacing w:line="360" w:lineRule="auto"/>
        <w:ind w:left="426"/>
        <w:jc w:val="center"/>
        <w:rPr>
          <w:rFonts w:ascii="Arial" w:hAnsi="Arial" w:cs="Arial"/>
          <w:b/>
          <w:bCs/>
          <w:sz w:val="20"/>
          <w:szCs w:val="20"/>
        </w:rPr>
      </w:pPr>
      <w:r w:rsidRPr="00963A27">
        <w:rPr>
          <w:rFonts w:ascii="Arial" w:hAnsi="Arial" w:cs="Arial"/>
          <w:b/>
          <w:bCs/>
          <w:sz w:val="20"/>
          <w:szCs w:val="20"/>
        </w:rPr>
        <w:t xml:space="preserve">Figure </w:t>
      </w:r>
      <w:r w:rsidR="001B594F" w:rsidRPr="00963A27">
        <w:rPr>
          <w:rFonts w:ascii="Arial" w:hAnsi="Arial" w:cs="Arial"/>
          <w:b/>
          <w:bCs/>
          <w:sz w:val="20"/>
          <w:szCs w:val="20"/>
        </w:rPr>
        <w:t>3</w:t>
      </w:r>
      <w:r w:rsidRPr="00963A27">
        <w:rPr>
          <w:rFonts w:ascii="Arial" w:hAnsi="Arial" w:cs="Arial"/>
          <w:b/>
          <w:bCs/>
          <w:sz w:val="20"/>
          <w:szCs w:val="20"/>
        </w:rPr>
        <w:t>: Mechanism of Drug Release from Fast-Dissolving Films. The schematic illustrates the hydration, disintegration, and drug release process, along with the possible routes of drug absorption through buccal, sublingual, and gastrointestinal pathways.</w:t>
      </w:r>
    </w:p>
    <w:p w14:paraId="65B8A660" w14:textId="34B10137" w:rsidR="000D5BB2" w:rsidRPr="00963A27" w:rsidRDefault="000D5BB2" w:rsidP="00956427">
      <w:pPr>
        <w:pStyle w:val="ListParagraph"/>
        <w:numPr>
          <w:ilvl w:val="1"/>
          <w:numId w:val="1"/>
        </w:numPr>
        <w:spacing w:line="360" w:lineRule="auto"/>
        <w:ind w:left="426" w:hanging="426"/>
        <w:contextualSpacing w:val="0"/>
        <w:jc w:val="both"/>
        <w:rPr>
          <w:rFonts w:ascii="Arial" w:hAnsi="Arial" w:cs="Arial"/>
          <w:b/>
          <w:bCs/>
        </w:rPr>
      </w:pPr>
      <w:r w:rsidRPr="00963A27">
        <w:rPr>
          <w:rFonts w:ascii="Arial" w:hAnsi="Arial" w:cs="Arial"/>
          <w:b/>
          <w:bCs/>
        </w:rPr>
        <w:t>Clinical Relevance and Market Potential</w:t>
      </w:r>
    </w:p>
    <w:p w14:paraId="58CB9C20" w14:textId="3EAABE75" w:rsidR="000D5BB2" w:rsidRPr="00963A27" w:rsidRDefault="000D5BB2" w:rsidP="00956427">
      <w:pPr>
        <w:spacing w:line="360" w:lineRule="auto"/>
        <w:ind w:left="360"/>
        <w:jc w:val="both"/>
        <w:rPr>
          <w:rFonts w:ascii="Arial" w:hAnsi="Arial" w:cs="Arial"/>
          <w:sz w:val="20"/>
          <w:szCs w:val="20"/>
        </w:rPr>
      </w:pPr>
      <w:r w:rsidRPr="00963A27">
        <w:rPr>
          <w:rFonts w:ascii="Arial" w:hAnsi="Arial" w:cs="Arial"/>
          <w:sz w:val="20"/>
          <w:szCs w:val="20"/>
        </w:rPr>
        <w:t>Oral wafers have obtained regulatory acceptance for a number of different therapeutic uses, such as antiemetics, painkillers, and central nervous system drugs. Owing to the increasing need for patient-friendly formulations, the oral wafers market is poised to grow substantially in the future.</w:t>
      </w:r>
      <w:r w:rsidR="00C31FD2" w:rsidRPr="00963A27">
        <w:rPr>
          <w:rFonts w:ascii="Arial" w:hAnsi="Arial" w:cs="Arial"/>
          <w:sz w:val="20"/>
          <w:szCs w:val="20"/>
        </w:rPr>
        <w:t>[</w:t>
      </w:r>
      <w:r w:rsidR="00974EE4" w:rsidRPr="00963A27">
        <w:rPr>
          <w:rFonts w:ascii="Arial" w:hAnsi="Arial" w:cs="Arial"/>
          <w:sz w:val="20"/>
          <w:szCs w:val="20"/>
        </w:rPr>
        <w:t>6</w:t>
      </w:r>
      <w:r w:rsidR="00C31FD2" w:rsidRPr="00963A27">
        <w:rPr>
          <w:rFonts w:ascii="Arial" w:hAnsi="Arial" w:cs="Arial"/>
          <w:sz w:val="20"/>
          <w:szCs w:val="20"/>
        </w:rPr>
        <w:t>]</w:t>
      </w:r>
    </w:p>
    <w:p w14:paraId="18A6DA69" w14:textId="178F9DC4" w:rsidR="000D5BB2" w:rsidRPr="00963A27" w:rsidRDefault="00C31FD2" w:rsidP="00956427">
      <w:pPr>
        <w:pStyle w:val="Title"/>
        <w:numPr>
          <w:ilvl w:val="0"/>
          <w:numId w:val="1"/>
        </w:numPr>
        <w:spacing w:line="360" w:lineRule="auto"/>
        <w:contextualSpacing w:val="0"/>
        <w:jc w:val="both"/>
        <w:rPr>
          <w:rFonts w:ascii="Arial" w:hAnsi="Arial" w:cs="Arial"/>
          <w:sz w:val="22"/>
          <w:szCs w:val="22"/>
        </w:rPr>
      </w:pPr>
      <w:r w:rsidRPr="00963A27">
        <w:rPr>
          <w:rFonts w:ascii="Arial" w:hAnsi="Arial" w:cs="Arial"/>
          <w:sz w:val="22"/>
          <w:szCs w:val="22"/>
        </w:rPr>
        <w:t>TYPES OF ORAL WAFERS</w:t>
      </w:r>
    </w:p>
    <w:p w14:paraId="6DA0E5F1" w14:textId="0335E0C4" w:rsidR="000D5BB2" w:rsidRPr="00963A27" w:rsidRDefault="000D5BB2" w:rsidP="00956427">
      <w:pPr>
        <w:spacing w:line="360" w:lineRule="auto"/>
        <w:ind w:left="360"/>
        <w:jc w:val="both"/>
        <w:rPr>
          <w:rFonts w:ascii="Arial" w:hAnsi="Arial" w:cs="Arial"/>
          <w:sz w:val="20"/>
          <w:szCs w:val="20"/>
        </w:rPr>
      </w:pPr>
      <w:r w:rsidRPr="00963A27">
        <w:rPr>
          <w:rFonts w:ascii="Arial" w:hAnsi="Arial" w:cs="Arial"/>
          <w:sz w:val="20"/>
          <w:szCs w:val="20"/>
        </w:rPr>
        <w:t xml:space="preserve">Oral wafers are a flexible and cutting-edge drug delivery solution, with several different release profiles for a variety of therapeutic applications. Oral wafers, depending on their mechanism of action and formulation, fall into distinct categories, each formulated to maximize drug effectiveness, </w:t>
      </w:r>
      <w:r w:rsidRPr="00963A27">
        <w:rPr>
          <w:rFonts w:ascii="Arial" w:hAnsi="Arial" w:cs="Arial"/>
          <w:sz w:val="20"/>
          <w:szCs w:val="20"/>
        </w:rPr>
        <w:lastRenderedPageBreak/>
        <w:t>increase patient compliance and treat various medical conditions</w:t>
      </w:r>
      <w:r w:rsidR="00667804" w:rsidRPr="00963A27">
        <w:rPr>
          <w:rFonts w:ascii="Arial" w:hAnsi="Arial" w:cs="Arial"/>
          <w:sz w:val="20"/>
          <w:szCs w:val="20"/>
        </w:rPr>
        <w:t xml:space="preserve"> [1</w:t>
      </w:r>
      <w:r w:rsidR="00FA72C9" w:rsidRPr="00963A27">
        <w:rPr>
          <w:rFonts w:ascii="Arial" w:hAnsi="Arial" w:cs="Arial"/>
          <w:sz w:val="20"/>
          <w:szCs w:val="20"/>
        </w:rPr>
        <w:t>4</w:t>
      </w:r>
      <w:r w:rsidR="00667804" w:rsidRPr="00963A27">
        <w:rPr>
          <w:rFonts w:ascii="Arial" w:hAnsi="Arial" w:cs="Arial"/>
          <w:sz w:val="20"/>
          <w:szCs w:val="20"/>
        </w:rPr>
        <w:t>]</w:t>
      </w:r>
      <w:r w:rsidR="00C85A06" w:rsidRPr="00963A27">
        <w:rPr>
          <w:rFonts w:ascii="Arial" w:hAnsi="Arial" w:cs="Arial"/>
          <w:sz w:val="20"/>
          <w:szCs w:val="20"/>
        </w:rPr>
        <w:t>[1</w:t>
      </w:r>
      <w:r w:rsidR="00FA72C9" w:rsidRPr="00963A27">
        <w:rPr>
          <w:rFonts w:ascii="Arial" w:hAnsi="Arial" w:cs="Arial"/>
          <w:sz w:val="20"/>
          <w:szCs w:val="20"/>
        </w:rPr>
        <w:t>5</w:t>
      </w:r>
      <w:r w:rsidR="00C85A06" w:rsidRPr="00963A27">
        <w:rPr>
          <w:rFonts w:ascii="Arial" w:hAnsi="Arial" w:cs="Arial"/>
          <w:sz w:val="20"/>
          <w:szCs w:val="20"/>
        </w:rPr>
        <w:t>].</w:t>
      </w:r>
      <w:r w:rsidRPr="00963A27">
        <w:rPr>
          <w:rFonts w:ascii="Arial" w:hAnsi="Arial" w:cs="Arial"/>
          <w:sz w:val="20"/>
          <w:szCs w:val="20"/>
        </w:rPr>
        <w:t xml:space="preserve"> The major categories of oral wafers are </w:t>
      </w:r>
      <w:r w:rsidR="006B4BE8" w:rsidRPr="00963A27">
        <w:rPr>
          <w:rFonts w:ascii="Arial" w:hAnsi="Arial" w:cs="Arial"/>
          <w:sz w:val="20"/>
          <w:szCs w:val="20"/>
        </w:rPr>
        <w:t>differentiated in Table 1.</w:t>
      </w:r>
    </w:p>
    <w:p w14:paraId="50A22F35" w14:textId="1C1D0AB7" w:rsidR="000D5BB2" w:rsidRPr="00963A27" w:rsidRDefault="000D5BB2" w:rsidP="00882252">
      <w:pPr>
        <w:pStyle w:val="ListParagraph"/>
        <w:numPr>
          <w:ilvl w:val="1"/>
          <w:numId w:val="55"/>
        </w:numPr>
        <w:spacing w:line="360" w:lineRule="auto"/>
        <w:ind w:left="426" w:hanging="426"/>
        <w:jc w:val="both"/>
        <w:rPr>
          <w:rFonts w:ascii="Arial" w:hAnsi="Arial" w:cs="Arial"/>
          <w:b/>
          <w:bCs/>
        </w:rPr>
      </w:pPr>
      <w:r w:rsidRPr="00963A27">
        <w:rPr>
          <w:rFonts w:ascii="Arial" w:hAnsi="Arial" w:cs="Arial"/>
          <w:b/>
          <w:bCs/>
        </w:rPr>
        <w:t>Fast-Dissolving Oral Wafers (FDOWs)</w:t>
      </w:r>
      <w:r w:rsidR="00DB5CDC" w:rsidRPr="00963A27">
        <w:rPr>
          <w:rFonts w:ascii="Arial" w:hAnsi="Arial" w:cs="Arial"/>
          <w:b/>
          <w:bCs/>
        </w:rPr>
        <w:t xml:space="preserve"> </w:t>
      </w:r>
      <w:r w:rsidR="00325162" w:rsidRPr="00963A27">
        <w:rPr>
          <w:rFonts w:ascii="Arial" w:hAnsi="Arial" w:cs="Arial"/>
          <w:b/>
          <w:bCs/>
        </w:rPr>
        <w:t>or Flash release Oral wafers</w:t>
      </w:r>
    </w:p>
    <w:p w14:paraId="69B200A8" w14:textId="4C2EEE11" w:rsidR="000D5BB2" w:rsidRPr="00963A27" w:rsidRDefault="000D5BB2" w:rsidP="00956427">
      <w:pPr>
        <w:spacing w:line="360" w:lineRule="auto"/>
        <w:ind w:left="426"/>
        <w:jc w:val="both"/>
        <w:rPr>
          <w:rFonts w:ascii="Arial" w:hAnsi="Arial" w:cs="Arial"/>
          <w:sz w:val="20"/>
          <w:szCs w:val="20"/>
        </w:rPr>
      </w:pPr>
      <w:r w:rsidRPr="00963A27">
        <w:rPr>
          <w:rFonts w:ascii="Arial" w:hAnsi="Arial" w:cs="Arial"/>
          <w:sz w:val="20"/>
          <w:szCs w:val="20"/>
        </w:rPr>
        <w:t xml:space="preserve">Fast-dissolving oral wafers </w:t>
      </w:r>
      <w:r w:rsidR="00684231" w:rsidRPr="00963A27">
        <w:rPr>
          <w:rFonts w:ascii="Arial" w:hAnsi="Arial" w:cs="Arial"/>
          <w:sz w:val="20"/>
          <w:szCs w:val="20"/>
        </w:rPr>
        <w:t xml:space="preserve">or Flash release oral wafers </w:t>
      </w:r>
      <w:r w:rsidRPr="00963A27">
        <w:rPr>
          <w:rFonts w:ascii="Arial" w:hAnsi="Arial" w:cs="Arial"/>
          <w:sz w:val="20"/>
          <w:szCs w:val="20"/>
        </w:rPr>
        <w:t>are formulated to rapidly disintegrate when in contact with saliva, enabling swift release and absorption of the drug. The wafers are well suited for dysphagic, geriatric</w:t>
      </w:r>
      <w:r w:rsidR="00EF480B" w:rsidRPr="00963A27">
        <w:rPr>
          <w:rFonts w:ascii="Arial" w:hAnsi="Arial" w:cs="Arial"/>
          <w:sz w:val="20"/>
          <w:szCs w:val="20"/>
        </w:rPr>
        <w:t xml:space="preserve"> </w:t>
      </w:r>
      <w:r w:rsidRPr="00963A27">
        <w:rPr>
          <w:rFonts w:ascii="Arial" w:hAnsi="Arial" w:cs="Arial"/>
          <w:sz w:val="20"/>
          <w:szCs w:val="20"/>
        </w:rPr>
        <w:t xml:space="preserve">and </w:t>
      </w:r>
      <w:r w:rsidR="001269F7">
        <w:rPr>
          <w:rFonts w:ascii="Arial" w:hAnsi="Arial" w:cs="Arial"/>
          <w:sz w:val="20"/>
          <w:szCs w:val="20"/>
        </w:rPr>
        <w:t>pediatric</w:t>
      </w:r>
      <w:r w:rsidRPr="00963A27">
        <w:rPr>
          <w:rFonts w:ascii="Arial" w:hAnsi="Arial" w:cs="Arial"/>
          <w:sz w:val="20"/>
          <w:szCs w:val="20"/>
        </w:rPr>
        <w:t xml:space="preserve"> populations that face challenges in swallowing standard tablets or capsules. The rapid dissolution property avoids the requirement of water, rendering FDOWs a quick administration option when needed on-the-go.</w:t>
      </w:r>
      <w:r w:rsidR="00C31FD2" w:rsidRPr="00963A27">
        <w:rPr>
          <w:rFonts w:ascii="Arial" w:hAnsi="Arial" w:cs="Arial"/>
          <w:sz w:val="20"/>
          <w:szCs w:val="20"/>
        </w:rPr>
        <w:t xml:space="preserve"> </w:t>
      </w:r>
      <w:r w:rsidRPr="00963A27">
        <w:rPr>
          <w:rFonts w:ascii="Arial" w:hAnsi="Arial" w:cs="Arial"/>
          <w:sz w:val="20"/>
          <w:szCs w:val="20"/>
        </w:rPr>
        <w:t xml:space="preserve">FDOWs are usually made up of water-soluble polymers like hydroxypropyl methylcellulose (HPMC), </w:t>
      </w:r>
      <w:r w:rsidR="00E500A9" w:rsidRPr="00963A27">
        <w:rPr>
          <w:rFonts w:ascii="Arial" w:hAnsi="Arial" w:cs="Arial"/>
          <w:sz w:val="20"/>
          <w:szCs w:val="20"/>
        </w:rPr>
        <w:t>Pull</w:t>
      </w:r>
      <w:r w:rsidR="00842EA9" w:rsidRPr="00963A27">
        <w:rPr>
          <w:rFonts w:ascii="Arial" w:hAnsi="Arial" w:cs="Arial"/>
          <w:sz w:val="20"/>
          <w:szCs w:val="20"/>
        </w:rPr>
        <w:t xml:space="preserve">ulan, </w:t>
      </w:r>
      <w:r w:rsidRPr="00963A27">
        <w:rPr>
          <w:rFonts w:ascii="Arial" w:hAnsi="Arial" w:cs="Arial"/>
          <w:sz w:val="20"/>
          <w:szCs w:val="20"/>
        </w:rPr>
        <w:t>polyvinyl alcohol (PVA) or maltodextrins, which allow for rapid disintegration and drug dispersion.</w:t>
      </w:r>
      <w:r w:rsidR="00C81AD7" w:rsidRPr="00963A27">
        <w:rPr>
          <w:rFonts w:ascii="Arial" w:hAnsi="Arial" w:cs="Arial"/>
          <w:sz w:val="20"/>
          <w:szCs w:val="20"/>
        </w:rPr>
        <w:t xml:space="preserve"> Super disintegrants like crospovidone, sodium starch glycolate, and croscarmellose sodium are also incorporated to further enhance the dissolution rate.</w:t>
      </w:r>
      <w:r w:rsidRPr="00963A27">
        <w:rPr>
          <w:rFonts w:ascii="Arial" w:hAnsi="Arial" w:cs="Arial"/>
          <w:sz w:val="20"/>
          <w:szCs w:val="20"/>
        </w:rPr>
        <w:t xml:space="preserve"> Porosity of the wafer matrix is also responsible for improving dissolution so that the active pharmaceutical ingredient (API) is released effectively for local or systemic absorption.</w:t>
      </w:r>
      <w:r w:rsidR="00C31FD2" w:rsidRPr="00963A27">
        <w:rPr>
          <w:rFonts w:ascii="Arial" w:hAnsi="Arial" w:cs="Arial"/>
          <w:sz w:val="20"/>
          <w:szCs w:val="20"/>
        </w:rPr>
        <w:t xml:space="preserve"> </w:t>
      </w:r>
      <w:r w:rsidRPr="00963A27">
        <w:rPr>
          <w:rFonts w:ascii="Arial" w:hAnsi="Arial" w:cs="Arial"/>
          <w:sz w:val="20"/>
          <w:szCs w:val="20"/>
        </w:rPr>
        <w:t>These wafers are commonly used for conditions requiring immediate therapeutic action, such as pain management (e.g., analgesics), allergy relief (e.g., antihistamines), and nausea treatment (e.g., antiemetics). The ability of FDOWs to deliver medication rapidly makes them ideal for emergency use or situations where quick onset of action is critical.</w:t>
      </w:r>
      <w:r w:rsidR="00C85A06" w:rsidRPr="00963A27">
        <w:rPr>
          <w:rFonts w:ascii="Arial" w:hAnsi="Arial" w:cs="Arial"/>
          <w:sz w:val="20"/>
          <w:szCs w:val="20"/>
        </w:rPr>
        <w:t xml:space="preserve"> </w:t>
      </w:r>
    </w:p>
    <w:p w14:paraId="1CE7C899" w14:textId="77777777" w:rsidR="00234BA0" w:rsidRPr="00963A27" w:rsidRDefault="00234BA0" w:rsidP="00956427">
      <w:pPr>
        <w:spacing w:line="360" w:lineRule="auto"/>
        <w:ind w:left="426"/>
        <w:jc w:val="both"/>
        <w:rPr>
          <w:rFonts w:ascii="Arial" w:hAnsi="Arial" w:cs="Arial"/>
          <w:b/>
          <w:bCs/>
        </w:rPr>
      </w:pPr>
      <w:r w:rsidRPr="00963A27">
        <w:rPr>
          <w:rFonts w:ascii="Arial" w:hAnsi="Arial" w:cs="Arial"/>
          <w:b/>
          <w:bCs/>
        </w:rPr>
        <w:t>Advantages</w:t>
      </w:r>
    </w:p>
    <w:p w14:paraId="030748C3" w14:textId="77777777" w:rsidR="00234BA0" w:rsidRPr="00963A27" w:rsidRDefault="00234BA0" w:rsidP="00882252">
      <w:pPr>
        <w:numPr>
          <w:ilvl w:val="0"/>
          <w:numId w:val="16"/>
        </w:numPr>
        <w:tabs>
          <w:tab w:val="clear" w:pos="720"/>
          <w:tab w:val="num" w:pos="1147"/>
        </w:tabs>
        <w:spacing w:line="360" w:lineRule="auto"/>
        <w:ind w:left="1146"/>
        <w:jc w:val="both"/>
        <w:rPr>
          <w:rFonts w:ascii="Arial" w:hAnsi="Arial" w:cs="Arial"/>
          <w:sz w:val="20"/>
          <w:szCs w:val="20"/>
        </w:rPr>
      </w:pPr>
      <w:r w:rsidRPr="00963A27">
        <w:rPr>
          <w:rFonts w:ascii="Arial" w:hAnsi="Arial" w:cs="Arial"/>
          <w:sz w:val="20"/>
          <w:szCs w:val="20"/>
        </w:rPr>
        <w:t>Provides a rapid onset of action, which is beneficial for drugs requiring immediate therapeutic effects.</w:t>
      </w:r>
    </w:p>
    <w:p w14:paraId="497F16A3" w14:textId="77777777" w:rsidR="00234BA0" w:rsidRPr="00963A27" w:rsidRDefault="00234BA0" w:rsidP="00882252">
      <w:pPr>
        <w:numPr>
          <w:ilvl w:val="0"/>
          <w:numId w:val="16"/>
        </w:numPr>
        <w:tabs>
          <w:tab w:val="clear" w:pos="720"/>
          <w:tab w:val="num" w:pos="1147"/>
        </w:tabs>
        <w:spacing w:line="360" w:lineRule="auto"/>
        <w:ind w:left="1146"/>
        <w:jc w:val="both"/>
        <w:rPr>
          <w:rFonts w:ascii="Arial" w:hAnsi="Arial" w:cs="Arial"/>
          <w:sz w:val="20"/>
          <w:szCs w:val="20"/>
        </w:rPr>
      </w:pPr>
      <w:r w:rsidRPr="00963A27">
        <w:rPr>
          <w:rFonts w:ascii="Arial" w:hAnsi="Arial" w:cs="Arial"/>
          <w:sz w:val="20"/>
          <w:szCs w:val="20"/>
        </w:rPr>
        <w:t>Eliminates the need for water, making it suitable for patients with dysphagia or restricted water intake.</w:t>
      </w:r>
    </w:p>
    <w:p w14:paraId="2B945518" w14:textId="77777777" w:rsidR="00234BA0" w:rsidRPr="00963A27" w:rsidRDefault="00234BA0" w:rsidP="00882252">
      <w:pPr>
        <w:numPr>
          <w:ilvl w:val="0"/>
          <w:numId w:val="16"/>
        </w:numPr>
        <w:tabs>
          <w:tab w:val="clear" w:pos="720"/>
          <w:tab w:val="num" w:pos="1147"/>
        </w:tabs>
        <w:spacing w:line="360" w:lineRule="auto"/>
        <w:ind w:left="1146"/>
        <w:jc w:val="both"/>
        <w:rPr>
          <w:rFonts w:ascii="Arial" w:hAnsi="Arial" w:cs="Arial"/>
          <w:sz w:val="20"/>
          <w:szCs w:val="20"/>
        </w:rPr>
      </w:pPr>
      <w:r w:rsidRPr="00963A27">
        <w:rPr>
          <w:rFonts w:ascii="Arial" w:hAnsi="Arial" w:cs="Arial"/>
          <w:sz w:val="20"/>
          <w:szCs w:val="20"/>
        </w:rPr>
        <w:t>Improves bioavailability by bypassing hepatic first-pass metabolism.</w:t>
      </w:r>
    </w:p>
    <w:p w14:paraId="74913715" w14:textId="410ABA9E" w:rsidR="00234BA0" w:rsidRPr="00963A27" w:rsidRDefault="00234BA0" w:rsidP="00882252">
      <w:pPr>
        <w:numPr>
          <w:ilvl w:val="0"/>
          <w:numId w:val="16"/>
        </w:numPr>
        <w:tabs>
          <w:tab w:val="clear" w:pos="720"/>
          <w:tab w:val="num" w:pos="1147"/>
        </w:tabs>
        <w:spacing w:line="360" w:lineRule="auto"/>
        <w:ind w:left="1146"/>
        <w:jc w:val="both"/>
        <w:rPr>
          <w:rFonts w:ascii="Arial" w:hAnsi="Arial" w:cs="Arial"/>
          <w:sz w:val="24"/>
          <w:szCs w:val="24"/>
        </w:rPr>
      </w:pPr>
      <w:r w:rsidRPr="00963A27">
        <w:rPr>
          <w:rFonts w:ascii="Arial" w:hAnsi="Arial" w:cs="Arial"/>
          <w:sz w:val="20"/>
          <w:szCs w:val="20"/>
        </w:rPr>
        <w:t xml:space="preserve">Convenient and easy to administer, especially for </w:t>
      </w:r>
      <w:r w:rsidR="001269F7">
        <w:rPr>
          <w:rFonts w:ascii="Arial" w:hAnsi="Arial" w:cs="Arial"/>
          <w:sz w:val="20"/>
          <w:szCs w:val="20"/>
        </w:rPr>
        <w:t>pediatric</w:t>
      </w:r>
      <w:r w:rsidRPr="00963A27">
        <w:rPr>
          <w:rFonts w:ascii="Arial" w:hAnsi="Arial" w:cs="Arial"/>
          <w:sz w:val="20"/>
          <w:szCs w:val="20"/>
        </w:rPr>
        <w:t xml:space="preserve"> and geriatric populations</w:t>
      </w:r>
      <w:r w:rsidR="0045564A" w:rsidRPr="00963A27">
        <w:rPr>
          <w:rFonts w:ascii="Arial" w:hAnsi="Arial" w:cs="Arial"/>
          <w:sz w:val="20"/>
          <w:szCs w:val="20"/>
        </w:rPr>
        <w:t xml:space="preserve"> [16].</w:t>
      </w:r>
    </w:p>
    <w:p w14:paraId="6CD01A93" w14:textId="7F45F9B2" w:rsidR="000D5BB2" w:rsidRPr="00963A27" w:rsidRDefault="000D5BB2" w:rsidP="00882252">
      <w:pPr>
        <w:pStyle w:val="ListParagraph"/>
        <w:numPr>
          <w:ilvl w:val="1"/>
          <w:numId w:val="9"/>
        </w:numPr>
        <w:spacing w:line="360" w:lineRule="auto"/>
        <w:ind w:left="426" w:hanging="426"/>
        <w:contextualSpacing w:val="0"/>
        <w:jc w:val="both"/>
        <w:rPr>
          <w:rFonts w:ascii="Arial" w:hAnsi="Arial" w:cs="Arial"/>
          <w:b/>
          <w:bCs/>
        </w:rPr>
      </w:pPr>
      <w:r w:rsidRPr="00963A27">
        <w:rPr>
          <w:rFonts w:ascii="Arial" w:hAnsi="Arial" w:cs="Arial"/>
          <w:b/>
          <w:bCs/>
        </w:rPr>
        <w:t>Mucoadhesive Oral Wafers</w:t>
      </w:r>
    </w:p>
    <w:p w14:paraId="711AA88B" w14:textId="405A637C" w:rsidR="00C31FD2" w:rsidRPr="00963A27" w:rsidRDefault="000D5BB2" w:rsidP="00956427">
      <w:pPr>
        <w:spacing w:line="360" w:lineRule="auto"/>
        <w:ind w:left="426"/>
        <w:jc w:val="both"/>
        <w:rPr>
          <w:rFonts w:ascii="Arial" w:hAnsi="Arial" w:cs="Arial"/>
          <w:sz w:val="20"/>
          <w:szCs w:val="20"/>
        </w:rPr>
      </w:pPr>
      <w:r w:rsidRPr="00963A27">
        <w:rPr>
          <w:rFonts w:ascii="Arial" w:hAnsi="Arial" w:cs="Arial"/>
          <w:sz w:val="20"/>
          <w:szCs w:val="20"/>
        </w:rPr>
        <w:t xml:space="preserve">Mucoadhesive oral wafers are formulated to stick to the oral mucosa, maintaining extended drug retention in the site of administration. Mucoadhesive wafers take advantage of </w:t>
      </w:r>
      <w:r w:rsidR="001016DA" w:rsidRPr="00963A27">
        <w:rPr>
          <w:rFonts w:ascii="Arial" w:hAnsi="Arial" w:cs="Arial"/>
          <w:sz w:val="20"/>
          <w:szCs w:val="20"/>
        </w:rPr>
        <w:t>bio adhesion</w:t>
      </w:r>
      <w:r w:rsidRPr="00963A27">
        <w:rPr>
          <w:rFonts w:ascii="Arial" w:hAnsi="Arial" w:cs="Arial"/>
          <w:sz w:val="20"/>
          <w:szCs w:val="20"/>
        </w:rPr>
        <w:t xml:space="preserve"> processes, in which polymeric excipients establish physical and chemical bonds with mucosal surfaces. Adhering to the buccal or sublingual mucosa, these wafers release the drug in a sustained manner and enhance bioavailability, avoiding first-pass metabolism by the liver.</w:t>
      </w:r>
      <w:r w:rsidR="00C31FD2" w:rsidRPr="00963A27">
        <w:rPr>
          <w:rFonts w:ascii="Arial" w:hAnsi="Arial" w:cs="Arial"/>
          <w:sz w:val="20"/>
          <w:szCs w:val="20"/>
        </w:rPr>
        <w:t xml:space="preserve"> </w:t>
      </w:r>
      <w:r w:rsidRPr="00963A27">
        <w:rPr>
          <w:rFonts w:ascii="Arial" w:hAnsi="Arial" w:cs="Arial"/>
          <w:sz w:val="20"/>
          <w:szCs w:val="20"/>
        </w:rPr>
        <w:t>Mucoadhesive wafers are prepared using bioadhesive polymers like chitosan, carbopol, and sodium alginate, which provide increased adhesion. Slow release of the drug provides extended therapeutic action, and these wafers are ideal for chronic diseases where there is a need for sustained levels of medication, e.g., hormone therapy, cardiovascular agents, and anti-inflammatory drugs.</w:t>
      </w:r>
      <w:r w:rsidR="00C31FD2" w:rsidRPr="00963A27">
        <w:rPr>
          <w:rFonts w:ascii="Arial" w:hAnsi="Arial" w:cs="Arial"/>
          <w:sz w:val="20"/>
          <w:szCs w:val="20"/>
        </w:rPr>
        <w:t xml:space="preserve"> </w:t>
      </w:r>
      <w:r w:rsidRPr="00963A27">
        <w:rPr>
          <w:rFonts w:ascii="Arial" w:hAnsi="Arial" w:cs="Arial"/>
          <w:sz w:val="20"/>
          <w:szCs w:val="20"/>
        </w:rPr>
        <w:t xml:space="preserve">The advantages of mucoadhesive wafers are decreased dosing frequency, </w:t>
      </w:r>
      <w:r w:rsidRPr="00963A27">
        <w:rPr>
          <w:rFonts w:ascii="Arial" w:hAnsi="Arial" w:cs="Arial"/>
          <w:sz w:val="20"/>
          <w:szCs w:val="20"/>
        </w:rPr>
        <w:lastRenderedPageBreak/>
        <w:t>localized action of the drug, and decreased side effects at the systemic level. Mucoadhesive wafers are particularly useful for managing oral and systemic infections, relief from pain, and mucosal diseases, in which direct contact with the involved area for extended periods is helpful</w:t>
      </w:r>
      <w:r w:rsidR="00C90861" w:rsidRPr="00963A27">
        <w:rPr>
          <w:rFonts w:ascii="Arial" w:hAnsi="Arial" w:cs="Arial"/>
          <w:sz w:val="20"/>
          <w:szCs w:val="20"/>
        </w:rPr>
        <w:t xml:space="preserve"> </w:t>
      </w:r>
      <w:r w:rsidR="00174D25" w:rsidRPr="00963A27">
        <w:rPr>
          <w:rFonts w:ascii="Arial" w:hAnsi="Arial" w:cs="Arial"/>
          <w:sz w:val="20"/>
          <w:szCs w:val="20"/>
        </w:rPr>
        <w:t>[17]</w:t>
      </w:r>
      <w:r w:rsidR="00DD35DF" w:rsidRPr="00963A27">
        <w:rPr>
          <w:rFonts w:ascii="Arial" w:hAnsi="Arial" w:cs="Arial"/>
          <w:sz w:val="20"/>
          <w:szCs w:val="20"/>
        </w:rPr>
        <w:t>.</w:t>
      </w:r>
    </w:p>
    <w:p w14:paraId="390828A5" w14:textId="77777777" w:rsidR="006A050E" w:rsidRPr="00963A27" w:rsidRDefault="006A050E" w:rsidP="00956427">
      <w:pPr>
        <w:spacing w:line="360" w:lineRule="auto"/>
        <w:ind w:left="426"/>
        <w:jc w:val="both"/>
        <w:rPr>
          <w:rFonts w:ascii="Arial" w:hAnsi="Arial" w:cs="Arial"/>
          <w:b/>
          <w:bCs/>
        </w:rPr>
      </w:pPr>
      <w:r w:rsidRPr="00963A27">
        <w:rPr>
          <w:rFonts w:ascii="Arial" w:hAnsi="Arial" w:cs="Arial"/>
          <w:b/>
          <w:bCs/>
        </w:rPr>
        <w:t>Advantages</w:t>
      </w:r>
    </w:p>
    <w:p w14:paraId="090C25F9" w14:textId="77777777" w:rsidR="006A050E" w:rsidRPr="00963A27" w:rsidRDefault="006A050E" w:rsidP="00882252">
      <w:pPr>
        <w:numPr>
          <w:ilvl w:val="0"/>
          <w:numId w:val="17"/>
        </w:numPr>
        <w:tabs>
          <w:tab w:val="clear" w:pos="720"/>
          <w:tab w:val="num" w:pos="1147"/>
        </w:tabs>
        <w:spacing w:line="360" w:lineRule="auto"/>
        <w:ind w:left="1146"/>
        <w:jc w:val="both"/>
        <w:rPr>
          <w:rFonts w:ascii="Arial" w:hAnsi="Arial" w:cs="Arial"/>
          <w:sz w:val="20"/>
          <w:szCs w:val="20"/>
        </w:rPr>
      </w:pPr>
      <w:r w:rsidRPr="00963A27">
        <w:rPr>
          <w:rFonts w:ascii="Arial" w:hAnsi="Arial" w:cs="Arial"/>
          <w:sz w:val="20"/>
          <w:szCs w:val="20"/>
        </w:rPr>
        <w:t>Provides prolonged drug release, reducing dosing frequency and improving patient adherence.</w:t>
      </w:r>
    </w:p>
    <w:p w14:paraId="321987BE" w14:textId="77777777" w:rsidR="006A050E" w:rsidRPr="00963A27" w:rsidRDefault="006A050E" w:rsidP="00882252">
      <w:pPr>
        <w:numPr>
          <w:ilvl w:val="0"/>
          <w:numId w:val="17"/>
        </w:numPr>
        <w:tabs>
          <w:tab w:val="clear" w:pos="720"/>
          <w:tab w:val="num" w:pos="1147"/>
        </w:tabs>
        <w:spacing w:line="360" w:lineRule="auto"/>
        <w:ind w:left="1146"/>
        <w:jc w:val="both"/>
        <w:rPr>
          <w:rFonts w:ascii="Arial" w:hAnsi="Arial" w:cs="Arial"/>
          <w:sz w:val="20"/>
          <w:szCs w:val="20"/>
        </w:rPr>
      </w:pPr>
      <w:r w:rsidRPr="00963A27">
        <w:rPr>
          <w:rFonts w:ascii="Arial" w:hAnsi="Arial" w:cs="Arial"/>
          <w:sz w:val="20"/>
          <w:szCs w:val="20"/>
        </w:rPr>
        <w:t>Ensures controlled absorption with minimal drug fluctuations in the bloodstream.</w:t>
      </w:r>
    </w:p>
    <w:p w14:paraId="1879460A" w14:textId="77777777" w:rsidR="006A050E" w:rsidRPr="00963A27" w:rsidRDefault="006A050E" w:rsidP="00882252">
      <w:pPr>
        <w:numPr>
          <w:ilvl w:val="0"/>
          <w:numId w:val="17"/>
        </w:numPr>
        <w:tabs>
          <w:tab w:val="clear" w:pos="720"/>
          <w:tab w:val="num" w:pos="1147"/>
        </w:tabs>
        <w:spacing w:line="360" w:lineRule="auto"/>
        <w:ind w:left="1146"/>
        <w:jc w:val="both"/>
        <w:rPr>
          <w:rFonts w:ascii="Arial" w:hAnsi="Arial" w:cs="Arial"/>
          <w:sz w:val="20"/>
          <w:szCs w:val="20"/>
        </w:rPr>
      </w:pPr>
      <w:r w:rsidRPr="00963A27">
        <w:rPr>
          <w:rFonts w:ascii="Arial" w:hAnsi="Arial" w:cs="Arial"/>
          <w:sz w:val="20"/>
          <w:szCs w:val="20"/>
        </w:rPr>
        <w:t>Can be used for both systemic and localized drug delivery.</w:t>
      </w:r>
    </w:p>
    <w:p w14:paraId="7F80A214" w14:textId="081A7373" w:rsidR="006A050E" w:rsidRPr="00963A27" w:rsidRDefault="006A050E" w:rsidP="00882252">
      <w:pPr>
        <w:numPr>
          <w:ilvl w:val="0"/>
          <w:numId w:val="17"/>
        </w:numPr>
        <w:tabs>
          <w:tab w:val="clear" w:pos="720"/>
          <w:tab w:val="num" w:pos="1147"/>
        </w:tabs>
        <w:spacing w:line="360" w:lineRule="auto"/>
        <w:ind w:left="1146"/>
        <w:jc w:val="both"/>
        <w:rPr>
          <w:rFonts w:ascii="Arial" w:hAnsi="Arial" w:cs="Arial"/>
          <w:sz w:val="20"/>
          <w:szCs w:val="20"/>
        </w:rPr>
      </w:pPr>
      <w:r w:rsidRPr="00963A27">
        <w:rPr>
          <w:rFonts w:ascii="Arial" w:hAnsi="Arial" w:cs="Arial"/>
          <w:sz w:val="20"/>
          <w:szCs w:val="20"/>
        </w:rPr>
        <w:t>Bypasses first-pass metabolism, leading to better drug bioavailability</w:t>
      </w:r>
      <w:r w:rsidR="00B02F0F" w:rsidRPr="00963A27">
        <w:rPr>
          <w:rFonts w:ascii="Arial" w:hAnsi="Arial" w:cs="Arial"/>
          <w:sz w:val="20"/>
          <w:szCs w:val="20"/>
        </w:rPr>
        <w:t xml:space="preserve"> [18].</w:t>
      </w:r>
    </w:p>
    <w:p w14:paraId="1CBC45E0" w14:textId="77777777" w:rsidR="00F96BFE" w:rsidRPr="00963A27" w:rsidRDefault="00F96BFE" w:rsidP="00882252">
      <w:pPr>
        <w:pStyle w:val="ListParagraph"/>
        <w:numPr>
          <w:ilvl w:val="0"/>
          <w:numId w:val="10"/>
        </w:numPr>
        <w:spacing w:line="360" w:lineRule="auto"/>
        <w:jc w:val="both"/>
        <w:rPr>
          <w:rFonts w:ascii="Arial" w:hAnsi="Arial" w:cs="Arial"/>
          <w:b/>
          <w:bCs/>
          <w:vanish/>
          <w:sz w:val="24"/>
          <w:szCs w:val="24"/>
        </w:rPr>
      </w:pPr>
    </w:p>
    <w:p w14:paraId="6760A99E" w14:textId="77777777" w:rsidR="00F96BFE" w:rsidRPr="00963A27" w:rsidRDefault="00F96BFE" w:rsidP="00882252">
      <w:pPr>
        <w:pStyle w:val="ListParagraph"/>
        <w:numPr>
          <w:ilvl w:val="1"/>
          <w:numId w:val="10"/>
        </w:numPr>
        <w:spacing w:line="360" w:lineRule="auto"/>
        <w:jc w:val="both"/>
        <w:rPr>
          <w:rFonts w:ascii="Arial" w:hAnsi="Arial" w:cs="Arial"/>
          <w:b/>
          <w:bCs/>
          <w:vanish/>
          <w:sz w:val="24"/>
          <w:szCs w:val="24"/>
        </w:rPr>
      </w:pPr>
    </w:p>
    <w:p w14:paraId="05788A85" w14:textId="77777777" w:rsidR="00F96BFE" w:rsidRPr="00963A27" w:rsidRDefault="00F96BFE" w:rsidP="00882252">
      <w:pPr>
        <w:pStyle w:val="ListParagraph"/>
        <w:numPr>
          <w:ilvl w:val="1"/>
          <w:numId w:val="10"/>
        </w:numPr>
        <w:spacing w:line="360" w:lineRule="auto"/>
        <w:jc w:val="both"/>
        <w:rPr>
          <w:rFonts w:ascii="Arial" w:hAnsi="Arial" w:cs="Arial"/>
          <w:b/>
          <w:bCs/>
          <w:vanish/>
          <w:sz w:val="24"/>
          <w:szCs w:val="24"/>
        </w:rPr>
      </w:pPr>
    </w:p>
    <w:p w14:paraId="4D393109" w14:textId="02580305" w:rsidR="00923195" w:rsidRPr="00963A27" w:rsidRDefault="00923195" w:rsidP="00882252">
      <w:pPr>
        <w:pStyle w:val="ListParagraph"/>
        <w:numPr>
          <w:ilvl w:val="1"/>
          <w:numId w:val="10"/>
        </w:numPr>
        <w:spacing w:line="360" w:lineRule="auto"/>
        <w:ind w:left="567" w:hanging="567"/>
        <w:jc w:val="both"/>
        <w:rPr>
          <w:rFonts w:ascii="Arial" w:hAnsi="Arial" w:cs="Arial"/>
          <w:b/>
          <w:bCs/>
        </w:rPr>
      </w:pPr>
      <w:r w:rsidRPr="00963A27">
        <w:rPr>
          <w:rFonts w:ascii="Arial" w:hAnsi="Arial" w:cs="Arial"/>
          <w:b/>
          <w:bCs/>
        </w:rPr>
        <w:t>Mucoadhesive Melt-Away Wafers</w:t>
      </w:r>
    </w:p>
    <w:p w14:paraId="75C5F97F" w14:textId="77777777" w:rsidR="00923195" w:rsidRPr="00963A27" w:rsidRDefault="00923195" w:rsidP="00956427">
      <w:pPr>
        <w:spacing w:line="360" w:lineRule="auto"/>
        <w:ind w:left="567"/>
        <w:jc w:val="both"/>
        <w:rPr>
          <w:rFonts w:ascii="Arial" w:hAnsi="Arial" w:cs="Arial"/>
          <w:sz w:val="20"/>
          <w:szCs w:val="20"/>
        </w:rPr>
      </w:pPr>
      <w:r w:rsidRPr="00963A27">
        <w:rPr>
          <w:rFonts w:ascii="Arial" w:hAnsi="Arial" w:cs="Arial"/>
          <w:sz w:val="20"/>
          <w:szCs w:val="20"/>
        </w:rPr>
        <w:t>Mucoadhesive melt-away wafers are designed to adhere to the oral mucosa for a short period before dissolving completely. Unlike flash-release films, these wafers remain in place long enough to ensure localized drug absorption, enhancing bioavailability while avoiding gastrointestinal degradation.</w:t>
      </w:r>
    </w:p>
    <w:p w14:paraId="5D30D6F2" w14:textId="629F43B4" w:rsidR="00923195" w:rsidRPr="00963A27" w:rsidRDefault="00923195" w:rsidP="00956427">
      <w:pPr>
        <w:spacing w:line="360" w:lineRule="auto"/>
        <w:ind w:left="567"/>
        <w:jc w:val="both"/>
        <w:rPr>
          <w:rFonts w:ascii="Arial" w:hAnsi="Arial" w:cs="Arial"/>
          <w:sz w:val="20"/>
          <w:szCs w:val="20"/>
        </w:rPr>
      </w:pPr>
      <w:r w:rsidRPr="00963A27">
        <w:rPr>
          <w:rFonts w:ascii="Arial" w:hAnsi="Arial" w:cs="Arial"/>
          <w:sz w:val="20"/>
          <w:szCs w:val="20"/>
        </w:rPr>
        <w:t>These wafers work by forming a bioadhesive interaction between the polymer and mucosal tissue, allowing sustained drug absorption before they dissolve completely.</w:t>
      </w:r>
      <w:r w:rsidR="009E0B5E" w:rsidRPr="00963A27">
        <w:rPr>
          <w:rFonts w:ascii="Arial" w:hAnsi="Arial" w:cs="Arial"/>
          <w:sz w:val="20"/>
          <w:szCs w:val="20"/>
        </w:rPr>
        <w:t xml:space="preserve"> </w:t>
      </w:r>
      <w:r w:rsidRPr="00963A27">
        <w:rPr>
          <w:rFonts w:ascii="Arial" w:hAnsi="Arial" w:cs="Arial"/>
          <w:sz w:val="20"/>
          <w:szCs w:val="20"/>
        </w:rPr>
        <w:t>These wafers typically contain mucoadhesive polymers, such as:</w:t>
      </w:r>
    </w:p>
    <w:p w14:paraId="35B2F155" w14:textId="77777777" w:rsidR="00923195" w:rsidRPr="00963A27" w:rsidRDefault="00923195" w:rsidP="00882252">
      <w:pPr>
        <w:numPr>
          <w:ilvl w:val="0"/>
          <w:numId w:val="18"/>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t>Sodium carboxymethylcellulose (NaCMC)</w:t>
      </w:r>
    </w:p>
    <w:p w14:paraId="2CE1278A" w14:textId="77777777" w:rsidR="00923195" w:rsidRPr="00963A27" w:rsidRDefault="00923195" w:rsidP="00882252">
      <w:pPr>
        <w:numPr>
          <w:ilvl w:val="0"/>
          <w:numId w:val="18"/>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t>Polyacrylic acid</w:t>
      </w:r>
    </w:p>
    <w:p w14:paraId="54B6B4EB" w14:textId="77777777" w:rsidR="00923195" w:rsidRPr="00963A27" w:rsidRDefault="00923195" w:rsidP="00882252">
      <w:pPr>
        <w:numPr>
          <w:ilvl w:val="0"/>
          <w:numId w:val="18"/>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t>Chitosan</w:t>
      </w:r>
    </w:p>
    <w:p w14:paraId="004788C5" w14:textId="77777777" w:rsidR="00923195" w:rsidRPr="00963A27" w:rsidRDefault="00923195" w:rsidP="00882252">
      <w:pPr>
        <w:numPr>
          <w:ilvl w:val="0"/>
          <w:numId w:val="18"/>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t>Hydroxypropyl cellulose (HPC)</w:t>
      </w:r>
    </w:p>
    <w:p w14:paraId="5356A889" w14:textId="63F8527F" w:rsidR="00923195" w:rsidRPr="00963A27" w:rsidRDefault="00923195" w:rsidP="00956427">
      <w:pPr>
        <w:spacing w:line="360" w:lineRule="auto"/>
        <w:ind w:left="567"/>
        <w:jc w:val="both"/>
        <w:rPr>
          <w:rFonts w:ascii="Arial" w:hAnsi="Arial" w:cs="Arial"/>
          <w:sz w:val="20"/>
          <w:szCs w:val="20"/>
        </w:rPr>
      </w:pPr>
      <w:r w:rsidRPr="00963A27">
        <w:rPr>
          <w:rFonts w:ascii="Arial" w:hAnsi="Arial" w:cs="Arial"/>
          <w:sz w:val="20"/>
          <w:szCs w:val="20"/>
        </w:rPr>
        <w:t xml:space="preserve">Plasticizers like </w:t>
      </w:r>
      <w:r w:rsidR="00F21D13" w:rsidRPr="00963A27">
        <w:rPr>
          <w:rFonts w:ascii="Arial" w:hAnsi="Arial" w:cs="Arial"/>
          <w:sz w:val="20"/>
          <w:szCs w:val="20"/>
        </w:rPr>
        <w:t>glycerine</w:t>
      </w:r>
      <w:r w:rsidRPr="00963A27">
        <w:rPr>
          <w:rFonts w:ascii="Arial" w:hAnsi="Arial" w:cs="Arial"/>
          <w:sz w:val="20"/>
          <w:szCs w:val="20"/>
        </w:rPr>
        <w:t xml:space="preserve"> or polyethylene glycol (PEG) are added to improve film flexibility, while penetration enhancers like bile salts may be incorporated to increase drug absorption through the mucosal tissue.</w:t>
      </w:r>
      <w:r w:rsidR="008510E5" w:rsidRPr="00963A27">
        <w:rPr>
          <w:rFonts w:ascii="Arial" w:hAnsi="Arial" w:cs="Arial"/>
          <w:sz w:val="20"/>
          <w:szCs w:val="20"/>
        </w:rPr>
        <w:t xml:space="preserve"> Taste-masking agents and flavour enhancers are also typically used to enhance palatability and provide a smoother experience for the patient [</w:t>
      </w:r>
      <w:r w:rsidR="00F86B18" w:rsidRPr="00963A27">
        <w:rPr>
          <w:rFonts w:ascii="Arial" w:hAnsi="Arial" w:cs="Arial"/>
          <w:sz w:val="20"/>
          <w:szCs w:val="20"/>
        </w:rPr>
        <w:t>19</w:t>
      </w:r>
      <w:r w:rsidR="008510E5" w:rsidRPr="00963A27">
        <w:rPr>
          <w:rFonts w:ascii="Arial" w:hAnsi="Arial" w:cs="Arial"/>
          <w:sz w:val="20"/>
          <w:szCs w:val="20"/>
        </w:rPr>
        <w:t>].</w:t>
      </w:r>
    </w:p>
    <w:p w14:paraId="3E8C67BD" w14:textId="77777777" w:rsidR="00923195" w:rsidRPr="00963A27" w:rsidRDefault="00923195" w:rsidP="00956427">
      <w:pPr>
        <w:spacing w:line="360" w:lineRule="auto"/>
        <w:ind w:left="567"/>
        <w:jc w:val="both"/>
        <w:rPr>
          <w:rFonts w:ascii="Arial" w:hAnsi="Arial" w:cs="Arial"/>
          <w:b/>
          <w:bCs/>
        </w:rPr>
      </w:pPr>
      <w:r w:rsidRPr="00963A27">
        <w:rPr>
          <w:rFonts w:ascii="Arial" w:hAnsi="Arial" w:cs="Arial"/>
          <w:b/>
          <w:bCs/>
        </w:rPr>
        <w:t>Advantages</w:t>
      </w:r>
    </w:p>
    <w:p w14:paraId="2B7488F7" w14:textId="77777777" w:rsidR="00923195" w:rsidRPr="00963A27" w:rsidRDefault="00923195" w:rsidP="00882252">
      <w:pPr>
        <w:numPr>
          <w:ilvl w:val="0"/>
          <w:numId w:val="19"/>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t>Ensures effective drug absorption through the oral mucosa, reducing drug loss in the gastrointestinal tract.</w:t>
      </w:r>
    </w:p>
    <w:p w14:paraId="30B73443" w14:textId="77777777" w:rsidR="00923195" w:rsidRPr="00963A27" w:rsidRDefault="00923195" w:rsidP="00882252">
      <w:pPr>
        <w:numPr>
          <w:ilvl w:val="0"/>
          <w:numId w:val="19"/>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t>Bypasses first-pass metabolism, leading to higher systemic drug availability.</w:t>
      </w:r>
    </w:p>
    <w:p w14:paraId="7F5CC195" w14:textId="77777777" w:rsidR="00923195" w:rsidRPr="00963A27" w:rsidRDefault="00923195" w:rsidP="00882252">
      <w:pPr>
        <w:numPr>
          <w:ilvl w:val="0"/>
          <w:numId w:val="19"/>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t>Provides prolonged retention in the oral cavity, making it suitable for drugs requiring enhanced absorption.</w:t>
      </w:r>
    </w:p>
    <w:p w14:paraId="510A3F9F" w14:textId="1C028924" w:rsidR="00D13527" w:rsidRPr="00963A27" w:rsidRDefault="00923195" w:rsidP="00956427">
      <w:pPr>
        <w:numPr>
          <w:ilvl w:val="0"/>
          <w:numId w:val="19"/>
        </w:numPr>
        <w:tabs>
          <w:tab w:val="clear" w:pos="720"/>
          <w:tab w:val="num" w:pos="1288"/>
        </w:tabs>
        <w:spacing w:line="360" w:lineRule="auto"/>
        <w:ind w:left="1287"/>
        <w:jc w:val="both"/>
        <w:rPr>
          <w:rFonts w:ascii="Arial" w:hAnsi="Arial" w:cs="Arial"/>
          <w:sz w:val="20"/>
          <w:szCs w:val="20"/>
        </w:rPr>
      </w:pPr>
      <w:r w:rsidRPr="00963A27">
        <w:rPr>
          <w:rFonts w:ascii="Arial" w:hAnsi="Arial" w:cs="Arial"/>
          <w:sz w:val="20"/>
          <w:szCs w:val="20"/>
        </w:rPr>
        <w:lastRenderedPageBreak/>
        <w:t>Can be formulated for local action, such as in treating oral infections or inflammation.</w:t>
      </w:r>
    </w:p>
    <w:p w14:paraId="493193A3" w14:textId="36C7A076" w:rsidR="00923195" w:rsidRPr="00963A27" w:rsidRDefault="00C166B1" w:rsidP="00956427">
      <w:pPr>
        <w:spacing w:line="360" w:lineRule="auto"/>
        <w:ind w:left="360" w:firstLine="360"/>
        <w:jc w:val="center"/>
        <w:rPr>
          <w:rFonts w:ascii="Arial" w:hAnsi="Arial" w:cs="Arial"/>
          <w:b/>
          <w:bCs/>
          <w:sz w:val="20"/>
          <w:szCs w:val="20"/>
        </w:rPr>
      </w:pPr>
      <w:r w:rsidRPr="00963A27">
        <w:rPr>
          <w:rFonts w:ascii="Arial" w:hAnsi="Arial" w:cs="Arial"/>
          <w:b/>
          <w:bCs/>
          <w:sz w:val="20"/>
          <w:szCs w:val="20"/>
        </w:rPr>
        <w:t>Table 1.</w:t>
      </w:r>
      <w:r w:rsidR="00166D3B" w:rsidRPr="00963A27">
        <w:rPr>
          <w:rFonts w:ascii="Arial" w:hAnsi="Arial" w:cs="Arial"/>
          <w:b/>
          <w:bCs/>
          <w:sz w:val="20"/>
          <w:szCs w:val="20"/>
        </w:rPr>
        <w:t xml:space="preserve"> Overview of types of oral wafer Based on Composition and Application</w:t>
      </w:r>
      <w:r w:rsidR="00A35CB7" w:rsidRPr="00963A27">
        <w:rPr>
          <w:rFonts w:ascii="Arial" w:hAnsi="Arial" w:cs="Arial"/>
          <w:b/>
          <w:bCs/>
          <w:sz w:val="20"/>
          <w:szCs w:val="20"/>
        </w:rPr>
        <w:t xml:space="preserve"> </w:t>
      </w:r>
      <w:r w:rsidR="00A35CB7" w:rsidRPr="00963A27">
        <w:rPr>
          <w:rFonts w:ascii="Arial" w:hAnsi="Arial" w:cs="Arial"/>
          <w:sz w:val="20"/>
          <w:szCs w:val="20"/>
        </w:rPr>
        <w:t>[20]</w:t>
      </w:r>
    </w:p>
    <w:tbl>
      <w:tblPr>
        <w:tblStyle w:val="TableGrid"/>
        <w:tblW w:w="8788" w:type="dxa"/>
        <w:tblInd w:w="279" w:type="dxa"/>
        <w:tblLayout w:type="fixed"/>
        <w:tblLook w:val="04A0" w:firstRow="1" w:lastRow="0" w:firstColumn="1" w:lastColumn="0" w:noHBand="0" w:noVBand="1"/>
      </w:tblPr>
      <w:tblGrid>
        <w:gridCol w:w="2877"/>
        <w:gridCol w:w="1247"/>
        <w:gridCol w:w="1985"/>
        <w:gridCol w:w="2679"/>
      </w:tblGrid>
      <w:tr w:rsidR="00455163" w:rsidRPr="00963A27" w14:paraId="568ACB5A" w14:textId="77777777" w:rsidTr="00CA7BA5">
        <w:tc>
          <w:tcPr>
            <w:tcW w:w="2877" w:type="dxa"/>
            <w:vMerge w:val="restart"/>
            <w:vAlign w:val="center"/>
          </w:tcPr>
          <w:p w14:paraId="69030B1A" w14:textId="77777777" w:rsidR="00455163" w:rsidRPr="00963A27" w:rsidRDefault="00455163" w:rsidP="00956427">
            <w:pPr>
              <w:spacing w:line="360" w:lineRule="auto"/>
              <w:jc w:val="both"/>
              <w:rPr>
                <w:rFonts w:ascii="Arial" w:hAnsi="Arial" w:cs="Arial"/>
                <w:b/>
                <w:bCs/>
                <w:sz w:val="20"/>
                <w:szCs w:val="20"/>
              </w:rPr>
            </w:pPr>
            <w:r w:rsidRPr="00963A27">
              <w:rPr>
                <w:rFonts w:ascii="Arial" w:hAnsi="Arial" w:cs="Arial"/>
                <w:b/>
                <w:bCs/>
                <w:sz w:val="20"/>
                <w:szCs w:val="20"/>
              </w:rPr>
              <w:t>PARAMETER</w:t>
            </w:r>
          </w:p>
        </w:tc>
        <w:tc>
          <w:tcPr>
            <w:tcW w:w="5911" w:type="dxa"/>
            <w:gridSpan w:val="3"/>
          </w:tcPr>
          <w:p w14:paraId="34CDCEFF" w14:textId="77777777" w:rsidR="00455163" w:rsidRPr="00963A27" w:rsidRDefault="00455163" w:rsidP="00956427">
            <w:pPr>
              <w:spacing w:line="360" w:lineRule="auto"/>
              <w:jc w:val="both"/>
              <w:rPr>
                <w:rFonts w:ascii="Arial" w:hAnsi="Arial" w:cs="Arial"/>
                <w:b/>
                <w:bCs/>
                <w:sz w:val="20"/>
                <w:szCs w:val="20"/>
              </w:rPr>
            </w:pPr>
            <w:r w:rsidRPr="00963A27">
              <w:rPr>
                <w:rFonts w:ascii="Arial" w:hAnsi="Arial" w:cs="Arial"/>
                <w:b/>
                <w:bCs/>
                <w:sz w:val="20"/>
                <w:szCs w:val="20"/>
              </w:rPr>
              <w:t>TYPES OF ORAL WAFER</w:t>
            </w:r>
          </w:p>
        </w:tc>
      </w:tr>
      <w:tr w:rsidR="00880DC7" w:rsidRPr="00963A27" w14:paraId="64B0F23F" w14:textId="77777777" w:rsidTr="00CA7BA5">
        <w:tc>
          <w:tcPr>
            <w:tcW w:w="2877" w:type="dxa"/>
            <w:vMerge/>
          </w:tcPr>
          <w:p w14:paraId="25A816CF" w14:textId="77777777" w:rsidR="00880DC7" w:rsidRPr="00963A27" w:rsidRDefault="00880DC7" w:rsidP="00956427">
            <w:pPr>
              <w:spacing w:line="360" w:lineRule="auto"/>
              <w:jc w:val="both"/>
              <w:rPr>
                <w:rFonts w:ascii="Arial" w:hAnsi="Arial" w:cs="Arial"/>
                <w:b/>
                <w:bCs/>
                <w:sz w:val="20"/>
                <w:szCs w:val="20"/>
              </w:rPr>
            </w:pPr>
          </w:p>
        </w:tc>
        <w:tc>
          <w:tcPr>
            <w:tcW w:w="1247" w:type="dxa"/>
          </w:tcPr>
          <w:p w14:paraId="3C7FD83E" w14:textId="77777777" w:rsidR="00880DC7" w:rsidRPr="00963A27" w:rsidRDefault="00880DC7" w:rsidP="00956427">
            <w:pPr>
              <w:spacing w:line="360" w:lineRule="auto"/>
              <w:jc w:val="center"/>
              <w:rPr>
                <w:rFonts w:ascii="Arial" w:hAnsi="Arial" w:cs="Arial"/>
                <w:b/>
                <w:bCs/>
                <w:sz w:val="20"/>
                <w:szCs w:val="20"/>
              </w:rPr>
            </w:pPr>
            <w:r w:rsidRPr="00963A27">
              <w:rPr>
                <w:rFonts w:ascii="Arial" w:hAnsi="Arial" w:cs="Arial"/>
                <w:b/>
                <w:bCs/>
                <w:sz w:val="20"/>
                <w:szCs w:val="20"/>
              </w:rPr>
              <w:t>Flash release wafer</w:t>
            </w:r>
          </w:p>
        </w:tc>
        <w:tc>
          <w:tcPr>
            <w:tcW w:w="1985" w:type="dxa"/>
          </w:tcPr>
          <w:p w14:paraId="0F97A296" w14:textId="77777777" w:rsidR="00880DC7" w:rsidRPr="00963A27" w:rsidRDefault="00880DC7" w:rsidP="00956427">
            <w:pPr>
              <w:spacing w:line="360" w:lineRule="auto"/>
              <w:jc w:val="center"/>
              <w:rPr>
                <w:rFonts w:ascii="Arial" w:hAnsi="Arial" w:cs="Arial"/>
                <w:b/>
                <w:bCs/>
                <w:sz w:val="20"/>
                <w:szCs w:val="20"/>
              </w:rPr>
            </w:pPr>
            <w:r w:rsidRPr="00963A27">
              <w:rPr>
                <w:rFonts w:ascii="Arial" w:hAnsi="Arial" w:cs="Arial"/>
                <w:b/>
                <w:bCs/>
                <w:sz w:val="20"/>
                <w:szCs w:val="20"/>
              </w:rPr>
              <w:t>Mucoadhesive melt-away wafer</w:t>
            </w:r>
          </w:p>
        </w:tc>
        <w:tc>
          <w:tcPr>
            <w:tcW w:w="2679" w:type="dxa"/>
          </w:tcPr>
          <w:p w14:paraId="474502B9" w14:textId="77777777" w:rsidR="00880DC7" w:rsidRPr="00963A27" w:rsidRDefault="00880DC7" w:rsidP="00956427">
            <w:pPr>
              <w:spacing w:line="360" w:lineRule="auto"/>
              <w:jc w:val="center"/>
              <w:rPr>
                <w:rFonts w:ascii="Arial" w:hAnsi="Arial" w:cs="Arial"/>
                <w:b/>
                <w:bCs/>
                <w:sz w:val="20"/>
                <w:szCs w:val="20"/>
              </w:rPr>
            </w:pPr>
            <w:r w:rsidRPr="00963A27">
              <w:rPr>
                <w:rFonts w:ascii="Arial" w:hAnsi="Arial" w:cs="Arial"/>
                <w:b/>
                <w:bCs/>
                <w:sz w:val="20"/>
                <w:szCs w:val="20"/>
              </w:rPr>
              <w:t>Mucoadhesive release wafer</w:t>
            </w:r>
          </w:p>
        </w:tc>
      </w:tr>
      <w:tr w:rsidR="00880DC7" w:rsidRPr="00963A27" w14:paraId="2804BDEF" w14:textId="77777777" w:rsidTr="00CA7BA5">
        <w:tc>
          <w:tcPr>
            <w:tcW w:w="2877" w:type="dxa"/>
          </w:tcPr>
          <w:p w14:paraId="734A353F" w14:textId="0A65798F" w:rsidR="00880DC7" w:rsidRPr="00963A27" w:rsidRDefault="00182F23" w:rsidP="00956427">
            <w:pPr>
              <w:spacing w:line="360" w:lineRule="auto"/>
              <w:jc w:val="both"/>
              <w:rPr>
                <w:rFonts w:ascii="Arial" w:hAnsi="Arial" w:cs="Arial"/>
                <w:b/>
                <w:bCs/>
                <w:sz w:val="20"/>
                <w:szCs w:val="20"/>
              </w:rPr>
            </w:pPr>
            <w:r w:rsidRPr="00963A27">
              <w:rPr>
                <w:rFonts w:ascii="Arial" w:hAnsi="Arial" w:cs="Arial"/>
                <w:b/>
                <w:bCs/>
                <w:sz w:val="20"/>
                <w:szCs w:val="20"/>
              </w:rPr>
              <w:t>Area</w:t>
            </w:r>
          </w:p>
        </w:tc>
        <w:tc>
          <w:tcPr>
            <w:tcW w:w="1247" w:type="dxa"/>
          </w:tcPr>
          <w:p w14:paraId="00E9B457"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2 – 8 cm²</w:t>
            </w:r>
          </w:p>
        </w:tc>
        <w:tc>
          <w:tcPr>
            <w:tcW w:w="1985" w:type="dxa"/>
          </w:tcPr>
          <w:p w14:paraId="20B82A3A"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2 – 7 cm²</w:t>
            </w:r>
          </w:p>
        </w:tc>
        <w:tc>
          <w:tcPr>
            <w:tcW w:w="2679" w:type="dxa"/>
          </w:tcPr>
          <w:p w14:paraId="5438A486"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2 – 4 cm²</w:t>
            </w:r>
          </w:p>
        </w:tc>
      </w:tr>
      <w:tr w:rsidR="00880DC7" w:rsidRPr="00963A27" w14:paraId="7A81F5C6" w14:textId="77777777" w:rsidTr="00CA7BA5">
        <w:tc>
          <w:tcPr>
            <w:tcW w:w="2877" w:type="dxa"/>
          </w:tcPr>
          <w:p w14:paraId="58F75503" w14:textId="603F5E3A" w:rsidR="00880DC7" w:rsidRPr="00963A27" w:rsidRDefault="00182F23" w:rsidP="00956427">
            <w:pPr>
              <w:spacing w:line="360" w:lineRule="auto"/>
              <w:jc w:val="both"/>
              <w:rPr>
                <w:rFonts w:ascii="Arial" w:hAnsi="Arial" w:cs="Arial"/>
                <w:b/>
                <w:bCs/>
                <w:sz w:val="20"/>
                <w:szCs w:val="20"/>
              </w:rPr>
            </w:pPr>
            <w:r w:rsidRPr="00963A27">
              <w:rPr>
                <w:rFonts w:ascii="Arial" w:hAnsi="Arial" w:cs="Arial"/>
                <w:b/>
                <w:bCs/>
                <w:sz w:val="20"/>
                <w:szCs w:val="20"/>
              </w:rPr>
              <w:t>Thickness</w:t>
            </w:r>
          </w:p>
        </w:tc>
        <w:tc>
          <w:tcPr>
            <w:tcW w:w="1247" w:type="dxa"/>
          </w:tcPr>
          <w:p w14:paraId="2385301B" w14:textId="23075F11"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20–70 µm</w:t>
            </w:r>
          </w:p>
        </w:tc>
        <w:tc>
          <w:tcPr>
            <w:tcW w:w="1985" w:type="dxa"/>
          </w:tcPr>
          <w:p w14:paraId="47933162"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50 – 500 µm</w:t>
            </w:r>
          </w:p>
        </w:tc>
        <w:tc>
          <w:tcPr>
            <w:tcW w:w="2679" w:type="dxa"/>
          </w:tcPr>
          <w:p w14:paraId="74DA5191"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50 – 250 µm</w:t>
            </w:r>
          </w:p>
        </w:tc>
      </w:tr>
      <w:tr w:rsidR="00880DC7" w:rsidRPr="00963A27" w14:paraId="7B18FB0F" w14:textId="77777777" w:rsidTr="00CA7BA5">
        <w:tc>
          <w:tcPr>
            <w:tcW w:w="2877" w:type="dxa"/>
          </w:tcPr>
          <w:p w14:paraId="66BEB692" w14:textId="24CD3C78" w:rsidR="00880DC7" w:rsidRPr="00963A27" w:rsidRDefault="00182F23" w:rsidP="00956427">
            <w:pPr>
              <w:spacing w:line="360" w:lineRule="auto"/>
              <w:jc w:val="both"/>
              <w:rPr>
                <w:rFonts w:ascii="Arial" w:hAnsi="Arial" w:cs="Arial"/>
                <w:b/>
                <w:bCs/>
                <w:sz w:val="20"/>
                <w:szCs w:val="20"/>
              </w:rPr>
            </w:pPr>
            <w:r w:rsidRPr="00963A27">
              <w:rPr>
                <w:rFonts w:ascii="Arial" w:hAnsi="Arial" w:cs="Arial"/>
                <w:b/>
                <w:bCs/>
                <w:sz w:val="20"/>
                <w:szCs w:val="20"/>
              </w:rPr>
              <w:t>Cross-sectional structure</w:t>
            </w:r>
          </w:p>
        </w:tc>
        <w:tc>
          <w:tcPr>
            <w:tcW w:w="1247" w:type="dxa"/>
          </w:tcPr>
          <w:p w14:paraId="3D6EF2CE"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Single layer thin film</w:t>
            </w:r>
          </w:p>
        </w:tc>
        <w:tc>
          <w:tcPr>
            <w:tcW w:w="1985" w:type="dxa"/>
          </w:tcPr>
          <w:p w14:paraId="646594A9"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Single or multi-layer film</w:t>
            </w:r>
          </w:p>
        </w:tc>
        <w:tc>
          <w:tcPr>
            <w:tcW w:w="2679" w:type="dxa"/>
          </w:tcPr>
          <w:p w14:paraId="280510B5"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Multi-layer film</w:t>
            </w:r>
          </w:p>
        </w:tc>
      </w:tr>
      <w:tr w:rsidR="00880DC7" w:rsidRPr="00963A27" w14:paraId="5EF61E3F" w14:textId="77777777" w:rsidTr="00CA7BA5">
        <w:tc>
          <w:tcPr>
            <w:tcW w:w="2877" w:type="dxa"/>
          </w:tcPr>
          <w:p w14:paraId="086466F0" w14:textId="3303A32D" w:rsidR="00880DC7" w:rsidRPr="00963A27" w:rsidRDefault="00182F23" w:rsidP="00956427">
            <w:pPr>
              <w:spacing w:line="360" w:lineRule="auto"/>
              <w:jc w:val="both"/>
              <w:rPr>
                <w:rFonts w:ascii="Arial" w:hAnsi="Arial" w:cs="Arial"/>
                <w:b/>
                <w:bCs/>
                <w:sz w:val="20"/>
                <w:szCs w:val="20"/>
              </w:rPr>
            </w:pPr>
            <w:r w:rsidRPr="00963A27">
              <w:rPr>
                <w:rFonts w:ascii="Arial" w:hAnsi="Arial" w:cs="Arial"/>
                <w:b/>
                <w:bCs/>
                <w:sz w:val="20"/>
                <w:szCs w:val="20"/>
              </w:rPr>
              <w:t>Type of polymer</w:t>
            </w:r>
          </w:p>
        </w:tc>
        <w:tc>
          <w:tcPr>
            <w:tcW w:w="1247" w:type="dxa"/>
          </w:tcPr>
          <w:p w14:paraId="0ECDBBAA"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Water soluble polymers</w:t>
            </w:r>
          </w:p>
        </w:tc>
        <w:tc>
          <w:tcPr>
            <w:tcW w:w="1985" w:type="dxa"/>
          </w:tcPr>
          <w:p w14:paraId="05A51E43"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Water soluble polymers</w:t>
            </w:r>
          </w:p>
        </w:tc>
        <w:tc>
          <w:tcPr>
            <w:tcW w:w="2679" w:type="dxa"/>
          </w:tcPr>
          <w:p w14:paraId="2A8697FB"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Mucoadhesive polymers</w:t>
            </w:r>
          </w:p>
        </w:tc>
      </w:tr>
      <w:tr w:rsidR="00880DC7" w:rsidRPr="00963A27" w14:paraId="00434ED0" w14:textId="77777777" w:rsidTr="00CA7BA5">
        <w:tc>
          <w:tcPr>
            <w:tcW w:w="2877" w:type="dxa"/>
          </w:tcPr>
          <w:p w14:paraId="22F336A6" w14:textId="32114BD6" w:rsidR="00880DC7" w:rsidRPr="00963A27" w:rsidRDefault="00880DC7" w:rsidP="00956427">
            <w:pPr>
              <w:spacing w:line="360" w:lineRule="auto"/>
              <w:jc w:val="both"/>
              <w:rPr>
                <w:rFonts w:ascii="Arial" w:hAnsi="Arial" w:cs="Arial"/>
                <w:b/>
                <w:bCs/>
                <w:sz w:val="20"/>
                <w:szCs w:val="20"/>
              </w:rPr>
            </w:pPr>
            <w:r w:rsidRPr="00963A27">
              <w:rPr>
                <w:rFonts w:ascii="Arial" w:hAnsi="Arial" w:cs="Arial"/>
                <w:b/>
                <w:bCs/>
                <w:sz w:val="20"/>
                <w:szCs w:val="20"/>
              </w:rPr>
              <w:t>A</w:t>
            </w:r>
            <w:r w:rsidR="00182F23" w:rsidRPr="00963A27">
              <w:rPr>
                <w:rFonts w:ascii="Arial" w:hAnsi="Arial" w:cs="Arial"/>
                <w:b/>
                <w:bCs/>
                <w:sz w:val="20"/>
                <w:szCs w:val="20"/>
              </w:rPr>
              <w:t>pplication</w:t>
            </w:r>
          </w:p>
        </w:tc>
        <w:tc>
          <w:tcPr>
            <w:tcW w:w="1247" w:type="dxa"/>
          </w:tcPr>
          <w:p w14:paraId="67843706"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Placed on tongue in oral cavity</w:t>
            </w:r>
          </w:p>
        </w:tc>
        <w:tc>
          <w:tcPr>
            <w:tcW w:w="1985" w:type="dxa"/>
          </w:tcPr>
          <w:p w14:paraId="563FCE46" w14:textId="2E7D2579"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 xml:space="preserve">Buccal or </w:t>
            </w:r>
            <w:r w:rsidR="00182F23" w:rsidRPr="00963A27">
              <w:rPr>
                <w:rFonts w:ascii="Arial" w:hAnsi="Arial" w:cs="Arial"/>
                <w:sz w:val="20"/>
                <w:szCs w:val="20"/>
              </w:rPr>
              <w:t xml:space="preserve">gingival </w:t>
            </w:r>
            <w:r w:rsidRPr="00963A27">
              <w:rPr>
                <w:rFonts w:ascii="Arial" w:hAnsi="Arial" w:cs="Arial"/>
                <w:sz w:val="20"/>
                <w:szCs w:val="20"/>
              </w:rPr>
              <w:t>cavity</w:t>
            </w:r>
          </w:p>
        </w:tc>
        <w:tc>
          <w:tcPr>
            <w:tcW w:w="2679" w:type="dxa"/>
          </w:tcPr>
          <w:p w14:paraId="68D93F40" w14:textId="0E921C2A"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 xml:space="preserve">Buccal or </w:t>
            </w:r>
            <w:r w:rsidR="00182F23" w:rsidRPr="00963A27">
              <w:rPr>
                <w:rFonts w:ascii="Arial" w:hAnsi="Arial" w:cs="Arial"/>
                <w:sz w:val="20"/>
                <w:szCs w:val="20"/>
              </w:rPr>
              <w:t xml:space="preserve">gingival </w:t>
            </w:r>
            <w:r w:rsidRPr="00963A27">
              <w:rPr>
                <w:rFonts w:ascii="Arial" w:hAnsi="Arial" w:cs="Arial"/>
                <w:sz w:val="20"/>
                <w:szCs w:val="20"/>
              </w:rPr>
              <w:t>cavity</w:t>
            </w:r>
          </w:p>
        </w:tc>
      </w:tr>
      <w:tr w:rsidR="00880DC7" w:rsidRPr="00963A27" w14:paraId="4D894E23" w14:textId="77777777" w:rsidTr="00CA7BA5">
        <w:tc>
          <w:tcPr>
            <w:tcW w:w="2877" w:type="dxa"/>
          </w:tcPr>
          <w:p w14:paraId="313336B0" w14:textId="760A8142" w:rsidR="00880DC7" w:rsidRPr="00963A27" w:rsidRDefault="00182F23" w:rsidP="00956427">
            <w:pPr>
              <w:spacing w:line="360" w:lineRule="auto"/>
              <w:jc w:val="both"/>
              <w:rPr>
                <w:rFonts w:ascii="Arial" w:hAnsi="Arial" w:cs="Arial"/>
                <w:b/>
                <w:bCs/>
                <w:sz w:val="20"/>
                <w:szCs w:val="20"/>
              </w:rPr>
            </w:pPr>
            <w:r w:rsidRPr="00963A27">
              <w:rPr>
                <w:rFonts w:ascii="Arial" w:hAnsi="Arial" w:cs="Arial"/>
                <w:b/>
                <w:bCs/>
                <w:sz w:val="20"/>
                <w:szCs w:val="20"/>
              </w:rPr>
              <w:t>Disintegration time</w:t>
            </w:r>
          </w:p>
        </w:tc>
        <w:tc>
          <w:tcPr>
            <w:tcW w:w="1247" w:type="dxa"/>
          </w:tcPr>
          <w:p w14:paraId="14C5CF77" w14:textId="3F0C3D7A"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&lt;60se</w:t>
            </w:r>
            <w:r w:rsidR="00186EF7" w:rsidRPr="00963A27">
              <w:rPr>
                <w:rFonts w:ascii="Arial" w:hAnsi="Arial" w:cs="Arial"/>
                <w:sz w:val="20"/>
                <w:szCs w:val="20"/>
              </w:rPr>
              <w:t>cs</w:t>
            </w:r>
          </w:p>
        </w:tc>
        <w:tc>
          <w:tcPr>
            <w:tcW w:w="1985" w:type="dxa"/>
          </w:tcPr>
          <w:p w14:paraId="03B4BBB6"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1-2 minutes</w:t>
            </w:r>
          </w:p>
        </w:tc>
        <w:tc>
          <w:tcPr>
            <w:tcW w:w="2679" w:type="dxa"/>
          </w:tcPr>
          <w:p w14:paraId="4791E06D" w14:textId="77777777" w:rsidR="00880DC7" w:rsidRPr="00963A27" w:rsidRDefault="00880DC7" w:rsidP="00956427">
            <w:pPr>
              <w:spacing w:line="360" w:lineRule="auto"/>
              <w:jc w:val="center"/>
              <w:rPr>
                <w:rFonts w:ascii="Arial" w:hAnsi="Arial" w:cs="Arial"/>
                <w:sz w:val="20"/>
                <w:szCs w:val="20"/>
              </w:rPr>
            </w:pPr>
            <w:r w:rsidRPr="00963A27">
              <w:rPr>
                <w:rFonts w:ascii="Arial" w:hAnsi="Arial" w:cs="Arial"/>
                <w:sz w:val="20"/>
                <w:szCs w:val="20"/>
              </w:rPr>
              <w:t>~8 to 10 hours</w:t>
            </w:r>
          </w:p>
        </w:tc>
      </w:tr>
    </w:tbl>
    <w:p w14:paraId="3AF5EE10" w14:textId="77777777" w:rsidR="00186EF7" w:rsidRPr="00963A27" w:rsidRDefault="00186EF7" w:rsidP="00956427">
      <w:pPr>
        <w:spacing w:line="360" w:lineRule="auto"/>
        <w:ind w:left="1"/>
        <w:jc w:val="both"/>
        <w:rPr>
          <w:rFonts w:ascii="Arial" w:hAnsi="Arial" w:cs="Arial"/>
          <w:sz w:val="24"/>
          <w:szCs w:val="24"/>
        </w:rPr>
      </w:pPr>
    </w:p>
    <w:p w14:paraId="1AA44845" w14:textId="05C7E159" w:rsidR="00487703" w:rsidRPr="00963A27" w:rsidRDefault="00487703" w:rsidP="00956427">
      <w:pPr>
        <w:pStyle w:val="Title"/>
        <w:numPr>
          <w:ilvl w:val="0"/>
          <w:numId w:val="1"/>
        </w:numPr>
        <w:spacing w:line="360" w:lineRule="auto"/>
        <w:ind w:left="361"/>
        <w:contextualSpacing w:val="0"/>
        <w:jc w:val="both"/>
        <w:rPr>
          <w:rFonts w:ascii="Arial" w:hAnsi="Arial" w:cs="Arial"/>
          <w:sz w:val="22"/>
          <w:szCs w:val="22"/>
        </w:rPr>
      </w:pPr>
      <w:r w:rsidRPr="00963A27">
        <w:rPr>
          <w:rFonts w:ascii="Arial" w:hAnsi="Arial" w:cs="Arial"/>
          <w:sz w:val="22"/>
          <w:szCs w:val="22"/>
        </w:rPr>
        <w:t xml:space="preserve">FORMULATION INGREDIENTS AND </w:t>
      </w:r>
      <w:r w:rsidR="008E780C" w:rsidRPr="00963A27">
        <w:rPr>
          <w:rFonts w:ascii="Arial" w:hAnsi="Arial" w:cs="Arial"/>
          <w:sz w:val="22"/>
          <w:szCs w:val="22"/>
        </w:rPr>
        <w:t>ITS</w:t>
      </w:r>
      <w:r w:rsidRPr="00963A27">
        <w:rPr>
          <w:rFonts w:ascii="Arial" w:hAnsi="Arial" w:cs="Arial"/>
          <w:sz w:val="22"/>
          <w:szCs w:val="22"/>
        </w:rPr>
        <w:t xml:space="preserve"> FUNCTIONS</w:t>
      </w:r>
    </w:p>
    <w:p w14:paraId="4240DD8E" w14:textId="002C36A3" w:rsidR="00F146D9" w:rsidRDefault="00667DD4" w:rsidP="001269F7">
      <w:pPr>
        <w:spacing w:line="360" w:lineRule="auto"/>
        <w:ind w:left="361"/>
        <w:jc w:val="both"/>
        <w:rPr>
          <w:rFonts w:ascii="Arial" w:hAnsi="Arial" w:cs="Arial"/>
          <w:sz w:val="20"/>
          <w:szCs w:val="20"/>
        </w:rPr>
      </w:pPr>
      <w:r w:rsidRPr="00963A27">
        <w:rPr>
          <w:rFonts w:ascii="Arial" w:hAnsi="Arial" w:cs="Arial"/>
          <w:sz w:val="20"/>
          <w:szCs w:val="20"/>
        </w:rPr>
        <w:t>Oral wafer formulations need a careful balance of excipients to achieve optimal drug delivery, mechanical integrity, and patient compliance</w:t>
      </w:r>
      <w:r w:rsidR="00C45F01" w:rsidRPr="00963A27">
        <w:rPr>
          <w:rFonts w:ascii="Arial" w:hAnsi="Arial" w:cs="Arial"/>
          <w:sz w:val="20"/>
          <w:szCs w:val="20"/>
        </w:rPr>
        <w:t xml:space="preserve"> [2</w:t>
      </w:r>
      <w:r w:rsidR="00623040" w:rsidRPr="00963A27">
        <w:rPr>
          <w:rFonts w:ascii="Arial" w:hAnsi="Arial" w:cs="Arial"/>
          <w:sz w:val="20"/>
          <w:szCs w:val="20"/>
        </w:rPr>
        <w:t>1</w:t>
      </w:r>
      <w:r w:rsidR="00544E0E" w:rsidRPr="00963A27">
        <w:rPr>
          <w:rFonts w:ascii="Arial" w:hAnsi="Arial" w:cs="Arial"/>
          <w:sz w:val="20"/>
          <w:szCs w:val="20"/>
        </w:rPr>
        <w:t>]</w:t>
      </w:r>
      <w:r w:rsidRPr="00963A27">
        <w:rPr>
          <w:rFonts w:ascii="Arial" w:hAnsi="Arial" w:cs="Arial"/>
          <w:sz w:val="20"/>
          <w:szCs w:val="20"/>
        </w:rPr>
        <w:t>. Each ingredient plays an important role in setting the wafer's disintegration rate, drug release profile, and effectiveness. This section discusses the major formulation ingredients and their contributions to oral wafer technology.</w:t>
      </w:r>
    </w:p>
    <w:p w14:paraId="1EC4C28B" w14:textId="227A2096" w:rsidR="003047E1" w:rsidRDefault="006B4BE8" w:rsidP="00956427">
      <w:pPr>
        <w:pStyle w:val="Title"/>
        <w:spacing w:line="360" w:lineRule="auto"/>
        <w:ind w:left="1" w:firstLine="360"/>
        <w:contextualSpacing w:val="0"/>
        <w:jc w:val="center"/>
        <w:rPr>
          <w:rFonts w:ascii="Arial" w:hAnsi="Arial" w:cs="Arial"/>
          <w:b w:val="0"/>
          <w:bCs/>
          <w:sz w:val="20"/>
          <w:szCs w:val="20"/>
        </w:rPr>
      </w:pPr>
      <w:r w:rsidRPr="00963A27">
        <w:rPr>
          <w:rFonts w:ascii="Arial" w:hAnsi="Arial" w:cs="Arial"/>
          <w:sz w:val="20"/>
          <w:szCs w:val="20"/>
        </w:rPr>
        <w:t xml:space="preserve">Table 2. </w:t>
      </w:r>
      <w:r w:rsidR="00341FF3" w:rsidRPr="00963A27">
        <w:rPr>
          <w:rFonts w:ascii="Arial" w:hAnsi="Arial" w:cs="Arial"/>
          <w:sz w:val="20"/>
          <w:szCs w:val="20"/>
        </w:rPr>
        <w:t>Compositional req</w:t>
      </w:r>
      <w:r w:rsidR="00C51A19" w:rsidRPr="00963A27">
        <w:rPr>
          <w:rFonts w:ascii="Arial" w:hAnsi="Arial" w:cs="Arial"/>
          <w:sz w:val="20"/>
          <w:szCs w:val="20"/>
        </w:rPr>
        <w:t>uirements of Oral wafers</w:t>
      </w:r>
      <w:r w:rsidR="007278FB" w:rsidRPr="00963A27">
        <w:rPr>
          <w:rFonts w:ascii="Arial" w:hAnsi="Arial" w:cs="Arial"/>
          <w:sz w:val="20"/>
          <w:szCs w:val="20"/>
        </w:rPr>
        <w:t xml:space="preserve"> </w:t>
      </w:r>
      <w:r w:rsidR="007278FB" w:rsidRPr="00963A27">
        <w:rPr>
          <w:rFonts w:ascii="Arial" w:hAnsi="Arial" w:cs="Arial"/>
          <w:b w:val="0"/>
          <w:bCs/>
          <w:sz w:val="20"/>
          <w:szCs w:val="20"/>
        </w:rPr>
        <w:t>[2</w:t>
      </w:r>
      <w:r w:rsidR="006145EC" w:rsidRPr="00963A27">
        <w:rPr>
          <w:rFonts w:ascii="Arial" w:hAnsi="Arial" w:cs="Arial"/>
          <w:b w:val="0"/>
          <w:bCs/>
          <w:sz w:val="20"/>
          <w:szCs w:val="20"/>
        </w:rPr>
        <w:t>2</w:t>
      </w:r>
      <w:r w:rsidR="007278FB" w:rsidRPr="00963A27">
        <w:rPr>
          <w:rFonts w:ascii="Arial" w:hAnsi="Arial" w:cs="Arial"/>
          <w:b w:val="0"/>
          <w:bCs/>
          <w:sz w:val="20"/>
          <w:szCs w:val="20"/>
        </w:rPr>
        <w:t>]</w:t>
      </w:r>
    </w:p>
    <w:tbl>
      <w:tblPr>
        <w:tblStyle w:val="TableGrid"/>
        <w:tblW w:w="0" w:type="auto"/>
        <w:jc w:val="center"/>
        <w:tblLook w:val="04A0" w:firstRow="1" w:lastRow="0" w:firstColumn="1" w:lastColumn="0" w:noHBand="0" w:noVBand="1"/>
      </w:tblPr>
      <w:tblGrid>
        <w:gridCol w:w="837"/>
        <w:gridCol w:w="2977"/>
        <w:gridCol w:w="2277"/>
      </w:tblGrid>
      <w:tr w:rsidR="00CA7BA5" w:rsidRPr="00963A27" w14:paraId="4127510E" w14:textId="77777777" w:rsidTr="00CA7BA5">
        <w:trPr>
          <w:jc w:val="center"/>
        </w:trPr>
        <w:tc>
          <w:tcPr>
            <w:tcW w:w="837" w:type="dxa"/>
          </w:tcPr>
          <w:p w14:paraId="582E4C5A" w14:textId="77777777" w:rsidR="00CA7BA5" w:rsidRPr="00963A27" w:rsidRDefault="00CA7BA5" w:rsidP="00956427">
            <w:pPr>
              <w:spacing w:line="360" w:lineRule="auto"/>
              <w:jc w:val="both"/>
              <w:rPr>
                <w:rFonts w:ascii="Arial" w:hAnsi="Arial" w:cs="Arial"/>
                <w:b/>
                <w:bCs/>
                <w:sz w:val="20"/>
                <w:szCs w:val="20"/>
              </w:rPr>
            </w:pPr>
            <w:r w:rsidRPr="00963A27">
              <w:rPr>
                <w:rFonts w:ascii="Arial" w:hAnsi="Arial" w:cs="Arial"/>
                <w:b/>
                <w:bCs/>
                <w:sz w:val="20"/>
                <w:szCs w:val="20"/>
              </w:rPr>
              <w:t>Sl.NO</w:t>
            </w:r>
          </w:p>
        </w:tc>
        <w:tc>
          <w:tcPr>
            <w:tcW w:w="2977" w:type="dxa"/>
          </w:tcPr>
          <w:p w14:paraId="0333FBD5" w14:textId="77777777" w:rsidR="00CA7BA5" w:rsidRPr="00963A27" w:rsidRDefault="00CA7BA5" w:rsidP="00956427">
            <w:pPr>
              <w:spacing w:line="360" w:lineRule="auto"/>
              <w:jc w:val="both"/>
              <w:rPr>
                <w:rFonts w:ascii="Arial" w:hAnsi="Arial" w:cs="Arial"/>
                <w:b/>
                <w:bCs/>
                <w:sz w:val="20"/>
                <w:szCs w:val="20"/>
              </w:rPr>
            </w:pPr>
            <w:r w:rsidRPr="00963A27">
              <w:rPr>
                <w:rFonts w:ascii="Arial" w:hAnsi="Arial" w:cs="Arial"/>
                <w:b/>
                <w:bCs/>
                <w:sz w:val="20"/>
                <w:szCs w:val="20"/>
              </w:rPr>
              <w:t>INGREDIENTS</w:t>
            </w:r>
          </w:p>
        </w:tc>
        <w:tc>
          <w:tcPr>
            <w:tcW w:w="2277" w:type="dxa"/>
          </w:tcPr>
          <w:p w14:paraId="7C50C1CA" w14:textId="77777777" w:rsidR="00CA7BA5" w:rsidRPr="00963A27" w:rsidRDefault="00CA7BA5" w:rsidP="00956427">
            <w:pPr>
              <w:spacing w:line="360" w:lineRule="auto"/>
              <w:jc w:val="both"/>
              <w:rPr>
                <w:rFonts w:ascii="Arial" w:hAnsi="Arial" w:cs="Arial"/>
                <w:b/>
                <w:bCs/>
                <w:sz w:val="20"/>
                <w:szCs w:val="20"/>
              </w:rPr>
            </w:pPr>
            <w:r w:rsidRPr="00963A27">
              <w:rPr>
                <w:rFonts w:ascii="Arial" w:hAnsi="Arial" w:cs="Arial"/>
                <w:b/>
                <w:bCs/>
                <w:sz w:val="20"/>
                <w:szCs w:val="20"/>
              </w:rPr>
              <w:t>AMOUNT (w/w)</w:t>
            </w:r>
          </w:p>
        </w:tc>
      </w:tr>
      <w:tr w:rsidR="00CA7BA5" w:rsidRPr="00963A27" w14:paraId="3D657710" w14:textId="77777777" w:rsidTr="00CA7BA5">
        <w:trPr>
          <w:jc w:val="center"/>
        </w:trPr>
        <w:tc>
          <w:tcPr>
            <w:tcW w:w="837" w:type="dxa"/>
          </w:tcPr>
          <w:p w14:paraId="1C5D5B6F"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1</w:t>
            </w:r>
          </w:p>
        </w:tc>
        <w:tc>
          <w:tcPr>
            <w:tcW w:w="2977" w:type="dxa"/>
          </w:tcPr>
          <w:p w14:paraId="44896087"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Active Agent (API)</w:t>
            </w:r>
          </w:p>
        </w:tc>
        <w:tc>
          <w:tcPr>
            <w:tcW w:w="2277" w:type="dxa"/>
          </w:tcPr>
          <w:p w14:paraId="65490584"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5-30%</w:t>
            </w:r>
          </w:p>
        </w:tc>
      </w:tr>
      <w:tr w:rsidR="00CA7BA5" w:rsidRPr="00963A27" w14:paraId="520C6734" w14:textId="77777777" w:rsidTr="00CA7BA5">
        <w:trPr>
          <w:jc w:val="center"/>
        </w:trPr>
        <w:tc>
          <w:tcPr>
            <w:tcW w:w="837" w:type="dxa"/>
          </w:tcPr>
          <w:p w14:paraId="7895800B"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2</w:t>
            </w:r>
          </w:p>
        </w:tc>
        <w:tc>
          <w:tcPr>
            <w:tcW w:w="2977" w:type="dxa"/>
          </w:tcPr>
          <w:p w14:paraId="1A5E2108"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Hydrophilic Polymer(s)</w:t>
            </w:r>
          </w:p>
        </w:tc>
        <w:tc>
          <w:tcPr>
            <w:tcW w:w="2277" w:type="dxa"/>
          </w:tcPr>
          <w:p w14:paraId="2825ED46"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45%-50%</w:t>
            </w:r>
          </w:p>
        </w:tc>
      </w:tr>
      <w:tr w:rsidR="00CA7BA5" w:rsidRPr="00963A27" w14:paraId="1EC1EE75" w14:textId="77777777" w:rsidTr="00CA7BA5">
        <w:trPr>
          <w:jc w:val="center"/>
        </w:trPr>
        <w:tc>
          <w:tcPr>
            <w:tcW w:w="837" w:type="dxa"/>
          </w:tcPr>
          <w:p w14:paraId="40E00863"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3</w:t>
            </w:r>
          </w:p>
        </w:tc>
        <w:tc>
          <w:tcPr>
            <w:tcW w:w="2977" w:type="dxa"/>
          </w:tcPr>
          <w:p w14:paraId="6DAE9747"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Plasticizer</w:t>
            </w:r>
          </w:p>
        </w:tc>
        <w:tc>
          <w:tcPr>
            <w:tcW w:w="2277" w:type="dxa"/>
          </w:tcPr>
          <w:p w14:paraId="5DEE6C69"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5-20%</w:t>
            </w:r>
          </w:p>
        </w:tc>
      </w:tr>
      <w:tr w:rsidR="00CA7BA5" w:rsidRPr="00963A27" w14:paraId="6C4CD1A6" w14:textId="77777777" w:rsidTr="00CA7BA5">
        <w:trPr>
          <w:jc w:val="center"/>
        </w:trPr>
        <w:tc>
          <w:tcPr>
            <w:tcW w:w="837" w:type="dxa"/>
          </w:tcPr>
          <w:p w14:paraId="10E5D114"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4</w:t>
            </w:r>
          </w:p>
        </w:tc>
        <w:tc>
          <w:tcPr>
            <w:tcW w:w="2977" w:type="dxa"/>
          </w:tcPr>
          <w:p w14:paraId="5B92A62F"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Saliva Stimulating Agent</w:t>
            </w:r>
          </w:p>
        </w:tc>
        <w:tc>
          <w:tcPr>
            <w:tcW w:w="2277" w:type="dxa"/>
          </w:tcPr>
          <w:p w14:paraId="23FE4293"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2-6%</w:t>
            </w:r>
          </w:p>
        </w:tc>
      </w:tr>
      <w:tr w:rsidR="00CA7BA5" w:rsidRPr="00963A27" w14:paraId="5A2A62DD" w14:textId="77777777" w:rsidTr="00CA7BA5">
        <w:trPr>
          <w:jc w:val="center"/>
        </w:trPr>
        <w:tc>
          <w:tcPr>
            <w:tcW w:w="837" w:type="dxa"/>
          </w:tcPr>
          <w:p w14:paraId="5A13BBBF"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5</w:t>
            </w:r>
          </w:p>
        </w:tc>
        <w:tc>
          <w:tcPr>
            <w:tcW w:w="2977" w:type="dxa"/>
          </w:tcPr>
          <w:p w14:paraId="421684B3"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Surfactant</w:t>
            </w:r>
          </w:p>
        </w:tc>
        <w:tc>
          <w:tcPr>
            <w:tcW w:w="2277" w:type="dxa"/>
          </w:tcPr>
          <w:p w14:paraId="74ED9998"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If needed</w:t>
            </w:r>
          </w:p>
        </w:tc>
      </w:tr>
      <w:tr w:rsidR="00CA7BA5" w:rsidRPr="00963A27" w14:paraId="68EDE0CE" w14:textId="77777777" w:rsidTr="00CA7BA5">
        <w:trPr>
          <w:jc w:val="center"/>
        </w:trPr>
        <w:tc>
          <w:tcPr>
            <w:tcW w:w="837" w:type="dxa"/>
          </w:tcPr>
          <w:p w14:paraId="271FA1DC"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6</w:t>
            </w:r>
          </w:p>
        </w:tc>
        <w:tc>
          <w:tcPr>
            <w:tcW w:w="2977" w:type="dxa"/>
          </w:tcPr>
          <w:p w14:paraId="03914C24"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Sweetening Agent</w:t>
            </w:r>
          </w:p>
        </w:tc>
        <w:tc>
          <w:tcPr>
            <w:tcW w:w="2277" w:type="dxa"/>
          </w:tcPr>
          <w:p w14:paraId="7822C509"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3-6%</w:t>
            </w:r>
          </w:p>
        </w:tc>
      </w:tr>
      <w:tr w:rsidR="00CA7BA5" w:rsidRPr="00963A27" w14:paraId="1713844A" w14:textId="77777777" w:rsidTr="00CA7BA5">
        <w:trPr>
          <w:jc w:val="center"/>
        </w:trPr>
        <w:tc>
          <w:tcPr>
            <w:tcW w:w="837" w:type="dxa"/>
          </w:tcPr>
          <w:p w14:paraId="08D62677"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7</w:t>
            </w:r>
          </w:p>
        </w:tc>
        <w:tc>
          <w:tcPr>
            <w:tcW w:w="2977" w:type="dxa"/>
          </w:tcPr>
          <w:p w14:paraId="1A8E5EBA"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Flavors, Colours, Fillers</w:t>
            </w:r>
          </w:p>
        </w:tc>
        <w:tc>
          <w:tcPr>
            <w:tcW w:w="2277" w:type="dxa"/>
          </w:tcPr>
          <w:p w14:paraId="62D4C196" w14:textId="77777777" w:rsidR="00CA7BA5" w:rsidRPr="00963A27" w:rsidRDefault="00CA7BA5" w:rsidP="00956427">
            <w:pPr>
              <w:spacing w:line="360" w:lineRule="auto"/>
              <w:jc w:val="both"/>
              <w:rPr>
                <w:rFonts w:ascii="Arial" w:hAnsi="Arial" w:cs="Arial"/>
                <w:sz w:val="20"/>
                <w:szCs w:val="20"/>
              </w:rPr>
            </w:pPr>
            <w:r w:rsidRPr="00963A27">
              <w:rPr>
                <w:rFonts w:ascii="Arial" w:hAnsi="Arial" w:cs="Arial"/>
                <w:sz w:val="20"/>
                <w:szCs w:val="20"/>
              </w:rPr>
              <w:t>If needed</w:t>
            </w:r>
          </w:p>
        </w:tc>
      </w:tr>
    </w:tbl>
    <w:p w14:paraId="40676CAF" w14:textId="77777777" w:rsidR="001269F7" w:rsidRDefault="001269F7" w:rsidP="001269F7"/>
    <w:p w14:paraId="438F3882" w14:textId="77777777" w:rsidR="001269F7" w:rsidRDefault="001269F7" w:rsidP="001269F7"/>
    <w:p w14:paraId="0747AD8C" w14:textId="77777777" w:rsidR="001269F7" w:rsidRPr="001269F7" w:rsidRDefault="001269F7" w:rsidP="001269F7"/>
    <w:p w14:paraId="4B0348C3" w14:textId="35E587D8" w:rsidR="00667DD4" w:rsidRPr="007A4263" w:rsidRDefault="00667DD4" w:rsidP="00882252">
      <w:pPr>
        <w:pStyle w:val="ListParagraph"/>
        <w:numPr>
          <w:ilvl w:val="1"/>
          <w:numId w:val="70"/>
        </w:numPr>
        <w:spacing w:before="240" w:line="360" w:lineRule="auto"/>
        <w:ind w:left="0" w:firstLine="284"/>
        <w:jc w:val="both"/>
        <w:rPr>
          <w:rFonts w:ascii="Arial" w:hAnsi="Arial" w:cs="Arial"/>
          <w:b/>
          <w:bCs/>
        </w:rPr>
      </w:pPr>
      <w:r w:rsidRPr="007A4263">
        <w:rPr>
          <w:rFonts w:ascii="Arial" w:hAnsi="Arial" w:cs="Arial"/>
          <w:b/>
          <w:bCs/>
        </w:rPr>
        <w:lastRenderedPageBreak/>
        <w:t>Polymers for Film Formation</w:t>
      </w:r>
    </w:p>
    <w:p w14:paraId="420214F1" w14:textId="77777777" w:rsidR="00667DD4" w:rsidRPr="00963A27" w:rsidRDefault="00667DD4" w:rsidP="00956427">
      <w:pPr>
        <w:spacing w:line="360" w:lineRule="auto"/>
        <w:ind w:left="567"/>
        <w:jc w:val="both"/>
        <w:rPr>
          <w:rFonts w:ascii="Arial" w:hAnsi="Arial" w:cs="Arial"/>
          <w:sz w:val="20"/>
          <w:szCs w:val="20"/>
        </w:rPr>
      </w:pPr>
      <w:r w:rsidRPr="00963A27">
        <w:rPr>
          <w:rFonts w:ascii="Arial" w:hAnsi="Arial" w:cs="Arial"/>
          <w:sz w:val="20"/>
          <w:szCs w:val="20"/>
        </w:rPr>
        <w:t>Polymers are the structural backbone of oral wafers, determining their mechanical properties, dissolution characteristics, and mucoadhesive potential. The selection of polymer determines the disintegration time, drug-loading capacity, and stability of the wafer.</w:t>
      </w:r>
    </w:p>
    <w:p w14:paraId="6D1AFBAF" w14:textId="524710B0" w:rsidR="00667DD4" w:rsidRPr="00963A27" w:rsidRDefault="00667DD4" w:rsidP="00956427">
      <w:pPr>
        <w:spacing w:line="360" w:lineRule="auto"/>
        <w:ind w:left="567"/>
        <w:jc w:val="both"/>
        <w:rPr>
          <w:rFonts w:ascii="Arial" w:hAnsi="Arial" w:cs="Arial"/>
          <w:sz w:val="20"/>
          <w:szCs w:val="20"/>
        </w:rPr>
      </w:pPr>
      <w:r w:rsidRPr="00963A27">
        <w:rPr>
          <w:rFonts w:ascii="Arial" w:hAnsi="Arial" w:cs="Arial"/>
          <w:b/>
          <w:bCs/>
          <w:sz w:val="20"/>
          <w:szCs w:val="20"/>
        </w:rPr>
        <w:t>Natural Polymers</w:t>
      </w:r>
      <w:r w:rsidR="00487703" w:rsidRPr="00963A27">
        <w:rPr>
          <w:rFonts w:ascii="Arial" w:hAnsi="Arial" w:cs="Arial"/>
          <w:b/>
          <w:bCs/>
          <w:sz w:val="20"/>
          <w:szCs w:val="20"/>
        </w:rPr>
        <w:t>:</w:t>
      </w:r>
      <w:r w:rsidR="00487703" w:rsidRPr="00963A27">
        <w:rPr>
          <w:rFonts w:ascii="Arial" w:hAnsi="Arial" w:cs="Arial"/>
          <w:sz w:val="20"/>
          <w:szCs w:val="20"/>
        </w:rPr>
        <w:t xml:space="preserve"> </w:t>
      </w:r>
      <w:r w:rsidRPr="00963A27">
        <w:rPr>
          <w:rFonts w:ascii="Arial" w:hAnsi="Arial" w:cs="Arial"/>
          <w:sz w:val="20"/>
          <w:szCs w:val="20"/>
        </w:rPr>
        <w:t>Natural polymers are biocompatible, biodegradable, and frequently obtained from plant or animal origins. They exhibit superior film-forming properties and improve the safety profile of oral wafers</w:t>
      </w:r>
      <w:r w:rsidR="00544E0E" w:rsidRPr="00963A27">
        <w:rPr>
          <w:rFonts w:ascii="Arial" w:hAnsi="Arial" w:cs="Arial"/>
          <w:sz w:val="20"/>
          <w:szCs w:val="20"/>
        </w:rPr>
        <w:t xml:space="preserve"> [2</w:t>
      </w:r>
      <w:r w:rsidR="006145EC" w:rsidRPr="00963A27">
        <w:rPr>
          <w:rFonts w:ascii="Arial" w:hAnsi="Arial" w:cs="Arial"/>
          <w:sz w:val="20"/>
          <w:szCs w:val="20"/>
        </w:rPr>
        <w:t>3</w:t>
      </w:r>
      <w:r w:rsidR="00544E0E" w:rsidRPr="00963A27">
        <w:rPr>
          <w:rFonts w:ascii="Arial" w:hAnsi="Arial" w:cs="Arial"/>
          <w:sz w:val="20"/>
          <w:szCs w:val="20"/>
        </w:rPr>
        <w:t>]</w:t>
      </w:r>
      <w:r w:rsidRPr="00963A27">
        <w:rPr>
          <w:rFonts w:ascii="Arial" w:hAnsi="Arial" w:cs="Arial"/>
          <w:sz w:val="20"/>
          <w:szCs w:val="20"/>
        </w:rPr>
        <w:t>.</w:t>
      </w:r>
    </w:p>
    <w:p w14:paraId="24E2D187" w14:textId="77777777" w:rsidR="00667DD4" w:rsidRPr="00963A27" w:rsidRDefault="00667DD4" w:rsidP="00882252">
      <w:pPr>
        <w:pStyle w:val="ListParagraph"/>
        <w:numPr>
          <w:ilvl w:val="0"/>
          <w:numId w:val="50"/>
        </w:numPr>
        <w:tabs>
          <w:tab w:val="left" w:pos="851"/>
        </w:tabs>
        <w:spacing w:line="360" w:lineRule="auto"/>
        <w:ind w:left="567" w:firstLine="0"/>
        <w:jc w:val="both"/>
        <w:rPr>
          <w:rFonts w:ascii="Arial" w:hAnsi="Arial" w:cs="Arial"/>
          <w:sz w:val="20"/>
          <w:szCs w:val="20"/>
        </w:rPr>
      </w:pPr>
      <w:r w:rsidRPr="00963A27">
        <w:rPr>
          <w:rFonts w:ascii="Arial" w:hAnsi="Arial" w:cs="Arial"/>
          <w:b/>
          <w:bCs/>
          <w:sz w:val="20"/>
          <w:szCs w:val="20"/>
        </w:rPr>
        <w:t>Sodium Alginate:</w:t>
      </w:r>
      <w:r w:rsidRPr="00963A27">
        <w:rPr>
          <w:rFonts w:ascii="Arial" w:hAnsi="Arial" w:cs="Arial"/>
          <w:sz w:val="20"/>
          <w:szCs w:val="20"/>
        </w:rPr>
        <w:t xml:space="preserve"> From brown seaweed, sodium alginate produces gel films with satisfactory mucoadhesive characteristics, which is appropriate for sustained-release wafers.</w:t>
      </w:r>
    </w:p>
    <w:p w14:paraId="2743BD4C" w14:textId="448A091E" w:rsidR="00667DD4" w:rsidRPr="00963A27" w:rsidRDefault="00667DD4" w:rsidP="00882252">
      <w:pPr>
        <w:pStyle w:val="ListParagraph"/>
        <w:numPr>
          <w:ilvl w:val="0"/>
          <w:numId w:val="50"/>
        </w:numPr>
        <w:tabs>
          <w:tab w:val="left" w:pos="851"/>
        </w:tabs>
        <w:spacing w:line="360" w:lineRule="auto"/>
        <w:ind w:left="567" w:firstLine="0"/>
        <w:jc w:val="both"/>
        <w:rPr>
          <w:rFonts w:ascii="Arial" w:hAnsi="Arial" w:cs="Arial"/>
          <w:sz w:val="20"/>
          <w:szCs w:val="20"/>
        </w:rPr>
      </w:pPr>
      <w:r w:rsidRPr="00963A27">
        <w:rPr>
          <w:rFonts w:ascii="Arial" w:hAnsi="Arial" w:cs="Arial"/>
          <w:b/>
          <w:bCs/>
          <w:sz w:val="20"/>
          <w:szCs w:val="20"/>
        </w:rPr>
        <w:t>Gelatin:</w:t>
      </w:r>
      <w:r w:rsidRPr="00963A27">
        <w:rPr>
          <w:rFonts w:ascii="Arial" w:hAnsi="Arial" w:cs="Arial"/>
          <w:sz w:val="20"/>
          <w:szCs w:val="20"/>
        </w:rPr>
        <w:t xml:space="preserve"> A protein polymer that produces smooth, flexible wafers with fast-dissolving characteristics.</w:t>
      </w:r>
    </w:p>
    <w:p w14:paraId="6CC1DC41" w14:textId="77777777" w:rsidR="00667DD4" w:rsidRPr="00963A27" w:rsidRDefault="00667DD4" w:rsidP="00882252">
      <w:pPr>
        <w:pStyle w:val="ListParagraph"/>
        <w:numPr>
          <w:ilvl w:val="0"/>
          <w:numId w:val="50"/>
        </w:numPr>
        <w:tabs>
          <w:tab w:val="left" w:pos="851"/>
        </w:tabs>
        <w:spacing w:line="360" w:lineRule="auto"/>
        <w:ind w:left="567" w:firstLine="0"/>
        <w:jc w:val="both"/>
        <w:rPr>
          <w:rFonts w:ascii="Arial" w:hAnsi="Arial" w:cs="Arial"/>
          <w:sz w:val="20"/>
          <w:szCs w:val="20"/>
        </w:rPr>
      </w:pPr>
      <w:r w:rsidRPr="00963A27">
        <w:rPr>
          <w:rFonts w:ascii="Arial" w:hAnsi="Arial" w:cs="Arial"/>
          <w:b/>
          <w:bCs/>
          <w:sz w:val="20"/>
          <w:szCs w:val="20"/>
        </w:rPr>
        <w:t>Pullulan:</w:t>
      </w:r>
      <w:r w:rsidRPr="00963A27">
        <w:rPr>
          <w:rFonts w:ascii="Arial" w:hAnsi="Arial" w:cs="Arial"/>
          <w:sz w:val="20"/>
          <w:szCs w:val="20"/>
        </w:rPr>
        <w:t xml:space="preserve"> A polysaccharide that produces transparent, flexible films with satisfactory oxygen barrier characteristics, maintaining drug stability.</w:t>
      </w:r>
    </w:p>
    <w:p w14:paraId="7A9A232F" w14:textId="5B2AAEDA" w:rsidR="00667DD4" w:rsidRPr="00963A27" w:rsidRDefault="00667DD4" w:rsidP="00882252">
      <w:pPr>
        <w:pStyle w:val="ListParagraph"/>
        <w:numPr>
          <w:ilvl w:val="0"/>
          <w:numId w:val="50"/>
        </w:numPr>
        <w:tabs>
          <w:tab w:val="left" w:pos="851"/>
        </w:tabs>
        <w:spacing w:line="360" w:lineRule="auto"/>
        <w:ind w:left="567" w:firstLine="0"/>
        <w:jc w:val="both"/>
        <w:rPr>
          <w:rFonts w:ascii="Arial" w:hAnsi="Arial" w:cs="Arial"/>
          <w:sz w:val="20"/>
          <w:szCs w:val="20"/>
        </w:rPr>
      </w:pPr>
      <w:r w:rsidRPr="00963A27">
        <w:rPr>
          <w:rFonts w:ascii="Arial" w:hAnsi="Arial" w:cs="Arial"/>
          <w:b/>
          <w:bCs/>
          <w:sz w:val="20"/>
          <w:szCs w:val="20"/>
        </w:rPr>
        <w:t>Pectin:</w:t>
      </w:r>
      <w:r w:rsidRPr="00963A27">
        <w:rPr>
          <w:rFonts w:ascii="Arial" w:hAnsi="Arial" w:cs="Arial"/>
          <w:sz w:val="20"/>
          <w:szCs w:val="20"/>
        </w:rPr>
        <w:t xml:space="preserve"> Pectin is derived from fruit peels and contributes to mucoadhesive and controlled-release preparations</w:t>
      </w:r>
      <w:r w:rsidR="006132D8" w:rsidRPr="00963A27">
        <w:rPr>
          <w:rFonts w:ascii="Arial" w:hAnsi="Arial" w:cs="Arial"/>
          <w:sz w:val="20"/>
          <w:szCs w:val="20"/>
        </w:rPr>
        <w:t xml:space="preserve"> </w:t>
      </w:r>
      <w:r w:rsidR="0041291F" w:rsidRPr="00963A27">
        <w:rPr>
          <w:rFonts w:ascii="Arial" w:hAnsi="Arial" w:cs="Arial"/>
          <w:sz w:val="20"/>
          <w:szCs w:val="20"/>
        </w:rPr>
        <w:t>[2</w:t>
      </w:r>
      <w:r w:rsidR="006145EC" w:rsidRPr="00963A27">
        <w:rPr>
          <w:rFonts w:ascii="Arial" w:hAnsi="Arial" w:cs="Arial"/>
          <w:sz w:val="20"/>
          <w:szCs w:val="20"/>
        </w:rPr>
        <w:t>4</w:t>
      </w:r>
      <w:r w:rsidR="002F7BA2" w:rsidRPr="00963A27">
        <w:rPr>
          <w:rFonts w:ascii="Arial" w:hAnsi="Arial" w:cs="Arial"/>
          <w:sz w:val="20"/>
          <w:szCs w:val="20"/>
        </w:rPr>
        <w:t>]</w:t>
      </w:r>
      <w:r w:rsidR="006132D8" w:rsidRPr="00963A27">
        <w:rPr>
          <w:rFonts w:ascii="Arial" w:hAnsi="Arial" w:cs="Arial"/>
          <w:sz w:val="20"/>
          <w:szCs w:val="20"/>
        </w:rPr>
        <w:t>.</w:t>
      </w:r>
    </w:p>
    <w:p w14:paraId="3A8766FD" w14:textId="26E8AE85" w:rsidR="00667DD4" w:rsidRPr="00963A27" w:rsidRDefault="00667DD4" w:rsidP="00956427">
      <w:pPr>
        <w:spacing w:line="360" w:lineRule="auto"/>
        <w:ind w:left="567"/>
        <w:jc w:val="both"/>
        <w:rPr>
          <w:rFonts w:ascii="Arial" w:hAnsi="Arial" w:cs="Arial"/>
          <w:sz w:val="20"/>
          <w:szCs w:val="20"/>
        </w:rPr>
      </w:pPr>
      <w:r w:rsidRPr="00963A27">
        <w:rPr>
          <w:rFonts w:ascii="Arial" w:hAnsi="Arial" w:cs="Arial"/>
          <w:b/>
          <w:bCs/>
          <w:sz w:val="20"/>
          <w:szCs w:val="20"/>
        </w:rPr>
        <w:t>Synthetic Polymers</w:t>
      </w:r>
      <w:r w:rsidR="00487703" w:rsidRPr="00963A27">
        <w:rPr>
          <w:rFonts w:ascii="Arial" w:hAnsi="Arial" w:cs="Arial"/>
          <w:b/>
          <w:bCs/>
          <w:sz w:val="20"/>
          <w:szCs w:val="20"/>
        </w:rPr>
        <w:t>:</w:t>
      </w:r>
      <w:r w:rsidR="00487703" w:rsidRPr="00963A27">
        <w:rPr>
          <w:rFonts w:ascii="Arial" w:hAnsi="Arial" w:cs="Arial"/>
          <w:sz w:val="20"/>
          <w:szCs w:val="20"/>
        </w:rPr>
        <w:t xml:space="preserve"> </w:t>
      </w:r>
      <w:r w:rsidRPr="00963A27">
        <w:rPr>
          <w:rFonts w:ascii="Arial" w:hAnsi="Arial" w:cs="Arial"/>
          <w:sz w:val="20"/>
          <w:szCs w:val="20"/>
        </w:rPr>
        <w:t>Synthetic polymers provide improved mechanical strength, targeted drug release, and greater reproducibility over natural counterparts.</w:t>
      </w:r>
    </w:p>
    <w:p w14:paraId="5BF861E8" w14:textId="79A9C3B8" w:rsidR="00667DD4" w:rsidRPr="00963A27" w:rsidRDefault="00667DD4" w:rsidP="00882252">
      <w:pPr>
        <w:pStyle w:val="ListParagraph"/>
        <w:numPr>
          <w:ilvl w:val="0"/>
          <w:numId w:val="49"/>
        </w:numPr>
        <w:spacing w:line="360" w:lineRule="auto"/>
        <w:ind w:left="567" w:firstLine="0"/>
        <w:jc w:val="both"/>
        <w:rPr>
          <w:rFonts w:ascii="Arial" w:hAnsi="Arial" w:cs="Arial"/>
          <w:sz w:val="20"/>
          <w:szCs w:val="20"/>
        </w:rPr>
      </w:pPr>
      <w:r w:rsidRPr="00963A27">
        <w:rPr>
          <w:rFonts w:ascii="Arial" w:hAnsi="Arial" w:cs="Arial"/>
          <w:b/>
          <w:bCs/>
          <w:sz w:val="20"/>
          <w:szCs w:val="20"/>
        </w:rPr>
        <w:t>Hydroxypropyl Methylcellulose (HPMC):</w:t>
      </w:r>
      <w:r w:rsidRPr="00963A27">
        <w:rPr>
          <w:rFonts w:ascii="Arial" w:hAnsi="Arial" w:cs="Arial"/>
          <w:sz w:val="20"/>
          <w:szCs w:val="20"/>
        </w:rPr>
        <w:t xml:space="preserve"> One of the most commonly used cellulose derivatives with superior film-forming and targeted drug release characteristics.</w:t>
      </w:r>
    </w:p>
    <w:p w14:paraId="0192A484" w14:textId="3A09E0AE" w:rsidR="00667DD4" w:rsidRPr="00963A27" w:rsidRDefault="00667DD4" w:rsidP="00882252">
      <w:pPr>
        <w:pStyle w:val="ListParagraph"/>
        <w:numPr>
          <w:ilvl w:val="0"/>
          <w:numId w:val="49"/>
        </w:numPr>
        <w:spacing w:line="360" w:lineRule="auto"/>
        <w:ind w:left="567" w:firstLine="0"/>
        <w:jc w:val="both"/>
        <w:rPr>
          <w:rFonts w:ascii="Arial" w:hAnsi="Arial" w:cs="Arial"/>
          <w:sz w:val="20"/>
          <w:szCs w:val="20"/>
        </w:rPr>
      </w:pPr>
      <w:r w:rsidRPr="00963A27">
        <w:rPr>
          <w:rFonts w:ascii="Arial" w:hAnsi="Arial" w:cs="Arial"/>
          <w:b/>
          <w:bCs/>
          <w:sz w:val="20"/>
          <w:szCs w:val="20"/>
        </w:rPr>
        <w:t>Polyvinyl Alcohol (PVA):</w:t>
      </w:r>
      <w:r w:rsidRPr="00963A27">
        <w:rPr>
          <w:rFonts w:ascii="Arial" w:hAnsi="Arial" w:cs="Arial"/>
          <w:sz w:val="20"/>
          <w:szCs w:val="20"/>
        </w:rPr>
        <w:t xml:space="preserve"> With its mechanical strength and water solubility, PVA increases oral wafers' flexibility.</w:t>
      </w:r>
      <w:r w:rsidR="00C55316" w:rsidRPr="00963A27">
        <w:rPr>
          <w:rFonts w:ascii="Arial" w:hAnsi="Arial" w:cs="Arial"/>
          <w:sz w:val="20"/>
          <w:szCs w:val="20"/>
        </w:rPr>
        <w:t xml:space="preserve"> </w:t>
      </w:r>
    </w:p>
    <w:p w14:paraId="22462D70" w14:textId="2F9BD615" w:rsidR="00667DD4" w:rsidRPr="00963A27" w:rsidRDefault="00667DD4" w:rsidP="00882252">
      <w:pPr>
        <w:pStyle w:val="ListParagraph"/>
        <w:numPr>
          <w:ilvl w:val="0"/>
          <w:numId w:val="49"/>
        </w:numPr>
        <w:spacing w:line="360" w:lineRule="auto"/>
        <w:ind w:left="567" w:firstLine="0"/>
        <w:jc w:val="both"/>
        <w:rPr>
          <w:rFonts w:ascii="Arial" w:hAnsi="Arial" w:cs="Arial"/>
          <w:sz w:val="20"/>
          <w:szCs w:val="20"/>
        </w:rPr>
      </w:pPr>
      <w:r w:rsidRPr="00963A27">
        <w:rPr>
          <w:rFonts w:ascii="Arial" w:hAnsi="Arial" w:cs="Arial"/>
          <w:b/>
          <w:bCs/>
          <w:sz w:val="20"/>
          <w:szCs w:val="20"/>
        </w:rPr>
        <w:t>Sodium Carboxymethylcellulose (NaCMC):</w:t>
      </w:r>
      <w:r w:rsidRPr="00963A27">
        <w:rPr>
          <w:rFonts w:ascii="Arial" w:hAnsi="Arial" w:cs="Arial"/>
          <w:sz w:val="20"/>
          <w:szCs w:val="20"/>
        </w:rPr>
        <w:t xml:space="preserve"> Water-soluble polymer that enhances mucoadhesion and targeted drug release.</w:t>
      </w:r>
      <w:r w:rsidR="001E21AF" w:rsidRPr="00963A27">
        <w:rPr>
          <w:rFonts w:ascii="Arial" w:hAnsi="Arial" w:cs="Arial"/>
          <w:sz w:val="20"/>
          <w:szCs w:val="20"/>
        </w:rPr>
        <w:t xml:space="preserve"> [2</w:t>
      </w:r>
      <w:r w:rsidR="00B00028" w:rsidRPr="00963A27">
        <w:rPr>
          <w:rFonts w:ascii="Arial" w:hAnsi="Arial" w:cs="Arial"/>
          <w:sz w:val="20"/>
          <w:szCs w:val="20"/>
        </w:rPr>
        <w:t>4</w:t>
      </w:r>
      <w:r w:rsidR="001E21AF" w:rsidRPr="00963A27">
        <w:rPr>
          <w:rFonts w:ascii="Arial" w:hAnsi="Arial" w:cs="Arial"/>
          <w:sz w:val="20"/>
          <w:szCs w:val="20"/>
        </w:rPr>
        <w:t>][2</w:t>
      </w:r>
      <w:r w:rsidR="00B00028" w:rsidRPr="00963A27">
        <w:rPr>
          <w:rFonts w:ascii="Arial" w:hAnsi="Arial" w:cs="Arial"/>
          <w:sz w:val="20"/>
          <w:szCs w:val="20"/>
        </w:rPr>
        <w:t>5</w:t>
      </w:r>
      <w:r w:rsidR="001E21AF" w:rsidRPr="00963A27">
        <w:rPr>
          <w:rFonts w:ascii="Arial" w:hAnsi="Arial" w:cs="Arial"/>
          <w:sz w:val="20"/>
          <w:szCs w:val="20"/>
        </w:rPr>
        <w:t>]</w:t>
      </w:r>
    </w:p>
    <w:p w14:paraId="7949F8AD" w14:textId="4B266B24" w:rsidR="00667DD4" w:rsidRPr="00160B70" w:rsidRDefault="00667DD4" w:rsidP="00882252">
      <w:pPr>
        <w:pStyle w:val="ListParagraph"/>
        <w:numPr>
          <w:ilvl w:val="1"/>
          <w:numId w:val="70"/>
        </w:numPr>
        <w:spacing w:before="240" w:line="360" w:lineRule="auto"/>
        <w:ind w:left="427" w:hanging="426"/>
        <w:jc w:val="both"/>
        <w:rPr>
          <w:rFonts w:ascii="Arial" w:hAnsi="Arial" w:cs="Arial"/>
          <w:b/>
          <w:bCs/>
        </w:rPr>
      </w:pPr>
      <w:r w:rsidRPr="00160B70">
        <w:rPr>
          <w:rFonts w:ascii="Arial" w:hAnsi="Arial" w:cs="Arial"/>
          <w:b/>
          <w:bCs/>
        </w:rPr>
        <w:t>Plasticizers</w:t>
      </w:r>
    </w:p>
    <w:p w14:paraId="6091B42D" w14:textId="1DCCB6A0" w:rsidR="00667DD4" w:rsidRPr="00963A27" w:rsidRDefault="00667DD4" w:rsidP="00956427">
      <w:pPr>
        <w:spacing w:line="360" w:lineRule="auto"/>
        <w:ind w:left="427"/>
        <w:jc w:val="both"/>
        <w:rPr>
          <w:rFonts w:ascii="Arial" w:hAnsi="Arial" w:cs="Arial"/>
          <w:sz w:val="20"/>
          <w:szCs w:val="20"/>
        </w:rPr>
      </w:pPr>
      <w:r w:rsidRPr="00963A27">
        <w:rPr>
          <w:rFonts w:ascii="Arial" w:hAnsi="Arial" w:cs="Arial"/>
          <w:sz w:val="20"/>
          <w:szCs w:val="20"/>
        </w:rPr>
        <w:t>Plasticizers are critical excipients that enhance the elasticity, flexibility, and mechanical strength of oral wafers. Without plasticizers, wafers would be brittle and crackable, minimizing their usability in pharmaceutical applications.</w:t>
      </w:r>
      <w:r w:rsidR="00487703" w:rsidRPr="00963A27">
        <w:rPr>
          <w:rFonts w:ascii="Arial" w:hAnsi="Arial" w:cs="Arial"/>
          <w:sz w:val="20"/>
          <w:szCs w:val="20"/>
        </w:rPr>
        <w:t xml:space="preserve"> </w:t>
      </w:r>
      <w:r w:rsidRPr="00963A27">
        <w:rPr>
          <w:rFonts w:ascii="Arial" w:hAnsi="Arial" w:cs="Arial"/>
          <w:sz w:val="20"/>
          <w:szCs w:val="20"/>
        </w:rPr>
        <w:t xml:space="preserve">Role </w:t>
      </w:r>
      <w:r w:rsidR="00487703" w:rsidRPr="00963A27">
        <w:rPr>
          <w:rFonts w:ascii="Arial" w:hAnsi="Arial" w:cs="Arial"/>
          <w:sz w:val="20"/>
          <w:szCs w:val="20"/>
        </w:rPr>
        <w:t>of plasticizer in f</w:t>
      </w:r>
      <w:r w:rsidRPr="00963A27">
        <w:rPr>
          <w:rFonts w:ascii="Arial" w:hAnsi="Arial" w:cs="Arial"/>
          <w:sz w:val="20"/>
          <w:szCs w:val="20"/>
        </w:rPr>
        <w:t xml:space="preserve">ilm </w:t>
      </w:r>
      <w:r w:rsidR="00487703" w:rsidRPr="00963A27">
        <w:rPr>
          <w:rFonts w:ascii="Arial" w:hAnsi="Arial" w:cs="Arial"/>
          <w:sz w:val="20"/>
          <w:szCs w:val="20"/>
        </w:rPr>
        <w:t>f</w:t>
      </w:r>
      <w:r w:rsidRPr="00963A27">
        <w:rPr>
          <w:rFonts w:ascii="Arial" w:hAnsi="Arial" w:cs="Arial"/>
          <w:sz w:val="20"/>
          <w:szCs w:val="20"/>
        </w:rPr>
        <w:t>ormation</w:t>
      </w:r>
      <w:r w:rsidR="00487703" w:rsidRPr="00963A27">
        <w:rPr>
          <w:rFonts w:ascii="Arial" w:hAnsi="Arial" w:cs="Arial"/>
          <w:sz w:val="20"/>
          <w:szCs w:val="20"/>
        </w:rPr>
        <w:t xml:space="preserve"> </w:t>
      </w:r>
      <w:r w:rsidRPr="00963A27">
        <w:rPr>
          <w:rFonts w:ascii="Arial" w:hAnsi="Arial" w:cs="Arial"/>
          <w:sz w:val="20"/>
          <w:szCs w:val="20"/>
        </w:rPr>
        <w:t>decrease intermolecular forces among polymer chains, increasing film flexibility and decreasing fragility.</w:t>
      </w:r>
      <w:r w:rsidR="00487703" w:rsidRPr="00963A27">
        <w:rPr>
          <w:rFonts w:ascii="Arial" w:hAnsi="Arial" w:cs="Arial"/>
          <w:sz w:val="20"/>
          <w:szCs w:val="20"/>
        </w:rPr>
        <w:t xml:space="preserve"> </w:t>
      </w:r>
      <w:r w:rsidRPr="00963A27">
        <w:rPr>
          <w:rFonts w:ascii="Arial" w:hAnsi="Arial" w:cs="Arial"/>
          <w:sz w:val="20"/>
          <w:szCs w:val="20"/>
        </w:rPr>
        <w:t>They enhance the mechanical strength of the wafers to maintain their integrity during handling and administration.</w:t>
      </w:r>
      <w:r w:rsidR="00487703" w:rsidRPr="00963A27">
        <w:rPr>
          <w:rFonts w:ascii="Arial" w:hAnsi="Arial" w:cs="Arial"/>
          <w:sz w:val="20"/>
          <w:szCs w:val="20"/>
        </w:rPr>
        <w:t xml:space="preserve"> </w:t>
      </w:r>
      <w:r w:rsidRPr="00963A27">
        <w:rPr>
          <w:rFonts w:ascii="Arial" w:hAnsi="Arial" w:cs="Arial"/>
          <w:sz w:val="20"/>
          <w:szCs w:val="20"/>
        </w:rPr>
        <w:t>By adjusting the glass transition temperature (Tg) of the polymer, plasticizers control disintegration and drug release rates.</w:t>
      </w:r>
    </w:p>
    <w:p w14:paraId="0BD87A6C" w14:textId="77777777" w:rsidR="00667DD4" w:rsidRPr="00963A27" w:rsidRDefault="00667DD4" w:rsidP="00956427">
      <w:pPr>
        <w:spacing w:line="360" w:lineRule="auto"/>
        <w:ind w:left="427"/>
        <w:jc w:val="both"/>
        <w:rPr>
          <w:rFonts w:ascii="Arial" w:hAnsi="Arial" w:cs="Arial"/>
          <w:b/>
          <w:bCs/>
          <w:sz w:val="20"/>
          <w:szCs w:val="20"/>
        </w:rPr>
      </w:pPr>
      <w:r w:rsidRPr="00963A27">
        <w:rPr>
          <w:rFonts w:ascii="Arial" w:hAnsi="Arial" w:cs="Arial"/>
          <w:b/>
          <w:bCs/>
          <w:sz w:val="20"/>
          <w:szCs w:val="20"/>
        </w:rPr>
        <w:t>Typical Plasticizers</w:t>
      </w:r>
    </w:p>
    <w:p w14:paraId="6216C8FA" w14:textId="77777777" w:rsidR="00667DD4" w:rsidRPr="00963A27" w:rsidRDefault="00667DD4" w:rsidP="00956427">
      <w:pPr>
        <w:spacing w:line="360" w:lineRule="auto"/>
        <w:ind w:left="569"/>
        <w:jc w:val="both"/>
        <w:rPr>
          <w:rFonts w:ascii="Arial" w:hAnsi="Arial" w:cs="Arial"/>
          <w:sz w:val="20"/>
          <w:szCs w:val="20"/>
        </w:rPr>
      </w:pPr>
      <w:r w:rsidRPr="00963A27">
        <w:rPr>
          <w:rFonts w:ascii="Arial" w:hAnsi="Arial" w:cs="Arial"/>
          <w:b/>
          <w:bCs/>
          <w:sz w:val="20"/>
          <w:szCs w:val="20"/>
        </w:rPr>
        <w:t>Glycerol:</w:t>
      </w:r>
      <w:r w:rsidRPr="00963A27">
        <w:rPr>
          <w:rFonts w:ascii="Arial" w:hAnsi="Arial" w:cs="Arial"/>
          <w:sz w:val="20"/>
          <w:szCs w:val="20"/>
        </w:rPr>
        <w:t xml:space="preserve"> Moisturizes but can add to the water content.</w:t>
      </w:r>
    </w:p>
    <w:p w14:paraId="07477E7A" w14:textId="77777777" w:rsidR="00667DD4" w:rsidRPr="00963A27" w:rsidRDefault="00667DD4" w:rsidP="00956427">
      <w:pPr>
        <w:spacing w:line="360" w:lineRule="auto"/>
        <w:ind w:left="569"/>
        <w:jc w:val="both"/>
        <w:rPr>
          <w:rFonts w:ascii="Arial" w:hAnsi="Arial" w:cs="Arial"/>
          <w:sz w:val="20"/>
          <w:szCs w:val="20"/>
        </w:rPr>
      </w:pPr>
      <w:r w:rsidRPr="00963A27">
        <w:rPr>
          <w:rFonts w:ascii="Arial" w:hAnsi="Arial" w:cs="Arial"/>
          <w:b/>
          <w:bCs/>
          <w:sz w:val="20"/>
          <w:szCs w:val="20"/>
        </w:rPr>
        <w:t>Polyethylene Glycol (PEG):</w:t>
      </w:r>
      <w:r w:rsidRPr="00963A27">
        <w:rPr>
          <w:rFonts w:ascii="Arial" w:hAnsi="Arial" w:cs="Arial"/>
          <w:sz w:val="20"/>
          <w:szCs w:val="20"/>
        </w:rPr>
        <w:t xml:space="preserve"> Varies in molecular weight, PEG has a combination of flexibility and stability.</w:t>
      </w:r>
    </w:p>
    <w:p w14:paraId="3B13B2BB" w14:textId="1C4B1C1D" w:rsidR="00BA2DBF" w:rsidRPr="00963A27" w:rsidRDefault="00667DD4" w:rsidP="00956427">
      <w:pPr>
        <w:spacing w:line="360" w:lineRule="auto"/>
        <w:ind w:left="569"/>
        <w:jc w:val="both"/>
        <w:rPr>
          <w:rFonts w:ascii="Arial" w:hAnsi="Arial" w:cs="Arial"/>
          <w:sz w:val="20"/>
          <w:szCs w:val="20"/>
        </w:rPr>
      </w:pPr>
      <w:r w:rsidRPr="00963A27">
        <w:rPr>
          <w:rFonts w:ascii="Arial" w:hAnsi="Arial" w:cs="Arial"/>
          <w:b/>
          <w:bCs/>
          <w:sz w:val="20"/>
          <w:szCs w:val="20"/>
        </w:rPr>
        <w:lastRenderedPageBreak/>
        <w:t>Propylene Glycol:</w:t>
      </w:r>
      <w:r w:rsidRPr="00963A27">
        <w:rPr>
          <w:rFonts w:ascii="Arial" w:hAnsi="Arial" w:cs="Arial"/>
          <w:sz w:val="20"/>
          <w:szCs w:val="20"/>
        </w:rPr>
        <w:t xml:space="preserve"> Softens the film and improves mechanical strength without holding too much moisture.</w:t>
      </w:r>
      <w:r w:rsidR="00D34372" w:rsidRPr="00963A27">
        <w:rPr>
          <w:rFonts w:ascii="Arial" w:hAnsi="Arial" w:cs="Arial"/>
          <w:sz w:val="20"/>
          <w:szCs w:val="20"/>
        </w:rPr>
        <w:t>[</w:t>
      </w:r>
      <w:r w:rsidR="00CB7580" w:rsidRPr="00963A27">
        <w:rPr>
          <w:rFonts w:ascii="Arial" w:hAnsi="Arial" w:cs="Arial"/>
          <w:sz w:val="20"/>
          <w:szCs w:val="20"/>
        </w:rPr>
        <w:t>2</w:t>
      </w:r>
      <w:r w:rsidR="00274D9C" w:rsidRPr="00963A27">
        <w:rPr>
          <w:rFonts w:ascii="Arial" w:hAnsi="Arial" w:cs="Arial"/>
          <w:sz w:val="20"/>
          <w:szCs w:val="20"/>
        </w:rPr>
        <w:t>6</w:t>
      </w:r>
      <w:r w:rsidR="00CB7580" w:rsidRPr="00963A27">
        <w:rPr>
          <w:rFonts w:ascii="Arial" w:hAnsi="Arial" w:cs="Arial"/>
          <w:sz w:val="20"/>
          <w:szCs w:val="20"/>
        </w:rPr>
        <w:t>]</w:t>
      </w:r>
      <w:r w:rsidR="006C1490" w:rsidRPr="00963A27">
        <w:rPr>
          <w:rFonts w:ascii="Arial" w:hAnsi="Arial" w:cs="Arial"/>
          <w:sz w:val="20"/>
          <w:szCs w:val="20"/>
        </w:rPr>
        <w:t>[2</w:t>
      </w:r>
      <w:r w:rsidR="00274D9C" w:rsidRPr="00963A27">
        <w:rPr>
          <w:rFonts w:ascii="Arial" w:hAnsi="Arial" w:cs="Arial"/>
          <w:sz w:val="20"/>
          <w:szCs w:val="20"/>
        </w:rPr>
        <w:t>7</w:t>
      </w:r>
      <w:r w:rsidR="00DB3313" w:rsidRPr="00963A27">
        <w:rPr>
          <w:rFonts w:ascii="Arial" w:hAnsi="Arial" w:cs="Arial"/>
          <w:sz w:val="20"/>
          <w:szCs w:val="20"/>
        </w:rPr>
        <w:t>]</w:t>
      </w:r>
    </w:p>
    <w:p w14:paraId="106DEBCA" w14:textId="01F7C288" w:rsidR="00C67CF5" w:rsidRPr="00963A27" w:rsidRDefault="00667DD4" w:rsidP="00882252">
      <w:pPr>
        <w:pStyle w:val="ListParagraph"/>
        <w:numPr>
          <w:ilvl w:val="1"/>
          <w:numId w:val="63"/>
        </w:numPr>
        <w:spacing w:line="360" w:lineRule="auto"/>
        <w:ind w:left="427" w:hanging="426"/>
        <w:jc w:val="both"/>
        <w:rPr>
          <w:rFonts w:ascii="Arial" w:hAnsi="Arial" w:cs="Arial"/>
          <w:b/>
          <w:bCs/>
        </w:rPr>
      </w:pPr>
      <w:r w:rsidRPr="00963A27">
        <w:rPr>
          <w:rFonts w:ascii="Arial" w:hAnsi="Arial" w:cs="Arial"/>
          <w:b/>
          <w:bCs/>
        </w:rPr>
        <w:t>Drug Incorporation Strategies</w:t>
      </w:r>
    </w:p>
    <w:p w14:paraId="5C2BA90D" w14:textId="25DC5321" w:rsidR="00667DD4" w:rsidRPr="00963A27" w:rsidRDefault="00667DD4" w:rsidP="00956427">
      <w:pPr>
        <w:spacing w:line="360" w:lineRule="auto"/>
        <w:ind w:left="427"/>
        <w:jc w:val="both"/>
        <w:rPr>
          <w:rFonts w:ascii="Arial" w:hAnsi="Arial" w:cs="Arial"/>
          <w:b/>
          <w:bCs/>
          <w:sz w:val="20"/>
          <w:szCs w:val="20"/>
        </w:rPr>
      </w:pPr>
      <w:r w:rsidRPr="00963A27">
        <w:rPr>
          <w:rFonts w:ascii="Arial" w:hAnsi="Arial" w:cs="Arial"/>
          <w:sz w:val="20"/>
          <w:szCs w:val="20"/>
        </w:rPr>
        <w:t>Effective drug loading in the wafer matrix provides even distribution, stability, and bioavailability. The selection of the drug-loading method is based on the drug's physicochemical characteristics.</w:t>
      </w:r>
    </w:p>
    <w:p w14:paraId="1A501734" w14:textId="742D1F24" w:rsidR="00667DD4" w:rsidRPr="00963A27" w:rsidRDefault="00667DD4" w:rsidP="00882252">
      <w:pPr>
        <w:pStyle w:val="ListParagraph"/>
        <w:numPr>
          <w:ilvl w:val="0"/>
          <w:numId w:val="13"/>
        </w:numPr>
        <w:spacing w:line="360" w:lineRule="auto"/>
        <w:ind w:left="1147"/>
        <w:jc w:val="both"/>
        <w:rPr>
          <w:rFonts w:ascii="Arial" w:hAnsi="Arial" w:cs="Arial"/>
          <w:b/>
          <w:bCs/>
          <w:sz w:val="20"/>
          <w:szCs w:val="20"/>
        </w:rPr>
      </w:pPr>
      <w:r w:rsidRPr="00963A27">
        <w:rPr>
          <w:rFonts w:ascii="Arial" w:hAnsi="Arial" w:cs="Arial"/>
          <w:b/>
          <w:bCs/>
          <w:sz w:val="20"/>
          <w:szCs w:val="20"/>
        </w:rPr>
        <w:t>Direct Drug Dispersion in Polymer Matrix</w:t>
      </w:r>
      <w:r w:rsidR="001E62DC" w:rsidRPr="00963A27">
        <w:rPr>
          <w:rFonts w:ascii="Arial" w:hAnsi="Arial" w:cs="Arial"/>
          <w:b/>
          <w:bCs/>
          <w:sz w:val="20"/>
          <w:szCs w:val="20"/>
        </w:rPr>
        <w:t xml:space="preserve"> </w:t>
      </w:r>
      <w:r w:rsidR="00640DE0" w:rsidRPr="00963A27">
        <w:rPr>
          <w:rFonts w:ascii="Arial" w:hAnsi="Arial" w:cs="Arial"/>
          <w:b/>
          <w:bCs/>
          <w:sz w:val="20"/>
          <w:szCs w:val="20"/>
        </w:rPr>
        <w:t>(</w:t>
      </w:r>
      <w:r w:rsidR="00F505FC" w:rsidRPr="00963A27">
        <w:rPr>
          <w:rFonts w:ascii="Arial" w:hAnsi="Arial" w:cs="Arial"/>
          <w:b/>
          <w:bCs/>
          <w:sz w:val="20"/>
          <w:szCs w:val="20"/>
        </w:rPr>
        <w:t>S</w:t>
      </w:r>
      <w:r w:rsidR="001E62DC" w:rsidRPr="00963A27">
        <w:rPr>
          <w:rFonts w:ascii="Arial" w:hAnsi="Arial" w:cs="Arial"/>
          <w:b/>
          <w:bCs/>
          <w:sz w:val="20"/>
          <w:szCs w:val="20"/>
        </w:rPr>
        <w:t>olid dispersion</w:t>
      </w:r>
      <w:r w:rsidR="00640DE0" w:rsidRPr="00963A27">
        <w:rPr>
          <w:rFonts w:ascii="Arial" w:hAnsi="Arial" w:cs="Arial"/>
          <w:b/>
          <w:bCs/>
          <w:sz w:val="20"/>
          <w:szCs w:val="20"/>
        </w:rPr>
        <w:t>)</w:t>
      </w:r>
      <w:r w:rsidR="00C67CF5" w:rsidRPr="00963A27">
        <w:rPr>
          <w:rFonts w:ascii="Arial" w:hAnsi="Arial" w:cs="Arial"/>
          <w:b/>
          <w:bCs/>
          <w:sz w:val="20"/>
          <w:szCs w:val="20"/>
        </w:rPr>
        <w:t>:</w:t>
      </w:r>
      <w:r w:rsidR="00C67CF5" w:rsidRPr="00963A27">
        <w:rPr>
          <w:rFonts w:ascii="Arial" w:hAnsi="Arial" w:cs="Arial"/>
          <w:sz w:val="20"/>
          <w:szCs w:val="20"/>
        </w:rPr>
        <w:t xml:space="preserve"> </w:t>
      </w:r>
      <w:r w:rsidRPr="00963A27">
        <w:rPr>
          <w:rFonts w:ascii="Arial" w:hAnsi="Arial" w:cs="Arial"/>
          <w:sz w:val="20"/>
          <w:szCs w:val="20"/>
        </w:rPr>
        <w:t>The most uncomplicated approach is the direct dissolution or dispersion of the drug in the polymer solution prior to casting or lyophilization.</w:t>
      </w:r>
      <w:r w:rsidR="00C67CF5" w:rsidRPr="00963A27">
        <w:rPr>
          <w:rFonts w:ascii="Arial" w:hAnsi="Arial" w:cs="Arial"/>
          <w:sz w:val="20"/>
          <w:szCs w:val="20"/>
        </w:rPr>
        <w:t xml:space="preserve"> </w:t>
      </w:r>
      <w:r w:rsidRPr="00963A27">
        <w:rPr>
          <w:rFonts w:ascii="Arial" w:hAnsi="Arial" w:cs="Arial"/>
          <w:sz w:val="20"/>
          <w:szCs w:val="20"/>
        </w:rPr>
        <w:t>Appropriate for water-soluble drugs that don't need sophisticated solubilization methods.</w:t>
      </w:r>
      <w:r w:rsidR="00722EC7" w:rsidRPr="00963A27">
        <w:rPr>
          <w:rFonts w:ascii="Arial" w:hAnsi="Arial" w:cs="Arial"/>
          <w:sz w:val="20"/>
          <w:szCs w:val="20"/>
        </w:rPr>
        <w:t>[2</w:t>
      </w:r>
      <w:r w:rsidR="000C7DE6" w:rsidRPr="00963A27">
        <w:rPr>
          <w:rFonts w:ascii="Arial" w:hAnsi="Arial" w:cs="Arial"/>
          <w:sz w:val="20"/>
          <w:szCs w:val="20"/>
        </w:rPr>
        <w:t>8</w:t>
      </w:r>
      <w:r w:rsidR="00722EC7" w:rsidRPr="00963A27">
        <w:rPr>
          <w:rFonts w:ascii="Arial" w:hAnsi="Arial" w:cs="Arial"/>
          <w:sz w:val="20"/>
          <w:szCs w:val="20"/>
        </w:rPr>
        <w:t>]</w:t>
      </w:r>
    </w:p>
    <w:p w14:paraId="39D95A77" w14:textId="54E920A3" w:rsidR="00667DD4" w:rsidRPr="00963A27" w:rsidRDefault="00667DD4" w:rsidP="00882252">
      <w:pPr>
        <w:pStyle w:val="ListParagraph"/>
        <w:numPr>
          <w:ilvl w:val="0"/>
          <w:numId w:val="13"/>
        </w:numPr>
        <w:spacing w:line="360" w:lineRule="auto"/>
        <w:ind w:left="1147"/>
        <w:jc w:val="both"/>
        <w:rPr>
          <w:rFonts w:ascii="Arial" w:hAnsi="Arial" w:cs="Arial"/>
          <w:sz w:val="20"/>
          <w:szCs w:val="20"/>
        </w:rPr>
      </w:pPr>
      <w:r w:rsidRPr="00963A27">
        <w:rPr>
          <w:rFonts w:ascii="Arial" w:hAnsi="Arial" w:cs="Arial"/>
          <w:b/>
          <w:bCs/>
          <w:sz w:val="20"/>
          <w:szCs w:val="20"/>
        </w:rPr>
        <w:t>Application of Drug-Loaded Nanoparticles/Liposomes</w:t>
      </w:r>
      <w:r w:rsidR="00C67CF5" w:rsidRPr="00963A27">
        <w:rPr>
          <w:rFonts w:ascii="Arial" w:hAnsi="Arial" w:cs="Arial"/>
          <w:b/>
          <w:bCs/>
          <w:sz w:val="20"/>
          <w:szCs w:val="20"/>
        </w:rPr>
        <w:t xml:space="preserve">: </w:t>
      </w:r>
      <w:r w:rsidRPr="00963A27">
        <w:rPr>
          <w:rFonts w:ascii="Arial" w:hAnsi="Arial" w:cs="Arial"/>
          <w:sz w:val="20"/>
          <w:szCs w:val="20"/>
        </w:rPr>
        <w:t>Nanoparticles and liposomes enhance solubility and bioavailability of drugs with low water solubility.</w:t>
      </w:r>
      <w:r w:rsidR="00C67CF5" w:rsidRPr="00963A27">
        <w:rPr>
          <w:rFonts w:ascii="Arial" w:hAnsi="Arial" w:cs="Arial"/>
          <w:sz w:val="20"/>
          <w:szCs w:val="20"/>
        </w:rPr>
        <w:t xml:space="preserve"> </w:t>
      </w:r>
      <w:r w:rsidRPr="00963A27">
        <w:rPr>
          <w:rFonts w:ascii="Arial" w:hAnsi="Arial" w:cs="Arial"/>
          <w:sz w:val="20"/>
          <w:szCs w:val="20"/>
        </w:rPr>
        <w:t>Such carriers shield vulnerable APIs from decomposition and increase mucosal penetration.</w:t>
      </w:r>
      <w:r w:rsidR="00C67CF5" w:rsidRPr="00963A27">
        <w:rPr>
          <w:rFonts w:ascii="Arial" w:hAnsi="Arial" w:cs="Arial"/>
          <w:sz w:val="20"/>
          <w:szCs w:val="20"/>
        </w:rPr>
        <w:t xml:space="preserve"> </w:t>
      </w:r>
      <w:r w:rsidRPr="00963A27">
        <w:rPr>
          <w:rFonts w:ascii="Arial" w:hAnsi="Arial" w:cs="Arial"/>
          <w:sz w:val="20"/>
          <w:szCs w:val="20"/>
        </w:rPr>
        <w:t>Liposomes imitate biologic membranes to improve absorption across the oral mucosa.</w:t>
      </w:r>
      <w:r w:rsidR="009F4A97" w:rsidRPr="00963A27">
        <w:rPr>
          <w:rFonts w:ascii="Arial" w:hAnsi="Arial" w:cs="Arial"/>
          <w:sz w:val="20"/>
          <w:szCs w:val="20"/>
        </w:rPr>
        <w:t xml:space="preserve"> [2</w:t>
      </w:r>
      <w:r w:rsidR="000778EA" w:rsidRPr="00963A27">
        <w:rPr>
          <w:rFonts w:ascii="Arial" w:hAnsi="Arial" w:cs="Arial"/>
          <w:sz w:val="20"/>
          <w:szCs w:val="20"/>
        </w:rPr>
        <w:t>9</w:t>
      </w:r>
      <w:r w:rsidR="005F1F5C" w:rsidRPr="00963A27">
        <w:rPr>
          <w:rFonts w:ascii="Arial" w:hAnsi="Arial" w:cs="Arial"/>
          <w:sz w:val="20"/>
          <w:szCs w:val="20"/>
        </w:rPr>
        <w:t>]</w:t>
      </w:r>
      <w:r w:rsidR="0049220C" w:rsidRPr="00963A27">
        <w:rPr>
          <w:rFonts w:ascii="Arial" w:hAnsi="Arial" w:cs="Arial"/>
          <w:sz w:val="20"/>
          <w:szCs w:val="20"/>
        </w:rPr>
        <w:t>[</w:t>
      </w:r>
      <w:r w:rsidR="005F1F5C" w:rsidRPr="00963A27">
        <w:rPr>
          <w:rFonts w:ascii="Arial" w:hAnsi="Arial" w:cs="Arial"/>
          <w:sz w:val="20"/>
          <w:szCs w:val="20"/>
        </w:rPr>
        <w:t>30</w:t>
      </w:r>
      <w:r w:rsidR="0049220C" w:rsidRPr="00963A27">
        <w:rPr>
          <w:rFonts w:ascii="Arial" w:hAnsi="Arial" w:cs="Arial"/>
          <w:sz w:val="20"/>
          <w:szCs w:val="20"/>
        </w:rPr>
        <w:t>][</w:t>
      </w:r>
      <w:r w:rsidR="005F1F5C" w:rsidRPr="00963A27">
        <w:rPr>
          <w:rFonts w:ascii="Arial" w:hAnsi="Arial" w:cs="Arial"/>
          <w:sz w:val="20"/>
          <w:szCs w:val="20"/>
        </w:rPr>
        <w:t>31</w:t>
      </w:r>
      <w:r w:rsidR="0049220C" w:rsidRPr="00963A27">
        <w:rPr>
          <w:rFonts w:ascii="Arial" w:hAnsi="Arial" w:cs="Arial"/>
          <w:sz w:val="20"/>
          <w:szCs w:val="20"/>
        </w:rPr>
        <w:t>]</w:t>
      </w:r>
    </w:p>
    <w:p w14:paraId="0888AC69" w14:textId="771383CD" w:rsidR="00667DD4" w:rsidRPr="00963A27" w:rsidRDefault="001429D5" w:rsidP="00882252">
      <w:pPr>
        <w:pStyle w:val="ListParagraph"/>
        <w:numPr>
          <w:ilvl w:val="1"/>
          <w:numId w:val="63"/>
        </w:numPr>
        <w:spacing w:before="240" w:line="360" w:lineRule="auto"/>
        <w:ind w:left="568" w:hanging="567"/>
        <w:jc w:val="both"/>
        <w:rPr>
          <w:rFonts w:ascii="Arial" w:hAnsi="Arial" w:cs="Arial"/>
          <w:b/>
          <w:bCs/>
        </w:rPr>
      </w:pPr>
      <w:r w:rsidRPr="00963A27">
        <w:rPr>
          <w:rFonts w:ascii="Arial" w:hAnsi="Arial" w:cs="Arial"/>
          <w:b/>
          <w:bCs/>
        </w:rPr>
        <w:t>Flavouring</w:t>
      </w:r>
      <w:r w:rsidR="00667DD4" w:rsidRPr="00963A27">
        <w:rPr>
          <w:rFonts w:ascii="Arial" w:hAnsi="Arial" w:cs="Arial"/>
          <w:b/>
          <w:bCs/>
        </w:rPr>
        <w:t xml:space="preserve"> Agents and Sweeteners</w:t>
      </w:r>
    </w:p>
    <w:p w14:paraId="1A7A8D3B" w14:textId="43D808DF" w:rsidR="00667DD4" w:rsidRPr="00963A27" w:rsidRDefault="00E23A16" w:rsidP="00956427">
      <w:pPr>
        <w:spacing w:line="360" w:lineRule="auto"/>
        <w:ind w:left="568"/>
        <w:jc w:val="both"/>
        <w:rPr>
          <w:rFonts w:ascii="Arial" w:hAnsi="Arial" w:cs="Arial"/>
          <w:sz w:val="20"/>
          <w:szCs w:val="20"/>
        </w:rPr>
      </w:pPr>
      <w:r w:rsidRPr="00963A27">
        <w:rPr>
          <w:rFonts w:ascii="Arial" w:hAnsi="Arial" w:cs="Arial"/>
          <w:sz w:val="20"/>
          <w:szCs w:val="20"/>
        </w:rPr>
        <w:t>Flavour</w:t>
      </w:r>
      <w:r w:rsidR="00667DD4" w:rsidRPr="00963A27">
        <w:rPr>
          <w:rFonts w:ascii="Arial" w:hAnsi="Arial" w:cs="Arial"/>
          <w:sz w:val="20"/>
          <w:szCs w:val="20"/>
        </w:rPr>
        <w:t xml:space="preserve"> is very important to patient acceptance, especially in children and the elderly. Sweetening agents and </w:t>
      </w:r>
      <w:r w:rsidRPr="00963A27">
        <w:rPr>
          <w:rFonts w:ascii="Arial" w:hAnsi="Arial" w:cs="Arial"/>
          <w:sz w:val="20"/>
          <w:szCs w:val="20"/>
        </w:rPr>
        <w:t>flavouring</w:t>
      </w:r>
      <w:r w:rsidR="00667DD4" w:rsidRPr="00963A27">
        <w:rPr>
          <w:rFonts w:ascii="Arial" w:hAnsi="Arial" w:cs="Arial"/>
          <w:sz w:val="20"/>
          <w:szCs w:val="20"/>
        </w:rPr>
        <w:t xml:space="preserve"> agents suppress bitterness of active compounds and promote patient satisfaction overall.</w:t>
      </w:r>
    </w:p>
    <w:p w14:paraId="1D857FA9" w14:textId="77777777" w:rsidR="00667DD4" w:rsidRPr="00963A27" w:rsidRDefault="00667DD4" w:rsidP="00956427">
      <w:pPr>
        <w:spacing w:line="360" w:lineRule="auto"/>
        <w:ind w:left="568"/>
        <w:jc w:val="both"/>
        <w:rPr>
          <w:rFonts w:ascii="Arial" w:hAnsi="Arial" w:cs="Arial"/>
          <w:b/>
          <w:bCs/>
          <w:sz w:val="20"/>
          <w:szCs w:val="20"/>
        </w:rPr>
      </w:pPr>
      <w:r w:rsidRPr="00963A27">
        <w:rPr>
          <w:rFonts w:ascii="Arial" w:hAnsi="Arial" w:cs="Arial"/>
          <w:b/>
          <w:bCs/>
          <w:sz w:val="20"/>
          <w:szCs w:val="20"/>
        </w:rPr>
        <w:t>Natural vs. Artificial Sweeteners</w:t>
      </w:r>
    </w:p>
    <w:p w14:paraId="1E41B5F9" w14:textId="77777777" w:rsidR="00667DD4" w:rsidRPr="00963A27" w:rsidRDefault="00667DD4" w:rsidP="00956427">
      <w:pPr>
        <w:spacing w:line="360" w:lineRule="auto"/>
        <w:ind w:left="852"/>
        <w:jc w:val="both"/>
        <w:rPr>
          <w:rFonts w:ascii="Arial" w:hAnsi="Arial" w:cs="Arial"/>
          <w:sz w:val="20"/>
          <w:szCs w:val="20"/>
        </w:rPr>
      </w:pPr>
      <w:r w:rsidRPr="00963A27">
        <w:rPr>
          <w:rFonts w:ascii="Arial" w:hAnsi="Arial" w:cs="Arial"/>
          <w:b/>
          <w:bCs/>
          <w:sz w:val="20"/>
          <w:szCs w:val="20"/>
        </w:rPr>
        <w:t>Natural Sweeteners:</w:t>
      </w:r>
      <w:r w:rsidRPr="00963A27">
        <w:rPr>
          <w:rFonts w:ascii="Arial" w:hAnsi="Arial" w:cs="Arial"/>
          <w:sz w:val="20"/>
          <w:szCs w:val="20"/>
        </w:rPr>
        <w:t xml:space="preserve"> They include sucrose, fructose, and stevia. These are used owing to their safety profile and lesser aftertaste.</w:t>
      </w:r>
    </w:p>
    <w:p w14:paraId="3BEE297E" w14:textId="682ACCF6" w:rsidR="00667DD4" w:rsidRPr="00963A27" w:rsidRDefault="00667DD4" w:rsidP="00956427">
      <w:pPr>
        <w:spacing w:line="360" w:lineRule="auto"/>
        <w:ind w:left="852"/>
        <w:jc w:val="both"/>
        <w:rPr>
          <w:rFonts w:ascii="Arial" w:hAnsi="Arial" w:cs="Arial"/>
          <w:sz w:val="20"/>
          <w:szCs w:val="20"/>
        </w:rPr>
      </w:pPr>
      <w:r w:rsidRPr="00963A27">
        <w:rPr>
          <w:rFonts w:ascii="Arial" w:hAnsi="Arial" w:cs="Arial"/>
          <w:b/>
          <w:bCs/>
          <w:sz w:val="20"/>
          <w:szCs w:val="20"/>
        </w:rPr>
        <w:t>Artificial Sweeteners:</w:t>
      </w:r>
      <w:r w:rsidRPr="00963A27">
        <w:rPr>
          <w:rFonts w:ascii="Arial" w:hAnsi="Arial" w:cs="Arial"/>
          <w:sz w:val="20"/>
          <w:szCs w:val="20"/>
        </w:rPr>
        <w:t xml:space="preserve"> Aspartame, sucralose, and saccharin are examples. These offer a high-intensity sweet taste with less caloric effect but are liable to create an aftertaste.</w:t>
      </w:r>
      <w:r w:rsidR="005B2B0C" w:rsidRPr="00963A27">
        <w:rPr>
          <w:rFonts w:ascii="Arial" w:hAnsi="Arial" w:cs="Arial"/>
          <w:sz w:val="20"/>
          <w:szCs w:val="20"/>
        </w:rPr>
        <w:t xml:space="preserve"> [3</w:t>
      </w:r>
      <w:r w:rsidR="00AC550F" w:rsidRPr="00963A27">
        <w:rPr>
          <w:rFonts w:ascii="Arial" w:hAnsi="Arial" w:cs="Arial"/>
          <w:sz w:val="20"/>
          <w:szCs w:val="20"/>
        </w:rPr>
        <w:t>2</w:t>
      </w:r>
      <w:r w:rsidR="005B2B0C" w:rsidRPr="00963A27">
        <w:rPr>
          <w:rFonts w:ascii="Arial" w:hAnsi="Arial" w:cs="Arial"/>
          <w:sz w:val="20"/>
          <w:szCs w:val="20"/>
        </w:rPr>
        <w:t>]</w:t>
      </w:r>
    </w:p>
    <w:p w14:paraId="226BD2D5" w14:textId="77777777" w:rsidR="00667DD4" w:rsidRPr="00963A27" w:rsidRDefault="00667DD4" w:rsidP="00956427">
      <w:pPr>
        <w:spacing w:line="360" w:lineRule="auto"/>
        <w:ind w:left="568"/>
        <w:jc w:val="both"/>
        <w:rPr>
          <w:rFonts w:ascii="Arial" w:hAnsi="Arial" w:cs="Arial"/>
          <w:b/>
          <w:bCs/>
          <w:sz w:val="20"/>
          <w:szCs w:val="20"/>
        </w:rPr>
      </w:pPr>
      <w:r w:rsidRPr="00963A27">
        <w:rPr>
          <w:rFonts w:ascii="Arial" w:hAnsi="Arial" w:cs="Arial"/>
          <w:b/>
          <w:bCs/>
          <w:sz w:val="20"/>
          <w:szCs w:val="20"/>
        </w:rPr>
        <w:t>Role in Patient Acceptability and Compliance</w:t>
      </w:r>
    </w:p>
    <w:p w14:paraId="0886A957" w14:textId="5112E000" w:rsidR="00667DD4" w:rsidRPr="00963A27" w:rsidRDefault="00667DD4" w:rsidP="00956427">
      <w:pPr>
        <w:pStyle w:val="ListParagraph"/>
        <w:numPr>
          <w:ilvl w:val="0"/>
          <w:numId w:val="2"/>
        </w:numPr>
        <w:spacing w:line="360" w:lineRule="auto"/>
        <w:ind w:left="1288"/>
        <w:contextualSpacing w:val="0"/>
        <w:jc w:val="both"/>
        <w:rPr>
          <w:rFonts w:ascii="Arial" w:hAnsi="Arial" w:cs="Arial"/>
          <w:sz w:val="20"/>
          <w:szCs w:val="20"/>
        </w:rPr>
      </w:pPr>
      <w:r w:rsidRPr="00963A27">
        <w:rPr>
          <w:rFonts w:ascii="Arial" w:hAnsi="Arial" w:cs="Arial"/>
          <w:sz w:val="20"/>
          <w:szCs w:val="20"/>
        </w:rPr>
        <w:t>Increases the palatability, thus improving the acceptability of the wafer.</w:t>
      </w:r>
    </w:p>
    <w:p w14:paraId="79C0883F" w14:textId="5C284347" w:rsidR="00667DD4" w:rsidRPr="00963A27" w:rsidRDefault="00667DD4" w:rsidP="00956427">
      <w:pPr>
        <w:pStyle w:val="ListParagraph"/>
        <w:numPr>
          <w:ilvl w:val="0"/>
          <w:numId w:val="2"/>
        </w:numPr>
        <w:spacing w:line="360" w:lineRule="auto"/>
        <w:ind w:left="1288"/>
        <w:contextualSpacing w:val="0"/>
        <w:jc w:val="both"/>
        <w:rPr>
          <w:rFonts w:ascii="Arial" w:hAnsi="Arial" w:cs="Arial"/>
          <w:sz w:val="20"/>
          <w:szCs w:val="20"/>
        </w:rPr>
      </w:pPr>
      <w:r w:rsidRPr="00963A27">
        <w:rPr>
          <w:rFonts w:ascii="Arial" w:hAnsi="Arial" w:cs="Arial"/>
          <w:sz w:val="20"/>
          <w:szCs w:val="20"/>
        </w:rPr>
        <w:t>Lowers bitterness, hence improving the patient compliance as well as with the therapy.</w:t>
      </w:r>
    </w:p>
    <w:p w14:paraId="78823C47" w14:textId="7813756B" w:rsidR="00667DD4" w:rsidRPr="00963A27" w:rsidRDefault="00667DD4" w:rsidP="00956427">
      <w:pPr>
        <w:pStyle w:val="ListParagraph"/>
        <w:numPr>
          <w:ilvl w:val="0"/>
          <w:numId w:val="2"/>
        </w:numPr>
        <w:spacing w:line="360" w:lineRule="auto"/>
        <w:ind w:left="1288"/>
        <w:contextualSpacing w:val="0"/>
        <w:jc w:val="both"/>
        <w:rPr>
          <w:rFonts w:ascii="Arial" w:hAnsi="Arial" w:cs="Arial"/>
          <w:sz w:val="20"/>
          <w:szCs w:val="20"/>
        </w:rPr>
      </w:pPr>
      <w:r w:rsidRPr="00963A27">
        <w:rPr>
          <w:rFonts w:ascii="Arial" w:hAnsi="Arial" w:cs="Arial"/>
          <w:sz w:val="20"/>
          <w:szCs w:val="20"/>
        </w:rPr>
        <w:t>Enables formulation personalization according to patient preference and therapeutic requirements</w:t>
      </w:r>
      <w:r w:rsidR="00EA67C4" w:rsidRPr="00963A27">
        <w:rPr>
          <w:rFonts w:ascii="Arial" w:hAnsi="Arial" w:cs="Arial"/>
          <w:sz w:val="20"/>
          <w:szCs w:val="20"/>
        </w:rPr>
        <w:t>. [3</w:t>
      </w:r>
      <w:r w:rsidR="00AC550F" w:rsidRPr="00963A27">
        <w:rPr>
          <w:rFonts w:ascii="Arial" w:hAnsi="Arial" w:cs="Arial"/>
          <w:sz w:val="20"/>
          <w:szCs w:val="20"/>
        </w:rPr>
        <w:t>3</w:t>
      </w:r>
      <w:r w:rsidR="00EA67C4" w:rsidRPr="00963A27">
        <w:rPr>
          <w:rFonts w:ascii="Arial" w:hAnsi="Arial" w:cs="Arial"/>
          <w:sz w:val="20"/>
          <w:szCs w:val="20"/>
        </w:rPr>
        <w:t>]</w:t>
      </w:r>
    </w:p>
    <w:p w14:paraId="374F588B" w14:textId="3158E3DF" w:rsidR="00667DD4" w:rsidRPr="00963A27" w:rsidRDefault="00667DD4" w:rsidP="00882252">
      <w:pPr>
        <w:pStyle w:val="ListParagraph"/>
        <w:numPr>
          <w:ilvl w:val="1"/>
          <w:numId w:val="63"/>
        </w:numPr>
        <w:spacing w:line="360" w:lineRule="auto"/>
        <w:ind w:left="710" w:hanging="709"/>
        <w:jc w:val="both"/>
        <w:rPr>
          <w:rFonts w:ascii="Arial" w:hAnsi="Arial" w:cs="Arial"/>
          <w:b/>
          <w:bCs/>
        </w:rPr>
      </w:pPr>
      <w:r w:rsidRPr="00963A27">
        <w:rPr>
          <w:rFonts w:ascii="Arial" w:hAnsi="Arial" w:cs="Arial"/>
          <w:b/>
          <w:bCs/>
        </w:rPr>
        <w:t>Surfactants and Penetration Enhancers</w:t>
      </w:r>
    </w:p>
    <w:p w14:paraId="1F12070E" w14:textId="77777777" w:rsidR="00667DD4" w:rsidRPr="00963A27" w:rsidRDefault="00667DD4" w:rsidP="00956427">
      <w:pPr>
        <w:spacing w:line="360" w:lineRule="auto"/>
        <w:ind w:left="721"/>
        <w:jc w:val="both"/>
        <w:rPr>
          <w:rFonts w:ascii="Arial" w:hAnsi="Arial" w:cs="Arial"/>
          <w:sz w:val="20"/>
          <w:szCs w:val="20"/>
        </w:rPr>
      </w:pPr>
      <w:r w:rsidRPr="00963A27">
        <w:rPr>
          <w:rFonts w:ascii="Arial" w:hAnsi="Arial" w:cs="Arial"/>
          <w:sz w:val="20"/>
          <w:szCs w:val="20"/>
        </w:rPr>
        <w:t>Surfactants and penetration enhancers are important in enhancing the solubility, absorption, and bioavailability of drugs, especially poorly soluble drugs.</w:t>
      </w:r>
    </w:p>
    <w:p w14:paraId="70C7A41C" w14:textId="77777777" w:rsidR="00DD29D3" w:rsidRPr="00963A27" w:rsidRDefault="00667DD4" w:rsidP="00956427">
      <w:pPr>
        <w:spacing w:line="360" w:lineRule="auto"/>
        <w:ind w:left="721"/>
        <w:jc w:val="both"/>
        <w:rPr>
          <w:rFonts w:ascii="Arial" w:hAnsi="Arial" w:cs="Arial"/>
          <w:sz w:val="20"/>
          <w:szCs w:val="20"/>
        </w:rPr>
      </w:pPr>
      <w:r w:rsidRPr="00963A27">
        <w:rPr>
          <w:rFonts w:ascii="Arial" w:hAnsi="Arial" w:cs="Arial"/>
          <w:b/>
          <w:bCs/>
          <w:sz w:val="20"/>
          <w:szCs w:val="20"/>
        </w:rPr>
        <w:t>Function in Drug Dissolution and Absorption</w:t>
      </w:r>
      <w:r w:rsidR="00DD29D3" w:rsidRPr="00963A27">
        <w:rPr>
          <w:rFonts w:ascii="Arial" w:hAnsi="Arial" w:cs="Arial"/>
          <w:b/>
          <w:bCs/>
          <w:sz w:val="20"/>
          <w:szCs w:val="20"/>
        </w:rPr>
        <w:t>:</w:t>
      </w:r>
      <w:r w:rsidR="00DD29D3" w:rsidRPr="00963A27">
        <w:rPr>
          <w:rFonts w:ascii="Arial" w:hAnsi="Arial" w:cs="Arial"/>
          <w:sz w:val="20"/>
          <w:szCs w:val="20"/>
        </w:rPr>
        <w:t xml:space="preserve"> </w:t>
      </w:r>
      <w:r w:rsidRPr="00963A27">
        <w:rPr>
          <w:rFonts w:ascii="Arial" w:hAnsi="Arial" w:cs="Arial"/>
          <w:sz w:val="20"/>
          <w:szCs w:val="20"/>
        </w:rPr>
        <w:t>Surfactants decrease surface tension to improve drug dispersion and solubility in saliva.</w:t>
      </w:r>
    </w:p>
    <w:p w14:paraId="11E4009C" w14:textId="0882431B" w:rsidR="00126F8A" w:rsidRPr="00963A27" w:rsidRDefault="00667DD4" w:rsidP="00956427">
      <w:pPr>
        <w:spacing w:line="360" w:lineRule="auto"/>
        <w:ind w:left="721"/>
        <w:jc w:val="both"/>
        <w:rPr>
          <w:rFonts w:ascii="Arial" w:hAnsi="Arial" w:cs="Arial"/>
          <w:sz w:val="20"/>
          <w:szCs w:val="20"/>
        </w:rPr>
      </w:pPr>
      <w:r w:rsidRPr="00963A27">
        <w:rPr>
          <w:rFonts w:ascii="Arial" w:hAnsi="Arial" w:cs="Arial"/>
          <w:sz w:val="20"/>
          <w:szCs w:val="20"/>
        </w:rPr>
        <w:lastRenderedPageBreak/>
        <w:t>Penetration enhancers ease the passage of drugs through mucosal membranes through the modification of lipid bilayer permeability or the disruption of tight junctions.</w:t>
      </w:r>
      <w:r w:rsidR="001E1E7F" w:rsidRPr="00963A27">
        <w:rPr>
          <w:rFonts w:ascii="Arial" w:hAnsi="Arial" w:cs="Arial"/>
          <w:sz w:val="20"/>
          <w:szCs w:val="20"/>
        </w:rPr>
        <w:t xml:space="preserve"> [3</w:t>
      </w:r>
      <w:r w:rsidR="00AC550F" w:rsidRPr="00963A27">
        <w:rPr>
          <w:rFonts w:ascii="Arial" w:hAnsi="Arial" w:cs="Arial"/>
          <w:sz w:val="20"/>
          <w:szCs w:val="20"/>
        </w:rPr>
        <w:t>4</w:t>
      </w:r>
      <w:r w:rsidR="001E1E7F" w:rsidRPr="00963A27">
        <w:rPr>
          <w:rFonts w:ascii="Arial" w:hAnsi="Arial" w:cs="Arial"/>
          <w:sz w:val="20"/>
          <w:szCs w:val="20"/>
        </w:rPr>
        <w:t>]</w:t>
      </w:r>
    </w:p>
    <w:p w14:paraId="365D8529" w14:textId="35EFBAD6" w:rsidR="00667DD4" w:rsidRPr="00963A27" w:rsidRDefault="00667DD4" w:rsidP="00956427">
      <w:pPr>
        <w:spacing w:line="360" w:lineRule="auto"/>
        <w:ind w:left="721"/>
        <w:jc w:val="both"/>
        <w:rPr>
          <w:rFonts w:ascii="Arial" w:hAnsi="Arial" w:cs="Arial"/>
          <w:b/>
          <w:bCs/>
          <w:sz w:val="20"/>
          <w:szCs w:val="20"/>
        </w:rPr>
      </w:pPr>
      <w:r w:rsidRPr="00963A27">
        <w:rPr>
          <w:rFonts w:ascii="Arial" w:hAnsi="Arial" w:cs="Arial"/>
          <w:b/>
          <w:bCs/>
          <w:sz w:val="20"/>
          <w:szCs w:val="20"/>
        </w:rPr>
        <w:t>Examples of Surfactants and Penetration Enhancers</w:t>
      </w:r>
    </w:p>
    <w:p w14:paraId="3CCA58E0" w14:textId="77777777" w:rsidR="00667DD4" w:rsidRPr="00963A27" w:rsidRDefault="00667DD4" w:rsidP="00956427">
      <w:pPr>
        <w:spacing w:line="360" w:lineRule="auto"/>
        <w:ind w:left="1005"/>
        <w:jc w:val="both"/>
        <w:rPr>
          <w:rFonts w:ascii="Arial" w:hAnsi="Arial" w:cs="Arial"/>
          <w:sz w:val="20"/>
          <w:szCs w:val="20"/>
        </w:rPr>
      </w:pPr>
      <w:r w:rsidRPr="00963A27">
        <w:rPr>
          <w:rFonts w:ascii="Arial" w:hAnsi="Arial" w:cs="Arial"/>
          <w:b/>
          <w:bCs/>
          <w:sz w:val="20"/>
          <w:szCs w:val="20"/>
        </w:rPr>
        <w:t>Poloxamers:</w:t>
      </w:r>
      <w:r w:rsidRPr="00963A27">
        <w:rPr>
          <w:rFonts w:ascii="Arial" w:hAnsi="Arial" w:cs="Arial"/>
          <w:sz w:val="20"/>
          <w:szCs w:val="20"/>
        </w:rPr>
        <w:t xml:space="preserve"> Amphiphilic copolymers with enhanced drug solubilization and mucosal permeability enhancement.</w:t>
      </w:r>
    </w:p>
    <w:p w14:paraId="2A554624" w14:textId="6F932298" w:rsidR="00DD29D3" w:rsidRPr="00963A27" w:rsidRDefault="00667DD4" w:rsidP="00956427">
      <w:pPr>
        <w:spacing w:line="360" w:lineRule="auto"/>
        <w:ind w:left="1005"/>
        <w:jc w:val="both"/>
        <w:rPr>
          <w:rFonts w:ascii="Arial" w:hAnsi="Arial" w:cs="Arial"/>
          <w:sz w:val="20"/>
          <w:szCs w:val="20"/>
        </w:rPr>
      </w:pPr>
      <w:r w:rsidRPr="00963A27">
        <w:rPr>
          <w:rFonts w:ascii="Arial" w:hAnsi="Arial" w:cs="Arial"/>
          <w:b/>
          <w:bCs/>
          <w:sz w:val="20"/>
          <w:szCs w:val="20"/>
        </w:rPr>
        <w:t xml:space="preserve">Tween 80 (Polysorbate 80): </w:t>
      </w:r>
      <w:r w:rsidRPr="00963A27">
        <w:rPr>
          <w:rFonts w:ascii="Arial" w:hAnsi="Arial" w:cs="Arial"/>
          <w:sz w:val="20"/>
          <w:szCs w:val="20"/>
        </w:rPr>
        <w:t xml:space="preserve">A </w:t>
      </w:r>
      <w:r w:rsidR="00F21D13" w:rsidRPr="00963A27">
        <w:rPr>
          <w:rFonts w:ascii="Arial" w:hAnsi="Arial" w:cs="Arial"/>
          <w:sz w:val="20"/>
          <w:szCs w:val="20"/>
        </w:rPr>
        <w:t>non-ionic</w:t>
      </w:r>
      <w:r w:rsidRPr="00963A27">
        <w:rPr>
          <w:rFonts w:ascii="Arial" w:hAnsi="Arial" w:cs="Arial"/>
          <w:sz w:val="20"/>
          <w:szCs w:val="20"/>
        </w:rPr>
        <w:t xml:space="preserve"> surfactant that enhances dispersion and wettability of the drug.</w:t>
      </w:r>
    </w:p>
    <w:p w14:paraId="5B221AD4" w14:textId="0E1E4AEA" w:rsidR="000E149B" w:rsidRPr="00963A27" w:rsidRDefault="00667DD4" w:rsidP="00956427">
      <w:pPr>
        <w:spacing w:line="360" w:lineRule="auto"/>
        <w:ind w:left="1005"/>
        <w:jc w:val="both"/>
        <w:rPr>
          <w:rFonts w:ascii="Arial" w:hAnsi="Arial" w:cs="Arial"/>
          <w:sz w:val="20"/>
          <w:szCs w:val="20"/>
        </w:rPr>
      </w:pPr>
      <w:r w:rsidRPr="00963A27">
        <w:rPr>
          <w:rFonts w:ascii="Arial" w:hAnsi="Arial" w:cs="Arial"/>
          <w:b/>
          <w:bCs/>
          <w:sz w:val="20"/>
          <w:szCs w:val="20"/>
        </w:rPr>
        <w:t>Bile Salts:</w:t>
      </w:r>
      <w:r w:rsidRPr="00963A27">
        <w:rPr>
          <w:rFonts w:ascii="Arial" w:hAnsi="Arial" w:cs="Arial"/>
          <w:sz w:val="20"/>
          <w:szCs w:val="20"/>
        </w:rPr>
        <w:t xml:space="preserve"> Natural surfactants, which enhance the absorption of a drug by emulsifying the lipophilic drug and causing disruption of the mucosal barriers.</w:t>
      </w:r>
      <w:r w:rsidR="001E1E7F" w:rsidRPr="00963A27">
        <w:rPr>
          <w:rFonts w:ascii="Arial" w:hAnsi="Arial" w:cs="Arial"/>
          <w:sz w:val="20"/>
          <w:szCs w:val="20"/>
        </w:rPr>
        <w:t xml:space="preserve"> </w:t>
      </w:r>
      <w:r w:rsidR="00B57193" w:rsidRPr="00963A27">
        <w:rPr>
          <w:rFonts w:ascii="Arial" w:hAnsi="Arial" w:cs="Arial"/>
          <w:sz w:val="20"/>
          <w:szCs w:val="20"/>
        </w:rPr>
        <w:t>[3</w:t>
      </w:r>
      <w:r w:rsidR="00FF065F" w:rsidRPr="00963A27">
        <w:rPr>
          <w:rFonts w:ascii="Arial" w:hAnsi="Arial" w:cs="Arial"/>
          <w:sz w:val="20"/>
          <w:szCs w:val="20"/>
        </w:rPr>
        <w:t>4</w:t>
      </w:r>
      <w:r w:rsidR="00F944F2" w:rsidRPr="00963A27">
        <w:rPr>
          <w:rFonts w:ascii="Arial" w:hAnsi="Arial" w:cs="Arial"/>
          <w:sz w:val="20"/>
          <w:szCs w:val="20"/>
        </w:rPr>
        <w:t>][3</w:t>
      </w:r>
      <w:r w:rsidR="00FF065F" w:rsidRPr="00963A27">
        <w:rPr>
          <w:rFonts w:ascii="Arial" w:hAnsi="Arial" w:cs="Arial"/>
          <w:sz w:val="20"/>
          <w:szCs w:val="20"/>
        </w:rPr>
        <w:t>5</w:t>
      </w:r>
      <w:r w:rsidR="00F944F2" w:rsidRPr="00963A27">
        <w:rPr>
          <w:rFonts w:ascii="Arial" w:hAnsi="Arial" w:cs="Arial"/>
          <w:sz w:val="20"/>
          <w:szCs w:val="20"/>
        </w:rPr>
        <w:t>]</w:t>
      </w:r>
    </w:p>
    <w:p w14:paraId="2880450E" w14:textId="0171C63B" w:rsidR="00910FFC" w:rsidRPr="00963A27" w:rsidRDefault="00910FFC" w:rsidP="00882252">
      <w:pPr>
        <w:pStyle w:val="ListParagraph"/>
        <w:numPr>
          <w:ilvl w:val="1"/>
          <w:numId w:val="63"/>
        </w:numPr>
        <w:spacing w:line="360" w:lineRule="auto"/>
        <w:ind w:left="427" w:hanging="425"/>
        <w:jc w:val="both"/>
        <w:rPr>
          <w:rFonts w:ascii="Arial" w:hAnsi="Arial" w:cs="Arial"/>
          <w:b/>
          <w:bCs/>
        </w:rPr>
      </w:pPr>
      <w:r w:rsidRPr="00963A27">
        <w:rPr>
          <w:rFonts w:ascii="Arial" w:hAnsi="Arial" w:cs="Arial"/>
          <w:b/>
          <w:bCs/>
        </w:rPr>
        <w:t>Colouring Agents</w:t>
      </w:r>
    </w:p>
    <w:p w14:paraId="5BE5F04B" w14:textId="2EA56270" w:rsidR="00910FFC" w:rsidRPr="00963A27" w:rsidRDefault="00910FFC" w:rsidP="00956427">
      <w:pPr>
        <w:spacing w:line="360" w:lineRule="auto"/>
        <w:ind w:left="362"/>
        <w:jc w:val="both"/>
        <w:rPr>
          <w:rFonts w:ascii="Arial" w:hAnsi="Arial" w:cs="Arial"/>
          <w:sz w:val="20"/>
          <w:szCs w:val="20"/>
        </w:rPr>
      </w:pPr>
      <w:r w:rsidRPr="00963A27">
        <w:rPr>
          <w:rFonts w:ascii="Arial" w:hAnsi="Arial" w:cs="Arial"/>
          <w:sz w:val="20"/>
          <w:szCs w:val="20"/>
        </w:rPr>
        <w:t>Colouring agents are employed to improve the oral aesthetic value and distinguish between products. The most widely used colorants are:</w:t>
      </w:r>
    </w:p>
    <w:p w14:paraId="01163B9B" w14:textId="65CC371C" w:rsidR="00910FFC" w:rsidRPr="00963A27" w:rsidRDefault="00910FFC" w:rsidP="00882252">
      <w:pPr>
        <w:pStyle w:val="ListParagraph"/>
        <w:numPr>
          <w:ilvl w:val="0"/>
          <w:numId w:val="36"/>
        </w:numPr>
        <w:tabs>
          <w:tab w:val="clear" w:pos="720"/>
          <w:tab w:val="num" w:pos="1083"/>
        </w:tabs>
        <w:spacing w:line="360" w:lineRule="auto"/>
        <w:ind w:left="1082"/>
        <w:jc w:val="both"/>
        <w:rPr>
          <w:rFonts w:ascii="Arial" w:hAnsi="Arial" w:cs="Arial"/>
          <w:sz w:val="20"/>
          <w:szCs w:val="20"/>
        </w:rPr>
      </w:pPr>
      <w:r w:rsidRPr="00963A27">
        <w:rPr>
          <w:rFonts w:ascii="Arial" w:hAnsi="Arial" w:cs="Arial"/>
          <w:sz w:val="20"/>
          <w:szCs w:val="20"/>
        </w:rPr>
        <w:t xml:space="preserve">Pigments: Give intense, stable </w:t>
      </w:r>
      <w:r w:rsidR="001F12A0" w:rsidRPr="00963A27">
        <w:rPr>
          <w:rFonts w:ascii="Arial" w:hAnsi="Arial" w:cs="Arial"/>
          <w:sz w:val="20"/>
          <w:szCs w:val="20"/>
        </w:rPr>
        <w:t>colour</w:t>
      </w:r>
      <w:r w:rsidRPr="00963A27">
        <w:rPr>
          <w:rFonts w:ascii="Arial" w:hAnsi="Arial" w:cs="Arial"/>
          <w:sz w:val="20"/>
          <w:szCs w:val="20"/>
        </w:rPr>
        <w:t>. Example: Titanium dioxide, a general-purpose white pigment.</w:t>
      </w:r>
    </w:p>
    <w:p w14:paraId="4CF9621B" w14:textId="15A49B46" w:rsidR="00910FFC" w:rsidRPr="00963A27" w:rsidRDefault="00910FFC" w:rsidP="00882252">
      <w:pPr>
        <w:pStyle w:val="ListParagraph"/>
        <w:numPr>
          <w:ilvl w:val="0"/>
          <w:numId w:val="36"/>
        </w:numPr>
        <w:tabs>
          <w:tab w:val="clear" w:pos="720"/>
          <w:tab w:val="num" w:pos="1082"/>
        </w:tabs>
        <w:spacing w:line="360" w:lineRule="auto"/>
        <w:ind w:left="1082"/>
        <w:jc w:val="both"/>
        <w:rPr>
          <w:rFonts w:ascii="Arial" w:hAnsi="Arial" w:cs="Arial"/>
          <w:sz w:val="20"/>
          <w:szCs w:val="20"/>
        </w:rPr>
      </w:pPr>
      <w:r w:rsidRPr="00963A27">
        <w:rPr>
          <w:rFonts w:ascii="Arial" w:hAnsi="Arial" w:cs="Arial"/>
          <w:sz w:val="20"/>
          <w:szCs w:val="20"/>
        </w:rPr>
        <w:t xml:space="preserve">FD&amp;C Approved Colorants: They are synthetic dyes approved by the FDA for food, pharmaceuticals, and cosmetics. They provide safety and consistency to </w:t>
      </w:r>
      <w:r w:rsidR="001F12A0" w:rsidRPr="00963A27">
        <w:rPr>
          <w:rFonts w:ascii="Arial" w:hAnsi="Arial" w:cs="Arial"/>
          <w:sz w:val="20"/>
          <w:szCs w:val="20"/>
        </w:rPr>
        <w:t>colouring</w:t>
      </w:r>
      <w:r w:rsidRPr="00963A27">
        <w:rPr>
          <w:rFonts w:ascii="Arial" w:hAnsi="Arial" w:cs="Arial"/>
          <w:sz w:val="20"/>
          <w:szCs w:val="20"/>
        </w:rPr>
        <w:t>.</w:t>
      </w:r>
    </w:p>
    <w:p w14:paraId="16357383" w14:textId="77777777" w:rsidR="00910FFC" w:rsidRPr="00963A27" w:rsidRDefault="00910FFC" w:rsidP="00882252">
      <w:pPr>
        <w:pStyle w:val="ListParagraph"/>
        <w:numPr>
          <w:ilvl w:val="0"/>
          <w:numId w:val="36"/>
        </w:numPr>
        <w:tabs>
          <w:tab w:val="clear" w:pos="720"/>
          <w:tab w:val="num" w:pos="1082"/>
        </w:tabs>
        <w:spacing w:line="360" w:lineRule="auto"/>
        <w:ind w:left="1082"/>
        <w:jc w:val="both"/>
        <w:rPr>
          <w:rFonts w:ascii="Arial" w:hAnsi="Arial" w:cs="Arial"/>
          <w:sz w:val="20"/>
          <w:szCs w:val="20"/>
        </w:rPr>
      </w:pPr>
      <w:r w:rsidRPr="00963A27">
        <w:rPr>
          <w:rFonts w:ascii="Arial" w:hAnsi="Arial" w:cs="Arial"/>
          <w:sz w:val="20"/>
          <w:szCs w:val="20"/>
        </w:rPr>
        <w:t>Natural Colorants: Plant, mineral, or animal-derived. Beetroot extract (red), turmeric (yellow), and spirulina (blue-green) are examples.</w:t>
      </w:r>
    </w:p>
    <w:p w14:paraId="1B9D3565" w14:textId="05BDA9EC" w:rsidR="00910FFC" w:rsidRPr="00963A27" w:rsidRDefault="00910FFC" w:rsidP="00882252">
      <w:pPr>
        <w:pStyle w:val="ListParagraph"/>
        <w:numPr>
          <w:ilvl w:val="0"/>
          <w:numId w:val="36"/>
        </w:numPr>
        <w:tabs>
          <w:tab w:val="clear" w:pos="720"/>
          <w:tab w:val="num" w:pos="1082"/>
        </w:tabs>
        <w:spacing w:line="360" w:lineRule="auto"/>
        <w:ind w:left="1082"/>
        <w:jc w:val="both"/>
        <w:rPr>
          <w:rFonts w:ascii="Arial" w:hAnsi="Arial" w:cs="Arial"/>
          <w:sz w:val="20"/>
          <w:szCs w:val="20"/>
        </w:rPr>
      </w:pPr>
      <w:r w:rsidRPr="00963A27">
        <w:rPr>
          <w:rFonts w:ascii="Arial" w:hAnsi="Arial" w:cs="Arial"/>
          <w:sz w:val="20"/>
          <w:szCs w:val="20"/>
        </w:rPr>
        <w:t xml:space="preserve">Custom Pantone-Matched </w:t>
      </w:r>
      <w:r w:rsidR="001F12A0" w:rsidRPr="00963A27">
        <w:rPr>
          <w:rFonts w:ascii="Arial" w:hAnsi="Arial" w:cs="Arial"/>
          <w:sz w:val="20"/>
          <w:szCs w:val="20"/>
        </w:rPr>
        <w:t>Colours</w:t>
      </w:r>
      <w:r w:rsidRPr="00963A27">
        <w:rPr>
          <w:rFonts w:ascii="Arial" w:hAnsi="Arial" w:cs="Arial"/>
          <w:sz w:val="20"/>
          <w:szCs w:val="20"/>
        </w:rPr>
        <w:t xml:space="preserve">: Employed to preserve brand-specific or proprietary </w:t>
      </w:r>
      <w:r w:rsidR="001F12A0" w:rsidRPr="00963A27">
        <w:rPr>
          <w:rFonts w:ascii="Arial" w:hAnsi="Arial" w:cs="Arial"/>
          <w:sz w:val="20"/>
          <w:szCs w:val="20"/>
        </w:rPr>
        <w:t>colour</w:t>
      </w:r>
      <w:r w:rsidRPr="00963A27">
        <w:rPr>
          <w:rFonts w:ascii="Arial" w:hAnsi="Arial" w:cs="Arial"/>
          <w:sz w:val="20"/>
          <w:szCs w:val="20"/>
        </w:rPr>
        <w:t xml:space="preserve"> shades for enhanced product identity.</w:t>
      </w:r>
      <w:r w:rsidR="00B40514" w:rsidRPr="00963A27">
        <w:rPr>
          <w:rFonts w:ascii="Arial" w:hAnsi="Arial" w:cs="Arial"/>
          <w:sz w:val="20"/>
          <w:szCs w:val="20"/>
        </w:rPr>
        <w:t xml:space="preserve"> </w:t>
      </w:r>
    </w:p>
    <w:p w14:paraId="79161E22" w14:textId="1DA87931" w:rsidR="00910FFC" w:rsidRPr="00963A27" w:rsidRDefault="00737BA2" w:rsidP="00956427">
      <w:pPr>
        <w:spacing w:line="360" w:lineRule="auto"/>
        <w:ind w:left="362"/>
        <w:jc w:val="both"/>
        <w:rPr>
          <w:rFonts w:ascii="Arial" w:hAnsi="Arial" w:cs="Arial"/>
          <w:b/>
          <w:bCs/>
          <w:sz w:val="20"/>
          <w:szCs w:val="20"/>
        </w:rPr>
      </w:pPr>
      <w:r w:rsidRPr="00963A27">
        <w:rPr>
          <w:rFonts w:ascii="Arial" w:hAnsi="Arial" w:cs="Arial"/>
          <w:b/>
          <w:bCs/>
          <w:sz w:val="20"/>
          <w:szCs w:val="20"/>
        </w:rPr>
        <w:t>Advantages</w:t>
      </w:r>
    </w:p>
    <w:p w14:paraId="608EF244" w14:textId="77777777" w:rsidR="00910FFC" w:rsidRPr="00963A27" w:rsidRDefault="00910FFC" w:rsidP="00882252">
      <w:pPr>
        <w:pStyle w:val="ListParagraph"/>
        <w:numPr>
          <w:ilvl w:val="0"/>
          <w:numId w:val="37"/>
        </w:numPr>
        <w:tabs>
          <w:tab w:val="clear" w:pos="720"/>
          <w:tab w:val="num" w:pos="1082"/>
        </w:tabs>
        <w:spacing w:line="360" w:lineRule="auto"/>
        <w:ind w:left="1082"/>
        <w:jc w:val="both"/>
        <w:rPr>
          <w:rFonts w:ascii="Arial" w:hAnsi="Arial" w:cs="Arial"/>
          <w:sz w:val="20"/>
          <w:szCs w:val="20"/>
        </w:rPr>
      </w:pPr>
      <w:r w:rsidRPr="00963A27">
        <w:rPr>
          <w:rFonts w:ascii="Arial" w:hAnsi="Arial" w:cs="Arial"/>
          <w:sz w:val="20"/>
          <w:szCs w:val="20"/>
        </w:rPr>
        <w:t>Improves the aesthetic value of wafers, enhancing patient acceptance.</w:t>
      </w:r>
    </w:p>
    <w:p w14:paraId="66F0F48A" w14:textId="77777777" w:rsidR="00910FFC" w:rsidRPr="00963A27" w:rsidRDefault="00910FFC" w:rsidP="00882252">
      <w:pPr>
        <w:pStyle w:val="ListParagraph"/>
        <w:numPr>
          <w:ilvl w:val="0"/>
          <w:numId w:val="37"/>
        </w:numPr>
        <w:tabs>
          <w:tab w:val="clear" w:pos="720"/>
          <w:tab w:val="num" w:pos="1082"/>
        </w:tabs>
        <w:spacing w:line="360" w:lineRule="auto"/>
        <w:ind w:left="1082"/>
        <w:jc w:val="both"/>
        <w:rPr>
          <w:rFonts w:ascii="Arial" w:hAnsi="Arial" w:cs="Arial"/>
          <w:sz w:val="20"/>
          <w:szCs w:val="20"/>
        </w:rPr>
      </w:pPr>
      <w:r w:rsidRPr="00963A27">
        <w:rPr>
          <w:rFonts w:ascii="Arial" w:hAnsi="Arial" w:cs="Arial"/>
          <w:sz w:val="20"/>
          <w:szCs w:val="20"/>
        </w:rPr>
        <w:t>Facilitates brand identification and differentiation.</w:t>
      </w:r>
    </w:p>
    <w:p w14:paraId="44E24A2B" w14:textId="77777777" w:rsidR="00910FFC" w:rsidRPr="00963A27" w:rsidRDefault="00910FFC" w:rsidP="00882252">
      <w:pPr>
        <w:pStyle w:val="ListParagraph"/>
        <w:numPr>
          <w:ilvl w:val="0"/>
          <w:numId w:val="37"/>
        </w:numPr>
        <w:tabs>
          <w:tab w:val="clear" w:pos="720"/>
          <w:tab w:val="num" w:pos="1082"/>
        </w:tabs>
        <w:spacing w:line="360" w:lineRule="auto"/>
        <w:ind w:left="1082"/>
        <w:jc w:val="both"/>
        <w:rPr>
          <w:rFonts w:ascii="Arial" w:hAnsi="Arial" w:cs="Arial"/>
          <w:sz w:val="20"/>
          <w:szCs w:val="20"/>
        </w:rPr>
      </w:pPr>
      <w:r w:rsidRPr="00963A27">
        <w:rPr>
          <w:rFonts w:ascii="Arial" w:hAnsi="Arial" w:cs="Arial"/>
          <w:sz w:val="20"/>
          <w:szCs w:val="20"/>
        </w:rPr>
        <w:t>Can signal the presence of active ingredients (e.g., iron supplements tend to be red).</w:t>
      </w:r>
    </w:p>
    <w:p w14:paraId="38442D03" w14:textId="31959231" w:rsidR="00910FFC" w:rsidRPr="00963A27" w:rsidRDefault="00910FFC" w:rsidP="00882252">
      <w:pPr>
        <w:pStyle w:val="ListParagraph"/>
        <w:numPr>
          <w:ilvl w:val="0"/>
          <w:numId w:val="37"/>
        </w:numPr>
        <w:tabs>
          <w:tab w:val="clear" w:pos="720"/>
          <w:tab w:val="num" w:pos="1082"/>
        </w:tabs>
        <w:spacing w:line="360" w:lineRule="auto"/>
        <w:ind w:left="1082"/>
        <w:jc w:val="both"/>
        <w:rPr>
          <w:rFonts w:ascii="Arial" w:hAnsi="Arial" w:cs="Arial"/>
          <w:sz w:val="20"/>
          <w:szCs w:val="20"/>
        </w:rPr>
      </w:pPr>
      <w:r w:rsidRPr="00963A27">
        <w:rPr>
          <w:rFonts w:ascii="Arial" w:hAnsi="Arial" w:cs="Arial"/>
          <w:sz w:val="20"/>
          <w:szCs w:val="20"/>
        </w:rPr>
        <w:t>Natural colorants can have additional health benefits.</w:t>
      </w:r>
      <w:r w:rsidR="00B40514" w:rsidRPr="00963A27">
        <w:rPr>
          <w:rFonts w:ascii="Arial" w:hAnsi="Arial" w:cs="Arial"/>
          <w:sz w:val="20"/>
          <w:szCs w:val="20"/>
        </w:rPr>
        <w:t xml:space="preserve"> [36]</w:t>
      </w:r>
    </w:p>
    <w:p w14:paraId="2A7F9A51" w14:textId="77777777" w:rsidR="00910FFC" w:rsidRPr="00963A27" w:rsidRDefault="00910FFC" w:rsidP="00882252">
      <w:pPr>
        <w:pStyle w:val="ListParagraph"/>
        <w:numPr>
          <w:ilvl w:val="1"/>
          <w:numId w:val="63"/>
        </w:numPr>
        <w:tabs>
          <w:tab w:val="left" w:pos="142"/>
        </w:tabs>
        <w:spacing w:before="240" w:line="360" w:lineRule="auto"/>
        <w:ind w:left="567" w:hanging="508"/>
        <w:jc w:val="both"/>
        <w:rPr>
          <w:rFonts w:ascii="Arial" w:hAnsi="Arial" w:cs="Arial"/>
          <w:b/>
          <w:bCs/>
        </w:rPr>
      </w:pPr>
      <w:r w:rsidRPr="00963A27">
        <w:rPr>
          <w:rFonts w:ascii="Arial" w:hAnsi="Arial" w:cs="Arial"/>
          <w:b/>
          <w:bCs/>
        </w:rPr>
        <w:t>Saliva Stimulating Agents</w:t>
      </w:r>
    </w:p>
    <w:p w14:paraId="1F7E6DB1" w14:textId="40511478" w:rsidR="00910FFC" w:rsidRPr="00963A27" w:rsidRDefault="00910FFC" w:rsidP="00956427">
      <w:pPr>
        <w:spacing w:line="360" w:lineRule="auto"/>
        <w:ind w:left="567"/>
        <w:jc w:val="both"/>
        <w:rPr>
          <w:rFonts w:ascii="Arial" w:hAnsi="Arial" w:cs="Arial"/>
          <w:sz w:val="20"/>
          <w:szCs w:val="20"/>
        </w:rPr>
      </w:pPr>
      <w:r w:rsidRPr="00963A27">
        <w:rPr>
          <w:rFonts w:ascii="Arial" w:hAnsi="Arial" w:cs="Arial"/>
          <w:sz w:val="20"/>
          <w:szCs w:val="20"/>
        </w:rPr>
        <w:t>Saliva stimulating agents are employed for the improvement of saliva production, to assist in the speedy breakdown of oral wafers. They are normally incorporated at a strength of 2-6% (w/w).</w:t>
      </w:r>
    </w:p>
    <w:p w14:paraId="5042D9F8" w14:textId="77777777" w:rsidR="00910FFC" w:rsidRPr="00963A27" w:rsidRDefault="00910FFC" w:rsidP="00956427">
      <w:pPr>
        <w:spacing w:line="360" w:lineRule="auto"/>
        <w:ind w:left="567"/>
        <w:jc w:val="both"/>
        <w:rPr>
          <w:rFonts w:ascii="Arial" w:hAnsi="Arial" w:cs="Arial"/>
          <w:b/>
          <w:bCs/>
          <w:sz w:val="20"/>
          <w:szCs w:val="20"/>
        </w:rPr>
      </w:pPr>
      <w:r w:rsidRPr="00963A27">
        <w:rPr>
          <w:rFonts w:ascii="Arial" w:hAnsi="Arial" w:cs="Arial"/>
          <w:b/>
          <w:bCs/>
          <w:sz w:val="20"/>
          <w:szCs w:val="20"/>
        </w:rPr>
        <w:t>Types of Saliva Stimulating Agents:</w:t>
      </w:r>
    </w:p>
    <w:p w14:paraId="76D7B958" w14:textId="4BFB36BE" w:rsidR="00910FFC" w:rsidRPr="00963A27" w:rsidRDefault="00910FFC" w:rsidP="00956427">
      <w:pPr>
        <w:tabs>
          <w:tab w:val="left" w:pos="284"/>
        </w:tabs>
        <w:spacing w:line="360" w:lineRule="auto"/>
        <w:ind w:left="851"/>
        <w:jc w:val="both"/>
        <w:rPr>
          <w:rFonts w:ascii="Arial" w:hAnsi="Arial" w:cs="Arial"/>
          <w:b/>
          <w:bCs/>
          <w:sz w:val="20"/>
          <w:szCs w:val="20"/>
        </w:rPr>
      </w:pPr>
      <w:r w:rsidRPr="00963A27">
        <w:rPr>
          <w:rFonts w:ascii="Arial" w:hAnsi="Arial" w:cs="Arial"/>
          <w:b/>
          <w:bCs/>
          <w:sz w:val="20"/>
          <w:szCs w:val="20"/>
        </w:rPr>
        <w:t>Sweeteners:</w:t>
      </w:r>
      <w:r w:rsidR="009E09FB" w:rsidRPr="00963A27">
        <w:rPr>
          <w:rFonts w:ascii="Arial" w:hAnsi="Arial" w:cs="Arial"/>
          <w:b/>
          <w:bCs/>
          <w:sz w:val="20"/>
          <w:szCs w:val="20"/>
        </w:rPr>
        <w:t xml:space="preserve"> </w:t>
      </w:r>
      <w:r w:rsidRPr="00963A27">
        <w:rPr>
          <w:rFonts w:ascii="Arial" w:hAnsi="Arial" w:cs="Arial"/>
          <w:sz w:val="20"/>
          <w:szCs w:val="20"/>
        </w:rPr>
        <w:t>Fructose</w:t>
      </w:r>
      <w:r w:rsidR="009A4D0B" w:rsidRPr="00963A27">
        <w:rPr>
          <w:rFonts w:ascii="Arial" w:hAnsi="Arial" w:cs="Arial"/>
          <w:sz w:val="20"/>
          <w:szCs w:val="20"/>
        </w:rPr>
        <w:t xml:space="preserve">, </w:t>
      </w:r>
      <w:r w:rsidRPr="00963A27">
        <w:rPr>
          <w:rFonts w:ascii="Arial" w:hAnsi="Arial" w:cs="Arial"/>
          <w:sz w:val="20"/>
          <w:szCs w:val="20"/>
        </w:rPr>
        <w:t>Xylose</w:t>
      </w:r>
      <w:r w:rsidR="009A4D0B" w:rsidRPr="00963A27">
        <w:rPr>
          <w:rFonts w:ascii="Arial" w:hAnsi="Arial" w:cs="Arial"/>
          <w:sz w:val="20"/>
          <w:szCs w:val="20"/>
        </w:rPr>
        <w:t xml:space="preserve">, </w:t>
      </w:r>
      <w:r w:rsidRPr="00963A27">
        <w:rPr>
          <w:rFonts w:ascii="Arial" w:hAnsi="Arial" w:cs="Arial"/>
          <w:sz w:val="20"/>
          <w:szCs w:val="20"/>
        </w:rPr>
        <w:t>Maltose</w:t>
      </w:r>
      <w:r w:rsidR="009A4D0B" w:rsidRPr="00963A27">
        <w:rPr>
          <w:rFonts w:ascii="Arial" w:hAnsi="Arial" w:cs="Arial"/>
          <w:sz w:val="20"/>
          <w:szCs w:val="20"/>
        </w:rPr>
        <w:t>.</w:t>
      </w:r>
    </w:p>
    <w:p w14:paraId="4B6C0E4C" w14:textId="539EA15D" w:rsidR="00910FFC" w:rsidRDefault="00F155E9" w:rsidP="00956427">
      <w:pPr>
        <w:tabs>
          <w:tab w:val="left" w:pos="284"/>
        </w:tabs>
        <w:spacing w:line="360" w:lineRule="auto"/>
        <w:ind w:left="851"/>
        <w:jc w:val="both"/>
        <w:rPr>
          <w:rFonts w:ascii="Arial" w:hAnsi="Arial" w:cs="Arial"/>
          <w:sz w:val="20"/>
          <w:szCs w:val="20"/>
        </w:rPr>
      </w:pPr>
      <w:r w:rsidRPr="00963A27">
        <w:rPr>
          <w:rFonts w:ascii="Arial" w:hAnsi="Arial" w:cs="Arial"/>
          <w:b/>
          <w:bCs/>
          <w:sz w:val="20"/>
          <w:szCs w:val="20"/>
        </w:rPr>
        <w:t>Flavouring</w:t>
      </w:r>
      <w:r w:rsidR="00910FFC" w:rsidRPr="00963A27">
        <w:rPr>
          <w:rFonts w:ascii="Arial" w:hAnsi="Arial" w:cs="Arial"/>
          <w:b/>
          <w:bCs/>
          <w:sz w:val="20"/>
          <w:szCs w:val="20"/>
        </w:rPr>
        <w:t xml:space="preserve"> Agents:</w:t>
      </w:r>
      <w:r w:rsidR="00915BE9" w:rsidRPr="00963A27">
        <w:rPr>
          <w:rFonts w:ascii="Arial" w:hAnsi="Arial" w:cs="Arial"/>
          <w:sz w:val="20"/>
          <w:szCs w:val="20"/>
        </w:rPr>
        <w:t xml:space="preserve"> </w:t>
      </w:r>
      <w:r w:rsidR="00910FFC" w:rsidRPr="00963A27">
        <w:rPr>
          <w:rFonts w:ascii="Arial" w:hAnsi="Arial" w:cs="Arial"/>
          <w:sz w:val="20"/>
          <w:szCs w:val="20"/>
        </w:rPr>
        <w:t>Peppermint &amp; Cinnamon</w:t>
      </w:r>
      <w:r w:rsidR="00915BE9" w:rsidRPr="00963A27">
        <w:rPr>
          <w:rFonts w:ascii="Arial" w:hAnsi="Arial" w:cs="Arial"/>
          <w:sz w:val="20"/>
          <w:szCs w:val="20"/>
        </w:rPr>
        <w:t xml:space="preserve">, </w:t>
      </w:r>
      <w:r w:rsidR="00910FFC" w:rsidRPr="00963A27">
        <w:rPr>
          <w:rFonts w:ascii="Arial" w:hAnsi="Arial" w:cs="Arial"/>
          <w:sz w:val="20"/>
          <w:szCs w:val="20"/>
        </w:rPr>
        <w:t>Nutmeg &amp; Vanilla</w:t>
      </w:r>
      <w:r w:rsidR="00915BE9" w:rsidRPr="00963A27">
        <w:rPr>
          <w:rFonts w:ascii="Arial" w:hAnsi="Arial" w:cs="Arial"/>
          <w:sz w:val="20"/>
          <w:szCs w:val="20"/>
        </w:rPr>
        <w:t xml:space="preserve">, </w:t>
      </w:r>
      <w:r w:rsidR="00910FFC" w:rsidRPr="00963A27">
        <w:rPr>
          <w:rFonts w:ascii="Arial" w:hAnsi="Arial" w:cs="Arial"/>
          <w:sz w:val="20"/>
          <w:szCs w:val="20"/>
        </w:rPr>
        <w:t>Cocoa &amp; Coffee</w:t>
      </w:r>
      <w:r w:rsidR="00915BE9" w:rsidRPr="00963A27">
        <w:rPr>
          <w:rFonts w:ascii="Arial" w:hAnsi="Arial" w:cs="Arial"/>
          <w:sz w:val="20"/>
          <w:szCs w:val="20"/>
        </w:rPr>
        <w:t xml:space="preserve">, </w:t>
      </w:r>
      <w:r w:rsidR="00910FFC" w:rsidRPr="00963A27">
        <w:rPr>
          <w:rFonts w:ascii="Arial" w:hAnsi="Arial" w:cs="Arial"/>
          <w:sz w:val="20"/>
          <w:szCs w:val="20"/>
        </w:rPr>
        <w:t>Apple &amp; Cherry</w:t>
      </w:r>
      <w:r w:rsidR="00915BE9" w:rsidRPr="00963A27">
        <w:rPr>
          <w:rFonts w:ascii="Arial" w:hAnsi="Arial" w:cs="Arial"/>
          <w:sz w:val="20"/>
          <w:szCs w:val="20"/>
        </w:rPr>
        <w:t>.</w:t>
      </w:r>
      <w:r w:rsidR="0051691F" w:rsidRPr="00963A27">
        <w:rPr>
          <w:rFonts w:ascii="Arial" w:hAnsi="Arial" w:cs="Arial"/>
          <w:sz w:val="20"/>
          <w:szCs w:val="20"/>
        </w:rPr>
        <w:t xml:space="preserve"> [37]</w:t>
      </w:r>
      <w:r w:rsidR="00910FFC" w:rsidRPr="00963A27">
        <w:rPr>
          <w:rFonts w:ascii="Arial" w:hAnsi="Arial" w:cs="Arial"/>
          <w:sz w:val="20"/>
          <w:szCs w:val="20"/>
        </w:rPr>
        <w:t xml:space="preserve"> </w:t>
      </w:r>
    </w:p>
    <w:p w14:paraId="60AAD0EA" w14:textId="77777777" w:rsidR="00240B1C" w:rsidRPr="00963A27" w:rsidRDefault="00240B1C" w:rsidP="00956427">
      <w:pPr>
        <w:tabs>
          <w:tab w:val="left" w:pos="284"/>
        </w:tabs>
        <w:spacing w:line="360" w:lineRule="auto"/>
        <w:ind w:left="851"/>
        <w:jc w:val="both"/>
        <w:rPr>
          <w:rFonts w:ascii="Arial" w:hAnsi="Arial" w:cs="Arial"/>
          <w:sz w:val="20"/>
          <w:szCs w:val="20"/>
        </w:rPr>
      </w:pPr>
    </w:p>
    <w:p w14:paraId="1A6C5050" w14:textId="77777777" w:rsidR="00910FFC" w:rsidRPr="00963A27" w:rsidRDefault="00910FFC" w:rsidP="00882252">
      <w:pPr>
        <w:pStyle w:val="ListParagraph"/>
        <w:numPr>
          <w:ilvl w:val="1"/>
          <w:numId w:val="63"/>
        </w:numPr>
        <w:spacing w:line="360" w:lineRule="auto"/>
        <w:ind w:left="426"/>
        <w:jc w:val="both"/>
        <w:rPr>
          <w:rFonts w:ascii="Arial" w:hAnsi="Arial" w:cs="Arial"/>
          <w:b/>
          <w:bCs/>
        </w:rPr>
      </w:pPr>
      <w:r w:rsidRPr="00963A27">
        <w:rPr>
          <w:rFonts w:ascii="Arial" w:hAnsi="Arial" w:cs="Arial"/>
          <w:b/>
          <w:bCs/>
        </w:rPr>
        <w:lastRenderedPageBreak/>
        <w:t>Thickening Agents</w:t>
      </w:r>
    </w:p>
    <w:p w14:paraId="079B6E89" w14:textId="641AA5FF" w:rsidR="00910FFC" w:rsidRPr="00963A27" w:rsidRDefault="00910FFC" w:rsidP="00956427">
      <w:pPr>
        <w:spacing w:line="360" w:lineRule="auto"/>
        <w:ind w:left="426"/>
        <w:jc w:val="both"/>
        <w:rPr>
          <w:rFonts w:ascii="Arial" w:hAnsi="Arial" w:cs="Arial"/>
          <w:sz w:val="20"/>
          <w:szCs w:val="20"/>
        </w:rPr>
      </w:pPr>
      <w:r w:rsidRPr="00963A27">
        <w:rPr>
          <w:rFonts w:ascii="Arial" w:hAnsi="Arial" w:cs="Arial"/>
          <w:sz w:val="20"/>
          <w:szCs w:val="20"/>
        </w:rPr>
        <w:t>Thickening agents enhance the viscosity and consistency of the solution prior to casting of oral wafers, allowing uniform distribution of active ingredients. They are generally applied at 5% (w/w) concentration.</w:t>
      </w:r>
    </w:p>
    <w:p w14:paraId="70EC3391" w14:textId="1A6E0A7B" w:rsidR="00910FFC" w:rsidRPr="00963A27" w:rsidRDefault="00910FFC" w:rsidP="00956427">
      <w:pPr>
        <w:spacing w:line="360" w:lineRule="auto"/>
        <w:ind w:left="426"/>
        <w:jc w:val="both"/>
        <w:rPr>
          <w:rFonts w:ascii="Arial" w:hAnsi="Arial" w:cs="Arial"/>
          <w:b/>
          <w:bCs/>
          <w:sz w:val="20"/>
          <w:szCs w:val="20"/>
        </w:rPr>
      </w:pPr>
      <w:r w:rsidRPr="00963A27">
        <w:rPr>
          <w:rFonts w:ascii="Arial" w:hAnsi="Arial" w:cs="Arial"/>
          <w:b/>
          <w:bCs/>
          <w:sz w:val="20"/>
          <w:szCs w:val="20"/>
        </w:rPr>
        <w:t>Common Thickening Agents:</w:t>
      </w:r>
    </w:p>
    <w:p w14:paraId="52C63A8F" w14:textId="3BE9B095" w:rsidR="00910FFC" w:rsidRPr="00963A27" w:rsidRDefault="00910FFC" w:rsidP="00956427">
      <w:pPr>
        <w:spacing w:line="360" w:lineRule="auto"/>
        <w:ind w:left="426"/>
        <w:jc w:val="both"/>
        <w:rPr>
          <w:rFonts w:ascii="Arial" w:hAnsi="Arial" w:cs="Arial"/>
          <w:sz w:val="20"/>
          <w:szCs w:val="20"/>
        </w:rPr>
      </w:pPr>
      <w:r w:rsidRPr="00963A27">
        <w:rPr>
          <w:rFonts w:ascii="Arial" w:hAnsi="Arial" w:cs="Arial"/>
          <w:b/>
          <w:bCs/>
          <w:sz w:val="20"/>
          <w:szCs w:val="20"/>
        </w:rPr>
        <w:t>Gums:</w:t>
      </w:r>
      <w:r w:rsidR="008B542B" w:rsidRPr="00963A27">
        <w:rPr>
          <w:rFonts w:ascii="Arial" w:hAnsi="Arial" w:cs="Arial"/>
          <w:sz w:val="20"/>
          <w:szCs w:val="20"/>
        </w:rPr>
        <w:t xml:space="preserve"> </w:t>
      </w:r>
      <w:r w:rsidRPr="00963A27">
        <w:rPr>
          <w:rFonts w:ascii="Arial" w:hAnsi="Arial" w:cs="Arial"/>
          <w:sz w:val="20"/>
          <w:szCs w:val="20"/>
        </w:rPr>
        <w:t>Xanthan gum</w:t>
      </w:r>
      <w:r w:rsidR="002B518A" w:rsidRPr="00963A27">
        <w:rPr>
          <w:rFonts w:ascii="Arial" w:hAnsi="Arial" w:cs="Arial"/>
          <w:sz w:val="20"/>
          <w:szCs w:val="20"/>
        </w:rPr>
        <w:t xml:space="preserve">, </w:t>
      </w:r>
      <w:r w:rsidRPr="00963A27">
        <w:rPr>
          <w:rFonts w:ascii="Arial" w:hAnsi="Arial" w:cs="Arial"/>
          <w:sz w:val="20"/>
          <w:szCs w:val="20"/>
        </w:rPr>
        <w:t>Guar gum</w:t>
      </w:r>
      <w:r w:rsidR="002B518A" w:rsidRPr="00963A27">
        <w:rPr>
          <w:rFonts w:ascii="Arial" w:hAnsi="Arial" w:cs="Arial"/>
          <w:sz w:val="20"/>
          <w:szCs w:val="20"/>
        </w:rPr>
        <w:t xml:space="preserve">, </w:t>
      </w:r>
      <w:r w:rsidRPr="00963A27">
        <w:rPr>
          <w:rFonts w:ascii="Arial" w:hAnsi="Arial" w:cs="Arial"/>
          <w:sz w:val="20"/>
          <w:szCs w:val="20"/>
        </w:rPr>
        <w:t>Locust bean gum</w:t>
      </w:r>
      <w:r w:rsidR="002B518A" w:rsidRPr="00963A27">
        <w:rPr>
          <w:rFonts w:ascii="Arial" w:hAnsi="Arial" w:cs="Arial"/>
          <w:sz w:val="20"/>
          <w:szCs w:val="20"/>
        </w:rPr>
        <w:t xml:space="preserve">, </w:t>
      </w:r>
      <w:r w:rsidRPr="00963A27">
        <w:rPr>
          <w:rFonts w:ascii="Arial" w:hAnsi="Arial" w:cs="Arial"/>
          <w:sz w:val="20"/>
          <w:szCs w:val="20"/>
        </w:rPr>
        <w:t>Carrageenan</w:t>
      </w:r>
    </w:p>
    <w:p w14:paraId="48C7C1B9" w14:textId="5F105CF2" w:rsidR="00910FFC" w:rsidRPr="00963A27" w:rsidRDefault="00910FFC" w:rsidP="00956427">
      <w:pPr>
        <w:spacing w:line="360" w:lineRule="auto"/>
        <w:ind w:left="426"/>
        <w:jc w:val="both"/>
        <w:rPr>
          <w:rFonts w:ascii="Arial" w:hAnsi="Arial" w:cs="Arial"/>
          <w:sz w:val="20"/>
          <w:szCs w:val="20"/>
        </w:rPr>
      </w:pPr>
      <w:r w:rsidRPr="00963A27">
        <w:rPr>
          <w:rFonts w:ascii="Arial" w:hAnsi="Arial" w:cs="Arial"/>
          <w:b/>
          <w:bCs/>
          <w:sz w:val="20"/>
          <w:szCs w:val="20"/>
        </w:rPr>
        <w:t>Cellulosic Derivatives:</w:t>
      </w:r>
      <w:r w:rsidR="00C057A3" w:rsidRPr="00963A27">
        <w:rPr>
          <w:rFonts w:ascii="Arial" w:hAnsi="Arial" w:cs="Arial"/>
          <w:sz w:val="20"/>
          <w:szCs w:val="20"/>
        </w:rPr>
        <w:t xml:space="preserve"> </w:t>
      </w:r>
      <w:r w:rsidRPr="00963A27">
        <w:rPr>
          <w:rFonts w:ascii="Arial" w:hAnsi="Arial" w:cs="Arial"/>
          <w:sz w:val="20"/>
          <w:szCs w:val="20"/>
        </w:rPr>
        <w:t>Hydroxypropyl Methylcellulose (HPMC)</w:t>
      </w:r>
      <w:r w:rsidR="00C057A3" w:rsidRPr="00963A27">
        <w:rPr>
          <w:rFonts w:ascii="Arial" w:hAnsi="Arial" w:cs="Arial"/>
          <w:sz w:val="20"/>
          <w:szCs w:val="20"/>
        </w:rPr>
        <w:t xml:space="preserve">, </w:t>
      </w:r>
      <w:r w:rsidRPr="00963A27">
        <w:rPr>
          <w:rFonts w:ascii="Arial" w:hAnsi="Arial" w:cs="Arial"/>
          <w:sz w:val="20"/>
          <w:szCs w:val="20"/>
        </w:rPr>
        <w:t>Carboxymethyl Cellulose (CMC)</w:t>
      </w:r>
      <w:r w:rsidR="00C057A3" w:rsidRPr="00963A27">
        <w:rPr>
          <w:rFonts w:ascii="Arial" w:hAnsi="Arial" w:cs="Arial"/>
          <w:sz w:val="20"/>
          <w:szCs w:val="20"/>
        </w:rPr>
        <w:t xml:space="preserve">, </w:t>
      </w:r>
      <w:r w:rsidRPr="00963A27">
        <w:rPr>
          <w:rFonts w:ascii="Arial" w:hAnsi="Arial" w:cs="Arial"/>
          <w:sz w:val="20"/>
          <w:szCs w:val="20"/>
        </w:rPr>
        <w:t>Methylcellulose</w:t>
      </w:r>
      <w:r w:rsidR="001F6A2E" w:rsidRPr="00963A27">
        <w:rPr>
          <w:rFonts w:ascii="Arial" w:hAnsi="Arial" w:cs="Arial"/>
          <w:sz w:val="20"/>
          <w:szCs w:val="20"/>
        </w:rPr>
        <w:t>. [38]</w:t>
      </w:r>
    </w:p>
    <w:p w14:paraId="013A6BA8" w14:textId="71E52905" w:rsidR="00812012" w:rsidRPr="00963A27" w:rsidRDefault="00367620" w:rsidP="00882252">
      <w:pPr>
        <w:pStyle w:val="Title"/>
        <w:numPr>
          <w:ilvl w:val="0"/>
          <w:numId w:val="63"/>
        </w:numPr>
        <w:spacing w:before="240" w:line="360" w:lineRule="auto"/>
        <w:contextualSpacing w:val="0"/>
        <w:jc w:val="both"/>
        <w:rPr>
          <w:rFonts w:ascii="Arial" w:hAnsi="Arial" w:cs="Arial"/>
          <w:sz w:val="22"/>
          <w:szCs w:val="22"/>
        </w:rPr>
      </w:pPr>
      <w:r w:rsidRPr="00963A27">
        <w:rPr>
          <w:rFonts w:ascii="Arial" w:hAnsi="Arial" w:cs="Arial"/>
          <w:sz w:val="22"/>
          <w:szCs w:val="22"/>
        </w:rPr>
        <w:t>ORAL WAFERS MANUFACTURING TECHNOLOGIES</w:t>
      </w:r>
    </w:p>
    <w:p w14:paraId="0652B522" w14:textId="0D2FB46D" w:rsidR="00812012" w:rsidRPr="00963A27" w:rsidRDefault="00812012" w:rsidP="00956427">
      <w:pPr>
        <w:spacing w:line="360" w:lineRule="auto"/>
        <w:ind w:left="360"/>
        <w:jc w:val="both"/>
        <w:rPr>
          <w:rFonts w:ascii="Arial" w:hAnsi="Arial" w:cs="Arial"/>
          <w:sz w:val="20"/>
          <w:szCs w:val="20"/>
        </w:rPr>
      </w:pPr>
      <w:r w:rsidRPr="00963A27">
        <w:rPr>
          <w:rFonts w:ascii="Arial" w:hAnsi="Arial" w:cs="Arial"/>
          <w:sz w:val="20"/>
          <w:szCs w:val="20"/>
        </w:rPr>
        <w:t>Oral wafers represent a novel drug delivery system that facilitates quick release and absorption of drugs. Multiple manufacturing methods have been explored to make oral wafers with the desired uniform distribution of drugs, mechanical strength, and release profiles. This section discusses the major manufacturing technologies employed in oral wafers, their benefits, limitations, and comparison.</w:t>
      </w:r>
      <w:r w:rsidR="00E80CD3" w:rsidRPr="00963A27">
        <w:rPr>
          <w:rFonts w:ascii="Arial" w:hAnsi="Arial" w:cs="Arial"/>
          <w:sz w:val="20"/>
          <w:szCs w:val="20"/>
        </w:rPr>
        <w:t>[39][</w:t>
      </w:r>
      <w:r w:rsidR="00075019" w:rsidRPr="00963A27">
        <w:rPr>
          <w:rFonts w:ascii="Arial" w:hAnsi="Arial" w:cs="Arial"/>
          <w:sz w:val="20"/>
          <w:szCs w:val="20"/>
        </w:rPr>
        <w:t>40]</w:t>
      </w:r>
    </w:p>
    <w:p w14:paraId="26A12F54" w14:textId="457627B0" w:rsidR="00812012" w:rsidRPr="00963A27" w:rsidRDefault="00812012" w:rsidP="00956427">
      <w:pPr>
        <w:pStyle w:val="ListParagraph"/>
        <w:numPr>
          <w:ilvl w:val="1"/>
          <w:numId w:val="3"/>
        </w:numPr>
        <w:spacing w:line="360" w:lineRule="auto"/>
        <w:ind w:left="426"/>
        <w:contextualSpacing w:val="0"/>
        <w:jc w:val="both"/>
        <w:rPr>
          <w:rFonts w:ascii="Arial" w:hAnsi="Arial" w:cs="Arial"/>
          <w:b/>
          <w:bCs/>
        </w:rPr>
      </w:pPr>
      <w:r w:rsidRPr="00963A27">
        <w:rPr>
          <w:rFonts w:ascii="Arial" w:hAnsi="Arial" w:cs="Arial"/>
          <w:b/>
          <w:bCs/>
        </w:rPr>
        <w:t>Solvent Casting Method</w:t>
      </w:r>
    </w:p>
    <w:p w14:paraId="4664F03C" w14:textId="0C24B2F3" w:rsidR="006158E3" w:rsidRPr="00963A27" w:rsidRDefault="006158E3" w:rsidP="00956427">
      <w:pPr>
        <w:spacing w:line="360" w:lineRule="auto"/>
        <w:ind w:left="426"/>
        <w:jc w:val="both"/>
        <w:rPr>
          <w:rFonts w:ascii="Arial" w:hAnsi="Arial" w:cs="Arial"/>
          <w:sz w:val="20"/>
          <w:szCs w:val="20"/>
        </w:rPr>
      </w:pPr>
      <w:r w:rsidRPr="00963A27">
        <w:rPr>
          <w:rFonts w:ascii="Arial" w:hAnsi="Arial" w:cs="Arial"/>
          <w:sz w:val="20"/>
          <w:szCs w:val="20"/>
        </w:rPr>
        <w:t>The solvent casting technique is one of the most common methods of preparing oral wafers because it is easy and can be employed for heat-sensitive drugs. It is a technique where the film-forming polymer is dissolved in an appropriate solvent, and the drug and other additives are added to it, which is then cast onto a flat surface and dried.</w:t>
      </w:r>
      <w:r w:rsidR="006C3F32" w:rsidRPr="00963A27">
        <w:rPr>
          <w:rFonts w:ascii="Arial" w:hAnsi="Arial" w:cs="Arial"/>
          <w:sz w:val="20"/>
          <w:szCs w:val="20"/>
        </w:rPr>
        <w:t>[39]</w:t>
      </w:r>
      <w:r w:rsidR="0014220B" w:rsidRPr="00963A27">
        <w:rPr>
          <w:rFonts w:ascii="Arial" w:hAnsi="Arial" w:cs="Arial"/>
          <w:sz w:val="20"/>
          <w:szCs w:val="20"/>
        </w:rPr>
        <w:t>[</w:t>
      </w:r>
      <w:r w:rsidR="00E90CF8" w:rsidRPr="00963A27">
        <w:rPr>
          <w:rFonts w:ascii="Arial" w:hAnsi="Arial" w:cs="Arial"/>
          <w:sz w:val="20"/>
          <w:szCs w:val="20"/>
        </w:rPr>
        <w:t>41][42]</w:t>
      </w:r>
    </w:p>
    <w:p w14:paraId="29611340" w14:textId="77777777" w:rsidR="006158E3" w:rsidRPr="00963A27" w:rsidRDefault="006158E3" w:rsidP="00956427">
      <w:pPr>
        <w:spacing w:line="360" w:lineRule="auto"/>
        <w:ind w:left="426"/>
        <w:jc w:val="both"/>
        <w:rPr>
          <w:rFonts w:ascii="Arial" w:hAnsi="Arial" w:cs="Arial"/>
          <w:b/>
          <w:bCs/>
        </w:rPr>
      </w:pPr>
      <w:r w:rsidRPr="00963A27">
        <w:rPr>
          <w:rFonts w:ascii="Arial" w:hAnsi="Arial" w:cs="Arial"/>
          <w:b/>
          <w:bCs/>
        </w:rPr>
        <w:t>Methodology</w:t>
      </w:r>
    </w:p>
    <w:p w14:paraId="1BE5FFE9" w14:textId="590EEDA3" w:rsidR="006158E3" w:rsidRPr="0052006A" w:rsidRDefault="006158E3" w:rsidP="00956427">
      <w:pPr>
        <w:spacing w:line="360" w:lineRule="auto"/>
        <w:ind w:left="426"/>
        <w:jc w:val="both"/>
        <w:rPr>
          <w:rFonts w:ascii="Arial" w:hAnsi="Arial" w:cs="Arial"/>
          <w:sz w:val="20"/>
          <w:szCs w:val="20"/>
        </w:rPr>
      </w:pPr>
      <w:r w:rsidRPr="0052006A">
        <w:rPr>
          <w:rFonts w:ascii="Arial" w:hAnsi="Arial" w:cs="Arial"/>
          <w:sz w:val="20"/>
          <w:szCs w:val="20"/>
        </w:rPr>
        <w:t>The method starts with the dissolution of a polymer like hydroxypropyl methylcellulose (HPMC), polyvinyl alcohol (PVA), or sodium carboxymethyl cellulose (NaCMC) in a solvent like water or ethanol. Plasticizers like glycerol or polyethylene glycol (PEG) are incorporated to enhance film pliability and avoid brittleness. The active pharmaceutical ingredient (API) is dissolved or homogeneously dispersed into the polymer solution. The homogeneous solution is cast onto an un-stick surface such as a Teflon plate or Petri dish. Under controlled temperature conditions, the solvent is evaporated to create a thin film, which is removed by peeling off, cut to the desired shape, and packaged in moisture-resistant containers.</w:t>
      </w:r>
      <w:r w:rsidR="00956427" w:rsidRPr="0052006A">
        <w:rPr>
          <w:rFonts w:ascii="Arial" w:hAnsi="Arial" w:cs="Arial"/>
          <w:sz w:val="20"/>
          <w:szCs w:val="20"/>
        </w:rPr>
        <w:t xml:space="preserve"> </w:t>
      </w:r>
      <w:bookmarkStart w:id="0" w:name="_Hlk194386305"/>
      <w:r w:rsidR="00956427" w:rsidRPr="0052006A">
        <w:rPr>
          <w:rFonts w:ascii="Arial" w:hAnsi="Arial" w:cs="Arial"/>
          <w:sz w:val="20"/>
          <w:szCs w:val="20"/>
        </w:rPr>
        <w:t>Figure 4, represents</w:t>
      </w:r>
      <w:r w:rsidR="00E90CF8" w:rsidRPr="0052006A">
        <w:rPr>
          <w:rFonts w:ascii="Arial" w:hAnsi="Arial" w:cs="Arial"/>
          <w:sz w:val="20"/>
          <w:szCs w:val="20"/>
        </w:rPr>
        <w:t xml:space="preserve"> </w:t>
      </w:r>
      <w:r w:rsidR="00956427" w:rsidRPr="0052006A">
        <w:rPr>
          <w:rFonts w:ascii="Arial" w:hAnsi="Arial" w:cs="Arial"/>
          <w:sz w:val="20"/>
          <w:szCs w:val="20"/>
        </w:rPr>
        <w:t>the methodology of solvent casting process.</w:t>
      </w:r>
      <w:r w:rsidR="00E90CF8" w:rsidRPr="0052006A">
        <w:rPr>
          <w:rFonts w:ascii="Arial" w:hAnsi="Arial" w:cs="Arial"/>
          <w:sz w:val="20"/>
          <w:szCs w:val="20"/>
        </w:rPr>
        <w:t>[43]</w:t>
      </w:r>
    </w:p>
    <w:bookmarkEnd w:id="0"/>
    <w:p w14:paraId="61974936" w14:textId="77777777" w:rsidR="006158E3" w:rsidRPr="00963A27" w:rsidRDefault="006158E3" w:rsidP="00956427">
      <w:pPr>
        <w:spacing w:line="360" w:lineRule="auto"/>
        <w:ind w:left="426"/>
        <w:jc w:val="both"/>
        <w:rPr>
          <w:rFonts w:ascii="Arial" w:hAnsi="Arial" w:cs="Arial"/>
          <w:b/>
          <w:bCs/>
        </w:rPr>
      </w:pPr>
      <w:r w:rsidRPr="00963A27">
        <w:rPr>
          <w:rFonts w:ascii="Arial" w:hAnsi="Arial" w:cs="Arial"/>
          <w:b/>
          <w:bCs/>
        </w:rPr>
        <w:t>Process Parameters that Affect the Quality of the Film</w:t>
      </w:r>
    </w:p>
    <w:p w14:paraId="03E085F8" w14:textId="77777777" w:rsidR="006158E3" w:rsidRPr="00963A27" w:rsidRDefault="006158E3" w:rsidP="00882252">
      <w:pPr>
        <w:pStyle w:val="ListParagraph"/>
        <w:numPr>
          <w:ilvl w:val="0"/>
          <w:numId w:val="40"/>
        </w:numPr>
        <w:spacing w:line="360" w:lineRule="auto"/>
        <w:ind w:left="993" w:hanging="425"/>
        <w:jc w:val="both"/>
        <w:rPr>
          <w:rFonts w:ascii="Arial" w:hAnsi="Arial" w:cs="Arial"/>
          <w:sz w:val="20"/>
          <w:szCs w:val="20"/>
        </w:rPr>
      </w:pPr>
      <w:r w:rsidRPr="00963A27">
        <w:rPr>
          <w:rFonts w:ascii="Arial" w:hAnsi="Arial" w:cs="Arial"/>
          <w:b/>
          <w:bCs/>
          <w:sz w:val="20"/>
          <w:szCs w:val="20"/>
        </w:rPr>
        <w:t>Polymer Concentration:</w:t>
      </w:r>
      <w:r w:rsidRPr="00963A27">
        <w:rPr>
          <w:rFonts w:ascii="Arial" w:hAnsi="Arial" w:cs="Arial"/>
          <w:sz w:val="20"/>
          <w:szCs w:val="20"/>
        </w:rPr>
        <w:t xml:space="preserve"> Increased polymer concentration thickens the film and increases tensile strength but can retard disintegration.</w:t>
      </w:r>
    </w:p>
    <w:p w14:paraId="57803D67" w14:textId="77777777" w:rsidR="006158E3" w:rsidRPr="00963A27" w:rsidRDefault="006158E3" w:rsidP="00882252">
      <w:pPr>
        <w:pStyle w:val="ListParagraph"/>
        <w:numPr>
          <w:ilvl w:val="0"/>
          <w:numId w:val="40"/>
        </w:numPr>
        <w:spacing w:line="360" w:lineRule="auto"/>
        <w:ind w:left="993" w:hanging="425"/>
        <w:jc w:val="both"/>
        <w:rPr>
          <w:rFonts w:ascii="Arial" w:hAnsi="Arial" w:cs="Arial"/>
          <w:sz w:val="20"/>
          <w:szCs w:val="20"/>
        </w:rPr>
      </w:pPr>
      <w:r w:rsidRPr="00963A27">
        <w:rPr>
          <w:rFonts w:ascii="Arial" w:hAnsi="Arial" w:cs="Arial"/>
          <w:b/>
          <w:bCs/>
          <w:sz w:val="20"/>
          <w:szCs w:val="20"/>
        </w:rPr>
        <w:t>Solvent Type and Evaporation Rate:</w:t>
      </w:r>
      <w:r w:rsidRPr="00963A27">
        <w:rPr>
          <w:rFonts w:ascii="Arial" w:hAnsi="Arial" w:cs="Arial"/>
          <w:sz w:val="20"/>
          <w:szCs w:val="20"/>
        </w:rPr>
        <w:t xml:space="preserve"> Solvent selection influences film homogeneity and drug distribution. High evaporation rates can lead to film brittleness and non-uniformity.</w:t>
      </w:r>
    </w:p>
    <w:p w14:paraId="6DC08F1A" w14:textId="77777777" w:rsidR="006158E3" w:rsidRPr="00963A27" w:rsidRDefault="006158E3" w:rsidP="00882252">
      <w:pPr>
        <w:pStyle w:val="ListParagraph"/>
        <w:numPr>
          <w:ilvl w:val="0"/>
          <w:numId w:val="40"/>
        </w:numPr>
        <w:spacing w:line="360" w:lineRule="auto"/>
        <w:ind w:left="993" w:hanging="425"/>
        <w:jc w:val="both"/>
        <w:rPr>
          <w:rFonts w:ascii="Arial" w:hAnsi="Arial" w:cs="Arial"/>
          <w:sz w:val="20"/>
          <w:szCs w:val="20"/>
        </w:rPr>
      </w:pPr>
      <w:r w:rsidRPr="00963A27">
        <w:rPr>
          <w:rFonts w:ascii="Arial" w:hAnsi="Arial" w:cs="Arial"/>
          <w:b/>
          <w:bCs/>
          <w:sz w:val="20"/>
          <w:szCs w:val="20"/>
        </w:rPr>
        <w:lastRenderedPageBreak/>
        <w:t>Drying Temperature and Time:</w:t>
      </w:r>
      <w:r w:rsidRPr="00963A27">
        <w:rPr>
          <w:rFonts w:ascii="Arial" w:hAnsi="Arial" w:cs="Arial"/>
          <w:sz w:val="20"/>
          <w:szCs w:val="20"/>
        </w:rPr>
        <w:t xml:space="preserve"> Elevated drying temperatures can lead to shrinkage and impact drug stability, while insufficient drying can result in residual solvent in the film.</w:t>
      </w:r>
    </w:p>
    <w:p w14:paraId="1BBB17E8" w14:textId="055B9B97" w:rsidR="00B607AD" w:rsidRPr="00B607AD" w:rsidRDefault="006158E3" w:rsidP="00882252">
      <w:pPr>
        <w:pStyle w:val="ListParagraph"/>
        <w:numPr>
          <w:ilvl w:val="0"/>
          <w:numId w:val="40"/>
        </w:numPr>
        <w:spacing w:line="360" w:lineRule="auto"/>
        <w:ind w:left="993" w:hanging="425"/>
        <w:jc w:val="both"/>
        <w:rPr>
          <w:rFonts w:ascii="Arial" w:hAnsi="Arial" w:cs="Arial"/>
          <w:sz w:val="20"/>
          <w:szCs w:val="20"/>
        </w:rPr>
      </w:pPr>
      <w:r w:rsidRPr="00963A27">
        <w:rPr>
          <w:rFonts w:ascii="Arial" w:hAnsi="Arial" w:cs="Arial"/>
          <w:b/>
          <w:bCs/>
          <w:sz w:val="20"/>
          <w:szCs w:val="20"/>
        </w:rPr>
        <w:t>Plasticizer Concentration:</w:t>
      </w:r>
      <w:r w:rsidRPr="00963A27">
        <w:rPr>
          <w:rFonts w:ascii="Arial" w:hAnsi="Arial" w:cs="Arial"/>
          <w:sz w:val="20"/>
          <w:szCs w:val="20"/>
        </w:rPr>
        <w:t xml:space="preserve"> Insufficient plasticizer results in brittle films, while too much plasticizer can result in excessive film softness and tackiness</w:t>
      </w:r>
    </w:p>
    <w:p w14:paraId="776C3CAC" w14:textId="77777777" w:rsidR="006158E3" w:rsidRPr="00963A27" w:rsidRDefault="006158E3" w:rsidP="00956427">
      <w:pPr>
        <w:spacing w:line="360" w:lineRule="auto"/>
        <w:ind w:left="426"/>
        <w:jc w:val="both"/>
        <w:rPr>
          <w:rFonts w:ascii="Arial" w:hAnsi="Arial" w:cs="Arial"/>
          <w:b/>
          <w:bCs/>
          <w:sz w:val="20"/>
          <w:szCs w:val="20"/>
        </w:rPr>
      </w:pPr>
      <w:r w:rsidRPr="00963A27">
        <w:rPr>
          <w:rFonts w:ascii="Arial" w:hAnsi="Arial" w:cs="Arial"/>
          <w:b/>
          <w:bCs/>
          <w:sz w:val="20"/>
          <w:szCs w:val="20"/>
        </w:rPr>
        <w:t>Advantages</w:t>
      </w:r>
    </w:p>
    <w:p w14:paraId="0E6084D4" w14:textId="77777777" w:rsidR="006158E3" w:rsidRPr="00963A27" w:rsidRDefault="006158E3" w:rsidP="00882252">
      <w:pPr>
        <w:pStyle w:val="ListParagraph"/>
        <w:numPr>
          <w:ilvl w:val="0"/>
          <w:numId w:val="39"/>
        </w:numPr>
        <w:spacing w:line="360" w:lineRule="auto"/>
        <w:ind w:left="786" w:hanging="76"/>
        <w:jc w:val="both"/>
        <w:rPr>
          <w:rFonts w:ascii="Arial" w:hAnsi="Arial" w:cs="Arial"/>
          <w:sz w:val="20"/>
          <w:szCs w:val="20"/>
        </w:rPr>
      </w:pPr>
      <w:r w:rsidRPr="00963A27">
        <w:rPr>
          <w:rFonts w:ascii="Arial" w:hAnsi="Arial" w:cs="Arial"/>
          <w:sz w:val="20"/>
          <w:szCs w:val="20"/>
        </w:rPr>
        <w:t>Easy and inexpensive method.</w:t>
      </w:r>
    </w:p>
    <w:p w14:paraId="27D473B0" w14:textId="77777777" w:rsidR="006158E3" w:rsidRPr="00963A27" w:rsidRDefault="006158E3" w:rsidP="00882252">
      <w:pPr>
        <w:pStyle w:val="ListParagraph"/>
        <w:numPr>
          <w:ilvl w:val="0"/>
          <w:numId w:val="39"/>
        </w:numPr>
        <w:spacing w:line="360" w:lineRule="auto"/>
        <w:ind w:left="786" w:hanging="76"/>
        <w:jc w:val="both"/>
        <w:rPr>
          <w:rFonts w:ascii="Arial" w:hAnsi="Arial" w:cs="Arial"/>
          <w:sz w:val="20"/>
          <w:szCs w:val="20"/>
        </w:rPr>
      </w:pPr>
      <w:r w:rsidRPr="00963A27">
        <w:rPr>
          <w:rFonts w:ascii="Arial" w:hAnsi="Arial" w:cs="Arial"/>
          <w:sz w:val="20"/>
          <w:szCs w:val="20"/>
        </w:rPr>
        <w:t>Ideal for heat-labile drugs.</w:t>
      </w:r>
    </w:p>
    <w:p w14:paraId="32687FA0" w14:textId="046850EC" w:rsidR="00956427" w:rsidRPr="00635E97" w:rsidRDefault="00635E97" w:rsidP="00882252">
      <w:pPr>
        <w:pStyle w:val="ListParagraph"/>
        <w:numPr>
          <w:ilvl w:val="0"/>
          <w:numId w:val="39"/>
        </w:numPr>
        <w:spacing w:line="360" w:lineRule="auto"/>
        <w:ind w:left="786" w:hanging="76"/>
        <w:jc w:val="both"/>
        <w:rPr>
          <w:rFonts w:ascii="Arial" w:hAnsi="Arial" w:cs="Arial"/>
          <w:sz w:val="20"/>
          <w:szCs w:val="20"/>
        </w:rPr>
      </w:pPr>
      <w:r>
        <w:rPr>
          <w:noProof/>
        </w:rPr>
        <w:drawing>
          <wp:anchor distT="0" distB="0" distL="114300" distR="114300" simplePos="0" relativeHeight="251658242" behindDoc="0" locked="0" layoutInCell="1" allowOverlap="1" wp14:anchorId="5E7B6438" wp14:editId="184589E9">
            <wp:simplePos x="0" y="0"/>
            <wp:positionH relativeFrom="column">
              <wp:posOffset>226246</wp:posOffset>
            </wp:positionH>
            <wp:positionV relativeFrom="paragraph">
              <wp:posOffset>179630</wp:posOffset>
            </wp:positionV>
            <wp:extent cx="5638165" cy="3951605"/>
            <wp:effectExtent l="0" t="0" r="635" b="0"/>
            <wp:wrapTopAndBottom/>
            <wp:docPr id="17075777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77746" name=""/>
                    <pic:cNvPicPr/>
                  </pic:nvPicPr>
                  <pic:blipFill rotWithShape="1">
                    <a:blip r:embed="rId12">
                      <a:extLst>
                        <a:ext uri="{96DAC541-7B7A-43D3-8B79-37D633B846F1}">
                          <asvg:svgBlip xmlns:asvg="http://schemas.microsoft.com/office/drawing/2016/SVG/main" r:embed="rId13"/>
                        </a:ext>
                      </a:extLst>
                    </a:blip>
                    <a:srcRect l="1625" t="6080"/>
                    <a:stretch/>
                  </pic:blipFill>
                  <pic:spPr bwMode="auto">
                    <a:xfrm>
                      <a:off x="0" y="0"/>
                      <a:ext cx="5638165" cy="395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158E3" w:rsidRPr="00963A27">
        <w:rPr>
          <w:rFonts w:ascii="Arial" w:hAnsi="Arial" w:cs="Arial"/>
          <w:sz w:val="20"/>
          <w:szCs w:val="20"/>
        </w:rPr>
        <w:t>Facilitates homogeneous distribution of drug within the film.</w:t>
      </w:r>
      <w:r w:rsidR="002D3D3B" w:rsidRPr="00963A27">
        <w:rPr>
          <w:rFonts w:ascii="Arial" w:hAnsi="Arial" w:cs="Arial"/>
          <w:sz w:val="20"/>
          <w:szCs w:val="20"/>
        </w:rPr>
        <w:t xml:space="preserve"> [41]</w:t>
      </w:r>
      <w:r w:rsidR="00956427" w:rsidRPr="00635E97">
        <w:rPr>
          <w:rFonts w:ascii="Arial" w:hAnsi="Arial" w:cs="Arial"/>
          <w:b/>
          <w:bCs/>
          <w:sz w:val="20"/>
          <w:szCs w:val="20"/>
        </w:rPr>
        <w:t xml:space="preserve"> </w:t>
      </w:r>
    </w:p>
    <w:p w14:paraId="6CD70FA6" w14:textId="6CEF25D4" w:rsidR="00956427" w:rsidRPr="00956427" w:rsidRDefault="00635E97" w:rsidP="00635E97">
      <w:pPr>
        <w:pStyle w:val="ListParagraph"/>
        <w:spacing w:line="360" w:lineRule="auto"/>
        <w:ind w:left="360" w:firstLine="207"/>
        <w:jc w:val="center"/>
        <w:rPr>
          <w:rFonts w:ascii="Arial" w:hAnsi="Arial" w:cs="Arial"/>
          <w:b/>
          <w:bCs/>
          <w:sz w:val="20"/>
          <w:szCs w:val="20"/>
        </w:rPr>
      </w:pPr>
      <w:r w:rsidRPr="00956427">
        <w:rPr>
          <w:rFonts w:ascii="Arial" w:hAnsi="Arial" w:cs="Arial"/>
          <w:b/>
          <w:bCs/>
          <w:sz w:val="20"/>
          <w:szCs w:val="20"/>
        </w:rPr>
        <w:t xml:space="preserve">Figure </w:t>
      </w:r>
      <w:r>
        <w:rPr>
          <w:rFonts w:ascii="Arial" w:hAnsi="Arial" w:cs="Arial"/>
          <w:b/>
          <w:bCs/>
          <w:sz w:val="20"/>
          <w:szCs w:val="20"/>
        </w:rPr>
        <w:t>4</w:t>
      </w:r>
      <w:r w:rsidRPr="00956427">
        <w:rPr>
          <w:rFonts w:ascii="Arial" w:hAnsi="Arial" w:cs="Arial"/>
          <w:b/>
          <w:bCs/>
          <w:sz w:val="20"/>
          <w:szCs w:val="20"/>
        </w:rPr>
        <w:t>:</w:t>
      </w:r>
      <w:r>
        <w:rPr>
          <w:rFonts w:ascii="Arial" w:hAnsi="Arial" w:cs="Arial"/>
          <w:b/>
          <w:bCs/>
          <w:sz w:val="20"/>
          <w:szCs w:val="20"/>
        </w:rPr>
        <w:t xml:space="preserve"> Oral Wafer Preparation by solvent Casting Method</w:t>
      </w:r>
    </w:p>
    <w:p w14:paraId="3220774F" w14:textId="08D41051" w:rsidR="006158E3" w:rsidRPr="00963A27" w:rsidRDefault="006158E3" w:rsidP="00882252">
      <w:pPr>
        <w:pStyle w:val="ListParagraph"/>
        <w:numPr>
          <w:ilvl w:val="1"/>
          <w:numId w:val="38"/>
        </w:numPr>
        <w:spacing w:line="360" w:lineRule="auto"/>
        <w:ind w:left="567" w:hanging="567"/>
        <w:jc w:val="both"/>
        <w:rPr>
          <w:rFonts w:ascii="Arial" w:hAnsi="Arial" w:cs="Arial"/>
          <w:b/>
          <w:bCs/>
        </w:rPr>
      </w:pPr>
      <w:bookmarkStart w:id="1" w:name="_Hlk194385905"/>
      <w:r w:rsidRPr="00963A27">
        <w:rPr>
          <w:rFonts w:ascii="Arial" w:hAnsi="Arial" w:cs="Arial"/>
          <w:b/>
          <w:bCs/>
        </w:rPr>
        <w:t>Hot Melt Extrusion (HME)</w:t>
      </w:r>
      <w:bookmarkEnd w:id="1"/>
      <w:r w:rsidRPr="00963A27">
        <w:rPr>
          <w:rFonts w:ascii="Arial" w:hAnsi="Arial" w:cs="Arial"/>
          <w:b/>
          <w:bCs/>
        </w:rPr>
        <w:t xml:space="preserve"> Process</w:t>
      </w:r>
    </w:p>
    <w:p w14:paraId="738C348F" w14:textId="64C94E8E" w:rsidR="00635E97" w:rsidRPr="0052006A" w:rsidRDefault="006158E3" w:rsidP="00635E97">
      <w:pPr>
        <w:spacing w:line="360" w:lineRule="auto"/>
        <w:ind w:left="426"/>
        <w:jc w:val="both"/>
        <w:rPr>
          <w:rFonts w:ascii="Arial" w:hAnsi="Arial" w:cs="Arial"/>
          <w:sz w:val="20"/>
          <w:szCs w:val="20"/>
        </w:rPr>
      </w:pPr>
      <w:r w:rsidRPr="0052006A">
        <w:rPr>
          <w:rFonts w:ascii="Arial" w:hAnsi="Arial" w:cs="Arial"/>
          <w:sz w:val="20"/>
          <w:szCs w:val="20"/>
        </w:rPr>
        <w:t>Hot melt extrusion (HME) is a solventless, continuous process that has found widespread application in pharmaceuticals. It enhances drug solubility and offers greater mechanical strength to the films than solvent casting. It demands exact temperature control to avoid drug degradation, though.</w:t>
      </w:r>
      <w:r w:rsidR="00482AFF" w:rsidRPr="0052006A">
        <w:rPr>
          <w:rFonts w:ascii="Arial" w:hAnsi="Arial" w:cs="Arial"/>
          <w:sz w:val="20"/>
          <w:szCs w:val="20"/>
        </w:rPr>
        <w:t xml:space="preserve"> </w:t>
      </w:r>
      <w:r w:rsidRPr="0052006A">
        <w:rPr>
          <w:rFonts w:ascii="Arial" w:hAnsi="Arial" w:cs="Arial"/>
          <w:sz w:val="20"/>
          <w:szCs w:val="20"/>
        </w:rPr>
        <w:t>During this process, the active pharmaceutical ingredient (API) is mixed with film-forming polymers like polyvinyl alcohol (PVA) or hydroxypropyl cellulose (HPC) in powder form. The blend is processed in a twin-screw extruder, where it is heated and mechanically sheared to create a molten mass. This molten mass is then extruded through a flat die to create a thin film. The extruded film is quenched quickly to solidify it prior to being cut to the desired size and stored under controlled conditions</w:t>
      </w:r>
      <w:r w:rsidR="00635E97" w:rsidRPr="0052006A">
        <w:rPr>
          <w:rFonts w:ascii="Arial" w:hAnsi="Arial" w:cs="Arial"/>
          <w:sz w:val="20"/>
          <w:szCs w:val="20"/>
        </w:rPr>
        <w:t xml:space="preserve"> </w:t>
      </w:r>
      <w:r w:rsidR="00EC6F01" w:rsidRPr="0052006A">
        <w:rPr>
          <w:rFonts w:ascii="Arial" w:hAnsi="Arial" w:cs="Arial"/>
          <w:sz w:val="20"/>
          <w:szCs w:val="20"/>
        </w:rPr>
        <w:t>[44]</w:t>
      </w:r>
      <w:r w:rsidR="005677DB" w:rsidRPr="0052006A">
        <w:rPr>
          <w:rFonts w:ascii="Arial" w:hAnsi="Arial" w:cs="Arial"/>
          <w:sz w:val="20"/>
          <w:szCs w:val="20"/>
        </w:rPr>
        <w:t>[45]</w:t>
      </w:r>
      <w:r w:rsidR="007B283B" w:rsidRPr="0052006A">
        <w:rPr>
          <w:rFonts w:ascii="Arial" w:hAnsi="Arial" w:cs="Arial"/>
          <w:sz w:val="20"/>
          <w:szCs w:val="20"/>
        </w:rPr>
        <w:t>[46]</w:t>
      </w:r>
      <w:r w:rsidR="00635E97" w:rsidRPr="0052006A">
        <w:rPr>
          <w:rFonts w:ascii="Arial" w:hAnsi="Arial" w:cs="Arial"/>
          <w:sz w:val="20"/>
          <w:szCs w:val="20"/>
        </w:rPr>
        <w:t>. Figure 5, represents the methodology of HME process.</w:t>
      </w:r>
    </w:p>
    <w:p w14:paraId="3EB8CE5C" w14:textId="1DD40C3F" w:rsidR="006158E3" w:rsidRPr="00963A27" w:rsidRDefault="006158E3" w:rsidP="00956427">
      <w:pPr>
        <w:spacing w:line="360" w:lineRule="auto"/>
        <w:ind w:left="567"/>
        <w:jc w:val="both"/>
        <w:rPr>
          <w:rFonts w:ascii="Arial" w:hAnsi="Arial" w:cs="Arial"/>
          <w:b/>
          <w:bCs/>
        </w:rPr>
      </w:pPr>
      <w:r w:rsidRPr="00963A27">
        <w:rPr>
          <w:rFonts w:ascii="Arial" w:hAnsi="Arial" w:cs="Arial"/>
          <w:b/>
          <w:bCs/>
        </w:rPr>
        <w:t>Process Parameters Affecting Film Quality</w:t>
      </w:r>
    </w:p>
    <w:p w14:paraId="52D17C42" w14:textId="77777777" w:rsidR="006158E3" w:rsidRPr="00963A27" w:rsidRDefault="006158E3" w:rsidP="00882252">
      <w:pPr>
        <w:pStyle w:val="ListParagraph"/>
        <w:numPr>
          <w:ilvl w:val="0"/>
          <w:numId w:val="41"/>
        </w:numPr>
        <w:spacing w:line="360" w:lineRule="auto"/>
        <w:ind w:left="1276"/>
        <w:jc w:val="both"/>
        <w:rPr>
          <w:rFonts w:ascii="Arial" w:hAnsi="Arial" w:cs="Arial"/>
          <w:sz w:val="20"/>
          <w:szCs w:val="20"/>
        </w:rPr>
      </w:pPr>
      <w:r w:rsidRPr="00963A27">
        <w:rPr>
          <w:rFonts w:ascii="Arial" w:hAnsi="Arial" w:cs="Arial"/>
          <w:b/>
          <w:bCs/>
          <w:sz w:val="20"/>
          <w:szCs w:val="20"/>
        </w:rPr>
        <w:lastRenderedPageBreak/>
        <w:t>Extrusion Temperature:</w:t>
      </w:r>
      <w:r w:rsidRPr="00963A27">
        <w:rPr>
          <w:rFonts w:ascii="Arial" w:hAnsi="Arial" w:cs="Arial"/>
          <w:sz w:val="20"/>
          <w:szCs w:val="20"/>
        </w:rPr>
        <w:t xml:space="preserve"> Should be optimized to avoid drug degradation while ensuring good polymer melting.</w:t>
      </w:r>
    </w:p>
    <w:p w14:paraId="4998CBD7" w14:textId="77777777" w:rsidR="006158E3" w:rsidRPr="00963A27" w:rsidRDefault="006158E3" w:rsidP="00882252">
      <w:pPr>
        <w:pStyle w:val="ListParagraph"/>
        <w:numPr>
          <w:ilvl w:val="0"/>
          <w:numId w:val="41"/>
        </w:numPr>
        <w:spacing w:line="360" w:lineRule="auto"/>
        <w:ind w:left="1276"/>
        <w:jc w:val="both"/>
        <w:rPr>
          <w:rFonts w:ascii="Arial" w:hAnsi="Arial" w:cs="Arial"/>
          <w:sz w:val="20"/>
          <w:szCs w:val="20"/>
        </w:rPr>
      </w:pPr>
      <w:r w:rsidRPr="00963A27">
        <w:rPr>
          <w:rFonts w:ascii="Arial" w:hAnsi="Arial" w:cs="Arial"/>
          <w:b/>
          <w:bCs/>
          <w:sz w:val="20"/>
          <w:szCs w:val="20"/>
        </w:rPr>
        <w:t>Screw Speed and Shear Rate:</w:t>
      </w:r>
      <w:r w:rsidRPr="00963A27">
        <w:rPr>
          <w:rFonts w:ascii="Arial" w:hAnsi="Arial" w:cs="Arial"/>
          <w:sz w:val="20"/>
          <w:szCs w:val="20"/>
        </w:rPr>
        <w:t xml:space="preserve"> Increased speeds enhance mixing but may lead to excessive heat generation.</w:t>
      </w:r>
    </w:p>
    <w:p w14:paraId="05D0C51C" w14:textId="77777777" w:rsidR="006158E3" w:rsidRPr="00963A27" w:rsidRDefault="006158E3" w:rsidP="00882252">
      <w:pPr>
        <w:pStyle w:val="ListParagraph"/>
        <w:numPr>
          <w:ilvl w:val="0"/>
          <w:numId w:val="41"/>
        </w:numPr>
        <w:spacing w:line="360" w:lineRule="auto"/>
        <w:ind w:left="1276"/>
        <w:jc w:val="both"/>
        <w:rPr>
          <w:rFonts w:ascii="Arial" w:hAnsi="Arial" w:cs="Arial"/>
          <w:sz w:val="20"/>
          <w:szCs w:val="20"/>
        </w:rPr>
      </w:pPr>
      <w:r w:rsidRPr="00963A27">
        <w:rPr>
          <w:rFonts w:ascii="Arial" w:hAnsi="Arial" w:cs="Arial"/>
          <w:b/>
          <w:bCs/>
          <w:sz w:val="20"/>
          <w:szCs w:val="20"/>
        </w:rPr>
        <w:t>Polymer Type and Molecular Weight:</w:t>
      </w:r>
      <w:r w:rsidRPr="00963A27">
        <w:rPr>
          <w:rFonts w:ascii="Arial" w:hAnsi="Arial" w:cs="Arial"/>
          <w:sz w:val="20"/>
          <w:szCs w:val="20"/>
        </w:rPr>
        <w:t xml:space="preserve"> Controls the viscosity and mechanical properties of the film.</w:t>
      </w:r>
    </w:p>
    <w:p w14:paraId="35267A05" w14:textId="53691CFF" w:rsidR="006158E3" w:rsidRPr="00963A27" w:rsidRDefault="006158E3" w:rsidP="00882252">
      <w:pPr>
        <w:pStyle w:val="ListParagraph"/>
        <w:numPr>
          <w:ilvl w:val="0"/>
          <w:numId w:val="41"/>
        </w:numPr>
        <w:spacing w:line="360" w:lineRule="auto"/>
        <w:ind w:left="1276"/>
        <w:jc w:val="both"/>
        <w:rPr>
          <w:rFonts w:ascii="Arial" w:hAnsi="Arial" w:cs="Arial"/>
          <w:sz w:val="20"/>
          <w:szCs w:val="20"/>
        </w:rPr>
      </w:pPr>
      <w:r w:rsidRPr="00963A27">
        <w:rPr>
          <w:rFonts w:ascii="Arial" w:hAnsi="Arial" w:cs="Arial"/>
          <w:b/>
          <w:bCs/>
          <w:sz w:val="20"/>
          <w:szCs w:val="20"/>
        </w:rPr>
        <w:t>Plasticizer and Drug Loading:</w:t>
      </w:r>
      <w:r w:rsidRPr="00963A27">
        <w:rPr>
          <w:rFonts w:ascii="Arial" w:hAnsi="Arial" w:cs="Arial"/>
          <w:sz w:val="20"/>
          <w:szCs w:val="20"/>
        </w:rPr>
        <w:t xml:space="preserve"> High drug loading may influence film integrity, whereas improper plasticizer levels can result in stickiness or brittleness.</w:t>
      </w:r>
    </w:p>
    <w:p w14:paraId="2023EA29" w14:textId="77777777" w:rsidR="006158E3" w:rsidRPr="00963A27" w:rsidRDefault="006158E3" w:rsidP="00956427">
      <w:pPr>
        <w:spacing w:line="360" w:lineRule="auto"/>
        <w:ind w:left="567"/>
        <w:jc w:val="both"/>
        <w:rPr>
          <w:rFonts w:ascii="Arial" w:hAnsi="Arial" w:cs="Arial"/>
          <w:b/>
          <w:bCs/>
          <w:sz w:val="20"/>
          <w:szCs w:val="20"/>
        </w:rPr>
      </w:pPr>
      <w:r w:rsidRPr="00963A27">
        <w:rPr>
          <w:rFonts w:ascii="Arial" w:hAnsi="Arial" w:cs="Arial"/>
          <w:b/>
          <w:bCs/>
          <w:sz w:val="20"/>
          <w:szCs w:val="20"/>
        </w:rPr>
        <w:t>Advantages</w:t>
      </w:r>
    </w:p>
    <w:p w14:paraId="1CDAE04B" w14:textId="77777777" w:rsidR="006158E3" w:rsidRPr="00963A27" w:rsidRDefault="006158E3" w:rsidP="00882252">
      <w:pPr>
        <w:pStyle w:val="ListParagraph"/>
        <w:numPr>
          <w:ilvl w:val="0"/>
          <w:numId w:val="42"/>
        </w:numPr>
        <w:spacing w:line="360" w:lineRule="auto"/>
        <w:ind w:left="1287"/>
        <w:jc w:val="both"/>
        <w:rPr>
          <w:rFonts w:ascii="Arial" w:hAnsi="Arial" w:cs="Arial"/>
          <w:sz w:val="20"/>
          <w:szCs w:val="20"/>
        </w:rPr>
      </w:pPr>
      <w:r w:rsidRPr="00963A27">
        <w:rPr>
          <w:rFonts w:ascii="Arial" w:hAnsi="Arial" w:cs="Arial"/>
          <w:sz w:val="20"/>
          <w:szCs w:val="20"/>
        </w:rPr>
        <w:t>Does not require solvents, thus is eco-friendly.</w:t>
      </w:r>
    </w:p>
    <w:p w14:paraId="13DB55F8" w14:textId="16D7E2E3" w:rsidR="006158E3" w:rsidRPr="00963A27" w:rsidRDefault="006158E3" w:rsidP="00882252">
      <w:pPr>
        <w:pStyle w:val="ListParagraph"/>
        <w:numPr>
          <w:ilvl w:val="0"/>
          <w:numId w:val="42"/>
        </w:numPr>
        <w:spacing w:line="360" w:lineRule="auto"/>
        <w:ind w:left="1287"/>
        <w:jc w:val="both"/>
        <w:rPr>
          <w:rFonts w:ascii="Arial" w:hAnsi="Arial" w:cs="Arial"/>
          <w:sz w:val="20"/>
          <w:szCs w:val="20"/>
        </w:rPr>
      </w:pPr>
      <w:r w:rsidRPr="00963A27">
        <w:rPr>
          <w:rFonts w:ascii="Arial" w:hAnsi="Arial" w:cs="Arial"/>
          <w:sz w:val="20"/>
          <w:szCs w:val="20"/>
        </w:rPr>
        <w:t>Offers enhanced mechanical strength and stability.</w:t>
      </w:r>
    </w:p>
    <w:p w14:paraId="607DD1D3" w14:textId="59242E13" w:rsidR="006158E3" w:rsidRDefault="00635E97" w:rsidP="00882252">
      <w:pPr>
        <w:pStyle w:val="ListParagraph"/>
        <w:numPr>
          <w:ilvl w:val="0"/>
          <w:numId w:val="42"/>
        </w:numPr>
        <w:spacing w:line="360" w:lineRule="auto"/>
        <w:ind w:left="1287"/>
        <w:jc w:val="both"/>
        <w:rPr>
          <w:rFonts w:ascii="Arial" w:hAnsi="Arial" w:cs="Arial"/>
          <w:sz w:val="20"/>
          <w:szCs w:val="20"/>
        </w:rPr>
      </w:pPr>
      <w:r w:rsidRPr="00956427">
        <w:rPr>
          <w:rFonts w:ascii="Arial" w:hAnsi="Arial" w:cs="Arial"/>
          <w:noProof/>
          <w:sz w:val="20"/>
          <w:szCs w:val="20"/>
        </w:rPr>
        <w:drawing>
          <wp:anchor distT="0" distB="0" distL="114300" distR="114300" simplePos="0" relativeHeight="251658243" behindDoc="0" locked="0" layoutInCell="1" allowOverlap="1" wp14:anchorId="454DEE4E" wp14:editId="734BDB9A">
            <wp:simplePos x="0" y="0"/>
            <wp:positionH relativeFrom="margin">
              <wp:posOffset>616398</wp:posOffset>
            </wp:positionH>
            <wp:positionV relativeFrom="paragraph">
              <wp:posOffset>247650</wp:posOffset>
            </wp:positionV>
            <wp:extent cx="4681220" cy="2621915"/>
            <wp:effectExtent l="0" t="0" r="0" b="0"/>
            <wp:wrapTopAndBottom/>
            <wp:docPr id="56" name="Picture 55">
              <a:extLst xmlns:a="http://schemas.openxmlformats.org/drawingml/2006/main">
                <a:ext uri="{FF2B5EF4-FFF2-40B4-BE49-F238E27FC236}">
                  <a16:creationId xmlns:a16="http://schemas.microsoft.com/office/drawing/2014/main" id="{40EB2874-44CC-7B07-9B5C-523155959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40EB2874-44CC-7B07-9B5C-523155959122}"/>
                        </a:ext>
                      </a:extLst>
                    </pic:cNvPr>
                    <pic:cNvPicPr>
                      <a:picLocks noChangeAspect="1"/>
                    </pic:cNvPicPr>
                  </pic:nvPicPr>
                  <pic:blipFill rotWithShape="1">
                    <a:blip r:embed="rId14">
                      <a:extLst>
                        <a:ext uri="{28A0092B-C50C-407E-A947-70E740481C1C}">
                          <a14:useLocalDpi xmlns:a14="http://schemas.microsoft.com/office/drawing/2010/main" val="0"/>
                        </a:ext>
                      </a:extLst>
                    </a:blip>
                    <a:srcRect l="9455" r="8856"/>
                    <a:stretch/>
                  </pic:blipFill>
                  <pic:spPr bwMode="auto">
                    <a:xfrm>
                      <a:off x="0" y="0"/>
                      <a:ext cx="4681220" cy="262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158E3" w:rsidRPr="00963A27">
        <w:rPr>
          <w:rFonts w:ascii="Arial" w:hAnsi="Arial" w:cs="Arial"/>
          <w:sz w:val="20"/>
          <w:szCs w:val="20"/>
        </w:rPr>
        <w:t>Ideal for enhancing drug solubility and bioavailability.</w:t>
      </w:r>
      <w:r w:rsidR="0039340D" w:rsidRPr="00963A27">
        <w:rPr>
          <w:rFonts w:ascii="Arial" w:hAnsi="Arial" w:cs="Arial"/>
          <w:sz w:val="20"/>
          <w:szCs w:val="20"/>
        </w:rPr>
        <w:t xml:space="preserve"> [47]</w:t>
      </w:r>
    </w:p>
    <w:p w14:paraId="5836B586" w14:textId="77777777" w:rsidR="00635E97" w:rsidRPr="00635E97" w:rsidRDefault="00635E97" w:rsidP="00635E97">
      <w:pPr>
        <w:pStyle w:val="ListParagraph"/>
        <w:spacing w:line="360" w:lineRule="auto"/>
        <w:jc w:val="center"/>
        <w:rPr>
          <w:rFonts w:ascii="Arial" w:hAnsi="Arial" w:cs="Arial"/>
          <w:b/>
          <w:bCs/>
          <w:sz w:val="20"/>
          <w:szCs w:val="20"/>
        </w:rPr>
      </w:pPr>
      <w:r w:rsidRPr="00635E97">
        <w:rPr>
          <w:rFonts w:ascii="Arial" w:hAnsi="Arial" w:cs="Arial"/>
          <w:b/>
          <w:bCs/>
          <w:sz w:val="20"/>
          <w:szCs w:val="20"/>
        </w:rPr>
        <w:t>Figure 5: Oral Wafer Preparation by Hot Melt Extrusion (HME) Method</w:t>
      </w:r>
    </w:p>
    <w:p w14:paraId="3E49DBCA" w14:textId="77777777" w:rsidR="00635E97" w:rsidRDefault="00635E97" w:rsidP="00635E97">
      <w:pPr>
        <w:pStyle w:val="ListParagraph"/>
        <w:spacing w:line="360" w:lineRule="auto"/>
        <w:ind w:left="1287"/>
        <w:jc w:val="both"/>
        <w:rPr>
          <w:rFonts w:ascii="Arial" w:hAnsi="Arial" w:cs="Arial"/>
          <w:sz w:val="20"/>
          <w:szCs w:val="20"/>
        </w:rPr>
      </w:pPr>
    </w:p>
    <w:p w14:paraId="55E77779" w14:textId="6EC365C5" w:rsidR="006158E3" w:rsidRPr="00963A27" w:rsidRDefault="006158E3" w:rsidP="00882252">
      <w:pPr>
        <w:pStyle w:val="ListParagraph"/>
        <w:numPr>
          <w:ilvl w:val="1"/>
          <w:numId w:val="43"/>
        </w:numPr>
        <w:spacing w:before="240" w:line="360" w:lineRule="auto"/>
        <w:ind w:left="567" w:hanging="567"/>
        <w:jc w:val="both"/>
        <w:rPr>
          <w:rFonts w:ascii="Arial" w:hAnsi="Arial" w:cs="Arial"/>
          <w:b/>
          <w:bCs/>
        </w:rPr>
      </w:pPr>
      <w:r w:rsidRPr="00963A27">
        <w:rPr>
          <w:rFonts w:ascii="Arial" w:hAnsi="Arial" w:cs="Arial"/>
          <w:b/>
          <w:bCs/>
        </w:rPr>
        <w:t>Rolling Method</w:t>
      </w:r>
    </w:p>
    <w:p w14:paraId="74AC856E" w14:textId="1E38C662" w:rsidR="00240B1C" w:rsidRPr="00956427" w:rsidRDefault="006158E3" w:rsidP="00956427">
      <w:pPr>
        <w:spacing w:line="360" w:lineRule="auto"/>
        <w:ind w:left="567"/>
        <w:jc w:val="both"/>
        <w:rPr>
          <w:rFonts w:ascii="Arial" w:hAnsi="Arial" w:cs="Arial"/>
          <w:sz w:val="20"/>
          <w:szCs w:val="20"/>
        </w:rPr>
      </w:pPr>
      <w:r w:rsidRPr="00963A27">
        <w:rPr>
          <w:rFonts w:ascii="Arial" w:hAnsi="Arial" w:cs="Arial"/>
          <w:sz w:val="20"/>
          <w:szCs w:val="20"/>
        </w:rPr>
        <w:t>The rolling process is a cost-effective and scalable method for mass production of oral wafers. It is a process of spreading a drug-polymer blend between mechanical rollers to create a uniform thin film.</w:t>
      </w:r>
    </w:p>
    <w:p w14:paraId="519DC520" w14:textId="66B624BE" w:rsidR="006158E3" w:rsidRPr="00963A27" w:rsidRDefault="006158E3" w:rsidP="00956427">
      <w:pPr>
        <w:spacing w:line="360" w:lineRule="auto"/>
        <w:ind w:left="567"/>
        <w:jc w:val="both"/>
        <w:rPr>
          <w:rFonts w:ascii="Arial" w:hAnsi="Arial" w:cs="Arial"/>
          <w:b/>
          <w:bCs/>
        </w:rPr>
      </w:pPr>
      <w:r w:rsidRPr="00963A27">
        <w:rPr>
          <w:rFonts w:ascii="Arial" w:hAnsi="Arial" w:cs="Arial"/>
          <w:b/>
          <w:bCs/>
        </w:rPr>
        <w:t>Methodology</w:t>
      </w:r>
    </w:p>
    <w:p w14:paraId="74225FF0" w14:textId="146B505C" w:rsidR="00635E97" w:rsidRPr="0052006A" w:rsidRDefault="006158E3" w:rsidP="00635E97">
      <w:pPr>
        <w:spacing w:line="360" w:lineRule="auto"/>
        <w:ind w:left="426"/>
        <w:jc w:val="both"/>
        <w:rPr>
          <w:rFonts w:ascii="Arial" w:hAnsi="Arial" w:cs="Arial"/>
          <w:sz w:val="20"/>
          <w:szCs w:val="20"/>
        </w:rPr>
      </w:pPr>
      <w:r w:rsidRPr="00963A27">
        <w:rPr>
          <w:rFonts w:ascii="Arial" w:hAnsi="Arial" w:cs="Arial"/>
          <w:sz w:val="20"/>
          <w:szCs w:val="20"/>
        </w:rPr>
        <w:t>A uniform mixture of film-forming polymers, API, plasticizers, and other excipients is formed. This mixture is passed between two rollers, which spread it continuously into a thin film of uniform thickness. The film is then dried under controlled conditions to evaporate any residual solvents. The film is then peeled off, cut to the required shape, and packed.</w:t>
      </w:r>
      <w:r w:rsidR="00635E97" w:rsidRPr="00635E97">
        <w:rPr>
          <w:rFonts w:ascii="Arial" w:hAnsi="Arial" w:cs="Arial"/>
          <w:sz w:val="18"/>
          <w:szCs w:val="18"/>
        </w:rPr>
        <w:t xml:space="preserve"> </w:t>
      </w:r>
      <w:r w:rsidR="00635E97" w:rsidRPr="0052006A">
        <w:rPr>
          <w:rFonts w:ascii="Arial" w:hAnsi="Arial" w:cs="Arial"/>
          <w:sz w:val="20"/>
          <w:szCs w:val="20"/>
        </w:rPr>
        <w:t xml:space="preserve">Figure </w:t>
      </w:r>
      <w:r w:rsidR="001269F7" w:rsidRPr="0052006A">
        <w:rPr>
          <w:rFonts w:ascii="Arial" w:hAnsi="Arial" w:cs="Arial"/>
          <w:sz w:val="20"/>
          <w:szCs w:val="20"/>
        </w:rPr>
        <w:t>6</w:t>
      </w:r>
      <w:r w:rsidR="00635E97" w:rsidRPr="0052006A">
        <w:rPr>
          <w:rFonts w:ascii="Arial" w:hAnsi="Arial" w:cs="Arial"/>
          <w:sz w:val="20"/>
          <w:szCs w:val="20"/>
        </w:rPr>
        <w:t>, represents the methodology of rolling technique.[43]</w:t>
      </w:r>
    </w:p>
    <w:p w14:paraId="5CEEC291" w14:textId="77777777" w:rsidR="0052006A" w:rsidRDefault="0052006A" w:rsidP="00956427">
      <w:pPr>
        <w:spacing w:line="360" w:lineRule="auto"/>
        <w:ind w:left="567"/>
        <w:jc w:val="both"/>
        <w:rPr>
          <w:rFonts w:ascii="Arial" w:hAnsi="Arial" w:cs="Arial"/>
          <w:b/>
          <w:bCs/>
        </w:rPr>
      </w:pPr>
    </w:p>
    <w:p w14:paraId="0835EA2E" w14:textId="2757589A" w:rsidR="006158E3" w:rsidRPr="00963A27" w:rsidRDefault="006158E3" w:rsidP="00956427">
      <w:pPr>
        <w:spacing w:line="360" w:lineRule="auto"/>
        <w:ind w:left="567"/>
        <w:jc w:val="both"/>
        <w:rPr>
          <w:rFonts w:ascii="Arial" w:hAnsi="Arial" w:cs="Arial"/>
          <w:b/>
          <w:bCs/>
        </w:rPr>
      </w:pPr>
      <w:r w:rsidRPr="00963A27">
        <w:rPr>
          <w:rFonts w:ascii="Arial" w:hAnsi="Arial" w:cs="Arial"/>
          <w:b/>
          <w:bCs/>
        </w:rPr>
        <w:lastRenderedPageBreak/>
        <w:t>Process Parameters Affecting Film Quality</w:t>
      </w:r>
    </w:p>
    <w:p w14:paraId="1765A85A" w14:textId="77777777" w:rsidR="006158E3" w:rsidRPr="00963A27" w:rsidRDefault="006158E3" w:rsidP="00882252">
      <w:pPr>
        <w:pStyle w:val="ListParagraph"/>
        <w:numPr>
          <w:ilvl w:val="0"/>
          <w:numId w:val="44"/>
        </w:numPr>
        <w:spacing w:line="360" w:lineRule="auto"/>
        <w:ind w:left="1134" w:hanging="283"/>
        <w:jc w:val="both"/>
        <w:rPr>
          <w:rFonts w:ascii="Arial" w:hAnsi="Arial" w:cs="Arial"/>
          <w:sz w:val="20"/>
          <w:szCs w:val="20"/>
        </w:rPr>
      </w:pPr>
      <w:r w:rsidRPr="00963A27">
        <w:rPr>
          <w:rFonts w:ascii="Arial" w:hAnsi="Arial" w:cs="Arial"/>
          <w:b/>
          <w:bCs/>
          <w:sz w:val="20"/>
          <w:szCs w:val="20"/>
        </w:rPr>
        <w:t>Roller Speed and Pressure:</w:t>
      </w:r>
      <w:r w:rsidRPr="00963A27">
        <w:rPr>
          <w:rFonts w:ascii="Arial" w:hAnsi="Arial" w:cs="Arial"/>
          <w:sz w:val="20"/>
          <w:szCs w:val="20"/>
        </w:rPr>
        <w:t xml:space="preserve"> Need to be regulated in order to maintain uniform thickness and avoid film rupture.</w:t>
      </w:r>
    </w:p>
    <w:p w14:paraId="31F83CAB" w14:textId="77777777" w:rsidR="006158E3" w:rsidRPr="00963A27" w:rsidRDefault="006158E3" w:rsidP="00882252">
      <w:pPr>
        <w:pStyle w:val="ListParagraph"/>
        <w:numPr>
          <w:ilvl w:val="0"/>
          <w:numId w:val="44"/>
        </w:numPr>
        <w:spacing w:line="360" w:lineRule="auto"/>
        <w:ind w:left="1134" w:hanging="283"/>
        <w:jc w:val="both"/>
        <w:rPr>
          <w:rFonts w:ascii="Arial" w:hAnsi="Arial" w:cs="Arial"/>
          <w:sz w:val="20"/>
          <w:szCs w:val="20"/>
        </w:rPr>
      </w:pPr>
      <w:r w:rsidRPr="00963A27">
        <w:rPr>
          <w:rFonts w:ascii="Arial" w:hAnsi="Arial" w:cs="Arial"/>
          <w:b/>
          <w:bCs/>
          <w:sz w:val="20"/>
          <w:szCs w:val="20"/>
        </w:rPr>
        <w:t>Polymer Viscosity:</w:t>
      </w:r>
      <w:r w:rsidRPr="00963A27">
        <w:rPr>
          <w:rFonts w:ascii="Arial" w:hAnsi="Arial" w:cs="Arial"/>
          <w:sz w:val="20"/>
          <w:szCs w:val="20"/>
        </w:rPr>
        <w:t xml:space="preserve"> Impacts spreading ease and film integrity.</w:t>
      </w:r>
    </w:p>
    <w:p w14:paraId="1B3C39E6" w14:textId="77777777" w:rsidR="006158E3" w:rsidRPr="00963A27" w:rsidRDefault="006158E3" w:rsidP="00882252">
      <w:pPr>
        <w:pStyle w:val="ListParagraph"/>
        <w:numPr>
          <w:ilvl w:val="0"/>
          <w:numId w:val="44"/>
        </w:numPr>
        <w:spacing w:line="360" w:lineRule="auto"/>
        <w:ind w:left="1134" w:hanging="283"/>
        <w:jc w:val="both"/>
        <w:rPr>
          <w:rFonts w:ascii="Arial" w:hAnsi="Arial" w:cs="Arial"/>
          <w:sz w:val="20"/>
          <w:szCs w:val="20"/>
        </w:rPr>
      </w:pPr>
      <w:r w:rsidRPr="00963A27">
        <w:rPr>
          <w:rFonts w:ascii="Arial" w:hAnsi="Arial" w:cs="Arial"/>
          <w:b/>
          <w:bCs/>
          <w:sz w:val="20"/>
          <w:szCs w:val="20"/>
        </w:rPr>
        <w:t>Drying Conditions:</w:t>
      </w:r>
      <w:r w:rsidRPr="00963A27">
        <w:rPr>
          <w:rFonts w:ascii="Arial" w:hAnsi="Arial" w:cs="Arial"/>
          <w:sz w:val="20"/>
          <w:szCs w:val="20"/>
        </w:rPr>
        <w:t xml:space="preserve"> Need to be optimized in order to avoid solvent entrapment while retaining film flexibility.</w:t>
      </w:r>
    </w:p>
    <w:p w14:paraId="7085F4DC" w14:textId="77777777" w:rsidR="006158E3" w:rsidRPr="00963A27" w:rsidRDefault="006158E3" w:rsidP="00882252">
      <w:pPr>
        <w:pStyle w:val="ListParagraph"/>
        <w:numPr>
          <w:ilvl w:val="0"/>
          <w:numId w:val="44"/>
        </w:numPr>
        <w:spacing w:line="360" w:lineRule="auto"/>
        <w:ind w:left="1134" w:hanging="283"/>
        <w:jc w:val="both"/>
        <w:rPr>
          <w:rFonts w:ascii="Arial" w:hAnsi="Arial" w:cs="Arial"/>
          <w:sz w:val="20"/>
          <w:szCs w:val="20"/>
        </w:rPr>
      </w:pPr>
      <w:r w:rsidRPr="00963A27">
        <w:rPr>
          <w:rFonts w:ascii="Arial" w:hAnsi="Arial" w:cs="Arial"/>
          <w:b/>
          <w:bCs/>
          <w:sz w:val="20"/>
          <w:szCs w:val="20"/>
        </w:rPr>
        <w:t>Film Thickness Control:</w:t>
      </w:r>
      <w:r w:rsidRPr="00963A27">
        <w:rPr>
          <w:rFonts w:ascii="Arial" w:hAnsi="Arial" w:cs="Arial"/>
          <w:sz w:val="20"/>
          <w:szCs w:val="20"/>
        </w:rPr>
        <w:t xml:space="preserve"> Impacts disintegration time and drug release profile.</w:t>
      </w:r>
    </w:p>
    <w:p w14:paraId="5E0F80A0" w14:textId="77777777" w:rsidR="006158E3" w:rsidRPr="00963A27" w:rsidRDefault="006158E3" w:rsidP="00956427">
      <w:pPr>
        <w:spacing w:line="360" w:lineRule="auto"/>
        <w:ind w:left="567"/>
        <w:jc w:val="both"/>
        <w:rPr>
          <w:rFonts w:ascii="Arial" w:hAnsi="Arial" w:cs="Arial"/>
          <w:b/>
          <w:bCs/>
          <w:sz w:val="20"/>
          <w:szCs w:val="20"/>
        </w:rPr>
      </w:pPr>
      <w:r w:rsidRPr="00963A27">
        <w:rPr>
          <w:rFonts w:ascii="Arial" w:hAnsi="Arial" w:cs="Arial"/>
          <w:b/>
          <w:bCs/>
          <w:sz w:val="20"/>
          <w:szCs w:val="20"/>
        </w:rPr>
        <w:t>Advantages</w:t>
      </w:r>
    </w:p>
    <w:p w14:paraId="13C658C3" w14:textId="77777777" w:rsidR="006158E3" w:rsidRPr="00963A27" w:rsidRDefault="006158E3" w:rsidP="00882252">
      <w:pPr>
        <w:pStyle w:val="ListParagraph"/>
        <w:numPr>
          <w:ilvl w:val="0"/>
          <w:numId w:val="45"/>
        </w:numPr>
        <w:spacing w:line="360" w:lineRule="auto"/>
        <w:ind w:left="1276"/>
        <w:jc w:val="both"/>
        <w:rPr>
          <w:rFonts w:ascii="Arial" w:hAnsi="Arial" w:cs="Arial"/>
          <w:sz w:val="20"/>
          <w:szCs w:val="20"/>
        </w:rPr>
      </w:pPr>
      <w:r w:rsidRPr="00963A27">
        <w:rPr>
          <w:rFonts w:ascii="Arial" w:hAnsi="Arial" w:cs="Arial"/>
          <w:sz w:val="20"/>
          <w:szCs w:val="20"/>
        </w:rPr>
        <w:t>Compatible with mass production.</w:t>
      </w:r>
    </w:p>
    <w:p w14:paraId="3B47F420" w14:textId="77777777" w:rsidR="006158E3" w:rsidRPr="00963A27" w:rsidRDefault="006158E3" w:rsidP="00882252">
      <w:pPr>
        <w:pStyle w:val="ListParagraph"/>
        <w:numPr>
          <w:ilvl w:val="0"/>
          <w:numId w:val="45"/>
        </w:numPr>
        <w:spacing w:line="360" w:lineRule="auto"/>
        <w:ind w:left="1276"/>
        <w:jc w:val="both"/>
        <w:rPr>
          <w:rFonts w:ascii="Arial" w:hAnsi="Arial" w:cs="Arial"/>
          <w:sz w:val="20"/>
          <w:szCs w:val="20"/>
        </w:rPr>
      </w:pPr>
      <w:r w:rsidRPr="00963A27">
        <w:rPr>
          <w:rFonts w:ascii="Arial" w:hAnsi="Arial" w:cs="Arial"/>
          <w:sz w:val="20"/>
          <w:szCs w:val="20"/>
        </w:rPr>
        <w:t>Yields films of uniform thickness and drug content.</w:t>
      </w:r>
    </w:p>
    <w:p w14:paraId="526D4DCF" w14:textId="331B4E9C" w:rsidR="006158E3" w:rsidRDefault="00635E97" w:rsidP="00882252">
      <w:pPr>
        <w:pStyle w:val="ListParagraph"/>
        <w:numPr>
          <w:ilvl w:val="0"/>
          <w:numId w:val="45"/>
        </w:numPr>
        <w:spacing w:line="360" w:lineRule="auto"/>
        <w:ind w:left="1276"/>
        <w:jc w:val="both"/>
        <w:rPr>
          <w:rFonts w:ascii="Arial" w:hAnsi="Arial" w:cs="Arial"/>
          <w:sz w:val="20"/>
          <w:szCs w:val="20"/>
        </w:rPr>
      </w:pPr>
      <w:r w:rsidRPr="00956427">
        <w:rPr>
          <w:noProof/>
        </w:rPr>
        <w:drawing>
          <wp:anchor distT="0" distB="0" distL="114300" distR="114300" simplePos="0" relativeHeight="251658244" behindDoc="0" locked="0" layoutInCell="1" allowOverlap="1" wp14:anchorId="5A58ACDE" wp14:editId="33CD4A77">
            <wp:simplePos x="0" y="0"/>
            <wp:positionH relativeFrom="column">
              <wp:posOffset>273050</wp:posOffset>
            </wp:positionH>
            <wp:positionV relativeFrom="paragraph">
              <wp:posOffset>337820</wp:posOffset>
            </wp:positionV>
            <wp:extent cx="5731510" cy="3946525"/>
            <wp:effectExtent l="0" t="0" r="0" b="0"/>
            <wp:wrapTopAndBottom/>
            <wp:docPr id="43" name="Picture 42">
              <a:extLst xmlns:a="http://schemas.openxmlformats.org/drawingml/2006/main">
                <a:ext uri="{FF2B5EF4-FFF2-40B4-BE49-F238E27FC236}">
                  <a16:creationId xmlns:a16="http://schemas.microsoft.com/office/drawing/2014/main" id="{5AB6A801-B032-31E8-5FFD-DC1D734BA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5AB6A801-B032-31E8-5FFD-DC1D734BA49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3946525"/>
                    </a:xfrm>
                    <a:prstGeom prst="rect">
                      <a:avLst/>
                    </a:prstGeom>
                  </pic:spPr>
                </pic:pic>
              </a:graphicData>
            </a:graphic>
          </wp:anchor>
        </w:drawing>
      </w:r>
      <w:r w:rsidR="006158E3" w:rsidRPr="00963A27">
        <w:rPr>
          <w:rFonts w:ascii="Arial" w:hAnsi="Arial" w:cs="Arial"/>
          <w:sz w:val="20"/>
          <w:szCs w:val="20"/>
        </w:rPr>
        <w:t>Fewer solvent-related problems than solvent casting.</w:t>
      </w:r>
      <w:r w:rsidR="00A42CD1" w:rsidRPr="00963A27">
        <w:rPr>
          <w:rFonts w:ascii="Arial" w:hAnsi="Arial" w:cs="Arial"/>
          <w:sz w:val="20"/>
          <w:szCs w:val="20"/>
        </w:rPr>
        <w:t>[48]</w:t>
      </w:r>
    </w:p>
    <w:p w14:paraId="2BDE9914" w14:textId="14AC5A92" w:rsidR="00635E97" w:rsidRDefault="00635E97" w:rsidP="00635E97">
      <w:pPr>
        <w:pStyle w:val="ListParagraph"/>
        <w:spacing w:line="360" w:lineRule="auto"/>
        <w:ind w:left="567"/>
        <w:jc w:val="center"/>
        <w:rPr>
          <w:rFonts w:ascii="Arial" w:hAnsi="Arial" w:cs="Arial"/>
          <w:b/>
          <w:bCs/>
          <w:sz w:val="20"/>
          <w:szCs w:val="20"/>
        </w:rPr>
      </w:pPr>
      <w:r w:rsidRPr="00635E97">
        <w:rPr>
          <w:rFonts w:ascii="Arial" w:hAnsi="Arial" w:cs="Arial"/>
          <w:b/>
          <w:bCs/>
          <w:sz w:val="20"/>
          <w:szCs w:val="20"/>
        </w:rPr>
        <w:t xml:space="preserve"> </w:t>
      </w:r>
    </w:p>
    <w:p w14:paraId="2FC36AAE" w14:textId="21BCD0E4" w:rsidR="00635E97" w:rsidRPr="00635E97" w:rsidRDefault="00635E97" w:rsidP="00635E97">
      <w:pPr>
        <w:pStyle w:val="ListParagraph"/>
        <w:spacing w:line="360" w:lineRule="auto"/>
        <w:ind w:left="1276" w:firstLine="164"/>
        <w:jc w:val="center"/>
        <w:rPr>
          <w:rFonts w:ascii="Arial" w:hAnsi="Arial" w:cs="Arial"/>
          <w:sz w:val="20"/>
          <w:szCs w:val="20"/>
        </w:rPr>
      </w:pPr>
      <w:bookmarkStart w:id="2" w:name="_Hlk194385960"/>
      <w:r w:rsidRPr="00956427">
        <w:rPr>
          <w:rFonts w:ascii="Arial" w:hAnsi="Arial" w:cs="Arial"/>
          <w:b/>
          <w:bCs/>
          <w:sz w:val="20"/>
          <w:szCs w:val="20"/>
        </w:rPr>
        <w:t xml:space="preserve">Figure </w:t>
      </w:r>
      <w:r>
        <w:rPr>
          <w:rFonts w:ascii="Arial" w:hAnsi="Arial" w:cs="Arial"/>
          <w:b/>
          <w:bCs/>
          <w:sz w:val="20"/>
          <w:szCs w:val="20"/>
        </w:rPr>
        <w:t>6</w:t>
      </w:r>
      <w:r w:rsidRPr="00956427">
        <w:rPr>
          <w:rFonts w:ascii="Arial" w:hAnsi="Arial" w:cs="Arial"/>
          <w:b/>
          <w:bCs/>
          <w:sz w:val="20"/>
          <w:szCs w:val="20"/>
        </w:rPr>
        <w:t>:</w:t>
      </w:r>
      <w:r>
        <w:rPr>
          <w:rFonts w:ascii="Arial" w:hAnsi="Arial" w:cs="Arial"/>
          <w:b/>
          <w:bCs/>
          <w:sz w:val="20"/>
          <w:szCs w:val="20"/>
        </w:rPr>
        <w:t xml:space="preserve"> Oral Wafer Preparation by Rolling Method</w:t>
      </w:r>
      <w:bookmarkEnd w:id="2"/>
    </w:p>
    <w:p w14:paraId="21FD3738" w14:textId="643794CE" w:rsidR="00956427" w:rsidRPr="00956427" w:rsidRDefault="00956427" w:rsidP="00956427">
      <w:pPr>
        <w:spacing w:line="360" w:lineRule="auto"/>
        <w:ind w:left="916"/>
        <w:jc w:val="both"/>
        <w:rPr>
          <w:rFonts w:ascii="Arial" w:hAnsi="Arial" w:cs="Arial"/>
          <w:sz w:val="20"/>
          <w:szCs w:val="20"/>
        </w:rPr>
      </w:pPr>
    </w:p>
    <w:p w14:paraId="122E9778" w14:textId="77777777" w:rsidR="002D1AE2" w:rsidRPr="00963A27" w:rsidRDefault="006158E3" w:rsidP="00882252">
      <w:pPr>
        <w:pStyle w:val="ListParagraph"/>
        <w:numPr>
          <w:ilvl w:val="1"/>
          <w:numId w:val="46"/>
        </w:numPr>
        <w:spacing w:line="360" w:lineRule="auto"/>
        <w:ind w:left="567" w:hanging="567"/>
        <w:jc w:val="both"/>
        <w:rPr>
          <w:rFonts w:ascii="Arial" w:hAnsi="Arial" w:cs="Arial"/>
          <w:b/>
          <w:bCs/>
        </w:rPr>
      </w:pPr>
      <w:r w:rsidRPr="00963A27">
        <w:rPr>
          <w:rFonts w:ascii="Arial" w:hAnsi="Arial" w:cs="Arial"/>
          <w:b/>
          <w:bCs/>
        </w:rPr>
        <w:t>Freeze-Drying (Lyophilization) Method</w:t>
      </w:r>
    </w:p>
    <w:p w14:paraId="6683C592" w14:textId="059458F9" w:rsidR="00635E97" w:rsidRPr="00635E97" w:rsidRDefault="006158E3" w:rsidP="00635E97">
      <w:pPr>
        <w:spacing w:line="360" w:lineRule="auto"/>
        <w:ind w:left="567"/>
        <w:jc w:val="both"/>
        <w:rPr>
          <w:rFonts w:ascii="Arial" w:hAnsi="Arial" w:cs="Arial"/>
          <w:b/>
          <w:bCs/>
          <w:sz w:val="20"/>
          <w:szCs w:val="20"/>
        </w:rPr>
      </w:pPr>
      <w:r w:rsidRPr="00963A27">
        <w:rPr>
          <w:rFonts w:ascii="Arial" w:hAnsi="Arial" w:cs="Arial"/>
          <w:sz w:val="20"/>
          <w:szCs w:val="20"/>
        </w:rPr>
        <w:t>Freeze drying is a specific method for the preparation of highly porous, rapidly dissolving wafers. It finds application in the case of heat-sensitive drugs which need to disintegrate fast in the mouth.</w:t>
      </w:r>
    </w:p>
    <w:p w14:paraId="30D659D6" w14:textId="77777777" w:rsidR="008E2E77" w:rsidRDefault="008E2E77" w:rsidP="00956427">
      <w:pPr>
        <w:spacing w:line="360" w:lineRule="auto"/>
        <w:ind w:left="567"/>
        <w:jc w:val="both"/>
        <w:rPr>
          <w:rFonts w:ascii="Arial" w:hAnsi="Arial" w:cs="Arial"/>
          <w:b/>
          <w:bCs/>
        </w:rPr>
      </w:pPr>
    </w:p>
    <w:p w14:paraId="7B8984BE" w14:textId="60261A93" w:rsidR="006158E3" w:rsidRPr="00963A27" w:rsidRDefault="006158E3" w:rsidP="00956427">
      <w:pPr>
        <w:spacing w:line="360" w:lineRule="auto"/>
        <w:ind w:left="567"/>
        <w:jc w:val="both"/>
        <w:rPr>
          <w:rFonts w:ascii="Arial" w:hAnsi="Arial" w:cs="Arial"/>
          <w:b/>
          <w:bCs/>
        </w:rPr>
      </w:pPr>
      <w:r w:rsidRPr="00963A27">
        <w:rPr>
          <w:rFonts w:ascii="Arial" w:hAnsi="Arial" w:cs="Arial"/>
          <w:b/>
          <w:bCs/>
        </w:rPr>
        <w:lastRenderedPageBreak/>
        <w:t>Methodology</w:t>
      </w:r>
    </w:p>
    <w:p w14:paraId="22A01AC9" w14:textId="53BC0E68" w:rsidR="006158E3" w:rsidRPr="0052006A" w:rsidRDefault="006158E3" w:rsidP="00635E97">
      <w:pPr>
        <w:spacing w:line="360" w:lineRule="auto"/>
        <w:ind w:left="426"/>
        <w:jc w:val="both"/>
        <w:rPr>
          <w:rFonts w:ascii="Arial" w:hAnsi="Arial" w:cs="Arial"/>
          <w:sz w:val="20"/>
          <w:szCs w:val="20"/>
        </w:rPr>
      </w:pPr>
      <w:r w:rsidRPr="00963A27">
        <w:rPr>
          <w:rFonts w:ascii="Arial" w:hAnsi="Arial" w:cs="Arial"/>
          <w:sz w:val="20"/>
          <w:szCs w:val="20"/>
        </w:rPr>
        <w:t xml:space="preserve">The solution of active pharmaceutical ingredient, film-forming polymers (gelatin or polyvinylpyrrolidone), and other excipients is filled into </w:t>
      </w:r>
      <w:r w:rsidR="00F21D13" w:rsidRPr="00963A27">
        <w:rPr>
          <w:rFonts w:ascii="Arial" w:hAnsi="Arial" w:cs="Arial"/>
          <w:sz w:val="20"/>
          <w:szCs w:val="20"/>
        </w:rPr>
        <w:t>moulds</w:t>
      </w:r>
      <w:r w:rsidRPr="00963A27">
        <w:rPr>
          <w:rFonts w:ascii="Arial" w:hAnsi="Arial" w:cs="Arial"/>
          <w:sz w:val="20"/>
          <w:szCs w:val="20"/>
        </w:rPr>
        <w:t xml:space="preserve">. These </w:t>
      </w:r>
      <w:r w:rsidR="00F21D13" w:rsidRPr="00963A27">
        <w:rPr>
          <w:rFonts w:ascii="Arial" w:hAnsi="Arial" w:cs="Arial"/>
          <w:sz w:val="20"/>
          <w:szCs w:val="20"/>
        </w:rPr>
        <w:t>moulds</w:t>
      </w:r>
      <w:r w:rsidRPr="00963A27">
        <w:rPr>
          <w:rFonts w:ascii="Arial" w:hAnsi="Arial" w:cs="Arial"/>
          <w:sz w:val="20"/>
          <w:szCs w:val="20"/>
        </w:rPr>
        <w:t xml:space="preserve"> are immediately frozen at very low temperatures (-40°C or lower) to solidify the liquid. The frozen substance is subjected to a vacuum chamber where sublimation is done, removing water content without going through the liquid state. Porous wafers resulting from the above process are cut and packed in a way that protects them from moisture.</w:t>
      </w:r>
      <w:r w:rsidR="00635E97">
        <w:rPr>
          <w:rFonts w:ascii="Arial" w:hAnsi="Arial" w:cs="Arial"/>
          <w:sz w:val="20"/>
          <w:szCs w:val="20"/>
        </w:rPr>
        <w:t xml:space="preserve"> </w:t>
      </w:r>
      <w:r w:rsidR="00635E97" w:rsidRPr="0052006A">
        <w:rPr>
          <w:rFonts w:ascii="Arial" w:hAnsi="Arial" w:cs="Arial"/>
          <w:sz w:val="20"/>
          <w:szCs w:val="20"/>
        </w:rPr>
        <w:t xml:space="preserve">Figure </w:t>
      </w:r>
      <w:r w:rsidR="001269F7" w:rsidRPr="0052006A">
        <w:rPr>
          <w:rFonts w:ascii="Arial" w:hAnsi="Arial" w:cs="Arial"/>
          <w:sz w:val="20"/>
          <w:szCs w:val="20"/>
        </w:rPr>
        <w:t>7</w:t>
      </w:r>
      <w:r w:rsidR="00635E97" w:rsidRPr="0052006A">
        <w:rPr>
          <w:rFonts w:ascii="Arial" w:hAnsi="Arial" w:cs="Arial"/>
          <w:sz w:val="20"/>
          <w:szCs w:val="20"/>
        </w:rPr>
        <w:t>, represents the methodology of lyophilization process.[43]</w:t>
      </w:r>
    </w:p>
    <w:p w14:paraId="73305068" w14:textId="77777777" w:rsidR="006158E3" w:rsidRPr="00963A27" w:rsidRDefault="006158E3" w:rsidP="00956427">
      <w:pPr>
        <w:spacing w:line="360" w:lineRule="auto"/>
        <w:ind w:left="567"/>
        <w:jc w:val="both"/>
        <w:rPr>
          <w:rFonts w:ascii="Arial" w:hAnsi="Arial" w:cs="Arial"/>
          <w:b/>
          <w:bCs/>
        </w:rPr>
      </w:pPr>
      <w:r w:rsidRPr="00963A27">
        <w:rPr>
          <w:rFonts w:ascii="Arial" w:hAnsi="Arial" w:cs="Arial"/>
          <w:b/>
          <w:bCs/>
        </w:rPr>
        <w:t>Process Parameters Affecting Film Quality</w:t>
      </w:r>
    </w:p>
    <w:p w14:paraId="1F899940" w14:textId="77777777" w:rsidR="006158E3" w:rsidRPr="00963A27" w:rsidRDefault="006158E3" w:rsidP="00882252">
      <w:pPr>
        <w:pStyle w:val="ListParagraph"/>
        <w:numPr>
          <w:ilvl w:val="0"/>
          <w:numId w:val="47"/>
        </w:numPr>
        <w:spacing w:line="360" w:lineRule="auto"/>
        <w:ind w:left="1134" w:hanging="283"/>
        <w:jc w:val="both"/>
        <w:rPr>
          <w:rFonts w:ascii="Arial" w:hAnsi="Arial" w:cs="Arial"/>
          <w:sz w:val="20"/>
          <w:szCs w:val="20"/>
        </w:rPr>
      </w:pPr>
      <w:r w:rsidRPr="00963A27">
        <w:rPr>
          <w:rFonts w:ascii="Arial" w:hAnsi="Arial" w:cs="Arial"/>
          <w:b/>
          <w:bCs/>
          <w:sz w:val="20"/>
          <w:szCs w:val="20"/>
        </w:rPr>
        <w:t>Rate of Freezing:</w:t>
      </w:r>
      <w:r w:rsidRPr="00963A27">
        <w:rPr>
          <w:rFonts w:ascii="Arial" w:hAnsi="Arial" w:cs="Arial"/>
          <w:sz w:val="20"/>
          <w:szCs w:val="20"/>
        </w:rPr>
        <w:t xml:space="preserve"> Higher freezing rate results in finer ice crystals and improved film porosity.</w:t>
      </w:r>
    </w:p>
    <w:p w14:paraId="7CC8DC47" w14:textId="77777777" w:rsidR="006158E3" w:rsidRPr="00963A27" w:rsidRDefault="006158E3" w:rsidP="00882252">
      <w:pPr>
        <w:pStyle w:val="ListParagraph"/>
        <w:numPr>
          <w:ilvl w:val="0"/>
          <w:numId w:val="47"/>
        </w:numPr>
        <w:spacing w:line="360" w:lineRule="auto"/>
        <w:ind w:left="1134" w:hanging="283"/>
        <w:jc w:val="both"/>
        <w:rPr>
          <w:rFonts w:ascii="Arial" w:hAnsi="Arial" w:cs="Arial"/>
          <w:sz w:val="20"/>
          <w:szCs w:val="20"/>
        </w:rPr>
      </w:pPr>
      <w:r w:rsidRPr="00963A27">
        <w:rPr>
          <w:rFonts w:ascii="Arial" w:hAnsi="Arial" w:cs="Arial"/>
          <w:b/>
          <w:bCs/>
          <w:sz w:val="20"/>
          <w:szCs w:val="20"/>
        </w:rPr>
        <w:t>Vacuum Pressure:</w:t>
      </w:r>
      <w:r w:rsidRPr="00963A27">
        <w:rPr>
          <w:rFonts w:ascii="Arial" w:hAnsi="Arial" w:cs="Arial"/>
          <w:sz w:val="20"/>
          <w:szCs w:val="20"/>
        </w:rPr>
        <w:t xml:space="preserve"> Controls the rate of sublimation efficiency and the total drying time.</w:t>
      </w:r>
    </w:p>
    <w:p w14:paraId="40B77A31" w14:textId="77777777" w:rsidR="006158E3" w:rsidRPr="00963A27" w:rsidRDefault="006158E3" w:rsidP="00882252">
      <w:pPr>
        <w:pStyle w:val="ListParagraph"/>
        <w:numPr>
          <w:ilvl w:val="0"/>
          <w:numId w:val="47"/>
        </w:numPr>
        <w:spacing w:line="360" w:lineRule="auto"/>
        <w:ind w:left="1134" w:hanging="283"/>
        <w:jc w:val="both"/>
        <w:rPr>
          <w:rFonts w:ascii="Arial" w:hAnsi="Arial" w:cs="Arial"/>
          <w:sz w:val="20"/>
          <w:szCs w:val="20"/>
        </w:rPr>
      </w:pPr>
      <w:r w:rsidRPr="00963A27">
        <w:rPr>
          <w:rFonts w:ascii="Arial" w:hAnsi="Arial" w:cs="Arial"/>
          <w:b/>
          <w:bCs/>
          <w:sz w:val="20"/>
          <w:szCs w:val="20"/>
        </w:rPr>
        <w:t xml:space="preserve">Primary and Secondary Drying Temperature: </w:t>
      </w:r>
      <w:r w:rsidRPr="00963A27">
        <w:rPr>
          <w:rFonts w:ascii="Arial" w:hAnsi="Arial" w:cs="Arial"/>
          <w:sz w:val="20"/>
          <w:szCs w:val="20"/>
        </w:rPr>
        <w:t>Need to be properly controlled to avoid folding up of the film structure.</w:t>
      </w:r>
    </w:p>
    <w:p w14:paraId="651CBBB2" w14:textId="50785B83" w:rsidR="00D33E38" w:rsidRPr="00956427" w:rsidRDefault="006158E3" w:rsidP="00882252">
      <w:pPr>
        <w:pStyle w:val="ListParagraph"/>
        <w:numPr>
          <w:ilvl w:val="0"/>
          <w:numId w:val="47"/>
        </w:numPr>
        <w:spacing w:line="360" w:lineRule="auto"/>
        <w:ind w:left="1134" w:hanging="283"/>
        <w:jc w:val="both"/>
        <w:rPr>
          <w:rFonts w:ascii="Arial" w:hAnsi="Arial" w:cs="Arial"/>
          <w:sz w:val="20"/>
          <w:szCs w:val="20"/>
        </w:rPr>
      </w:pPr>
      <w:r w:rsidRPr="00963A27">
        <w:rPr>
          <w:rFonts w:ascii="Arial" w:hAnsi="Arial" w:cs="Arial"/>
          <w:b/>
          <w:bCs/>
          <w:sz w:val="20"/>
          <w:szCs w:val="20"/>
        </w:rPr>
        <w:t>Moisture Content:</w:t>
      </w:r>
      <w:r w:rsidRPr="00963A27">
        <w:rPr>
          <w:rFonts w:ascii="Arial" w:hAnsi="Arial" w:cs="Arial"/>
          <w:sz w:val="20"/>
          <w:szCs w:val="20"/>
        </w:rPr>
        <w:t xml:space="preserve"> Can impact drug stability and shelf life.</w:t>
      </w:r>
    </w:p>
    <w:p w14:paraId="3B7A80E8" w14:textId="6C466EFC" w:rsidR="006158E3" w:rsidRPr="00963A27" w:rsidRDefault="002D1AE2" w:rsidP="00956427">
      <w:pPr>
        <w:spacing w:line="360" w:lineRule="auto"/>
        <w:ind w:left="567"/>
        <w:jc w:val="both"/>
        <w:rPr>
          <w:rFonts w:ascii="Arial" w:hAnsi="Arial" w:cs="Arial"/>
          <w:b/>
          <w:bCs/>
          <w:sz w:val="20"/>
          <w:szCs w:val="20"/>
        </w:rPr>
      </w:pPr>
      <w:r w:rsidRPr="00963A27">
        <w:rPr>
          <w:rFonts w:ascii="Arial" w:hAnsi="Arial" w:cs="Arial"/>
          <w:b/>
          <w:bCs/>
          <w:sz w:val="20"/>
          <w:szCs w:val="20"/>
        </w:rPr>
        <w:t>Advantages</w:t>
      </w:r>
    </w:p>
    <w:p w14:paraId="65B01893" w14:textId="77777777" w:rsidR="006158E3" w:rsidRPr="00963A27" w:rsidRDefault="006158E3" w:rsidP="00882252">
      <w:pPr>
        <w:pStyle w:val="ListParagraph"/>
        <w:numPr>
          <w:ilvl w:val="0"/>
          <w:numId w:val="48"/>
        </w:numPr>
        <w:spacing w:line="360" w:lineRule="auto"/>
        <w:ind w:left="1287"/>
        <w:jc w:val="both"/>
        <w:rPr>
          <w:rFonts w:ascii="Arial" w:hAnsi="Arial" w:cs="Arial"/>
          <w:sz w:val="20"/>
          <w:szCs w:val="20"/>
        </w:rPr>
      </w:pPr>
      <w:r w:rsidRPr="00963A27">
        <w:rPr>
          <w:rFonts w:ascii="Arial" w:hAnsi="Arial" w:cs="Arial"/>
          <w:sz w:val="20"/>
          <w:szCs w:val="20"/>
        </w:rPr>
        <w:t>Creates highly porous and fast-dissolving wafers.</w:t>
      </w:r>
    </w:p>
    <w:p w14:paraId="2FABA681" w14:textId="539F4D82" w:rsidR="006158E3" w:rsidRPr="00963A27" w:rsidRDefault="006158E3" w:rsidP="00882252">
      <w:pPr>
        <w:pStyle w:val="ListParagraph"/>
        <w:numPr>
          <w:ilvl w:val="0"/>
          <w:numId w:val="48"/>
        </w:numPr>
        <w:spacing w:line="360" w:lineRule="auto"/>
        <w:ind w:left="1287"/>
        <w:jc w:val="both"/>
        <w:rPr>
          <w:rFonts w:ascii="Arial" w:hAnsi="Arial" w:cs="Arial"/>
          <w:sz w:val="20"/>
          <w:szCs w:val="20"/>
        </w:rPr>
      </w:pPr>
      <w:r w:rsidRPr="00963A27">
        <w:rPr>
          <w:rFonts w:ascii="Arial" w:hAnsi="Arial" w:cs="Arial"/>
          <w:sz w:val="20"/>
          <w:szCs w:val="20"/>
        </w:rPr>
        <w:t>Improves drug stability by eliminating moisture.</w:t>
      </w:r>
    </w:p>
    <w:p w14:paraId="2B4F6D7E" w14:textId="181F495C" w:rsidR="00CA7BA5" w:rsidRDefault="006158E3" w:rsidP="00882252">
      <w:pPr>
        <w:pStyle w:val="ListParagraph"/>
        <w:numPr>
          <w:ilvl w:val="0"/>
          <w:numId w:val="48"/>
        </w:numPr>
        <w:spacing w:line="360" w:lineRule="auto"/>
        <w:ind w:left="1287"/>
        <w:jc w:val="both"/>
        <w:rPr>
          <w:rFonts w:ascii="Arial" w:hAnsi="Arial" w:cs="Arial"/>
          <w:sz w:val="20"/>
          <w:szCs w:val="20"/>
        </w:rPr>
      </w:pPr>
      <w:r w:rsidRPr="00963A27">
        <w:rPr>
          <w:rFonts w:ascii="Arial" w:hAnsi="Arial" w:cs="Arial"/>
          <w:sz w:val="20"/>
          <w:szCs w:val="20"/>
        </w:rPr>
        <w:t>Ideal for thermally sensitive drugs.</w:t>
      </w:r>
      <w:r w:rsidR="00A42CD1" w:rsidRPr="00963A27">
        <w:rPr>
          <w:rFonts w:ascii="Arial" w:hAnsi="Arial" w:cs="Arial"/>
          <w:sz w:val="20"/>
          <w:szCs w:val="20"/>
        </w:rPr>
        <w:t>[49]</w:t>
      </w:r>
    </w:p>
    <w:p w14:paraId="50EEE1F7" w14:textId="034E1E86" w:rsidR="00635E97" w:rsidRPr="00963A27" w:rsidRDefault="00635E97" w:rsidP="00635E97">
      <w:pPr>
        <w:pStyle w:val="ListParagraph"/>
        <w:spacing w:line="360" w:lineRule="auto"/>
        <w:ind w:left="567" w:firstLine="153"/>
        <w:jc w:val="center"/>
        <w:rPr>
          <w:rFonts w:ascii="Arial" w:hAnsi="Arial" w:cs="Arial"/>
          <w:b/>
          <w:bCs/>
        </w:rPr>
      </w:pPr>
      <w:r w:rsidRPr="00956427">
        <w:rPr>
          <w:rFonts w:ascii="Arial" w:hAnsi="Arial" w:cs="Arial"/>
          <w:noProof/>
          <w:sz w:val="20"/>
          <w:szCs w:val="20"/>
        </w:rPr>
        <w:drawing>
          <wp:anchor distT="0" distB="0" distL="114300" distR="114300" simplePos="0" relativeHeight="251658245" behindDoc="0" locked="0" layoutInCell="1" allowOverlap="1" wp14:anchorId="368E4EA9" wp14:editId="2D585180">
            <wp:simplePos x="0" y="0"/>
            <wp:positionH relativeFrom="column">
              <wp:posOffset>358402</wp:posOffset>
            </wp:positionH>
            <wp:positionV relativeFrom="paragraph">
              <wp:posOffset>225724</wp:posOffset>
            </wp:positionV>
            <wp:extent cx="5566130" cy="3255546"/>
            <wp:effectExtent l="0" t="0" r="0" b="2540"/>
            <wp:wrapTopAndBottom/>
            <wp:docPr id="1322806015" name="Picture 9">
              <a:extLst xmlns:a="http://schemas.openxmlformats.org/drawingml/2006/main">
                <a:ext uri="{FF2B5EF4-FFF2-40B4-BE49-F238E27FC236}">
                  <a16:creationId xmlns:a16="http://schemas.microsoft.com/office/drawing/2014/main" id="{D165E098-4F1B-B25A-5997-DDA144AF5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165E098-4F1B-B25A-5997-DDA144AF5AC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66130" cy="3255546"/>
                    </a:xfrm>
                    <a:prstGeom prst="rect">
                      <a:avLst/>
                    </a:prstGeom>
                  </pic:spPr>
                </pic:pic>
              </a:graphicData>
            </a:graphic>
          </wp:anchor>
        </w:drawing>
      </w:r>
    </w:p>
    <w:p w14:paraId="36FCEE15" w14:textId="303B6ADA" w:rsidR="00956427" w:rsidRDefault="00635E97" w:rsidP="00635E97">
      <w:pPr>
        <w:spacing w:line="360" w:lineRule="auto"/>
        <w:ind w:left="927"/>
        <w:jc w:val="center"/>
        <w:rPr>
          <w:rFonts w:ascii="Arial" w:hAnsi="Arial" w:cs="Arial"/>
          <w:b/>
          <w:bCs/>
          <w:sz w:val="20"/>
          <w:szCs w:val="20"/>
        </w:rPr>
      </w:pPr>
      <w:r w:rsidRPr="00956427">
        <w:rPr>
          <w:rFonts w:ascii="Arial" w:hAnsi="Arial" w:cs="Arial"/>
          <w:b/>
          <w:bCs/>
          <w:sz w:val="20"/>
          <w:szCs w:val="20"/>
        </w:rPr>
        <w:t xml:space="preserve">Figure </w:t>
      </w:r>
      <w:r>
        <w:rPr>
          <w:rFonts w:ascii="Arial" w:hAnsi="Arial" w:cs="Arial"/>
          <w:b/>
          <w:bCs/>
          <w:sz w:val="20"/>
          <w:szCs w:val="20"/>
        </w:rPr>
        <w:t>7</w:t>
      </w:r>
      <w:r w:rsidRPr="00956427">
        <w:rPr>
          <w:rFonts w:ascii="Arial" w:hAnsi="Arial" w:cs="Arial"/>
          <w:b/>
          <w:bCs/>
          <w:sz w:val="20"/>
          <w:szCs w:val="20"/>
        </w:rPr>
        <w:t>:</w:t>
      </w:r>
      <w:r>
        <w:rPr>
          <w:rFonts w:ascii="Arial" w:hAnsi="Arial" w:cs="Arial"/>
          <w:b/>
          <w:bCs/>
          <w:sz w:val="20"/>
          <w:szCs w:val="20"/>
        </w:rPr>
        <w:t xml:space="preserve"> Oral Wafer Preparation by </w:t>
      </w:r>
      <w:r w:rsidRPr="00963A27">
        <w:rPr>
          <w:rFonts w:ascii="Arial" w:hAnsi="Arial" w:cs="Arial"/>
          <w:b/>
          <w:bCs/>
        </w:rPr>
        <w:t>Freeze-Drying (Lyophilization) Method</w:t>
      </w:r>
      <w:r>
        <w:rPr>
          <w:rFonts w:ascii="Arial" w:hAnsi="Arial" w:cs="Arial"/>
          <w:b/>
          <w:bCs/>
          <w:sz w:val="20"/>
          <w:szCs w:val="20"/>
        </w:rPr>
        <w:tab/>
      </w:r>
    </w:p>
    <w:p w14:paraId="32C39FDD" w14:textId="77777777" w:rsidR="00635E97" w:rsidRDefault="00635E97" w:rsidP="00635E97">
      <w:pPr>
        <w:spacing w:line="360" w:lineRule="auto"/>
        <w:ind w:left="927"/>
        <w:jc w:val="center"/>
        <w:rPr>
          <w:rFonts w:ascii="Arial" w:hAnsi="Arial" w:cs="Arial"/>
          <w:sz w:val="20"/>
          <w:szCs w:val="20"/>
        </w:rPr>
      </w:pPr>
    </w:p>
    <w:p w14:paraId="5AB33E0D" w14:textId="77777777" w:rsidR="008E2E77" w:rsidRPr="00956427" w:rsidRDefault="008E2E77" w:rsidP="00635E97">
      <w:pPr>
        <w:spacing w:line="360" w:lineRule="auto"/>
        <w:ind w:left="927"/>
        <w:jc w:val="center"/>
        <w:rPr>
          <w:rFonts w:ascii="Arial" w:hAnsi="Arial" w:cs="Arial"/>
          <w:sz w:val="20"/>
          <w:szCs w:val="20"/>
        </w:rPr>
      </w:pPr>
    </w:p>
    <w:p w14:paraId="756A93D1" w14:textId="5AAEB483" w:rsidR="00C123E3" w:rsidRPr="00963A27" w:rsidRDefault="00C123E3" w:rsidP="00882252">
      <w:pPr>
        <w:pStyle w:val="ListParagraph"/>
        <w:numPr>
          <w:ilvl w:val="1"/>
          <w:numId w:val="11"/>
        </w:numPr>
        <w:spacing w:line="360" w:lineRule="auto"/>
        <w:ind w:left="426" w:hanging="426"/>
        <w:contextualSpacing w:val="0"/>
        <w:jc w:val="both"/>
        <w:rPr>
          <w:rFonts w:ascii="Arial" w:hAnsi="Arial" w:cs="Arial"/>
          <w:b/>
          <w:bCs/>
        </w:rPr>
      </w:pPr>
      <w:r w:rsidRPr="00963A27">
        <w:rPr>
          <w:rFonts w:ascii="Arial" w:hAnsi="Arial" w:cs="Arial"/>
          <w:b/>
          <w:bCs/>
        </w:rPr>
        <w:t>Comparative Analysis of Techniques</w:t>
      </w:r>
    </w:p>
    <w:p w14:paraId="340029C9" w14:textId="568FA7D3" w:rsidR="00635E97" w:rsidRPr="008E2E77" w:rsidRDefault="00C123E3" w:rsidP="008E2E77">
      <w:pPr>
        <w:pStyle w:val="ListParagraph"/>
        <w:spacing w:line="360" w:lineRule="auto"/>
        <w:ind w:left="426"/>
        <w:contextualSpacing w:val="0"/>
        <w:jc w:val="both"/>
        <w:rPr>
          <w:rFonts w:ascii="Arial" w:hAnsi="Arial" w:cs="Arial"/>
          <w:sz w:val="20"/>
          <w:szCs w:val="20"/>
        </w:rPr>
      </w:pPr>
      <w:r w:rsidRPr="00963A27">
        <w:rPr>
          <w:rFonts w:ascii="Arial" w:hAnsi="Arial" w:cs="Arial"/>
          <w:sz w:val="20"/>
          <w:szCs w:val="20"/>
        </w:rPr>
        <w:t>All of the above manufacturing methods have their own advantages and disadvantages, making them appropriate for various applications in oral wafer manufacture</w:t>
      </w:r>
      <w:r w:rsidR="00736C7E" w:rsidRPr="00963A27">
        <w:rPr>
          <w:rFonts w:ascii="Arial" w:hAnsi="Arial" w:cs="Arial"/>
          <w:sz w:val="20"/>
          <w:szCs w:val="20"/>
        </w:rPr>
        <w:t xml:space="preserve"> and a comparative analysis of the techniques is given in the </w:t>
      </w:r>
      <w:r w:rsidR="00710754" w:rsidRPr="00963A27">
        <w:rPr>
          <w:rFonts w:ascii="Arial" w:hAnsi="Arial" w:cs="Arial"/>
          <w:sz w:val="20"/>
          <w:szCs w:val="20"/>
        </w:rPr>
        <w:t>T</w:t>
      </w:r>
      <w:r w:rsidR="00736C7E" w:rsidRPr="00963A27">
        <w:rPr>
          <w:rFonts w:ascii="Arial" w:hAnsi="Arial" w:cs="Arial"/>
          <w:sz w:val="20"/>
          <w:szCs w:val="20"/>
        </w:rPr>
        <w:t>able 3.</w:t>
      </w:r>
    </w:p>
    <w:p w14:paraId="35E3D741" w14:textId="692AB4E2" w:rsidR="002D7110" w:rsidRPr="008E2E77" w:rsidRDefault="002D7110" w:rsidP="00956427">
      <w:pPr>
        <w:pStyle w:val="Title"/>
        <w:spacing w:line="360" w:lineRule="auto"/>
        <w:ind w:firstLine="426"/>
        <w:contextualSpacing w:val="0"/>
        <w:jc w:val="center"/>
        <w:rPr>
          <w:rFonts w:ascii="Arial" w:hAnsi="Arial" w:cs="Arial"/>
          <w:b w:val="0"/>
          <w:bCs/>
          <w:sz w:val="22"/>
          <w:szCs w:val="22"/>
        </w:rPr>
      </w:pPr>
      <w:r w:rsidRPr="008E2E77">
        <w:rPr>
          <w:rFonts w:ascii="Arial" w:hAnsi="Arial" w:cs="Arial"/>
          <w:sz w:val="22"/>
          <w:szCs w:val="22"/>
        </w:rPr>
        <w:t xml:space="preserve">Table 3. </w:t>
      </w:r>
      <w:r w:rsidR="00A30A5B" w:rsidRPr="008E2E77">
        <w:rPr>
          <w:rFonts w:ascii="Arial" w:hAnsi="Arial" w:cs="Arial"/>
          <w:sz w:val="22"/>
          <w:szCs w:val="22"/>
        </w:rPr>
        <w:t xml:space="preserve">Comparative analysis of oral preparation methods </w:t>
      </w:r>
      <w:r w:rsidRPr="008E2E77">
        <w:rPr>
          <w:rFonts w:ascii="Arial" w:hAnsi="Arial" w:cs="Arial"/>
          <w:sz w:val="22"/>
          <w:szCs w:val="22"/>
        </w:rPr>
        <w:t xml:space="preserve"> </w:t>
      </w:r>
      <w:r w:rsidRPr="008E2E77">
        <w:rPr>
          <w:rFonts w:ascii="Arial" w:hAnsi="Arial" w:cs="Arial"/>
          <w:b w:val="0"/>
          <w:bCs/>
          <w:sz w:val="22"/>
          <w:szCs w:val="22"/>
        </w:rPr>
        <w:t>[</w:t>
      </w:r>
      <w:r w:rsidR="007D2E3A" w:rsidRPr="008E2E77">
        <w:rPr>
          <w:rFonts w:ascii="Arial" w:hAnsi="Arial" w:cs="Arial"/>
          <w:b w:val="0"/>
          <w:bCs/>
          <w:sz w:val="22"/>
          <w:szCs w:val="22"/>
        </w:rPr>
        <w:t>50</w:t>
      </w:r>
      <w:r w:rsidRPr="008E2E77">
        <w:rPr>
          <w:rFonts w:ascii="Arial" w:hAnsi="Arial" w:cs="Arial"/>
          <w:b w:val="0"/>
          <w:bCs/>
          <w:sz w:val="22"/>
          <w:szCs w:val="22"/>
        </w:rPr>
        <w:t>]</w:t>
      </w:r>
    </w:p>
    <w:tbl>
      <w:tblPr>
        <w:tblStyle w:val="TableGrid"/>
        <w:tblW w:w="0" w:type="auto"/>
        <w:jc w:val="center"/>
        <w:tblLook w:val="04A0" w:firstRow="1" w:lastRow="0" w:firstColumn="1" w:lastColumn="0" w:noHBand="0" w:noVBand="1"/>
      </w:tblPr>
      <w:tblGrid>
        <w:gridCol w:w="1771"/>
        <w:gridCol w:w="1771"/>
        <w:gridCol w:w="1771"/>
        <w:gridCol w:w="1771"/>
        <w:gridCol w:w="1772"/>
      </w:tblGrid>
      <w:tr w:rsidR="003F61CD" w:rsidRPr="00963A27" w14:paraId="4BA742FA" w14:textId="77777777" w:rsidTr="00CA7BA5">
        <w:trPr>
          <w:jc w:val="center"/>
        </w:trPr>
        <w:tc>
          <w:tcPr>
            <w:tcW w:w="1771" w:type="dxa"/>
            <w:shd w:val="clear" w:color="auto" w:fill="E7E6E6" w:themeFill="background2"/>
          </w:tcPr>
          <w:p w14:paraId="30963C53" w14:textId="77777777" w:rsidR="003F61CD" w:rsidRPr="00963A27" w:rsidRDefault="003F61CD" w:rsidP="00956427">
            <w:pPr>
              <w:spacing w:line="360" w:lineRule="auto"/>
              <w:rPr>
                <w:rFonts w:ascii="Arial" w:hAnsi="Arial" w:cs="Arial"/>
                <w:b/>
                <w:bCs/>
                <w:sz w:val="20"/>
                <w:szCs w:val="20"/>
              </w:rPr>
            </w:pPr>
            <w:r w:rsidRPr="00963A27">
              <w:rPr>
                <w:rFonts w:ascii="Arial" w:hAnsi="Arial" w:cs="Arial"/>
                <w:b/>
                <w:bCs/>
                <w:sz w:val="20"/>
                <w:szCs w:val="20"/>
              </w:rPr>
              <w:t>METHOD</w:t>
            </w:r>
          </w:p>
        </w:tc>
        <w:tc>
          <w:tcPr>
            <w:tcW w:w="1771" w:type="dxa"/>
            <w:shd w:val="clear" w:color="auto" w:fill="E7E6E6" w:themeFill="background2"/>
          </w:tcPr>
          <w:p w14:paraId="0E94FC98" w14:textId="77777777" w:rsidR="003F61CD" w:rsidRPr="00963A27" w:rsidRDefault="003F61CD" w:rsidP="00956427">
            <w:pPr>
              <w:spacing w:line="360" w:lineRule="auto"/>
              <w:rPr>
                <w:rFonts w:ascii="Arial" w:hAnsi="Arial" w:cs="Arial"/>
                <w:b/>
                <w:bCs/>
                <w:sz w:val="20"/>
                <w:szCs w:val="20"/>
              </w:rPr>
            </w:pPr>
            <w:r w:rsidRPr="00963A27">
              <w:rPr>
                <w:rFonts w:ascii="Arial" w:hAnsi="Arial" w:cs="Arial"/>
                <w:b/>
                <w:bCs/>
                <w:sz w:val="20"/>
                <w:szCs w:val="20"/>
              </w:rPr>
              <w:t>SOLVENT CASTING</w:t>
            </w:r>
          </w:p>
        </w:tc>
        <w:tc>
          <w:tcPr>
            <w:tcW w:w="1771" w:type="dxa"/>
            <w:shd w:val="clear" w:color="auto" w:fill="E7E6E6" w:themeFill="background2"/>
          </w:tcPr>
          <w:p w14:paraId="04AB0ECA" w14:textId="77777777" w:rsidR="003F61CD" w:rsidRPr="00963A27" w:rsidRDefault="003F61CD" w:rsidP="00956427">
            <w:pPr>
              <w:spacing w:line="360" w:lineRule="auto"/>
              <w:rPr>
                <w:rFonts w:ascii="Arial" w:hAnsi="Arial" w:cs="Arial"/>
                <w:b/>
                <w:bCs/>
                <w:sz w:val="20"/>
                <w:szCs w:val="20"/>
              </w:rPr>
            </w:pPr>
            <w:r w:rsidRPr="00963A27">
              <w:rPr>
                <w:rFonts w:ascii="Arial" w:hAnsi="Arial" w:cs="Arial"/>
                <w:b/>
                <w:bCs/>
                <w:sz w:val="20"/>
                <w:szCs w:val="20"/>
              </w:rPr>
              <w:t>HOT MELT EXTRUSION</w:t>
            </w:r>
          </w:p>
        </w:tc>
        <w:tc>
          <w:tcPr>
            <w:tcW w:w="1771" w:type="dxa"/>
            <w:shd w:val="clear" w:color="auto" w:fill="E7E6E6" w:themeFill="background2"/>
          </w:tcPr>
          <w:p w14:paraId="31631E5F" w14:textId="77777777" w:rsidR="003F61CD" w:rsidRPr="00963A27" w:rsidRDefault="003F61CD" w:rsidP="00956427">
            <w:pPr>
              <w:spacing w:line="360" w:lineRule="auto"/>
              <w:rPr>
                <w:rFonts w:ascii="Arial" w:hAnsi="Arial" w:cs="Arial"/>
                <w:b/>
                <w:bCs/>
                <w:sz w:val="20"/>
                <w:szCs w:val="20"/>
              </w:rPr>
            </w:pPr>
            <w:r w:rsidRPr="00963A27">
              <w:rPr>
                <w:rFonts w:ascii="Arial" w:hAnsi="Arial" w:cs="Arial"/>
                <w:b/>
                <w:bCs/>
                <w:sz w:val="20"/>
                <w:szCs w:val="20"/>
              </w:rPr>
              <w:t>ROLLING METHOD</w:t>
            </w:r>
          </w:p>
        </w:tc>
        <w:tc>
          <w:tcPr>
            <w:tcW w:w="1772" w:type="dxa"/>
            <w:shd w:val="clear" w:color="auto" w:fill="E7E6E6" w:themeFill="background2"/>
          </w:tcPr>
          <w:p w14:paraId="4290E4D3" w14:textId="77777777" w:rsidR="003F61CD" w:rsidRPr="00963A27" w:rsidRDefault="003F61CD" w:rsidP="00956427">
            <w:pPr>
              <w:spacing w:line="360" w:lineRule="auto"/>
              <w:rPr>
                <w:rFonts w:ascii="Arial" w:hAnsi="Arial" w:cs="Arial"/>
                <w:b/>
                <w:bCs/>
                <w:sz w:val="20"/>
                <w:szCs w:val="20"/>
              </w:rPr>
            </w:pPr>
            <w:r w:rsidRPr="00963A27">
              <w:rPr>
                <w:rFonts w:ascii="Arial" w:hAnsi="Arial" w:cs="Arial"/>
                <w:b/>
                <w:bCs/>
                <w:sz w:val="20"/>
                <w:szCs w:val="20"/>
              </w:rPr>
              <w:t>FREEZE DRYING</w:t>
            </w:r>
          </w:p>
        </w:tc>
      </w:tr>
      <w:tr w:rsidR="003F61CD" w:rsidRPr="00963A27" w14:paraId="137A8CF0" w14:textId="77777777" w:rsidTr="00CA7BA5">
        <w:trPr>
          <w:jc w:val="center"/>
        </w:trPr>
        <w:tc>
          <w:tcPr>
            <w:tcW w:w="1771" w:type="dxa"/>
            <w:shd w:val="clear" w:color="auto" w:fill="E7E6E6" w:themeFill="background2"/>
            <w:vAlign w:val="center"/>
          </w:tcPr>
          <w:p w14:paraId="6AC13FDE" w14:textId="77777777" w:rsidR="003F61CD" w:rsidRPr="00963A27" w:rsidRDefault="003F61CD" w:rsidP="00956427">
            <w:pPr>
              <w:spacing w:line="360" w:lineRule="auto"/>
              <w:rPr>
                <w:rFonts w:ascii="Arial" w:hAnsi="Arial" w:cs="Arial"/>
                <w:b/>
                <w:bCs/>
                <w:sz w:val="20"/>
                <w:szCs w:val="20"/>
              </w:rPr>
            </w:pPr>
            <w:r w:rsidRPr="00963A27">
              <w:rPr>
                <w:rStyle w:val="Strong"/>
                <w:rFonts w:ascii="Arial" w:hAnsi="Arial" w:cs="Arial"/>
                <w:sz w:val="20"/>
                <w:szCs w:val="20"/>
              </w:rPr>
              <w:t>Solvent requirement</w:t>
            </w:r>
          </w:p>
        </w:tc>
        <w:tc>
          <w:tcPr>
            <w:tcW w:w="1771" w:type="dxa"/>
            <w:vAlign w:val="center"/>
          </w:tcPr>
          <w:p w14:paraId="12BC19B1"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Requires solvent</w:t>
            </w:r>
          </w:p>
        </w:tc>
        <w:tc>
          <w:tcPr>
            <w:tcW w:w="1771" w:type="dxa"/>
            <w:vAlign w:val="center"/>
          </w:tcPr>
          <w:p w14:paraId="5532604F"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Solvent-free</w:t>
            </w:r>
          </w:p>
        </w:tc>
        <w:tc>
          <w:tcPr>
            <w:tcW w:w="1771" w:type="dxa"/>
            <w:vAlign w:val="center"/>
          </w:tcPr>
          <w:p w14:paraId="08A59BB5"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Minimal solvent</w:t>
            </w:r>
          </w:p>
        </w:tc>
        <w:tc>
          <w:tcPr>
            <w:tcW w:w="1772" w:type="dxa"/>
            <w:vAlign w:val="center"/>
          </w:tcPr>
          <w:p w14:paraId="54531C89"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Water-based solution</w:t>
            </w:r>
          </w:p>
        </w:tc>
      </w:tr>
      <w:tr w:rsidR="003F61CD" w:rsidRPr="00963A27" w14:paraId="227144FC" w14:textId="77777777" w:rsidTr="00CA7BA5">
        <w:trPr>
          <w:jc w:val="center"/>
        </w:trPr>
        <w:tc>
          <w:tcPr>
            <w:tcW w:w="1771" w:type="dxa"/>
            <w:shd w:val="clear" w:color="auto" w:fill="E7E6E6" w:themeFill="background2"/>
            <w:vAlign w:val="center"/>
          </w:tcPr>
          <w:p w14:paraId="5F7D8C82" w14:textId="77777777" w:rsidR="003F61CD" w:rsidRPr="00963A27" w:rsidRDefault="003F61CD" w:rsidP="00956427">
            <w:pPr>
              <w:spacing w:line="360" w:lineRule="auto"/>
              <w:rPr>
                <w:rFonts w:ascii="Arial" w:hAnsi="Arial" w:cs="Arial"/>
                <w:b/>
                <w:bCs/>
                <w:sz w:val="20"/>
                <w:szCs w:val="20"/>
              </w:rPr>
            </w:pPr>
            <w:r w:rsidRPr="00963A27">
              <w:rPr>
                <w:rStyle w:val="Strong"/>
                <w:rFonts w:ascii="Arial" w:hAnsi="Arial" w:cs="Arial"/>
                <w:sz w:val="20"/>
                <w:szCs w:val="20"/>
              </w:rPr>
              <w:t>Drug distribution</w:t>
            </w:r>
          </w:p>
        </w:tc>
        <w:tc>
          <w:tcPr>
            <w:tcW w:w="1771" w:type="dxa"/>
            <w:vAlign w:val="center"/>
          </w:tcPr>
          <w:p w14:paraId="6E842F57"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Uniform</w:t>
            </w:r>
          </w:p>
        </w:tc>
        <w:tc>
          <w:tcPr>
            <w:tcW w:w="1771" w:type="dxa"/>
            <w:vAlign w:val="center"/>
          </w:tcPr>
          <w:p w14:paraId="60190DD2"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Requires optimization</w:t>
            </w:r>
          </w:p>
        </w:tc>
        <w:tc>
          <w:tcPr>
            <w:tcW w:w="1771" w:type="dxa"/>
            <w:vAlign w:val="center"/>
          </w:tcPr>
          <w:p w14:paraId="3C341CD0"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Uniform</w:t>
            </w:r>
          </w:p>
        </w:tc>
        <w:tc>
          <w:tcPr>
            <w:tcW w:w="1772" w:type="dxa"/>
            <w:vAlign w:val="center"/>
          </w:tcPr>
          <w:p w14:paraId="36422424"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Uniform</w:t>
            </w:r>
          </w:p>
        </w:tc>
      </w:tr>
      <w:tr w:rsidR="003F61CD" w:rsidRPr="00963A27" w14:paraId="0A92D023" w14:textId="77777777" w:rsidTr="00CA7BA5">
        <w:trPr>
          <w:jc w:val="center"/>
        </w:trPr>
        <w:tc>
          <w:tcPr>
            <w:tcW w:w="1771" w:type="dxa"/>
            <w:shd w:val="clear" w:color="auto" w:fill="E7E6E6" w:themeFill="background2"/>
            <w:vAlign w:val="center"/>
          </w:tcPr>
          <w:p w14:paraId="6E702B18" w14:textId="77777777" w:rsidR="003F61CD" w:rsidRPr="00963A27" w:rsidRDefault="003F61CD" w:rsidP="00956427">
            <w:pPr>
              <w:spacing w:line="360" w:lineRule="auto"/>
              <w:rPr>
                <w:rFonts w:ascii="Arial" w:hAnsi="Arial" w:cs="Arial"/>
                <w:b/>
                <w:bCs/>
                <w:sz w:val="20"/>
                <w:szCs w:val="20"/>
              </w:rPr>
            </w:pPr>
            <w:r w:rsidRPr="00963A27">
              <w:rPr>
                <w:rStyle w:val="Strong"/>
                <w:rFonts w:ascii="Arial" w:hAnsi="Arial" w:cs="Arial"/>
                <w:sz w:val="20"/>
                <w:szCs w:val="20"/>
              </w:rPr>
              <w:t>Temperature sensitivity</w:t>
            </w:r>
          </w:p>
        </w:tc>
        <w:tc>
          <w:tcPr>
            <w:tcW w:w="1771" w:type="dxa"/>
            <w:vAlign w:val="center"/>
          </w:tcPr>
          <w:p w14:paraId="603236B8"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Suitable for heat-sensitive drugs</w:t>
            </w:r>
          </w:p>
        </w:tc>
        <w:tc>
          <w:tcPr>
            <w:tcW w:w="1771" w:type="dxa"/>
            <w:vAlign w:val="center"/>
          </w:tcPr>
          <w:p w14:paraId="016A2C8E"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Not suitable for heat-sensitive drugs</w:t>
            </w:r>
          </w:p>
        </w:tc>
        <w:tc>
          <w:tcPr>
            <w:tcW w:w="1771" w:type="dxa"/>
            <w:vAlign w:val="center"/>
          </w:tcPr>
          <w:p w14:paraId="613BF2CA"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Suitable</w:t>
            </w:r>
          </w:p>
        </w:tc>
        <w:tc>
          <w:tcPr>
            <w:tcW w:w="1772" w:type="dxa"/>
            <w:vAlign w:val="center"/>
          </w:tcPr>
          <w:p w14:paraId="53DE19DB"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Best for heat-sensitive drugs</w:t>
            </w:r>
          </w:p>
        </w:tc>
      </w:tr>
      <w:tr w:rsidR="003F61CD" w:rsidRPr="00963A27" w14:paraId="010B266E" w14:textId="77777777" w:rsidTr="00CA7BA5">
        <w:trPr>
          <w:jc w:val="center"/>
        </w:trPr>
        <w:tc>
          <w:tcPr>
            <w:tcW w:w="1771" w:type="dxa"/>
            <w:shd w:val="clear" w:color="auto" w:fill="E7E6E6" w:themeFill="background2"/>
            <w:vAlign w:val="center"/>
          </w:tcPr>
          <w:p w14:paraId="3D477F92" w14:textId="77777777" w:rsidR="003F61CD" w:rsidRPr="00963A27" w:rsidRDefault="003F61CD" w:rsidP="00956427">
            <w:pPr>
              <w:spacing w:line="360" w:lineRule="auto"/>
              <w:rPr>
                <w:rFonts w:ascii="Arial" w:hAnsi="Arial" w:cs="Arial"/>
                <w:b/>
                <w:bCs/>
                <w:sz w:val="20"/>
                <w:szCs w:val="20"/>
              </w:rPr>
            </w:pPr>
            <w:r w:rsidRPr="00963A27">
              <w:rPr>
                <w:rStyle w:val="Strong"/>
                <w:rFonts w:ascii="Arial" w:hAnsi="Arial" w:cs="Arial"/>
                <w:sz w:val="20"/>
                <w:szCs w:val="20"/>
              </w:rPr>
              <w:t>Mechanical strength</w:t>
            </w:r>
          </w:p>
        </w:tc>
        <w:tc>
          <w:tcPr>
            <w:tcW w:w="1771" w:type="dxa"/>
            <w:vAlign w:val="center"/>
          </w:tcPr>
          <w:p w14:paraId="7AF5C7FF"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1" w:type="dxa"/>
            <w:vAlign w:val="center"/>
          </w:tcPr>
          <w:p w14:paraId="4206782C"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High</w:t>
            </w:r>
          </w:p>
        </w:tc>
        <w:tc>
          <w:tcPr>
            <w:tcW w:w="1771" w:type="dxa"/>
            <w:vAlign w:val="center"/>
          </w:tcPr>
          <w:p w14:paraId="0D3D179D"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High</w:t>
            </w:r>
          </w:p>
        </w:tc>
        <w:tc>
          <w:tcPr>
            <w:tcW w:w="1772" w:type="dxa"/>
            <w:vAlign w:val="center"/>
          </w:tcPr>
          <w:p w14:paraId="7BBF9D86"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Low</w:t>
            </w:r>
          </w:p>
        </w:tc>
      </w:tr>
      <w:tr w:rsidR="003F61CD" w:rsidRPr="00963A27" w14:paraId="3E807EFE" w14:textId="77777777" w:rsidTr="00CA7BA5">
        <w:trPr>
          <w:jc w:val="center"/>
        </w:trPr>
        <w:tc>
          <w:tcPr>
            <w:tcW w:w="1771" w:type="dxa"/>
            <w:shd w:val="clear" w:color="auto" w:fill="E7E6E6" w:themeFill="background2"/>
            <w:vAlign w:val="center"/>
          </w:tcPr>
          <w:p w14:paraId="23CDEA1B" w14:textId="77777777" w:rsidR="003F61CD" w:rsidRPr="00963A27" w:rsidRDefault="003F61CD" w:rsidP="00956427">
            <w:pPr>
              <w:spacing w:line="360" w:lineRule="auto"/>
              <w:rPr>
                <w:rFonts w:ascii="Arial" w:hAnsi="Arial" w:cs="Arial"/>
                <w:b/>
                <w:bCs/>
                <w:sz w:val="20"/>
                <w:szCs w:val="20"/>
              </w:rPr>
            </w:pPr>
            <w:r w:rsidRPr="00963A27">
              <w:rPr>
                <w:rStyle w:val="Strong"/>
                <w:rFonts w:ascii="Arial" w:hAnsi="Arial" w:cs="Arial"/>
                <w:sz w:val="20"/>
                <w:szCs w:val="20"/>
              </w:rPr>
              <w:t>Scalability</w:t>
            </w:r>
          </w:p>
        </w:tc>
        <w:tc>
          <w:tcPr>
            <w:tcW w:w="1771" w:type="dxa"/>
            <w:vAlign w:val="center"/>
          </w:tcPr>
          <w:p w14:paraId="2D9AE4BA"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1" w:type="dxa"/>
            <w:vAlign w:val="center"/>
          </w:tcPr>
          <w:p w14:paraId="2A458D86"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High</w:t>
            </w:r>
          </w:p>
        </w:tc>
        <w:tc>
          <w:tcPr>
            <w:tcW w:w="1771" w:type="dxa"/>
            <w:vAlign w:val="center"/>
          </w:tcPr>
          <w:p w14:paraId="4953169F"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High</w:t>
            </w:r>
          </w:p>
        </w:tc>
        <w:tc>
          <w:tcPr>
            <w:tcW w:w="1772" w:type="dxa"/>
            <w:vAlign w:val="center"/>
          </w:tcPr>
          <w:p w14:paraId="1397B827"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Low</w:t>
            </w:r>
          </w:p>
        </w:tc>
      </w:tr>
      <w:tr w:rsidR="003F61CD" w:rsidRPr="00963A27" w14:paraId="42EB1580" w14:textId="77777777" w:rsidTr="00CA7BA5">
        <w:trPr>
          <w:jc w:val="center"/>
        </w:trPr>
        <w:tc>
          <w:tcPr>
            <w:tcW w:w="1771" w:type="dxa"/>
            <w:shd w:val="clear" w:color="auto" w:fill="E7E6E6" w:themeFill="background2"/>
            <w:vAlign w:val="center"/>
          </w:tcPr>
          <w:p w14:paraId="6294B368" w14:textId="77777777" w:rsidR="003F61CD" w:rsidRPr="00963A27" w:rsidRDefault="003F61CD" w:rsidP="00956427">
            <w:pPr>
              <w:spacing w:line="360" w:lineRule="auto"/>
              <w:rPr>
                <w:rFonts w:ascii="Arial" w:hAnsi="Arial" w:cs="Arial"/>
                <w:b/>
                <w:bCs/>
                <w:sz w:val="20"/>
                <w:szCs w:val="20"/>
              </w:rPr>
            </w:pPr>
            <w:r w:rsidRPr="00963A27">
              <w:rPr>
                <w:rStyle w:val="Strong"/>
                <w:rFonts w:ascii="Arial" w:hAnsi="Arial" w:cs="Arial"/>
                <w:sz w:val="20"/>
                <w:szCs w:val="20"/>
              </w:rPr>
              <w:t>Disintegration speed</w:t>
            </w:r>
          </w:p>
        </w:tc>
        <w:tc>
          <w:tcPr>
            <w:tcW w:w="1771" w:type="dxa"/>
            <w:vAlign w:val="center"/>
          </w:tcPr>
          <w:p w14:paraId="7DB39483"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Moderate to fast</w:t>
            </w:r>
          </w:p>
        </w:tc>
        <w:tc>
          <w:tcPr>
            <w:tcW w:w="1771" w:type="dxa"/>
            <w:vAlign w:val="center"/>
          </w:tcPr>
          <w:p w14:paraId="6D556FD5"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1" w:type="dxa"/>
            <w:vAlign w:val="center"/>
          </w:tcPr>
          <w:p w14:paraId="01B01D2B"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Moderate</w:t>
            </w:r>
          </w:p>
        </w:tc>
        <w:tc>
          <w:tcPr>
            <w:tcW w:w="1772" w:type="dxa"/>
            <w:vAlign w:val="center"/>
          </w:tcPr>
          <w:p w14:paraId="5C5BA58E" w14:textId="77777777" w:rsidR="003F61CD" w:rsidRPr="00963A27" w:rsidRDefault="003F61CD" w:rsidP="00956427">
            <w:pPr>
              <w:spacing w:line="360" w:lineRule="auto"/>
              <w:jc w:val="center"/>
              <w:rPr>
                <w:rFonts w:ascii="Arial" w:hAnsi="Arial" w:cs="Arial"/>
                <w:b/>
                <w:bCs/>
                <w:sz w:val="20"/>
                <w:szCs w:val="20"/>
              </w:rPr>
            </w:pPr>
            <w:r w:rsidRPr="00963A27">
              <w:rPr>
                <w:rFonts w:ascii="Arial" w:hAnsi="Arial" w:cs="Arial"/>
                <w:sz w:val="20"/>
                <w:szCs w:val="20"/>
              </w:rPr>
              <w:t>Very fast</w:t>
            </w:r>
          </w:p>
        </w:tc>
      </w:tr>
    </w:tbl>
    <w:p w14:paraId="1E46C8C5" w14:textId="77777777" w:rsidR="00506FCC" w:rsidRPr="00963A27" w:rsidRDefault="00506FCC" w:rsidP="00956427">
      <w:pPr>
        <w:pStyle w:val="ListParagraph"/>
        <w:spacing w:line="360" w:lineRule="auto"/>
        <w:ind w:left="0"/>
        <w:contextualSpacing w:val="0"/>
        <w:jc w:val="both"/>
        <w:rPr>
          <w:rFonts w:ascii="Arial" w:hAnsi="Arial" w:cs="Arial"/>
          <w:sz w:val="24"/>
          <w:szCs w:val="24"/>
        </w:rPr>
      </w:pPr>
    </w:p>
    <w:p w14:paraId="5782D095" w14:textId="0A328A7D" w:rsidR="00C05EE3" w:rsidRPr="00963A27" w:rsidRDefault="00C05EE3" w:rsidP="00882252">
      <w:pPr>
        <w:pStyle w:val="Title"/>
        <w:numPr>
          <w:ilvl w:val="0"/>
          <w:numId w:val="60"/>
        </w:numPr>
        <w:spacing w:line="360" w:lineRule="auto"/>
        <w:contextualSpacing w:val="0"/>
        <w:jc w:val="both"/>
        <w:rPr>
          <w:rFonts w:ascii="Arial" w:hAnsi="Arial" w:cs="Arial"/>
          <w:sz w:val="22"/>
          <w:szCs w:val="22"/>
        </w:rPr>
      </w:pPr>
      <w:r w:rsidRPr="00963A27">
        <w:rPr>
          <w:rFonts w:ascii="Arial" w:hAnsi="Arial" w:cs="Arial"/>
          <w:sz w:val="22"/>
          <w:szCs w:val="22"/>
        </w:rPr>
        <w:t>QUALITY CONTROL AND EVALUATION PARAMETERS OF ORAL WAFERS</w:t>
      </w:r>
    </w:p>
    <w:p w14:paraId="4EC06203" w14:textId="142E763C" w:rsidR="00C05EE3" w:rsidRPr="00963A27" w:rsidRDefault="00C05EE3" w:rsidP="00956427">
      <w:pPr>
        <w:spacing w:line="360" w:lineRule="auto"/>
        <w:ind w:left="360"/>
        <w:jc w:val="both"/>
        <w:rPr>
          <w:rFonts w:ascii="Arial" w:hAnsi="Arial" w:cs="Arial"/>
          <w:sz w:val="20"/>
          <w:szCs w:val="20"/>
        </w:rPr>
      </w:pPr>
      <w:r w:rsidRPr="00963A27">
        <w:rPr>
          <w:rFonts w:ascii="Arial" w:hAnsi="Arial" w:cs="Arial"/>
          <w:sz w:val="20"/>
          <w:szCs w:val="20"/>
        </w:rPr>
        <w:t>The quality and performance of oral wafers need to be evaluated by strict testing under different physicochemical, mechanical, drug release, and stability studies. The parameters decide the efficacy, safety, and stability of the</w:t>
      </w:r>
      <w:r w:rsidR="00E41F1A" w:rsidRPr="00963A27">
        <w:rPr>
          <w:rFonts w:ascii="Arial" w:hAnsi="Arial" w:cs="Arial"/>
          <w:sz w:val="20"/>
          <w:szCs w:val="20"/>
        </w:rPr>
        <w:t xml:space="preserve"> </w:t>
      </w:r>
      <w:r w:rsidRPr="00963A27">
        <w:rPr>
          <w:rFonts w:ascii="Arial" w:hAnsi="Arial" w:cs="Arial"/>
          <w:sz w:val="20"/>
          <w:szCs w:val="20"/>
        </w:rPr>
        <w:t>product.</w:t>
      </w:r>
      <w:r w:rsidR="00FA7A65" w:rsidRPr="00963A27">
        <w:rPr>
          <w:rFonts w:ascii="Arial" w:hAnsi="Arial" w:cs="Arial"/>
          <w:sz w:val="20"/>
          <w:szCs w:val="20"/>
        </w:rPr>
        <w:t>[51]</w:t>
      </w:r>
    </w:p>
    <w:p w14:paraId="4C2E93E5" w14:textId="344A01DC" w:rsidR="00C05EE3" w:rsidRPr="00963A27" w:rsidRDefault="00C05EE3" w:rsidP="00882252">
      <w:pPr>
        <w:pStyle w:val="ListParagraph"/>
        <w:numPr>
          <w:ilvl w:val="1"/>
          <w:numId w:val="66"/>
        </w:numPr>
        <w:spacing w:before="240" w:line="360" w:lineRule="auto"/>
        <w:ind w:left="426" w:hanging="426"/>
        <w:contextualSpacing w:val="0"/>
        <w:jc w:val="both"/>
        <w:rPr>
          <w:rFonts w:ascii="Arial" w:hAnsi="Arial" w:cs="Arial"/>
          <w:b/>
          <w:bCs/>
        </w:rPr>
      </w:pPr>
      <w:r w:rsidRPr="00963A27">
        <w:rPr>
          <w:rFonts w:ascii="Arial" w:hAnsi="Arial" w:cs="Arial"/>
          <w:b/>
          <w:bCs/>
        </w:rPr>
        <w:t>Physicochemical Characterization</w:t>
      </w:r>
    </w:p>
    <w:p w14:paraId="59C674D5" w14:textId="488FE252" w:rsidR="00C05EE3" w:rsidRPr="00963A27" w:rsidRDefault="00C05EE3" w:rsidP="00882252">
      <w:pPr>
        <w:pStyle w:val="ListParagraph"/>
        <w:numPr>
          <w:ilvl w:val="0"/>
          <w:numId w:val="51"/>
        </w:numPr>
        <w:spacing w:line="360" w:lineRule="auto"/>
        <w:jc w:val="both"/>
        <w:rPr>
          <w:rFonts w:ascii="Arial" w:hAnsi="Arial" w:cs="Arial"/>
          <w:sz w:val="20"/>
          <w:szCs w:val="20"/>
        </w:rPr>
      </w:pPr>
      <w:r w:rsidRPr="00963A27">
        <w:rPr>
          <w:rFonts w:ascii="Arial" w:hAnsi="Arial" w:cs="Arial"/>
          <w:b/>
          <w:bCs/>
          <w:sz w:val="20"/>
          <w:szCs w:val="20"/>
        </w:rPr>
        <w:t>Thickness:</w:t>
      </w:r>
      <w:r w:rsidRPr="00963A27">
        <w:rPr>
          <w:rFonts w:ascii="Arial" w:hAnsi="Arial" w:cs="Arial"/>
          <w:sz w:val="20"/>
          <w:szCs w:val="20"/>
        </w:rPr>
        <w:t xml:space="preserve"> Regular thickness is crucial for homogenous drug content and mechanical durability. The thickness of the wafer is measured at various locations by a digital </w:t>
      </w:r>
      <w:r w:rsidR="00F21D13" w:rsidRPr="00963A27">
        <w:rPr>
          <w:rFonts w:ascii="Arial" w:hAnsi="Arial" w:cs="Arial"/>
          <w:sz w:val="20"/>
          <w:szCs w:val="20"/>
        </w:rPr>
        <w:t>micrometre</w:t>
      </w:r>
      <w:r w:rsidRPr="00963A27">
        <w:rPr>
          <w:rFonts w:ascii="Arial" w:hAnsi="Arial" w:cs="Arial"/>
          <w:sz w:val="20"/>
          <w:szCs w:val="20"/>
        </w:rPr>
        <w:t xml:space="preserve"> or Vernier </w:t>
      </w:r>
      <w:r w:rsidR="00710754" w:rsidRPr="00963A27">
        <w:rPr>
          <w:rFonts w:ascii="Arial" w:hAnsi="Arial" w:cs="Arial"/>
          <w:sz w:val="20"/>
          <w:szCs w:val="20"/>
        </w:rPr>
        <w:t>calliper</w:t>
      </w:r>
      <w:r w:rsidRPr="00963A27">
        <w:rPr>
          <w:rFonts w:ascii="Arial" w:hAnsi="Arial" w:cs="Arial"/>
          <w:sz w:val="20"/>
          <w:szCs w:val="20"/>
        </w:rPr>
        <w:t>.</w:t>
      </w:r>
    </w:p>
    <w:p w14:paraId="03B2A347" w14:textId="77777777" w:rsidR="00D26AA9" w:rsidRPr="00963A27" w:rsidRDefault="00C05EE3" w:rsidP="00882252">
      <w:pPr>
        <w:pStyle w:val="ListParagraph"/>
        <w:numPr>
          <w:ilvl w:val="0"/>
          <w:numId w:val="51"/>
        </w:numPr>
        <w:spacing w:line="360" w:lineRule="auto"/>
        <w:jc w:val="both"/>
        <w:rPr>
          <w:rFonts w:ascii="Arial" w:hAnsi="Arial" w:cs="Arial"/>
          <w:sz w:val="20"/>
          <w:szCs w:val="20"/>
        </w:rPr>
      </w:pPr>
      <w:r w:rsidRPr="00963A27">
        <w:rPr>
          <w:rFonts w:ascii="Arial" w:hAnsi="Arial" w:cs="Arial"/>
          <w:b/>
          <w:bCs/>
          <w:sz w:val="20"/>
          <w:szCs w:val="20"/>
        </w:rPr>
        <w:t>Weight Uniformity:</w:t>
      </w:r>
      <w:r w:rsidRPr="00963A27">
        <w:rPr>
          <w:rFonts w:ascii="Arial" w:hAnsi="Arial" w:cs="Arial"/>
          <w:sz w:val="20"/>
          <w:szCs w:val="20"/>
        </w:rPr>
        <w:t xml:space="preserve"> Random samples of wafers are taken from a batch, individually weighed, and compared against the average weight. This will confirm homogeneity of drug loading.</w:t>
      </w:r>
    </w:p>
    <w:p w14:paraId="162CE20F" w14:textId="5853034E" w:rsidR="00C05EE3" w:rsidRPr="00963A27" w:rsidRDefault="00C05EE3" w:rsidP="00882252">
      <w:pPr>
        <w:pStyle w:val="ListParagraph"/>
        <w:numPr>
          <w:ilvl w:val="0"/>
          <w:numId w:val="51"/>
        </w:numPr>
        <w:spacing w:line="360" w:lineRule="auto"/>
        <w:jc w:val="both"/>
        <w:rPr>
          <w:rFonts w:ascii="Arial" w:hAnsi="Arial" w:cs="Arial"/>
          <w:sz w:val="20"/>
          <w:szCs w:val="20"/>
        </w:rPr>
      </w:pPr>
      <w:r w:rsidRPr="00963A27">
        <w:rPr>
          <w:rFonts w:ascii="Arial" w:hAnsi="Arial" w:cs="Arial"/>
          <w:b/>
          <w:bCs/>
          <w:sz w:val="20"/>
          <w:szCs w:val="20"/>
        </w:rPr>
        <w:t>Surface pH:</w:t>
      </w:r>
      <w:r w:rsidRPr="00963A27">
        <w:rPr>
          <w:rFonts w:ascii="Arial" w:hAnsi="Arial" w:cs="Arial"/>
          <w:sz w:val="20"/>
          <w:szCs w:val="20"/>
        </w:rPr>
        <w:t xml:space="preserve"> The surface pH must be near the physiological pH of saliva (6.5–7.5) to avoid irritation. The wafer is immersed in distilled water, and the pH is determined by a pH meter to confirm patient compliance and preclude mucosal irritation.</w:t>
      </w:r>
    </w:p>
    <w:p w14:paraId="7565BABF" w14:textId="3796DF9E" w:rsidR="00C05EE3" w:rsidRPr="00963A27" w:rsidRDefault="00C05EE3" w:rsidP="00882252">
      <w:pPr>
        <w:pStyle w:val="ListParagraph"/>
        <w:numPr>
          <w:ilvl w:val="0"/>
          <w:numId w:val="51"/>
        </w:numPr>
        <w:spacing w:line="360" w:lineRule="auto"/>
        <w:jc w:val="both"/>
        <w:rPr>
          <w:rFonts w:ascii="Arial" w:hAnsi="Arial" w:cs="Arial"/>
          <w:b/>
          <w:bCs/>
          <w:sz w:val="20"/>
          <w:szCs w:val="20"/>
        </w:rPr>
      </w:pPr>
      <w:r w:rsidRPr="00963A27">
        <w:rPr>
          <w:rFonts w:ascii="Arial" w:hAnsi="Arial" w:cs="Arial"/>
          <w:b/>
          <w:bCs/>
          <w:sz w:val="20"/>
          <w:szCs w:val="20"/>
        </w:rPr>
        <w:lastRenderedPageBreak/>
        <w:t>Moisture Content:</w:t>
      </w:r>
      <w:r w:rsidRPr="00963A27">
        <w:rPr>
          <w:rFonts w:ascii="Arial" w:hAnsi="Arial" w:cs="Arial"/>
          <w:sz w:val="20"/>
          <w:szCs w:val="20"/>
        </w:rPr>
        <w:t xml:space="preserve"> Defines the flexibility and stability of the wafer. High moisture content can influence mechanical properties and microbial stability. Moisture content is measured by Karl Fischer titration or thermogravimetric analysis.</w:t>
      </w:r>
    </w:p>
    <w:p w14:paraId="6E0D90B4" w14:textId="02B7F9F6" w:rsidR="00710754" w:rsidRPr="00CA7BA5" w:rsidRDefault="00C05EE3" w:rsidP="00882252">
      <w:pPr>
        <w:pStyle w:val="ListParagraph"/>
        <w:numPr>
          <w:ilvl w:val="0"/>
          <w:numId w:val="51"/>
        </w:numPr>
        <w:spacing w:before="240" w:line="360" w:lineRule="auto"/>
        <w:contextualSpacing w:val="0"/>
        <w:jc w:val="both"/>
        <w:rPr>
          <w:rFonts w:ascii="Arial" w:hAnsi="Arial" w:cs="Arial"/>
          <w:b/>
          <w:bCs/>
          <w:sz w:val="20"/>
          <w:szCs w:val="20"/>
        </w:rPr>
      </w:pPr>
      <w:r w:rsidRPr="00963A27">
        <w:rPr>
          <w:rFonts w:ascii="Arial" w:hAnsi="Arial" w:cs="Arial"/>
          <w:b/>
          <w:bCs/>
          <w:sz w:val="20"/>
          <w:szCs w:val="20"/>
        </w:rPr>
        <w:t>Hygroscopicity:</w:t>
      </w:r>
      <w:r w:rsidRPr="00963A27">
        <w:rPr>
          <w:rFonts w:ascii="Arial" w:hAnsi="Arial" w:cs="Arial"/>
          <w:sz w:val="20"/>
          <w:szCs w:val="20"/>
        </w:rPr>
        <w:t xml:space="preserve"> Quantifies the capacity of the wafer to take up m</w:t>
      </w:r>
      <w:r w:rsidR="00710754" w:rsidRPr="00963A27">
        <w:rPr>
          <w:rFonts w:ascii="Arial" w:hAnsi="Arial" w:cs="Arial"/>
          <w:sz w:val="20"/>
          <w:szCs w:val="20"/>
        </w:rPr>
        <w:t>o</w:t>
      </w:r>
      <w:r w:rsidRPr="00963A27">
        <w:rPr>
          <w:rFonts w:ascii="Arial" w:hAnsi="Arial" w:cs="Arial"/>
          <w:sz w:val="20"/>
          <w:szCs w:val="20"/>
        </w:rPr>
        <w:t>isture from the surroundings, which can impact disintegration and drug stability. The wafer is subjected to controlled humidity conditions, and weight gain is measured.</w:t>
      </w:r>
      <w:r w:rsidR="00415198" w:rsidRPr="00963A27">
        <w:rPr>
          <w:rFonts w:ascii="Arial" w:hAnsi="Arial" w:cs="Arial"/>
          <w:sz w:val="20"/>
          <w:szCs w:val="20"/>
        </w:rPr>
        <w:t>[52][53][54]</w:t>
      </w:r>
    </w:p>
    <w:p w14:paraId="63609BEF" w14:textId="4DF3D3C2" w:rsidR="00C05EE3" w:rsidRPr="00963A27" w:rsidRDefault="00C05EE3" w:rsidP="00882252">
      <w:pPr>
        <w:pStyle w:val="ListParagraph"/>
        <w:numPr>
          <w:ilvl w:val="1"/>
          <w:numId w:val="66"/>
        </w:numPr>
        <w:spacing w:before="240" w:line="360" w:lineRule="auto"/>
        <w:ind w:hanging="578"/>
        <w:jc w:val="both"/>
        <w:rPr>
          <w:rFonts w:ascii="Arial" w:hAnsi="Arial" w:cs="Arial"/>
          <w:b/>
          <w:bCs/>
        </w:rPr>
      </w:pPr>
      <w:r w:rsidRPr="00963A27">
        <w:rPr>
          <w:rFonts w:ascii="Arial" w:hAnsi="Arial" w:cs="Arial"/>
          <w:b/>
          <w:bCs/>
        </w:rPr>
        <w:t>Mechanical Properties</w:t>
      </w:r>
    </w:p>
    <w:p w14:paraId="3D7C1B27" w14:textId="41C75805" w:rsidR="00C05EE3" w:rsidRPr="00963A27" w:rsidRDefault="00C05EE3" w:rsidP="00882252">
      <w:pPr>
        <w:pStyle w:val="ListParagraph"/>
        <w:numPr>
          <w:ilvl w:val="0"/>
          <w:numId w:val="52"/>
        </w:numPr>
        <w:spacing w:line="360" w:lineRule="auto"/>
        <w:ind w:left="709"/>
        <w:jc w:val="both"/>
        <w:rPr>
          <w:rFonts w:ascii="Arial" w:hAnsi="Arial" w:cs="Arial"/>
          <w:sz w:val="20"/>
          <w:szCs w:val="20"/>
        </w:rPr>
      </w:pPr>
      <w:r w:rsidRPr="00963A27">
        <w:rPr>
          <w:rFonts w:ascii="Arial" w:hAnsi="Arial" w:cs="Arial"/>
          <w:b/>
          <w:bCs/>
          <w:sz w:val="20"/>
          <w:szCs w:val="20"/>
        </w:rPr>
        <w:t>Tensile Strength:</w:t>
      </w:r>
      <w:r w:rsidRPr="00963A27">
        <w:rPr>
          <w:rFonts w:ascii="Arial" w:hAnsi="Arial" w:cs="Arial"/>
          <w:sz w:val="20"/>
          <w:szCs w:val="20"/>
        </w:rPr>
        <w:t xml:space="preserve"> Quantifies the wafer's resistance to stress without fracture. A texture analyzer or universal testing machine is employed to exert a force until the wafer fractures. Good tensile strength guarantees durability on handling and administration.</w:t>
      </w:r>
    </w:p>
    <w:p w14:paraId="3F5CA129" w14:textId="27492C78" w:rsidR="00C05EE3" w:rsidRPr="00963A27" w:rsidRDefault="00C05EE3" w:rsidP="00882252">
      <w:pPr>
        <w:pStyle w:val="ListParagraph"/>
        <w:numPr>
          <w:ilvl w:val="0"/>
          <w:numId w:val="52"/>
        </w:numPr>
        <w:spacing w:line="360" w:lineRule="auto"/>
        <w:ind w:left="709"/>
        <w:contextualSpacing w:val="0"/>
        <w:jc w:val="both"/>
        <w:rPr>
          <w:rFonts w:ascii="Arial" w:hAnsi="Arial" w:cs="Arial"/>
          <w:sz w:val="20"/>
          <w:szCs w:val="20"/>
        </w:rPr>
      </w:pPr>
      <w:r w:rsidRPr="00963A27">
        <w:rPr>
          <w:rFonts w:ascii="Arial" w:hAnsi="Arial" w:cs="Arial"/>
          <w:b/>
          <w:bCs/>
          <w:sz w:val="20"/>
          <w:szCs w:val="20"/>
        </w:rPr>
        <w:t>Folding Endurance</w:t>
      </w:r>
      <w:r w:rsidRPr="00963A27">
        <w:rPr>
          <w:rFonts w:ascii="Arial" w:hAnsi="Arial" w:cs="Arial"/>
          <w:sz w:val="20"/>
          <w:szCs w:val="20"/>
        </w:rPr>
        <w:t>: Quantifies flexibility and resistance to fracture on repeated folding. A wafer is folded repeatedly at one point until it fractures; the greater the number of folds, the better the mechanical strength.</w:t>
      </w:r>
    </w:p>
    <w:p w14:paraId="515B2319" w14:textId="6087C81C" w:rsidR="00C05EE3" w:rsidRPr="00963A27" w:rsidRDefault="00C05EE3" w:rsidP="00882252">
      <w:pPr>
        <w:pStyle w:val="ListParagraph"/>
        <w:numPr>
          <w:ilvl w:val="0"/>
          <w:numId w:val="52"/>
        </w:numPr>
        <w:spacing w:line="360" w:lineRule="auto"/>
        <w:ind w:left="709"/>
        <w:contextualSpacing w:val="0"/>
        <w:jc w:val="both"/>
        <w:rPr>
          <w:rFonts w:ascii="Arial" w:hAnsi="Arial" w:cs="Arial"/>
          <w:b/>
          <w:bCs/>
          <w:sz w:val="20"/>
          <w:szCs w:val="20"/>
        </w:rPr>
      </w:pPr>
      <w:r w:rsidRPr="00963A27">
        <w:rPr>
          <w:rFonts w:ascii="Arial" w:hAnsi="Arial" w:cs="Arial"/>
          <w:b/>
          <w:bCs/>
          <w:sz w:val="20"/>
          <w:szCs w:val="20"/>
        </w:rPr>
        <w:t>Influence of Polymer Type on Mechanical Characteristics</w:t>
      </w:r>
      <w:r w:rsidR="000E6E1D" w:rsidRPr="00963A27">
        <w:rPr>
          <w:rFonts w:ascii="Arial" w:hAnsi="Arial" w:cs="Arial"/>
          <w:b/>
          <w:bCs/>
          <w:sz w:val="20"/>
          <w:szCs w:val="20"/>
        </w:rPr>
        <w:t xml:space="preserve">: </w:t>
      </w:r>
      <w:r w:rsidRPr="00963A27">
        <w:rPr>
          <w:rFonts w:ascii="Arial" w:hAnsi="Arial" w:cs="Arial"/>
          <w:sz w:val="20"/>
          <w:szCs w:val="20"/>
        </w:rPr>
        <w:t>Polymer selection has a strong impact on mechanical characteristics. Hydrophilic polymers (e.g., HPMC, NaCMC, PVA) increase flexibility and fast dissolution, whereas hydrophobic polymers (e.g., ethyl cellulose) can exhibit sustained release but decrease mechanical strength.</w:t>
      </w:r>
      <w:r w:rsidR="00877307" w:rsidRPr="00963A27">
        <w:rPr>
          <w:rFonts w:ascii="Arial" w:hAnsi="Arial" w:cs="Arial"/>
          <w:sz w:val="20"/>
          <w:szCs w:val="20"/>
        </w:rPr>
        <w:t xml:space="preserve"> </w:t>
      </w:r>
      <w:r w:rsidRPr="00963A27">
        <w:rPr>
          <w:rFonts w:ascii="Arial" w:hAnsi="Arial" w:cs="Arial"/>
          <w:sz w:val="20"/>
          <w:szCs w:val="20"/>
        </w:rPr>
        <w:t>Plasticizers such as glycerol or PEG enhance flexibility through weakening intermolecular forces within the polymer matrix.</w:t>
      </w:r>
      <w:r w:rsidR="003137E4" w:rsidRPr="00963A27">
        <w:rPr>
          <w:rFonts w:ascii="Arial" w:hAnsi="Arial" w:cs="Arial"/>
          <w:sz w:val="20"/>
          <w:szCs w:val="20"/>
        </w:rPr>
        <w:t>[53]</w:t>
      </w:r>
      <w:r w:rsidR="00F85080" w:rsidRPr="00963A27">
        <w:rPr>
          <w:rFonts w:ascii="Arial" w:hAnsi="Arial" w:cs="Arial"/>
          <w:sz w:val="20"/>
          <w:szCs w:val="20"/>
        </w:rPr>
        <w:t>[54]</w:t>
      </w:r>
    </w:p>
    <w:p w14:paraId="2E9FB1B9" w14:textId="6183B9A9" w:rsidR="00C05EE3" w:rsidRPr="00963A27" w:rsidRDefault="00C05EE3" w:rsidP="00882252">
      <w:pPr>
        <w:pStyle w:val="ListParagraph"/>
        <w:numPr>
          <w:ilvl w:val="1"/>
          <w:numId w:val="70"/>
        </w:numPr>
        <w:spacing w:line="360" w:lineRule="auto"/>
        <w:ind w:left="709" w:hanging="567"/>
        <w:contextualSpacing w:val="0"/>
        <w:jc w:val="both"/>
        <w:rPr>
          <w:rFonts w:ascii="Arial" w:hAnsi="Arial" w:cs="Arial"/>
          <w:b/>
          <w:bCs/>
        </w:rPr>
      </w:pPr>
      <w:r w:rsidRPr="00963A27">
        <w:rPr>
          <w:rFonts w:ascii="Arial" w:hAnsi="Arial" w:cs="Arial"/>
          <w:b/>
          <w:bCs/>
        </w:rPr>
        <w:t>Drug Release Studies</w:t>
      </w:r>
    </w:p>
    <w:p w14:paraId="2012A1CC" w14:textId="77777777" w:rsidR="00877307" w:rsidRPr="00963A27" w:rsidRDefault="00C05EE3" w:rsidP="00956427">
      <w:pPr>
        <w:pStyle w:val="ListParagraph"/>
        <w:spacing w:line="360" w:lineRule="auto"/>
        <w:ind w:left="360"/>
        <w:contextualSpacing w:val="0"/>
        <w:jc w:val="both"/>
        <w:rPr>
          <w:rFonts w:ascii="Arial" w:hAnsi="Arial" w:cs="Arial"/>
          <w:b/>
          <w:bCs/>
        </w:rPr>
      </w:pPr>
      <w:r w:rsidRPr="00963A27">
        <w:rPr>
          <w:rFonts w:ascii="Arial" w:hAnsi="Arial" w:cs="Arial"/>
          <w:b/>
          <w:bCs/>
          <w:i/>
          <w:iCs/>
        </w:rPr>
        <w:t>In-vitro</w:t>
      </w:r>
      <w:r w:rsidRPr="00963A27">
        <w:rPr>
          <w:rFonts w:ascii="Arial" w:hAnsi="Arial" w:cs="Arial"/>
          <w:b/>
          <w:bCs/>
        </w:rPr>
        <w:t xml:space="preserve"> Disintegration and Dissolution Testing</w:t>
      </w:r>
    </w:p>
    <w:p w14:paraId="7A0808F8" w14:textId="3767B189" w:rsidR="00C05EE3" w:rsidRPr="00963A27" w:rsidRDefault="00C05EE3" w:rsidP="00882252">
      <w:pPr>
        <w:pStyle w:val="ListParagraph"/>
        <w:numPr>
          <w:ilvl w:val="0"/>
          <w:numId w:val="53"/>
        </w:numPr>
        <w:spacing w:line="360" w:lineRule="auto"/>
        <w:ind w:left="1080"/>
        <w:contextualSpacing w:val="0"/>
        <w:jc w:val="both"/>
        <w:rPr>
          <w:rFonts w:ascii="Arial" w:hAnsi="Arial" w:cs="Arial"/>
          <w:b/>
          <w:bCs/>
          <w:sz w:val="20"/>
          <w:szCs w:val="20"/>
        </w:rPr>
      </w:pPr>
      <w:r w:rsidRPr="00963A27">
        <w:rPr>
          <w:rFonts w:ascii="Arial" w:hAnsi="Arial" w:cs="Arial"/>
          <w:b/>
          <w:bCs/>
          <w:sz w:val="20"/>
          <w:szCs w:val="20"/>
        </w:rPr>
        <w:t>Disintegration Time:</w:t>
      </w:r>
      <w:r w:rsidRPr="00963A27">
        <w:rPr>
          <w:rFonts w:ascii="Arial" w:hAnsi="Arial" w:cs="Arial"/>
          <w:sz w:val="20"/>
          <w:szCs w:val="20"/>
        </w:rPr>
        <w:t xml:space="preserve"> Tests the rate at which the wafer disintegrates in the oral cavity. The film is submerged in simulated saliva or phosphate buffer, and the time to total disintegration is measured.</w:t>
      </w:r>
    </w:p>
    <w:p w14:paraId="013F92B8" w14:textId="5229083F" w:rsidR="00C05EE3" w:rsidRPr="00963A27" w:rsidRDefault="00C05EE3" w:rsidP="00882252">
      <w:pPr>
        <w:pStyle w:val="ListParagraph"/>
        <w:numPr>
          <w:ilvl w:val="0"/>
          <w:numId w:val="53"/>
        </w:numPr>
        <w:spacing w:line="360" w:lineRule="auto"/>
        <w:ind w:left="1080"/>
        <w:contextualSpacing w:val="0"/>
        <w:jc w:val="both"/>
        <w:rPr>
          <w:rFonts w:ascii="Arial" w:hAnsi="Arial" w:cs="Arial"/>
          <w:sz w:val="20"/>
          <w:szCs w:val="20"/>
        </w:rPr>
      </w:pPr>
      <w:r w:rsidRPr="00963A27">
        <w:rPr>
          <w:rFonts w:ascii="Arial" w:hAnsi="Arial" w:cs="Arial"/>
          <w:b/>
          <w:bCs/>
          <w:sz w:val="20"/>
          <w:szCs w:val="20"/>
        </w:rPr>
        <w:t>Dissolution Testing:</w:t>
      </w:r>
      <w:r w:rsidRPr="00963A27">
        <w:rPr>
          <w:rFonts w:ascii="Arial" w:hAnsi="Arial" w:cs="Arial"/>
          <w:sz w:val="20"/>
          <w:szCs w:val="20"/>
        </w:rPr>
        <w:t xml:space="preserve"> Tests the rate and extent of release of the drug. The dissolution apparatus (USP Type I or II) with simulated saliva or buffer solution is used, and samples are assayed spectrophotometrically to determine drug release.</w:t>
      </w:r>
      <w:r w:rsidR="00F85080" w:rsidRPr="00963A27">
        <w:rPr>
          <w:rFonts w:ascii="Arial" w:hAnsi="Arial" w:cs="Arial"/>
          <w:sz w:val="20"/>
          <w:szCs w:val="20"/>
        </w:rPr>
        <w:t>[55][56]</w:t>
      </w:r>
    </w:p>
    <w:p w14:paraId="007A6F80" w14:textId="38838CD0" w:rsidR="00C05EE3" w:rsidRPr="00963A27" w:rsidRDefault="00C05EE3" w:rsidP="00882252">
      <w:pPr>
        <w:pStyle w:val="ListParagraph"/>
        <w:numPr>
          <w:ilvl w:val="0"/>
          <w:numId w:val="74"/>
        </w:numPr>
        <w:spacing w:line="360" w:lineRule="auto"/>
        <w:ind w:hanging="578"/>
        <w:jc w:val="both"/>
        <w:rPr>
          <w:rFonts w:ascii="Arial" w:hAnsi="Arial" w:cs="Arial"/>
          <w:b/>
          <w:bCs/>
        </w:rPr>
      </w:pPr>
      <w:r w:rsidRPr="00963A27">
        <w:rPr>
          <w:rFonts w:ascii="Arial" w:hAnsi="Arial" w:cs="Arial"/>
          <w:b/>
          <w:bCs/>
        </w:rPr>
        <w:t>Stability Studies</w:t>
      </w:r>
    </w:p>
    <w:p w14:paraId="44552315" w14:textId="77777777" w:rsidR="00AC1535" w:rsidRPr="00963A27" w:rsidRDefault="00C05EE3" w:rsidP="00882252">
      <w:pPr>
        <w:pStyle w:val="ListParagraph"/>
        <w:numPr>
          <w:ilvl w:val="0"/>
          <w:numId w:val="54"/>
        </w:numPr>
        <w:spacing w:line="360" w:lineRule="auto"/>
        <w:contextualSpacing w:val="0"/>
        <w:jc w:val="both"/>
        <w:rPr>
          <w:rFonts w:ascii="Arial" w:hAnsi="Arial" w:cs="Arial"/>
          <w:sz w:val="20"/>
          <w:szCs w:val="20"/>
        </w:rPr>
      </w:pPr>
      <w:r w:rsidRPr="00963A27">
        <w:rPr>
          <w:rFonts w:ascii="Arial" w:hAnsi="Arial" w:cs="Arial"/>
          <w:b/>
          <w:bCs/>
          <w:sz w:val="20"/>
          <w:szCs w:val="20"/>
        </w:rPr>
        <w:t>Short-Term and Long-Term Stability:</w:t>
      </w:r>
      <w:r w:rsidRPr="00963A27">
        <w:rPr>
          <w:rFonts w:ascii="Arial" w:hAnsi="Arial" w:cs="Arial"/>
          <w:sz w:val="20"/>
          <w:szCs w:val="20"/>
        </w:rPr>
        <w:t xml:space="preserve"> Wafers are placed under different conditions (e.g., 25°C/60% RH and 40°C/75% RH) for different times to determine drug content, physical appearance, and moisture absorption.</w:t>
      </w:r>
    </w:p>
    <w:p w14:paraId="4FB908E2" w14:textId="77777777" w:rsidR="00AC1535" w:rsidRPr="00963A27" w:rsidRDefault="00C05EE3" w:rsidP="00882252">
      <w:pPr>
        <w:pStyle w:val="ListParagraph"/>
        <w:numPr>
          <w:ilvl w:val="0"/>
          <w:numId w:val="54"/>
        </w:numPr>
        <w:spacing w:line="360" w:lineRule="auto"/>
        <w:contextualSpacing w:val="0"/>
        <w:jc w:val="both"/>
        <w:rPr>
          <w:rFonts w:ascii="Arial" w:hAnsi="Arial" w:cs="Arial"/>
          <w:sz w:val="20"/>
          <w:szCs w:val="20"/>
        </w:rPr>
      </w:pPr>
      <w:r w:rsidRPr="00963A27">
        <w:rPr>
          <w:rFonts w:ascii="Arial" w:hAnsi="Arial" w:cs="Arial"/>
          <w:b/>
          <w:bCs/>
          <w:sz w:val="20"/>
          <w:szCs w:val="20"/>
        </w:rPr>
        <w:t>Photostability Testing:</w:t>
      </w:r>
      <w:r w:rsidRPr="00963A27">
        <w:rPr>
          <w:rFonts w:ascii="Arial" w:hAnsi="Arial" w:cs="Arial"/>
          <w:sz w:val="20"/>
          <w:szCs w:val="20"/>
        </w:rPr>
        <w:t xml:space="preserve"> Guarantees wafers retain their potency upon exposure to light in order to avoid degradation of light-sensitive drugs.</w:t>
      </w:r>
    </w:p>
    <w:p w14:paraId="42CD9EEC" w14:textId="77777777" w:rsidR="00794B4C" w:rsidRDefault="00C05EE3" w:rsidP="00882252">
      <w:pPr>
        <w:pStyle w:val="ListParagraph"/>
        <w:numPr>
          <w:ilvl w:val="0"/>
          <w:numId w:val="54"/>
        </w:numPr>
        <w:spacing w:line="360" w:lineRule="auto"/>
        <w:contextualSpacing w:val="0"/>
        <w:jc w:val="both"/>
        <w:rPr>
          <w:rFonts w:ascii="Arial" w:hAnsi="Arial" w:cs="Arial"/>
          <w:sz w:val="20"/>
          <w:szCs w:val="20"/>
        </w:rPr>
      </w:pPr>
      <w:r w:rsidRPr="00963A27">
        <w:rPr>
          <w:rFonts w:ascii="Arial" w:hAnsi="Arial" w:cs="Arial"/>
          <w:b/>
          <w:bCs/>
          <w:sz w:val="20"/>
          <w:szCs w:val="20"/>
        </w:rPr>
        <w:t>Packaging Considerations:</w:t>
      </w:r>
      <w:r w:rsidRPr="00963A27">
        <w:rPr>
          <w:rFonts w:ascii="Arial" w:hAnsi="Arial" w:cs="Arial"/>
          <w:sz w:val="20"/>
          <w:szCs w:val="20"/>
        </w:rPr>
        <w:t xml:space="preserve"> Wafers are generally packaged in moisture-resistant packaging (</w:t>
      </w:r>
      <w:r w:rsidR="000338C9" w:rsidRPr="00963A27">
        <w:rPr>
          <w:rFonts w:ascii="Arial" w:hAnsi="Arial" w:cs="Arial"/>
          <w:sz w:val="20"/>
          <w:szCs w:val="20"/>
        </w:rPr>
        <w:t>aluminium</w:t>
      </w:r>
      <w:r w:rsidRPr="00963A27">
        <w:rPr>
          <w:rFonts w:ascii="Arial" w:hAnsi="Arial" w:cs="Arial"/>
          <w:sz w:val="20"/>
          <w:szCs w:val="20"/>
        </w:rPr>
        <w:t xml:space="preserve"> foil pouches) to avoid degradation as a result of exposure to the environment.</w:t>
      </w:r>
      <w:r w:rsidR="0061630E" w:rsidRPr="00963A27">
        <w:rPr>
          <w:rFonts w:ascii="Arial" w:hAnsi="Arial" w:cs="Arial"/>
          <w:sz w:val="20"/>
          <w:szCs w:val="20"/>
        </w:rPr>
        <w:t>[57]</w:t>
      </w:r>
    </w:p>
    <w:p w14:paraId="6D3DB833" w14:textId="1F9A0F87" w:rsidR="00794B4C" w:rsidRPr="00794B4C" w:rsidRDefault="00794B4C" w:rsidP="00882252">
      <w:pPr>
        <w:pStyle w:val="ListParagraph"/>
        <w:numPr>
          <w:ilvl w:val="0"/>
          <w:numId w:val="74"/>
        </w:numPr>
        <w:spacing w:line="360" w:lineRule="auto"/>
        <w:ind w:hanging="720"/>
        <w:jc w:val="both"/>
        <w:rPr>
          <w:rFonts w:ascii="Arial" w:hAnsi="Arial" w:cs="Arial"/>
          <w:sz w:val="20"/>
          <w:szCs w:val="20"/>
        </w:rPr>
      </w:pPr>
      <w:r w:rsidRPr="00794B4C">
        <w:rPr>
          <w:rFonts w:ascii="Arial" w:hAnsi="Arial" w:cs="Arial"/>
          <w:b/>
          <w:bCs/>
        </w:rPr>
        <w:lastRenderedPageBreak/>
        <w:t xml:space="preserve">In Vivo Studies </w:t>
      </w:r>
    </w:p>
    <w:p w14:paraId="4262767B" w14:textId="73D07370" w:rsidR="00794B4C" w:rsidRDefault="00794B4C" w:rsidP="00956427">
      <w:pPr>
        <w:pStyle w:val="ListParagraph"/>
        <w:spacing w:line="360" w:lineRule="auto"/>
        <w:jc w:val="both"/>
        <w:rPr>
          <w:rFonts w:ascii="Arial" w:hAnsi="Arial" w:cs="Arial"/>
          <w:b/>
          <w:bCs/>
        </w:rPr>
      </w:pPr>
      <w:r w:rsidRPr="00794B4C">
        <w:rPr>
          <w:rFonts w:ascii="Arial" w:hAnsi="Arial" w:cs="Arial"/>
          <w:b/>
          <w:bCs/>
        </w:rPr>
        <w:t>Importance of In Vivo Studies</w:t>
      </w:r>
    </w:p>
    <w:p w14:paraId="566812D1" w14:textId="77777777" w:rsidR="00794B4C" w:rsidRPr="00794B4C" w:rsidRDefault="00794B4C" w:rsidP="00956427">
      <w:pPr>
        <w:spacing w:line="360" w:lineRule="auto"/>
        <w:ind w:left="720"/>
        <w:jc w:val="both"/>
        <w:rPr>
          <w:rFonts w:ascii="Arial" w:hAnsi="Arial" w:cs="Arial"/>
          <w:sz w:val="20"/>
          <w:szCs w:val="20"/>
        </w:rPr>
      </w:pPr>
      <w:r w:rsidRPr="00794B4C">
        <w:rPr>
          <w:rFonts w:ascii="Arial" w:hAnsi="Arial" w:cs="Arial"/>
          <w:sz w:val="20"/>
          <w:szCs w:val="20"/>
        </w:rPr>
        <w:t>Preclinical in vivo studies are essential to understanding the pharmacokinetics (PK) and pharmacodynamics (PD) of drug formulations before clinical trials. Oral wafer formulations undergo rigorous animal testing to assess drug release, absorption, bioavailability, and systemic circulation. These studies provide critical insights into the effectiveness of the formulation, ensuring that the active pharmaceutical ingredient (API) is efficiently delivered, absorbed, and metabolized before progressing to human trials.</w:t>
      </w:r>
    </w:p>
    <w:p w14:paraId="71A6B65D" w14:textId="77777777" w:rsidR="00794B4C" w:rsidRPr="00794B4C" w:rsidRDefault="00794B4C" w:rsidP="00956427">
      <w:pPr>
        <w:spacing w:line="360" w:lineRule="auto"/>
        <w:ind w:left="720"/>
        <w:jc w:val="both"/>
        <w:rPr>
          <w:rFonts w:ascii="Arial" w:hAnsi="Arial" w:cs="Arial"/>
          <w:sz w:val="20"/>
          <w:szCs w:val="20"/>
        </w:rPr>
      </w:pPr>
      <w:r w:rsidRPr="00794B4C">
        <w:rPr>
          <w:rFonts w:ascii="Arial" w:hAnsi="Arial" w:cs="Arial"/>
          <w:sz w:val="20"/>
          <w:szCs w:val="20"/>
        </w:rPr>
        <w:t>Animal models, including rats, rabbits, and dogs, are commonly used to evaluate the disintegration time, drug release profile, and systemic absorption of oral wafers. Key parameters measured in these studies include:</w:t>
      </w:r>
    </w:p>
    <w:p w14:paraId="23AEF0D8" w14:textId="77777777" w:rsidR="00794B4C" w:rsidRPr="00794B4C" w:rsidRDefault="00794B4C" w:rsidP="00882252">
      <w:pPr>
        <w:numPr>
          <w:ilvl w:val="0"/>
          <w:numId w:val="72"/>
        </w:numPr>
        <w:tabs>
          <w:tab w:val="clear" w:pos="720"/>
          <w:tab w:val="num" w:pos="1014"/>
        </w:tabs>
        <w:spacing w:line="360" w:lineRule="auto"/>
        <w:ind w:left="1014"/>
        <w:jc w:val="both"/>
        <w:rPr>
          <w:rFonts w:ascii="Arial" w:hAnsi="Arial" w:cs="Arial"/>
          <w:sz w:val="20"/>
          <w:szCs w:val="20"/>
        </w:rPr>
      </w:pPr>
      <w:r w:rsidRPr="00794B4C">
        <w:rPr>
          <w:rFonts w:ascii="Arial" w:hAnsi="Arial" w:cs="Arial"/>
          <w:sz w:val="20"/>
          <w:szCs w:val="20"/>
        </w:rPr>
        <w:t>Disintegration time: Evaluates the rapid breakdown of wafers in the oral cavity.</w:t>
      </w:r>
    </w:p>
    <w:p w14:paraId="095A470B" w14:textId="77777777" w:rsidR="00794B4C" w:rsidRPr="00794B4C" w:rsidRDefault="00794B4C" w:rsidP="00882252">
      <w:pPr>
        <w:numPr>
          <w:ilvl w:val="0"/>
          <w:numId w:val="72"/>
        </w:numPr>
        <w:tabs>
          <w:tab w:val="clear" w:pos="720"/>
          <w:tab w:val="num" w:pos="1014"/>
        </w:tabs>
        <w:spacing w:line="360" w:lineRule="auto"/>
        <w:ind w:left="1014"/>
        <w:jc w:val="both"/>
        <w:rPr>
          <w:rFonts w:ascii="Arial" w:hAnsi="Arial" w:cs="Arial"/>
          <w:sz w:val="20"/>
          <w:szCs w:val="20"/>
        </w:rPr>
      </w:pPr>
      <w:r w:rsidRPr="00794B4C">
        <w:rPr>
          <w:rFonts w:ascii="Arial" w:hAnsi="Arial" w:cs="Arial"/>
          <w:sz w:val="20"/>
          <w:szCs w:val="20"/>
        </w:rPr>
        <w:t>Dissolution and absorption profile: Determines the rate at which the drug is released and enters the bloodstream.</w:t>
      </w:r>
    </w:p>
    <w:p w14:paraId="676429CA" w14:textId="77777777" w:rsidR="00794B4C" w:rsidRPr="00794B4C" w:rsidRDefault="00794B4C" w:rsidP="00882252">
      <w:pPr>
        <w:numPr>
          <w:ilvl w:val="0"/>
          <w:numId w:val="72"/>
        </w:numPr>
        <w:tabs>
          <w:tab w:val="clear" w:pos="720"/>
          <w:tab w:val="num" w:pos="1014"/>
        </w:tabs>
        <w:spacing w:line="360" w:lineRule="auto"/>
        <w:ind w:left="1014"/>
        <w:jc w:val="both"/>
        <w:rPr>
          <w:rFonts w:ascii="Arial" w:hAnsi="Arial" w:cs="Arial"/>
          <w:sz w:val="20"/>
          <w:szCs w:val="20"/>
        </w:rPr>
      </w:pPr>
      <w:r w:rsidRPr="00794B4C">
        <w:rPr>
          <w:rFonts w:ascii="Arial" w:hAnsi="Arial" w:cs="Arial"/>
          <w:sz w:val="20"/>
          <w:szCs w:val="20"/>
        </w:rPr>
        <w:t>Mucosal adhesion and retention time: Assesses how well mucoadhesive wafers adhere to oral tissues, ensuring sustained drug release.</w:t>
      </w:r>
    </w:p>
    <w:p w14:paraId="2895613B" w14:textId="6BC0B26A" w:rsidR="00794B4C" w:rsidRDefault="00794B4C" w:rsidP="00882252">
      <w:pPr>
        <w:numPr>
          <w:ilvl w:val="0"/>
          <w:numId w:val="72"/>
        </w:numPr>
        <w:tabs>
          <w:tab w:val="clear" w:pos="720"/>
          <w:tab w:val="num" w:pos="1014"/>
        </w:tabs>
        <w:spacing w:line="360" w:lineRule="auto"/>
        <w:ind w:left="1014"/>
        <w:jc w:val="both"/>
        <w:rPr>
          <w:rFonts w:ascii="Arial" w:hAnsi="Arial" w:cs="Arial"/>
          <w:sz w:val="20"/>
          <w:szCs w:val="20"/>
        </w:rPr>
      </w:pPr>
      <w:r w:rsidRPr="00794B4C">
        <w:rPr>
          <w:rFonts w:ascii="Arial" w:hAnsi="Arial" w:cs="Arial"/>
          <w:sz w:val="20"/>
          <w:szCs w:val="20"/>
        </w:rPr>
        <w:t>Bioavailability studies: Compare systemic drug absorption in oral wafers versus traditional dosage forms</w:t>
      </w:r>
      <w:r>
        <w:rPr>
          <w:rFonts w:ascii="Arial" w:hAnsi="Arial" w:cs="Arial"/>
          <w:sz w:val="20"/>
          <w:szCs w:val="20"/>
        </w:rPr>
        <w:t>.</w:t>
      </w:r>
      <w:r w:rsidR="000D69B7">
        <w:rPr>
          <w:rFonts w:ascii="Arial" w:hAnsi="Arial" w:cs="Arial"/>
          <w:sz w:val="20"/>
          <w:szCs w:val="20"/>
        </w:rPr>
        <w:t>[58]</w:t>
      </w:r>
    </w:p>
    <w:p w14:paraId="3880458F" w14:textId="77777777" w:rsidR="007041D7" w:rsidRDefault="007041D7" w:rsidP="00956427">
      <w:pPr>
        <w:spacing w:line="360" w:lineRule="auto"/>
        <w:ind w:left="654"/>
        <w:jc w:val="both"/>
        <w:rPr>
          <w:rFonts w:ascii="Arial" w:hAnsi="Arial" w:cs="Arial"/>
          <w:sz w:val="20"/>
          <w:szCs w:val="20"/>
        </w:rPr>
      </w:pPr>
      <w:r w:rsidRPr="007041D7">
        <w:rPr>
          <w:rFonts w:ascii="Arial" w:hAnsi="Arial" w:cs="Arial"/>
          <w:sz w:val="20"/>
          <w:szCs w:val="20"/>
        </w:rPr>
        <w:t>Recent preclinical studies have demonstrated the efficacy of oral wafers in improving drug bioavailability and patient compliance. For instance:</w:t>
      </w:r>
    </w:p>
    <w:p w14:paraId="43C203C8" w14:textId="11F28178" w:rsidR="007041D7" w:rsidRPr="007041D7" w:rsidRDefault="007041D7" w:rsidP="00882252">
      <w:pPr>
        <w:pStyle w:val="ListParagraph"/>
        <w:numPr>
          <w:ilvl w:val="0"/>
          <w:numId w:val="75"/>
        </w:numPr>
        <w:spacing w:line="360" w:lineRule="auto"/>
        <w:ind w:left="1374"/>
        <w:jc w:val="both"/>
        <w:rPr>
          <w:rFonts w:ascii="Arial" w:hAnsi="Arial" w:cs="Arial"/>
          <w:sz w:val="20"/>
          <w:szCs w:val="20"/>
        </w:rPr>
      </w:pPr>
      <w:bookmarkStart w:id="3" w:name="_Hlk194379381"/>
      <w:r w:rsidRPr="007041D7">
        <w:rPr>
          <w:rFonts w:ascii="Arial" w:hAnsi="Arial" w:cs="Arial"/>
          <w:b/>
          <w:bCs/>
          <w:sz w:val="20"/>
          <w:szCs w:val="20"/>
        </w:rPr>
        <w:t>Case study 1:</w:t>
      </w:r>
      <w:r>
        <w:rPr>
          <w:rFonts w:ascii="Arial" w:hAnsi="Arial" w:cs="Arial"/>
          <w:sz w:val="20"/>
          <w:szCs w:val="20"/>
        </w:rPr>
        <w:t xml:space="preserve"> </w:t>
      </w:r>
      <w:bookmarkEnd w:id="3"/>
      <w:r w:rsidRPr="007041D7">
        <w:rPr>
          <w:rFonts w:ascii="Arial" w:hAnsi="Arial" w:cs="Arial"/>
          <w:sz w:val="20"/>
          <w:szCs w:val="20"/>
        </w:rPr>
        <w:t xml:space="preserve">Fentanyl, a potent opioid analgesic, was formulated as a sublingual wafer using a freeze-drying technique to enhance bioavailability and ensure rapid pain relief. The formulation, containing sodium carboxymethylcellulose and amylogum as matrix formers, was evaluated for uniformity, dissolution rate, and structural properties using SEM and XRD. In vitro studies showed that 90% of the drug dissolved within a minute, while in vivo pharmacokinetic analysis in 11 opioid-naïve female patients revealed detectable plasma levels within 3.5 minutes, with peak concentration occurring between 61.5 and 67 minutes. The wafer demonstrated a median absolute bioavailability of 53%, highlighting its potential as a fast-acting sublingual pain management option. </w:t>
      </w:r>
      <w:r w:rsidR="000D69B7">
        <w:rPr>
          <w:rFonts w:ascii="Arial" w:hAnsi="Arial" w:cs="Arial"/>
          <w:sz w:val="20"/>
          <w:szCs w:val="20"/>
        </w:rPr>
        <w:t>[59]</w:t>
      </w:r>
    </w:p>
    <w:p w14:paraId="22362F1A" w14:textId="080A0B33" w:rsidR="007041D7" w:rsidRPr="007041D7" w:rsidRDefault="007041D7" w:rsidP="00882252">
      <w:pPr>
        <w:pStyle w:val="ListParagraph"/>
        <w:numPr>
          <w:ilvl w:val="0"/>
          <w:numId w:val="75"/>
        </w:numPr>
        <w:spacing w:line="360" w:lineRule="auto"/>
        <w:ind w:left="1374"/>
        <w:jc w:val="both"/>
        <w:rPr>
          <w:rFonts w:ascii="Arial" w:hAnsi="Arial" w:cs="Arial"/>
          <w:sz w:val="20"/>
          <w:szCs w:val="20"/>
        </w:rPr>
      </w:pPr>
      <w:r w:rsidRPr="007041D7">
        <w:rPr>
          <w:rFonts w:ascii="Arial" w:hAnsi="Arial" w:cs="Arial"/>
          <w:b/>
          <w:bCs/>
          <w:sz w:val="20"/>
          <w:szCs w:val="20"/>
        </w:rPr>
        <w:t xml:space="preserve">Case study </w:t>
      </w:r>
      <w:r>
        <w:rPr>
          <w:rFonts w:ascii="Arial" w:hAnsi="Arial" w:cs="Arial"/>
          <w:b/>
          <w:bCs/>
          <w:sz w:val="20"/>
          <w:szCs w:val="20"/>
        </w:rPr>
        <w:t>2</w:t>
      </w:r>
      <w:r w:rsidRPr="007041D7">
        <w:rPr>
          <w:rFonts w:ascii="Arial" w:hAnsi="Arial" w:cs="Arial"/>
          <w:sz w:val="20"/>
          <w:szCs w:val="20"/>
        </w:rPr>
        <w:t xml:space="preserve">: Another study focused on the development of an ultra-fast disintegrating wafer (U-D-WAF) loaded with diphenhydramine hydrochloride (DPH) for rapid </w:t>
      </w:r>
      <w:r w:rsidR="00F21D13" w:rsidRPr="007041D7">
        <w:rPr>
          <w:rFonts w:ascii="Arial" w:hAnsi="Arial" w:cs="Arial"/>
          <w:sz w:val="20"/>
          <w:szCs w:val="20"/>
        </w:rPr>
        <w:t>Or</w:t>
      </w:r>
      <w:r w:rsidR="00F21D13">
        <w:rPr>
          <w:rFonts w:ascii="Arial" w:hAnsi="Arial" w:cs="Arial"/>
          <w:sz w:val="20"/>
          <w:szCs w:val="20"/>
        </w:rPr>
        <w:t>o-</w:t>
      </w:r>
      <w:r w:rsidRPr="007041D7">
        <w:rPr>
          <w:rFonts w:ascii="Arial" w:hAnsi="Arial" w:cs="Arial"/>
          <w:sz w:val="20"/>
          <w:szCs w:val="20"/>
        </w:rPr>
        <w:t xml:space="preserve">mucosal drug delivery. A blend of </w:t>
      </w:r>
      <w:r w:rsidR="00F21D13" w:rsidRPr="007041D7">
        <w:rPr>
          <w:rFonts w:ascii="Arial" w:hAnsi="Arial" w:cs="Arial"/>
          <w:sz w:val="20"/>
          <w:szCs w:val="20"/>
        </w:rPr>
        <w:t>hydroxypropyl cellulose</w:t>
      </w:r>
      <w:r w:rsidRPr="007041D7">
        <w:rPr>
          <w:rFonts w:ascii="Arial" w:hAnsi="Arial" w:cs="Arial"/>
          <w:sz w:val="20"/>
          <w:szCs w:val="20"/>
        </w:rPr>
        <w:t xml:space="preserve">, poly(acrylic) acid, sodium starch glycolate, and beta-cyclodextrin was optimized using a Box-Behnken experimental design. The formulation achieved a mean drug entrapment efficiency of 72.96%, with disintegration occurring in 29.33 seconds and 86.32% of the drug being </w:t>
      </w:r>
      <w:r w:rsidRPr="007041D7">
        <w:rPr>
          <w:rFonts w:ascii="Arial" w:hAnsi="Arial" w:cs="Arial"/>
          <w:sz w:val="20"/>
          <w:szCs w:val="20"/>
        </w:rPr>
        <w:lastRenderedPageBreak/>
        <w:t>released within 60 seconds. Ex vivo permeation studies confirmed rapid drug absorption through buccal tissue, and in vivo evaluation in the Large White Pig model showed a C</w:t>
      </w:r>
      <w:r w:rsidRPr="00F21D13">
        <w:rPr>
          <w:rFonts w:ascii="Arial" w:hAnsi="Arial" w:cs="Arial"/>
          <w:sz w:val="20"/>
          <w:szCs w:val="20"/>
          <w:vertAlign w:val="subscript"/>
        </w:rPr>
        <w:t>max</w:t>
      </w:r>
      <w:r w:rsidRPr="007041D7">
        <w:rPr>
          <w:rFonts w:ascii="Arial" w:hAnsi="Arial" w:cs="Arial"/>
          <w:sz w:val="20"/>
          <w:szCs w:val="20"/>
        </w:rPr>
        <w:t xml:space="preserve"> of 59 mg/L within 300 seconds, confirming the wafer's suitability for immediate symptom relief through </w:t>
      </w:r>
      <w:r w:rsidR="00F21D13" w:rsidRPr="007041D7">
        <w:rPr>
          <w:rFonts w:ascii="Arial" w:hAnsi="Arial" w:cs="Arial"/>
          <w:sz w:val="20"/>
          <w:szCs w:val="20"/>
        </w:rPr>
        <w:t>Or</w:t>
      </w:r>
      <w:r w:rsidR="00F21D13">
        <w:rPr>
          <w:rFonts w:ascii="Arial" w:hAnsi="Arial" w:cs="Arial"/>
          <w:sz w:val="20"/>
          <w:szCs w:val="20"/>
        </w:rPr>
        <w:t>o-</w:t>
      </w:r>
      <w:r w:rsidRPr="007041D7">
        <w:rPr>
          <w:rFonts w:ascii="Arial" w:hAnsi="Arial" w:cs="Arial"/>
          <w:sz w:val="20"/>
          <w:szCs w:val="20"/>
        </w:rPr>
        <w:t xml:space="preserve">mucosal absorption. </w:t>
      </w:r>
      <w:r w:rsidR="000D69B7">
        <w:rPr>
          <w:rFonts w:ascii="Arial" w:hAnsi="Arial" w:cs="Arial"/>
          <w:sz w:val="20"/>
          <w:szCs w:val="20"/>
        </w:rPr>
        <w:t>[60]</w:t>
      </w:r>
      <w:r w:rsidRPr="007041D7">
        <w:rPr>
          <w:rFonts w:ascii="Arial" w:hAnsi="Arial" w:cs="Arial"/>
          <w:sz w:val="20"/>
          <w:szCs w:val="20"/>
        </w:rPr>
        <w:t xml:space="preserve"> </w:t>
      </w:r>
    </w:p>
    <w:p w14:paraId="6679635F" w14:textId="7C1F6882" w:rsidR="007041D7" w:rsidRPr="007041D7" w:rsidRDefault="007041D7" w:rsidP="00882252">
      <w:pPr>
        <w:pStyle w:val="ListParagraph"/>
        <w:numPr>
          <w:ilvl w:val="0"/>
          <w:numId w:val="75"/>
        </w:numPr>
        <w:spacing w:line="360" w:lineRule="auto"/>
        <w:ind w:left="1374"/>
        <w:jc w:val="both"/>
        <w:rPr>
          <w:rFonts w:ascii="Arial" w:hAnsi="Arial" w:cs="Arial"/>
          <w:sz w:val="20"/>
          <w:szCs w:val="20"/>
        </w:rPr>
      </w:pPr>
      <w:r w:rsidRPr="007041D7">
        <w:rPr>
          <w:rFonts w:ascii="Arial" w:hAnsi="Arial" w:cs="Arial"/>
          <w:b/>
          <w:bCs/>
          <w:sz w:val="20"/>
          <w:szCs w:val="20"/>
        </w:rPr>
        <w:t>Case study 3:</w:t>
      </w:r>
      <w:r w:rsidRPr="007041D7">
        <w:rPr>
          <w:rFonts w:ascii="Arial" w:hAnsi="Arial" w:cs="Arial"/>
          <w:sz w:val="20"/>
          <w:szCs w:val="20"/>
        </w:rPr>
        <w:t xml:space="preserve"> Berberine-loaded wafers were designed for the treatment of chemotherapy-induced oral mucositis using lyophilized hydrogels containing chitosan/sodium alginate (CS-SA) and chitosan/hydroxypropyl methylcellulose (CS-HPMC). These formulations exhibited sustained drug release, excellent mucoadhesion, and a porous structure as confirmed by SEM analysis. XRD and FTIR studies indicated that berberine was incorporated in an amorphous form, improving solubility and bioavailability. In vivo evaluation in a 5-Fluorouracil-induced oral mucositis rat model demonstrated that the optimized wafers significantly reduced mucositis severity and inflammatory marker expression (TNF-α and IL-1β). The findings suggest that berberine-loaded wafers could provide an effective localized treatment for chemotherapy-related oral mucositis, enhancing therapeutic outcomes while minimizing systemic side effects. </w:t>
      </w:r>
      <w:r w:rsidR="000D69B7">
        <w:rPr>
          <w:rFonts w:ascii="Arial" w:hAnsi="Arial" w:cs="Arial"/>
          <w:sz w:val="20"/>
          <w:szCs w:val="20"/>
        </w:rPr>
        <w:t>[61]</w:t>
      </w:r>
    </w:p>
    <w:p w14:paraId="5F85BFBA" w14:textId="01FB8373" w:rsidR="00794B4C" w:rsidRPr="00794B4C" w:rsidRDefault="007041D7" w:rsidP="000D69B7">
      <w:pPr>
        <w:tabs>
          <w:tab w:val="left" w:pos="426"/>
        </w:tabs>
        <w:spacing w:line="360" w:lineRule="auto"/>
        <w:ind w:left="360"/>
        <w:jc w:val="both"/>
        <w:rPr>
          <w:rFonts w:ascii="Arial" w:hAnsi="Arial" w:cs="Arial"/>
          <w:sz w:val="20"/>
          <w:szCs w:val="20"/>
        </w:rPr>
      </w:pPr>
      <w:r w:rsidRPr="007041D7">
        <w:rPr>
          <w:rFonts w:ascii="Arial" w:hAnsi="Arial" w:cs="Arial"/>
          <w:sz w:val="20"/>
          <w:szCs w:val="20"/>
        </w:rPr>
        <w:t>These case studies illustrate the advancements in oral wafer formulations, demonstrating their potential in achieving rapid drug delivery, improved patient compliance, and enhanced therapeutic efficacy across various medical applications.</w:t>
      </w:r>
    </w:p>
    <w:p w14:paraId="7CD3E0A0" w14:textId="00780287" w:rsidR="00D54F02" w:rsidRPr="00963A27" w:rsidRDefault="0058004C" w:rsidP="00882252">
      <w:pPr>
        <w:pStyle w:val="Title"/>
        <w:numPr>
          <w:ilvl w:val="0"/>
          <w:numId w:val="12"/>
        </w:numPr>
        <w:spacing w:line="360" w:lineRule="auto"/>
        <w:contextualSpacing w:val="0"/>
        <w:jc w:val="both"/>
        <w:rPr>
          <w:rFonts w:ascii="Arial" w:hAnsi="Arial" w:cs="Arial"/>
          <w:sz w:val="22"/>
          <w:szCs w:val="22"/>
        </w:rPr>
      </w:pPr>
      <w:r w:rsidRPr="00963A27">
        <w:rPr>
          <w:rFonts w:ascii="Arial" w:hAnsi="Arial" w:cs="Arial"/>
          <w:sz w:val="22"/>
          <w:szCs w:val="22"/>
        </w:rPr>
        <w:t>RECENT PROGRESS IN ORAL WAFER TECHNOLOGY</w:t>
      </w:r>
    </w:p>
    <w:p w14:paraId="2E733B99" w14:textId="6A3F5825" w:rsidR="009B51EB" w:rsidRPr="00963A27" w:rsidRDefault="00461252" w:rsidP="00956427">
      <w:pPr>
        <w:pStyle w:val="Title"/>
        <w:spacing w:line="360" w:lineRule="auto"/>
        <w:ind w:left="360"/>
        <w:contextualSpacing w:val="0"/>
        <w:jc w:val="both"/>
        <w:rPr>
          <w:rFonts w:ascii="Arial" w:hAnsi="Arial" w:cs="Arial"/>
          <w:b w:val="0"/>
          <w:bCs/>
          <w:sz w:val="20"/>
          <w:szCs w:val="20"/>
        </w:rPr>
      </w:pPr>
      <w:r w:rsidRPr="00963A27">
        <w:rPr>
          <w:rFonts w:ascii="Arial" w:hAnsi="Arial" w:cs="Arial"/>
          <w:b w:val="0"/>
          <w:bCs/>
          <w:sz w:val="20"/>
          <w:szCs w:val="20"/>
        </w:rPr>
        <w:t>Recent advancements in oral wafer technology have focused on enhancing drug solubility, prolonging retention at the absorption site, optimizing formulations. These innovations collectively aim to improve therapeutic outcomes and patient compliance</w:t>
      </w:r>
      <w:r w:rsidR="00790E12" w:rsidRPr="00963A27">
        <w:rPr>
          <w:rFonts w:ascii="Arial" w:hAnsi="Arial" w:cs="Arial"/>
          <w:b w:val="0"/>
          <w:bCs/>
          <w:sz w:val="20"/>
          <w:szCs w:val="20"/>
        </w:rPr>
        <w:t>.</w:t>
      </w:r>
    </w:p>
    <w:p w14:paraId="447B0B8A" w14:textId="3B30AD39" w:rsidR="00BD301D" w:rsidRPr="00963A27" w:rsidRDefault="00ED6FE8" w:rsidP="00956427">
      <w:pPr>
        <w:pStyle w:val="Title"/>
        <w:spacing w:line="360" w:lineRule="auto"/>
        <w:ind w:left="360"/>
        <w:contextualSpacing w:val="0"/>
        <w:jc w:val="both"/>
        <w:rPr>
          <w:rFonts w:ascii="Arial" w:hAnsi="Arial" w:cs="Arial"/>
          <w:b w:val="0"/>
          <w:bCs/>
          <w:sz w:val="20"/>
          <w:szCs w:val="20"/>
        </w:rPr>
      </w:pPr>
      <w:r w:rsidRPr="00963A27">
        <w:rPr>
          <w:rFonts w:ascii="Arial" w:hAnsi="Arial" w:cs="Arial"/>
          <w:b w:val="0"/>
          <w:bCs/>
          <w:sz w:val="20"/>
          <w:szCs w:val="20"/>
        </w:rPr>
        <w:t>There has been notable progress in oral wafer technology in the last few years, especially in drug delivery systems. The innovations have improved the solubility of drugs, increased patient compliance, and facilitated personalized medication strategies. This section discusses some of the most important developments in the field</w:t>
      </w:r>
      <w:r w:rsidR="00944C8F" w:rsidRPr="00963A27">
        <w:rPr>
          <w:rFonts w:ascii="Arial" w:hAnsi="Arial" w:cs="Arial"/>
          <w:b w:val="0"/>
          <w:bCs/>
          <w:sz w:val="20"/>
          <w:szCs w:val="20"/>
        </w:rPr>
        <w:t>.</w:t>
      </w:r>
      <w:r w:rsidRPr="00963A27">
        <w:rPr>
          <w:rFonts w:ascii="Arial" w:hAnsi="Arial" w:cs="Arial"/>
          <w:b w:val="0"/>
          <w:bCs/>
          <w:sz w:val="20"/>
          <w:szCs w:val="20"/>
        </w:rPr>
        <w:t xml:space="preserve"> </w:t>
      </w:r>
    </w:p>
    <w:p w14:paraId="2823A555" w14:textId="6273FF81" w:rsidR="005E5A20" w:rsidRPr="00963A27" w:rsidRDefault="00ED6FE8" w:rsidP="00956427">
      <w:pPr>
        <w:pStyle w:val="ListParagraph"/>
        <w:spacing w:before="240" w:line="360" w:lineRule="auto"/>
        <w:ind w:left="0" w:firstLine="360"/>
        <w:contextualSpacing w:val="0"/>
        <w:jc w:val="both"/>
        <w:rPr>
          <w:rFonts w:ascii="Arial" w:hAnsi="Arial" w:cs="Arial"/>
          <w:b/>
        </w:rPr>
      </w:pPr>
      <w:r w:rsidRPr="00963A27">
        <w:rPr>
          <w:rFonts w:ascii="Arial" w:hAnsi="Arial" w:cs="Arial"/>
          <w:b/>
        </w:rPr>
        <w:t>Nanotechnology-Integrated Oral Wafers</w:t>
      </w:r>
    </w:p>
    <w:p w14:paraId="1A98926B" w14:textId="5F6F5519" w:rsidR="00ED6FE8" w:rsidRPr="00963A27" w:rsidRDefault="00ED6FE8" w:rsidP="00956427">
      <w:pPr>
        <w:pStyle w:val="ListParagraph"/>
        <w:spacing w:line="360" w:lineRule="auto"/>
        <w:ind w:left="426"/>
        <w:contextualSpacing w:val="0"/>
        <w:jc w:val="both"/>
        <w:rPr>
          <w:rFonts w:ascii="Arial" w:hAnsi="Arial" w:cs="Arial"/>
          <w:sz w:val="20"/>
          <w:szCs w:val="20"/>
        </w:rPr>
      </w:pPr>
      <w:r w:rsidRPr="00963A27">
        <w:rPr>
          <w:rFonts w:ascii="Arial" w:hAnsi="Arial" w:cs="Arial"/>
          <w:sz w:val="20"/>
          <w:szCs w:val="20"/>
        </w:rPr>
        <w:t xml:space="preserve">Nanotechnology has transformed oral wafer technology through enhanced drug solubility and bioavailability. A majority of drugs have poor aqueous solubility, which results in poor absorption and </w:t>
      </w:r>
      <w:r w:rsidR="00253194" w:rsidRPr="00963A27">
        <w:rPr>
          <w:rFonts w:ascii="Arial" w:hAnsi="Arial" w:cs="Arial"/>
          <w:sz w:val="20"/>
          <w:szCs w:val="20"/>
        </w:rPr>
        <w:t>under optimal</w:t>
      </w:r>
      <w:r w:rsidRPr="00963A27">
        <w:rPr>
          <w:rFonts w:ascii="Arial" w:hAnsi="Arial" w:cs="Arial"/>
          <w:sz w:val="20"/>
          <w:szCs w:val="20"/>
        </w:rPr>
        <w:t xml:space="preserve"> therapeutic effects. The use of drug nanoparticles in oral wafers solves this problem.</w:t>
      </w:r>
      <w:r w:rsidR="00F566FE" w:rsidRPr="00963A27">
        <w:rPr>
          <w:rFonts w:ascii="Arial" w:hAnsi="Arial" w:cs="Arial"/>
          <w:sz w:val="20"/>
          <w:szCs w:val="20"/>
        </w:rPr>
        <w:t>[</w:t>
      </w:r>
      <w:r w:rsidR="000D69B7">
        <w:rPr>
          <w:rFonts w:ascii="Arial" w:hAnsi="Arial" w:cs="Arial"/>
          <w:sz w:val="20"/>
          <w:szCs w:val="20"/>
        </w:rPr>
        <w:t>62</w:t>
      </w:r>
      <w:r w:rsidR="00F566FE" w:rsidRPr="00963A27">
        <w:rPr>
          <w:rFonts w:ascii="Arial" w:hAnsi="Arial" w:cs="Arial"/>
          <w:sz w:val="20"/>
          <w:szCs w:val="20"/>
        </w:rPr>
        <w:t>]</w:t>
      </w:r>
      <w:r w:rsidR="00374598" w:rsidRPr="00963A27">
        <w:rPr>
          <w:rFonts w:ascii="Arial" w:hAnsi="Arial" w:cs="Arial"/>
          <w:sz w:val="20"/>
          <w:szCs w:val="20"/>
        </w:rPr>
        <w:t xml:space="preserve"> [</w:t>
      </w:r>
      <w:r w:rsidR="000D69B7">
        <w:rPr>
          <w:rFonts w:ascii="Arial" w:hAnsi="Arial" w:cs="Arial"/>
          <w:sz w:val="20"/>
          <w:szCs w:val="20"/>
        </w:rPr>
        <w:t>63</w:t>
      </w:r>
      <w:r w:rsidR="00374598" w:rsidRPr="00963A27">
        <w:rPr>
          <w:rFonts w:ascii="Arial" w:hAnsi="Arial" w:cs="Arial"/>
          <w:sz w:val="20"/>
          <w:szCs w:val="20"/>
        </w:rPr>
        <w:t>]</w:t>
      </w:r>
      <w:r w:rsidR="00D446B8" w:rsidRPr="00963A27">
        <w:rPr>
          <w:rFonts w:ascii="Arial" w:hAnsi="Arial" w:cs="Arial"/>
          <w:sz w:val="20"/>
          <w:szCs w:val="20"/>
        </w:rPr>
        <w:t xml:space="preserve"> [6</w:t>
      </w:r>
      <w:r w:rsidR="000D69B7">
        <w:rPr>
          <w:rFonts w:ascii="Arial" w:hAnsi="Arial" w:cs="Arial"/>
          <w:sz w:val="20"/>
          <w:szCs w:val="20"/>
        </w:rPr>
        <w:t>4</w:t>
      </w:r>
      <w:r w:rsidR="00D446B8" w:rsidRPr="00963A27">
        <w:rPr>
          <w:rFonts w:ascii="Arial" w:hAnsi="Arial" w:cs="Arial"/>
          <w:sz w:val="20"/>
          <w:szCs w:val="20"/>
        </w:rPr>
        <w:t>]</w:t>
      </w:r>
    </w:p>
    <w:p w14:paraId="2D51A722" w14:textId="23D3F07E" w:rsidR="00ED6FE8" w:rsidRPr="00963A27" w:rsidRDefault="00ED6FE8" w:rsidP="00956427">
      <w:pPr>
        <w:pStyle w:val="ListParagraph"/>
        <w:spacing w:line="360" w:lineRule="auto"/>
        <w:ind w:left="426"/>
        <w:contextualSpacing w:val="0"/>
        <w:jc w:val="both"/>
        <w:rPr>
          <w:rFonts w:ascii="Arial" w:hAnsi="Arial" w:cs="Arial"/>
          <w:b/>
          <w:sz w:val="20"/>
          <w:szCs w:val="20"/>
        </w:rPr>
      </w:pPr>
      <w:r w:rsidRPr="00963A27">
        <w:rPr>
          <w:rFonts w:ascii="Arial" w:hAnsi="Arial" w:cs="Arial"/>
          <w:b/>
          <w:sz w:val="20"/>
          <w:szCs w:val="20"/>
        </w:rPr>
        <w:t>Application of Drug Nanoparticles for Enhanced Solubility</w:t>
      </w:r>
    </w:p>
    <w:p w14:paraId="0ED2AAA9" w14:textId="1C87C7A8" w:rsidR="00ED6FE8" w:rsidRPr="00963A27" w:rsidRDefault="00ED6FE8" w:rsidP="00882252">
      <w:pPr>
        <w:pStyle w:val="ListParagraph"/>
        <w:numPr>
          <w:ilvl w:val="0"/>
          <w:numId w:val="14"/>
        </w:numPr>
        <w:spacing w:line="360" w:lineRule="auto"/>
        <w:ind w:left="426" w:firstLine="0"/>
        <w:contextualSpacing w:val="0"/>
        <w:jc w:val="both"/>
        <w:rPr>
          <w:rFonts w:ascii="Arial" w:hAnsi="Arial" w:cs="Arial"/>
          <w:sz w:val="20"/>
          <w:szCs w:val="20"/>
        </w:rPr>
      </w:pPr>
      <w:r w:rsidRPr="00963A27">
        <w:rPr>
          <w:rFonts w:ascii="Arial" w:hAnsi="Arial" w:cs="Arial"/>
          <w:sz w:val="20"/>
          <w:szCs w:val="20"/>
        </w:rPr>
        <w:t>Nanoparticles enhance the surface area of the drug, thereby increasing its dissolution rate.</w:t>
      </w:r>
    </w:p>
    <w:p w14:paraId="1E3BFFA4" w14:textId="7C2E23E3" w:rsidR="00ED6FE8" w:rsidRPr="00963A27" w:rsidRDefault="00ED6FE8" w:rsidP="00882252">
      <w:pPr>
        <w:pStyle w:val="ListParagraph"/>
        <w:numPr>
          <w:ilvl w:val="0"/>
          <w:numId w:val="14"/>
        </w:numPr>
        <w:spacing w:line="360" w:lineRule="auto"/>
        <w:ind w:left="426" w:firstLine="0"/>
        <w:contextualSpacing w:val="0"/>
        <w:jc w:val="both"/>
        <w:rPr>
          <w:rFonts w:ascii="Arial" w:hAnsi="Arial" w:cs="Arial"/>
          <w:sz w:val="20"/>
          <w:szCs w:val="20"/>
        </w:rPr>
      </w:pPr>
      <w:r w:rsidRPr="00963A27">
        <w:rPr>
          <w:rFonts w:ascii="Arial" w:hAnsi="Arial" w:cs="Arial"/>
          <w:sz w:val="20"/>
          <w:szCs w:val="20"/>
        </w:rPr>
        <w:t>They enable easier penetration of the drug through biological membranes.</w:t>
      </w:r>
      <w:r w:rsidR="00D446B8" w:rsidRPr="00963A27">
        <w:rPr>
          <w:rFonts w:ascii="Arial" w:hAnsi="Arial" w:cs="Arial"/>
          <w:sz w:val="20"/>
          <w:szCs w:val="20"/>
        </w:rPr>
        <w:t xml:space="preserve"> </w:t>
      </w:r>
    </w:p>
    <w:p w14:paraId="1971F9C6" w14:textId="7000F784" w:rsidR="00460AA3" w:rsidRPr="00963A27" w:rsidRDefault="00655C42" w:rsidP="00956427">
      <w:pPr>
        <w:spacing w:line="360" w:lineRule="auto"/>
        <w:ind w:left="426"/>
        <w:jc w:val="both"/>
        <w:rPr>
          <w:rFonts w:ascii="Arial" w:hAnsi="Arial" w:cs="Arial"/>
          <w:sz w:val="20"/>
          <w:szCs w:val="20"/>
        </w:rPr>
      </w:pPr>
      <w:r w:rsidRPr="00963A27">
        <w:rPr>
          <w:rFonts w:ascii="Arial" w:hAnsi="Arial" w:cs="Arial"/>
          <w:b/>
          <w:bCs/>
          <w:sz w:val="20"/>
          <w:szCs w:val="20"/>
        </w:rPr>
        <w:lastRenderedPageBreak/>
        <w:t>Examples-</w:t>
      </w:r>
      <w:r w:rsidR="00460AA3" w:rsidRPr="00963A27">
        <w:rPr>
          <w:rFonts w:ascii="Arial" w:hAnsi="Arial" w:cs="Arial"/>
          <w:sz w:val="20"/>
          <w:szCs w:val="20"/>
        </w:rPr>
        <w:t xml:space="preserve"> </w:t>
      </w:r>
      <w:r w:rsidR="00C36A09" w:rsidRPr="00963A27">
        <w:rPr>
          <w:rFonts w:ascii="Arial" w:hAnsi="Arial" w:cs="Arial"/>
          <w:sz w:val="20"/>
          <w:szCs w:val="20"/>
        </w:rPr>
        <w:t>The</w:t>
      </w:r>
      <w:r w:rsidR="00812326" w:rsidRPr="00963A27">
        <w:rPr>
          <w:rFonts w:ascii="Arial" w:hAnsi="Arial" w:cs="Arial"/>
          <w:sz w:val="20"/>
          <w:szCs w:val="20"/>
        </w:rPr>
        <w:t xml:space="preserve"> </w:t>
      </w:r>
      <w:r w:rsidR="00C36A09" w:rsidRPr="00963A27">
        <w:rPr>
          <w:rFonts w:ascii="Arial" w:hAnsi="Arial" w:cs="Arial"/>
          <w:sz w:val="20"/>
          <w:szCs w:val="20"/>
        </w:rPr>
        <w:t>anti-hypertensive</w:t>
      </w:r>
      <w:r w:rsidR="00812326" w:rsidRPr="00963A27">
        <w:rPr>
          <w:rFonts w:ascii="Arial" w:hAnsi="Arial" w:cs="Arial"/>
          <w:sz w:val="20"/>
          <w:szCs w:val="20"/>
        </w:rPr>
        <w:t xml:space="preserve"> </w:t>
      </w:r>
      <w:r w:rsidR="00C36A09" w:rsidRPr="00963A27">
        <w:rPr>
          <w:rFonts w:ascii="Arial" w:hAnsi="Arial" w:cs="Arial"/>
          <w:sz w:val="20"/>
          <w:szCs w:val="20"/>
        </w:rPr>
        <w:t xml:space="preserve">drug </w:t>
      </w:r>
      <w:r w:rsidR="00460AA3" w:rsidRPr="00963A27">
        <w:rPr>
          <w:rFonts w:ascii="Arial" w:hAnsi="Arial" w:cs="Arial"/>
          <w:sz w:val="20"/>
          <w:szCs w:val="20"/>
        </w:rPr>
        <w:t>Carvedilol-loaded nano-spanlastic-based wafers are a potential solution for improving trans-buccal drug delivery effectiveness.</w:t>
      </w:r>
      <w:r w:rsidR="00D446B8" w:rsidRPr="00963A27">
        <w:rPr>
          <w:rFonts w:ascii="Arial" w:hAnsi="Arial" w:cs="Arial"/>
          <w:sz w:val="20"/>
          <w:szCs w:val="20"/>
        </w:rPr>
        <w:t xml:space="preserve"> </w:t>
      </w:r>
      <w:r w:rsidR="0048199B" w:rsidRPr="00963A27">
        <w:rPr>
          <w:rFonts w:ascii="Arial" w:hAnsi="Arial" w:cs="Arial"/>
          <w:sz w:val="20"/>
          <w:szCs w:val="20"/>
        </w:rPr>
        <w:t>[6</w:t>
      </w:r>
      <w:r w:rsidR="00E71449">
        <w:rPr>
          <w:rFonts w:ascii="Arial" w:hAnsi="Arial" w:cs="Arial"/>
          <w:sz w:val="20"/>
          <w:szCs w:val="20"/>
        </w:rPr>
        <w:t>5</w:t>
      </w:r>
      <w:r w:rsidR="000D69B7">
        <w:rPr>
          <w:rFonts w:ascii="Arial" w:hAnsi="Arial" w:cs="Arial"/>
          <w:sz w:val="20"/>
          <w:szCs w:val="20"/>
        </w:rPr>
        <w:t>]</w:t>
      </w:r>
    </w:p>
    <w:p w14:paraId="0721C89E" w14:textId="71D9F8F5" w:rsidR="00ED6FE8" w:rsidRPr="00963A27" w:rsidRDefault="00ED6FE8" w:rsidP="00956427">
      <w:pPr>
        <w:pStyle w:val="ListParagraph"/>
        <w:spacing w:line="360" w:lineRule="auto"/>
        <w:ind w:left="0"/>
        <w:contextualSpacing w:val="0"/>
        <w:jc w:val="both"/>
        <w:rPr>
          <w:rFonts w:ascii="Arial" w:hAnsi="Arial" w:cs="Arial"/>
          <w:b/>
        </w:rPr>
      </w:pPr>
      <w:r w:rsidRPr="00963A27">
        <w:rPr>
          <w:rFonts w:ascii="Arial" w:hAnsi="Arial" w:cs="Arial"/>
          <w:b/>
        </w:rPr>
        <w:t>Mucoadhesive and Smart Polymers</w:t>
      </w:r>
    </w:p>
    <w:p w14:paraId="1E5D9BDD" w14:textId="26FC1F2A" w:rsidR="00ED6FE8" w:rsidRPr="00963A27" w:rsidRDefault="00ED6FE8" w:rsidP="00956427">
      <w:pPr>
        <w:pStyle w:val="ListParagraph"/>
        <w:spacing w:line="360" w:lineRule="auto"/>
        <w:ind w:left="426"/>
        <w:contextualSpacing w:val="0"/>
        <w:jc w:val="both"/>
        <w:rPr>
          <w:rFonts w:ascii="Arial" w:hAnsi="Arial" w:cs="Arial"/>
          <w:sz w:val="20"/>
          <w:szCs w:val="20"/>
        </w:rPr>
      </w:pPr>
      <w:r w:rsidRPr="00963A27">
        <w:rPr>
          <w:rFonts w:ascii="Arial" w:hAnsi="Arial" w:cs="Arial"/>
          <w:sz w:val="20"/>
          <w:szCs w:val="20"/>
        </w:rPr>
        <w:t>Mucoadhesive and smart polymers are highly effective in drug retention enhancement and targeted release in the oral cavity or gastrointestinal tract.</w:t>
      </w:r>
    </w:p>
    <w:p w14:paraId="377C4D91" w14:textId="77777777" w:rsidR="001269F7" w:rsidRDefault="001269F7" w:rsidP="00956427">
      <w:pPr>
        <w:spacing w:line="360" w:lineRule="auto"/>
        <w:ind w:left="426"/>
        <w:jc w:val="both"/>
        <w:rPr>
          <w:rFonts w:ascii="Arial" w:hAnsi="Arial" w:cs="Arial"/>
          <w:b/>
          <w:bCs/>
          <w:sz w:val="20"/>
          <w:szCs w:val="20"/>
        </w:rPr>
      </w:pPr>
    </w:p>
    <w:p w14:paraId="5F7DAD9D" w14:textId="70819D4C" w:rsidR="00ED6FE8" w:rsidRPr="00963A27" w:rsidRDefault="006A342E" w:rsidP="00956427">
      <w:pPr>
        <w:spacing w:line="360" w:lineRule="auto"/>
        <w:ind w:left="426"/>
        <w:jc w:val="both"/>
        <w:rPr>
          <w:rFonts w:ascii="Arial" w:hAnsi="Arial" w:cs="Arial"/>
          <w:b/>
          <w:sz w:val="20"/>
          <w:szCs w:val="20"/>
        </w:rPr>
      </w:pPr>
      <w:r w:rsidRPr="00963A27">
        <w:rPr>
          <w:rFonts w:ascii="Arial" w:hAnsi="Arial" w:cs="Arial"/>
          <w:b/>
          <w:bCs/>
          <w:sz w:val="20"/>
          <w:szCs w:val="20"/>
        </w:rPr>
        <w:t>Smart polymers for targeted release</w:t>
      </w:r>
    </w:p>
    <w:p w14:paraId="364CB28B" w14:textId="61AE5449" w:rsidR="00ED6FE8" w:rsidRPr="00963A27" w:rsidRDefault="00ED6FE8" w:rsidP="00882252">
      <w:pPr>
        <w:pStyle w:val="ListParagraph"/>
        <w:numPr>
          <w:ilvl w:val="0"/>
          <w:numId w:val="56"/>
        </w:numPr>
        <w:spacing w:line="360" w:lineRule="auto"/>
        <w:ind w:left="426" w:firstLine="0"/>
        <w:jc w:val="both"/>
        <w:rPr>
          <w:rFonts w:ascii="Arial" w:hAnsi="Arial" w:cs="Arial"/>
          <w:sz w:val="20"/>
          <w:szCs w:val="20"/>
        </w:rPr>
      </w:pPr>
      <w:r w:rsidRPr="00963A27">
        <w:rPr>
          <w:rFonts w:ascii="Arial" w:hAnsi="Arial" w:cs="Arial"/>
          <w:sz w:val="20"/>
          <w:szCs w:val="20"/>
        </w:rPr>
        <w:t>Smart polymers react to stimuli in their environment like pH, temperature, or enzymes, etc.</w:t>
      </w:r>
    </w:p>
    <w:p w14:paraId="04DA37C8" w14:textId="7EC9AB4D" w:rsidR="00ED6FE8" w:rsidRPr="00963A27" w:rsidRDefault="00ED6FE8" w:rsidP="00882252">
      <w:pPr>
        <w:pStyle w:val="ListParagraph"/>
        <w:numPr>
          <w:ilvl w:val="0"/>
          <w:numId w:val="56"/>
        </w:numPr>
        <w:spacing w:line="360" w:lineRule="auto"/>
        <w:ind w:left="426" w:firstLine="0"/>
        <w:jc w:val="both"/>
        <w:rPr>
          <w:rFonts w:ascii="Arial" w:hAnsi="Arial" w:cs="Arial"/>
          <w:sz w:val="20"/>
          <w:szCs w:val="20"/>
        </w:rPr>
      </w:pPr>
      <w:r w:rsidRPr="00963A27">
        <w:rPr>
          <w:rFonts w:ascii="Arial" w:hAnsi="Arial" w:cs="Arial"/>
          <w:sz w:val="20"/>
          <w:szCs w:val="20"/>
        </w:rPr>
        <w:t>pH-responsive polymers release the drug in a selective manner in the stomach (acidic environment) or intestines (neutral/basic environment).</w:t>
      </w:r>
    </w:p>
    <w:p w14:paraId="421BD43F" w14:textId="625C87C6" w:rsidR="00ED6FE8" w:rsidRPr="00963A27" w:rsidRDefault="00ED6FE8" w:rsidP="00882252">
      <w:pPr>
        <w:pStyle w:val="ListParagraph"/>
        <w:numPr>
          <w:ilvl w:val="0"/>
          <w:numId w:val="56"/>
        </w:numPr>
        <w:spacing w:line="360" w:lineRule="auto"/>
        <w:ind w:left="426" w:firstLine="0"/>
        <w:jc w:val="both"/>
        <w:rPr>
          <w:rFonts w:ascii="Arial" w:hAnsi="Arial" w:cs="Arial"/>
          <w:sz w:val="20"/>
          <w:szCs w:val="20"/>
        </w:rPr>
      </w:pPr>
      <w:r w:rsidRPr="00963A27">
        <w:rPr>
          <w:rFonts w:ascii="Arial" w:hAnsi="Arial" w:cs="Arial"/>
          <w:sz w:val="20"/>
          <w:szCs w:val="20"/>
        </w:rPr>
        <w:t>Thermo-responsive polymers (e.g., poly(N-isopropylacrylamide)) vary drug release as a function of changing body temperatures.</w:t>
      </w:r>
    </w:p>
    <w:p w14:paraId="6294F07B" w14:textId="28F261A3" w:rsidR="00ED6FE8" w:rsidRPr="00963A27" w:rsidRDefault="00ED6FE8" w:rsidP="00882252">
      <w:pPr>
        <w:pStyle w:val="ListParagraph"/>
        <w:numPr>
          <w:ilvl w:val="0"/>
          <w:numId w:val="56"/>
        </w:numPr>
        <w:spacing w:line="360" w:lineRule="auto"/>
        <w:ind w:left="426" w:firstLine="0"/>
        <w:jc w:val="both"/>
        <w:rPr>
          <w:rFonts w:ascii="Arial" w:hAnsi="Arial" w:cs="Arial"/>
          <w:sz w:val="20"/>
          <w:szCs w:val="20"/>
        </w:rPr>
      </w:pPr>
      <w:r w:rsidRPr="00963A27">
        <w:rPr>
          <w:rFonts w:ascii="Arial" w:hAnsi="Arial" w:cs="Arial"/>
          <w:sz w:val="20"/>
          <w:szCs w:val="20"/>
        </w:rPr>
        <w:t>Enzyme-sensitive polymers break down according to targeted enzymes, enabling controlled release in targeted areas.</w:t>
      </w:r>
      <w:r w:rsidR="007207CB">
        <w:rPr>
          <w:rFonts w:ascii="Arial" w:hAnsi="Arial" w:cs="Arial"/>
          <w:sz w:val="20"/>
          <w:szCs w:val="20"/>
        </w:rPr>
        <w:t>[66]</w:t>
      </w:r>
    </w:p>
    <w:p w14:paraId="4744C382" w14:textId="66EEFC57" w:rsidR="00CA7BA5" w:rsidRPr="00963A27" w:rsidRDefault="0095230F" w:rsidP="00956427">
      <w:pPr>
        <w:spacing w:line="360" w:lineRule="auto"/>
        <w:ind w:left="426"/>
        <w:jc w:val="both"/>
        <w:rPr>
          <w:rFonts w:ascii="Arial" w:hAnsi="Arial" w:cs="Arial"/>
          <w:sz w:val="20"/>
          <w:szCs w:val="20"/>
        </w:rPr>
      </w:pPr>
      <w:r w:rsidRPr="00963A27">
        <w:rPr>
          <w:rFonts w:ascii="Arial" w:hAnsi="Arial" w:cs="Arial"/>
          <w:sz w:val="20"/>
          <w:szCs w:val="20"/>
        </w:rPr>
        <w:t xml:space="preserve">Example- </w:t>
      </w:r>
      <w:r w:rsidR="00140B16" w:rsidRPr="00963A27">
        <w:rPr>
          <w:rFonts w:ascii="Arial" w:hAnsi="Arial" w:cs="Arial"/>
          <w:sz w:val="20"/>
          <w:szCs w:val="20"/>
        </w:rPr>
        <w:t xml:space="preserve">An example of localized drug delivery is the use of mono- and </w:t>
      </w:r>
      <w:r w:rsidR="00F21D13" w:rsidRPr="00963A27">
        <w:rPr>
          <w:rFonts w:ascii="Arial" w:hAnsi="Arial" w:cs="Arial"/>
          <w:sz w:val="20"/>
          <w:szCs w:val="20"/>
        </w:rPr>
        <w:t>bilayer</w:t>
      </w:r>
      <w:r w:rsidR="00140B16" w:rsidRPr="00963A27">
        <w:rPr>
          <w:rFonts w:ascii="Arial" w:hAnsi="Arial" w:cs="Arial"/>
          <w:sz w:val="20"/>
          <w:szCs w:val="20"/>
        </w:rPr>
        <w:t xml:space="preserve"> mucoadhesive films and wafers for the treatment of oral mucosal infections, ensuring prolonged retention and effective therapeutic action.</w:t>
      </w:r>
      <w:r w:rsidR="00176E6B" w:rsidRPr="00963A27">
        <w:rPr>
          <w:rFonts w:ascii="Arial" w:hAnsi="Arial" w:cs="Arial"/>
          <w:sz w:val="20"/>
          <w:szCs w:val="20"/>
        </w:rPr>
        <w:t>[6</w:t>
      </w:r>
      <w:r w:rsidR="000D69B7">
        <w:rPr>
          <w:rFonts w:ascii="Arial" w:hAnsi="Arial" w:cs="Arial"/>
          <w:sz w:val="20"/>
          <w:szCs w:val="20"/>
        </w:rPr>
        <w:t>7</w:t>
      </w:r>
      <w:r w:rsidR="00176E6B" w:rsidRPr="00963A27">
        <w:rPr>
          <w:rFonts w:ascii="Arial" w:hAnsi="Arial" w:cs="Arial"/>
          <w:sz w:val="20"/>
          <w:szCs w:val="20"/>
        </w:rPr>
        <w:t>]</w:t>
      </w:r>
    </w:p>
    <w:p w14:paraId="06C738EC" w14:textId="614B677E" w:rsidR="00ED6FE8" w:rsidRPr="00963A27" w:rsidRDefault="006A342E" w:rsidP="00956427">
      <w:pPr>
        <w:spacing w:line="360" w:lineRule="auto"/>
        <w:ind w:left="426"/>
        <w:jc w:val="both"/>
        <w:rPr>
          <w:rFonts w:ascii="Arial" w:hAnsi="Arial" w:cs="Arial"/>
          <w:b/>
        </w:rPr>
      </w:pPr>
      <w:r w:rsidRPr="00963A27">
        <w:rPr>
          <w:rFonts w:ascii="Arial" w:hAnsi="Arial" w:cs="Arial"/>
          <w:b/>
          <w:bCs/>
        </w:rPr>
        <w:t>Mucoadhesive polymers for extended retention</w:t>
      </w:r>
    </w:p>
    <w:p w14:paraId="4F916EBC" w14:textId="35738DC6" w:rsidR="00ED6FE8" w:rsidRPr="00963A27" w:rsidRDefault="00ED6FE8" w:rsidP="00882252">
      <w:pPr>
        <w:pStyle w:val="ListParagraph"/>
        <w:numPr>
          <w:ilvl w:val="0"/>
          <w:numId w:val="56"/>
        </w:numPr>
        <w:spacing w:line="360" w:lineRule="auto"/>
        <w:ind w:left="426" w:firstLine="0"/>
        <w:contextualSpacing w:val="0"/>
        <w:jc w:val="both"/>
        <w:rPr>
          <w:rFonts w:ascii="Arial" w:hAnsi="Arial" w:cs="Arial"/>
          <w:sz w:val="20"/>
          <w:szCs w:val="20"/>
        </w:rPr>
      </w:pPr>
      <w:r w:rsidRPr="00963A27">
        <w:rPr>
          <w:rFonts w:ascii="Arial" w:hAnsi="Arial" w:cs="Arial"/>
          <w:sz w:val="20"/>
          <w:szCs w:val="20"/>
        </w:rPr>
        <w:t>Mucoadhesive wafers stick to mucosal tissues, maintaining extended drug retention and absorption.</w:t>
      </w:r>
    </w:p>
    <w:p w14:paraId="77FAEB20" w14:textId="7953943B" w:rsidR="00ED6FE8" w:rsidRPr="00963A27" w:rsidRDefault="00ED6FE8" w:rsidP="00882252">
      <w:pPr>
        <w:pStyle w:val="ListParagraph"/>
        <w:numPr>
          <w:ilvl w:val="0"/>
          <w:numId w:val="56"/>
        </w:numPr>
        <w:spacing w:line="360" w:lineRule="auto"/>
        <w:ind w:left="426" w:firstLine="0"/>
        <w:contextualSpacing w:val="0"/>
        <w:jc w:val="both"/>
        <w:rPr>
          <w:rFonts w:ascii="Arial" w:hAnsi="Arial" w:cs="Arial"/>
          <w:sz w:val="20"/>
          <w:szCs w:val="20"/>
        </w:rPr>
      </w:pPr>
      <w:r w:rsidRPr="00963A27">
        <w:rPr>
          <w:rFonts w:ascii="Arial" w:hAnsi="Arial" w:cs="Arial"/>
          <w:sz w:val="20"/>
          <w:szCs w:val="20"/>
        </w:rPr>
        <w:t>Examples of mucoadhesive polymers include chitosan, carbopol, and hydroxypropyl methylcellulose (HPMC).</w:t>
      </w:r>
      <w:r w:rsidR="000D48FE" w:rsidRPr="00963A27">
        <w:rPr>
          <w:rFonts w:ascii="Arial" w:hAnsi="Arial" w:cs="Arial"/>
          <w:sz w:val="20"/>
          <w:szCs w:val="20"/>
        </w:rPr>
        <w:t xml:space="preserve"> </w:t>
      </w:r>
    </w:p>
    <w:p w14:paraId="50C5E55C" w14:textId="5582AF52" w:rsidR="00315595" w:rsidRPr="00963A27" w:rsidRDefault="00614E11" w:rsidP="00956427">
      <w:pPr>
        <w:spacing w:line="360" w:lineRule="auto"/>
        <w:ind w:left="426"/>
        <w:jc w:val="both"/>
        <w:rPr>
          <w:rFonts w:ascii="Arial" w:hAnsi="Arial" w:cs="Arial"/>
          <w:sz w:val="20"/>
          <w:szCs w:val="20"/>
        </w:rPr>
      </w:pPr>
      <w:r w:rsidRPr="00963A27">
        <w:rPr>
          <w:rFonts w:ascii="Arial" w:hAnsi="Arial" w:cs="Arial"/>
          <w:sz w:val="20"/>
          <w:szCs w:val="20"/>
        </w:rPr>
        <w:t xml:space="preserve">Examples- </w:t>
      </w:r>
    </w:p>
    <w:p w14:paraId="7C1E3627" w14:textId="12B94FC6" w:rsidR="006324B4" w:rsidRPr="00A0367F" w:rsidRDefault="006324B4" w:rsidP="00A0367F">
      <w:pPr>
        <w:pStyle w:val="ListParagraph"/>
        <w:numPr>
          <w:ilvl w:val="0"/>
          <w:numId w:val="76"/>
        </w:numPr>
        <w:spacing w:line="360" w:lineRule="auto"/>
        <w:jc w:val="both"/>
        <w:rPr>
          <w:rFonts w:ascii="Arial" w:hAnsi="Arial" w:cs="Arial"/>
          <w:sz w:val="20"/>
          <w:szCs w:val="20"/>
        </w:rPr>
      </w:pPr>
      <w:r w:rsidRPr="00A0367F">
        <w:rPr>
          <w:rFonts w:ascii="Arial" w:hAnsi="Arial" w:cs="Arial"/>
          <w:sz w:val="20"/>
          <w:szCs w:val="20"/>
        </w:rPr>
        <w:t>Microemulsion-based mucoadhesive buccal wafers, focusing on their formulation, in vitro drug release, and ex vivo evaluation.</w:t>
      </w:r>
      <w:r w:rsidR="000D48FE" w:rsidRPr="00A0367F">
        <w:rPr>
          <w:rFonts w:ascii="Arial" w:hAnsi="Arial" w:cs="Arial"/>
          <w:sz w:val="20"/>
          <w:szCs w:val="20"/>
        </w:rPr>
        <w:t>[6</w:t>
      </w:r>
      <w:r w:rsidR="000D69B7" w:rsidRPr="00A0367F">
        <w:rPr>
          <w:rFonts w:ascii="Arial" w:hAnsi="Arial" w:cs="Arial"/>
          <w:sz w:val="20"/>
          <w:szCs w:val="20"/>
        </w:rPr>
        <w:t>8</w:t>
      </w:r>
      <w:r w:rsidR="000D48FE" w:rsidRPr="00A0367F">
        <w:rPr>
          <w:rFonts w:ascii="Arial" w:hAnsi="Arial" w:cs="Arial"/>
          <w:sz w:val="20"/>
          <w:szCs w:val="20"/>
        </w:rPr>
        <w:t>]</w:t>
      </w:r>
    </w:p>
    <w:p w14:paraId="45A30E67" w14:textId="0CFB37A7" w:rsidR="006324B4" w:rsidRPr="00A0367F" w:rsidRDefault="006324B4" w:rsidP="00A0367F">
      <w:pPr>
        <w:pStyle w:val="ListParagraph"/>
        <w:numPr>
          <w:ilvl w:val="0"/>
          <w:numId w:val="76"/>
        </w:numPr>
        <w:spacing w:line="360" w:lineRule="auto"/>
        <w:jc w:val="both"/>
        <w:rPr>
          <w:rFonts w:ascii="Arial" w:hAnsi="Arial" w:cs="Arial"/>
          <w:sz w:val="20"/>
          <w:szCs w:val="20"/>
        </w:rPr>
      </w:pPr>
      <w:r w:rsidRPr="00A0367F">
        <w:rPr>
          <w:rFonts w:ascii="Arial" w:hAnsi="Arial" w:cs="Arial"/>
          <w:sz w:val="20"/>
          <w:szCs w:val="20"/>
        </w:rPr>
        <w:t>Berberine-loaded blended mucoadhesive wafers, designed for the treatment of chemotherapy-induced oral mucositis, with in vitro and in vivo characterization.</w:t>
      </w:r>
      <w:r w:rsidR="000D48FE" w:rsidRPr="00A0367F">
        <w:rPr>
          <w:rFonts w:ascii="Arial" w:hAnsi="Arial" w:cs="Arial"/>
          <w:sz w:val="20"/>
          <w:szCs w:val="20"/>
        </w:rPr>
        <w:t>[6</w:t>
      </w:r>
      <w:r w:rsidR="00BE6019" w:rsidRPr="00A0367F">
        <w:rPr>
          <w:rFonts w:ascii="Arial" w:hAnsi="Arial" w:cs="Arial"/>
          <w:sz w:val="20"/>
          <w:szCs w:val="20"/>
        </w:rPr>
        <w:t>1</w:t>
      </w:r>
      <w:r w:rsidR="000D48FE" w:rsidRPr="00A0367F">
        <w:rPr>
          <w:rFonts w:ascii="Arial" w:hAnsi="Arial" w:cs="Arial"/>
          <w:sz w:val="20"/>
          <w:szCs w:val="20"/>
        </w:rPr>
        <w:t>]</w:t>
      </w:r>
    </w:p>
    <w:p w14:paraId="24DA77D1" w14:textId="3B4CA4D6" w:rsidR="006324B4" w:rsidRPr="00A0367F" w:rsidRDefault="006324B4" w:rsidP="00A0367F">
      <w:pPr>
        <w:pStyle w:val="ListParagraph"/>
        <w:numPr>
          <w:ilvl w:val="0"/>
          <w:numId w:val="76"/>
        </w:numPr>
        <w:spacing w:line="360" w:lineRule="auto"/>
        <w:jc w:val="both"/>
        <w:rPr>
          <w:rFonts w:ascii="Arial" w:hAnsi="Arial" w:cs="Arial"/>
          <w:sz w:val="20"/>
          <w:szCs w:val="20"/>
        </w:rPr>
      </w:pPr>
      <w:r w:rsidRPr="00A0367F">
        <w:rPr>
          <w:rFonts w:ascii="Arial" w:hAnsi="Arial" w:cs="Arial"/>
          <w:sz w:val="20"/>
          <w:szCs w:val="20"/>
        </w:rPr>
        <w:t>Mucoadhesive wafers with binary polymer blends, developed for sublingual delivery and stabilization of protein-based vaccines.</w:t>
      </w:r>
      <w:r w:rsidR="000D48FE" w:rsidRPr="00A0367F">
        <w:rPr>
          <w:rFonts w:ascii="Arial" w:hAnsi="Arial" w:cs="Arial"/>
          <w:sz w:val="20"/>
          <w:szCs w:val="20"/>
        </w:rPr>
        <w:t>[6</w:t>
      </w:r>
      <w:r w:rsidR="000D69B7" w:rsidRPr="00A0367F">
        <w:rPr>
          <w:rFonts w:ascii="Arial" w:hAnsi="Arial" w:cs="Arial"/>
          <w:sz w:val="20"/>
          <w:szCs w:val="20"/>
        </w:rPr>
        <w:t>9</w:t>
      </w:r>
      <w:r w:rsidR="000D48FE" w:rsidRPr="00A0367F">
        <w:rPr>
          <w:rFonts w:ascii="Arial" w:hAnsi="Arial" w:cs="Arial"/>
          <w:sz w:val="20"/>
          <w:szCs w:val="20"/>
        </w:rPr>
        <w:t>]</w:t>
      </w:r>
    </w:p>
    <w:p w14:paraId="19ED140D" w14:textId="636F8A02" w:rsidR="006324B4" w:rsidRPr="00A0367F" w:rsidRDefault="006324B4" w:rsidP="00A0367F">
      <w:pPr>
        <w:pStyle w:val="ListParagraph"/>
        <w:numPr>
          <w:ilvl w:val="0"/>
          <w:numId w:val="76"/>
        </w:numPr>
        <w:spacing w:line="360" w:lineRule="auto"/>
        <w:jc w:val="both"/>
        <w:rPr>
          <w:rFonts w:ascii="Arial" w:hAnsi="Arial" w:cs="Arial"/>
          <w:sz w:val="20"/>
          <w:szCs w:val="20"/>
        </w:rPr>
      </w:pPr>
      <w:r w:rsidRPr="00A0367F">
        <w:rPr>
          <w:rFonts w:ascii="Arial" w:hAnsi="Arial" w:cs="Arial"/>
          <w:sz w:val="20"/>
          <w:szCs w:val="20"/>
        </w:rPr>
        <w:t>Clay-functionalized wafers and films, evaluated for their potential in nicotine replacement therapy via buccal mucosa.</w:t>
      </w:r>
      <w:r w:rsidR="000D48FE" w:rsidRPr="00A0367F">
        <w:rPr>
          <w:rFonts w:ascii="Arial" w:hAnsi="Arial" w:cs="Arial"/>
          <w:sz w:val="20"/>
          <w:szCs w:val="20"/>
        </w:rPr>
        <w:t>[</w:t>
      </w:r>
      <w:r w:rsidR="000D69B7" w:rsidRPr="00A0367F">
        <w:rPr>
          <w:rFonts w:ascii="Arial" w:hAnsi="Arial" w:cs="Arial"/>
          <w:sz w:val="20"/>
          <w:szCs w:val="20"/>
        </w:rPr>
        <w:t>70</w:t>
      </w:r>
      <w:r w:rsidR="000D48FE" w:rsidRPr="00A0367F">
        <w:rPr>
          <w:rFonts w:ascii="Arial" w:hAnsi="Arial" w:cs="Arial"/>
          <w:sz w:val="20"/>
          <w:szCs w:val="20"/>
        </w:rPr>
        <w:t>]</w:t>
      </w:r>
    </w:p>
    <w:p w14:paraId="657AFB79" w14:textId="3921A179" w:rsidR="006F2B87" w:rsidRPr="00A0367F" w:rsidRDefault="006F2B87" w:rsidP="00A0367F">
      <w:pPr>
        <w:pStyle w:val="ListParagraph"/>
        <w:numPr>
          <w:ilvl w:val="0"/>
          <w:numId w:val="76"/>
        </w:numPr>
        <w:spacing w:line="360" w:lineRule="auto"/>
        <w:jc w:val="both"/>
        <w:rPr>
          <w:rFonts w:ascii="Arial" w:hAnsi="Arial" w:cs="Arial"/>
          <w:b/>
          <w:bCs/>
          <w:sz w:val="20"/>
          <w:szCs w:val="20"/>
        </w:rPr>
      </w:pPr>
      <w:r w:rsidRPr="00A0367F">
        <w:rPr>
          <w:rFonts w:ascii="Arial" w:hAnsi="Arial" w:cs="Arial"/>
          <w:sz w:val="20"/>
          <w:szCs w:val="20"/>
        </w:rPr>
        <w:t>An example of macromolecule delivery via oral wafers is the development of composite sodium alginate and chitosan-based buccal wafers, designed for enhanced mucoadhesion and controlled release</w:t>
      </w:r>
      <w:r w:rsidR="00A25BB7" w:rsidRPr="00A0367F">
        <w:rPr>
          <w:rFonts w:ascii="Arial" w:hAnsi="Arial" w:cs="Arial"/>
          <w:sz w:val="20"/>
          <w:szCs w:val="20"/>
        </w:rPr>
        <w:t>.[</w:t>
      </w:r>
      <w:r w:rsidR="000D69B7" w:rsidRPr="00A0367F">
        <w:rPr>
          <w:rFonts w:ascii="Arial" w:hAnsi="Arial" w:cs="Arial"/>
          <w:sz w:val="20"/>
          <w:szCs w:val="20"/>
        </w:rPr>
        <w:t>71</w:t>
      </w:r>
      <w:r w:rsidR="00A25BB7" w:rsidRPr="00A0367F">
        <w:rPr>
          <w:rFonts w:ascii="Arial" w:hAnsi="Arial" w:cs="Arial"/>
          <w:sz w:val="20"/>
          <w:szCs w:val="20"/>
        </w:rPr>
        <w:t>]</w:t>
      </w:r>
      <w:r w:rsidRPr="00A0367F">
        <w:rPr>
          <w:rFonts w:ascii="Arial" w:hAnsi="Arial" w:cs="Arial"/>
          <w:sz w:val="20"/>
          <w:szCs w:val="20"/>
        </w:rPr>
        <w:t xml:space="preserve"> </w:t>
      </w:r>
    </w:p>
    <w:p w14:paraId="1E84FCDB" w14:textId="27EC0226" w:rsidR="00454532" w:rsidRPr="00A0367F" w:rsidRDefault="00454532" w:rsidP="00A0367F">
      <w:pPr>
        <w:pStyle w:val="ListParagraph"/>
        <w:numPr>
          <w:ilvl w:val="0"/>
          <w:numId w:val="76"/>
        </w:numPr>
        <w:spacing w:line="360" w:lineRule="auto"/>
        <w:jc w:val="both"/>
        <w:rPr>
          <w:rFonts w:ascii="Arial" w:hAnsi="Arial" w:cs="Arial"/>
          <w:b/>
          <w:bCs/>
          <w:sz w:val="20"/>
          <w:szCs w:val="20"/>
        </w:rPr>
      </w:pPr>
      <w:r w:rsidRPr="00A0367F">
        <w:rPr>
          <w:rFonts w:ascii="Arial" w:hAnsi="Arial" w:cs="Arial"/>
          <w:sz w:val="20"/>
          <w:szCs w:val="20"/>
        </w:rPr>
        <w:t>An example of protein drug delivery using oral wafers is the development of lyophilized chitosan-based wafers, designed for buccal mucosal administration with optimized physico-mechanical properties.</w:t>
      </w:r>
      <w:r w:rsidR="00A25BB7" w:rsidRPr="00A0367F">
        <w:rPr>
          <w:rFonts w:ascii="Arial" w:hAnsi="Arial" w:cs="Arial"/>
          <w:sz w:val="20"/>
          <w:szCs w:val="20"/>
        </w:rPr>
        <w:t>[</w:t>
      </w:r>
      <w:r w:rsidR="000D69B7" w:rsidRPr="00A0367F">
        <w:rPr>
          <w:rFonts w:ascii="Arial" w:hAnsi="Arial" w:cs="Arial"/>
          <w:sz w:val="20"/>
          <w:szCs w:val="20"/>
        </w:rPr>
        <w:t>72</w:t>
      </w:r>
      <w:r w:rsidR="00A25BB7" w:rsidRPr="00A0367F">
        <w:rPr>
          <w:rFonts w:ascii="Arial" w:hAnsi="Arial" w:cs="Arial"/>
          <w:sz w:val="20"/>
          <w:szCs w:val="20"/>
        </w:rPr>
        <w:t>]</w:t>
      </w:r>
    </w:p>
    <w:p w14:paraId="0789052E" w14:textId="469007B8" w:rsidR="00ED6FE8" w:rsidRPr="00963A27" w:rsidRDefault="00ED6FE8" w:rsidP="00956427">
      <w:pPr>
        <w:spacing w:line="360" w:lineRule="auto"/>
        <w:jc w:val="both"/>
        <w:rPr>
          <w:rFonts w:ascii="Arial" w:hAnsi="Arial" w:cs="Arial"/>
          <w:b/>
        </w:rPr>
      </w:pPr>
      <w:r w:rsidRPr="00963A27">
        <w:rPr>
          <w:rFonts w:ascii="Arial" w:hAnsi="Arial" w:cs="Arial"/>
          <w:b/>
        </w:rPr>
        <w:lastRenderedPageBreak/>
        <w:t>Personalized Medicine and 3D Printing</w:t>
      </w:r>
    </w:p>
    <w:p w14:paraId="2619BE5B" w14:textId="0017BD04" w:rsidR="00ED6FE8" w:rsidRPr="00963A27" w:rsidRDefault="00ED6FE8" w:rsidP="00956427">
      <w:pPr>
        <w:pStyle w:val="ListParagraph"/>
        <w:spacing w:line="360" w:lineRule="auto"/>
        <w:ind w:left="426"/>
        <w:contextualSpacing w:val="0"/>
        <w:jc w:val="both"/>
        <w:rPr>
          <w:rFonts w:ascii="Arial" w:hAnsi="Arial" w:cs="Arial"/>
          <w:sz w:val="20"/>
          <w:szCs w:val="20"/>
        </w:rPr>
      </w:pPr>
      <w:r w:rsidRPr="00963A27">
        <w:rPr>
          <w:rFonts w:ascii="Arial" w:hAnsi="Arial" w:cs="Arial"/>
          <w:sz w:val="20"/>
          <w:szCs w:val="20"/>
        </w:rPr>
        <w:t xml:space="preserve">The development of 3D printing technology has allowed for oral wafer customization according to specific patient requirements. </w:t>
      </w:r>
      <w:r w:rsidR="00864774" w:rsidRPr="00963A27">
        <w:rPr>
          <w:rFonts w:ascii="Arial" w:hAnsi="Arial" w:cs="Arial"/>
          <w:sz w:val="20"/>
          <w:szCs w:val="20"/>
        </w:rPr>
        <w:t>3D printing provides exact control of drug dosage, release patterns, and wafer content.</w:t>
      </w:r>
      <w:r w:rsidR="00EE03AE" w:rsidRPr="00963A27">
        <w:rPr>
          <w:rFonts w:ascii="Arial" w:hAnsi="Arial" w:cs="Arial"/>
          <w:sz w:val="20"/>
          <w:szCs w:val="20"/>
        </w:rPr>
        <w:t xml:space="preserve"> </w:t>
      </w:r>
      <w:r w:rsidRPr="00963A27">
        <w:rPr>
          <w:rFonts w:ascii="Arial" w:hAnsi="Arial" w:cs="Arial"/>
          <w:sz w:val="20"/>
          <w:szCs w:val="20"/>
        </w:rPr>
        <w:t>This follows the increasing focus on personalized medicine.</w:t>
      </w:r>
    </w:p>
    <w:p w14:paraId="69E0CC16" w14:textId="7CD419CC" w:rsidR="00ED6FE8" w:rsidRPr="00963A27" w:rsidRDefault="00ED6FE8" w:rsidP="00956427">
      <w:pPr>
        <w:pStyle w:val="ListParagraph"/>
        <w:spacing w:line="360" w:lineRule="auto"/>
        <w:ind w:left="426"/>
        <w:contextualSpacing w:val="0"/>
        <w:jc w:val="both"/>
        <w:rPr>
          <w:rFonts w:ascii="Arial" w:hAnsi="Arial" w:cs="Arial"/>
          <w:b/>
          <w:sz w:val="20"/>
          <w:szCs w:val="20"/>
        </w:rPr>
      </w:pPr>
      <w:r w:rsidRPr="00963A27">
        <w:rPr>
          <w:rFonts w:ascii="Arial" w:hAnsi="Arial" w:cs="Arial"/>
          <w:b/>
          <w:bCs/>
          <w:sz w:val="20"/>
          <w:szCs w:val="20"/>
        </w:rPr>
        <w:t>Example</w:t>
      </w:r>
      <w:r w:rsidRPr="00963A27">
        <w:rPr>
          <w:rFonts w:ascii="Arial" w:hAnsi="Arial" w:cs="Arial"/>
          <w:b/>
          <w:sz w:val="20"/>
          <w:szCs w:val="20"/>
        </w:rPr>
        <w:t xml:space="preserve"> of 3D-Printed Oral Wafers</w:t>
      </w:r>
      <w:r w:rsidR="00613EC0" w:rsidRPr="00963A27">
        <w:rPr>
          <w:rFonts w:ascii="Arial" w:hAnsi="Arial" w:cs="Arial"/>
          <w:b/>
          <w:bCs/>
          <w:sz w:val="20"/>
          <w:szCs w:val="20"/>
        </w:rPr>
        <w:t>-</w:t>
      </w:r>
    </w:p>
    <w:p w14:paraId="77AA0BAB" w14:textId="4309D69C" w:rsidR="00EE03AE" w:rsidRPr="00963A27" w:rsidRDefault="00A52E22" w:rsidP="00956427">
      <w:pPr>
        <w:spacing w:line="360" w:lineRule="auto"/>
        <w:ind w:left="426"/>
        <w:jc w:val="both"/>
        <w:rPr>
          <w:rFonts w:ascii="Arial" w:hAnsi="Arial" w:cs="Arial"/>
          <w:b/>
          <w:bCs/>
          <w:sz w:val="20"/>
          <w:szCs w:val="20"/>
        </w:rPr>
      </w:pPr>
      <w:r w:rsidRPr="00963A27">
        <w:rPr>
          <w:rFonts w:ascii="Arial" w:hAnsi="Arial" w:cs="Arial"/>
          <w:sz w:val="20"/>
          <w:szCs w:val="20"/>
        </w:rPr>
        <w:t xml:space="preserve">An example of advanced oral wafer technology is the development of 3D-printed mouth-dissolving wafers using fused deposition </w:t>
      </w:r>
      <w:r w:rsidR="00F21D13" w:rsidRPr="00963A27">
        <w:rPr>
          <w:rFonts w:ascii="Arial" w:hAnsi="Arial" w:cs="Arial"/>
          <w:sz w:val="20"/>
          <w:szCs w:val="20"/>
        </w:rPr>
        <w:t>modelling</w:t>
      </w:r>
      <w:r w:rsidRPr="00963A27">
        <w:rPr>
          <w:rFonts w:ascii="Arial" w:hAnsi="Arial" w:cs="Arial"/>
          <w:sz w:val="20"/>
          <w:szCs w:val="20"/>
        </w:rPr>
        <w:t xml:space="preserve"> (FDM), incorporating nanostructured lipid carriers (NLCs) for controlled in vitro drug release</w:t>
      </w:r>
      <w:r w:rsidRPr="00963A27">
        <w:rPr>
          <w:rFonts w:ascii="Arial" w:hAnsi="Arial" w:cs="Arial"/>
          <w:b/>
          <w:bCs/>
          <w:sz w:val="20"/>
          <w:szCs w:val="20"/>
        </w:rPr>
        <w:t>.</w:t>
      </w:r>
      <w:r w:rsidR="00796043" w:rsidRPr="00963A27">
        <w:rPr>
          <w:rFonts w:ascii="Arial" w:hAnsi="Arial" w:cs="Arial"/>
          <w:sz w:val="20"/>
          <w:szCs w:val="20"/>
        </w:rPr>
        <w:t>[7</w:t>
      </w:r>
      <w:r w:rsidR="000D69B7">
        <w:rPr>
          <w:rFonts w:ascii="Arial" w:hAnsi="Arial" w:cs="Arial"/>
          <w:sz w:val="20"/>
          <w:szCs w:val="20"/>
        </w:rPr>
        <w:t>3</w:t>
      </w:r>
      <w:r w:rsidR="00796043" w:rsidRPr="00963A27">
        <w:rPr>
          <w:rFonts w:ascii="Arial" w:hAnsi="Arial" w:cs="Arial"/>
          <w:sz w:val="20"/>
          <w:szCs w:val="20"/>
        </w:rPr>
        <w:t>]</w:t>
      </w:r>
    </w:p>
    <w:p w14:paraId="00B7A513" w14:textId="5106E807" w:rsidR="002A350C" w:rsidRPr="00963A27" w:rsidRDefault="0058004C" w:rsidP="00882252">
      <w:pPr>
        <w:pStyle w:val="Title"/>
        <w:numPr>
          <w:ilvl w:val="0"/>
          <w:numId w:val="12"/>
        </w:numPr>
        <w:spacing w:line="360" w:lineRule="auto"/>
        <w:jc w:val="both"/>
        <w:rPr>
          <w:rFonts w:ascii="Arial" w:hAnsi="Arial" w:cs="Arial"/>
          <w:sz w:val="22"/>
          <w:szCs w:val="22"/>
        </w:rPr>
      </w:pPr>
      <w:r w:rsidRPr="00963A27">
        <w:rPr>
          <w:rFonts w:ascii="Arial" w:hAnsi="Arial" w:cs="Arial"/>
          <w:sz w:val="22"/>
          <w:szCs w:val="22"/>
        </w:rPr>
        <w:t>APPLICATIONS OF ORAL WAFERS IN VARIOUS THERAPEUTIC FIELDS</w:t>
      </w:r>
    </w:p>
    <w:p w14:paraId="66494235" w14:textId="7412EA55" w:rsidR="003465CB" w:rsidRPr="00963A27" w:rsidRDefault="002A350C" w:rsidP="00956427">
      <w:pPr>
        <w:pStyle w:val="ListParagraph"/>
        <w:spacing w:line="360" w:lineRule="auto"/>
        <w:ind w:left="360"/>
        <w:contextualSpacing w:val="0"/>
        <w:jc w:val="both"/>
        <w:rPr>
          <w:rFonts w:ascii="Arial" w:hAnsi="Arial" w:cs="Arial"/>
          <w:sz w:val="20"/>
          <w:szCs w:val="20"/>
        </w:rPr>
      </w:pPr>
      <w:r w:rsidRPr="00963A27">
        <w:rPr>
          <w:rFonts w:ascii="Arial" w:hAnsi="Arial" w:cs="Arial"/>
          <w:sz w:val="20"/>
          <w:szCs w:val="20"/>
        </w:rPr>
        <w:t xml:space="preserve">Oral wafers </w:t>
      </w:r>
      <w:r w:rsidR="009D2D2E" w:rsidRPr="00963A27">
        <w:rPr>
          <w:rFonts w:ascii="Arial" w:hAnsi="Arial" w:cs="Arial"/>
          <w:sz w:val="20"/>
          <w:szCs w:val="20"/>
        </w:rPr>
        <w:t>applications</w:t>
      </w:r>
      <w:r w:rsidRPr="00963A27">
        <w:rPr>
          <w:rFonts w:ascii="Arial" w:hAnsi="Arial" w:cs="Arial"/>
          <w:sz w:val="20"/>
          <w:szCs w:val="20"/>
        </w:rPr>
        <w:t xml:space="preserve"> extend across several therapeutic categories, such as neurological disorders, pain relief, cardiovascular disease</w:t>
      </w:r>
      <w:r w:rsidR="009128E2" w:rsidRPr="00963A27">
        <w:rPr>
          <w:rFonts w:ascii="Arial" w:hAnsi="Arial" w:cs="Arial"/>
          <w:sz w:val="20"/>
          <w:szCs w:val="20"/>
        </w:rPr>
        <w:t xml:space="preserve"> </w:t>
      </w:r>
      <w:r w:rsidRPr="00963A27">
        <w:rPr>
          <w:rFonts w:ascii="Arial" w:hAnsi="Arial" w:cs="Arial"/>
          <w:sz w:val="20"/>
          <w:szCs w:val="20"/>
        </w:rPr>
        <w:t>and antimicrobial therapy</w:t>
      </w:r>
      <w:r w:rsidR="005708F3" w:rsidRPr="00963A27">
        <w:rPr>
          <w:rFonts w:ascii="Arial" w:hAnsi="Arial" w:cs="Arial"/>
          <w:sz w:val="20"/>
          <w:szCs w:val="20"/>
        </w:rPr>
        <w:t>.</w:t>
      </w:r>
    </w:p>
    <w:p w14:paraId="09D4C84B" w14:textId="77777777" w:rsidR="001C6D6E" w:rsidRPr="00963A27" w:rsidRDefault="002A350C" w:rsidP="00956427">
      <w:pPr>
        <w:spacing w:line="360" w:lineRule="auto"/>
        <w:ind w:left="360"/>
        <w:jc w:val="both"/>
        <w:rPr>
          <w:rFonts w:ascii="Arial" w:hAnsi="Arial" w:cs="Arial"/>
          <w:b/>
          <w:bCs/>
        </w:rPr>
      </w:pPr>
      <w:r w:rsidRPr="00963A27">
        <w:rPr>
          <w:rFonts w:ascii="Arial" w:hAnsi="Arial" w:cs="Arial"/>
          <w:b/>
          <w:bCs/>
        </w:rPr>
        <w:t xml:space="preserve">Neurological Disorders: </w:t>
      </w:r>
    </w:p>
    <w:p w14:paraId="291E629A" w14:textId="77777777" w:rsidR="001C6D6E" w:rsidRPr="00963A27" w:rsidRDefault="002A350C" w:rsidP="00956427">
      <w:pPr>
        <w:spacing w:line="360" w:lineRule="auto"/>
        <w:ind w:left="360"/>
        <w:jc w:val="both"/>
        <w:rPr>
          <w:rFonts w:ascii="Arial" w:hAnsi="Arial" w:cs="Arial"/>
          <w:b/>
          <w:bCs/>
          <w:sz w:val="20"/>
          <w:szCs w:val="20"/>
        </w:rPr>
      </w:pPr>
      <w:r w:rsidRPr="00963A27">
        <w:rPr>
          <w:rFonts w:ascii="Arial" w:hAnsi="Arial" w:cs="Arial"/>
          <w:sz w:val="20"/>
          <w:szCs w:val="20"/>
        </w:rPr>
        <w:t>Neurological and psychiatric conditions tend to need long-term medication compliance, which may be difficult because of dysphagia or lack of compliance. Oral wafers provide a convenient solution by ensuring quick and consistent drug delivery with minimal effort on the part of the patient.</w:t>
      </w:r>
    </w:p>
    <w:p w14:paraId="7F0F67E7" w14:textId="257F3235" w:rsidR="00126F8A" w:rsidRPr="00240B1C" w:rsidRDefault="008D3B1C" w:rsidP="00956427">
      <w:pPr>
        <w:spacing w:line="360" w:lineRule="auto"/>
        <w:ind w:left="360"/>
        <w:jc w:val="both"/>
        <w:rPr>
          <w:rFonts w:ascii="Arial" w:hAnsi="Arial" w:cs="Arial"/>
          <w:b/>
          <w:bCs/>
          <w:sz w:val="20"/>
          <w:szCs w:val="20"/>
        </w:rPr>
      </w:pPr>
      <w:r w:rsidRPr="00963A27">
        <w:rPr>
          <w:rFonts w:ascii="Arial" w:hAnsi="Arial" w:cs="Arial"/>
          <w:sz w:val="20"/>
          <w:szCs w:val="20"/>
        </w:rPr>
        <w:t xml:space="preserve">Example- </w:t>
      </w:r>
      <w:r w:rsidR="000D0D65" w:rsidRPr="00963A27">
        <w:rPr>
          <w:rFonts w:ascii="Arial" w:hAnsi="Arial" w:cs="Arial"/>
          <w:sz w:val="20"/>
          <w:szCs w:val="20"/>
        </w:rPr>
        <w:t xml:space="preserve">An example of oral wafer application in neurology is the use of dissolving oral clonazepam wafers for the acute treatment of prolonged seizures, providing a rapid onset of action and ease of administration, particularly in </w:t>
      </w:r>
      <w:r w:rsidR="001269F7">
        <w:rPr>
          <w:rFonts w:ascii="Arial" w:hAnsi="Arial" w:cs="Arial"/>
          <w:sz w:val="20"/>
          <w:szCs w:val="20"/>
        </w:rPr>
        <w:t>pediatric</w:t>
      </w:r>
      <w:r w:rsidR="000D0D65" w:rsidRPr="00963A27">
        <w:rPr>
          <w:rFonts w:ascii="Arial" w:hAnsi="Arial" w:cs="Arial"/>
          <w:sz w:val="20"/>
          <w:szCs w:val="20"/>
        </w:rPr>
        <w:t xml:space="preserve"> patients</w:t>
      </w:r>
      <w:r w:rsidR="00B86739" w:rsidRPr="00963A27">
        <w:rPr>
          <w:rFonts w:ascii="Arial" w:hAnsi="Arial" w:cs="Arial"/>
          <w:sz w:val="20"/>
          <w:szCs w:val="20"/>
        </w:rPr>
        <w:t>. [7</w:t>
      </w:r>
      <w:r w:rsidR="000D69B7">
        <w:rPr>
          <w:rFonts w:ascii="Arial" w:hAnsi="Arial" w:cs="Arial"/>
          <w:sz w:val="20"/>
          <w:szCs w:val="20"/>
        </w:rPr>
        <w:t>4</w:t>
      </w:r>
      <w:r w:rsidR="00B86739" w:rsidRPr="00963A27">
        <w:rPr>
          <w:rFonts w:ascii="Arial" w:hAnsi="Arial" w:cs="Arial"/>
          <w:sz w:val="20"/>
          <w:szCs w:val="20"/>
        </w:rPr>
        <w:t>]</w:t>
      </w:r>
    </w:p>
    <w:p w14:paraId="2384DA0C" w14:textId="5D4A1B8A" w:rsidR="001C6D6E" w:rsidRPr="00963A27" w:rsidRDefault="002A350C" w:rsidP="00956427">
      <w:pPr>
        <w:spacing w:line="360" w:lineRule="auto"/>
        <w:ind w:left="360"/>
        <w:jc w:val="both"/>
        <w:rPr>
          <w:rFonts w:ascii="Arial" w:hAnsi="Arial" w:cs="Arial"/>
          <w:b/>
        </w:rPr>
      </w:pPr>
      <w:r w:rsidRPr="00963A27">
        <w:rPr>
          <w:rFonts w:ascii="Arial" w:hAnsi="Arial" w:cs="Arial"/>
          <w:b/>
        </w:rPr>
        <w:t>Pain management: Opioids and NSAIDs</w:t>
      </w:r>
    </w:p>
    <w:p w14:paraId="30687E7D" w14:textId="77777777" w:rsidR="00F50F31" w:rsidRPr="00963A27" w:rsidRDefault="002A350C" w:rsidP="00956427">
      <w:pPr>
        <w:spacing w:line="360" w:lineRule="auto"/>
        <w:ind w:left="360"/>
        <w:jc w:val="both"/>
        <w:rPr>
          <w:rFonts w:ascii="Arial" w:hAnsi="Arial" w:cs="Arial"/>
          <w:b/>
          <w:bCs/>
          <w:sz w:val="20"/>
          <w:szCs w:val="20"/>
        </w:rPr>
      </w:pPr>
      <w:r w:rsidRPr="00963A27">
        <w:rPr>
          <w:rFonts w:ascii="Arial" w:hAnsi="Arial" w:cs="Arial"/>
          <w:sz w:val="20"/>
          <w:szCs w:val="20"/>
        </w:rPr>
        <w:t>Management of pain frequently requires instant relief, for which oral wafers are a perfect drug delivery platform.</w:t>
      </w:r>
    </w:p>
    <w:p w14:paraId="6A0A9CF4" w14:textId="56770E32" w:rsidR="007F4E62" w:rsidRPr="00963A27" w:rsidRDefault="007F4E62" w:rsidP="00956427">
      <w:pPr>
        <w:spacing w:line="360" w:lineRule="auto"/>
        <w:ind w:left="360"/>
        <w:jc w:val="both"/>
        <w:rPr>
          <w:rFonts w:ascii="Arial" w:hAnsi="Arial" w:cs="Arial"/>
          <w:b/>
          <w:bCs/>
          <w:sz w:val="20"/>
          <w:szCs w:val="20"/>
        </w:rPr>
      </w:pPr>
      <w:r w:rsidRPr="00963A27">
        <w:rPr>
          <w:rFonts w:ascii="Arial" w:hAnsi="Arial" w:cs="Arial"/>
          <w:sz w:val="20"/>
          <w:szCs w:val="20"/>
        </w:rPr>
        <w:t xml:space="preserve">Example- </w:t>
      </w:r>
    </w:p>
    <w:p w14:paraId="572D71E4" w14:textId="77777777" w:rsidR="00D84918" w:rsidRPr="00963A27" w:rsidRDefault="002A350C" w:rsidP="00882252">
      <w:pPr>
        <w:pStyle w:val="ListParagraph"/>
        <w:numPr>
          <w:ilvl w:val="0"/>
          <w:numId w:val="58"/>
        </w:numPr>
        <w:spacing w:line="360" w:lineRule="auto"/>
        <w:ind w:left="1080"/>
        <w:contextualSpacing w:val="0"/>
        <w:jc w:val="both"/>
        <w:rPr>
          <w:rFonts w:ascii="Arial" w:hAnsi="Arial" w:cs="Arial"/>
          <w:sz w:val="20"/>
          <w:szCs w:val="20"/>
        </w:rPr>
      </w:pPr>
      <w:r w:rsidRPr="00963A27">
        <w:rPr>
          <w:rFonts w:ascii="Arial" w:hAnsi="Arial" w:cs="Arial"/>
          <w:sz w:val="20"/>
          <w:szCs w:val="20"/>
        </w:rPr>
        <w:t>Opioids can be included in oral wafers to deliver quick analgesia for chronic pain, breakthrough cancer pain, and post-operative pain. Sublingual absorption is facilitated by these wafers, avoiding first-pass metabolism and providing greater bioavailability.</w:t>
      </w:r>
    </w:p>
    <w:p w14:paraId="67F4F264" w14:textId="559BA20E" w:rsidR="00F50F31" w:rsidRPr="00963A27" w:rsidRDefault="00D84918" w:rsidP="00882252">
      <w:pPr>
        <w:pStyle w:val="ListParagraph"/>
        <w:numPr>
          <w:ilvl w:val="0"/>
          <w:numId w:val="58"/>
        </w:numPr>
        <w:spacing w:line="360" w:lineRule="auto"/>
        <w:ind w:left="1080"/>
        <w:contextualSpacing w:val="0"/>
        <w:jc w:val="both"/>
        <w:rPr>
          <w:rFonts w:ascii="Arial" w:hAnsi="Arial" w:cs="Arial"/>
          <w:sz w:val="20"/>
          <w:szCs w:val="20"/>
        </w:rPr>
      </w:pPr>
      <w:r w:rsidRPr="00963A27">
        <w:rPr>
          <w:rFonts w:ascii="Arial" w:hAnsi="Arial" w:cs="Arial"/>
          <w:sz w:val="20"/>
          <w:szCs w:val="20"/>
        </w:rPr>
        <w:t xml:space="preserve">An example of tramadol hydrochloride delivery via oral wafers is the </w:t>
      </w:r>
      <w:r w:rsidRPr="00963A27">
        <w:rPr>
          <w:rStyle w:val="Strong"/>
          <w:rFonts w:ascii="Arial" w:eastAsiaTheme="majorEastAsia" w:hAnsi="Arial" w:cs="Arial"/>
          <w:b w:val="0"/>
          <w:bCs w:val="0"/>
          <w:sz w:val="20"/>
          <w:szCs w:val="20"/>
        </w:rPr>
        <w:t xml:space="preserve">design, development, and characterization of </w:t>
      </w:r>
      <w:r w:rsidR="00F21D13" w:rsidRPr="00963A27">
        <w:rPr>
          <w:rStyle w:val="Strong"/>
          <w:rFonts w:ascii="Arial" w:eastAsiaTheme="majorEastAsia" w:hAnsi="Arial" w:cs="Arial"/>
          <w:b w:val="0"/>
          <w:bCs w:val="0"/>
          <w:sz w:val="20"/>
          <w:szCs w:val="20"/>
        </w:rPr>
        <w:t>Oro mucosal</w:t>
      </w:r>
      <w:r w:rsidRPr="00963A27">
        <w:rPr>
          <w:rStyle w:val="Strong"/>
          <w:rFonts w:ascii="Arial" w:eastAsiaTheme="majorEastAsia" w:hAnsi="Arial" w:cs="Arial"/>
          <w:b w:val="0"/>
          <w:bCs w:val="0"/>
          <w:sz w:val="20"/>
          <w:szCs w:val="20"/>
        </w:rPr>
        <w:t xml:space="preserve"> wafers</w:t>
      </w:r>
      <w:r w:rsidRPr="00963A27">
        <w:rPr>
          <w:rFonts w:ascii="Arial" w:hAnsi="Arial" w:cs="Arial"/>
          <w:sz w:val="20"/>
          <w:szCs w:val="20"/>
        </w:rPr>
        <w:t>, formulated for rapid drug release and enhanced pain management.</w:t>
      </w:r>
      <w:r w:rsidR="00B86739" w:rsidRPr="00963A27">
        <w:rPr>
          <w:rFonts w:ascii="Arial" w:hAnsi="Arial" w:cs="Arial"/>
          <w:sz w:val="20"/>
          <w:szCs w:val="20"/>
        </w:rPr>
        <w:t xml:space="preserve"> [</w:t>
      </w:r>
      <w:r w:rsidR="00423DDD">
        <w:rPr>
          <w:rFonts w:ascii="Arial" w:hAnsi="Arial" w:cs="Arial"/>
          <w:sz w:val="20"/>
          <w:szCs w:val="20"/>
        </w:rPr>
        <w:t>67</w:t>
      </w:r>
      <w:r w:rsidR="00B86739" w:rsidRPr="00963A27">
        <w:rPr>
          <w:rFonts w:ascii="Arial" w:hAnsi="Arial" w:cs="Arial"/>
          <w:sz w:val="20"/>
          <w:szCs w:val="20"/>
        </w:rPr>
        <w:t>]</w:t>
      </w:r>
    </w:p>
    <w:p w14:paraId="259C08F7" w14:textId="4472927D" w:rsidR="002A350C" w:rsidRPr="00963A27" w:rsidRDefault="002A350C" w:rsidP="00956427">
      <w:pPr>
        <w:spacing w:line="360" w:lineRule="auto"/>
        <w:ind w:left="360"/>
        <w:jc w:val="both"/>
        <w:rPr>
          <w:rFonts w:ascii="Arial" w:hAnsi="Arial" w:cs="Arial"/>
          <w:sz w:val="24"/>
          <w:szCs w:val="24"/>
        </w:rPr>
      </w:pPr>
      <w:r w:rsidRPr="00963A27">
        <w:rPr>
          <w:rFonts w:ascii="Arial" w:hAnsi="Arial" w:cs="Arial"/>
          <w:b/>
        </w:rPr>
        <w:t>Cardiovascular Drugs</w:t>
      </w:r>
    </w:p>
    <w:p w14:paraId="1133E05A" w14:textId="2976CBA1" w:rsidR="002A350C" w:rsidRPr="00963A27" w:rsidRDefault="002A350C" w:rsidP="00956427">
      <w:pPr>
        <w:spacing w:line="360" w:lineRule="auto"/>
        <w:ind w:left="360"/>
        <w:jc w:val="both"/>
        <w:rPr>
          <w:rFonts w:ascii="Arial" w:hAnsi="Arial" w:cs="Arial"/>
          <w:sz w:val="20"/>
          <w:szCs w:val="20"/>
        </w:rPr>
      </w:pPr>
      <w:r w:rsidRPr="00963A27">
        <w:rPr>
          <w:rFonts w:ascii="Arial" w:hAnsi="Arial" w:cs="Arial"/>
          <w:sz w:val="20"/>
          <w:szCs w:val="20"/>
        </w:rPr>
        <w:t xml:space="preserve">Cardiac emergencies like hypertensive emergencies, angina pectoris, and heart failure demand instant care. Oral wafers yield quick and rapid drug delivery to manage these emergent conditions. </w:t>
      </w:r>
    </w:p>
    <w:p w14:paraId="1F214D22" w14:textId="77777777" w:rsidR="007445F8" w:rsidRPr="00963A27" w:rsidRDefault="007445F8" w:rsidP="00956427">
      <w:pPr>
        <w:spacing w:line="360" w:lineRule="auto"/>
        <w:ind w:left="360"/>
        <w:jc w:val="both"/>
        <w:rPr>
          <w:rFonts w:ascii="Arial" w:hAnsi="Arial" w:cs="Arial"/>
          <w:sz w:val="20"/>
          <w:szCs w:val="20"/>
        </w:rPr>
      </w:pPr>
      <w:r w:rsidRPr="00963A27">
        <w:rPr>
          <w:rFonts w:ascii="Arial" w:hAnsi="Arial" w:cs="Arial"/>
          <w:sz w:val="20"/>
          <w:szCs w:val="20"/>
        </w:rPr>
        <w:t>Example-</w:t>
      </w:r>
    </w:p>
    <w:p w14:paraId="44E8B89F" w14:textId="502D89B6" w:rsidR="002A350C" w:rsidRPr="00963A27" w:rsidRDefault="002A350C" w:rsidP="00882252">
      <w:pPr>
        <w:pStyle w:val="ListParagraph"/>
        <w:numPr>
          <w:ilvl w:val="0"/>
          <w:numId w:val="69"/>
        </w:numPr>
        <w:spacing w:line="360" w:lineRule="auto"/>
        <w:ind w:left="1080"/>
        <w:jc w:val="both"/>
        <w:rPr>
          <w:rFonts w:ascii="Arial" w:hAnsi="Arial" w:cs="Arial"/>
          <w:sz w:val="20"/>
          <w:szCs w:val="20"/>
        </w:rPr>
      </w:pPr>
      <w:r w:rsidRPr="00963A27">
        <w:rPr>
          <w:rFonts w:ascii="Arial" w:hAnsi="Arial" w:cs="Arial"/>
          <w:sz w:val="20"/>
          <w:szCs w:val="20"/>
        </w:rPr>
        <w:lastRenderedPageBreak/>
        <w:t>Antihypertensives: Various antihypertensives have been encapsulated in the form of rapid-dissolving films to accelerate blood pressure decline. These medicines are especially valuable in patients suffering from dysphagia and emergency situations needing immediate drug effects.</w:t>
      </w:r>
    </w:p>
    <w:p w14:paraId="7322428F" w14:textId="413FB080" w:rsidR="0014498F" w:rsidRPr="00963A27" w:rsidRDefault="00477298" w:rsidP="00882252">
      <w:pPr>
        <w:pStyle w:val="ListParagraph"/>
        <w:numPr>
          <w:ilvl w:val="0"/>
          <w:numId w:val="69"/>
        </w:numPr>
        <w:spacing w:line="360" w:lineRule="auto"/>
        <w:ind w:left="1080"/>
        <w:jc w:val="both"/>
        <w:rPr>
          <w:rFonts w:ascii="Arial" w:hAnsi="Arial" w:cs="Arial"/>
          <w:sz w:val="20"/>
          <w:szCs w:val="20"/>
        </w:rPr>
      </w:pPr>
      <w:r w:rsidRPr="00963A27">
        <w:rPr>
          <w:rFonts w:ascii="Arial" w:hAnsi="Arial" w:cs="Arial"/>
          <w:sz w:val="20"/>
          <w:szCs w:val="20"/>
        </w:rPr>
        <w:t xml:space="preserve">An example of buccal wafer technology for cardiovascular treatment is the development and evaluation of </w:t>
      </w:r>
      <w:r w:rsidR="00F21D13" w:rsidRPr="00963A27">
        <w:rPr>
          <w:rFonts w:ascii="Arial" w:hAnsi="Arial" w:cs="Arial"/>
          <w:sz w:val="20"/>
          <w:szCs w:val="20"/>
        </w:rPr>
        <w:t>Bucco adhesive</w:t>
      </w:r>
      <w:r w:rsidRPr="00963A27">
        <w:rPr>
          <w:rFonts w:ascii="Arial" w:hAnsi="Arial" w:cs="Arial"/>
          <w:sz w:val="20"/>
          <w:szCs w:val="20"/>
        </w:rPr>
        <w:t xml:space="preserve"> wafers of nimodipine, designed for hypertension management with enhanced mucoadhesion and controlled drug release. [7</w:t>
      </w:r>
      <w:r w:rsidR="00A3576C">
        <w:rPr>
          <w:rFonts w:ascii="Arial" w:hAnsi="Arial" w:cs="Arial"/>
          <w:sz w:val="20"/>
          <w:szCs w:val="20"/>
        </w:rPr>
        <w:t>5</w:t>
      </w:r>
      <w:r w:rsidRPr="00963A27">
        <w:rPr>
          <w:rFonts w:ascii="Arial" w:hAnsi="Arial" w:cs="Arial"/>
          <w:sz w:val="20"/>
          <w:szCs w:val="20"/>
        </w:rPr>
        <w:t>]</w:t>
      </w:r>
    </w:p>
    <w:p w14:paraId="569B2053" w14:textId="1A337DEC" w:rsidR="002A350C" w:rsidRPr="00963A27" w:rsidRDefault="002A350C" w:rsidP="00956427">
      <w:pPr>
        <w:spacing w:line="360" w:lineRule="auto"/>
        <w:ind w:left="360"/>
        <w:jc w:val="both"/>
        <w:rPr>
          <w:rFonts w:ascii="Arial" w:hAnsi="Arial" w:cs="Arial"/>
          <w:sz w:val="24"/>
          <w:szCs w:val="24"/>
        </w:rPr>
      </w:pPr>
      <w:r w:rsidRPr="00963A27">
        <w:rPr>
          <w:rFonts w:ascii="Arial" w:hAnsi="Arial" w:cs="Arial"/>
          <w:b/>
        </w:rPr>
        <w:t>Antibiotics: Infection-Specific Formulations</w:t>
      </w:r>
    </w:p>
    <w:p w14:paraId="19D59042" w14:textId="5B0E130A" w:rsidR="002A350C" w:rsidRPr="00963A27" w:rsidRDefault="002A350C" w:rsidP="00956427">
      <w:pPr>
        <w:spacing w:line="360" w:lineRule="auto"/>
        <w:ind w:left="360"/>
        <w:jc w:val="both"/>
        <w:rPr>
          <w:rFonts w:ascii="Arial" w:hAnsi="Arial" w:cs="Arial"/>
          <w:sz w:val="20"/>
          <w:szCs w:val="20"/>
        </w:rPr>
      </w:pPr>
      <w:r w:rsidRPr="00963A27">
        <w:rPr>
          <w:rFonts w:ascii="Arial" w:hAnsi="Arial" w:cs="Arial"/>
          <w:sz w:val="20"/>
          <w:szCs w:val="20"/>
        </w:rPr>
        <w:t>Prompt and effective drug delivery is important in the treatment of bacterial and viral infections. Oral wafers enable quick drug absorption, which leads to swift therapeutic action and prevents the development of disease.</w:t>
      </w:r>
    </w:p>
    <w:p w14:paraId="34E2AEF7" w14:textId="296C863C" w:rsidR="002A350C" w:rsidRPr="00963A27" w:rsidRDefault="002A350C" w:rsidP="00956427">
      <w:pPr>
        <w:spacing w:line="360" w:lineRule="auto"/>
        <w:ind w:left="360"/>
        <w:jc w:val="both"/>
        <w:rPr>
          <w:rFonts w:ascii="Arial" w:hAnsi="Arial" w:cs="Arial"/>
          <w:sz w:val="20"/>
          <w:szCs w:val="20"/>
        </w:rPr>
      </w:pPr>
      <w:r w:rsidRPr="00963A27">
        <w:rPr>
          <w:rFonts w:ascii="Arial" w:hAnsi="Arial" w:cs="Arial"/>
          <w:sz w:val="20"/>
          <w:szCs w:val="20"/>
        </w:rPr>
        <w:t>Antibiotics</w:t>
      </w:r>
      <w:r w:rsidR="00477298" w:rsidRPr="00963A27">
        <w:rPr>
          <w:rFonts w:ascii="Arial" w:hAnsi="Arial" w:cs="Arial"/>
          <w:sz w:val="20"/>
          <w:szCs w:val="20"/>
        </w:rPr>
        <w:t xml:space="preserve"> loaded</w:t>
      </w:r>
      <w:r w:rsidRPr="00963A27">
        <w:rPr>
          <w:rFonts w:ascii="Arial" w:hAnsi="Arial" w:cs="Arial"/>
          <w:sz w:val="20"/>
          <w:szCs w:val="20"/>
        </w:rPr>
        <w:t xml:space="preserve"> into wafers taken orally to make it easier for patients to stick to their medicine and have faster action. It is especially helpful in the management of </w:t>
      </w:r>
      <w:r w:rsidR="001269F7">
        <w:rPr>
          <w:rFonts w:ascii="Arial" w:hAnsi="Arial" w:cs="Arial"/>
          <w:sz w:val="20"/>
          <w:szCs w:val="20"/>
        </w:rPr>
        <w:t>pediatric</w:t>
      </w:r>
      <w:r w:rsidRPr="00963A27">
        <w:rPr>
          <w:rFonts w:ascii="Arial" w:hAnsi="Arial" w:cs="Arial"/>
          <w:sz w:val="20"/>
          <w:szCs w:val="20"/>
        </w:rPr>
        <w:t xml:space="preserve"> and geriatric patients who have difficulties swallowing capsules or syrups.</w:t>
      </w:r>
    </w:p>
    <w:p w14:paraId="445583A0" w14:textId="01346444" w:rsidR="00B607AD" w:rsidRPr="00240B1C" w:rsidRDefault="00102792" w:rsidP="00956427">
      <w:pPr>
        <w:spacing w:line="360" w:lineRule="auto"/>
        <w:ind w:left="360"/>
        <w:jc w:val="both"/>
        <w:rPr>
          <w:rFonts w:ascii="Arial" w:hAnsi="Arial" w:cs="Arial"/>
          <w:sz w:val="20"/>
          <w:szCs w:val="20"/>
        </w:rPr>
      </w:pPr>
      <w:r w:rsidRPr="00963A27">
        <w:rPr>
          <w:rFonts w:ascii="Arial" w:hAnsi="Arial" w:cs="Arial"/>
          <w:sz w:val="20"/>
          <w:szCs w:val="20"/>
        </w:rPr>
        <w:t>Example- An example of antibacterial wafer technology for wound healing is the development of ciprofloxacin-loaded calcium alginate wafers, formulated using the freeze-drying technique for the potential treatment of chronic diabetic foot ulcers by providing sustained drug release and enhanced wound healing.</w:t>
      </w:r>
      <w:r w:rsidR="00921475" w:rsidRPr="00963A27">
        <w:rPr>
          <w:rFonts w:ascii="Arial" w:hAnsi="Arial" w:cs="Arial"/>
          <w:sz w:val="20"/>
          <w:szCs w:val="20"/>
        </w:rPr>
        <w:t>[7</w:t>
      </w:r>
      <w:r w:rsidR="002A6BE9">
        <w:rPr>
          <w:rFonts w:ascii="Arial" w:hAnsi="Arial" w:cs="Arial"/>
          <w:sz w:val="20"/>
          <w:szCs w:val="20"/>
        </w:rPr>
        <w:t>6</w:t>
      </w:r>
      <w:r w:rsidR="00921475" w:rsidRPr="00963A27">
        <w:rPr>
          <w:rFonts w:ascii="Arial" w:hAnsi="Arial" w:cs="Arial"/>
          <w:sz w:val="20"/>
          <w:szCs w:val="20"/>
        </w:rPr>
        <w:t>]</w:t>
      </w:r>
    </w:p>
    <w:p w14:paraId="059BCF87" w14:textId="5197B708" w:rsidR="00B66607" w:rsidRPr="00963A27" w:rsidRDefault="00B66607" w:rsidP="00956427">
      <w:pPr>
        <w:spacing w:line="360" w:lineRule="auto"/>
        <w:ind w:left="360"/>
        <w:jc w:val="both"/>
        <w:rPr>
          <w:rFonts w:ascii="Arial" w:hAnsi="Arial" w:cs="Arial"/>
          <w:sz w:val="20"/>
          <w:szCs w:val="20"/>
        </w:rPr>
      </w:pPr>
      <w:r w:rsidRPr="00963A27">
        <w:rPr>
          <w:rFonts w:ascii="Arial" w:hAnsi="Arial" w:cs="Arial"/>
          <w:b/>
          <w:bCs/>
          <w:sz w:val="20"/>
          <w:szCs w:val="20"/>
        </w:rPr>
        <w:t>Antidiabetic drugs</w:t>
      </w:r>
    </w:p>
    <w:p w14:paraId="7B632FAE" w14:textId="339C1343" w:rsidR="00B66607" w:rsidRPr="00963A27" w:rsidRDefault="00B66607" w:rsidP="00956427">
      <w:pPr>
        <w:spacing w:line="360" w:lineRule="auto"/>
        <w:ind w:left="360"/>
        <w:jc w:val="both"/>
        <w:rPr>
          <w:rFonts w:ascii="Arial" w:hAnsi="Arial" w:cs="Arial"/>
          <w:sz w:val="20"/>
          <w:szCs w:val="20"/>
        </w:rPr>
      </w:pPr>
      <w:r w:rsidRPr="00963A27">
        <w:rPr>
          <w:rFonts w:ascii="Arial" w:hAnsi="Arial" w:cs="Arial"/>
          <w:sz w:val="20"/>
          <w:szCs w:val="20"/>
        </w:rPr>
        <w:t>An antidiabetic oral wafer is a fast-dissolving film or wafer designed for the rapid and convenient delivery of antidiabetic drugs. It dissolves in the mouth without the need for water, making it ideal for patients with swallowing difficulties or those needing a quick onset of action.</w:t>
      </w:r>
    </w:p>
    <w:p w14:paraId="52D18BD9" w14:textId="15C29C69" w:rsidR="001403CE" w:rsidRPr="00963A27" w:rsidRDefault="00260A6D" w:rsidP="00956427">
      <w:pPr>
        <w:spacing w:line="360" w:lineRule="auto"/>
        <w:ind w:left="360"/>
        <w:jc w:val="both"/>
        <w:rPr>
          <w:rFonts w:ascii="Arial" w:hAnsi="Arial" w:cs="Arial"/>
          <w:sz w:val="20"/>
          <w:szCs w:val="20"/>
        </w:rPr>
      </w:pPr>
      <w:r w:rsidRPr="00963A27">
        <w:rPr>
          <w:rFonts w:ascii="Arial" w:hAnsi="Arial" w:cs="Arial"/>
          <w:sz w:val="20"/>
          <w:szCs w:val="20"/>
        </w:rPr>
        <w:t>Example- An example of antidiabetic oral wafer formulation is the development and evaluation of fast-dissolving oral wafers of linagliptin, designed for enhanced bioavailability and rapid onset of action, improving patient compliance in diabetes management</w:t>
      </w:r>
      <w:r w:rsidR="00921475" w:rsidRPr="00963A27">
        <w:rPr>
          <w:rFonts w:ascii="Arial" w:hAnsi="Arial" w:cs="Arial"/>
          <w:sz w:val="20"/>
          <w:szCs w:val="20"/>
        </w:rPr>
        <w:t>.</w:t>
      </w:r>
      <w:bookmarkStart w:id="4" w:name="_Hlk193975052"/>
      <w:r w:rsidR="00921475" w:rsidRPr="00963A27">
        <w:rPr>
          <w:rFonts w:ascii="Arial" w:hAnsi="Arial" w:cs="Arial"/>
          <w:sz w:val="20"/>
          <w:szCs w:val="20"/>
        </w:rPr>
        <w:t>[7</w:t>
      </w:r>
      <w:r w:rsidR="002A6BE9">
        <w:rPr>
          <w:rFonts w:ascii="Arial" w:hAnsi="Arial" w:cs="Arial"/>
          <w:sz w:val="20"/>
          <w:szCs w:val="20"/>
        </w:rPr>
        <w:t>7</w:t>
      </w:r>
      <w:r w:rsidR="00921475" w:rsidRPr="00963A27">
        <w:rPr>
          <w:rFonts w:ascii="Arial" w:hAnsi="Arial" w:cs="Arial"/>
          <w:sz w:val="20"/>
          <w:szCs w:val="20"/>
        </w:rPr>
        <w:t>]</w:t>
      </w:r>
      <w:bookmarkEnd w:id="4"/>
    </w:p>
    <w:p w14:paraId="6B5CAD91" w14:textId="65B79491" w:rsidR="002A350C" w:rsidRPr="00963A27" w:rsidRDefault="008A4F79" w:rsidP="00882252">
      <w:pPr>
        <w:pStyle w:val="ListParagraph"/>
        <w:numPr>
          <w:ilvl w:val="0"/>
          <w:numId w:val="12"/>
        </w:numPr>
        <w:spacing w:line="360" w:lineRule="auto"/>
        <w:jc w:val="both"/>
        <w:rPr>
          <w:rFonts w:ascii="Arial" w:hAnsi="Arial" w:cs="Arial"/>
          <w:b/>
        </w:rPr>
      </w:pPr>
      <w:r w:rsidRPr="00963A27">
        <w:rPr>
          <w:rFonts w:ascii="Arial" w:hAnsi="Arial" w:cs="Arial"/>
          <w:b/>
          <w:bCs/>
        </w:rPr>
        <w:t>PATENT LANDSCAPE</w:t>
      </w:r>
    </w:p>
    <w:p w14:paraId="5D7B8F28" w14:textId="77777777" w:rsidR="002A350C" w:rsidRPr="00963A27" w:rsidRDefault="002A350C" w:rsidP="00956427">
      <w:pPr>
        <w:spacing w:line="360" w:lineRule="auto"/>
        <w:ind w:left="360"/>
        <w:jc w:val="both"/>
        <w:rPr>
          <w:rFonts w:ascii="Arial" w:hAnsi="Arial" w:cs="Arial"/>
          <w:sz w:val="20"/>
          <w:szCs w:val="20"/>
        </w:rPr>
      </w:pPr>
      <w:r w:rsidRPr="00963A27">
        <w:rPr>
          <w:rFonts w:ascii="Arial" w:hAnsi="Arial" w:cs="Arial"/>
          <w:sz w:val="20"/>
          <w:szCs w:val="20"/>
        </w:rPr>
        <w:t>The patent landscape for oral wafer drug delivery systems is evolving, with several key patents protecting formulation compositions, manufacturing methods, and novel applications.</w:t>
      </w:r>
    </w:p>
    <w:p w14:paraId="682FD88E" w14:textId="77777777" w:rsidR="002A350C" w:rsidRPr="00963A27" w:rsidRDefault="002A350C" w:rsidP="00956427">
      <w:pPr>
        <w:spacing w:line="360" w:lineRule="auto"/>
        <w:ind w:left="360"/>
        <w:jc w:val="both"/>
        <w:rPr>
          <w:rFonts w:ascii="Arial" w:hAnsi="Arial" w:cs="Arial"/>
        </w:rPr>
      </w:pPr>
      <w:r w:rsidRPr="00963A27">
        <w:rPr>
          <w:rFonts w:ascii="Arial" w:hAnsi="Arial" w:cs="Arial"/>
          <w:b/>
        </w:rPr>
        <w:t>Key Patents:</w:t>
      </w:r>
    </w:p>
    <w:p w14:paraId="6C194FC0" w14:textId="77777777" w:rsidR="004C514B"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EP2821066- </w:t>
      </w:r>
      <w:r w:rsidRPr="00963A27">
        <w:rPr>
          <w:rFonts w:ascii="Arial" w:eastAsia="Times New Roman" w:hAnsi="Arial" w:cs="Arial"/>
          <w:kern w:val="0"/>
          <w:sz w:val="20"/>
          <w:szCs w:val="20"/>
          <w:lang w:eastAsia="en-IN"/>
          <w14:ligatures w14:val="none"/>
        </w:rPr>
        <w:t>High-content fast dissolving film with masking of bitter taste comprising sildenafil as active ingredient</w:t>
      </w:r>
    </w:p>
    <w:p w14:paraId="488BD92D" w14:textId="55F69CE5" w:rsidR="004C514B" w:rsidRPr="00963A27" w:rsidRDefault="004C514B" w:rsidP="00956427">
      <w:pPr>
        <w:pStyle w:val="ListParagraph"/>
        <w:spacing w:line="360" w:lineRule="auto"/>
        <w:ind w:left="644"/>
        <w:jc w:val="both"/>
        <w:rPr>
          <w:rFonts w:ascii="Arial" w:eastAsia="Times New Roman" w:hAnsi="Arial" w:cs="Arial"/>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Jeong </w:t>
      </w:r>
      <w:r w:rsidRPr="00963A27">
        <w:rPr>
          <w:rFonts w:ascii="Arial" w:eastAsia="Times New Roman" w:hAnsi="Arial" w:cs="Arial"/>
          <w:i/>
          <w:kern w:val="0"/>
          <w:sz w:val="20"/>
          <w:szCs w:val="20"/>
          <w:lang w:eastAsia="en-IN"/>
          <w14:ligatures w14:val="none"/>
        </w:rPr>
        <w:t>et al</w:t>
      </w:r>
      <w:r w:rsidRPr="00963A27">
        <w:rPr>
          <w:rFonts w:ascii="Arial" w:eastAsia="Times New Roman" w:hAnsi="Arial" w:cs="Arial"/>
          <w:kern w:val="0"/>
          <w:sz w:val="20"/>
          <w:szCs w:val="20"/>
          <w:lang w:eastAsia="en-IN"/>
          <w14:ligatures w14:val="none"/>
        </w:rPr>
        <w:t xml:space="preserve">  </w:t>
      </w:r>
      <w:r w:rsidR="009F7C00" w:rsidRPr="00963A27">
        <w:rPr>
          <w:rFonts w:ascii="Arial" w:eastAsia="Times New Roman" w:hAnsi="Arial" w:cs="Arial"/>
          <w:kern w:val="0"/>
          <w:sz w:val="20"/>
          <w:szCs w:val="20"/>
          <w:lang w:eastAsia="en-IN"/>
          <w14:ligatures w14:val="none"/>
        </w:rPr>
        <w:t>(</w:t>
      </w:r>
      <w:r w:rsidRPr="00963A27">
        <w:rPr>
          <w:rFonts w:ascii="Arial" w:eastAsia="Times New Roman" w:hAnsi="Arial" w:cs="Arial"/>
          <w:kern w:val="0"/>
          <w:sz w:val="20"/>
          <w:szCs w:val="20"/>
          <w:lang w:eastAsia="en-IN"/>
          <w14:ligatures w14:val="none"/>
        </w:rPr>
        <w:t>2015</w:t>
      </w:r>
      <w:r w:rsidR="009F7C00" w:rsidRPr="00963A27">
        <w:rPr>
          <w:rFonts w:ascii="Arial" w:eastAsia="Times New Roman" w:hAnsi="Arial" w:cs="Arial"/>
          <w:kern w:val="0"/>
          <w:sz w:val="20"/>
          <w:szCs w:val="20"/>
          <w:lang w:eastAsia="en-IN"/>
          <w14:ligatures w14:val="none"/>
        </w:rPr>
        <w:t>)</w:t>
      </w:r>
      <w:r w:rsidR="00A072B7" w:rsidRPr="00963A27">
        <w:rPr>
          <w:rFonts w:ascii="Arial" w:hAnsi="Arial" w:cs="Arial"/>
          <w:sz w:val="24"/>
          <w:szCs w:val="24"/>
        </w:rPr>
        <w:t xml:space="preserve"> [7</w:t>
      </w:r>
      <w:r w:rsidR="002A6BE9">
        <w:rPr>
          <w:rFonts w:ascii="Arial" w:hAnsi="Arial" w:cs="Arial"/>
          <w:sz w:val="24"/>
          <w:szCs w:val="24"/>
        </w:rPr>
        <w:t>8</w:t>
      </w:r>
      <w:r w:rsidR="00A072B7" w:rsidRPr="00963A27">
        <w:rPr>
          <w:rFonts w:ascii="Arial" w:hAnsi="Arial" w:cs="Arial"/>
          <w:sz w:val="24"/>
          <w:szCs w:val="24"/>
        </w:rPr>
        <w:t>]</w:t>
      </w:r>
    </w:p>
    <w:p w14:paraId="05B5B89D" w14:textId="77777777" w:rsidR="009F7C00"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EP2883540</w:t>
      </w:r>
      <w:r w:rsidR="009F7C00"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Fast-dissolving oral film preparation comprising aripiprazole</w:t>
      </w:r>
    </w:p>
    <w:p w14:paraId="0E74F77F" w14:textId="13F2F506" w:rsidR="004C514B" w:rsidRPr="00963A27" w:rsidRDefault="004C514B" w:rsidP="00956427">
      <w:pPr>
        <w:pStyle w:val="ListParagraph"/>
        <w:spacing w:line="360" w:lineRule="auto"/>
        <w:ind w:left="644"/>
        <w:jc w:val="both"/>
        <w:rPr>
          <w:rFonts w:ascii="Arial" w:eastAsia="Times New Roman" w:hAnsi="Arial" w:cs="Arial"/>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Kim </w:t>
      </w:r>
      <w:r w:rsidRPr="00963A27">
        <w:rPr>
          <w:rFonts w:ascii="Arial" w:eastAsia="Times New Roman" w:hAnsi="Arial" w:cs="Arial"/>
          <w:i/>
          <w:kern w:val="0"/>
          <w:sz w:val="20"/>
          <w:szCs w:val="20"/>
          <w:lang w:eastAsia="en-IN"/>
          <w14:ligatures w14:val="none"/>
        </w:rPr>
        <w:t>et al</w:t>
      </w:r>
      <w:r w:rsidR="009F7C00" w:rsidRPr="00963A27">
        <w:rPr>
          <w:rFonts w:ascii="Arial" w:eastAsia="Times New Roman" w:hAnsi="Arial" w:cs="Arial"/>
          <w:kern w:val="0"/>
          <w:sz w:val="20"/>
          <w:szCs w:val="20"/>
          <w:lang w:eastAsia="en-IN"/>
          <w14:ligatures w14:val="none"/>
        </w:rPr>
        <w:t xml:space="preserve"> </w:t>
      </w:r>
      <w:r w:rsidR="000B5131"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2015</w:t>
      </w:r>
      <w:r w:rsidR="000B5131" w:rsidRPr="00963A27">
        <w:rPr>
          <w:rFonts w:ascii="Arial" w:eastAsia="Times New Roman" w:hAnsi="Arial" w:cs="Arial"/>
          <w:kern w:val="0"/>
          <w:sz w:val="20"/>
          <w:szCs w:val="20"/>
          <w:lang w:eastAsia="en-IN"/>
          <w14:ligatures w14:val="none"/>
        </w:rPr>
        <w:t>)</w:t>
      </w:r>
      <w:r w:rsidR="00A072B7" w:rsidRPr="00963A27">
        <w:rPr>
          <w:rFonts w:ascii="Arial" w:hAnsi="Arial" w:cs="Arial"/>
        </w:rPr>
        <w:t xml:space="preserve"> </w:t>
      </w:r>
      <w:r w:rsidR="00A072B7" w:rsidRPr="00963A27">
        <w:rPr>
          <w:rFonts w:ascii="Arial" w:eastAsia="Times New Roman" w:hAnsi="Arial" w:cs="Arial"/>
          <w:kern w:val="0"/>
          <w:sz w:val="24"/>
          <w:szCs w:val="24"/>
          <w:lang w:eastAsia="en-IN"/>
          <w14:ligatures w14:val="none"/>
        </w:rPr>
        <w:t>[</w:t>
      </w:r>
      <w:r w:rsidR="002A6BE9">
        <w:rPr>
          <w:rFonts w:ascii="Arial" w:eastAsia="Times New Roman" w:hAnsi="Arial" w:cs="Arial"/>
          <w:kern w:val="0"/>
          <w:sz w:val="24"/>
          <w:szCs w:val="24"/>
          <w:lang w:eastAsia="en-IN"/>
          <w14:ligatures w14:val="none"/>
        </w:rPr>
        <w:t>79</w:t>
      </w:r>
      <w:r w:rsidR="00A072B7" w:rsidRPr="00963A27">
        <w:rPr>
          <w:rFonts w:ascii="Arial" w:eastAsia="Times New Roman" w:hAnsi="Arial" w:cs="Arial"/>
          <w:kern w:val="0"/>
          <w:sz w:val="24"/>
          <w:szCs w:val="24"/>
          <w:lang w:eastAsia="en-IN"/>
          <w14:ligatures w14:val="none"/>
        </w:rPr>
        <w:t>]</w:t>
      </w:r>
    </w:p>
    <w:p w14:paraId="44820C63" w14:textId="77777777" w:rsidR="000B5131"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lastRenderedPageBreak/>
        <w:t>US8906277</w:t>
      </w:r>
      <w:r w:rsidR="000B5131"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Process for manufacturing a resulting pharmaceutical film</w:t>
      </w:r>
    </w:p>
    <w:p w14:paraId="2FEC4930" w14:textId="70E3A552" w:rsidR="00C340C8" w:rsidRPr="00963A27" w:rsidRDefault="004C514B" w:rsidP="00956427">
      <w:pPr>
        <w:pStyle w:val="ListParagraph"/>
        <w:spacing w:line="360" w:lineRule="auto"/>
        <w:ind w:left="64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Yang </w:t>
      </w:r>
      <w:r w:rsidRPr="00963A27">
        <w:rPr>
          <w:rFonts w:ascii="Arial" w:eastAsia="Times New Roman" w:hAnsi="Arial" w:cs="Arial"/>
          <w:i/>
          <w:kern w:val="0"/>
          <w:sz w:val="20"/>
          <w:szCs w:val="20"/>
          <w:lang w:eastAsia="en-IN"/>
          <w14:ligatures w14:val="none"/>
        </w:rPr>
        <w:t>et al</w:t>
      </w:r>
      <w:r w:rsidR="000B5131"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2014</w:t>
      </w:r>
      <w:r w:rsidR="000B5131" w:rsidRPr="00963A27">
        <w:rPr>
          <w:rFonts w:ascii="Arial" w:eastAsia="Times New Roman" w:hAnsi="Arial" w:cs="Arial"/>
          <w:kern w:val="0"/>
          <w:sz w:val="20"/>
          <w:szCs w:val="20"/>
          <w:lang w:eastAsia="en-IN"/>
          <w14:ligatures w14:val="none"/>
        </w:rPr>
        <w:t>)</w:t>
      </w:r>
      <w:r w:rsidR="00A072B7" w:rsidRPr="00963A27">
        <w:rPr>
          <w:rFonts w:ascii="Arial" w:hAnsi="Arial" w:cs="Arial"/>
        </w:rPr>
        <w:t xml:space="preserve"> </w:t>
      </w:r>
      <w:r w:rsidR="00A072B7" w:rsidRPr="00963A27">
        <w:rPr>
          <w:rFonts w:ascii="Arial" w:eastAsia="Times New Roman" w:hAnsi="Arial" w:cs="Arial"/>
          <w:kern w:val="0"/>
          <w:sz w:val="24"/>
          <w:szCs w:val="24"/>
          <w:lang w:eastAsia="en-IN"/>
          <w14:ligatures w14:val="none"/>
        </w:rPr>
        <w:t>[8</w:t>
      </w:r>
      <w:r w:rsidR="002A6BE9">
        <w:rPr>
          <w:rFonts w:ascii="Arial" w:eastAsia="Times New Roman" w:hAnsi="Arial" w:cs="Arial"/>
          <w:kern w:val="0"/>
          <w:sz w:val="24"/>
          <w:szCs w:val="24"/>
          <w:lang w:eastAsia="en-IN"/>
          <w14:ligatures w14:val="none"/>
        </w:rPr>
        <w:t>0</w:t>
      </w:r>
      <w:r w:rsidR="00A072B7" w:rsidRPr="00963A27">
        <w:rPr>
          <w:rFonts w:ascii="Arial" w:eastAsia="Times New Roman" w:hAnsi="Arial" w:cs="Arial"/>
          <w:kern w:val="0"/>
          <w:sz w:val="24"/>
          <w:szCs w:val="24"/>
          <w:lang w:eastAsia="en-IN"/>
          <w14:ligatures w14:val="none"/>
        </w:rPr>
        <w:t>]</w:t>
      </w:r>
    </w:p>
    <w:p w14:paraId="49FACE85" w14:textId="109BE742" w:rsidR="00E67D2F"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EP2509631</w:t>
      </w:r>
      <w:r w:rsidR="00E67D2F" w:rsidRPr="00963A27">
        <w:rPr>
          <w:rFonts w:ascii="Arial" w:eastAsia="Times New Roman" w:hAnsi="Arial" w:cs="Arial"/>
          <w:b/>
          <w:kern w:val="0"/>
          <w:sz w:val="20"/>
          <w:szCs w:val="20"/>
          <w:lang w:eastAsia="en-IN"/>
          <w14:ligatures w14:val="none"/>
        </w:rPr>
        <w:t xml:space="preserve">- </w:t>
      </w:r>
      <w:r w:rsidR="00504B8E" w:rsidRPr="00963A27">
        <w:rPr>
          <w:rFonts w:ascii="Arial" w:eastAsia="Times New Roman" w:hAnsi="Arial" w:cs="Arial"/>
          <w:kern w:val="0"/>
          <w:sz w:val="20"/>
          <w:szCs w:val="20"/>
          <w:lang w:eastAsia="en-IN"/>
          <w14:ligatures w14:val="none"/>
        </w:rPr>
        <w:t>p</w:t>
      </w:r>
      <w:r w:rsidRPr="00963A27">
        <w:rPr>
          <w:rFonts w:ascii="Arial" w:eastAsia="Times New Roman" w:hAnsi="Arial" w:cs="Arial"/>
          <w:kern w:val="0"/>
          <w:sz w:val="20"/>
          <w:szCs w:val="20"/>
          <w:lang w:eastAsia="en-IN"/>
          <w14:ligatures w14:val="none"/>
        </w:rPr>
        <w:t>H sensitive compounds in taste masking within oral thin film strips</w:t>
      </w:r>
    </w:p>
    <w:p w14:paraId="72A2B151" w14:textId="01FF9D06" w:rsidR="0010375C" w:rsidRPr="00963A27" w:rsidRDefault="004C514B" w:rsidP="00956427">
      <w:pPr>
        <w:pStyle w:val="ListParagraph"/>
        <w:spacing w:line="360" w:lineRule="auto"/>
        <w:ind w:left="64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Schobel </w:t>
      </w:r>
      <w:r w:rsidRPr="00963A27">
        <w:rPr>
          <w:rFonts w:ascii="Arial" w:eastAsia="Times New Roman" w:hAnsi="Arial" w:cs="Arial"/>
          <w:i/>
          <w:kern w:val="0"/>
          <w:sz w:val="20"/>
          <w:szCs w:val="20"/>
          <w:lang w:eastAsia="en-IN"/>
          <w14:ligatures w14:val="none"/>
        </w:rPr>
        <w:t>et al</w:t>
      </w:r>
      <w:r w:rsidRPr="00963A27">
        <w:rPr>
          <w:rFonts w:ascii="Arial" w:eastAsia="Times New Roman" w:hAnsi="Arial" w:cs="Arial"/>
          <w:kern w:val="0"/>
          <w:sz w:val="20"/>
          <w:szCs w:val="20"/>
          <w:lang w:eastAsia="en-IN"/>
          <w14:ligatures w14:val="none"/>
        </w:rPr>
        <w:t xml:space="preserve"> </w:t>
      </w:r>
      <w:r w:rsidR="00DB5F18" w:rsidRPr="00963A27">
        <w:rPr>
          <w:rFonts w:ascii="Arial" w:eastAsia="Times New Roman" w:hAnsi="Arial" w:cs="Arial"/>
          <w:kern w:val="0"/>
          <w:sz w:val="20"/>
          <w:szCs w:val="20"/>
          <w:lang w:eastAsia="en-IN"/>
          <w14:ligatures w14:val="none"/>
        </w:rPr>
        <w:t>(</w:t>
      </w:r>
      <w:r w:rsidRPr="00963A27">
        <w:rPr>
          <w:rFonts w:ascii="Arial" w:eastAsia="Times New Roman" w:hAnsi="Arial" w:cs="Arial"/>
          <w:kern w:val="0"/>
          <w:sz w:val="20"/>
          <w:szCs w:val="20"/>
          <w:lang w:eastAsia="en-IN"/>
          <w14:ligatures w14:val="none"/>
        </w:rPr>
        <w:t>2014</w:t>
      </w:r>
      <w:r w:rsidR="00DB5F18" w:rsidRPr="00963A27">
        <w:rPr>
          <w:rFonts w:ascii="Arial" w:eastAsia="Times New Roman" w:hAnsi="Arial" w:cs="Arial"/>
          <w:kern w:val="0"/>
          <w:sz w:val="20"/>
          <w:szCs w:val="20"/>
          <w:lang w:eastAsia="en-IN"/>
          <w14:ligatures w14:val="none"/>
        </w:rPr>
        <w:t>)</w:t>
      </w:r>
      <w:r w:rsidR="00A072B7" w:rsidRPr="00963A27">
        <w:rPr>
          <w:rFonts w:ascii="Arial" w:hAnsi="Arial" w:cs="Arial"/>
          <w:sz w:val="24"/>
          <w:szCs w:val="24"/>
        </w:rPr>
        <w:t xml:space="preserve"> [</w:t>
      </w:r>
      <w:r w:rsidR="000D69B7">
        <w:rPr>
          <w:rFonts w:ascii="Arial" w:hAnsi="Arial" w:cs="Arial"/>
          <w:sz w:val="24"/>
          <w:szCs w:val="24"/>
        </w:rPr>
        <w:t>8</w:t>
      </w:r>
      <w:r w:rsidR="002A6BE9">
        <w:rPr>
          <w:rFonts w:ascii="Arial" w:hAnsi="Arial" w:cs="Arial"/>
          <w:sz w:val="24"/>
          <w:szCs w:val="24"/>
        </w:rPr>
        <w:t>1</w:t>
      </w:r>
      <w:r w:rsidR="00A072B7" w:rsidRPr="00963A27">
        <w:rPr>
          <w:rFonts w:ascii="Arial" w:hAnsi="Arial" w:cs="Arial"/>
          <w:sz w:val="24"/>
          <w:szCs w:val="24"/>
        </w:rPr>
        <w:t>]</w:t>
      </w:r>
    </w:p>
    <w:p w14:paraId="440F6C6E" w14:textId="2C50D6C2" w:rsidR="00504B8E"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US20100215774</w:t>
      </w:r>
      <w:r w:rsidR="0010375C" w:rsidRPr="00963A27">
        <w:rPr>
          <w:rFonts w:ascii="Arial" w:eastAsia="Times New Roman" w:hAnsi="Arial" w:cs="Arial"/>
          <w:b/>
          <w:kern w:val="0"/>
          <w:sz w:val="20"/>
          <w:szCs w:val="20"/>
          <w:lang w:eastAsia="en-IN"/>
          <w14:ligatures w14:val="none"/>
        </w:rPr>
        <w:t>-</w:t>
      </w:r>
      <w:r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 xml:space="preserve">Film comprising </w:t>
      </w:r>
      <w:r w:rsidR="00F21D13" w:rsidRPr="00963A27">
        <w:rPr>
          <w:rFonts w:ascii="Arial" w:eastAsia="Times New Roman" w:hAnsi="Arial" w:cs="Arial"/>
          <w:kern w:val="0"/>
          <w:sz w:val="20"/>
          <w:szCs w:val="20"/>
          <w:lang w:eastAsia="en-IN"/>
          <w14:ligatures w14:val="none"/>
        </w:rPr>
        <w:t>nitro-glycerine</w:t>
      </w:r>
    </w:p>
    <w:p w14:paraId="30ECE8B9" w14:textId="5E0C085A" w:rsidR="0010375C" w:rsidRPr="00963A27" w:rsidRDefault="004C514B" w:rsidP="00956427">
      <w:pPr>
        <w:pStyle w:val="ListParagraph"/>
        <w:spacing w:line="360" w:lineRule="auto"/>
        <w:ind w:left="64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Todd Maibach</w:t>
      </w:r>
      <w:r w:rsidR="0010375C"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2010</w:t>
      </w:r>
      <w:r w:rsidR="0010375C" w:rsidRPr="00963A27">
        <w:rPr>
          <w:rFonts w:ascii="Arial" w:eastAsia="Times New Roman" w:hAnsi="Arial" w:cs="Arial"/>
          <w:kern w:val="0"/>
          <w:sz w:val="20"/>
          <w:szCs w:val="20"/>
          <w:lang w:eastAsia="en-IN"/>
          <w14:ligatures w14:val="none"/>
        </w:rPr>
        <w:t>)</w:t>
      </w:r>
      <w:r w:rsidR="00A072B7" w:rsidRPr="00963A27">
        <w:rPr>
          <w:rFonts w:ascii="Arial" w:hAnsi="Arial" w:cs="Arial"/>
          <w:sz w:val="24"/>
          <w:szCs w:val="24"/>
        </w:rPr>
        <w:t xml:space="preserve"> [</w:t>
      </w:r>
      <w:r w:rsidR="001F4CA1" w:rsidRPr="00963A27">
        <w:rPr>
          <w:rFonts w:ascii="Arial" w:hAnsi="Arial" w:cs="Arial"/>
          <w:sz w:val="24"/>
          <w:szCs w:val="24"/>
        </w:rPr>
        <w:t>8</w:t>
      </w:r>
      <w:r w:rsidR="002A6BE9">
        <w:rPr>
          <w:rFonts w:ascii="Arial" w:hAnsi="Arial" w:cs="Arial"/>
          <w:sz w:val="24"/>
          <w:szCs w:val="24"/>
        </w:rPr>
        <w:t>2</w:t>
      </w:r>
      <w:r w:rsidR="00A072B7" w:rsidRPr="00963A27">
        <w:rPr>
          <w:rFonts w:ascii="Arial" w:hAnsi="Arial" w:cs="Arial"/>
          <w:sz w:val="24"/>
          <w:szCs w:val="24"/>
        </w:rPr>
        <w:t>]</w:t>
      </w:r>
    </w:p>
    <w:p w14:paraId="64B748F2" w14:textId="77777777" w:rsidR="000E4715"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US7727466</w:t>
      </w:r>
      <w:r w:rsidR="0010375C"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Disintegrable films for diagnostic devices</w:t>
      </w:r>
    </w:p>
    <w:p w14:paraId="2BD9D8CC" w14:textId="112F38A6" w:rsidR="004C514B" w:rsidRPr="00963A27" w:rsidRDefault="004C514B" w:rsidP="00956427">
      <w:pPr>
        <w:pStyle w:val="ListParagraph"/>
        <w:spacing w:line="360" w:lineRule="auto"/>
        <w:ind w:left="64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Meathrelet </w:t>
      </w:r>
      <w:r w:rsidRPr="00963A27">
        <w:rPr>
          <w:rFonts w:ascii="Arial" w:eastAsia="Times New Roman" w:hAnsi="Arial" w:cs="Arial"/>
          <w:i/>
          <w:kern w:val="0"/>
          <w:sz w:val="20"/>
          <w:szCs w:val="20"/>
          <w:lang w:eastAsia="en-IN"/>
          <w14:ligatures w14:val="none"/>
        </w:rPr>
        <w:t>et al</w:t>
      </w:r>
      <w:r w:rsidR="0010375C"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 xml:space="preserve"> </w:t>
      </w:r>
      <w:r w:rsidR="0010375C" w:rsidRPr="00963A27">
        <w:rPr>
          <w:rFonts w:ascii="Arial" w:eastAsia="Times New Roman" w:hAnsi="Arial" w:cs="Arial"/>
          <w:kern w:val="0"/>
          <w:sz w:val="20"/>
          <w:szCs w:val="20"/>
          <w:lang w:eastAsia="en-IN"/>
          <w14:ligatures w14:val="none"/>
        </w:rPr>
        <w:t>(</w:t>
      </w:r>
      <w:r w:rsidRPr="00963A27">
        <w:rPr>
          <w:rFonts w:ascii="Arial" w:eastAsia="Times New Roman" w:hAnsi="Arial" w:cs="Arial"/>
          <w:kern w:val="0"/>
          <w:sz w:val="20"/>
          <w:szCs w:val="20"/>
          <w:lang w:eastAsia="en-IN"/>
          <w14:ligatures w14:val="none"/>
        </w:rPr>
        <w:t>2010</w:t>
      </w:r>
      <w:r w:rsidR="0010375C"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w:t>
      </w:r>
      <w:r w:rsidR="001F4CA1" w:rsidRPr="00963A27">
        <w:rPr>
          <w:rFonts w:ascii="Arial" w:hAnsi="Arial" w:cs="Arial"/>
          <w:sz w:val="24"/>
          <w:szCs w:val="24"/>
        </w:rPr>
        <w:t>8</w:t>
      </w:r>
      <w:r w:rsidR="002A6BE9">
        <w:rPr>
          <w:rFonts w:ascii="Arial" w:hAnsi="Arial" w:cs="Arial"/>
          <w:sz w:val="24"/>
          <w:szCs w:val="24"/>
        </w:rPr>
        <w:t>3</w:t>
      </w:r>
      <w:r w:rsidR="00195FA3" w:rsidRPr="00963A27">
        <w:rPr>
          <w:rFonts w:ascii="Arial" w:hAnsi="Arial" w:cs="Arial"/>
          <w:sz w:val="24"/>
          <w:szCs w:val="24"/>
        </w:rPr>
        <w:t>]</w:t>
      </w:r>
    </w:p>
    <w:p w14:paraId="133328EA" w14:textId="77777777" w:rsidR="00356469"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US7241411</w:t>
      </w:r>
      <w:r w:rsidR="00637149"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Thin film strip</w:t>
      </w:r>
    </w:p>
    <w:p w14:paraId="29CEE136" w14:textId="2CAF791B" w:rsidR="004C514B" w:rsidRPr="00963A27" w:rsidRDefault="004C514B" w:rsidP="00956427">
      <w:pPr>
        <w:pStyle w:val="ListParagraph"/>
        <w:spacing w:line="360" w:lineRule="auto"/>
        <w:ind w:left="64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 xml:space="preserve">Berry </w:t>
      </w:r>
      <w:r w:rsidRPr="00963A27">
        <w:rPr>
          <w:rFonts w:ascii="Arial" w:eastAsia="Times New Roman" w:hAnsi="Arial" w:cs="Arial"/>
          <w:i/>
          <w:kern w:val="0"/>
          <w:sz w:val="20"/>
          <w:szCs w:val="20"/>
          <w:lang w:eastAsia="en-IN"/>
          <w14:ligatures w14:val="none"/>
        </w:rPr>
        <w:t>et al</w:t>
      </w:r>
      <w:r w:rsidR="00637149"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2007</w:t>
      </w:r>
      <w:r w:rsidR="00637149"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w:t>
      </w:r>
      <w:r w:rsidR="001F4CA1" w:rsidRPr="00963A27">
        <w:rPr>
          <w:rFonts w:ascii="Arial" w:hAnsi="Arial" w:cs="Arial"/>
          <w:sz w:val="24"/>
          <w:szCs w:val="24"/>
        </w:rPr>
        <w:t>8</w:t>
      </w:r>
      <w:r w:rsidR="002A6BE9">
        <w:rPr>
          <w:rFonts w:ascii="Arial" w:hAnsi="Arial" w:cs="Arial"/>
          <w:sz w:val="24"/>
          <w:szCs w:val="24"/>
        </w:rPr>
        <w:t>4</w:t>
      </w:r>
      <w:r w:rsidR="00195FA3" w:rsidRPr="00963A27">
        <w:rPr>
          <w:rFonts w:ascii="Arial" w:hAnsi="Arial" w:cs="Arial"/>
          <w:sz w:val="24"/>
          <w:szCs w:val="24"/>
        </w:rPr>
        <w:t>]</w:t>
      </w:r>
    </w:p>
    <w:p w14:paraId="3F8B2BA0" w14:textId="77777777" w:rsidR="00933AEA"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US8623401B2</w:t>
      </w:r>
      <w:r w:rsidR="00FD5C39"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Wafer formulation</w:t>
      </w:r>
    </w:p>
    <w:p w14:paraId="10378E6A" w14:textId="5BEBDDC4" w:rsidR="004C514B" w:rsidRPr="00963A27" w:rsidRDefault="004C514B" w:rsidP="00956427">
      <w:pPr>
        <w:pStyle w:val="ListParagraph"/>
        <w:spacing w:line="360" w:lineRule="auto"/>
        <w:ind w:left="64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Pankaj Modi</w:t>
      </w:r>
      <w:r w:rsidR="00FD5C39"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2008</w:t>
      </w:r>
      <w:r w:rsidR="00FD5C39"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[8</w:t>
      </w:r>
      <w:r w:rsidR="002A6BE9">
        <w:rPr>
          <w:rFonts w:ascii="Arial" w:hAnsi="Arial" w:cs="Arial"/>
          <w:sz w:val="24"/>
          <w:szCs w:val="24"/>
        </w:rPr>
        <w:t>5</w:t>
      </w:r>
      <w:r w:rsidR="00195FA3" w:rsidRPr="00963A27">
        <w:rPr>
          <w:rFonts w:ascii="Arial" w:hAnsi="Arial" w:cs="Arial"/>
          <w:sz w:val="24"/>
          <w:szCs w:val="24"/>
        </w:rPr>
        <w:t>]</w:t>
      </w:r>
    </w:p>
    <w:p w14:paraId="21ABA2C9" w14:textId="77777777" w:rsidR="00933AEA" w:rsidRPr="00963A27" w:rsidRDefault="004C514B" w:rsidP="00882252">
      <w:pPr>
        <w:pStyle w:val="ListParagraph"/>
        <w:numPr>
          <w:ilvl w:val="0"/>
          <w:numId w:val="35"/>
        </w:numPr>
        <w:spacing w:line="360" w:lineRule="auto"/>
        <w:ind w:left="644" w:hanging="284"/>
        <w:jc w:val="both"/>
        <w:rPr>
          <w:rFonts w:ascii="Arial" w:eastAsia="Times New Roman" w:hAnsi="Arial" w:cs="Arial"/>
          <w:b/>
          <w:kern w:val="0"/>
          <w:sz w:val="20"/>
          <w:szCs w:val="20"/>
          <w:lang w:eastAsia="en-IN"/>
          <w14:ligatures w14:val="none"/>
        </w:rPr>
      </w:pPr>
      <w:r w:rsidRPr="00963A27">
        <w:rPr>
          <w:rFonts w:ascii="Arial" w:eastAsia="Times New Roman" w:hAnsi="Arial" w:cs="Arial"/>
          <w:b/>
          <w:kern w:val="0"/>
          <w:sz w:val="20"/>
          <w:szCs w:val="20"/>
          <w:lang w:eastAsia="en-IN"/>
          <w14:ligatures w14:val="none"/>
        </w:rPr>
        <w:t>US20070292479A1</w:t>
      </w:r>
      <w:r w:rsidR="00C9766B" w:rsidRPr="00963A27">
        <w:rPr>
          <w:rFonts w:ascii="Arial" w:eastAsia="Times New Roman" w:hAnsi="Arial" w:cs="Arial"/>
          <w:b/>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Film-shaped drug form for oral administration (wafer)</w:t>
      </w:r>
    </w:p>
    <w:p w14:paraId="2F70625A" w14:textId="73FD3A93" w:rsidR="004C514B" w:rsidRPr="00963A27" w:rsidRDefault="004C514B" w:rsidP="00956427">
      <w:pPr>
        <w:pStyle w:val="ListParagraph"/>
        <w:spacing w:line="360" w:lineRule="auto"/>
        <w:ind w:left="644"/>
        <w:jc w:val="both"/>
        <w:rPr>
          <w:rFonts w:ascii="Arial" w:eastAsia="Times New Roman" w:hAnsi="Arial" w:cs="Arial"/>
          <w:kern w:val="0"/>
          <w:sz w:val="20"/>
          <w:szCs w:val="20"/>
          <w:lang w:eastAsia="en-IN"/>
          <w14:ligatures w14:val="none"/>
        </w:rPr>
      </w:pPr>
      <w:r w:rsidRPr="00963A27">
        <w:rPr>
          <w:rFonts w:ascii="Arial" w:eastAsia="Times New Roman" w:hAnsi="Arial" w:cs="Arial"/>
          <w:b/>
          <w:kern w:val="0"/>
          <w:sz w:val="20"/>
          <w:szCs w:val="20"/>
          <w:lang w:eastAsia="en-IN"/>
          <w14:ligatures w14:val="none"/>
        </w:rPr>
        <w:t xml:space="preserve">Inventor: </w:t>
      </w:r>
      <w:r w:rsidRPr="00963A27">
        <w:rPr>
          <w:rFonts w:ascii="Arial" w:eastAsia="Times New Roman" w:hAnsi="Arial" w:cs="Arial"/>
          <w:kern w:val="0"/>
          <w:sz w:val="20"/>
          <w:szCs w:val="20"/>
          <w:lang w:eastAsia="en-IN"/>
          <w14:ligatures w14:val="none"/>
        </w:rPr>
        <w:t>Podhaisky</w:t>
      </w:r>
      <w:r w:rsidR="00E44CEB" w:rsidRPr="00963A27">
        <w:rPr>
          <w:rFonts w:ascii="Arial" w:eastAsia="Times New Roman" w:hAnsi="Arial" w:cs="Arial"/>
          <w:kern w:val="0"/>
          <w:sz w:val="20"/>
          <w:szCs w:val="20"/>
          <w:lang w:eastAsia="en-IN"/>
          <w14:ligatures w14:val="none"/>
        </w:rPr>
        <w:t xml:space="preserve"> </w:t>
      </w:r>
      <w:r w:rsidR="00E44CEB" w:rsidRPr="00963A27">
        <w:rPr>
          <w:rFonts w:ascii="Arial" w:eastAsia="Times New Roman" w:hAnsi="Arial" w:cs="Arial"/>
          <w:i/>
          <w:kern w:val="0"/>
          <w:sz w:val="20"/>
          <w:szCs w:val="20"/>
          <w:lang w:eastAsia="en-IN"/>
          <w14:ligatures w14:val="none"/>
        </w:rPr>
        <w:t>et</w:t>
      </w:r>
      <w:r w:rsidR="00EF1A25" w:rsidRPr="00963A27">
        <w:rPr>
          <w:rFonts w:ascii="Arial" w:eastAsia="Times New Roman" w:hAnsi="Arial" w:cs="Arial"/>
          <w:i/>
          <w:kern w:val="0"/>
          <w:sz w:val="20"/>
          <w:szCs w:val="20"/>
          <w:lang w:eastAsia="en-IN"/>
          <w14:ligatures w14:val="none"/>
        </w:rPr>
        <w:t xml:space="preserve"> al</w:t>
      </w:r>
      <w:r w:rsidR="00C9766B" w:rsidRPr="00963A27">
        <w:rPr>
          <w:rFonts w:ascii="Arial" w:eastAsia="Times New Roman" w:hAnsi="Arial" w:cs="Arial"/>
          <w:kern w:val="0"/>
          <w:sz w:val="20"/>
          <w:szCs w:val="20"/>
          <w:lang w:eastAsia="en-IN"/>
          <w14:ligatures w14:val="none"/>
        </w:rPr>
        <w:t xml:space="preserve"> (</w:t>
      </w:r>
      <w:r w:rsidRPr="00963A27">
        <w:rPr>
          <w:rFonts w:ascii="Arial" w:eastAsia="Times New Roman" w:hAnsi="Arial" w:cs="Arial"/>
          <w:kern w:val="0"/>
          <w:sz w:val="20"/>
          <w:szCs w:val="20"/>
          <w:lang w:eastAsia="en-IN"/>
          <w14:ligatures w14:val="none"/>
        </w:rPr>
        <w:t>2007</w:t>
      </w:r>
      <w:r w:rsidR="00681598" w:rsidRPr="00963A27">
        <w:rPr>
          <w:rFonts w:ascii="Arial" w:eastAsia="Times New Roman" w:hAnsi="Arial" w:cs="Arial"/>
          <w:kern w:val="0"/>
          <w:sz w:val="20"/>
          <w:szCs w:val="20"/>
          <w:lang w:eastAsia="en-IN"/>
          <w14:ligatures w14:val="none"/>
        </w:rPr>
        <w:t>)</w:t>
      </w:r>
      <w:r w:rsidR="00195FA3" w:rsidRPr="00963A27">
        <w:rPr>
          <w:rFonts w:ascii="Arial" w:hAnsi="Arial" w:cs="Arial"/>
          <w:sz w:val="24"/>
          <w:szCs w:val="24"/>
        </w:rPr>
        <w:t xml:space="preserve"> [8</w:t>
      </w:r>
      <w:r w:rsidR="002A6BE9">
        <w:rPr>
          <w:rFonts w:ascii="Arial" w:hAnsi="Arial" w:cs="Arial"/>
          <w:sz w:val="24"/>
          <w:szCs w:val="24"/>
        </w:rPr>
        <w:t>6</w:t>
      </w:r>
      <w:r w:rsidR="00195FA3" w:rsidRPr="00963A27">
        <w:rPr>
          <w:rFonts w:ascii="Arial" w:hAnsi="Arial" w:cs="Arial"/>
          <w:sz w:val="24"/>
          <w:szCs w:val="24"/>
        </w:rPr>
        <w:t>]</w:t>
      </w:r>
    </w:p>
    <w:p w14:paraId="010AB61D" w14:textId="44BC520F" w:rsidR="00095827" w:rsidRPr="00240B1C" w:rsidRDefault="002A350C" w:rsidP="00956427">
      <w:pPr>
        <w:spacing w:line="360" w:lineRule="auto"/>
        <w:ind w:left="360"/>
        <w:jc w:val="both"/>
        <w:rPr>
          <w:rFonts w:ascii="Arial" w:hAnsi="Arial" w:cs="Arial"/>
          <w:sz w:val="20"/>
          <w:szCs w:val="20"/>
        </w:rPr>
      </w:pPr>
      <w:r w:rsidRPr="00963A27">
        <w:rPr>
          <w:rFonts w:ascii="Arial" w:hAnsi="Arial" w:cs="Arial"/>
          <w:sz w:val="20"/>
          <w:szCs w:val="20"/>
        </w:rPr>
        <w:t>The global market for oral wafer formulations is experiencing significant growth due to increasing demand for patient-friendly drug delivery solutions.</w:t>
      </w:r>
    </w:p>
    <w:p w14:paraId="597A323E" w14:textId="0E91DA39" w:rsidR="009C3C27" w:rsidRDefault="001429D5" w:rsidP="00956427">
      <w:pPr>
        <w:spacing w:after="0" w:line="360" w:lineRule="auto"/>
        <w:ind w:firstLine="360"/>
        <w:jc w:val="both"/>
        <w:rPr>
          <w:rFonts w:ascii="Arial" w:hAnsi="Arial" w:cs="Arial"/>
          <w:b/>
        </w:rPr>
      </w:pPr>
      <w:r w:rsidRPr="00963A27">
        <w:rPr>
          <w:rFonts w:ascii="Arial" w:hAnsi="Arial" w:cs="Arial"/>
          <w:b/>
        </w:rPr>
        <w:t>Some of Commercialized Products:</w:t>
      </w:r>
    </w:p>
    <w:p w14:paraId="29AC9769" w14:textId="27B56653" w:rsidR="00160B70" w:rsidRPr="00963A27" w:rsidRDefault="00160B70" w:rsidP="00956427">
      <w:pPr>
        <w:spacing w:line="360" w:lineRule="auto"/>
        <w:ind w:firstLine="360"/>
        <w:jc w:val="center"/>
        <w:rPr>
          <w:rFonts w:ascii="Arial" w:hAnsi="Arial" w:cs="Arial"/>
          <w:b/>
        </w:rPr>
      </w:pPr>
      <w:r w:rsidRPr="00963A27">
        <w:rPr>
          <w:rFonts w:ascii="Arial" w:hAnsi="Arial" w:cs="Arial"/>
          <w:b/>
          <w:bCs/>
        </w:rPr>
        <w:t xml:space="preserve">Table </w:t>
      </w:r>
      <w:r w:rsidR="00511CE5">
        <w:rPr>
          <w:rFonts w:ascii="Arial" w:hAnsi="Arial" w:cs="Arial"/>
          <w:b/>
          <w:bCs/>
        </w:rPr>
        <w:t>4</w:t>
      </w:r>
      <w:r w:rsidRPr="00963A27">
        <w:rPr>
          <w:rFonts w:ascii="Arial" w:hAnsi="Arial" w:cs="Arial"/>
          <w:b/>
          <w:bCs/>
        </w:rPr>
        <w:t xml:space="preserve">. List of </w:t>
      </w:r>
      <w:r w:rsidRPr="00963A27">
        <w:rPr>
          <w:rFonts w:ascii="Arial" w:hAnsi="Arial" w:cs="Arial"/>
          <w:b/>
          <w:bCs/>
          <w:sz w:val="20"/>
          <w:szCs w:val="20"/>
        </w:rPr>
        <w:t>commercially</w:t>
      </w:r>
      <w:r w:rsidRPr="00963A27">
        <w:rPr>
          <w:rFonts w:ascii="Arial" w:hAnsi="Arial" w:cs="Arial"/>
          <w:b/>
          <w:bCs/>
        </w:rPr>
        <w:t xml:space="preserve"> available oral disintegrating formulations</w:t>
      </w:r>
    </w:p>
    <w:tbl>
      <w:tblPr>
        <w:tblStyle w:val="TableGrid"/>
        <w:tblpPr w:leftFromText="180" w:rightFromText="180" w:vertAnchor="text" w:horzAnchor="margin" w:tblpY="-59"/>
        <w:tblW w:w="9351" w:type="dxa"/>
        <w:tblLayout w:type="fixed"/>
        <w:tblLook w:val="04A0" w:firstRow="1" w:lastRow="0" w:firstColumn="1" w:lastColumn="0" w:noHBand="0" w:noVBand="1"/>
      </w:tblPr>
      <w:tblGrid>
        <w:gridCol w:w="1413"/>
        <w:gridCol w:w="1559"/>
        <w:gridCol w:w="1701"/>
        <w:gridCol w:w="1314"/>
        <w:gridCol w:w="1946"/>
        <w:gridCol w:w="1418"/>
      </w:tblGrid>
      <w:tr w:rsidR="00095827" w:rsidRPr="00963A27" w14:paraId="4C8FE2CB" w14:textId="77777777" w:rsidTr="00095827">
        <w:tc>
          <w:tcPr>
            <w:tcW w:w="1413" w:type="dxa"/>
          </w:tcPr>
          <w:p w14:paraId="785583AC" w14:textId="77777777" w:rsidR="00095827" w:rsidRPr="00963A27" w:rsidRDefault="00095827" w:rsidP="00956427">
            <w:pPr>
              <w:spacing w:line="360" w:lineRule="auto"/>
              <w:jc w:val="both"/>
              <w:rPr>
                <w:rFonts w:ascii="Arial" w:hAnsi="Arial" w:cs="Arial"/>
                <w:b/>
                <w:sz w:val="20"/>
                <w:szCs w:val="20"/>
              </w:rPr>
            </w:pPr>
            <w:r w:rsidRPr="00963A27">
              <w:rPr>
                <w:rFonts w:ascii="Arial" w:hAnsi="Arial" w:cs="Arial"/>
                <w:b/>
                <w:sz w:val="20"/>
                <w:szCs w:val="20"/>
              </w:rPr>
              <w:t>PRODUCT NAME</w:t>
            </w:r>
          </w:p>
        </w:tc>
        <w:tc>
          <w:tcPr>
            <w:tcW w:w="1559" w:type="dxa"/>
          </w:tcPr>
          <w:p w14:paraId="03A95539" w14:textId="77777777" w:rsidR="00095827" w:rsidRPr="00963A27" w:rsidRDefault="00095827" w:rsidP="00956427">
            <w:pPr>
              <w:spacing w:line="360" w:lineRule="auto"/>
              <w:jc w:val="both"/>
              <w:rPr>
                <w:rFonts w:ascii="Arial" w:hAnsi="Arial" w:cs="Arial"/>
                <w:b/>
                <w:sz w:val="20"/>
                <w:szCs w:val="20"/>
              </w:rPr>
            </w:pPr>
            <w:r w:rsidRPr="00963A27">
              <w:rPr>
                <w:rFonts w:ascii="Arial" w:hAnsi="Arial" w:cs="Arial"/>
                <w:b/>
                <w:sz w:val="20"/>
                <w:szCs w:val="20"/>
              </w:rPr>
              <w:t xml:space="preserve">ACTIVE </w:t>
            </w:r>
          </w:p>
          <w:p w14:paraId="12372960" w14:textId="77777777" w:rsidR="00095827" w:rsidRPr="00963A27" w:rsidRDefault="00095827" w:rsidP="00956427">
            <w:pPr>
              <w:spacing w:line="360" w:lineRule="auto"/>
              <w:jc w:val="both"/>
              <w:rPr>
                <w:rFonts w:ascii="Arial" w:hAnsi="Arial" w:cs="Arial"/>
                <w:b/>
                <w:sz w:val="20"/>
                <w:szCs w:val="20"/>
              </w:rPr>
            </w:pPr>
            <w:r w:rsidRPr="00963A27">
              <w:rPr>
                <w:rFonts w:ascii="Arial" w:hAnsi="Arial" w:cs="Arial"/>
                <w:b/>
                <w:sz w:val="20"/>
                <w:szCs w:val="20"/>
              </w:rPr>
              <w:t>AGENT</w:t>
            </w:r>
          </w:p>
        </w:tc>
        <w:tc>
          <w:tcPr>
            <w:tcW w:w="1701" w:type="dxa"/>
          </w:tcPr>
          <w:p w14:paraId="693B0E28" w14:textId="77777777" w:rsidR="00095827" w:rsidRPr="00963A27" w:rsidRDefault="00095827" w:rsidP="00956427">
            <w:pPr>
              <w:spacing w:line="360" w:lineRule="auto"/>
              <w:jc w:val="both"/>
              <w:rPr>
                <w:rFonts w:ascii="Arial" w:hAnsi="Arial" w:cs="Arial"/>
                <w:b/>
                <w:sz w:val="20"/>
                <w:szCs w:val="20"/>
              </w:rPr>
            </w:pPr>
            <w:r w:rsidRPr="00963A27">
              <w:rPr>
                <w:rFonts w:ascii="Arial" w:hAnsi="Arial" w:cs="Arial"/>
                <w:b/>
                <w:sz w:val="20"/>
                <w:szCs w:val="20"/>
              </w:rPr>
              <w:t>INDICATION</w:t>
            </w:r>
          </w:p>
        </w:tc>
        <w:tc>
          <w:tcPr>
            <w:tcW w:w="1314" w:type="dxa"/>
          </w:tcPr>
          <w:p w14:paraId="199AFCE9" w14:textId="77777777" w:rsidR="00095827" w:rsidRPr="00963A27" w:rsidRDefault="00095827" w:rsidP="00956427">
            <w:pPr>
              <w:spacing w:line="360" w:lineRule="auto"/>
              <w:jc w:val="both"/>
              <w:rPr>
                <w:rFonts w:ascii="Arial" w:hAnsi="Arial" w:cs="Arial"/>
                <w:b/>
                <w:sz w:val="20"/>
                <w:szCs w:val="20"/>
              </w:rPr>
            </w:pPr>
            <w:r w:rsidRPr="00963A27">
              <w:rPr>
                <w:rFonts w:ascii="Arial" w:hAnsi="Arial" w:cs="Arial"/>
                <w:b/>
                <w:sz w:val="20"/>
                <w:szCs w:val="20"/>
              </w:rPr>
              <w:t>DOSAGE FORM</w:t>
            </w:r>
          </w:p>
        </w:tc>
        <w:tc>
          <w:tcPr>
            <w:tcW w:w="1946" w:type="dxa"/>
          </w:tcPr>
          <w:p w14:paraId="69E52B18" w14:textId="77777777" w:rsidR="00095827" w:rsidRPr="00963A27" w:rsidRDefault="00095827" w:rsidP="00956427">
            <w:pPr>
              <w:spacing w:line="360" w:lineRule="auto"/>
              <w:jc w:val="both"/>
              <w:rPr>
                <w:rFonts w:ascii="Arial" w:hAnsi="Arial" w:cs="Arial"/>
                <w:b/>
                <w:sz w:val="20"/>
                <w:szCs w:val="20"/>
              </w:rPr>
            </w:pPr>
            <w:r w:rsidRPr="00963A27">
              <w:rPr>
                <w:rFonts w:ascii="Arial" w:hAnsi="Arial" w:cs="Arial"/>
                <w:b/>
                <w:sz w:val="20"/>
                <w:szCs w:val="20"/>
              </w:rPr>
              <w:t>MANUFACTURER</w:t>
            </w:r>
          </w:p>
        </w:tc>
        <w:tc>
          <w:tcPr>
            <w:tcW w:w="1418" w:type="dxa"/>
          </w:tcPr>
          <w:p w14:paraId="17B31741" w14:textId="77777777" w:rsidR="00095827" w:rsidRPr="00963A27" w:rsidRDefault="00095827" w:rsidP="00956427">
            <w:pPr>
              <w:spacing w:line="360" w:lineRule="auto"/>
              <w:jc w:val="both"/>
              <w:rPr>
                <w:rFonts w:ascii="Arial" w:hAnsi="Arial" w:cs="Arial"/>
                <w:b/>
                <w:sz w:val="20"/>
                <w:szCs w:val="20"/>
              </w:rPr>
            </w:pPr>
            <w:r w:rsidRPr="00963A27">
              <w:rPr>
                <w:rFonts w:ascii="Arial" w:hAnsi="Arial" w:cs="Arial"/>
                <w:b/>
                <w:sz w:val="20"/>
                <w:szCs w:val="20"/>
              </w:rPr>
              <w:t>STATUS</w:t>
            </w:r>
          </w:p>
        </w:tc>
      </w:tr>
      <w:tr w:rsidR="00095827" w:rsidRPr="00963A27" w14:paraId="13C4AFFF" w14:textId="77777777" w:rsidTr="00095827">
        <w:tc>
          <w:tcPr>
            <w:tcW w:w="1413" w:type="dxa"/>
          </w:tcPr>
          <w:p w14:paraId="46FC58D7"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Zuplenz</w:t>
            </w:r>
          </w:p>
        </w:tc>
        <w:tc>
          <w:tcPr>
            <w:tcW w:w="1559" w:type="dxa"/>
          </w:tcPr>
          <w:p w14:paraId="59E91ACD"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Ondansetron</w:t>
            </w:r>
          </w:p>
        </w:tc>
        <w:tc>
          <w:tcPr>
            <w:tcW w:w="1701" w:type="dxa"/>
          </w:tcPr>
          <w:p w14:paraId="5EB61D7C"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Nausea and vomiting</w:t>
            </w:r>
          </w:p>
        </w:tc>
        <w:tc>
          <w:tcPr>
            <w:tcW w:w="1314" w:type="dxa"/>
          </w:tcPr>
          <w:p w14:paraId="0B961749"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Oral Soluble Film</w:t>
            </w:r>
          </w:p>
        </w:tc>
        <w:tc>
          <w:tcPr>
            <w:tcW w:w="1946" w:type="dxa"/>
          </w:tcPr>
          <w:p w14:paraId="1807FAF4"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Midatech Pharma</w:t>
            </w:r>
          </w:p>
        </w:tc>
        <w:tc>
          <w:tcPr>
            <w:tcW w:w="1418" w:type="dxa"/>
          </w:tcPr>
          <w:p w14:paraId="0533154C"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FDA Approved</w:t>
            </w:r>
          </w:p>
        </w:tc>
      </w:tr>
      <w:tr w:rsidR="00095827" w:rsidRPr="00963A27" w14:paraId="1AE5F4E3" w14:textId="77777777" w:rsidTr="00095827">
        <w:tc>
          <w:tcPr>
            <w:tcW w:w="1413" w:type="dxa"/>
          </w:tcPr>
          <w:p w14:paraId="7BA083A1"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Suboxone Sublingual Film</w:t>
            </w:r>
          </w:p>
        </w:tc>
        <w:tc>
          <w:tcPr>
            <w:tcW w:w="1559" w:type="dxa"/>
          </w:tcPr>
          <w:p w14:paraId="57E6A7F4"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Buprenorphine + Naloxone</w:t>
            </w:r>
          </w:p>
        </w:tc>
        <w:tc>
          <w:tcPr>
            <w:tcW w:w="1701" w:type="dxa"/>
          </w:tcPr>
          <w:p w14:paraId="46C62E35"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Opioid dependence</w:t>
            </w:r>
          </w:p>
        </w:tc>
        <w:tc>
          <w:tcPr>
            <w:tcW w:w="1314" w:type="dxa"/>
          </w:tcPr>
          <w:p w14:paraId="3BE776AE"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Sublingual Film</w:t>
            </w:r>
          </w:p>
        </w:tc>
        <w:tc>
          <w:tcPr>
            <w:tcW w:w="1946" w:type="dxa"/>
          </w:tcPr>
          <w:p w14:paraId="39C0B95E"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Indivior</w:t>
            </w:r>
          </w:p>
        </w:tc>
        <w:tc>
          <w:tcPr>
            <w:tcW w:w="1418" w:type="dxa"/>
          </w:tcPr>
          <w:p w14:paraId="319421EB"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FDA Approved</w:t>
            </w:r>
          </w:p>
        </w:tc>
      </w:tr>
      <w:tr w:rsidR="00095827" w:rsidRPr="00963A27" w14:paraId="2803E014" w14:textId="77777777" w:rsidTr="00095827">
        <w:tc>
          <w:tcPr>
            <w:tcW w:w="1413" w:type="dxa"/>
          </w:tcPr>
          <w:p w14:paraId="02F06B01"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Rizafilm</w:t>
            </w:r>
          </w:p>
        </w:tc>
        <w:tc>
          <w:tcPr>
            <w:tcW w:w="1559" w:type="dxa"/>
          </w:tcPr>
          <w:p w14:paraId="5C45C43A"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Rizatriptan benzoate</w:t>
            </w:r>
          </w:p>
        </w:tc>
        <w:tc>
          <w:tcPr>
            <w:tcW w:w="1701" w:type="dxa"/>
          </w:tcPr>
          <w:p w14:paraId="7B85CE1E"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Migraine</w:t>
            </w:r>
          </w:p>
        </w:tc>
        <w:tc>
          <w:tcPr>
            <w:tcW w:w="1314" w:type="dxa"/>
          </w:tcPr>
          <w:p w14:paraId="57415F11"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Oral Thin Film</w:t>
            </w:r>
          </w:p>
        </w:tc>
        <w:tc>
          <w:tcPr>
            <w:tcW w:w="1946" w:type="dxa"/>
          </w:tcPr>
          <w:p w14:paraId="01E8E6EC"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IntelGenx Corp.</w:t>
            </w:r>
          </w:p>
        </w:tc>
        <w:tc>
          <w:tcPr>
            <w:tcW w:w="1418" w:type="dxa"/>
          </w:tcPr>
          <w:p w14:paraId="5EEF93BF"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Approved</w:t>
            </w:r>
          </w:p>
        </w:tc>
      </w:tr>
      <w:tr w:rsidR="00095827" w:rsidRPr="00963A27" w14:paraId="3F368DBC" w14:textId="77777777" w:rsidTr="00095827">
        <w:tc>
          <w:tcPr>
            <w:tcW w:w="1413" w:type="dxa"/>
          </w:tcPr>
          <w:p w14:paraId="37B83A01"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Simpazan</w:t>
            </w:r>
          </w:p>
        </w:tc>
        <w:tc>
          <w:tcPr>
            <w:tcW w:w="1559" w:type="dxa"/>
          </w:tcPr>
          <w:p w14:paraId="319610EE"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Clobazam</w:t>
            </w:r>
          </w:p>
        </w:tc>
        <w:tc>
          <w:tcPr>
            <w:tcW w:w="1701" w:type="dxa"/>
          </w:tcPr>
          <w:p w14:paraId="651448C2"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Lennox-Gastaut syndrome (epilepsy)</w:t>
            </w:r>
          </w:p>
        </w:tc>
        <w:tc>
          <w:tcPr>
            <w:tcW w:w="1314" w:type="dxa"/>
          </w:tcPr>
          <w:p w14:paraId="5638338F"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Oral Soluble Film</w:t>
            </w:r>
          </w:p>
        </w:tc>
        <w:tc>
          <w:tcPr>
            <w:tcW w:w="1946" w:type="dxa"/>
          </w:tcPr>
          <w:p w14:paraId="451EE32B"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Aquestive Therapeutics</w:t>
            </w:r>
          </w:p>
        </w:tc>
        <w:tc>
          <w:tcPr>
            <w:tcW w:w="1418" w:type="dxa"/>
          </w:tcPr>
          <w:p w14:paraId="4CFDC9E1"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FDA Approved</w:t>
            </w:r>
          </w:p>
        </w:tc>
      </w:tr>
      <w:tr w:rsidR="00095827" w:rsidRPr="00963A27" w14:paraId="46A87E9F" w14:textId="77777777" w:rsidTr="00095827">
        <w:tc>
          <w:tcPr>
            <w:tcW w:w="1413" w:type="dxa"/>
          </w:tcPr>
          <w:p w14:paraId="2AE84CB3"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Exservan</w:t>
            </w:r>
          </w:p>
        </w:tc>
        <w:tc>
          <w:tcPr>
            <w:tcW w:w="1559" w:type="dxa"/>
          </w:tcPr>
          <w:p w14:paraId="2CD33BFB"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Riluzole</w:t>
            </w:r>
          </w:p>
        </w:tc>
        <w:tc>
          <w:tcPr>
            <w:tcW w:w="1701" w:type="dxa"/>
          </w:tcPr>
          <w:p w14:paraId="3EB0D491"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Amyotrophic lateral sclerosis (ALS)</w:t>
            </w:r>
          </w:p>
        </w:tc>
        <w:tc>
          <w:tcPr>
            <w:tcW w:w="1314" w:type="dxa"/>
          </w:tcPr>
          <w:p w14:paraId="20D783FD"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Oral Soluble Film</w:t>
            </w:r>
          </w:p>
        </w:tc>
        <w:tc>
          <w:tcPr>
            <w:tcW w:w="1946" w:type="dxa"/>
          </w:tcPr>
          <w:p w14:paraId="06EF3510"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Mitsubishi Tanabe Pharma America</w:t>
            </w:r>
          </w:p>
        </w:tc>
        <w:tc>
          <w:tcPr>
            <w:tcW w:w="1418" w:type="dxa"/>
          </w:tcPr>
          <w:p w14:paraId="21D36A7A" w14:textId="77777777" w:rsidR="00095827" w:rsidRPr="00963A27" w:rsidRDefault="00095827" w:rsidP="00956427">
            <w:pPr>
              <w:spacing w:line="360" w:lineRule="auto"/>
              <w:jc w:val="both"/>
              <w:rPr>
                <w:rFonts w:ascii="Arial" w:hAnsi="Arial" w:cs="Arial"/>
                <w:sz w:val="20"/>
                <w:szCs w:val="20"/>
              </w:rPr>
            </w:pPr>
            <w:r w:rsidRPr="00963A27">
              <w:rPr>
                <w:rFonts w:ascii="Arial" w:hAnsi="Arial" w:cs="Arial"/>
                <w:sz w:val="20"/>
                <w:szCs w:val="20"/>
              </w:rPr>
              <w:t>FDA Approved</w:t>
            </w:r>
          </w:p>
        </w:tc>
      </w:tr>
    </w:tbl>
    <w:p w14:paraId="5EBE2111" w14:textId="6A6C4E0E" w:rsidR="002A350C" w:rsidRPr="00963A27" w:rsidRDefault="00EE4A1B" w:rsidP="00882252">
      <w:pPr>
        <w:pStyle w:val="ListParagraph"/>
        <w:numPr>
          <w:ilvl w:val="0"/>
          <w:numId w:val="34"/>
        </w:numPr>
        <w:spacing w:before="240" w:line="360" w:lineRule="auto"/>
        <w:ind w:left="426" w:hanging="426"/>
        <w:jc w:val="both"/>
        <w:rPr>
          <w:rFonts w:ascii="Arial" w:hAnsi="Arial" w:cs="Arial"/>
          <w:b/>
        </w:rPr>
      </w:pPr>
      <w:r w:rsidRPr="00963A27">
        <w:rPr>
          <w:rFonts w:ascii="Arial" w:hAnsi="Arial" w:cs="Arial"/>
          <w:b/>
          <w:bCs/>
        </w:rPr>
        <w:t>CHALLENGES AND FUTURE PERSPECTIVES</w:t>
      </w:r>
    </w:p>
    <w:p w14:paraId="3F306E42" w14:textId="48B4D8C7" w:rsidR="00240B1C" w:rsidRPr="00D33E38" w:rsidRDefault="002A350C" w:rsidP="00956427">
      <w:pPr>
        <w:spacing w:line="360" w:lineRule="auto"/>
        <w:ind w:left="426"/>
        <w:jc w:val="both"/>
        <w:rPr>
          <w:rFonts w:ascii="Arial" w:hAnsi="Arial" w:cs="Arial"/>
          <w:sz w:val="20"/>
          <w:szCs w:val="20"/>
        </w:rPr>
      </w:pPr>
      <w:r w:rsidRPr="00963A27">
        <w:rPr>
          <w:rFonts w:ascii="Arial" w:hAnsi="Arial" w:cs="Arial"/>
          <w:sz w:val="20"/>
          <w:szCs w:val="20"/>
        </w:rPr>
        <w:t xml:space="preserve">Despite their advantages, oral wafer formulations face several challenges </w:t>
      </w:r>
    </w:p>
    <w:p w14:paraId="4A6AD3F4" w14:textId="22A8C23D" w:rsidR="002A350C" w:rsidRPr="00963A27" w:rsidRDefault="002A350C" w:rsidP="00956427">
      <w:pPr>
        <w:spacing w:line="360" w:lineRule="auto"/>
        <w:ind w:left="426"/>
        <w:jc w:val="both"/>
        <w:rPr>
          <w:rFonts w:ascii="Arial" w:hAnsi="Arial" w:cs="Arial"/>
          <w:sz w:val="20"/>
          <w:szCs w:val="20"/>
        </w:rPr>
      </w:pPr>
      <w:r w:rsidRPr="00963A27">
        <w:rPr>
          <w:rFonts w:ascii="Arial" w:hAnsi="Arial" w:cs="Arial"/>
          <w:b/>
          <w:sz w:val="20"/>
          <w:szCs w:val="20"/>
        </w:rPr>
        <w:t>Stability and Scalability Issues:</w:t>
      </w:r>
    </w:p>
    <w:p w14:paraId="7F52105A" w14:textId="77777777" w:rsidR="002A350C" w:rsidRPr="00963A27" w:rsidRDefault="002A350C" w:rsidP="00882252">
      <w:pPr>
        <w:numPr>
          <w:ilvl w:val="0"/>
          <w:numId w:val="7"/>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lastRenderedPageBreak/>
        <w:t>Susceptibility to moisture and humidity leads to stability concerns, necessitating specialized packaging.</w:t>
      </w:r>
    </w:p>
    <w:p w14:paraId="0A4A4F4D" w14:textId="77777777" w:rsidR="002A350C" w:rsidRPr="00963A27" w:rsidRDefault="002A350C" w:rsidP="00882252">
      <w:pPr>
        <w:numPr>
          <w:ilvl w:val="0"/>
          <w:numId w:val="7"/>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Maintaining uniform thickness and consistency during large-scale production remains challenging.</w:t>
      </w:r>
    </w:p>
    <w:p w14:paraId="6AEF42CF" w14:textId="38498239" w:rsidR="00850319" w:rsidRPr="00963A27" w:rsidRDefault="00850319" w:rsidP="00882252">
      <w:pPr>
        <w:pStyle w:val="ListParagraph"/>
        <w:numPr>
          <w:ilvl w:val="0"/>
          <w:numId w:val="7"/>
        </w:numPr>
        <w:tabs>
          <w:tab w:val="clear" w:pos="720"/>
          <w:tab w:val="num" w:pos="1146"/>
        </w:tabs>
        <w:spacing w:line="360" w:lineRule="auto"/>
        <w:ind w:left="1146"/>
        <w:contextualSpacing w:val="0"/>
        <w:jc w:val="both"/>
        <w:rPr>
          <w:rFonts w:ascii="Arial" w:hAnsi="Arial" w:cs="Arial"/>
          <w:sz w:val="20"/>
          <w:szCs w:val="20"/>
        </w:rPr>
      </w:pPr>
      <w:r w:rsidRPr="00963A27">
        <w:rPr>
          <w:rFonts w:ascii="Arial" w:hAnsi="Arial" w:cs="Arial"/>
          <w:sz w:val="20"/>
          <w:szCs w:val="20"/>
        </w:rPr>
        <w:t>Maintaining dose uniformity across the wafer surface can also be challenging, particularly during large-scale production. Ensuring adequate drug loading while maintaining wafer integrity and flexibility requires careful consideration of formulation parameters.</w:t>
      </w:r>
    </w:p>
    <w:p w14:paraId="5FD0E129" w14:textId="77777777" w:rsidR="002A350C" w:rsidRPr="00963A27" w:rsidRDefault="002A350C" w:rsidP="00882252">
      <w:pPr>
        <w:numPr>
          <w:ilvl w:val="0"/>
          <w:numId w:val="7"/>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Ensuring long shelf life without compromising drug efficacy requires advanced formulation techniques.</w:t>
      </w:r>
    </w:p>
    <w:p w14:paraId="6B5AD7D4" w14:textId="77777777" w:rsidR="002A350C" w:rsidRPr="00963A27" w:rsidRDefault="002A350C" w:rsidP="00956427">
      <w:pPr>
        <w:spacing w:line="360" w:lineRule="auto"/>
        <w:ind w:left="426"/>
        <w:jc w:val="both"/>
        <w:rPr>
          <w:rFonts w:ascii="Arial" w:hAnsi="Arial" w:cs="Arial"/>
          <w:sz w:val="20"/>
          <w:szCs w:val="20"/>
        </w:rPr>
      </w:pPr>
      <w:r w:rsidRPr="00963A27">
        <w:rPr>
          <w:rFonts w:ascii="Arial" w:hAnsi="Arial" w:cs="Arial"/>
          <w:b/>
          <w:sz w:val="20"/>
          <w:szCs w:val="20"/>
        </w:rPr>
        <w:t>Drug Loading and Dose Uniformity:</w:t>
      </w:r>
    </w:p>
    <w:p w14:paraId="1716DC79" w14:textId="77777777" w:rsidR="002A350C" w:rsidRPr="006F0AFF" w:rsidRDefault="002A350C" w:rsidP="00882252">
      <w:pPr>
        <w:numPr>
          <w:ilvl w:val="0"/>
          <w:numId w:val="8"/>
        </w:numPr>
        <w:tabs>
          <w:tab w:val="clear" w:pos="720"/>
          <w:tab w:val="num" w:pos="1146"/>
        </w:tabs>
        <w:spacing w:line="360" w:lineRule="auto"/>
        <w:ind w:left="1146"/>
        <w:jc w:val="both"/>
        <w:rPr>
          <w:rFonts w:ascii="Arial" w:hAnsi="Arial" w:cs="Arial"/>
          <w:sz w:val="20"/>
          <w:szCs w:val="20"/>
        </w:rPr>
      </w:pPr>
      <w:r w:rsidRPr="006F0AFF">
        <w:rPr>
          <w:rFonts w:ascii="Arial" w:hAnsi="Arial" w:cs="Arial"/>
          <w:sz w:val="20"/>
          <w:szCs w:val="20"/>
        </w:rPr>
        <w:t>Achieving high drug loading while maintaining rapid disintegration can be difficult.</w:t>
      </w:r>
    </w:p>
    <w:p w14:paraId="6314DC8E" w14:textId="77777777" w:rsidR="002A350C" w:rsidRPr="006F0AFF" w:rsidRDefault="002A350C" w:rsidP="00882252">
      <w:pPr>
        <w:numPr>
          <w:ilvl w:val="0"/>
          <w:numId w:val="8"/>
        </w:numPr>
        <w:tabs>
          <w:tab w:val="clear" w:pos="720"/>
          <w:tab w:val="num" w:pos="1146"/>
        </w:tabs>
        <w:spacing w:line="360" w:lineRule="auto"/>
        <w:ind w:left="1146"/>
        <w:jc w:val="both"/>
        <w:rPr>
          <w:rFonts w:ascii="Arial" w:hAnsi="Arial" w:cs="Arial"/>
          <w:sz w:val="20"/>
          <w:szCs w:val="20"/>
        </w:rPr>
      </w:pPr>
      <w:r w:rsidRPr="006F0AFF">
        <w:rPr>
          <w:rFonts w:ascii="Arial" w:hAnsi="Arial" w:cs="Arial"/>
          <w:sz w:val="20"/>
          <w:szCs w:val="20"/>
        </w:rPr>
        <w:t>Ensuring dose uniformity in thin films is challenging, requiring precise manufacturing controls.</w:t>
      </w:r>
    </w:p>
    <w:p w14:paraId="325E222E" w14:textId="7119EB32" w:rsidR="002A350C" w:rsidRPr="006F0AFF" w:rsidRDefault="002A350C" w:rsidP="00882252">
      <w:pPr>
        <w:numPr>
          <w:ilvl w:val="0"/>
          <w:numId w:val="8"/>
        </w:numPr>
        <w:tabs>
          <w:tab w:val="clear" w:pos="720"/>
          <w:tab w:val="num" w:pos="1146"/>
        </w:tabs>
        <w:spacing w:line="360" w:lineRule="auto"/>
        <w:ind w:left="1146"/>
        <w:jc w:val="both"/>
        <w:rPr>
          <w:rFonts w:ascii="Arial" w:hAnsi="Arial" w:cs="Arial"/>
          <w:sz w:val="20"/>
          <w:szCs w:val="20"/>
        </w:rPr>
      </w:pPr>
      <w:r w:rsidRPr="006F0AFF">
        <w:rPr>
          <w:rFonts w:ascii="Arial" w:hAnsi="Arial" w:cs="Arial"/>
          <w:sz w:val="20"/>
          <w:szCs w:val="20"/>
        </w:rPr>
        <w:t>Compatibility issues between APIs and excipients may impact the bioavailability of drugs.</w:t>
      </w:r>
      <w:r w:rsidR="00B827E6" w:rsidRPr="006F0AFF">
        <w:rPr>
          <w:rFonts w:ascii="Arial" w:hAnsi="Arial" w:cs="Arial"/>
          <w:sz w:val="20"/>
          <w:szCs w:val="20"/>
        </w:rPr>
        <w:t>[8</w:t>
      </w:r>
      <w:r w:rsidR="002A6BE9" w:rsidRPr="006F0AFF">
        <w:rPr>
          <w:rFonts w:ascii="Arial" w:hAnsi="Arial" w:cs="Arial"/>
          <w:sz w:val="20"/>
          <w:szCs w:val="20"/>
        </w:rPr>
        <w:t>7</w:t>
      </w:r>
      <w:r w:rsidR="00B827E6" w:rsidRPr="006F0AFF">
        <w:rPr>
          <w:rFonts w:ascii="Arial" w:hAnsi="Arial" w:cs="Arial"/>
          <w:sz w:val="20"/>
          <w:szCs w:val="20"/>
        </w:rPr>
        <w:t>]</w:t>
      </w:r>
    </w:p>
    <w:p w14:paraId="70C55B30" w14:textId="30C68D70" w:rsidR="00612AA7" w:rsidRPr="006F0AFF" w:rsidRDefault="00612AA7" w:rsidP="00956427">
      <w:pPr>
        <w:spacing w:line="360" w:lineRule="auto"/>
        <w:ind w:left="426"/>
        <w:jc w:val="both"/>
        <w:rPr>
          <w:rFonts w:ascii="Arial" w:hAnsi="Arial" w:cs="Arial"/>
          <w:sz w:val="20"/>
          <w:szCs w:val="20"/>
        </w:rPr>
      </w:pPr>
      <w:r w:rsidRPr="006F0AFF">
        <w:rPr>
          <w:rFonts w:ascii="Arial" w:hAnsi="Arial" w:cs="Arial"/>
          <w:sz w:val="20"/>
          <w:szCs w:val="20"/>
        </w:rPr>
        <w:t>The future of O</w:t>
      </w:r>
      <w:r w:rsidR="008A58EA" w:rsidRPr="006F0AFF">
        <w:rPr>
          <w:rFonts w:ascii="Arial" w:hAnsi="Arial" w:cs="Arial"/>
          <w:sz w:val="20"/>
          <w:szCs w:val="20"/>
        </w:rPr>
        <w:t>ral Wafer</w:t>
      </w:r>
      <w:r w:rsidR="00C91CE3" w:rsidRPr="006F0AFF">
        <w:rPr>
          <w:rFonts w:ascii="Arial" w:hAnsi="Arial" w:cs="Arial"/>
          <w:sz w:val="20"/>
          <w:szCs w:val="20"/>
        </w:rPr>
        <w:t xml:space="preserve"> Technology</w:t>
      </w:r>
      <w:r w:rsidRPr="006F0AFF">
        <w:rPr>
          <w:rFonts w:ascii="Arial" w:hAnsi="Arial" w:cs="Arial"/>
          <w:sz w:val="20"/>
          <w:szCs w:val="20"/>
        </w:rPr>
        <w:t xml:space="preserve"> lies in advancements in drug release mechanisms, </w:t>
      </w:r>
      <w:r w:rsidR="00D172FC" w:rsidRPr="006F0AFF">
        <w:rPr>
          <w:rFonts w:ascii="Arial" w:hAnsi="Arial" w:cs="Arial"/>
          <w:sz w:val="20"/>
          <w:szCs w:val="20"/>
        </w:rPr>
        <w:t xml:space="preserve">utilization </w:t>
      </w:r>
      <w:r w:rsidRPr="006F0AFF">
        <w:rPr>
          <w:rFonts w:ascii="Arial" w:hAnsi="Arial" w:cs="Arial"/>
          <w:sz w:val="20"/>
          <w:szCs w:val="20"/>
        </w:rPr>
        <w:t>biodegradable materials, personalized medicine</w:t>
      </w:r>
      <w:r w:rsidR="00D172FC" w:rsidRPr="006F0AFF">
        <w:rPr>
          <w:rFonts w:ascii="Arial" w:hAnsi="Arial" w:cs="Arial"/>
          <w:sz w:val="20"/>
          <w:szCs w:val="20"/>
        </w:rPr>
        <w:t xml:space="preserve"> </w:t>
      </w:r>
      <w:r w:rsidRPr="006F0AFF">
        <w:rPr>
          <w:rFonts w:ascii="Arial" w:hAnsi="Arial" w:cs="Arial"/>
          <w:sz w:val="20"/>
          <w:szCs w:val="20"/>
        </w:rPr>
        <w:t xml:space="preserve">and integration with digital health technologies. With continuous research and technological innovations, </w:t>
      </w:r>
      <w:r w:rsidR="00637E6A" w:rsidRPr="006F0AFF">
        <w:rPr>
          <w:rFonts w:ascii="Arial" w:hAnsi="Arial" w:cs="Arial"/>
          <w:sz w:val="20"/>
          <w:szCs w:val="20"/>
        </w:rPr>
        <w:t>wafers</w:t>
      </w:r>
      <w:r w:rsidRPr="006F0AFF">
        <w:rPr>
          <w:rFonts w:ascii="Arial" w:hAnsi="Arial" w:cs="Arial"/>
          <w:sz w:val="20"/>
          <w:szCs w:val="20"/>
        </w:rPr>
        <w:t xml:space="preserve"> are set to transform the pharmaceutical landscape, addressing unmet medical needs and improving patient compliance.</w:t>
      </w:r>
    </w:p>
    <w:p w14:paraId="1CA04E50" w14:textId="35C6132C" w:rsidR="0090078D" w:rsidRPr="006F0AFF" w:rsidRDefault="0090078D" w:rsidP="00956427">
      <w:pPr>
        <w:spacing w:line="360" w:lineRule="auto"/>
        <w:ind w:left="426"/>
        <w:jc w:val="both"/>
        <w:rPr>
          <w:rFonts w:ascii="Arial" w:hAnsi="Arial" w:cs="Arial"/>
          <w:b/>
        </w:rPr>
      </w:pPr>
      <w:r w:rsidRPr="006F0AFF">
        <w:rPr>
          <w:rFonts w:ascii="Arial" w:hAnsi="Arial" w:cs="Arial"/>
          <w:b/>
        </w:rPr>
        <w:t>Next-Generation Drug Delivery Strategies</w:t>
      </w:r>
    </w:p>
    <w:p w14:paraId="4CE923C3" w14:textId="56BB13FD" w:rsidR="0090078D" w:rsidRPr="00963A27" w:rsidRDefault="0090078D" w:rsidP="00956427">
      <w:pPr>
        <w:spacing w:line="360" w:lineRule="auto"/>
        <w:ind w:left="426"/>
        <w:jc w:val="both"/>
        <w:rPr>
          <w:rFonts w:ascii="Arial" w:hAnsi="Arial" w:cs="Arial"/>
          <w:b/>
          <w:sz w:val="20"/>
          <w:szCs w:val="20"/>
        </w:rPr>
      </w:pPr>
      <w:r w:rsidRPr="00963A27">
        <w:rPr>
          <w:rFonts w:ascii="Arial" w:hAnsi="Arial" w:cs="Arial"/>
          <w:b/>
          <w:sz w:val="20"/>
          <w:szCs w:val="20"/>
        </w:rPr>
        <w:t>Controlled and Targeted Drug Release</w:t>
      </w:r>
    </w:p>
    <w:p w14:paraId="270DBB5F" w14:textId="6F446747" w:rsidR="0090078D" w:rsidRPr="00963A27" w:rsidRDefault="0090078D" w:rsidP="00882252">
      <w:pPr>
        <w:pStyle w:val="ListParagraph"/>
        <w:numPr>
          <w:ilvl w:val="0"/>
          <w:numId w:val="20"/>
        </w:numPr>
        <w:spacing w:line="360" w:lineRule="auto"/>
        <w:ind w:left="710" w:hanging="284"/>
        <w:jc w:val="both"/>
        <w:rPr>
          <w:rFonts w:ascii="Arial" w:hAnsi="Arial" w:cs="Arial"/>
          <w:sz w:val="20"/>
          <w:szCs w:val="20"/>
        </w:rPr>
      </w:pPr>
      <w:r w:rsidRPr="00963A27">
        <w:rPr>
          <w:rFonts w:ascii="Arial" w:hAnsi="Arial" w:cs="Arial"/>
          <w:sz w:val="20"/>
          <w:szCs w:val="20"/>
        </w:rPr>
        <w:t xml:space="preserve">Future </w:t>
      </w:r>
      <w:r w:rsidR="008F1B1F" w:rsidRPr="00963A27">
        <w:rPr>
          <w:rFonts w:ascii="Arial" w:hAnsi="Arial" w:cs="Arial"/>
          <w:sz w:val="20"/>
          <w:szCs w:val="20"/>
        </w:rPr>
        <w:t>Oral wafer formulations will</w:t>
      </w:r>
      <w:r w:rsidRPr="00963A27">
        <w:rPr>
          <w:rFonts w:ascii="Arial" w:hAnsi="Arial" w:cs="Arial"/>
          <w:sz w:val="20"/>
          <w:szCs w:val="20"/>
        </w:rPr>
        <w:t xml:space="preserve"> not only disintegrate quickly but will also provide controlled drug release to sustain optimal therapeutic concentrations in the blood for prolonged periods.</w:t>
      </w:r>
    </w:p>
    <w:p w14:paraId="54D9E295" w14:textId="06FF20EE" w:rsidR="0090078D" w:rsidRPr="00963A27" w:rsidRDefault="0090078D" w:rsidP="00882252">
      <w:pPr>
        <w:pStyle w:val="ListParagraph"/>
        <w:numPr>
          <w:ilvl w:val="0"/>
          <w:numId w:val="20"/>
        </w:numPr>
        <w:spacing w:line="360" w:lineRule="auto"/>
        <w:ind w:left="710" w:hanging="284"/>
        <w:jc w:val="both"/>
        <w:rPr>
          <w:rFonts w:ascii="Arial" w:hAnsi="Arial" w:cs="Arial"/>
          <w:sz w:val="20"/>
          <w:szCs w:val="20"/>
        </w:rPr>
      </w:pPr>
      <w:r w:rsidRPr="00963A27">
        <w:rPr>
          <w:rFonts w:ascii="Arial" w:hAnsi="Arial" w:cs="Arial"/>
          <w:sz w:val="20"/>
          <w:szCs w:val="20"/>
        </w:rPr>
        <w:t>Sophisticated formulations like matrix-based systems, reservoir-based carriers</w:t>
      </w:r>
      <w:r w:rsidR="00A2766C" w:rsidRPr="00963A27">
        <w:rPr>
          <w:rFonts w:ascii="Arial" w:hAnsi="Arial" w:cs="Arial"/>
          <w:sz w:val="20"/>
          <w:szCs w:val="20"/>
        </w:rPr>
        <w:t xml:space="preserve"> </w:t>
      </w:r>
      <w:r w:rsidRPr="00963A27">
        <w:rPr>
          <w:rFonts w:ascii="Arial" w:hAnsi="Arial" w:cs="Arial"/>
          <w:sz w:val="20"/>
          <w:szCs w:val="20"/>
        </w:rPr>
        <w:t xml:space="preserve">and </w:t>
      </w:r>
      <w:r w:rsidR="00BB4BC0" w:rsidRPr="00963A27">
        <w:rPr>
          <w:rFonts w:ascii="Arial" w:hAnsi="Arial" w:cs="Arial"/>
          <w:sz w:val="20"/>
          <w:szCs w:val="20"/>
        </w:rPr>
        <w:t>bio responsive</w:t>
      </w:r>
      <w:r w:rsidRPr="00963A27">
        <w:rPr>
          <w:rFonts w:ascii="Arial" w:hAnsi="Arial" w:cs="Arial"/>
          <w:sz w:val="20"/>
          <w:szCs w:val="20"/>
        </w:rPr>
        <w:t xml:space="preserve"> materials will enable targeted drug release kinetics.</w:t>
      </w:r>
    </w:p>
    <w:p w14:paraId="5EF7FFF7" w14:textId="10562AF9" w:rsidR="00D33E38" w:rsidRPr="000D69B7" w:rsidRDefault="0090078D" w:rsidP="00882252">
      <w:pPr>
        <w:pStyle w:val="ListParagraph"/>
        <w:numPr>
          <w:ilvl w:val="0"/>
          <w:numId w:val="20"/>
        </w:numPr>
        <w:spacing w:line="360" w:lineRule="auto"/>
        <w:ind w:left="710" w:hanging="284"/>
        <w:jc w:val="both"/>
        <w:rPr>
          <w:rFonts w:ascii="Arial" w:hAnsi="Arial" w:cs="Arial"/>
          <w:sz w:val="20"/>
          <w:szCs w:val="20"/>
        </w:rPr>
      </w:pPr>
      <w:r w:rsidRPr="00963A27">
        <w:rPr>
          <w:rFonts w:ascii="Arial" w:hAnsi="Arial" w:cs="Arial"/>
          <w:sz w:val="20"/>
          <w:szCs w:val="20"/>
        </w:rPr>
        <w:t>Targeted drug delivery systems in the oral cavity are being investigated to maximize drug effectiveness for the treatment of localized diseases while reducing systemic side effects</w:t>
      </w:r>
      <w:r w:rsidR="000D69B7">
        <w:rPr>
          <w:rFonts w:ascii="Arial" w:hAnsi="Arial" w:cs="Arial"/>
          <w:sz w:val="20"/>
          <w:szCs w:val="20"/>
        </w:rPr>
        <w:t>.</w:t>
      </w:r>
    </w:p>
    <w:p w14:paraId="4B7C4545" w14:textId="4B4CDE46" w:rsidR="0090078D" w:rsidRPr="00963A27" w:rsidRDefault="0090078D" w:rsidP="00956427">
      <w:pPr>
        <w:spacing w:line="360" w:lineRule="auto"/>
        <w:ind w:left="426"/>
        <w:jc w:val="both"/>
        <w:rPr>
          <w:rFonts w:ascii="Arial" w:hAnsi="Arial" w:cs="Arial"/>
          <w:b/>
          <w:sz w:val="20"/>
          <w:szCs w:val="20"/>
        </w:rPr>
      </w:pPr>
      <w:r w:rsidRPr="00963A27">
        <w:rPr>
          <w:rFonts w:ascii="Arial" w:hAnsi="Arial" w:cs="Arial"/>
          <w:b/>
          <w:sz w:val="20"/>
          <w:szCs w:val="20"/>
        </w:rPr>
        <w:t>Combination Therapies for Better Treatment</w:t>
      </w:r>
    </w:p>
    <w:p w14:paraId="797A4845" w14:textId="2E3B0D93" w:rsidR="0090078D" w:rsidRPr="00963A27" w:rsidRDefault="0090078D" w:rsidP="00882252">
      <w:pPr>
        <w:pStyle w:val="ListParagraph"/>
        <w:numPr>
          <w:ilvl w:val="0"/>
          <w:numId w:val="21"/>
        </w:numPr>
        <w:spacing w:line="360" w:lineRule="auto"/>
        <w:ind w:left="710" w:hanging="284"/>
        <w:jc w:val="both"/>
        <w:rPr>
          <w:rFonts w:ascii="Arial" w:hAnsi="Arial" w:cs="Arial"/>
          <w:sz w:val="20"/>
          <w:szCs w:val="20"/>
        </w:rPr>
      </w:pPr>
      <w:r w:rsidRPr="00963A27">
        <w:rPr>
          <w:rFonts w:ascii="Arial" w:hAnsi="Arial" w:cs="Arial"/>
          <w:sz w:val="20"/>
          <w:szCs w:val="20"/>
        </w:rPr>
        <w:t>The use of multiple drugs in a single wafer is expected to make complicated treatment regimens easier to manage, decrease pill burden and increase compliance.</w:t>
      </w:r>
    </w:p>
    <w:p w14:paraId="633387F5" w14:textId="19C723DC" w:rsidR="0090078D" w:rsidRPr="00963A27" w:rsidRDefault="0090078D" w:rsidP="00882252">
      <w:pPr>
        <w:pStyle w:val="ListParagraph"/>
        <w:numPr>
          <w:ilvl w:val="0"/>
          <w:numId w:val="21"/>
        </w:numPr>
        <w:spacing w:line="360" w:lineRule="auto"/>
        <w:ind w:left="710" w:hanging="284"/>
        <w:jc w:val="both"/>
        <w:rPr>
          <w:rFonts w:ascii="Arial" w:hAnsi="Arial" w:cs="Arial"/>
          <w:sz w:val="20"/>
          <w:szCs w:val="20"/>
        </w:rPr>
      </w:pPr>
      <w:r w:rsidRPr="00963A27">
        <w:rPr>
          <w:rFonts w:ascii="Arial" w:hAnsi="Arial" w:cs="Arial"/>
          <w:sz w:val="20"/>
          <w:szCs w:val="20"/>
        </w:rPr>
        <w:t>Optimization of various drug release profiles, pharmacokinetics</w:t>
      </w:r>
      <w:r w:rsidR="008F1B1F" w:rsidRPr="00963A27">
        <w:rPr>
          <w:rFonts w:ascii="Arial" w:hAnsi="Arial" w:cs="Arial"/>
          <w:sz w:val="20"/>
          <w:szCs w:val="20"/>
        </w:rPr>
        <w:t xml:space="preserve"> </w:t>
      </w:r>
      <w:r w:rsidRPr="00963A27">
        <w:rPr>
          <w:rFonts w:ascii="Arial" w:hAnsi="Arial" w:cs="Arial"/>
          <w:sz w:val="20"/>
          <w:szCs w:val="20"/>
        </w:rPr>
        <w:t>and bioavailability is being researched to produce synergistic therapeutic effects.</w:t>
      </w:r>
    </w:p>
    <w:p w14:paraId="6B2908D8" w14:textId="3FE16280" w:rsidR="00F00BF2" w:rsidRPr="00963A27" w:rsidRDefault="0090078D" w:rsidP="00882252">
      <w:pPr>
        <w:pStyle w:val="ListParagraph"/>
        <w:numPr>
          <w:ilvl w:val="0"/>
          <w:numId w:val="21"/>
        </w:numPr>
        <w:spacing w:line="360" w:lineRule="auto"/>
        <w:ind w:left="710" w:hanging="284"/>
        <w:jc w:val="both"/>
        <w:rPr>
          <w:rFonts w:ascii="Arial" w:hAnsi="Arial" w:cs="Arial"/>
          <w:sz w:val="20"/>
          <w:szCs w:val="20"/>
        </w:rPr>
      </w:pPr>
      <w:r w:rsidRPr="00963A27">
        <w:rPr>
          <w:rFonts w:ascii="Arial" w:hAnsi="Arial" w:cs="Arial"/>
          <w:sz w:val="20"/>
          <w:szCs w:val="20"/>
        </w:rPr>
        <w:t>This methodology is especially advantageous for chronic diseases, psychiatric conditions, and regimens of drugs for infectious disease.</w:t>
      </w:r>
    </w:p>
    <w:p w14:paraId="1FAEF89A" w14:textId="73A84C18" w:rsidR="00F00BF2" w:rsidRPr="00963A27" w:rsidRDefault="00F00BF2" w:rsidP="00956427">
      <w:pPr>
        <w:spacing w:line="360" w:lineRule="auto"/>
        <w:ind w:left="426"/>
        <w:jc w:val="both"/>
        <w:rPr>
          <w:rFonts w:ascii="Arial" w:hAnsi="Arial" w:cs="Arial"/>
          <w:b/>
          <w:sz w:val="20"/>
          <w:szCs w:val="20"/>
        </w:rPr>
      </w:pPr>
      <w:r w:rsidRPr="00963A27">
        <w:rPr>
          <w:rFonts w:ascii="Arial" w:hAnsi="Arial" w:cs="Arial"/>
          <w:b/>
          <w:sz w:val="20"/>
          <w:szCs w:val="20"/>
        </w:rPr>
        <w:lastRenderedPageBreak/>
        <w:t>Biodegradable and Eco-Friendly Innovations</w:t>
      </w:r>
    </w:p>
    <w:p w14:paraId="16840197" w14:textId="13B20135" w:rsidR="00F00BF2" w:rsidRPr="00963A27" w:rsidRDefault="00F00BF2" w:rsidP="00956427">
      <w:pPr>
        <w:spacing w:line="360" w:lineRule="auto"/>
        <w:ind w:left="426"/>
        <w:jc w:val="both"/>
        <w:rPr>
          <w:rFonts w:ascii="Arial" w:hAnsi="Arial" w:cs="Arial"/>
          <w:sz w:val="20"/>
          <w:szCs w:val="20"/>
        </w:rPr>
      </w:pPr>
      <w:r w:rsidRPr="00963A27">
        <w:rPr>
          <w:rFonts w:ascii="Arial" w:hAnsi="Arial" w:cs="Arial"/>
          <w:sz w:val="20"/>
          <w:szCs w:val="20"/>
        </w:rPr>
        <w:t>The Role of Biodegradable Polymers</w:t>
      </w:r>
      <w:r w:rsidR="00676162" w:rsidRPr="00963A27">
        <w:rPr>
          <w:rFonts w:ascii="Arial" w:hAnsi="Arial" w:cs="Arial"/>
          <w:sz w:val="20"/>
          <w:szCs w:val="20"/>
        </w:rPr>
        <w:t>-</w:t>
      </w:r>
    </w:p>
    <w:p w14:paraId="4486037A" w14:textId="77777777" w:rsidR="00F00BF2" w:rsidRPr="00963A27" w:rsidRDefault="00F00BF2" w:rsidP="00882252">
      <w:pPr>
        <w:pStyle w:val="ListParagraph"/>
        <w:numPr>
          <w:ilvl w:val="0"/>
          <w:numId w:val="22"/>
        </w:numPr>
        <w:spacing w:line="360" w:lineRule="auto"/>
        <w:ind w:left="1146"/>
        <w:jc w:val="both"/>
        <w:rPr>
          <w:rFonts w:ascii="Arial" w:hAnsi="Arial" w:cs="Arial"/>
          <w:sz w:val="20"/>
          <w:szCs w:val="20"/>
        </w:rPr>
      </w:pPr>
      <w:r w:rsidRPr="00963A27">
        <w:rPr>
          <w:rFonts w:ascii="Arial" w:hAnsi="Arial" w:cs="Arial"/>
          <w:sz w:val="20"/>
          <w:szCs w:val="20"/>
        </w:rPr>
        <w:t xml:space="preserve">Pharmaceuticals are turning to biodegradable and biocompatible polymers for ODW applications in order to minimize environmental impact while maintaining patient safety. </w:t>
      </w:r>
    </w:p>
    <w:p w14:paraId="1A5252D1" w14:textId="59E515E6" w:rsidR="00F00BF2" w:rsidRPr="00963A27" w:rsidRDefault="00F00BF2" w:rsidP="00882252">
      <w:pPr>
        <w:pStyle w:val="ListParagraph"/>
        <w:numPr>
          <w:ilvl w:val="0"/>
          <w:numId w:val="22"/>
        </w:numPr>
        <w:spacing w:line="360" w:lineRule="auto"/>
        <w:ind w:left="1146"/>
        <w:jc w:val="both"/>
        <w:rPr>
          <w:rFonts w:ascii="Arial" w:hAnsi="Arial" w:cs="Arial"/>
          <w:sz w:val="20"/>
          <w:szCs w:val="20"/>
        </w:rPr>
      </w:pPr>
      <w:r w:rsidRPr="00963A27">
        <w:rPr>
          <w:rFonts w:ascii="Arial" w:hAnsi="Arial" w:cs="Arial"/>
          <w:sz w:val="20"/>
          <w:szCs w:val="20"/>
        </w:rPr>
        <w:t>The following are major biodegradable polymers under investigation:</w:t>
      </w:r>
    </w:p>
    <w:p w14:paraId="633FD52B" w14:textId="388C2758" w:rsidR="00F00BF2" w:rsidRPr="00963A27" w:rsidRDefault="00F00BF2" w:rsidP="00882252">
      <w:pPr>
        <w:pStyle w:val="ListParagraph"/>
        <w:numPr>
          <w:ilvl w:val="0"/>
          <w:numId w:val="23"/>
        </w:numPr>
        <w:spacing w:line="360" w:lineRule="auto"/>
        <w:ind w:left="1866"/>
        <w:jc w:val="both"/>
        <w:rPr>
          <w:rFonts w:ascii="Arial" w:hAnsi="Arial" w:cs="Arial"/>
          <w:sz w:val="20"/>
          <w:szCs w:val="20"/>
        </w:rPr>
      </w:pPr>
      <w:r w:rsidRPr="00963A27">
        <w:rPr>
          <w:rFonts w:ascii="Arial" w:hAnsi="Arial" w:cs="Arial"/>
          <w:sz w:val="20"/>
          <w:szCs w:val="20"/>
        </w:rPr>
        <w:t>Chitosan – mucoadhesive in nature, enabling extended retention of drugs.</w:t>
      </w:r>
    </w:p>
    <w:p w14:paraId="22E1CA22" w14:textId="467694F2" w:rsidR="00F00BF2" w:rsidRPr="00963A27" w:rsidRDefault="00F00BF2" w:rsidP="00882252">
      <w:pPr>
        <w:pStyle w:val="ListParagraph"/>
        <w:numPr>
          <w:ilvl w:val="0"/>
          <w:numId w:val="23"/>
        </w:numPr>
        <w:spacing w:line="360" w:lineRule="auto"/>
        <w:ind w:left="1866"/>
        <w:jc w:val="both"/>
        <w:rPr>
          <w:rFonts w:ascii="Arial" w:hAnsi="Arial" w:cs="Arial"/>
          <w:sz w:val="20"/>
          <w:szCs w:val="20"/>
        </w:rPr>
      </w:pPr>
      <w:r w:rsidRPr="00963A27">
        <w:rPr>
          <w:rFonts w:ascii="Arial" w:hAnsi="Arial" w:cs="Arial"/>
          <w:sz w:val="20"/>
          <w:szCs w:val="20"/>
        </w:rPr>
        <w:t>Pullulan – water-soluble polysaccharide that increases the strength and stability of films.</w:t>
      </w:r>
    </w:p>
    <w:p w14:paraId="4B144953" w14:textId="59DA56EB" w:rsidR="00F00BF2" w:rsidRPr="00963A27" w:rsidRDefault="00F00BF2" w:rsidP="00882252">
      <w:pPr>
        <w:pStyle w:val="ListParagraph"/>
        <w:numPr>
          <w:ilvl w:val="0"/>
          <w:numId w:val="23"/>
        </w:numPr>
        <w:spacing w:line="360" w:lineRule="auto"/>
        <w:ind w:left="1866"/>
        <w:jc w:val="both"/>
        <w:rPr>
          <w:rFonts w:ascii="Arial" w:hAnsi="Arial" w:cs="Arial"/>
          <w:sz w:val="20"/>
          <w:szCs w:val="20"/>
        </w:rPr>
      </w:pPr>
      <w:r w:rsidRPr="00963A27">
        <w:rPr>
          <w:rFonts w:ascii="Arial" w:hAnsi="Arial" w:cs="Arial"/>
          <w:sz w:val="20"/>
          <w:szCs w:val="20"/>
        </w:rPr>
        <w:t>Hydroxypropyl Methylcellulose (HPMC) – extensively employed polymer with a high level of film-forming and drug-loading ability.</w:t>
      </w:r>
    </w:p>
    <w:p w14:paraId="644DE039" w14:textId="07EBC825" w:rsidR="00F00BF2" w:rsidRPr="00963A27" w:rsidRDefault="00F00BF2" w:rsidP="00956427">
      <w:pPr>
        <w:spacing w:line="360" w:lineRule="auto"/>
        <w:ind w:left="426"/>
        <w:jc w:val="both"/>
        <w:rPr>
          <w:rFonts w:ascii="Arial" w:hAnsi="Arial" w:cs="Arial"/>
          <w:sz w:val="20"/>
          <w:szCs w:val="20"/>
        </w:rPr>
      </w:pPr>
      <w:r w:rsidRPr="00963A27">
        <w:rPr>
          <w:rFonts w:ascii="Arial" w:hAnsi="Arial" w:cs="Arial"/>
          <w:sz w:val="20"/>
          <w:szCs w:val="20"/>
        </w:rPr>
        <w:t>Research is concentrating on new biopolymers that improve mechanical strength, flexibility, and disintegration time, maximizing the functionality of the wafer.</w:t>
      </w:r>
    </w:p>
    <w:p w14:paraId="1A9FDA34" w14:textId="6116460C" w:rsidR="00F00BF2" w:rsidRPr="00963A27" w:rsidRDefault="00F00BF2" w:rsidP="00956427">
      <w:pPr>
        <w:spacing w:line="360" w:lineRule="auto"/>
        <w:ind w:left="426"/>
        <w:jc w:val="both"/>
        <w:rPr>
          <w:rFonts w:ascii="Arial" w:hAnsi="Arial" w:cs="Arial"/>
          <w:b/>
          <w:sz w:val="20"/>
          <w:szCs w:val="20"/>
        </w:rPr>
      </w:pPr>
      <w:r w:rsidRPr="00963A27">
        <w:rPr>
          <w:rFonts w:ascii="Arial" w:hAnsi="Arial" w:cs="Arial"/>
          <w:b/>
          <w:sz w:val="20"/>
          <w:szCs w:val="20"/>
        </w:rPr>
        <w:t>Green Packaging and Environmentally Friendly Formulations</w:t>
      </w:r>
    </w:p>
    <w:p w14:paraId="6D9115F9" w14:textId="4A737516" w:rsidR="00F00BF2" w:rsidRPr="00963A27" w:rsidRDefault="00F00BF2" w:rsidP="00956427">
      <w:pPr>
        <w:spacing w:line="360" w:lineRule="auto"/>
        <w:ind w:left="426"/>
        <w:jc w:val="both"/>
        <w:rPr>
          <w:rFonts w:ascii="Arial" w:hAnsi="Arial" w:cs="Arial"/>
          <w:sz w:val="20"/>
          <w:szCs w:val="20"/>
        </w:rPr>
      </w:pPr>
      <w:r w:rsidRPr="00963A27">
        <w:rPr>
          <w:rFonts w:ascii="Arial" w:hAnsi="Arial" w:cs="Arial"/>
          <w:sz w:val="20"/>
          <w:szCs w:val="20"/>
        </w:rPr>
        <w:t>The future of ODW packaging is moving towards recyclable, compostable, or biodegradable materials to minimize pharmaceutical waste</w:t>
      </w:r>
      <w:r w:rsidR="008F1B1F" w:rsidRPr="00963A27">
        <w:rPr>
          <w:rFonts w:ascii="Arial" w:hAnsi="Arial" w:cs="Arial"/>
          <w:sz w:val="20"/>
          <w:szCs w:val="20"/>
        </w:rPr>
        <w:t xml:space="preserve">. </w:t>
      </w:r>
      <w:r w:rsidRPr="00963A27">
        <w:rPr>
          <w:rFonts w:ascii="Arial" w:hAnsi="Arial" w:cs="Arial"/>
          <w:sz w:val="20"/>
          <w:szCs w:val="20"/>
        </w:rPr>
        <w:t>Advances in bio-based films and coatings ensure that packaging integrity is preserved while being environmentally friendly.</w:t>
      </w:r>
    </w:p>
    <w:p w14:paraId="673259E7" w14:textId="0C510687" w:rsidR="005D051C" w:rsidRPr="00963A27" w:rsidRDefault="005D051C" w:rsidP="00956427">
      <w:pPr>
        <w:spacing w:line="360" w:lineRule="auto"/>
        <w:ind w:left="426"/>
        <w:jc w:val="both"/>
        <w:rPr>
          <w:rFonts w:ascii="Arial" w:hAnsi="Arial" w:cs="Arial"/>
          <w:b/>
          <w:sz w:val="20"/>
          <w:szCs w:val="20"/>
        </w:rPr>
      </w:pPr>
      <w:r w:rsidRPr="00963A27">
        <w:rPr>
          <w:rFonts w:ascii="Arial" w:hAnsi="Arial" w:cs="Arial"/>
          <w:b/>
          <w:sz w:val="20"/>
          <w:szCs w:val="20"/>
        </w:rPr>
        <w:t>Advances in Taste Masking Technologies</w:t>
      </w:r>
    </w:p>
    <w:p w14:paraId="11AFEF4D" w14:textId="77777777" w:rsidR="005D051C" w:rsidRPr="00963A27" w:rsidRDefault="005D051C" w:rsidP="00882252">
      <w:pPr>
        <w:numPr>
          <w:ilvl w:val="0"/>
          <w:numId w:val="24"/>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Many active pharmaceutical ingredients (APIs) have an inherently bitter or unpleasant taste, making patient acceptance a challenge.</w:t>
      </w:r>
    </w:p>
    <w:p w14:paraId="257C2488" w14:textId="108930EF" w:rsidR="005D051C" w:rsidRPr="00963A27" w:rsidRDefault="005D051C" w:rsidP="00882252">
      <w:pPr>
        <w:numPr>
          <w:ilvl w:val="0"/>
          <w:numId w:val="24"/>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 xml:space="preserve">Microencapsulation, advanced </w:t>
      </w:r>
      <w:r w:rsidR="00386EE8" w:rsidRPr="00963A27">
        <w:rPr>
          <w:rFonts w:ascii="Arial" w:hAnsi="Arial" w:cs="Arial"/>
          <w:sz w:val="20"/>
          <w:szCs w:val="20"/>
        </w:rPr>
        <w:t>flavour</w:t>
      </w:r>
      <w:r w:rsidRPr="00963A27">
        <w:rPr>
          <w:rFonts w:ascii="Arial" w:hAnsi="Arial" w:cs="Arial"/>
          <w:sz w:val="20"/>
          <w:szCs w:val="20"/>
        </w:rPr>
        <w:t>-masking agents, and polymer coatings are being developed to completely mask the bitterness of drugs while preserving the wafer’s rapid disintegration properties.</w:t>
      </w:r>
    </w:p>
    <w:p w14:paraId="26923ACB" w14:textId="4E5B38CF" w:rsidR="005D051C" w:rsidRPr="00963A27" w:rsidRDefault="005D051C" w:rsidP="00882252">
      <w:pPr>
        <w:numPr>
          <w:ilvl w:val="0"/>
          <w:numId w:val="24"/>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 xml:space="preserve">These taste-masking strategies are particularly beneficial for </w:t>
      </w:r>
      <w:r w:rsidR="001269F7">
        <w:rPr>
          <w:rFonts w:ascii="Arial" w:hAnsi="Arial" w:cs="Arial"/>
          <w:sz w:val="20"/>
          <w:szCs w:val="20"/>
        </w:rPr>
        <w:t>pediatric</w:t>
      </w:r>
      <w:r w:rsidRPr="00963A27">
        <w:rPr>
          <w:rFonts w:ascii="Arial" w:hAnsi="Arial" w:cs="Arial"/>
          <w:sz w:val="20"/>
          <w:szCs w:val="20"/>
        </w:rPr>
        <w:t xml:space="preserve"> and geriatric patients who may struggle with swallowing traditional tablets or capsules.</w:t>
      </w:r>
    </w:p>
    <w:p w14:paraId="518A6A8B" w14:textId="77777777" w:rsidR="00386EE8" w:rsidRPr="00963A27" w:rsidRDefault="005D051C" w:rsidP="00956427">
      <w:pPr>
        <w:spacing w:line="360" w:lineRule="auto"/>
        <w:ind w:left="426"/>
        <w:jc w:val="both"/>
        <w:rPr>
          <w:rFonts w:ascii="Arial" w:hAnsi="Arial" w:cs="Arial"/>
          <w:b/>
          <w:sz w:val="20"/>
          <w:szCs w:val="20"/>
        </w:rPr>
      </w:pPr>
      <w:r w:rsidRPr="00963A27">
        <w:rPr>
          <w:rFonts w:ascii="Arial" w:hAnsi="Arial" w:cs="Arial"/>
          <w:b/>
          <w:sz w:val="20"/>
          <w:szCs w:val="20"/>
        </w:rPr>
        <w:t>Integration of Emerging Technologies in Orodispersible Wafers</w:t>
      </w:r>
    </w:p>
    <w:p w14:paraId="65205C30" w14:textId="1FDF3895" w:rsidR="005D051C" w:rsidRPr="00963A27" w:rsidRDefault="005D051C" w:rsidP="00956427">
      <w:pPr>
        <w:spacing w:line="360" w:lineRule="auto"/>
        <w:ind w:left="567"/>
        <w:jc w:val="both"/>
        <w:rPr>
          <w:rFonts w:ascii="Arial" w:hAnsi="Arial" w:cs="Arial"/>
          <w:b/>
          <w:sz w:val="20"/>
          <w:szCs w:val="20"/>
        </w:rPr>
      </w:pPr>
      <w:r w:rsidRPr="00963A27">
        <w:rPr>
          <w:rFonts w:ascii="Arial" w:hAnsi="Arial" w:cs="Arial"/>
          <w:b/>
          <w:sz w:val="20"/>
          <w:szCs w:val="20"/>
        </w:rPr>
        <w:t>Smart Wafers with Digital Health Integration</w:t>
      </w:r>
    </w:p>
    <w:p w14:paraId="6F1A0B3B" w14:textId="7A3150BF" w:rsidR="005D051C" w:rsidRPr="00963A27" w:rsidRDefault="005D051C" w:rsidP="00882252">
      <w:pPr>
        <w:numPr>
          <w:ilvl w:val="0"/>
          <w:numId w:val="25"/>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Future wafers may incorporate embedded sensors and microelectronics to monitor</w:t>
      </w:r>
      <w:r w:rsidR="008F1B1F" w:rsidRPr="00963A27">
        <w:rPr>
          <w:rFonts w:ascii="Arial" w:hAnsi="Arial" w:cs="Arial"/>
          <w:sz w:val="20"/>
          <w:szCs w:val="20"/>
        </w:rPr>
        <w:t>-</w:t>
      </w:r>
      <w:r w:rsidR="00FB2AEC" w:rsidRPr="00963A27">
        <w:rPr>
          <w:rFonts w:ascii="Arial" w:hAnsi="Arial" w:cs="Arial"/>
          <w:sz w:val="20"/>
          <w:szCs w:val="20"/>
        </w:rPr>
        <w:t xml:space="preserve"> d</w:t>
      </w:r>
      <w:r w:rsidRPr="00963A27">
        <w:rPr>
          <w:rFonts w:ascii="Arial" w:hAnsi="Arial" w:cs="Arial"/>
          <w:sz w:val="20"/>
          <w:szCs w:val="20"/>
        </w:rPr>
        <w:t>rug release profiles</w:t>
      </w:r>
      <w:r w:rsidR="00FB2AEC" w:rsidRPr="00963A27">
        <w:rPr>
          <w:rFonts w:ascii="Arial" w:hAnsi="Arial" w:cs="Arial"/>
          <w:sz w:val="20"/>
          <w:szCs w:val="20"/>
        </w:rPr>
        <w:t>, p</w:t>
      </w:r>
      <w:r w:rsidRPr="00963A27">
        <w:rPr>
          <w:rFonts w:ascii="Arial" w:hAnsi="Arial" w:cs="Arial"/>
          <w:sz w:val="20"/>
          <w:szCs w:val="20"/>
        </w:rPr>
        <w:t>atient adherence</w:t>
      </w:r>
      <w:r w:rsidR="00FB2AEC" w:rsidRPr="00963A27">
        <w:rPr>
          <w:rFonts w:ascii="Arial" w:hAnsi="Arial" w:cs="Arial"/>
          <w:sz w:val="20"/>
          <w:szCs w:val="20"/>
        </w:rPr>
        <w:t xml:space="preserve">, </w:t>
      </w:r>
      <w:r w:rsidR="00272680" w:rsidRPr="00963A27">
        <w:rPr>
          <w:rFonts w:ascii="Arial" w:hAnsi="Arial" w:cs="Arial"/>
          <w:sz w:val="20"/>
          <w:szCs w:val="20"/>
        </w:rPr>
        <w:t>d</w:t>
      </w:r>
      <w:r w:rsidRPr="00963A27">
        <w:rPr>
          <w:rFonts w:ascii="Arial" w:hAnsi="Arial" w:cs="Arial"/>
          <w:sz w:val="20"/>
          <w:szCs w:val="20"/>
        </w:rPr>
        <w:t>isintegration time within the oral cavity</w:t>
      </w:r>
    </w:p>
    <w:p w14:paraId="43B8FF16" w14:textId="1D989B97" w:rsidR="00240B1C" w:rsidRPr="000D69B7" w:rsidRDefault="005D051C" w:rsidP="00882252">
      <w:pPr>
        <w:numPr>
          <w:ilvl w:val="0"/>
          <w:numId w:val="25"/>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Such smart technology can be integrated with mobile health apps to provide rea</w:t>
      </w:r>
      <w:r w:rsidR="00FB2AEC" w:rsidRPr="00963A27">
        <w:rPr>
          <w:rFonts w:ascii="Arial" w:hAnsi="Arial" w:cs="Arial"/>
          <w:sz w:val="20"/>
          <w:szCs w:val="20"/>
        </w:rPr>
        <w:t xml:space="preserve"> </w:t>
      </w:r>
      <w:r w:rsidRPr="00963A27">
        <w:rPr>
          <w:rFonts w:ascii="Arial" w:hAnsi="Arial" w:cs="Arial"/>
          <w:sz w:val="20"/>
          <w:szCs w:val="20"/>
        </w:rPr>
        <w:t>l-time data, ensuring better treatment monitoring and adherence.</w:t>
      </w:r>
    </w:p>
    <w:p w14:paraId="55C1B450" w14:textId="4002BA7C" w:rsidR="005D051C" w:rsidRPr="00963A27" w:rsidRDefault="0067246E" w:rsidP="00956427">
      <w:pPr>
        <w:spacing w:line="360" w:lineRule="auto"/>
        <w:ind w:left="426"/>
        <w:jc w:val="both"/>
        <w:rPr>
          <w:rFonts w:ascii="Arial" w:hAnsi="Arial" w:cs="Arial"/>
          <w:b/>
          <w:sz w:val="20"/>
          <w:szCs w:val="20"/>
        </w:rPr>
      </w:pPr>
      <w:r w:rsidRPr="00963A27">
        <w:rPr>
          <w:rFonts w:ascii="Arial" w:hAnsi="Arial" w:cs="Arial"/>
          <w:b/>
          <w:sz w:val="20"/>
          <w:szCs w:val="20"/>
        </w:rPr>
        <w:t xml:space="preserve"> </w:t>
      </w:r>
      <w:r w:rsidR="005D051C" w:rsidRPr="00963A27">
        <w:rPr>
          <w:rFonts w:ascii="Arial" w:hAnsi="Arial" w:cs="Arial"/>
          <w:b/>
          <w:sz w:val="20"/>
          <w:szCs w:val="20"/>
        </w:rPr>
        <w:t>Nanotechnology-Driven Innovations</w:t>
      </w:r>
    </w:p>
    <w:p w14:paraId="032F4086" w14:textId="69272A0B" w:rsidR="005D051C" w:rsidRPr="00963A27" w:rsidRDefault="005D051C" w:rsidP="00882252">
      <w:pPr>
        <w:numPr>
          <w:ilvl w:val="0"/>
          <w:numId w:val="26"/>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 xml:space="preserve">Nanocarriers such as nanoparticles, </w:t>
      </w:r>
      <w:r w:rsidR="00676914" w:rsidRPr="00963A27">
        <w:rPr>
          <w:rFonts w:ascii="Arial" w:hAnsi="Arial" w:cs="Arial"/>
          <w:sz w:val="20"/>
          <w:szCs w:val="20"/>
        </w:rPr>
        <w:t>nano capsules</w:t>
      </w:r>
      <w:r w:rsidRPr="00963A27">
        <w:rPr>
          <w:rFonts w:ascii="Arial" w:hAnsi="Arial" w:cs="Arial"/>
          <w:sz w:val="20"/>
          <w:szCs w:val="20"/>
        </w:rPr>
        <w:t xml:space="preserve"> and liposomes can significantly enhance drug solubility, stability, and bioavailability.</w:t>
      </w:r>
    </w:p>
    <w:p w14:paraId="46CB17E4" w14:textId="77777777" w:rsidR="005D051C" w:rsidRPr="00963A27" w:rsidRDefault="005D051C" w:rsidP="00882252">
      <w:pPr>
        <w:numPr>
          <w:ilvl w:val="0"/>
          <w:numId w:val="26"/>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lastRenderedPageBreak/>
        <w:t xml:space="preserve">These advancements will be particularly useful for: </w:t>
      </w:r>
    </w:p>
    <w:p w14:paraId="78605D0B" w14:textId="77777777" w:rsidR="005D051C" w:rsidRPr="00963A27" w:rsidRDefault="005D051C" w:rsidP="00882252">
      <w:pPr>
        <w:numPr>
          <w:ilvl w:val="1"/>
          <w:numId w:val="33"/>
        </w:numPr>
        <w:spacing w:line="360" w:lineRule="auto"/>
        <w:ind w:left="1866"/>
        <w:jc w:val="both"/>
        <w:rPr>
          <w:rFonts w:ascii="Arial" w:hAnsi="Arial" w:cs="Arial"/>
          <w:sz w:val="20"/>
          <w:szCs w:val="20"/>
        </w:rPr>
      </w:pPr>
      <w:r w:rsidRPr="00963A27">
        <w:rPr>
          <w:rFonts w:ascii="Arial" w:hAnsi="Arial" w:cs="Arial"/>
          <w:sz w:val="20"/>
          <w:szCs w:val="20"/>
        </w:rPr>
        <w:t>Poorly water-soluble drugs, where nanotechnology can increase absorption and therapeutic effectiveness.</w:t>
      </w:r>
    </w:p>
    <w:p w14:paraId="23DE7053" w14:textId="77777777" w:rsidR="008D4A63" w:rsidRPr="00963A27" w:rsidRDefault="005D051C" w:rsidP="00882252">
      <w:pPr>
        <w:numPr>
          <w:ilvl w:val="1"/>
          <w:numId w:val="33"/>
        </w:numPr>
        <w:spacing w:line="360" w:lineRule="auto"/>
        <w:ind w:left="1866"/>
        <w:jc w:val="both"/>
        <w:rPr>
          <w:rFonts w:ascii="Arial" w:hAnsi="Arial" w:cs="Arial"/>
          <w:sz w:val="20"/>
          <w:szCs w:val="20"/>
        </w:rPr>
      </w:pPr>
      <w:r w:rsidRPr="00963A27">
        <w:rPr>
          <w:rFonts w:ascii="Arial" w:hAnsi="Arial" w:cs="Arial"/>
          <w:sz w:val="20"/>
          <w:szCs w:val="20"/>
        </w:rPr>
        <w:t>Targeted drug delivery, ensuring higher drug concentrations at the site of action while reducing systemic side effects.</w:t>
      </w:r>
    </w:p>
    <w:p w14:paraId="2787E769" w14:textId="02FBD9CE" w:rsidR="005D051C" w:rsidRPr="00963A27" w:rsidRDefault="005D051C" w:rsidP="00956427">
      <w:pPr>
        <w:spacing w:line="360" w:lineRule="auto"/>
        <w:ind w:left="426" w:firstLine="142"/>
        <w:jc w:val="both"/>
        <w:rPr>
          <w:rFonts w:ascii="Arial" w:hAnsi="Arial" w:cs="Arial"/>
          <w:sz w:val="20"/>
          <w:szCs w:val="20"/>
        </w:rPr>
      </w:pPr>
      <w:r w:rsidRPr="00963A27">
        <w:rPr>
          <w:rFonts w:ascii="Arial" w:hAnsi="Arial" w:cs="Arial"/>
          <w:b/>
          <w:sz w:val="20"/>
          <w:szCs w:val="20"/>
        </w:rPr>
        <w:t>3D Printing for Personalized Medicine</w:t>
      </w:r>
    </w:p>
    <w:p w14:paraId="23C57705" w14:textId="77777777" w:rsidR="005D051C" w:rsidRPr="00963A27" w:rsidRDefault="005D051C" w:rsidP="00882252">
      <w:pPr>
        <w:numPr>
          <w:ilvl w:val="0"/>
          <w:numId w:val="27"/>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3D printing technology allows for precise control over drug loading, release kinetics, and wafer design, making it ideal for customized formulations.</w:t>
      </w:r>
    </w:p>
    <w:p w14:paraId="6973C66B" w14:textId="77777777" w:rsidR="005D051C" w:rsidRPr="00963A27" w:rsidRDefault="005D051C" w:rsidP="00882252">
      <w:pPr>
        <w:numPr>
          <w:ilvl w:val="0"/>
          <w:numId w:val="27"/>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 xml:space="preserve">Potential applications include: </w:t>
      </w:r>
    </w:p>
    <w:p w14:paraId="198FDB47" w14:textId="77777777" w:rsidR="005D051C" w:rsidRPr="00963A27" w:rsidRDefault="005D051C" w:rsidP="00882252">
      <w:pPr>
        <w:numPr>
          <w:ilvl w:val="1"/>
          <w:numId w:val="30"/>
        </w:numPr>
        <w:spacing w:line="360" w:lineRule="auto"/>
        <w:ind w:left="1866"/>
        <w:jc w:val="both"/>
        <w:rPr>
          <w:rFonts w:ascii="Arial" w:hAnsi="Arial" w:cs="Arial"/>
          <w:sz w:val="20"/>
          <w:szCs w:val="20"/>
        </w:rPr>
      </w:pPr>
      <w:r w:rsidRPr="00963A27">
        <w:rPr>
          <w:rFonts w:ascii="Arial" w:hAnsi="Arial" w:cs="Arial"/>
          <w:sz w:val="20"/>
          <w:szCs w:val="20"/>
        </w:rPr>
        <w:t>Patient-specific wafers tailored to genetic makeup, lifestyle, and disease condition.</w:t>
      </w:r>
    </w:p>
    <w:p w14:paraId="040FE180" w14:textId="6A916254" w:rsidR="00095827" w:rsidRPr="00F21D13" w:rsidRDefault="005D051C" w:rsidP="00882252">
      <w:pPr>
        <w:numPr>
          <w:ilvl w:val="1"/>
          <w:numId w:val="30"/>
        </w:numPr>
        <w:spacing w:line="360" w:lineRule="auto"/>
        <w:ind w:left="1866"/>
        <w:jc w:val="both"/>
        <w:rPr>
          <w:rFonts w:ascii="Arial" w:hAnsi="Arial" w:cs="Arial"/>
          <w:sz w:val="20"/>
          <w:szCs w:val="20"/>
        </w:rPr>
      </w:pPr>
      <w:r w:rsidRPr="00963A27">
        <w:rPr>
          <w:rFonts w:ascii="Arial" w:hAnsi="Arial" w:cs="Arial"/>
          <w:sz w:val="20"/>
          <w:szCs w:val="20"/>
        </w:rPr>
        <w:t>Multi-layered wafers capable of delivering multiple drugs in a sequential release manner.</w:t>
      </w:r>
    </w:p>
    <w:p w14:paraId="17681C5C" w14:textId="2352DED6" w:rsidR="005D051C" w:rsidRPr="00963A27" w:rsidRDefault="005D051C" w:rsidP="00956427">
      <w:pPr>
        <w:spacing w:line="360" w:lineRule="auto"/>
        <w:ind w:left="426"/>
        <w:jc w:val="both"/>
        <w:rPr>
          <w:rFonts w:ascii="Arial" w:hAnsi="Arial" w:cs="Arial"/>
          <w:b/>
          <w:sz w:val="20"/>
          <w:szCs w:val="20"/>
        </w:rPr>
      </w:pPr>
      <w:r w:rsidRPr="00963A27">
        <w:rPr>
          <w:rFonts w:ascii="Arial" w:hAnsi="Arial" w:cs="Arial"/>
          <w:b/>
          <w:sz w:val="20"/>
          <w:szCs w:val="20"/>
        </w:rPr>
        <w:t>Mucoadhesive Wafers for Prolonged Retention</w:t>
      </w:r>
    </w:p>
    <w:p w14:paraId="1014ABC0" w14:textId="6B4937BE" w:rsidR="005D051C" w:rsidRPr="00963A27" w:rsidRDefault="0003000F" w:rsidP="00882252">
      <w:pPr>
        <w:numPr>
          <w:ilvl w:val="0"/>
          <w:numId w:val="28"/>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Development of mucoadhesive wafers for prolonged drug retention in the oral cavity could improve therapeutic efficacy.</w:t>
      </w:r>
      <w:r w:rsidR="005D051C" w:rsidRPr="00963A27">
        <w:rPr>
          <w:rFonts w:ascii="Arial" w:hAnsi="Arial" w:cs="Arial"/>
          <w:sz w:val="20"/>
          <w:szCs w:val="20"/>
        </w:rPr>
        <w:t xml:space="preserve">, improving efficacy for: </w:t>
      </w:r>
    </w:p>
    <w:p w14:paraId="040D8C51" w14:textId="77777777" w:rsidR="005D051C" w:rsidRPr="00963A27" w:rsidRDefault="005D051C" w:rsidP="00882252">
      <w:pPr>
        <w:numPr>
          <w:ilvl w:val="1"/>
          <w:numId w:val="31"/>
        </w:numPr>
        <w:spacing w:line="360" w:lineRule="auto"/>
        <w:ind w:left="1866"/>
        <w:jc w:val="both"/>
        <w:rPr>
          <w:rFonts w:ascii="Arial" w:hAnsi="Arial" w:cs="Arial"/>
          <w:sz w:val="20"/>
          <w:szCs w:val="20"/>
        </w:rPr>
      </w:pPr>
      <w:r w:rsidRPr="00963A27">
        <w:rPr>
          <w:rFonts w:ascii="Arial" w:hAnsi="Arial" w:cs="Arial"/>
          <w:sz w:val="20"/>
          <w:szCs w:val="20"/>
        </w:rPr>
        <w:t>Pain management (e.g., opioid-based wafers for breakthrough cancer pain).</w:t>
      </w:r>
    </w:p>
    <w:p w14:paraId="16CCAF4F" w14:textId="77777777" w:rsidR="005D051C" w:rsidRPr="00963A27" w:rsidRDefault="005D051C" w:rsidP="00882252">
      <w:pPr>
        <w:numPr>
          <w:ilvl w:val="1"/>
          <w:numId w:val="31"/>
        </w:numPr>
        <w:spacing w:line="360" w:lineRule="auto"/>
        <w:ind w:left="1866"/>
        <w:jc w:val="both"/>
        <w:rPr>
          <w:rFonts w:ascii="Arial" w:hAnsi="Arial" w:cs="Arial"/>
          <w:sz w:val="20"/>
          <w:szCs w:val="20"/>
        </w:rPr>
      </w:pPr>
      <w:r w:rsidRPr="00963A27">
        <w:rPr>
          <w:rFonts w:ascii="Arial" w:hAnsi="Arial" w:cs="Arial"/>
          <w:sz w:val="20"/>
          <w:szCs w:val="20"/>
        </w:rPr>
        <w:t>Oral infections (e.g., antifungal or antibiotic wafers for treating oral candidiasis).</w:t>
      </w:r>
    </w:p>
    <w:p w14:paraId="456E1FCC" w14:textId="77777777" w:rsidR="005D051C" w:rsidRPr="00963A27" w:rsidRDefault="005D051C" w:rsidP="00882252">
      <w:pPr>
        <w:numPr>
          <w:ilvl w:val="1"/>
          <w:numId w:val="31"/>
        </w:numPr>
        <w:spacing w:line="360" w:lineRule="auto"/>
        <w:ind w:left="1866"/>
        <w:jc w:val="both"/>
        <w:rPr>
          <w:rFonts w:ascii="Arial" w:hAnsi="Arial" w:cs="Arial"/>
          <w:sz w:val="20"/>
          <w:szCs w:val="20"/>
        </w:rPr>
      </w:pPr>
      <w:r w:rsidRPr="00963A27">
        <w:rPr>
          <w:rFonts w:ascii="Arial" w:hAnsi="Arial" w:cs="Arial"/>
          <w:sz w:val="20"/>
          <w:szCs w:val="20"/>
        </w:rPr>
        <w:t>Hormone therapies, ensuring controlled hormone release over a prolonged period.</w:t>
      </w:r>
    </w:p>
    <w:p w14:paraId="2CC6B47F" w14:textId="6FA3CE15" w:rsidR="005D051C" w:rsidRPr="00963A27" w:rsidRDefault="005D051C" w:rsidP="00956427">
      <w:pPr>
        <w:spacing w:line="360" w:lineRule="auto"/>
        <w:ind w:left="426"/>
        <w:jc w:val="both"/>
        <w:rPr>
          <w:rFonts w:ascii="Arial" w:hAnsi="Arial" w:cs="Arial"/>
          <w:b/>
          <w:sz w:val="20"/>
          <w:szCs w:val="20"/>
        </w:rPr>
      </w:pPr>
      <w:r w:rsidRPr="00963A27">
        <w:rPr>
          <w:rFonts w:ascii="Arial" w:hAnsi="Arial" w:cs="Arial"/>
          <w:b/>
          <w:sz w:val="20"/>
          <w:szCs w:val="20"/>
        </w:rPr>
        <w:t>Personalized Medicine and the Future of Orodispersible Wafers</w:t>
      </w:r>
    </w:p>
    <w:p w14:paraId="5E072861" w14:textId="77777777" w:rsidR="005D051C" w:rsidRPr="00963A27" w:rsidRDefault="005D051C" w:rsidP="00882252">
      <w:pPr>
        <w:numPr>
          <w:ilvl w:val="0"/>
          <w:numId w:val="29"/>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Advances in genetic research and pharmacogenomics are paving the way for customized drug formulations.</w:t>
      </w:r>
    </w:p>
    <w:p w14:paraId="53A4EC93" w14:textId="77777777" w:rsidR="005D051C" w:rsidRPr="00963A27" w:rsidRDefault="005D051C" w:rsidP="00882252">
      <w:pPr>
        <w:numPr>
          <w:ilvl w:val="0"/>
          <w:numId w:val="29"/>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Digital health technologies will allow precise tailoring of dosage forms, drug concentrations, and release patterns based on individual patient needs.</w:t>
      </w:r>
    </w:p>
    <w:p w14:paraId="7914AD59" w14:textId="77777777" w:rsidR="005D051C" w:rsidRPr="00963A27" w:rsidRDefault="005D051C" w:rsidP="00882252">
      <w:pPr>
        <w:numPr>
          <w:ilvl w:val="0"/>
          <w:numId w:val="29"/>
        </w:numPr>
        <w:tabs>
          <w:tab w:val="clear" w:pos="720"/>
          <w:tab w:val="num" w:pos="1146"/>
        </w:tabs>
        <w:spacing w:line="360" w:lineRule="auto"/>
        <w:ind w:left="1146"/>
        <w:jc w:val="both"/>
        <w:rPr>
          <w:rFonts w:ascii="Arial" w:hAnsi="Arial" w:cs="Arial"/>
          <w:sz w:val="20"/>
          <w:szCs w:val="20"/>
        </w:rPr>
      </w:pPr>
      <w:r w:rsidRPr="00963A27">
        <w:rPr>
          <w:rFonts w:ascii="Arial" w:hAnsi="Arial" w:cs="Arial"/>
          <w:sz w:val="20"/>
          <w:szCs w:val="20"/>
        </w:rPr>
        <w:t xml:space="preserve">Future research will integrate AI-driven pharmaceutical formulation techniques to create wafers that are optimized for specific patient populations such as: </w:t>
      </w:r>
    </w:p>
    <w:p w14:paraId="294B2964" w14:textId="255C91CB" w:rsidR="005D051C" w:rsidRPr="00963A27" w:rsidRDefault="001269F7" w:rsidP="00882252">
      <w:pPr>
        <w:numPr>
          <w:ilvl w:val="1"/>
          <w:numId w:val="32"/>
        </w:numPr>
        <w:spacing w:line="360" w:lineRule="auto"/>
        <w:ind w:left="1866"/>
        <w:jc w:val="both"/>
        <w:rPr>
          <w:rFonts w:ascii="Arial" w:hAnsi="Arial" w:cs="Arial"/>
          <w:sz w:val="20"/>
          <w:szCs w:val="20"/>
        </w:rPr>
      </w:pPr>
      <w:r>
        <w:rPr>
          <w:rFonts w:ascii="Arial" w:hAnsi="Arial" w:cs="Arial"/>
          <w:sz w:val="20"/>
          <w:szCs w:val="20"/>
        </w:rPr>
        <w:t>Pediatric</w:t>
      </w:r>
      <w:r w:rsidR="005D051C" w:rsidRPr="00963A27">
        <w:rPr>
          <w:rFonts w:ascii="Arial" w:hAnsi="Arial" w:cs="Arial"/>
          <w:sz w:val="20"/>
          <w:szCs w:val="20"/>
        </w:rPr>
        <w:t xml:space="preserve"> patients – optimized for taste and rapid disintegration.</w:t>
      </w:r>
    </w:p>
    <w:p w14:paraId="437FB71F" w14:textId="0B73E828" w:rsidR="005D051C" w:rsidRPr="00963A27" w:rsidRDefault="005D051C" w:rsidP="00882252">
      <w:pPr>
        <w:numPr>
          <w:ilvl w:val="1"/>
          <w:numId w:val="32"/>
        </w:numPr>
        <w:spacing w:line="360" w:lineRule="auto"/>
        <w:ind w:left="1866"/>
        <w:jc w:val="both"/>
        <w:rPr>
          <w:rFonts w:ascii="Arial" w:hAnsi="Arial" w:cs="Arial"/>
          <w:sz w:val="20"/>
          <w:szCs w:val="20"/>
        </w:rPr>
      </w:pPr>
      <w:r w:rsidRPr="00963A27">
        <w:rPr>
          <w:rFonts w:ascii="Arial" w:hAnsi="Arial" w:cs="Arial"/>
          <w:sz w:val="20"/>
          <w:szCs w:val="20"/>
        </w:rPr>
        <w:t>Elderly patients– designed for easier administration and enhanced bioavailability.</w:t>
      </w:r>
    </w:p>
    <w:p w14:paraId="15A0F948" w14:textId="77777777" w:rsidR="005D051C" w:rsidRPr="00963A27" w:rsidRDefault="005D051C" w:rsidP="00882252">
      <w:pPr>
        <w:numPr>
          <w:ilvl w:val="1"/>
          <w:numId w:val="32"/>
        </w:numPr>
        <w:spacing w:line="360" w:lineRule="auto"/>
        <w:ind w:left="1866"/>
        <w:jc w:val="both"/>
        <w:rPr>
          <w:rFonts w:ascii="Arial" w:hAnsi="Arial" w:cs="Arial"/>
          <w:sz w:val="20"/>
          <w:szCs w:val="20"/>
        </w:rPr>
      </w:pPr>
      <w:r w:rsidRPr="00963A27">
        <w:rPr>
          <w:rFonts w:ascii="Arial" w:hAnsi="Arial" w:cs="Arial"/>
          <w:sz w:val="20"/>
          <w:szCs w:val="20"/>
        </w:rPr>
        <w:t>Patients with rare diseases – allowing customized treatments for conditions with limited drug options.</w:t>
      </w:r>
    </w:p>
    <w:p w14:paraId="1A3C923F" w14:textId="4A63B0F7" w:rsidR="002A350C" w:rsidRPr="00963A27" w:rsidRDefault="002A350C" w:rsidP="00956427">
      <w:pPr>
        <w:spacing w:line="360" w:lineRule="auto"/>
        <w:ind w:left="426"/>
        <w:jc w:val="both"/>
        <w:rPr>
          <w:rFonts w:ascii="Arial" w:hAnsi="Arial" w:cs="Arial"/>
          <w:sz w:val="20"/>
          <w:szCs w:val="20"/>
        </w:rPr>
      </w:pPr>
      <w:r w:rsidRPr="00963A27">
        <w:rPr>
          <w:rFonts w:ascii="Arial" w:hAnsi="Arial" w:cs="Arial"/>
          <w:sz w:val="20"/>
          <w:szCs w:val="20"/>
        </w:rPr>
        <w:t xml:space="preserve">The future of oral wafer drug delivery systems appears promising, with ongoing research focusing on overcoming current limitations and expanding therapeutic applications. With advancements in </w:t>
      </w:r>
      <w:r w:rsidRPr="00963A27">
        <w:rPr>
          <w:rFonts w:ascii="Arial" w:hAnsi="Arial" w:cs="Arial"/>
          <w:sz w:val="20"/>
          <w:szCs w:val="20"/>
        </w:rPr>
        <w:lastRenderedPageBreak/>
        <w:t>material science, regulatory support, and technological innovations, oral wafer formulations are poised to revolutionize drug administration for diverse medical conditions</w:t>
      </w:r>
      <w:r w:rsidR="00BD0325" w:rsidRPr="00963A27">
        <w:rPr>
          <w:rFonts w:ascii="Arial" w:hAnsi="Arial" w:cs="Arial"/>
          <w:sz w:val="20"/>
          <w:szCs w:val="20"/>
        </w:rPr>
        <w:t>, offering a versatile, patient-friendly, and highly effective alternative to traditional dosage forms.</w:t>
      </w:r>
    </w:p>
    <w:p w14:paraId="31623D11" w14:textId="7C7B82ED" w:rsidR="00567819" w:rsidRPr="00963A27" w:rsidRDefault="009D7E5C" w:rsidP="00882252">
      <w:pPr>
        <w:pStyle w:val="ListParagraph"/>
        <w:numPr>
          <w:ilvl w:val="0"/>
          <w:numId w:val="34"/>
        </w:numPr>
        <w:spacing w:line="360" w:lineRule="auto"/>
        <w:ind w:left="0" w:firstLine="142"/>
        <w:jc w:val="both"/>
        <w:rPr>
          <w:rFonts w:ascii="Arial" w:hAnsi="Arial" w:cs="Arial"/>
          <w:b/>
        </w:rPr>
      </w:pPr>
      <w:r w:rsidRPr="00963A27">
        <w:rPr>
          <w:rFonts w:ascii="Arial" w:hAnsi="Arial" w:cs="Arial"/>
          <w:b/>
          <w:bCs/>
        </w:rPr>
        <w:t>CONCLUSION</w:t>
      </w:r>
    </w:p>
    <w:p w14:paraId="7B821A50" w14:textId="2096F075" w:rsidR="00095827" w:rsidRPr="007041D7" w:rsidRDefault="001C031A" w:rsidP="00956427">
      <w:pPr>
        <w:spacing w:line="360" w:lineRule="auto"/>
        <w:ind w:left="426"/>
        <w:jc w:val="both"/>
        <w:rPr>
          <w:rFonts w:ascii="Arial" w:hAnsi="Arial" w:cs="Arial"/>
          <w:sz w:val="20"/>
          <w:szCs w:val="20"/>
        </w:rPr>
      </w:pPr>
      <w:r w:rsidRPr="00963A27">
        <w:rPr>
          <w:rFonts w:ascii="Arial" w:hAnsi="Arial" w:cs="Arial"/>
          <w:sz w:val="20"/>
          <w:szCs w:val="20"/>
        </w:rPr>
        <w:t>Oral wafer technology has emerged as a next-generation drug delivery system, offering significant advantages in terms of rapid drug release, patient compliance, and enhanced bioavailability. With continued advancements in formulation strategies, manufacturing techniques, and regulatory frameworks, these innovative dosage forms are set to revolutionize pharmaceutical therapeutics. Overcoming challenges related to stability, scalability, and drug loading will be key to maximizing their potential. Future research integrating nanotechnology, personalized medicine, and AI-driven optimization will further enhance the efficacy and versatility of oral wafers, ensuring their place as a transformative approach in modern drug delivery</w:t>
      </w:r>
    </w:p>
    <w:p w14:paraId="0B340208" w14:textId="77777777" w:rsidR="00875A83" w:rsidRPr="00875A83" w:rsidRDefault="00875A83" w:rsidP="00956427">
      <w:pPr>
        <w:spacing w:line="360" w:lineRule="auto"/>
        <w:jc w:val="both"/>
        <w:rPr>
          <w:rFonts w:ascii="Arial" w:hAnsi="Arial" w:cs="Arial"/>
        </w:rPr>
      </w:pPr>
      <w:r w:rsidRPr="00875A83">
        <w:rPr>
          <w:rFonts w:ascii="Arial" w:hAnsi="Arial" w:cs="Arial"/>
        </w:rPr>
        <w:t>COMPETING INTERESTS DISCLAIMER:</w:t>
      </w:r>
    </w:p>
    <w:p w14:paraId="653EB416" w14:textId="77777777" w:rsidR="00875A83" w:rsidRPr="00875A83" w:rsidRDefault="00875A83" w:rsidP="00956427">
      <w:pPr>
        <w:spacing w:line="360" w:lineRule="auto"/>
        <w:jc w:val="both"/>
        <w:rPr>
          <w:rFonts w:ascii="Arial" w:hAnsi="Arial" w:cs="Arial"/>
        </w:rPr>
      </w:pPr>
      <w:r w:rsidRPr="00875A83">
        <w:rPr>
          <w:rFonts w:ascii="Arial" w:hAnsi="Arial" w:cs="Arial"/>
        </w:rPr>
        <w:t>Authors have declared that they have no known competing financial interests OR non-financial interests OR personal relationships that could have appeared to influence the work reported in this paper.</w:t>
      </w:r>
    </w:p>
    <w:p w14:paraId="55288136" w14:textId="77777777" w:rsidR="008776C4" w:rsidRPr="009C5487" w:rsidRDefault="008776C4" w:rsidP="00956427">
      <w:pPr>
        <w:spacing w:line="360" w:lineRule="auto"/>
        <w:rPr>
          <w:rFonts w:ascii="Calibri" w:eastAsia="Calibri" w:hAnsi="Calibri" w:cs="Times New Roman"/>
          <w:highlight w:val="yellow"/>
          <w:lang w:val="en-US"/>
        </w:rPr>
      </w:pPr>
      <w:bookmarkStart w:id="5" w:name="_Hlk193377857"/>
      <w:bookmarkStart w:id="6" w:name="_Hlk180402183"/>
      <w:bookmarkStart w:id="7" w:name="_Hlk183680988"/>
      <w:r w:rsidRPr="009C5487">
        <w:rPr>
          <w:rFonts w:ascii="Calibri" w:eastAsia="Calibri" w:hAnsi="Calibri" w:cs="Times New Roman"/>
          <w:highlight w:val="yellow"/>
          <w:lang w:val="en-US"/>
        </w:rPr>
        <w:t>Disclaimer (Artificial intelligence)</w:t>
      </w:r>
    </w:p>
    <w:p w14:paraId="0DF1CFA9" w14:textId="77777777" w:rsidR="008776C4" w:rsidRPr="009C5487" w:rsidRDefault="008776C4" w:rsidP="00956427">
      <w:pPr>
        <w:spacing w:line="360" w:lineRule="auto"/>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0B82E1C" w14:textId="77777777" w:rsidR="008776C4" w:rsidRPr="009C5487" w:rsidRDefault="008776C4" w:rsidP="00956427">
      <w:pPr>
        <w:spacing w:line="360" w:lineRule="auto"/>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04CDA5FE" w14:textId="77777777" w:rsidR="008776C4" w:rsidRPr="009C5487" w:rsidRDefault="008776C4" w:rsidP="00956427">
      <w:pPr>
        <w:spacing w:line="360" w:lineRule="auto"/>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6065AF21" w14:textId="77777777" w:rsidR="008776C4" w:rsidRPr="009C5487" w:rsidRDefault="008776C4" w:rsidP="00956427">
      <w:pPr>
        <w:spacing w:line="360" w:lineRule="auto"/>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FC651F" w14:textId="77777777" w:rsidR="008776C4" w:rsidRPr="009C5487" w:rsidRDefault="008776C4" w:rsidP="00956427">
      <w:pPr>
        <w:spacing w:line="360" w:lineRule="auto"/>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68C031D2" w14:textId="2593AB85" w:rsidR="008776C4" w:rsidRPr="009C5487" w:rsidRDefault="008776C4" w:rsidP="00956427">
      <w:pPr>
        <w:spacing w:line="360" w:lineRule="auto"/>
        <w:jc w:val="both"/>
        <w:rPr>
          <w:rFonts w:ascii="Calibri" w:eastAsia="Calibri" w:hAnsi="Calibri" w:cs="Times New Roman"/>
          <w:highlight w:val="yellow"/>
          <w:lang w:val="en-US"/>
        </w:rPr>
      </w:pPr>
      <w:r w:rsidRPr="009C5487">
        <w:rPr>
          <w:rFonts w:ascii="Calibri" w:eastAsia="Calibri" w:hAnsi="Calibri" w:cs="Times New Roman"/>
          <w:highlight w:val="yellow"/>
          <w:lang w:val="en-US"/>
        </w:rPr>
        <w:t>1.</w:t>
      </w:r>
      <w:r w:rsidR="00F21D13" w:rsidRPr="00F21D13">
        <w:t xml:space="preserve"> </w:t>
      </w:r>
    </w:p>
    <w:p w14:paraId="30444425" w14:textId="77777777" w:rsidR="008776C4" w:rsidRPr="009C5487" w:rsidRDefault="008776C4" w:rsidP="00956427">
      <w:pPr>
        <w:spacing w:line="360" w:lineRule="auto"/>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6D5234BE" w14:textId="06E19A21" w:rsidR="00875A83" w:rsidRDefault="008776C4" w:rsidP="00956427">
      <w:pPr>
        <w:spacing w:line="360" w:lineRule="auto"/>
        <w:rPr>
          <w:rFonts w:ascii="Calibri" w:eastAsia="Calibri" w:hAnsi="Calibri" w:cs="Times New Roman"/>
          <w:lang w:val="en-US"/>
        </w:rPr>
      </w:pPr>
      <w:r w:rsidRPr="009C5487">
        <w:rPr>
          <w:rFonts w:ascii="Calibri" w:eastAsia="Calibri" w:hAnsi="Calibri" w:cs="Times New Roman"/>
          <w:highlight w:val="yellow"/>
          <w:lang w:val="en-US"/>
        </w:rPr>
        <w:t>3</w:t>
      </w:r>
      <w:bookmarkEnd w:id="5"/>
      <w:r w:rsidRPr="009C5487">
        <w:rPr>
          <w:rFonts w:ascii="Calibri" w:eastAsia="Calibri" w:hAnsi="Calibri" w:cs="Times New Roman"/>
          <w:highlight w:val="yellow"/>
          <w:lang w:val="en-US"/>
        </w:rPr>
        <w:t>.</w:t>
      </w:r>
      <w:bookmarkEnd w:id="6"/>
      <w:bookmarkEnd w:id="7"/>
    </w:p>
    <w:p w14:paraId="17E2A04F" w14:textId="77777777" w:rsidR="008776C4" w:rsidRPr="008776C4" w:rsidRDefault="008776C4" w:rsidP="00956427">
      <w:pPr>
        <w:spacing w:line="360" w:lineRule="auto"/>
        <w:rPr>
          <w:rFonts w:ascii="Calibri" w:eastAsia="Calibri" w:hAnsi="Calibri" w:cs="Times New Roman"/>
          <w:lang w:val="en-US"/>
        </w:rPr>
      </w:pPr>
    </w:p>
    <w:p w14:paraId="0F244343" w14:textId="10867E80" w:rsidR="00ED0551" w:rsidRPr="00963A27" w:rsidRDefault="00ED0551" w:rsidP="00956427">
      <w:pPr>
        <w:spacing w:line="360" w:lineRule="auto"/>
        <w:jc w:val="both"/>
        <w:rPr>
          <w:rFonts w:ascii="Arial" w:hAnsi="Arial" w:cs="Arial"/>
          <w:b/>
          <w:bCs/>
        </w:rPr>
      </w:pPr>
      <w:r w:rsidRPr="00963A27">
        <w:rPr>
          <w:rFonts w:ascii="Arial" w:hAnsi="Arial" w:cs="Arial"/>
          <w:b/>
          <w:bCs/>
        </w:rPr>
        <w:lastRenderedPageBreak/>
        <w:t>REFERENCES</w:t>
      </w:r>
    </w:p>
    <w:p w14:paraId="74FD06D4"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Kirsch, K., Hanke, U., &amp; Weitschies, W. (2017). An overview of intestinal wafers for oral drug delivery. </w:t>
      </w:r>
      <w:r w:rsidRPr="00963A27">
        <w:rPr>
          <w:rFonts w:ascii="Arial" w:hAnsi="Arial" w:cs="Arial"/>
          <w:i/>
          <w:iCs/>
          <w:sz w:val="20"/>
          <w:szCs w:val="20"/>
        </w:rPr>
        <w:t>European Journal of Pharmaceutics and Biopharmaceutics, 114</w:t>
      </w:r>
      <w:r w:rsidRPr="00963A27">
        <w:rPr>
          <w:rFonts w:ascii="Arial" w:hAnsi="Arial" w:cs="Arial"/>
          <w:sz w:val="20"/>
          <w:szCs w:val="20"/>
        </w:rPr>
        <w:t xml:space="preserve">, 135–144. </w:t>
      </w:r>
      <w:hyperlink r:id="rId17" w:tgtFrame="_new" w:history="1">
        <w:r w:rsidRPr="00963A27">
          <w:rPr>
            <w:rStyle w:val="Hyperlink"/>
            <w:rFonts w:ascii="Arial" w:hAnsi="Arial" w:cs="Arial"/>
            <w:sz w:val="20"/>
            <w:szCs w:val="20"/>
          </w:rPr>
          <w:t>https://doi.org/10.1016/j.ejpb.2017.01.003</w:t>
        </w:r>
      </w:hyperlink>
    </w:p>
    <w:p w14:paraId="29FBE283"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Costa, J. S. R., De Oliveira Cruvinel, K., &amp; Oliveira-Nascimento, L. (2019). A mini-review on drug delivery through wafer technology: Formulation and manufacturing of buccal and oral lyophilizates. </w:t>
      </w:r>
      <w:r w:rsidRPr="00963A27">
        <w:rPr>
          <w:rFonts w:ascii="Arial" w:hAnsi="Arial" w:cs="Arial"/>
          <w:i/>
          <w:iCs/>
          <w:sz w:val="20"/>
          <w:szCs w:val="20"/>
        </w:rPr>
        <w:t>Journal of Advanced Research, 20</w:t>
      </w:r>
      <w:r w:rsidRPr="00963A27">
        <w:rPr>
          <w:rFonts w:ascii="Arial" w:hAnsi="Arial" w:cs="Arial"/>
          <w:sz w:val="20"/>
          <w:szCs w:val="20"/>
        </w:rPr>
        <w:t xml:space="preserve">, 33–41. </w:t>
      </w:r>
      <w:hyperlink r:id="rId18" w:tgtFrame="_new" w:history="1">
        <w:r w:rsidRPr="00963A27">
          <w:rPr>
            <w:rStyle w:val="Hyperlink"/>
            <w:rFonts w:ascii="Arial" w:hAnsi="Arial" w:cs="Arial"/>
            <w:sz w:val="20"/>
            <w:szCs w:val="20"/>
          </w:rPr>
          <w:t>https://doi.org/10.1016/j.jare.2019.04.010</w:t>
        </w:r>
      </w:hyperlink>
    </w:p>
    <w:p w14:paraId="3F2D79DB"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Mehravaran, M., Haeri, A., Rabbani, S., Mortazavi, S. A., &amp; Torshabi, M. (2022). Preparation and characterization of benzydamine hydrochloride-loaded lyophilized mucoadhesive wafers for the treatment of oral mucositis. </w:t>
      </w:r>
      <w:r w:rsidRPr="00963A27">
        <w:rPr>
          <w:rFonts w:ascii="Arial" w:hAnsi="Arial" w:cs="Arial"/>
          <w:i/>
          <w:iCs/>
          <w:sz w:val="20"/>
          <w:szCs w:val="20"/>
        </w:rPr>
        <w:t>Journal of Drug Delivery Science and Technology, 78</w:t>
      </w:r>
      <w:r w:rsidRPr="00963A27">
        <w:rPr>
          <w:rFonts w:ascii="Arial" w:hAnsi="Arial" w:cs="Arial"/>
          <w:sz w:val="20"/>
          <w:szCs w:val="20"/>
        </w:rPr>
        <w:t xml:space="preserve">, 103944. </w:t>
      </w:r>
      <w:hyperlink r:id="rId19" w:tgtFrame="_new" w:history="1">
        <w:r w:rsidRPr="00963A27">
          <w:rPr>
            <w:rStyle w:val="Hyperlink"/>
            <w:rFonts w:ascii="Arial" w:hAnsi="Arial" w:cs="Arial"/>
            <w:sz w:val="20"/>
            <w:szCs w:val="20"/>
          </w:rPr>
          <w:t>https://doi.org/10.1016/j.jddst.2022.103944</w:t>
        </w:r>
      </w:hyperlink>
    </w:p>
    <w:p w14:paraId="4EA89E39"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Liu, J., Sun, J., Hu, J., Xue, H., Lei, L., &amp; Pan, X. (2025). Biomaterial-based drug delivery strategies for oral mucosa. </w:t>
      </w:r>
      <w:r w:rsidRPr="00963A27">
        <w:rPr>
          <w:rFonts w:ascii="Arial" w:hAnsi="Arial" w:cs="Arial"/>
          <w:i/>
          <w:iCs/>
          <w:sz w:val="20"/>
          <w:szCs w:val="20"/>
        </w:rPr>
        <w:t>Colloids and Surfaces B: Biointerfaces, 251</w:t>
      </w:r>
      <w:r w:rsidRPr="00963A27">
        <w:rPr>
          <w:rFonts w:ascii="Arial" w:hAnsi="Arial" w:cs="Arial"/>
          <w:sz w:val="20"/>
          <w:szCs w:val="20"/>
        </w:rPr>
        <w:t xml:space="preserve">, 114604. </w:t>
      </w:r>
      <w:hyperlink r:id="rId20" w:tgtFrame="_new" w:history="1">
        <w:r w:rsidRPr="00963A27">
          <w:rPr>
            <w:rStyle w:val="Hyperlink"/>
            <w:rFonts w:ascii="Arial" w:hAnsi="Arial" w:cs="Arial"/>
            <w:sz w:val="20"/>
            <w:szCs w:val="20"/>
          </w:rPr>
          <w:t>https://doi.org/10.1016/j.colsurfb.2025.114604</w:t>
        </w:r>
      </w:hyperlink>
    </w:p>
    <w:p w14:paraId="35CADE7A"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Liu, Y., Guo, H., Xu, R., &amp; Chen, W. (2022). Smart intraoral systems for advanced drug delivery. </w:t>
      </w:r>
      <w:r w:rsidRPr="00963A27">
        <w:rPr>
          <w:rFonts w:ascii="Arial" w:hAnsi="Arial" w:cs="Arial"/>
          <w:i/>
          <w:iCs/>
          <w:sz w:val="20"/>
          <w:szCs w:val="20"/>
        </w:rPr>
        <w:t>Medcomm – Biomaterials and Applications, 1</w:t>
      </w:r>
      <w:r w:rsidRPr="00963A27">
        <w:rPr>
          <w:rFonts w:ascii="Arial" w:hAnsi="Arial" w:cs="Arial"/>
          <w:sz w:val="20"/>
          <w:szCs w:val="20"/>
        </w:rPr>
        <w:t xml:space="preserve">. </w:t>
      </w:r>
      <w:hyperlink r:id="rId21" w:tgtFrame="_new" w:history="1">
        <w:r w:rsidRPr="00963A27">
          <w:rPr>
            <w:rStyle w:val="Hyperlink"/>
            <w:rFonts w:ascii="Arial" w:hAnsi="Arial" w:cs="Arial"/>
            <w:sz w:val="20"/>
            <w:szCs w:val="20"/>
          </w:rPr>
          <w:t>https://doi.org/10.1002/mba2.19</w:t>
        </w:r>
      </w:hyperlink>
    </w:p>
    <w:p w14:paraId="42C5CC21"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Cilurzo, F., Musazzi, U. M., Franzé, S., Selmin, F., &amp; Minghetti, P. (2017). Orodispersible dosage forms: Biopharmaceutical improvements and regulatory requirements. </w:t>
      </w:r>
      <w:r w:rsidRPr="00963A27">
        <w:rPr>
          <w:rFonts w:ascii="Arial" w:hAnsi="Arial" w:cs="Arial"/>
          <w:i/>
          <w:iCs/>
          <w:sz w:val="20"/>
          <w:szCs w:val="20"/>
        </w:rPr>
        <w:t>Drug Discovery Today, 23</w:t>
      </w:r>
      <w:r w:rsidRPr="00963A27">
        <w:rPr>
          <w:rFonts w:ascii="Arial" w:hAnsi="Arial" w:cs="Arial"/>
          <w:sz w:val="20"/>
          <w:szCs w:val="20"/>
        </w:rPr>
        <w:t xml:space="preserve">, 251–259. </w:t>
      </w:r>
      <w:hyperlink r:id="rId22" w:tgtFrame="_new" w:history="1">
        <w:r w:rsidRPr="00963A27">
          <w:rPr>
            <w:rStyle w:val="Hyperlink"/>
            <w:rFonts w:ascii="Arial" w:hAnsi="Arial" w:cs="Arial"/>
            <w:sz w:val="20"/>
            <w:szCs w:val="20"/>
          </w:rPr>
          <w:t>https://doi.org/10.1016/j.drudis.2017.10.003</w:t>
        </w:r>
      </w:hyperlink>
    </w:p>
    <w:p w14:paraId="3934F7B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Kumar, A., Naik, P. K., Pradhan, D., Ghosh, G., &amp; Rath, G. (2020). Mucoadhesive formulations: Innovations, merits, drawbacks, and future outlook. </w:t>
      </w:r>
      <w:r w:rsidRPr="00963A27">
        <w:rPr>
          <w:rFonts w:ascii="Arial" w:hAnsi="Arial" w:cs="Arial"/>
          <w:i/>
          <w:iCs/>
          <w:sz w:val="20"/>
          <w:szCs w:val="20"/>
        </w:rPr>
        <w:t>Pharmaceutical Development and Technology, 25</w:t>
      </w:r>
      <w:r w:rsidRPr="00963A27">
        <w:rPr>
          <w:rFonts w:ascii="Arial" w:hAnsi="Arial" w:cs="Arial"/>
          <w:sz w:val="20"/>
          <w:szCs w:val="20"/>
        </w:rPr>
        <w:t>(7), 797-814. https://doi.org/10.1080/10837450.2020.1753771</w:t>
      </w:r>
    </w:p>
    <w:p w14:paraId="400FE645"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He, M., Zhu, L., Yang, N., Li, H., &amp; Yang, Q. (2021). Recent advances of oral film as platform for drug delivery. </w:t>
      </w:r>
      <w:r w:rsidRPr="00963A27">
        <w:rPr>
          <w:rFonts w:ascii="Arial" w:hAnsi="Arial" w:cs="Arial"/>
          <w:i/>
          <w:iCs/>
          <w:sz w:val="20"/>
          <w:szCs w:val="20"/>
        </w:rPr>
        <w:t>International Journal of Pharmaceutics, 604</w:t>
      </w:r>
      <w:r w:rsidRPr="00963A27">
        <w:rPr>
          <w:rFonts w:ascii="Arial" w:hAnsi="Arial" w:cs="Arial"/>
          <w:sz w:val="20"/>
          <w:szCs w:val="20"/>
        </w:rPr>
        <w:t xml:space="preserve">, 120759. </w:t>
      </w:r>
      <w:hyperlink r:id="rId23" w:tgtFrame="_new" w:history="1">
        <w:r w:rsidRPr="00963A27">
          <w:rPr>
            <w:rStyle w:val="Hyperlink"/>
            <w:rFonts w:ascii="Arial" w:hAnsi="Arial" w:cs="Arial"/>
            <w:sz w:val="20"/>
            <w:szCs w:val="20"/>
          </w:rPr>
          <w:t>https://doi.org/10.1016/j.ijpharm.2021.120759</w:t>
        </w:r>
      </w:hyperlink>
    </w:p>
    <w:p w14:paraId="3D01C72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Saxena, A., &amp; Singh, T. (2022). Oral dissolving films: A comprehensive review on recent perspectives and current approach to effective drug delivery. </w:t>
      </w:r>
      <w:r w:rsidRPr="00963A27">
        <w:rPr>
          <w:rFonts w:ascii="Arial" w:hAnsi="Arial" w:cs="Arial"/>
          <w:i/>
          <w:iCs/>
          <w:sz w:val="20"/>
          <w:szCs w:val="20"/>
        </w:rPr>
        <w:t>Journal of Drug Delivery and Therapeutics, 12</w:t>
      </w:r>
      <w:r w:rsidRPr="00963A27">
        <w:rPr>
          <w:rFonts w:ascii="Arial" w:hAnsi="Arial" w:cs="Arial"/>
          <w:sz w:val="20"/>
          <w:szCs w:val="20"/>
        </w:rPr>
        <w:t xml:space="preserve">, 139–147. </w:t>
      </w:r>
      <w:hyperlink r:id="rId24" w:tgtFrame="_new" w:history="1">
        <w:r w:rsidRPr="00963A27">
          <w:rPr>
            <w:rStyle w:val="Hyperlink"/>
            <w:rFonts w:ascii="Arial" w:hAnsi="Arial" w:cs="Arial"/>
            <w:sz w:val="20"/>
            <w:szCs w:val="20"/>
          </w:rPr>
          <w:t>https://doi.org/10.22270/jddt.v12i2.5244</w:t>
        </w:r>
      </w:hyperlink>
    </w:p>
    <w:p w14:paraId="0841CDBB"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Jacob, S., Boddu, S. H. S., Bhandare, R., A, S. S., &amp; Nair, A. B. (2023). Orodispersible films: Current innovations and emerging trends. </w:t>
      </w:r>
      <w:r w:rsidRPr="00963A27">
        <w:rPr>
          <w:rFonts w:ascii="Arial" w:hAnsi="Arial" w:cs="Arial"/>
          <w:i/>
          <w:iCs/>
          <w:sz w:val="20"/>
          <w:szCs w:val="20"/>
        </w:rPr>
        <w:t>Pharmaceutics, 15</w:t>
      </w:r>
      <w:r w:rsidRPr="00963A27">
        <w:rPr>
          <w:rFonts w:ascii="Arial" w:hAnsi="Arial" w:cs="Arial"/>
          <w:sz w:val="20"/>
          <w:szCs w:val="20"/>
        </w:rPr>
        <w:t xml:space="preserve">, 2753. </w:t>
      </w:r>
      <w:hyperlink r:id="rId25" w:tgtFrame="_new" w:history="1">
        <w:r w:rsidRPr="00963A27">
          <w:rPr>
            <w:rStyle w:val="Hyperlink"/>
            <w:rFonts w:ascii="Arial" w:hAnsi="Arial" w:cs="Arial"/>
            <w:sz w:val="20"/>
            <w:szCs w:val="20"/>
          </w:rPr>
          <w:t>https://doi.org/10.3390/pharmaceutics15122753</w:t>
        </w:r>
      </w:hyperlink>
    </w:p>
    <w:p w14:paraId="5F7E390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Park, H., Otte, A., &amp; Park, K. (2021). Evolution of drug delivery systems: From 1950 to 2020 and beyond. </w:t>
      </w:r>
      <w:r w:rsidRPr="00963A27">
        <w:rPr>
          <w:rFonts w:ascii="Arial" w:hAnsi="Arial" w:cs="Arial"/>
          <w:i/>
          <w:iCs/>
          <w:sz w:val="20"/>
          <w:szCs w:val="20"/>
        </w:rPr>
        <w:t>Journal of Controlled Release, 342</w:t>
      </w:r>
      <w:r w:rsidRPr="00963A27">
        <w:rPr>
          <w:rFonts w:ascii="Arial" w:hAnsi="Arial" w:cs="Arial"/>
          <w:sz w:val="20"/>
          <w:szCs w:val="20"/>
        </w:rPr>
        <w:t xml:space="preserve">, 53–65. </w:t>
      </w:r>
      <w:hyperlink r:id="rId26" w:tgtFrame="_new" w:history="1">
        <w:r w:rsidRPr="00963A27">
          <w:rPr>
            <w:rStyle w:val="Hyperlink"/>
            <w:rFonts w:ascii="Arial" w:hAnsi="Arial" w:cs="Arial"/>
            <w:sz w:val="20"/>
            <w:szCs w:val="20"/>
          </w:rPr>
          <w:t>https://doi.org/10.1016/j.jconrel.2021.12.030</w:t>
        </w:r>
      </w:hyperlink>
    </w:p>
    <w:p w14:paraId="085DAC7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Adrover, A., Varani, G., Paolicelli, P., Petralito, S., Di Muzio, L., Casadei, M. A., et al. (2018). Experimental and modeling study of drug release from HPMC-based erodible oral thin films. </w:t>
      </w:r>
      <w:r w:rsidRPr="00963A27">
        <w:rPr>
          <w:rFonts w:ascii="Arial" w:hAnsi="Arial" w:cs="Arial"/>
          <w:i/>
          <w:iCs/>
          <w:sz w:val="20"/>
          <w:szCs w:val="20"/>
        </w:rPr>
        <w:t>Pharmaceutics, 10</w:t>
      </w:r>
      <w:r w:rsidRPr="00963A27">
        <w:rPr>
          <w:rFonts w:ascii="Arial" w:hAnsi="Arial" w:cs="Arial"/>
          <w:sz w:val="20"/>
          <w:szCs w:val="20"/>
        </w:rPr>
        <w:t xml:space="preserve">, 222. </w:t>
      </w:r>
      <w:hyperlink r:id="rId27" w:tgtFrame="_new" w:history="1">
        <w:r w:rsidRPr="00963A27">
          <w:rPr>
            <w:rStyle w:val="Hyperlink"/>
            <w:rFonts w:ascii="Arial" w:hAnsi="Arial" w:cs="Arial"/>
            <w:sz w:val="20"/>
            <w:szCs w:val="20"/>
          </w:rPr>
          <w:t>https://doi.org/10.3390/pharmaceutics10040222</w:t>
        </w:r>
      </w:hyperlink>
    </w:p>
    <w:p w14:paraId="0CAD0CB2"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lastRenderedPageBreak/>
        <w:t xml:space="preserve">Madhav, N. V., Shakya, A. K., Shakya, P., &amp; Singh, K. (2009). Orotransmucosal drug delivery systems: A review. </w:t>
      </w:r>
      <w:r w:rsidRPr="00963A27">
        <w:rPr>
          <w:rFonts w:ascii="Arial" w:hAnsi="Arial" w:cs="Arial"/>
          <w:i/>
          <w:iCs/>
          <w:sz w:val="20"/>
          <w:szCs w:val="20"/>
        </w:rPr>
        <w:t>Journal of Controlled Release, 140</w:t>
      </w:r>
      <w:r w:rsidRPr="00963A27">
        <w:rPr>
          <w:rFonts w:ascii="Arial" w:hAnsi="Arial" w:cs="Arial"/>
          <w:sz w:val="20"/>
          <w:szCs w:val="20"/>
        </w:rPr>
        <w:t xml:space="preserve">(1), 2–11. </w:t>
      </w:r>
      <w:hyperlink r:id="rId28" w:history="1">
        <w:r w:rsidRPr="00963A27">
          <w:rPr>
            <w:rStyle w:val="Hyperlink"/>
            <w:rFonts w:ascii="Arial" w:hAnsi="Arial" w:cs="Arial"/>
            <w:sz w:val="20"/>
            <w:szCs w:val="20"/>
          </w:rPr>
          <w:t>https://doi.org/10.1016/j.jconrel.2009.07.016</w:t>
        </w:r>
      </w:hyperlink>
    </w:p>
    <w:p w14:paraId="65CCD17E"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Bala, R., Khanna, S., Pawar, P., &amp; Arora, S. (2013). Orally dissolving strips: A new approach to oral drug delivery system. </w:t>
      </w:r>
      <w:r w:rsidRPr="00963A27">
        <w:rPr>
          <w:rFonts w:ascii="Arial" w:hAnsi="Arial" w:cs="Arial"/>
          <w:i/>
          <w:iCs/>
          <w:sz w:val="20"/>
          <w:szCs w:val="20"/>
        </w:rPr>
        <w:t>International Journal of Pharmaceutical Investigation, 3</w:t>
      </w:r>
      <w:r w:rsidRPr="00963A27">
        <w:rPr>
          <w:rFonts w:ascii="Arial" w:hAnsi="Arial" w:cs="Arial"/>
          <w:sz w:val="20"/>
          <w:szCs w:val="20"/>
        </w:rPr>
        <w:t xml:space="preserve">, 67. </w:t>
      </w:r>
      <w:hyperlink r:id="rId29" w:history="1">
        <w:r w:rsidRPr="00963A27">
          <w:rPr>
            <w:rStyle w:val="Hyperlink"/>
            <w:rFonts w:ascii="Arial" w:hAnsi="Arial" w:cs="Arial"/>
            <w:sz w:val="20"/>
            <w:szCs w:val="20"/>
          </w:rPr>
          <w:t>https://doi.org/10.4103/2230-973x.114897</w:t>
        </w:r>
      </w:hyperlink>
    </w:p>
    <w:p w14:paraId="7D8DBDE3"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Özakar, R. S., &amp; Özakar, E. (2020). Current overview of oral thin films. </w:t>
      </w:r>
      <w:r w:rsidRPr="00963A27">
        <w:rPr>
          <w:rFonts w:ascii="Arial" w:hAnsi="Arial" w:cs="Arial"/>
          <w:i/>
          <w:iCs/>
          <w:sz w:val="20"/>
          <w:szCs w:val="20"/>
        </w:rPr>
        <w:t>Turkish Journal of Pharmaceutical Sciences, 18</w:t>
      </w:r>
      <w:r w:rsidRPr="00963A27">
        <w:rPr>
          <w:rFonts w:ascii="Arial" w:hAnsi="Arial" w:cs="Arial"/>
          <w:sz w:val="20"/>
          <w:szCs w:val="20"/>
        </w:rPr>
        <w:t xml:space="preserve">, 111–121. </w:t>
      </w:r>
      <w:hyperlink r:id="rId30" w:history="1">
        <w:r w:rsidRPr="00963A27">
          <w:rPr>
            <w:rStyle w:val="Hyperlink"/>
            <w:rFonts w:ascii="Arial" w:hAnsi="Arial" w:cs="Arial"/>
            <w:sz w:val="20"/>
            <w:szCs w:val="20"/>
          </w:rPr>
          <w:t>https://doi.org/10.4274/tjps.galenos.2020.76390</w:t>
        </w:r>
      </w:hyperlink>
    </w:p>
    <w:p w14:paraId="41BABBFB"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Payghan, S., Desai, S., Lade, M., &amp; Kate, V. (2022). Design and development of polymer-based fast disintegrating wafers of selective antihypertensive agent. </w:t>
      </w:r>
      <w:r w:rsidRPr="00963A27">
        <w:rPr>
          <w:rFonts w:ascii="Arial" w:hAnsi="Arial" w:cs="Arial"/>
          <w:i/>
          <w:iCs/>
          <w:sz w:val="20"/>
          <w:szCs w:val="20"/>
        </w:rPr>
        <w:t>International Journal of Pharmaceutical Sciences Review and Research</w:t>
      </w:r>
      <w:r w:rsidRPr="00963A27">
        <w:rPr>
          <w:rFonts w:ascii="Arial" w:hAnsi="Arial" w:cs="Arial"/>
          <w:sz w:val="20"/>
          <w:szCs w:val="20"/>
        </w:rPr>
        <w:t xml:space="preserve">, 33–39. </w:t>
      </w:r>
      <w:hyperlink r:id="rId31" w:history="1">
        <w:r w:rsidRPr="00963A27">
          <w:rPr>
            <w:rStyle w:val="Hyperlink"/>
            <w:rFonts w:ascii="Arial" w:hAnsi="Arial" w:cs="Arial"/>
            <w:sz w:val="20"/>
            <w:szCs w:val="20"/>
          </w:rPr>
          <w:t>https://doi.org/10.47583/ijpsrr.2022.v76i01.007</w:t>
        </w:r>
      </w:hyperlink>
    </w:p>
    <w:p w14:paraId="33CA523E"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De Souza Ferreira, S. B., Fukase, G. O., Gomes, R. G., &amp; Bruschi, M. L. (2020). Mucoadhesive wafers for buccal delivery of probiotic bacteria: Mechanical properties and enumeration. </w:t>
      </w:r>
      <w:r w:rsidRPr="00963A27">
        <w:rPr>
          <w:rFonts w:ascii="Arial" w:hAnsi="Arial" w:cs="Arial"/>
          <w:i/>
          <w:iCs/>
          <w:sz w:val="20"/>
          <w:szCs w:val="20"/>
        </w:rPr>
        <w:t>Journal of Drug Delivery Science and Technology, 61</w:t>
      </w:r>
      <w:r w:rsidRPr="00963A27">
        <w:rPr>
          <w:rFonts w:ascii="Arial" w:hAnsi="Arial" w:cs="Arial"/>
          <w:sz w:val="20"/>
          <w:szCs w:val="20"/>
        </w:rPr>
        <w:t xml:space="preserve">, 102201. </w:t>
      </w:r>
      <w:hyperlink r:id="rId32" w:history="1">
        <w:r w:rsidRPr="00963A27">
          <w:rPr>
            <w:rStyle w:val="Hyperlink"/>
            <w:rFonts w:ascii="Arial" w:hAnsi="Arial" w:cs="Arial"/>
            <w:sz w:val="20"/>
            <w:szCs w:val="20"/>
          </w:rPr>
          <w:t>https://doi.org/10.1016/j.jddst.2020.102201</w:t>
        </w:r>
      </w:hyperlink>
    </w:p>
    <w:p w14:paraId="73C1E7FE"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Hanson, S. M., Singh, S., Tabet, A., Sastry, K. J., Barry, M., &amp; Wang, C. (2020). Mucoadhesive wafers composed of binary polymer blends for sublingual delivery and preservation of protein vaccines. </w:t>
      </w:r>
      <w:r w:rsidRPr="00963A27">
        <w:rPr>
          <w:rFonts w:ascii="Arial" w:hAnsi="Arial" w:cs="Arial"/>
          <w:i/>
          <w:iCs/>
          <w:sz w:val="20"/>
          <w:szCs w:val="20"/>
        </w:rPr>
        <w:t>Journal of Controlled Release, 330</w:t>
      </w:r>
      <w:r w:rsidRPr="00963A27">
        <w:rPr>
          <w:rFonts w:ascii="Arial" w:hAnsi="Arial" w:cs="Arial"/>
          <w:sz w:val="20"/>
          <w:szCs w:val="20"/>
        </w:rPr>
        <w:t xml:space="preserve">, 427–437. </w:t>
      </w:r>
      <w:hyperlink r:id="rId33" w:history="1">
        <w:r w:rsidRPr="00963A27">
          <w:rPr>
            <w:rStyle w:val="Hyperlink"/>
            <w:rFonts w:ascii="Arial" w:hAnsi="Arial" w:cs="Arial"/>
            <w:sz w:val="20"/>
            <w:szCs w:val="20"/>
          </w:rPr>
          <w:t>https://doi.org/10.1016/j.jconrel.2020.12.029</w:t>
        </w:r>
      </w:hyperlink>
    </w:p>
    <w:p w14:paraId="70EDE272"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Sonte, S., Sedimbi, R. P., Mohan Krishna, L., &amp; Srinavasa Murthy, M. (2014). Formulation and evaluation of mucoadhesive fast melt-away wafers using selected polymers. </w:t>
      </w:r>
      <w:r w:rsidRPr="00963A27">
        <w:rPr>
          <w:rFonts w:ascii="Arial" w:hAnsi="Arial" w:cs="Arial"/>
          <w:i/>
          <w:iCs/>
          <w:sz w:val="20"/>
          <w:szCs w:val="20"/>
        </w:rPr>
        <w:t>Research Journal of Pharmacy and Technology, 7</w:t>
      </w:r>
      <w:r w:rsidRPr="00963A27">
        <w:rPr>
          <w:rFonts w:ascii="Arial" w:hAnsi="Arial" w:cs="Arial"/>
          <w:sz w:val="20"/>
          <w:szCs w:val="20"/>
        </w:rPr>
        <w:t>(2), 176–180.</w:t>
      </w:r>
    </w:p>
    <w:p w14:paraId="71153442"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Hariharn, M., &amp; Bogue, A. (2009). Orally dissolving film strips (ODFS): The final evolution of orally dissolving dosage forms. </w:t>
      </w:r>
      <w:r w:rsidRPr="00963A27">
        <w:rPr>
          <w:rFonts w:ascii="Arial" w:hAnsi="Arial" w:cs="Arial"/>
          <w:i/>
          <w:iCs/>
          <w:sz w:val="20"/>
          <w:szCs w:val="20"/>
        </w:rPr>
        <w:t>Drug Delivery Technology, 9</w:t>
      </w:r>
      <w:r w:rsidRPr="00963A27">
        <w:rPr>
          <w:rFonts w:ascii="Arial" w:hAnsi="Arial" w:cs="Arial"/>
          <w:sz w:val="20"/>
          <w:szCs w:val="20"/>
        </w:rPr>
        <w:t>, 24–29.</w:t>
      </w:r>
    </w:p>
    <w:p w14:paraId="5582CA2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Dixit, R. P., &amp; Puthli, S. P. (2009). Oral strip technology: Overview and future potential. </w:t>
      </w:r>
      <w:r w:rsidRPr="00963A27">
        <w:rPr>
          <w:rFonts w:ascii="Arial" w:hAnsi="Arial" w:cs="Arial"/>
          <w:i/>
          <w:iCs/>
          <w:sz w:val="20"/>
          <w:szCs w:val="20"/>
        </w:rPr>
        <w:t>Journal of Controlled Release, 139</w:t>
      </w:r>
      <w:r w:rsidRPr="00963A27">
        <w:rPr>
          <w:rFonts w:ascii="Arial" w:hAnsi="Arial" w:cs="Arial"/>
          <w:sz w:val="20"/>
          <w:szCs w:val="20"/>
        </w:rPr>
        <w:t xml:space="preserve">, 94–107. </w:t>
      </w:r>
      <w:hyperlink r:id="rId34" w:history="1">
        <w:r w:rsidRPr="00963A27">
          <w:rPr>
            <w:rStyle w:val="Hyperlink"/>
            <w:rFonts w:ascii="Arial" w:hAnsi="Arial" w:cs="Arial"/>
            <w:sz w:val="20"/>
            <w:szCs w:val="20"/>
          </w:rPr>
          <w:t>https://doi.org/10.1016/j.jconrel.2009.06.014</w:t>
        </w:r>
      </w:hyperlink>
    </w:p>
    <w:p w14:paraId="15911B19"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Deshmane, S. V., Joshi, U. M., Channwar, M. A., Biyani, K. R., &amp; Chandewar, A. V. (2010). Design and characterization of carbopol-HPMC-ethyl cellulose based buccal compact containing propranolol HCl. </w:t>
      </w:r>
      <w:r w:rsidRPr="00963A27">
        <w:rPr>
          <w:rFonts w:ascii="Arial" w:hAnsi="Arial" w:cs="Arial"/>
          <w:i/>
          <w:iCs/>
          <w:sz w:val="20"/>
          <w:szCs w:val="20"/>
        </w:rPr>
        <w:t>Indian Journal of Pharmaceutical Education and Research, 44</w:t>
      </w:r>
      <w:r w:rsidRPr="00963A27">
        <w:rPr>
          <w:rFonts w:ascii="Arial" w:hAnsi="Arial" w:cs="Arial"/>
          <w:sz w:val="20"/>
          <w:szCs w:val="20"/>
        </w:rPr>
        <w:t>, 67–78.</w:t>
      </w:r>
    </w:p>
    <w:p w14:paraId="7AC95004"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B, D. A., M, S. S., &amp; B, S. R. (2017). Formulation and evaluation of orally fast dissolving wafer by using natural gum: Review article. </w:t>
      </w:r>
      <w:r w:rsidRPr="00963A27">
        <w:rPr>
          <w:rFonts w:ascii="Arial" w:hAnsi="Arial" w:cs="Arial"/>
          <w:i/>
          <w:iCs/>
          <w:sz w:val="20"/>
          <w:szCs w:val="20"/>
        </w:rPr>
        <w:t>International Journal of Current Pharmaceutical Review and Research, 8</w:t>
      </w:r>
      <w:r w:rsidRPr="00963A27">
        <w:rPr>
          <w:rFonts w:ascii="Arial" w:hAnsi="Arial" w:cs="Arial"/>
          <w:sz w:val="20"/>
          <w:szCs w:val="20"/>
        </w:rPr>
        <w:t xml:space="preserve">. </w:t>
      </w:r>
      <w:hyperlink r:id="rId35" w:history="1">
        <w:r w:rsidRPr="00963A27">
          <w:rPr>
            <w:rStyle w:val="Hyperlink"/>
            <w:rFonts w:ascii="Arial" w:hAnsi="Arial" w:cs="Arial"/>
            <w:sz w:val="20"/>
            <w:szCs w:val="20"/>
          </w:rPr>
          <w:t>https://doi.org/10.25258/ijcprr.v8i03.9214</w:t>
        </w:r>
      </w:hyperlink>
    </w:p>
    <w:p w14:paraId="180FA3AA"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Gupta, R. K., Guha, P., &amp; Srivastav, P. P. (2022). Natural polymers in bio-degradable/edible film: A review on environmental concerns, cold plasma technology and nanotechnology application on food packaging—A recent trend. </w:t>
      </w:r>
      <w:r w:rsidRPr="00963A27">
        <w:rPr>
          <w:rFonts w:ascii="Arial" w:hAnsi="Arial" w:cs="Arial"/>
          <w:i/>
          <w:iCs/>
          <w:sz w:val="20"/>
          <w:szCs w:val="20"/>
        </w:rPr>
        <w:t>Food Chemistry Advances, 1</w:t>
      </w:r>
      <w:r w:rsidRPr="00963A27">
        <w:rPr>
          <w:rFonts w:ascii="Arial" w:hAnsi="Arial" w:cs="Arial"/>
          <w:sz w:val="20"/>
          <w:szCs w:val="20"/>
        </w:rPr>
        <w:t xml:space="preserve">, 100135. </w:t>
      </w:r>
      <w:hyperlink r:id="rId36" w:history="1">
        <w:r w:rsidRPr="00963A27">
          <w:rPr>
            <w:rStyle w:val="Hyperlink"/>
            <w:rFonts w:ascii="Arial" w:hAnsi="Arial" w:cs="Arial"/>
            <w:sz w:val="20"/>
            <w:szCs w:val="20"/>
          </w:rPr>
          <w:t>https://doi.org/10.1016/j.focha.2022.100135</w:t>
        </w:r>
      </w:hyperlink>
    </w:p>
    <w:p w14:paraId="2B066E2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lastRenderedPageBreak/>
        <w:t xml:space="preserve">Reddy, M. S. B., Ponnamma, D., Choudhary, R., &amp; Sadasivuni, K. K. (2021). A comparative review of natural and synthetic biopolymer composite scaffolds. </w:t>
      </w:r>
      <w:r w:rsidRPr="00963A27">
        <w:rPr>
          <w:rFonts w:ascii="Arial" w:hAnsi="Arial" w:cs="Arial"/>
          <w:i/>
          <w:iCs/>
          <w:sz w:val="20"/>
          <w:szCs w:val="20"/>
        </w:rPr>
        <w:t>Polymers, 13</w:t>
      </w:r>
      <w:r w:rsidRPr="00963A27">
        <w:rPr>
          <w:rFonts w:ascii="Arial" w:hAnsi="Arial" w:cs="Arial"/>
          <w:sz w:val="20"/>
          <w:szCs w:val="20"/>
        </w:rPr>
        <w:t xml:space="preserve">(7), 1105. </w:t>
      </w:r>
      <w:hyperlink r:id="rId37" w:history="1">
        <w:r w:rsidRPr="00963A27">
          <w:rPr>
            <w:rStyle w:val="Hyperlink"/>
            <w:rFonts w:ascii="Arial" w:hAnsi="Arial" w:cs="Arial"/>
            <w:sz w:val="20"/>
            <w:szCs w:val="20"/>
          </w:rPr>
          <w:t>https://doi.org/10.3390/polym13071105</w:t>
        </w:r>
      </w:hyperlink>
    </w:p>
    <w:p w14:paraId="30BB926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Vieira, M. G. A., Da Silva, M. A., Santos, L. O. D., &amp; Beppu, M. M. (2010). Natural-based plasticizers and biopolymer films: A review. </w:t>
      </w:r>
      <w:r w:rsidRPr="00963A27">
        <w:rPr>
          <w:rFonts w:ascii="Arial" w:hAnsi="Arial" w:cs="Arial"/>
          <w:i/>
          <w:iCs/>
          <w:sz w:val="20"/>
          <w:szCs w:val="20"/>
        </w:rPr>
        <w:t>European Polymer Journal, 47</w:t>
      </w:r>
      <w:r w:rsidRPr="00963A27">
        <w:rPr>
          <w:rFonts w:ascii="Arial" w:hAnsi="Arial" w:cs="Arial"/>
          <w:sz w:val="20"/>
          <w:szCs w:val="20"/>
        </w:rPr>
        <w:t xml:space="preserve">, 254–263. </w:t>
      </w:r>
      <w:hyperlink r:id="rId38" w:history="1">
        <w:r w:rsidRPr="00963A27">
          <w:rPr>
            <w:rStyle w:val="Hyperlink"/>
            <w:rFonts w:ascii="Arial" w:hAnsi="Arial" w:cs="Arial"/>
            <w:sz w:val="20"/>
            <w:szCs w:val="20"/>
          </w:rPr>
          <w:t>https://doi.org/10.1016/j.eurpolymj.2010.12.011</w:t>
        </w:r>
      </w:hyperlink>
    </w:p>
    <w:p w14:paraId="26EC258D"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Suderman, N., Isa, M. I. N., &amp; Sarbon, N. M. (2018). The effect of plasticizers on the functional properties of biodegradable gelatin-based film: A review. </w:t>
      </w:r>
      <w:r w:rsidRPr="00963A27">
        <w:rPr>
          <w:rFonts w:ascii="Arial" w:hAnsi="Arial" w:cs="Arial"/>
          <w:i/>
          <w:iCs/>
          <w:sz w:val="20"/>
          <w:szCs w:val="20"/>
        </w:rPr>
        <w:t>Food Bioscience, 24</w:t>
      </w:r>
      <w:r w:rsidRPr="00963A27">
        <w:rPr>
          <w:rFonts w:ascii="Arial" w:hAnsi="Arial" w:cs="Arial"/>
          <w:sz w:val="20"/>
          <w:szCs w:val="20"/>
        </w:rPr>
        <w:t xml:space="preserve">, 111–119. </w:t>
      </w:r>
      <w:hyperlink r:id="rId39" w:history="1">
        <w:r w:rsidRPr="00963A27">
          <w:rPr>
            <w:rStyle w:val="Hyperlink"/>
            <w:rFonts w:ascii="Arial" w:hAnsi="Arial" w:cs="Arial"/>
            <w:sz w:val="20"/>
            <w:szCs w:val="20"/>
          </w:rPr>
          <w:t>https://doi.org/10.1016/j.fbio.2018.06.006</w:t>
        </w:r>
      </w:hyperlink>
    </w:p>
    <w:p w14:paraId="4C696B89"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Huang, Y., &amp; Dai, W.-G. (2013). Fundamental aspects of solid dispersion technology for poorly soluble drugs. </w:t>
      </w:r>
      <w:r w:rsidRPr="00963A27">
        <w:rPr>
          <w:rFonts w:ascii="Arial" w:hAnsi="Arial" w:cs="Arial"/>
          <w:i/>
          <w:iCs/>
          <w:sz w:val="20"/>
          <w:szCs w:val="20"/>
        </w:rPr>
        <w:t>Acta Pharmaceutica Sinica B, 4</w:t>
      </w:r>
      <w:r w:rsidRPr="00963A27">
        <w:rPr>
          <w:rFonts w:ascii="Arial" w:hAnsi="Arial" w:cs="Arial"/>
          <w:sz w:val="20"/>
          <w:szCs w:val="20"/>
        </w:rPr>
        <w:t xml:space="preserve">, 18–25. </w:t>
      </w:r>
      <w:hyperlink r:id="rId40" w:history="1">
        <w:r w:rsidRPr="00963A27">
          <w:rPr>
            <w:rStyle w:val="Hyperlink"/>
            <w:rFonts w:ascii="Arial" w:hAnsi="Arial" w:cs="Arial"/>
            <w:sz w:val="20"/>
            <w:szCs w:val="20"/>
          </w:rPr>
          <w:t>https://doi.org/10.1016/j.apsb.2013.11.001</w:t>
        </w:r>
      </w:hyperlink>
    </w:p>
    <w:p w14:paraId="034F5465"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Pande, S. (2023). Liposomes for drug delivery: Review of vesicular composition, factors affecting drug release, and drug loading in liposomes. </w:t>
      </w:r>
      <w:r w:rsidRPr="00963A27">
        <w:rPr>
          <w:rFonts w:ascii="Arial" w:hAnsi="Arial" w:cs="Arial"/>
          <w:i/>
          <w:iCs/>
          <w:sz w:val="20"/>
          <w:szCs w:val="20"/>
        </w:rPr>
        <w:t>Artificial Cells, Nanomedicine, and Biotechnology, 51</w:t>
      </w:r>
      <w:r w:rsidRPr="00963A27">
        <w:rPr>
          <w:rFonts w:ascii="Arial" w:hAnsi="Arial" w:cs="Arial"/>
          <w:sz w:val="20"/>
          <w:szCs w:val="20"/>
        </w:rPr>
        <w:t xml:space="preserve">, 428–440. </w:t>
      </w:r>
      <w:hyperlink r:id="rId41" w:history="1">
        <w:r w:rsidRPr="00963A27">
          <w:rPr>
            <w:rStyle w:val="Hyperlink"/>
            <w:rFonts w:ascii="Arial" w:hAnsi="Arial" w:cs="Arial"/>
            <w:sz w:val="20"/>
            <w:szCs w:val="20"/>
          </w:rPr>
          <w:t>https://doi.org/10.1080/21691401.2023.2247036</w:t>
        </w:r>
      </w:hyperlink>
    </w:p>
    <w:p w14:paraId="15655034"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Patra, J. K., Das, G., Fraceto, L. F., Campos, E. V. R., Del Pilar Rodriguez-Torres, M., Acosta-Torres, L. S., et al. (2018). Nano-based drug delivery systems: Recent developments and future prospects. </w:t>
      </w:r>
      <w:r w:rsidRPr="00963A27">
        <w:rPr>
          <w:rFonts w:ascii="Arial" w:hAnsi="Arial" w:cs="Arial"/>
          <w:i/>
          <w:iCs/>
          <w:sz w:val="20"/>
          <w:szCs w:val="20"/>
        </w:rPr>
        <w:t>Journal of Nanobiotechnology, 16</w:t>
      </w:r>
      <w:r w:rsidRPr="00963A27">
        <w:rPr>
          <w:rFonts w:ascii="Arial" w:hAnsi="Arial" w:cs="Arial"/>
          <w:sz w:val="20"/>
          <w:szCs w:val="20"/>
        </w:rPr>
        <w:t xml:space="preserve">. </w:t>
      </w:r>
      <w:hyperlink r:id="rId42" w:history="1">
        <w:r w:rsidRPr="00963A27">
          <w:rPr>
            <w:rStyle w:val="Hyperlink"/>
            <w:rFonts w:ascii="Arial" w:hAnsi="Arial" w:cs="Arial"/>
            <w:sz w:val="20"/>
            <w:szCs w:val="20"/>
          </w:rPr>
          <w:t>https://doi.org/10.1186/s12951-018-0392-8</w:t>
        </w:r>
      </w:hyperlink>
    </w:p>
    <w:p w14:paraId="6AC2A67E"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Daraee, H., Etemadi, A., Kouhi, M., Alimirzalu, S., &amp; Akbarzadeh, A. (2014). Application of liposomes in medicine and drug delivery. </w:t>
      </w:r>
      <w:r w:rsidRPr="00963A27">
        <w:rPr>
          <w:rFonts w:ascii="Arial" w:hAnsi="Arial" w:cs="Arial"/>
          <w:i/>
          <w:iCs/>
          <w:sz w:val="20"/>
          <w:szCs w:val="20"/>
        </w:rPr>
        <w:t>Artificial Cells, Nanomedicine, and Biotechnology, 44</w:t>
      </w:r>
      <w:r w:rsidRPr="00963A27">
        <w:rPr>
          <w:rFonts w:ascii="Arial" w:hAnsi="Arial" w:cs="Arial"/>
          <w:sz w:val="20"/>
          <w:szCs w:val="20"/>
        </w:rPr>
        <w:t xml:space="preserve">(1), 381–391. </w:t>
      </w:r>
      <w:hyperlink r:id="rId43" w:history="1">
        <w:r w:rsidRPr="00963A27">
          <w:rPr>
            <w:rStyle w:val="Hyperlink"/>
            <w:rFonts w:ascii="Arial" w:hAnsi="Arial" w:cs="Arial"/>
            <w:sz w:val="20"/>
            <w:szCs w:val="20"/>
          </w:rPr>
          <w:t>https://doi.org/10.3109/21691401.2014.953633</w:t>
        </w:r>
      </w:hyperlink>
    </w:p>
    <w:p w14:paraId="487A2B2E"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Abou-Taleb, H. A., Mustafa, W. W., Makram, T. S., Abdelaty, L. N., Salem, H., &amp; Abdelkader, H. (2022). Vardenafil oral dispersible films (ODFs) with advanced dissolution, palatability, and bioavailability. </w:t>
      </w:r>
      <w:r w:rsidRPr="00963A27">
        <w:rPr>
          <w:rFonts w:ascii="Arial" w:hAnsi="Arial" w:cs="Arial"/>
          <w:i/>
          <w:iCs/>
          <w:sz w:val="20"/>
          <w:szCs w:val="20"/>
        </w:rPr>
        <w:t>Pharmaceutics, 14</w:t>
      </w:r>
      <w:r w:rsidRPr="00963A27">
        <w:rPr>
          <w:rFonts w:ascii="Arial" w:hAnsi="Arial" w:cs="Arial"/>
          <w:sz w:val="20"/>
          <w:szCs w:val="20"/>
        </w:rPr>
        <w:t xml:space="preserve">, 517. </w:t>
      </w:r>
      <w:hyperlink r:id="rId44" w:history="1">
        <w:r w:rsidRPr="00963A27">
          <w:rPr>
            <w:rStyle w:val="Hyperlink"/>
            <w:rFonts w:ascii="Arial" w:hAnsi="Arial" w:cs="Arial"/>
            <w:sz w:val="20"/>
            <w:szCs w:val="20"/>
          </w:rPr>
          <w:t>https://doi.org/10.3390/pharmaceutics14030517</w:t>
        </w:r>
      </w:hyperlink>
    </w:p>
    <w:p w14:paraId="11D763C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Sevinç Özakar, R., &amp; Özakar, E. (2021). Current overview of oral thin films. </w:t>
      </w:r>
      <w:r w:rsidRPr="00963A27">
        <w:rPr>
          <w:rFonts w:ascii="Arial" w:hAnsi="Arial" w:cs="Arial"/>
          <w:i/>
          <w:iCs/>
          <w:sz w:val="20"/>
          <w:szCs w:val="20"/>
        </w:rPr>
        <w:t>Turkish Journal of Pharmaceutical Sciences, 18</w:t>
      </w:r>
      <w:r w:rsidRPr="00963A27">
        <w:rPr>
          <w:rFonts w:ascii="Arial" w:hAnsi="Arial" w:cs="Arial"/>
          <w:sz w:val="20"/>
          <w:szCs w:val="20"/>
        </w:rPr>
        <w:t xml:space="preserve">(1), 111–121. </w:t>
      </w:r>
      <w:hyperlink r:id="rId45" w:history="1">
        <w:r w:rsidRPr="00963A27">
          <w:rPr>
            <w:rStyle w:val="Hyperlink"/>
            <w:rFonts w:ascii="Arial" w:hAnsi="Arial" w:cs="Arial"/>
            <w:sz w:val="20"/>
            <w:szCs w:val="20"/>
          </w:rPr>
          <w:t>https://doi.org/10.4274/tjps.galenos.2020.76390</w:t>
        </w:r>
      </w:hyperlink>
    </w:p>
    <w:p w14:paraId="0F1B512A"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He, M., Zhu, L., Yang, N., Li, H., &amp; Yang, Q. (2021). Recent advances of oral film as platform for drug delivery. </w:t>
      </w:r>
      <w:r w:rsidRPr="00963A27">
        <w:rPr>
          <w:rFonts w:ascii="Arial" w:hAnsi="Arial" w:cs="Arial"/>
          <w:i/>
          <w:iCs/>
          <w:sz w:val="20"/>
          <w:szCs w:val="20"/>
        </w:rPr>
        <w:t>International Journal of Pharmaceutics, 604</w:t>
      </w:r>
      <w:r w:rsidRPr="00963A27">
        <w:rPr>
          <w:rFonts w:ascii="Arial" w:hAnsi="Arial" w:cs="Arial"/>
          <w:sz w:val="20"/>
          <w:szCs w:val="20"/>
        </w:rPr>
        <w:t xml:space="preserve">, 120759. </w:t>
      </w:r>
      <w:hyperlink r:id="rId46" w:history="1">
        <w:r w:rsidRPr="00963A27">
          <w:rPr>
            <w:rStyle w:val="Hyperlink"/>
            <w:rFonts w:ascii="Arial" w:hAnsi="Arial" w:cs="Arial"/>
            <w:sz w:val="20"/>
            <w:szCs w:val="20"/>
          </w:rPr>
          <w:t>https://doi.org/10.1016/j.ijpharm.2021.120759</w:t>
        </w:r>
      </w:hyperlink>
    </w:p>
    <w:p w14:paraId="26056E82"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Maher, S., Casettari, L., &amp; Illum, L. (2019). Transmucosal absorption enhancers in the drug delivery field. </w:t>
      </w:r>
      <w:r w:rsidRPr="00963A27">
        <w:rPr>
          <w:rFonts w:ascii="Arial" w:hAnsi="Arial" w:cs="Arial"/>
          <w:i/>
          <w:iCs/>
          <w:sz w:val="20"/>
          <w:szCs w:val="20"/>
        </w:rPr>
        <w:t>Pharmaceutics, 11</w:t>
      </w:r>
      <w:r w:rsidRPr="00963A27">
        <w:rPr>
          <w:rFonts w:ascii="Arial" w:hAnsi="Arial" w:cs="Arial"/>
          <w:sz w:val="20"/>
          <w:szCs w:val="20"/>
        </w:rPr>
        <w:t xml:space="preserve">, 339. </w:t>
      </w:r>
      <w:hyperlink r:id="rId47" w:history="1">
        <w:r w:rsidRPr="00963A27">
          <w:rPr>
            <w:rStyle w:val="Hyperlink"/>
            <w:rFonts w:ascii="Arial" w:hAnsi="Arial" w:cs="Arial"/>
            <w:sz w:val="20"/>
            <w:szCs w:val="20"/>
          </w:rPr>
          <w:t>https://doi.org/10.3390/pharmaceutics11070339</w:t>
        </w:r>
      </w:hyperlink>
    </w:p>
    <w:p w14:paraId="396D382F"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Tao, D., Wang, T., Wang, T., &amp; Qu, X. (2017). Influence of drug colour on perceived drug effects and efficacy. </w:t>
      </w:r>
      <w:r w:rsidRPr="00963A27">
        <w:rPr>
          <w:rFonts w:ascii="Arial" w:hAnsi="Arial" w:cs="Arial"/>
          <w:i/>
          <w:iCs/>
          <w:sz w:val="20"/>
          <w:szCs w:val="20"/>
        </w:rPr>
        <w:t>Ergonomics, 61</w:t>
      </w:r>
      <w:r w:rsidRPr="00963A27">
        <w:rPr>
          <w:rFonts w:ascii="Arial" w:hAnsi="Arial" w:cs="Arial"/>
          <w:sz w:val="20"/>
          <w:szCs w:val="20"/>
        </w:rPr>
        <w:t xml:space="preserve">, 284–294. </w:t>
      </w:r>
      <w:hyperlink r:id="rId48" w:history="1">
        <w:r w:rsidRPr="00963A27">
          <w:rPr>
            <w:rStyle w:val="Hyperlink"/>
            <w:rFonts w:ascii="Arial" w:hAnsi="Arial" w:cs="Arial"/>
            <w:sz w:val="20"/>
            <w:szCs w:val="20"/>
          </w:rPr>
          <w:t>https://doi.org/10.1080/00140139.2017.1349935</w:t>
        </w:r>
      </w:hyperlink>
    </w:p>
    <w:p w14:paraId="2E113D7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Da Mata, A., Da Silva Marques, D., Silveira, J., Marques, J., De Melo Campos Felino, E., &amp; Guilherme, N. (2009). Effects of gustatory stimulants of salivary secretion on salivary pH and flow: A randomized controlled trial. </w:t>
      </w:r>
      <w:r w:rsidRPr="00963A27">
        <w:rPr>
          <w:rFonts w:ascii="Arial" w:hAnsi="Arial" w:cs="Arial"/>
          <w:i/>
          <w:iCs/>
          <w:sz w:val="20"/>
          <w:szCs w:val="20"/>
        </w:rPr>
        <w:t>Oral Diseases, 15</w:t>
      </w:r>
      <w:r w:rsidRPr="00963A27">
        <w:rPr>
          <w:rFonts w:ascii="Arial" w:hAnsi="Arial" w:cs="Arial"/>
          <w:sz w:val="20"/>
          <w:szCs w:val="20"/>
        </w:rPr>
        <w:t xml:space="preserve">, 220–228. </w:t>
      </w:r>
      <w:hyperlink r:id="rId49" w:history="1">
        <w:r w:rsidRPr="00963A27">
          <w:rPr>
            <w:rStyle w:val="Hyperlink"/>
            <w:rFonts w:ascii="Arial" w:hAnsi="Arial" w:cs="Arial"/>
            <w:sz w:val="20"/>
            <w:szCs w:val="20"/>
          </w:rPr>
          <w:t>https://doi.org/10.1111/j.1601-0825.2009.01513.x</w:t>
        </w:r>
      </w:hyperlink>
    </w:p>
    <w:p w14:paraId="666ECDC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Ruiz-Picazo, A., Colón-Useche, S., Gonzalez-Alvarez, M., Gonzalez-Alvarez, I., Bermejo, M., &amp; Langguth, P. (2020). Effect of thickener on disintegration, dissolution, and permeability of </w:t>
      </w:r>
      <w:r w:rsidRPr="00963A27">
        <w:rPr>
          <w:rFonts w:ascii="Arial" w:hAnsi="Arial" w:cs="Arial"/>
          <w:sz w:val="20"/>
          <w:szCs w:val="20"/>
        </w:rPr>
        <w:lastRenderedPageBreak/>
        <w:t xml:space="preserve">common drug products for elderly patients. </w:t>
      </w:r>
      <w:r w:rsidRPr="00963A27">
        <w:rPr>
          <w:rFonts w:ascii="Arial" w:hAnsi="Arial" w:cs="Arial"/>
          <w:i/>
          <w:iCs/>
          <w:sz w:val="20"/>
          <w:szCs w:val="20"/>
        </w:rPr>
        <w:t>European Journal of Pharmaceutics and Biopharmaceutics, 153</w:t>
      </w:r>
      <w:r w:rsidRPr="00963A27">
        <w:rPr>
          <w:rFonts w:ascii="Arial" w:hAnsi="Arial" w:cs="Arial"/>
          <w:sz w:val="20"/>
          <w:szCs w:val="20"/>
        </w:rPr>
        <w:t xml:space="preserve">, 168–176. </w:t>
      </w:r>
      <w:hyperlink r:id="rId50" w:history="1">
        <w:r w:rsidRPr="00963A27">
          <w:rPr>
            <w:rStyle w:val="Hyperlink"/>
            <w:rFonts w:ascii="Arial" w:hAnsi="Arial" w:cs="Arial"/>
            <w:sz w:val="20"/>
            <w:szCs w:val="20"/>
          </w:rPr>
          <w:t>https://doi.org/10.1016/j.ejpb.2020.06.005</w:t>
        </w:r>
      </w:hyperlink>
    </w:p>
    <w:p w14:paraId="43D907D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Takeuchi, H., Yamakawa, R., Nishimatsu, T., Takeuchi, Y., Hayakawa, K., &amp; Maruyama, N. (2013). Design of rapidly disintegrating drug delivery films for oral doses with hydroxypropyl methylcellulose. </w:t>
      </w:r>
      <w:r w:rsidRPr="00963A27">
        <w:rPr>
          <w:rFonts w:ascii="Arial" w:hAnsi="Arial" w:cs="Arial"/>
          <w:i/>
          <w:iCs/>
          <w:sz w:val="20"/>
          <w:szCs w:val="20"/>
        </w:rPr>
        <w:t>Journal of Drug Delivery Science and Technology, 23</w:t>
      </w:r>
      <w:r w:rsidRPr="00963A27">
        <w:rPr>
          <w:rFonts w:ascii="Arial" w:hAnsi="Arial" w:cs="Arial"/>
          <w:sz w:val="20"/>
          <w:szCs w:val="20"/>
        </w:rPr>
        <w:t xml:space="preserve">, 471–475. </w:t>
      </w:r>
      <w:hyperlink r:id="rId51" w:history="1">
        <w:r w:rsidRPr="00963A27">
          <w:rPr>
            <w:rStyle w:val="Hyperlink"/>
            <w:rFonts w:ascii="Arial" w:hAnsi="Arial" w:cs="Arial"/>
            <w:sz w:val="20"/>
            <w:szCs w:val="20"/>
          </w:rPr>
          <w:t>https://doi.org/10.1016/s1773-2247(13)50068-2</w:t>
        </w:r>
      </w:hyperlink>
    </w:p>
    <w:p w14:paraId="780E6D9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Mishra, R., &amp; Amin, A. (2011). Manufacturing techniques of orally dissolving films. </w:t>
      </w:r>
      <w:r w:rsidRPr="00963A27">
        <w:rPr>
          <w:rFonts w:ascii="Arial" w:hAnsi="Arial" w:cs="Arial"/>
          <w:i/>
          <w:iCs/>
          <w:sz w:val="20"/>
          <w:szCs w:val="20"/>
        </w:rPr>
        <w:t>Pharmaceutical Technology, 35</w:t>
      </w:r>
      <w:r w:rsidRPr="00963A27">
        <w:rPr>
          <w:rFonts w:ascii="Arial" w:hAnsi="Arial" w:cs="Arial"/>
          <w:sz w:val="20"/>
          <w:szCs w:val="20"/>
        </w:rPr>
        <w:t>(1), 70–73.</w:t>
      </w:r>
    </w:p>
    <w:p w14:paraId="5C8F1352"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Schruben, D. L., &amp; Gonzalez, P. (2000). Dispersity improvement in solvent casting particle/polymer composite. </w:t>
      </w:r>
      <w:r w:rsidRPr="00963A27">
        <w:rPr>
          <w:rFonts w:ascii="Arial" w:hAnsi="Arial" w:cs="Arial"/>
          <w:i/>
          <w:iCs/>
          <w:sz w:val="20"/>
          <w:szCs w:val="20"/>
        </w:rPr>
        <w:t>Polymer Engineering and Science, 40</w:t>
      </w:r>
      <w:r w:rsidRPr="00963A27">
        <w:rPr>
          <w:rFonts w:ascii="Arial" w:hAnsi="Arial" w:cs="Arial"/>
          <w:sz w:val="20"/>
          <w:szCs w:val="20"/>
        </w:rPr>
        <w:t xml:space="preserve">, 139–142. </w:t>
      </w:r>
      <w:hyperlink r:id="rId52" w:history="1">
        <w:r w:rsidRPr="00963A27">
          <w:rPr>
            <w:rStyle w:val="Hyperlink"/>
            <w:rFonts w:ascii="Arial" w:hAnsi="Arial" w:cs="Arial"/>
            <w:sz w:val="20"/>
            <w:szCs w:val="20"/>
          </w:rPr>
          <w:t>https://doi.org/10.1002/pen.11147</w:t>
        </w:r>
      </w:hyperlink>
    </w:p>
    <w:p w14:paraId="77E50621"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Verma, S. (2018). A review on conventional and modern techniques to develop orodispersible films. </w:t>
      </w:r>
      <w:r w:rsidRPr="00963A27">
        <w:rPr>
          <w:rFonts w:ascii="Arial" w:hAnsi="Arial" w:cs="Arial"/>
          <w:i/>
          <w:iCs/>
          <w:sz w:val="20"/>
          <w:szCs w:val="20"/>
        </w:rPr>
        <w:t>Asian Journal of Pharmaceutics, 12</w:t>
      </w:r>
      <w:r w:rsidRPr="00963A27">
        <w:rPr>
          <w:rFonts w:ascii="Arial" w:hAnsi="Arial" w:cs="Arial"/>
          <w:sz w:val="20"/>
          <w:szCs w:val="20"/>
        </w:rPr>
        <w:t>, S433–S438.</w:t>
      </w:r>
    </w:p>
    <w:p w14:paraId="28291BEC"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Zaman, M., Hassan, R., Razzaq, S., Mahmood, A., Amjad, M. W., Raja, M. A. G., et al. (2020). Fabrication of polyvinyl alcohol-based fast dissolving oral strips of sumatriptan succinate and metoclopramide HCl. </w:t>
      </w:r>
      <w:r w:rsidRPr="00963A27">
        <w:rPr>
          <w:rFonts w:ascii="Arial" w:hAnsi="Arial" w:cs="Arial"/>
          <w:i/>
          <w:iCs/>
          <w:sz w:val="20"/>
          <w:szCs w:val="20"/>
        </w:rPr>
        <w:t>Science Progress, 103</w:t>
      </w:r>
      <w:r w:rsidRPr="00963A27">
        <w:rPr>
          <w:rFonts w:ascii="Arial" w:hAnsi="Arial" w:cs="Arial"/>
          <w:sz w:val="20"/>
          <w:szCs w:val="20"/>
        </w:rPr>
        <w:t xml:space="preserve">. </w:t>
      </w:r>
      <w:hyperlink r:id="rId53" w:history="1">
        <w:r w:rsidRPr="00963A27">
          <w:rPr>
            <w:rStyle w:val="Hyperlink"/>
            <w:rFonts w:ascii="Arial" w:hAnsi="Arial" w:cs="Arial"/>
            <w:sz w:val="20"/>
            <w:szCs w:val="20"/>
          </w:rPr>
          <w:t>https://doi.org/10.1177/0036850420964302</w:t>
        </w:r>
      </w:hyperlink>
    </w:p>
    <w:p w14:paraId="4C20F0FE"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Maniruzzaman, M., Boateng, J. S., Snowden, M. J., &amp; Douroumis, D. (2012). A review of hot-melt extrusion: Process technology to pharmaceutical products. </w:t>
      </w:r>
      <w:r w:rsidRPr="00963A27">
        <w:rPr>
          <w:rFonts w:ascii="Arial" w:hAnsi="Arial" w:cs="Arial"/>
          <w:i/>
          <w:iCs/>
          <w:sz w:val="20"/>
          <w:szCs w:val="20"/>
        </w:rPr>
        <w:t>ISRN Pharmaceutics, 2012</w:t>
      </w:r>
      <w:r w:rsidRPr="00963A27">
        <w:rPr>
          <w:rFonts w:ascii="Arial" w:hAnsi="Arial" w:cs="Arial"/>
          <w:sz w:val="20"/>
          <w:szCs w:val="20"/>
        </w:rPr>
        <w:t xml:space="preserve">, 1–9. </w:t>
      </w:r>
      <w:hyperlink r:id="rId54" w:history="1">
        <w:r w:rsidRPr="00963A27">
          <w:rPr>
            <w:rStyle w:val="Hyperlink"/>
            <w:rFonts w:ascii="Arial" w:hAnsi="Arial" w:cs="Arial"/>
            <w:sz w:val="20"/>
            <w:szCs w:val="20"/>
          </w:rPr>
          <w:t>https://doi.org/10.5402/2012/436763</w:t>
        </w:r>
      </w:hyperlink>
    </w:p>
    <w:p w14:paraId="26CA2C52"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Palem, C. R., Kumar Battu, S., Maddineni, S., Gannu, R., Repka, M. A., &amp; Yamsani, M. R. (2013). Oral transmucosal delivery of domperidone from immediate-release films produced via hot-melt extrusion technology. </w:t>
      </w:r>
      <w:r w:rsidRPr="00963A27">
        <w:rPr>
          <w:rFonts w:ascii="Arial" w:hAnsi="Arial" w:cs="Arial"/>
          <w:i/>
          <w:iCs/>
          <w:sz w:val="20"/>
          <w:szCs w:val="20"/>
        </w:rPr>
        <w:t>Pharmaceutical Development and Technology, 18</w:t>
      </w:r>
      <w:r w:rsidRPr="00963A27">
        <w:rPr>
          <w:rFonts w:ascii="Arial" w:hAnsi="Arial" w:cs="Arial"/>
          <w:sz w:val="20"/>
          <w:szCs w:val="20"/>
        </w:rPr>
        <w:t xml:space="preserve">(1), 186–195. </w:t>
      </w:r>
      <w:hyperlink r:id="rId55" w:history="1">
        <w:r w:rsidRPr="00963A27">
          <w:rPr>
            <w:rStyle w:val="Hyperlink"/>
            <w:rFonts w:ascii="Arial" w:hAnsi="Arial" w:cs="Arial"/>
            <w:sz w:val="20"/>
            <w:szCs w:val="20"/>
          </w:rPr>
          <w:t>https://doi.org/10.3109/10837450.2012.693505</w:t>
        </w:r>
      </w:hyperlink>
    </w:p>
    <w:p w14:paraId="35131CC8"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Patil, H., Tiwari, R. V., &amp; Repka, M. A. (2015). Hot-melt extrusion: From theory to application in pharmaceutical formulation. </w:t>
      </w:r>
      <w:r w:rsidRPr="00963A27">
        <w:rPr>
          <w:rFonts w:ascii="Arial" w:hAnsi="Arial" w:cs="Arial"/>
          <w:i/>
          <w:iCs/>
          <w:sz w:val="20"/>
          <w:szCs w:val="20"/>
        </w:rPr>
        <w:t>AAPS PharmSciTech, 17</w:t>
      </w:r>
      <w:r w:rsidRPr="00963A27">
        <w:rPr>
          <w:rFonts w:ascii="Arial" w:hAnsi="Arial" w:cs="Arial"/>
          <w:sz w:val="20"/>
          <w:szCs w:val="20"/>
        </w:rPr>
        <w:t xml:space="preserve">, 20–42. </w:t>
      </w:r>
      <w:hyperlink r:id="rId56" w:history="1">
        <w:r w:rsidRPr="00963A27">
          <w:rPr>
            <w:rStyle w:val="Hyperlink"/>
            <w:rFonts w:ascii="Arial" w:hAnsi="Arial" w:cs="Arial"/>
            <w:sz w:val="20"/>
            <w:szCs w:val="20"/>
          </w:rPr>
          <w:t>https://doi.org/10.1208/s12249-015-0360-7</w:t>
        </w:r>
      </w:hyperlink>
    </w:p>
    <w:p w14:paraId="3943FA13"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Simões, M. F., Pinto, R. M. A., &amp; Simões, S. (2019). Hot-melt extrusion in the pharmaceutical industry: Toward filing a new drug application. </w:t>
      </w:r>
      <w:r w:rsidRPr="00963A27">
        <w:rPr>
          <w:rFonts w:ascii="Arial" w:hAnsi="Arial" w:cs="Arial"/>
          <w:i/>
          <w:iCs/>
          <w:sz w:val="20"/>
          <w:szCs w:val="20"/>
        </w:rPr>
        <w:t>Drug Discovery Today, 24</w:t>
      </w:r>
      <w:r w:rsidRPr="00963A27">
        <w:rPr>
          <w:rFonts w:ascii="Arial" w:hAnsi="Arial" w:cs="Arial"/>
          <w:sz w:val="20"/>
          <w:szCs w:val="20"/>
        </w:rPr>
        <w:t xml:space="preserve">, 1749–1768. </w:t>
      </w:r>
      <w:hyperlink r:id="rId57" w:history="1">
        <w:r w:rsidRPr="00963A27">
          <w:rPr>
            <w:rStyle w:val="Hyperlink"/>
            <w:rFonts w:ascii="Arial" w:hAnsi="Arial" w:cs="Arial"/>
            <w:sz w:val="20"/>
            <w:szCs w:val="20"/>
          </w:rPr>
          <w:t>https://doi.org/10.1016/j.drudis.2019.05.013</w:t>
        </w:r>
      </w:hyperlink>
    </w:p>
    <w:p w14:paraId="7FDD876F"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Özakar, R. S., &amp; Özakar, E. (2020). Current overview of oral thin films. </w:t>
      </w:r>
      <w:r w:rsidRPr="00963A27">
        <w:rPr>
          <w:rFonts w:ascii="Arial" w:hAnsi="Arial" w:cs="Arial"/>
          <w:i/>
          <w:iCs/>
          <w:sz w:val="20"/>
          <w:szCs w:val="20"/>
        </w:rPr>
        <w:t>Turkish Journal of Pharmaceutical Sciences, 18</w:t>
      </w:r>
      <w:r w:rsidRPr="00963A27">
        <w:rPr>
          <w:rFonts w:ascii="Arial" w:hAnsi="Arial" w:cs="Arial"/>
          <w:sz w:val="20"/>
          <w:szCs w:val="20"/>
        </w:rPr>
        <w:t xml:space="preserve">, 111–121. </w:t>
      </w:r>
      <w:hyperlink r:id="rId58" w:history="1">
        <w:r w:rsidRPr="00963A27">
          <w:rPr>
            <w:rStyle w:val="Hyperlink"/>
            <w:rFonts w:ascii="Arial" w:hAnsi="Arial" w:cs="Arial"/>
            <w:sz w:val="20"/>
            <w:szCs w:val="20"/>
          </w:rPr>
          <w:t>https://doi.org/10.4274/tjps.galenos.2020.76390</w:t>
        </w:r>
      </w:hyperlink>
    </w:p>
    <w:p w14:paraId="70A1BA09"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Siow, C. R. S., Heng, P. W. S., &amp; Chan, L. W. (2016). Application of freeze-drying in the development of oral drug delivery systems. </w:t>
      </w:r>
      <w:r w:rsidRPr="00963A27">
        <w:rPr>
          <w:rFonts w:ascii="Arial" w:hAnsi="Arial" w:cs="Arial"/>
          <w:i/>
          <w:iCs/>
          <w:sz w:val="20"/>
          <w:szCs w:val="20"/>
        </w:rPr>
        <w:t>Expert Opinion on Drug Delivery, 13</w:t>
      </w:r>
      <w:r w:rsidRPr="00963A27">
        <w:rPr>
          <w:rFonts w:ascii="Arial" w:hAnsi="Arial" w:cs="Arial"/>
          <w:sz w:val="20"/>
          <w:szCs w:val="20"/>
        </w:rPr>
        <w:t xml:space="preserve">, 1595–1608. </w:t>
      </w:r>
      <w:hyperlink r:id="rId59" w:history="1">
        <w:r w:rsidRPr="00963A27">
          <w:rPr>
            <w:rStyle w:val="Hyperlink"/>
            <w:rFonts w:ascii="Arial" w:hAnsi="Arial" w:cs="Arial"/>
            <w:sz w:val="20"/>
            <w:szCs w:val="20"/>
          </w:rPr>
          <w:t>https://doi.org/10.1080/17425247.2016.1198767</w:t>
        </w:r>
      </w:hyperlink>
    </w:p>
    <w:p w14:paraId="076AF045"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Salawi, A. (2022). An insight into preparatory methods and characterization of orodispersible film—A review. </w:t>
      </w:r>
      <w:r w:rsidRPr="00963A27">
        <w:rPr>
          <w:rFonts w:ascii="Arial" w:hAnsi="Arial" w:cs="Arial"/>
          <w:i/>
          <w:iCs/>
          <w:sz w:val="20"/>
          <w:szCs w:val="20"/>
        </w:rPr>
        <w:t>Pharmaceuticals, 15</w:t>
      </w:r>
      <w:r w:rsidRPr="00963A27">
        <w:rPr>
          <w:rFonts w:ascii="Arial" w:hAnsi="Arial" w:cs="Arial"/>
          <w:sz w:val="20"/>
          <w:szCs w:val="20"/>
        </w:rPr>
        <w:t xml:space="preserve">, 844. </w:t>
      </w:r>
      <w:hyperlink r:id="rId60" w:history="1">
        <w:r w:rsidRPr="00963A27">
          <w:rPr>
            <w:rStyle w:val="Hyperlink"/>
            <w:rFonts w:ascii="Arial" w:hAnsi="Arial" w:cs="Arial"/>
            <w:sz w:val="20"/>
            <w:szCs w:val="20"/>
          </w:rPr>
          <w:t>https://doi.org/10.3390/ph15070844</w:t>
        </w:r>
      </w:hyperlink>
    </w:p>
    <w:p w14:paraId="2C904A6E"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Pham, M. N., Van Vo, T., Tran, V.-T., Tran, P. H.-L., &amp; Tran, T. T.-D. (2017). Microemulsion-based mucoadhesive buccal wafers: Wafer formation, in vitro release, and ex vivo evaluation. </w:t>
      </w:r>
      <w:r w:rsidRPr="00963A27">
        <w:rPr>
          <w:rFonts w:ascii="Arial" w:hAnsi="Arial" w:cs="Arial"/>
          <w:i/>
          <w:iCs/>
          <w:sz w:val="20"/>
          <w:szCs w:val="20"/>
        </w:rPr>
        <w:t>AAPS PharmSciTech, 18</w:t>
      </w:r>
      <w:r w:rsidRPr="00963A27">
        <w:rPr>
          <w:rFonts w:ascii="Arial" w:hAnsi="Arial" w:cs="Arial"/>
          <w:sz w:val="20"/>
          <w:szCs w:val="20"/>
        </w:rPr>
        <w:t xml:space="preserve">, 2727–2736. </w:t>
      </w:r>
      <w:hyperlink r:id="rId61" w:history="1">
        <w:r w:rsidRPr="00963A27">
          <w:rPr>
            <w:rStyle w:val="Hyperlink"/>
            <w:rFonts w:ascii="Arial" w:hAnsi="Arial" w:cs="Arial"/>
            <w:sz w:val="20"/>
            <w:szCs w:val="20"/>
          </w:rPr>
          <w:t>https://doi.org/10.1208/s12249-017-0754-9</w:t>
        </w:r>
      </w:hyperlink>
    </w:p>
    <w:p w14:paraId="36841CC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lastRenderedPageBreak/>
        <w:t xml:space="preserve">Farias, S., &amp; Boateng, J. S. (2020). In vitro, ex vivo, and in vivo evaluation of taste-masked low-dose acetylsalicylic acid-loaded composite wafers as platforms for buccal administration in geriatric patients with dysphagia. </w:t>
      </w:r>
      <w:r w:rsidRPr="00963A27">
        <w:rPr>
          <w:rFonts w:ascii="Arial" w:hAnsi="Arial" w:cs="Arial"/>
          <w:i/>
          <w:iCs/>
          <w:sz w:val="20"/>
          <w:szCs w:val="20"/>
        </w:rPr>
        <w:t>International Journal of Pharmaceutics, 589</w:t>
      </w:r>
      <w:r w:rsidRPr="00963A27">
        <w:rPr>
          <w:rFonts w:ascii="Arial" w:hAnsi="Arial" w:cs="Arial"/>
          <w:sz w:val="20"/>
          <w:szCs w:val="20"/>
        </w:rPr>
        <w:t xml:space="preserve">, 119807. </w:t>
      </w:r>
      <w:hyperlink r:id="rId62" w:history="1">
        <w:r w:rsidRPr="00963A27">
          <w:rPr>
            <w:rStyle w:val="Hyperlink"/>
            <w:rFonts w:ascii="Arial" w:hAnsi="Arial" w:cs="Arial"/>
            <w:sz w:val="20"/>
            <w:szCs w:val="20"/>
          </w:rPr>
          <w:t>https://doi.org/10.1016/j.ijpharm.2020.119807</w:t>
        </w:r>
      </w:hyperlink>
    </w:p>
    <w:p w14:paraId="054FD3D6"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Hassan, N., Ali, M., &amp; Ali, J. (2010). Development and evaluation of novel buccoadhesive wafers of nimodipine for treatment of hypertension. </w:t>
      </w:r>
      <w:r w:rsidRPr="00963A27">
        <w:rPr>
          <w:rFonts w:ascii="Arial" w:hAnsi="Arial" w:cs="Arial"/>
          <w:i/>
          <w:iCs/>
          <w:sz w:val="20"/>
          <w:szCs w:val="20"/>
        </w:rPr>
        <w:t>Drug Delivery, 17</w:t>
      </w:r>
      <w:r w:rsidRPr="00963A27">
        <w:rPr>
          <w:rFonts w:ascii="Arial" w:hAnsi="Arial" w:cs="Arial"/>
          <w:sz w:val="20"/>
          <w:szCs w:val="20"/>
        </w:rPr>
        <w:t xml:space="preserve">, 59–67. </w:t>
      </w:r>
      <w:hyperlink r:id="rId63" w:history="1">
        <w:r w:rsidRPr="00963A27">
          <w:rPr>
            <w:rStyle w:val="Hyperlink"/>
            <w:rFonts w:ascii="Arial" w:hAnsi="Arial" w:cs="Arial"/>
            <w:sz w:val="20"/>
            <w:szCs w:val="20"/>
          </w:rPr>
          <w:t>https://doi.org/10.3109/10717540903508987</w:t>
        </w:r>
      </w:hyperlink>
    </w:p>
    <w:p w14:paraId="627E634D"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Hassan, N., Ali, M., &amp; Ali, J. (2010). Development and evaluation of novel buccoadhesive wafers of nimodipine for treatment of hypertension. </w:t>
      </w:r>
      <w:r w:rsidRPr="00963A27">
        <w:rPr>
          <w:rFonts w:ascii="Arial" w:hAnsi="Arial" w:cs="Arial"/>
          <w:i/>
          <w:iCs/>
          <w:sz w:val="20"/>
          <w:szCs w:val="20"/>
        </w:rPr>
        <w:t>Drug Delivery, 17</w:t>
      </w:r>
      <w:r w:rsidRPr="00963A27">
        <w:rPr>
          <w:rFonts w:ascii="Arial" w:hAnsi="Arial" w:cs="Arial"/>
          <w:sz w:val="20"/>
          <w:szCs w:val="20"/>
        </w:rPr>
        <w:t xml:space="preserve">, 59–67. </w:t>
      </w:r>
      <w:hyperlink r:id="rId64" w:history="1">
        <w:r w:rsidRPr="00963A27">
          <w:rPr>
            <w:rStyle w:val="Hyperlink"/>
            <w:rFonts w:ascii="Arial" w:hAnsi="Arial" w:cs="Arial"/>
            <w:sz w:val="20"/>
            <w:szCs w:val="20"/>
          </w:rPr>
          <w:t>https://doi.org/10.3109/10717540903508987</w:t>
        </w:r>
      </w:hyperlink>
    </w:p>
    <w:p w14:paraId="25B46168"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Nair, A. B., Kumria, R., Harsha, S., Attimarad, M., Al-Dhubiab, B. E., &amp; Alhaider, I. A. (2012). In vitro techniques to evaluate buccal films. </w:t>
      </w:r>
      <w:r w:rsidRPr="00963A27">
        <w:rPr>
          <w:rFonts w:ascii="Arial" w:hAnsi="Arial" w:cs="Arial"/>
          <w:i/>
          <w:iCs/>
          <w:sz w:val="20"/>
          <w:szCs w:val="20"/>
        </w:rPr>
        <w:t>Journal of Controlled Release, 166</w:t>
      </w:r>
      <w:r w:rsidRPr="00963A27">
        <w:rPr>
          <w:rFonts w:ascii="Arial" w:hAnsi="Arial" w:cs="Arial"/>
          <w:sz w:val="20"/>
          <w:szCs w:val="20"/>
        </w:rPr>
        <w:t xml:space="preserve">, 10–21. </w:t>
      </w:r>
      <w:hyperlink r:id="rId65" w:history="1">
        <w:r w:rsidRPr="00963A27">
          <w:rPr>
            <w:rStyle w:val="Hyperlink"/>
            <w:rFonts w:ascii="Arial" w:hAnsi="Arial" w:cs="Arial"/>
            <w:sz w:val="20"/>
            <w:szCs w:val="20"/>
          </w:rPr>
          <w:t>https://doi.org/10.1016/j.jconrel.2012.11.019</w:t>
        </w:r>
      </w:hyperlink>
    </w:p>
    <w:p w14:paraId="1409A3DB"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Speer, I., Preis, M., &amp; Breitkreutz, J. (2019). Dissolution testing of oral film preparations: Experimental comparison of compendial and non-compendial methods. </w:t>
      </w:r>
      <w:r w:rsidRPr="00963A27">
        <w:rPr>
          <w:rFonts w:ascii="Arial" w:hAnsi="Arial" w:cs="Arial"/>
          <w:i/>
          <w:iCs/>
          <w:sz w:val="20"/>
          <w:szCs w:val="20"/>
        </w:rPr>
        <w:t>International Journal of Pharmaceutics, 561</w:t>
      </w:r>
      <w:r w:rsidRPr="00963A27">
        <w:rPr>
          <w:rFonts w:ascii="Arial" w:hAnsi="Arial" w:cs="Arial"/>
          <w:sz w:val="20"/>
          <w:szCs w:val="20"/>
        </w:rPr>
        <w:t xml:space="preserve">, 124–134. </w:t>
      </w:r>
      <w:hyperlink r:id="rId66" w:history="1">
        <w:r w:rsidRPr="00963A27">
          <w:rPr>
            <w:rStyle w:val="Hyperlink"/>
            <w:rFonts w:ascii="Arial" w:hAnsi="Arial" w:cs="Arial"/>
            <w:sz w:val="20"/>
            <w:szCs w:val="20"/>
          </w:rPr>
          <w:t>https://doi.org/10.1016/j.ijpharm.2019.02.042</w:t>
        </w:r>
      </w:hyperlink>
    </w:p>
    <w:p w14:paraId="50DFD090" w14:textId="4FAC4F45" w:rsidR="00954B6C" w:rsidRPr="00954B6C" w:rsidRDefault="004358A5" w:rsidP="00954B6C">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Payghan, S., Desai, S., Lade, M., &amp; Kate, V. (2022). Design and development of polymer-based fast disintegrating wafers of selective antihypertensive agent. </w:t>
      </w:r>
      <w:r w:rsidRPr="00963A27">
        <w:rPr>
          <w:rFonts w:ascii="Arial" w:hAnsi="Arial" w:cs="Arial"/>
          <w:i/>
          <w:iCs/>
          <w:sz w:val="20"/>
          <w:szCs w:val="20"/>
        </w:rPr>
        <w:t>International Journal of Pharmaceutical Sciences Review and Research</w:t>
      </w:r>
      <w:r w:rsidRPr="00963A27">
        <w:rPr>
          <w:rFonts w:ascii="Arial" w:hAnsi="Arial" w:cs="Arial"/>
          <w:sz w:val="20"/>
          <w:szCs w:val="20"/>
        </w:rPr>
        <w:t xml:space="preserve">, 33–39. </w:t>
      </w:r>
      <w:hyperlink r:id="rId67" w:history="1">
        <w:r w:rsidRPr="00963A27">
          <w:rPr>
            <w:rStyle w:val="Hyperlink"/>
            <w:rFonts w:ascii="Arial" w:hAnsi="Arial" w:cs="Arial"/>
            <w:sz w:val="20"/>
            <w:szCs w:val="20"/>
          </w:rPr>
          <w:t>https://doi.org/10.47583/ijpsrr.2022.v76i01.007</w:t>
        </w:r>
      </w:hyperlink>
    </w:p>
    <w:p w14:paraId="35511382" w14:textId="77777777" w:rsidR="00954B6C" w:rsidRDefault="008B6F6A" w:rsidP="00882252">
      <w:pPr>
        <w:pStyle w:val="ListParagraph"/>
        <w:numPr>
          <w:ilvl w:val="0"/>
          <w:numId w:val="68"/>
        </w:numPr>
        <w:spacing w:line="360" w:lineRule="auto"/>
        <w:jc w:val="both"/>
        <w:rPr>
          <w:rFonts w:ascii="Arial" w:hAnsi="Arial" w:cs="Arial"/>
          <w:sz w:val="20"/>
          <w:szCs w:val="20"/>
        </w:rPr>
      </w:pPr>
      <w:r w:rsidRPr="008B6F6A">
        <w:rPr>
          <w:rFonts w:ascii="Arial" w:hAnsi="Arial" w:cs="Arial"/>
          <w:sz w:val="20"/>
          <w:szCs w:val="20"/>
        </w:rPr>
        <w:t>Saeidnia, S., Manayi, A., &amp; Abdollahi, M. (2015). From in vitro experiments to in vivo and clinical studies; pros and cons. </w:t>
      </w:r>
      <w:r w:rsidRPr="008B6F6A">
        <w:rPr>
          <w:rFonts w:ascii="Arial" w:hAnsi="Arial" w:cs="Arial"/>
          <w:i/>
          <w:iCs/>
          <w:sz w:val="20"/>
          <w:szCs w:val="20"/>
        </w:rPr>
        <w:t>Current drug discovery technologies</w:t>
      </w:r>
      <w:r w:rsidRPr="008B6F6A">
        <w:rPr>
          <w:rFonts w:ascii="Arial" w:hAnsi="Arial" w:cs="Arial"/>
          <w:sz w:val="20"/>
          <w:szCs w:val="20"/>
        </w:rPr>
        <w:t>, </w:t>
      </w:r>
      <w:r w:rsidRPr="008B6F6A">
        <w:rPr>
          <w:rFonts w:ascii="Arial" w:hAnsi="Arial" w:cs="Arial"/>
          <w:i/>
          <w:iCs/>
          <w:sz w:val="20"/>
          <w:szCs w:val="20"/>
        </w:rPr>
        <w:t>12</w:t>
      </w:r>
      <w:r w:rsidRPr="008B6F6A">
        <w:rPr>
          <w:rFonts w:ascii="Arial" w:hAnsi="Arial" w:cs="Arial"/>
          <w:sz w:val="20"/>
          <w:szCs w:val="20"/>
        </w:rPr>
        <w:t>(4), 218-224.</w:t>
      </w:r>
    </w:p>
    <w:p w14:paraId="02662AFC" w14:textId="77777777" w:rsidR="00954B6C" w:rsidRDefault="00954B6C" w:rsidP="00882252">
      <w:pPr>
        <w:pStyle w:val="ListParagraph"/>
        <w:numPr>
          <w:ilvl w:val="0"/>
          <w:numId w:val="68"/>
        </w:numPr>
        <w:spacing w:line="360" w:lineRule="auto"/>
        <w:jc w:val="both"/>
        <w:rPr>
          <w:rFonts w:ascii="Arial" w:hAnsi="Arial" w:cs="Arial"/>
          <w:sz w:val="20"/>
          <w:szCs w:val="20"/>
        </w:rPr>
      </w:pPr>
      <w:r w:rsidRPr="00954B6C">
        <w:rPr>
          <w:rFonts w:ascii="Arial" w:hAnsi="Arial" w:cs="Arial"/>
          <w:sz w:val="20"/>
          <w:szCs w:val="20"/>
        </w:rPr>
        <w:t>Lim, S. C., Paech, M. J., Sunderland, B., &amp; Liu, Y. (2013). In vitro and in vivo evaluation of a sublingual fentanyl wafer formulation. </w:t>
      </w:r>
      <w:r w:rsidRPr="00954B6C">
        <w:rPr>
          <w:rFonts w:ascii="Arial" w:hAnsi="Arial" w:cs="Arial"/>
          <w:i/>
          <w:iCs/>
          <w:sz w:val="20"/>
          <w:szCs w:val="20"/>
        </w:rPr>
        <w:t>Drug Design, Development and Therapy</w:t>
      </w:r>
      <w:r w:rsidRPr="00954B6C">
        <w:rPr>
          <w:rFonts w:ascii="Arial" w:hAnsi="Arial" w:cs="Arial"/>
          <w:sz w:val="20"/>
          <w:szCs w:val="20"/>
        </w:rPr>
        <w:t>, 317-324.</w:t>
      </w:r>
    </w:p>
    <w:p w14:paraId="248BC756" w14:textId="77777777" w:rsidR="00954B6C" w:rsidRDefault="00232B79" w:rsidP="00882252">
      <w:pPr>
        <w:pStyle w:val="ListParagraph"/>
        <w:numPr>
          <w:ilvl w:val="0"/>
          <w:numId w:val="68"/>
        </w:numPr>
        <w:spacing w:line="360" w:lineRule="auto"/>
        <w:jc w:val="both"/>
        <w:rPr>
          <w:rFonts w:ascii="Arial" w:hAnsi="Arial" w:cs="Arial"/>
          <w:sz w:val="20"/>
          <w:szCs w:val="20"/>
        </w:rPr>
      </w:pPr>
      <w:r w:rsidRPr="00232B79">
        <w:rPr>
          <w:rFonts w:ascii="Arial" w:hAnsi="Arial" w:cs="Arial"/>
          <w:sz w:val="20"/>
          <w:szCs w:val="20"/>
        </w:rPr>
        <w:t>Reddy, D., Choonara, Y. E., Kumar, P., Govender, M., Indermun, S., du Toit, L. C., ... &amp; Pillay, V. (2017). In vivo evaluation of an Ultra-fast Disintegrating Wafer matrix: A molecular simulation approach to the ora-mucoadhesivity. </w:t>
      </w:r>
      <w:r w:rsidRPr="00232B79">
        <w:rPr>
          <w:rFonts w:ascii="Arial" w:hAnsi="Arial" w:cs="Arial"/>
          <w:i/>
          <w:iCs/>
          <w:sz w:val="20"/>
          <w:szCs w:val="20"/>
        </w:rPr>
        <w:t>Journal of Drug Delivery Science and Technology</w:t>
      </w:r>
      <w:r w:rsidRPr="00232B79">
        <w:rPr>
          <w:rFonts w:ascii="Arial" w:hAnsi="Arial" w:cs="Arial"/>
          <w:sz w:val="20"/>
          <w:szCs w:val="20"/>
        </w:rPr>
        <w:t>, </w:t>
      </w:r>
      <w:r w:rsidRPr="00232B79">
        <w:rPr>
          <w:rFonts w:ascii="Arial" w:hAnsi="Arial" w:cs="Arial"/>
          <w:i/>
          <w:iCs/>
          <w:sz w:val="20"/>
          <w:szCs w:val="20"/>
        </w:rPr>
        <w:t>37</w:t>
      </w:r>
      <w:r w:rsidRPr="00232B79">
        <w:rPr>
          <w:rFonts w:ascii="Arial" w:hAnsi="Arial" w:cs="Arial"/>
          <w:sz w:val="20"/>
          <w:szCs w:val="20"/>
        </w:rPr>
        <w:t>, 123-133.</w:t>
      </w:r>
    </w:p>
    <w:p w14:paraId="216AF428" w14:textId="77777777" w:rsidR="00D77B44" w:rsidRDefault="00D77B44" w:rsidP="00882252">
      <w:pPr>
        <w:pStyle w:val="ListParagraph"/>
        <w:numPr>
          <w:ilvl w:val="0"/>
          <w:numId w:val="68"/>
        </w:numPr>
        <w:spacing w:line="360" w:lineRule="auto"/>
        <w:jc w:val="both"/>
        <w:rPr>
          <w:rFonts w:ascii="Arial" w:hAnsi="Arial" w:cs="Arial"/>
          <w:sz w:val="20"/>
          <w:szCs w:val="20"/>
        </w:rPr>
      </w:pPr>
      <w:r w:rsidRPr="00D77B44">
        <w:rPr>
          <w:rFonts w:ascii="Arial" w:hAnsi="Arial" w:cs="Arial"/>
          <w:sz w:val="20"/>
          <w:szCs w:val="20"/>
        </w:rPr>
        <w:t>Vaezi, H., Rabbani, S., Mortazavi, S. A., Kamalinejad, M., &amp; Haeri, A. (2022). Fabrication, in vitro, and in vivo characterization of mucoadhesive berberine-loaded blended wafers for treatment of chemotherapy-induced oral mucositis.</w:t>
      </w:r>
      <w:r w:rsidR="00FE1FE7" w:rsidRPr="00AF5FB2">
        <w:rPr>
          <w:rFonts w:ascii="Arial" w:hAnsi="Arial" w:cs="Arial"/>
          <w:sz w:val="20"/>
          <w:szCs w:val="20"/>
        </w:rPr>
        <w:t xml:space="preserve"> AAPS PharmSciTech, 24(1), 19. </w:t>
      </w:r>
    </w:p>
    <w:p w14:paraId="1F2558B5"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Ahadian, S., Finbloom, J. A., Mofidfar, M., Diltemiz, S. E., Nasrollahi, F., Davoodi, E., Hosseini, V., Mylonaki, I., Sangabathuni, S., Montazerian, H., Fetah, K., Nasiri, R., Dokmeci, M. R., Stevens, M. M., Desai, T. A., &amp; Khademhosseini, A. (2020). Micro and nanoscale technologies in oral drug delivery. </w:t>
      </w:r>
      <w:r w:rsidRPr="00963A27">
        <w:rPr>
          <w:rFonts w:ascii="Arial" w:hAnsi="Arial" w:cs="Arial"/>
          <w:i/>
          <w:iCs/>
          <w:sz w:val="20"/>
          <w:szCs w:val="20"/>
        </w:rPr>
        <w:t>Advanced Drug Delivery Reviews, 157</w:t>
      </w:r>
      <w:r w:rsidRPr="00963A27">
        <w:rPr>
          <w:rFonts w:ascii="Arial" w:hAnsi="Arial" w:cs="Arial"/>
          <w:sz w:val="20"/>
          <w:szCs w:val="20"/>
        </w:rPr>
        <w:t xml:space="preserve">, 37–62. </w:t>
      </w:r>
      <w:hyperlink r:id="rId68" w:history="1">
        <w:r w:rsidRPr="00963A27">
          <w:rPr>
            <w:rStyle w:val="Hyperlink"/>
            <w:rFonts w:ascii="Arial" w:hAnsi="Arial" w:cs="Arial"/>
            <w:sz w:val="20"/>
            <w:szCs w:val="20"/>
          </w:rPr>
          <w:t>https://doi.org/10.1016/j.addr.2020.07.012</w:t>
        </w:r>
      </w:hyperlink>
    </w:p>
    <w:p w14:paraId="76C8D7BD"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Tran, P. H. L., Duan, W., &amp; Tran, T. T. D. (2019). Recent developments of nanoparticle-delivered dosage forms for buccal delivery. </w:t>
      </w:r>
      <w:r w:rsidRPr="00963A27">
        <w:rPr>
          <w:rFonts w:ascii="Arial" w:hAnsi="Arial" w:cs="Arial"/>
          <w:i/>
          <w:iCs/>
          <w:sz w:val="20"/>
          <w:szCs w:val="20"/>
        </w:rPr>
        <w:t>International Journal of Pharmaceutics, 571</w:t>
      </w:r>
      <w:r w:rsidRPr="00963A27">
        <w:rPr>
          <w:rFonts w:ascii="Arial" w:hAnsi="Arial" w:cs="Arial"/>
          <w:sz w:val="20"/>
          <w:szCs w:val="20"/>
        </w:rPr>
        <w:t xml:space="preserve">, 118697. </w:t>
      </w:r>
      <w:hyperlink r:id="rId69" w:history="1">
        <w:r w:rsidRPr="00963A27">
          <w:rPr>
            <w:rStyle w:val="Hyperlink"/>
            <w:rFonts w:ascii="Arial" w:hAnsi="Arial" w:cs="Arial"/>
            <w:sz w:val="20"/>
            <w:szCs w:val="20"/>
          </w:rPr>
          <w:t>https://doi.org/10.1016/j.ijpharm.2019.118697</w:t>
        </w:r>
      </w:hyperlink>
    </w:p>
    <w:p w14:paraId="12097283"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lastRenderedPageBreak/>
        <w:t xml:space="preserve">Nair, V. V., Cabrera, P., Ramírez-Lecaros, C., Jara, M. O., Brayden, D. J., &amp; Morales, J. O. (2023). Buccal delivery of small molecules and biologics: Of mucoadhesive polymers, films, and nanoparticles – An update. </w:t>
      </w:r>
      <w:r w:rsidRPr="00963A27">
        <w:rPr>
          <w:rFonts w:ascii="Arial" w:hAnsi="Arial" w:cs="Arial"/>
          <w:i/>
          <w:iCs/>
          <w:sz w:val="20"/>
          <w:szCs w:val="20"/>
        </w:rPr>
        <w:t>International Journal of Pharmaceutics, 636</w:t>
      </w:r>
      <w:r w:rsidRPr="00963A27">
        <w:rPr>
          <w:rFonts w:ascii="Arial" w:hAnsi="Arial" w:cs="Arial"/>
          <w:sz w:val="20"/>
          <w:szCs w:val="20"/>
        </w:rPr>
        <w:t xml:space="preserve">, 122789. </w:t>
      </w:r>
      <w:hyperlink r:id="rId70" w:history="1">
        <w:r w:rsidRPr="00963A27">
          <w:rPr>
            <w:rStyle w:val="Hyperlink"/>
            <w:rFonts w:ascii="Arial" w:hAnsi="Arial" w:cs="Arial"/>
            <w:sz w:val="20"/>
            <w:szCs w:val="20"/>
          </w:rPr>
          <w:t>https://doi.org/10.1016/j.ijpharm.2023.122789</w:t>
        </w:r>
      </w:hyperlink>
    </w:p>
    <w:p w14:paraId="0F7AC104"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Sallam, N. M., Sanad, R. A. B., Ahmed, M. M., Khafagy, E. S., Ghorab, M., &amp; Gad, S. (2021). Impact of the mucoadhesive lyophilized wafer loaded with novel carvedilol nano-spanlastics on biochemical markers in the heart of spontaneously hypertensive rat models. </w:t>
      </w:r>
      <w:r w:rsidRPr="00963A27">
        <w:rPr>
          <w:rFonts w:ascii="Arial" w:hAnsi="Arial" w:cs="Arial"/>
          <w:i/>
          <w:iCs/>
          <w:sz w:val="20"/>
          <w:szCs w:val="20"/>
        </w:rPr>
        <w:t>Drug Delivery and Translational Research, 11</w:t>
      </w:r>
      <w:r w:rsidRPr="00963A27">
        <w:rPr>
          <w:rFonts w:ascii="Arial" w:hAnsi="Arial" w:cs="Arial"/>
          <w:sz w:val="20"/>
          <w:szCs w:val="20"/>
        </w:rPr>
        <w:t>, 1009–1036.</w:t>
      </w:r>
    </w:p>
    <w:p w14:paraId="734B7D7B"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Targhotra, M., &amp; Chauhan, M. K. (2020). An overview on various approaches and recent patents on buccal drug delivery systems. </w:t>
      </w:r>
      <w:r w:rsidRPr="00963A27">
        <w:rPr>
          <w:rFonts w:ascii="Arial" w:hAnsi="Arial" w:cs="Arial"/>
          <w:i/>
          <w:iCs/>
          <w:sz w:val="20"/>
          <w:szCs w:val="20"/>
        </w:rPr>
        <w:t>Current Pharmaceutical Design, 26</w:t>
      </w:r>
      <w:r w:rsidRPr="00963A27">
        <w:rPr>
          <w:rFonts w:ascii="Arial" w:hAnsi="Arial" w:cs="Arial"/>
          <w:sz w:val="20"/>
          <w:szCs w:val="20"/>
        </w:rPr>
        <w:t xml:space="preserve">, 5030–5039. </w:t>
      </w:r>
      <w:hyperlink r:id="rId71" w:history="1">
        <w:r w:rsidRPr="00963A27">
          <w:rPr>
            <w:rStyle w:val="Hyperlink"/>
            <w:rFonts w:ascii="Arial" w:hAnsi="Arial" w:cs="Arial"/>
            <w:sz w:val="20"/>
            <w:szCs w:val="20"/>
          </w:rPr>
          <w:t>https://doi.org/10.2174/1381612826666200614182013</w:t>
        </w:r>
      </w:hyperlink>
    </w:p>
    <w:p w14:paraId="3219DF61"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Timur, S. S., Yüksel, S., Akca, G., &amp; Şenel, S. (2019). Localized drug delivery with mono and bilayered mucoadhesive films and wafers for oral mucosal infections. </w:t>
      </w:r>
      <w:r w:rsidRPr="00963A27">
        <w:rPr>
          <w:rFonts w:ascii="Arial" w:hAnsi="Arial" w:cs="Arial"/>
          <w:i/>
          <w:iCs/>
          <w:sz w:val="20"/>
          <w:szCs w:val="20"/>
        </w:rPr>
        <w:t>International Journal of Pharmaceutics, 559</w:t>
      </w:r>
      <w:r w:rsidRPr="00963A27">
        <w:rPr>
          <w:rFonts w:ascii="Arial" w:hAnsi="Arial" w:cs="Arial"/>
          <w:sz w:val="20"/>
          <w:szCs w:val="20"/>
        </w:rPr>
        <w:t xml:space="preserve">, 102–112. </w:t>
      </w:r>
      <w:hyperlink r:id="rId72" w:history="1">
        <w:r w:rsidRPr="00963A27">
          <w:rPr>
            <w:rStyle w:val="Hyperlink"/>
            <w:rFonts w:ascii="Arial" w:hAnsi="Arial" w:cs="Arial"/>
            <w:sz w:val="20"/>
            <w:szCs w:val="20"/>
          </w:rPr>
          <w:t>https://doi.org/10.1016/j.ijpharm.2019.01.029</w:t>
        </w:r>
      </w:hyperlink>
    </w:p>
    <w:p w14:paraId="259B6448"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Pham, M. N., Van Vo, T., Tran, V. T., Tran, P. H. L., &amp; Tran, T. T. D. (2017). Microemulsion-based mucoadhesive buccal wafers: Wafer formation, in vitro release, and ex vivo evaluation. </w:t>
      </w:r>
      <w:r w:rsidRPr="00963A27">
        <w:rPr>
          <w:rFonts w:ascii="Arial" w:hAnsi="Arial" w:cs="Arial"/>
          <w:i/>
          <w:iCs/>
          <w:sz w:val="20"/>
          <w:szCs w:val="20"/>
        </w:rPr>
        <w:t>AAPS PharmSciTech, 18</w:t>
      </w:r>
      <w:r w:rsidRPr="00963A27">
        <w:rPr>
          <w:rFonts w:ascii="Arial" w:hAnsi="Arial" w:cs="Arial"/>
          <w:sz w:val="20"/>
          <w:szCs w:val="20"/>
        </w:rPr>
        <w:t>, 2727–2736.</w:t>
      </w:r>
    </w:p>
    <w:p w14:paraId="5562E20A"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Hanson, S. M., Singh, S., Tabet, A., Sastry, K. J., Barry, M., &amp; Wang, C. (2021). Mucoadhesive wafers composed of binary polymer blends for sublingual delivery and preservation of protein vaccines. </w:t>
      </w:r>
      <w:r w:rsidRPr="00963A27">
        <w:rPr>
          <w:rFonts w:ascii="Arial" w:hAnsi="Arial" w:cs="Arial"/>
          <w:i/>
          <w:iCs/>
          <w:sz w:val="20"/>
          <w:szCs w:val="20"/>
        </w:rPr>
        <w:t>Journal of Controlled Release, 330</w:t>
      </w:r>
      <w:r w:rsidRPr="00963A27">
        <w:rPr>
          <w:rFonts w:ascii="Arial" w:hAnsi="Arial" w:cs="Arial"/>
          <w:sz w:val="20"/>
          <w:szCs w:val="20"/>
        </w:rPr>
        <w:t>, 427–437.</w:t>
      </w:r>
    </w:p>
    <w:p w14:paraId="4D868933"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Boateng, J., &amp; Okeke, O. (2019). Evaluation of clay-functionalized wafers and films for nicotine replacement therapy via buccal mucosa. </w:t>
      </w:r>
      <w:r w:rsidRPr="00963A27">
        <w:rPr>
          <w:rFonts w:ascii="Arial" w:hAnsi="Arial" w:cs="Arial"/>
          <w:i/>
          <w:iCs/>
          <w:sz w:val="20"/>
          <w:szCs w:val="20"/>
        </w:rPr>
        <w:t>Pharmaceutics, 11</w:t>
      </w:r>
      <w:r w:rsidRPr="00963A27">
        <w:rPr>
          <w:rFonts w:ascii="Arial" w:hAnsi="Arial" w:cs="Arial"/>
          <w:sz w:val="20"/>
          <w:szCs w:val="20"/>
        </w:rPr>
        <w:t>(3), 104.</w:t>
      </w:r>
    </w:p>
    <w:p w14:paraId="3D4A552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Boateng, J. S., &amp; Areago, D. (2014). Composite sodium alginate and chitosan-based wafers for buccal delivery of macromolecules. </w:t>
      </w:r>
      <w:r w:rsidRPr="00963A27">
        <w:rPr>
          <w:rFonts w:ascii="Arial" w:hAnsi="Arial" w:cs="Arial"/>
          <w:i/>
          <w:iCs/>
          <w:sz w:val="20"/>
          <w:szCs w:val="20"/>
        </w:rPr>
        <w:t>Austin Journal of Analytical and Pharmaceutical Chemistry, 1</w:t>
      </w:r>
      <w:r w:rsidRPr="00963A27">
        <w:rPr>
          <w:rFonts w:ascii="Arial" w:hAnsi="Arial" w:cs="Arial"/>
          <w:sz w:val="20"/>
          <w:szCs w:val="20"/>
        </w:rPr>
        <w:t>(5), 1–7.</w:t>
      </w:r>
    </w:p>
    <w:p w14:paraId="67B0802B"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Ayensu, I., Mitchell, J. C., &amp; Boateng, J. S. (2012). Development and physico-mechanical characterization of lyophilized chitosan wafers as potential protein drug delivery systems via the buccal mucosa. </w:t>
      </w:r>
      <w:r w:rsidRPr="00963A27">
        <w:rPr>
          <w:rFonts w:ascii="Arial" w:hAnsi="Arial" w:cs="Arial"/>
          <w:i/>
          <w:iCs/>
          <w:sz w:val="20"/>
          <w:szCs w:val="20"/>
        </w:rPr>
        <w:t>Colloids and Surfaces B: Biointerfaces, 91</w:t>
      </w:r>
      <w:r w:rsidRPr="00963A27">
        <w:rPr>
          <w:rFonts w:ascii="Arial" w:hAnsi="Arial" w:cs="Arial"/>
          <w:sz w:val="20"/>
          <w:szCs w:val="20"/>
        </w:rPr>
        <w:t>, 258–265.</w:t>
      </w:r>
    </w:p>
    <w:p w14:paraId="7931DFC3"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Chaudhari, V. S., Malakar, T. K., Murty, U. S., &amp; Banerjee, S. (2021). Fused deposition modeling (FDM)-mediated 3D-printed mouth-dissolving wafers loaded with nanostructured lipid carriers (NLCs) for in vitro release. </w:t>
      </w:r>
      <w:r w:rsidRPr="00963A27">
        <w:rPr>
          <w:rFonts w:ascii="Arial" w:hAnsi="Arial" w:cs="Arial"/>
          <w:i/>
          <w:iCs/>
          <w:sz w:val="20"/>
          <w:szCs w:val="20"/>
        </w:rPr>
        <w:t>Journal of Materials Research, 36</w:t>
      </w:r>
      <w:r w:rsidRPr="00963A27">
        <w:rPr>
          <w:rFonts w:ascii="Arial" w:hAnsi="Arial" w:cs="Arial"/>
          <w:sz w:val="20"/>
          <w:szCs w:val="20"/>
        </w:rPr>
        <w:t>, 3963–3973.</w:t>
      </w:r>
    </w:p>
    <w:p w14:paraId="09623C7F"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Troester, M. M., Hastriter, E. V., &amp; Ng, Y.-T. (2010). Dissolving oral clonazepam wafers in the acute treatment of prolonged seizures. </w:t>
      </w:r>
      <w:r w:rsidRPr="00963A27">
        <w:rPr>
          <w:rFonts w:ascii="Arial" w:hAnsi="Arial" w:cs="Arial"/>
          <w:i/>
          <w:iCs/>
          <w:sz w:val="20"/>
          <w:szCs w:val="20"/>
        </w:rPr>
        <w:t>Journal of Child Neurology, 25</w:t>
      </w:r>
      <w:r w:rsidRPr="00963A27">
        <w:rPr>
          <w:rFonts w:ascii="Arial" w:hAnsi="Arial" w:cs="Arial"/>
          <w:sz w:val="20"/>
          <w:szCs w:val="20"/>
        </w:rPr>
        <w:t xml:space="preserve">, 1468–1472. </w:t>
      </w:r>
      <w:hyperlink r:id="rId73" w:history="1">
        <w:r w:rsidRPr="00963A27">
          <w:rPr>
            <w:rStyle w:val="Hyperlink"/>
            <w:rFonts w:ascii="Arial" w:hAnsi="Arial" w:cs="Arial"/>
            <w:sz w:val="20"/>
            <w:szCs w:val="20"/>
          </w:rPr>
          <w:t>https://doi.org/10.1177/0883073810368312</w:t>
        </w:r>
      </w:hyperlink>
    </w:p>
    <w:p w14:paraId="18B782F8"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Hassan, N., Ali, M., &amp; Ali, J. (2010). Development and evaluation of novel buccoadhesive wafers of nimodipine for treatment of hypertension. </w:t>
      </w:r>
      <w:r w:rsidRPr="00963A27">
        <w:rPr>
          <w:rFonts w:ascii="Arial" w:hAnsi="Arial" w:cs="Arial"/>
          <w:i/>
          <w:iCs/>
          <w:sz w:val="20"/>
          <w:szCs w:val="20"/>
        </w:rPr>
        <w:t>Drug Delivery, 17</w:t>
      </w:r>
      <w:r w:rsidRPr="00963A27">
        <w:rPr>
          <w:rFonts w:ascii="Arial" w:hAnsi="Arial" w:cs="Arial"/>
          <w:sz w:val="20"/>
          <w:szCs w:val="20"/>
        </w:rPr>
        <w:t xml:space="preserve">(2), 59–67. </w:t>
      </w:r>
      <w:hyperlink r:id="rId74" w:history="1">
        <w:r w:rsidRPr="00963A27">
          <w:rPr>
            <w:rStyle w:val="Hyperlink"/>
            <w:rFonts w:ascii="Arial" w:hAnsi="Arial" w:cs="Arial"/>
            <w:sz w:val="20"/>
            <w:szCs w:val="20"/>
          </w:rPr>
          <w:t>https://doi.org/10.3109/10717540903508987</w:t>
        </w:r>
      </w:hyperlink>
    </w:p>
    <w:p w14:paraId="53282BB9"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Ahmed, A., Getti, G., &amp; Boateng, J. (2018). Ciprofloxacin-loaded calcium alginate wafers prepared by freeze-drying technique for potential healing of chronic diabetic foot ulcers. </w:t>
      </w:r>
      <w:r w:rsidRPr="00963A27">
        <w:rPr>
          <w:rFonts w:ascii="Arial" w:hAnsi="Arial" w:cs="Arial"/>
          <w:i/>
          <w:iCs/>
          <w:sz w:val="20"/>
          <w:szCs w:val="20"/>
        </w:rPr>
        <w:t>Drug Delivery and Translational Research, 8</w:t>
      </w:r>
      <w:r w:rsidRPr="00963A27">
        <w:rPr>
          <w:rFonts w:ascii="Arial" w:hAnsi="Arial" w:cs="Arial"/>
          <w:sz w:val="20"/>
          <w:szCs w:val="20"/>
        </w:rPr>
        <w:t>, 1751–1768.</w:t>
      </w:r>
    </w:p>
    <w:p w14:paraId="47224AEC"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lastRenderedPageBreak/>
        <w:t xml:space="preserve">Dhone, P. G., Pravin, Z., Madhusmita, S., Nilesh, G., &amp; Lalan, M. S. (2022). Formulation and evaluation of fast dissolving oral wafers of linagliptin. </w:t>
      </w:r>
      <w:r w:rsidRPr="00963A27">
        <w:rPr>
          <w:rFonts w:ascii="Arial" w:hAnsi="Arial" w:cs="Arial"/>
          <w:i/>
          <w:iCs/>
          <w:sz w:val="20"/>
          <w:szCs w:val="20"/>
        </w:rPr>
        <w:t>International Journal of Health Sciences, 6</w:t>
      </w:r>
      <w:r w:rsidRPr="00963A27">
        <w:rPr>
          <w:rFonts w:ascii="Arial" w:hAnsi="Arial" w:cs="Arial"/>
          <w:sz w:val="20"/>
          <w:szCs w:val="20"/>
        </w:rPr>
        <w:t xml:space="preserve">, 3630–3640. </w:t>
      </w:r>
      <w:hyperlink r:id="rId75" w:history="1">
        <w:r w:rsidRPr="00963A27">
          <w:rPr>
            <w:rStyle w:val="Hyperlink"/>
            <w:rFonts w:ascii="Arial" w:hAnsi="Arial" w:cs="Arial"/>
            <w:sz w:val="20"/>
            <w:szCs w:val="20"/>
          </w:rPr>
          <w:t>https://doi.org/10.53730/ijhs.v6ns5.9567</w:t>
        </w:r>
      </w:hyperlink>
    </w:p>
    <w:p w14:paraId="09A11D19"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Jeong, S., Lee, S., &amp; Kim, H. (2015). High-content fast dissolving film with masking of bitter taste comprising sildenafil as active ingredient. </w:t>
      </w:r>
      <w:r w:rsidRPr="00963A27">
        <w:rPr>
          <w:rFonts w:ascii="Arial" w:hAnsi="Arial" w:cs="Arial"/>
          <w:i/>
          <w:iCs/>
          <w:sz w:val="20"/>
          <w:szCs w:val="20"/>
        </w:rPr>
        <w:t>European Patent No. EP2821066A2</w:t>
      </w:r>
      <w:r w:rsidRPr="00963A27">
        <w:rPr>
          <w:rFonts w:ascii="Arial" w:hAnsi="Arial" w:cs="Arial"/>
          <w:sz w:val="20"/>
          <w:szCs w:val="20"/>
        </w:rPr>
        <w:t xml:space="preserve">. Available from: </w:t>
      </w:r>
      <w:hyperlink r:id="rId76" w:history="1">
        <w:r w:rsidRPr="00963A27">
          <w:rPr>
            <w:rStyle w:val="Hyperlink"/>
            <w:rFonts w:ascii="Arial" w:hAnsi="Arial" w:cs="Arial"/>
            <w:sz w:val="20"/>
            <w:szCs w:val="20"/>
          </w:rPr>
          <w:t>https://patents.google.com/patent/EP2821066A2/en</w:t>
        </w:r>
      </w:hyperlink>
    </w:p>
    <w:p w14:paraId="04E6080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Kim, H., Lee, S., &amp; Jeong, S. (2015). Fast-dissolving oral film preparation comprising aripiprazole. </w:t>
      </w:r>
      <w:r w:rsidRPr="00963A27">
        <w:rPr>
          <w:rFonts w:ascii="Arial" w:hAnsi="Arial" w:cs="Arial"/>
          <w:i/>
          <w:iCs/>
          <w:sz w:val="20"/>
          <w:szCs w:val="20"/>
        </w:rPr>
        <w:t>European Patent No. EP2883540</w:t>
      </w:r>
      <w:r w:rsidRPr="00963A27">
        <w:rPr>
          <w:rFonts w:ascii="Arial" w:hAnsi="Arial" w:cs="Arial"/>
          <w:sz w:val="20"/>
          <w:szCs w:val="20"/>
        </w:rPr>
        <w:t xml:space="preserve">. Available from: </w:t>
      </w:r>
      <w:hyperlink r:id="rId77" w:history="1">
        <w:r w:rsidRPr="00963A27">
          <w:rPr>
            <w:rStyle w:val="Hyperlink"/>
            <w:rFonts w:ascii="Arial" w:hAnsi="Arial" w:cs="Arial"/>
            <w:sz w:val="20"/>
            <w:szCs w:val="20"/>
          </w:rPr>
          <w:t>https://patents.google.com/patent/EP2883540/en</w:t>
        </w:r>
      </w:hyperlink>
    </w:p>
    <w:p w14:paraId="07CD9928"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Yang, W., Yu, L., &amp; Liu, X. (2014). Process for manufacturing a resulting pharmaceutical film. </w:t>
      </w:r>
      <w:r w:rsidRPr="00963A27">
        <w:rPr>
          <w:rFonts w:ascii="Arial" w:hAnsi="Arial" w:cs="Arial"/>
          <w:i/>
          <w:iCs/>
          <w:sz w:val="20"/>
          <w:szCs w:val="20"/>
        </w:rPr>
        <w:t>US Patent No. US8906277</w:t>
      </w:r>
      <w:r w:rsidRPr="00963A27">
        <w:rPr>
          <w:rFonts w:ascii="Arial" w:hAnsi="Arial" w:cs="Arial"/>
          <w:sz w:val="20"/>
          <w:szCs w:val="20"/>
        </w:rPr>
        <w:t xml:space="preserve">. Available from: </w:t>
      </w:r>
      <w:hyperlink r:id="rId78" w:history="1">
        <w:r w:rsidRPr="00963A27">
          <w:rPr>
            <w:rStyle w:val="Hyperlink"/>
            <w:rFonts w:ascii="Arial" w:hAnsi="Arial" w:cs="Arial"/>
            <w:sz w:val="20"/>
            <w:szCs w:val="20"/>
          </w:rPr>
          <w:t>https://patents.google.com/patent/US8906277/en</w:t>
        </w:r>
      </w:hyperlink>
    </w:p>
    <w:p w14:paraId="75794D00"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Schobel, U., Fischer, R., &amp; Dietz, F. (2014). pH-sensitive compounds in taste masking within oral thin film strips. </w:t>
      </w:r>
      <w:r w:rsidRPr="00963A27">
        <w:rPr>
          <w:rFonts w:ascii="Arial" w:hAnsi="Arial" w:cs="Arial"/>
          <w:i/>
          <w:iCs/>
          <w:sz w:val="20"/>
          <w:szCs w:val="20"/>
        </w:rPr>
        <w:t>European Patent No. EP2509631</w:t>
      </w:r>
      <w:r w:rsidRPr="00963A27">
        <w:rPr>
          <w:rFonts w:ascii="Arial" w:hAnsi="Arial" w:cs="Arial"/>
          <w:sz w:val="20"/>
          <w:szCs w:val="20"/>
        </w:rPr>
        <w:t xml:space="preserve">. Available from: </w:t>
      </w:r>
      <w:hyperlink r:id="rId79" w:history="1">
        <w:r w:rsidRPr="00963A27">
          <w:rPr>
            <w:rStyle w:val="Hyperlink"/>
            <w:rFonts w:ascii="Arial" w:hAnsi="Arial" w:cs="Arial"/>
            <w:sz w:val="20"/>
            <w:szCs w:val="20"/>
          </w:rPr>
          <w:t>https://patents.google.com/patent/EP2509631/en</w:t>
        </w:r>
      </w:hyperlink>
    </w:p>
    <w:p w14:paraId="498BDF0D"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Maibach, T. (2010). Film comprising nitroglycerin. </w:t>
      </w:r>
      <w:r w:rsidRPr="00963A27">
        <w:rPr>
          <w:rFonts w:ascii="Arial" w:hAnsi="Arial" w:cs="Arial"/>
          <w:i/>
          <w:iCs/>
          <w:sz w:val="20"/>
          <w:szCs w:val="20"/>
        </w:rPr>
        <w:t>US Patent No. US20100215774</w:t>
      </w:r>
      <w:r w:rsidRPr="00963A27">
        <w:rPr>
          <w:rFonts w:ascii="Arial" w:hAnsi="Arial" w:cs="Arial"/>
          <w:sz w:val="20"/>
          <w:szCs w:val="20"/>
        </w:rPr>
        <w:t xml:space="preserve">. Available from: </w:t>
      </w:r>
      <w:hyperlink r:id="rId80" w:history="1">
        <w:r w:rsidRPr="00963A27">
          <w:rPr>
            <w:rStyle w:val="Hyperlink"/>
            <w:rFonts w:ascii="Arial" w:hAnsi="Arial" w:cs="Arial"/>
            <w:sz w:val="20"/>
            <w:szCs w:val="20"/>
          </w:rPr>
          <w:t>https://patents.google.com/patent/US20100215774/en</w:t>
        </w:r>
      </w:hyperlink>
    </w:p>
    <w:p w14:paraId="15F8DEDA"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Meathrelet, R., Desai, K., &amp; Gao, P. (2010). Disintegrable films for diagnostic devices. </w:t>
      </w:r>
      <w:r w:rsidRPr="00963A27">
        <w:rPr>
          <w:rFonts w:ascii="Arial" w:hAnsi="Arial" w:cs="Arial"/>
          <w:i/>
          <w:iCs/>
          <w:sz w:val="20"/>
          <w:szCs w:val="20"/>
        </w:rPr>
        <w:t>US Patent No. US7727466</w:t>
      </w:r>
      <w:r w:rsidRPr="00963A27">
        <w:rPr>
          <w:rFonts w:ascii="Arial" w:hAnsi="Arial" w:cs="Arial"/>
          <w:sz w:val="20"/>
          <w:szCs w:val="20"/>
        </w:rPr>
        <w:t xml:space="preserve">. Available from: </w:t>
      </w:r>
      <w:hyperlink r:id="rId81" w:history="1">
        <w:r w:rsidRPr="00963A27">
          <w:rPr>
            <w:rStyle w:val="Hyperlink"/>
            <w:rFonts w:ascii="Arial" w:hAnsi="Arial" w:cs="Arial"/>
            <w:sz w:val="20"/>
            <w:szCs w:val="20"/>
          </w:rPr>
          <w:t>https://patents.google.com/patent/US7727466/en</w:t>
        </w:r>
      </w:hyperlink>
    </w:p>
    <w:p w14:paraId="0789FE9B"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Berry, T., Holland, N., &amp; Davidson, J. (2007). Thin film strip. </w:t>
      </w:r>
      <w:r w:rsidRPr="00963A27">
        <w:rPr>
          <w:rFonts w:ascii="Arial" w:hAnsi="Arial" w:cs="Arial"/>
          <w:i/>
          <w:iCs/>
          <w:sz w:val="20"/>
          <w:szCs w:val="20"/>
        </w:rPr>
        <w:t>US Patent No. US7241411</w:t>
      </w:r>
      <w:r w:rsidRPr="00963A27">
        <w:rPr>
          <w:rFonts w:ascii="Arial" w:hAnsi="Arial" w:cs="Arial"/>
          <w:sz w:val="20"/>
          <w:szCs w:val="20"/>
        </w:rPr>
        <w:t xml:space="preserve">. Available from: </w:t>
      </w:r>
      <w:hyperlink r:id="rId82" w:history="1">
        <w:r w:rsidRPr="00963A27">
          <w:rPr>
            <w:rStyle w:val="Hyperlink"/>
            <w:rFonts w:ascii="Arial" w:hAnsi="Arial" w:cs="Arial"/>
            <w:sz w:val="20"/>
            <w:szCs w:val="20"/>
          </w:rPr>
          <w:t>https://patents.google.com/patent/US7241411/en</w:t>
        </w:r>
      </w:hyperlink>
    </w:p>
    <w:p w14:paraId="53F936A1"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Modi, P. (2008). Wafer formulation. </w:t>
      </w:r>
      <w:r w:rsidRPr="00963A27">
        <w:rPr>
          <w:rFonts w:ascii="Arial" w:hAnsi="Arial" w:cs="Arial"/>
          <w:i/>
          <w:iCs/>
          <w:sz w:val="20"/>
          <w:szCs w:val="20"/>
        </w:rPr>
        <w:t>US Patent No. US8623401B2</w:t>
      </w:r>
      <w:r w:rsidRPr="00963A27">
        <w:rPr>
          <w:rFonts w:ascii="Arial" w:hAnsi="Arial" w:cs="Arial"/>
          <w:sz w:val="20"/>
          <w:szCs w:val="20"/>
        </w:rPr>
        <w:t xml:space="preserve">. Available from: </w:t>
      </w:r>
      <w:hyperlink r:id="rId83" w:history="1">
        <w:r w:rsidRPr="00963A27">
          <w:rPr>
            <w:rStyle w:val="Hyperlink"/>
            <w:rFonts w:ascii="Arial" w:hAnsi="Arial" w:cs="Arial"/>
            <w:sz w:val="20"/>
            <w:szCs w:val="20"/>
          </w:rPr>
          <w:t>https://patents.google.com/patent/US8623401B2/en</w:t>
        </w:r>
      </w:hyperlink>
    </w:p>
    <w:p w14:paraId="1AB1B2C8"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Podhaisky, H. (2007). Film-shaped drug form for oral administration (wafer). </w:t>
      </w:r>
      <w:r w:rsidRPr="00963A27">
        <w:rPr>
          <w:rFonts w:ascii="Arial" w:hAnsi="Arial" w:cs="Arial"/>
          <w:i/>
          <w:iCs/>
          <w:sz w:val="20"/>
          <w:szCs w:val="20"/>
        </w:rPr>
        <w:t>US Patent No. US20070292479A1</w:t>
      </w:r>
      <w:r w:rsidRPr="00963A27">
        <w:rPr>
          <w:rFonts w:ascii="Arial" w:hAnsi="Arial" w:cs="Arial"/>
          <w:sz w:val="20"/>
          <w:szCs w:val="20"/>
        </w:rPr>
        <w:t xml:space="preserve">. Available from: </w:t>
      </w:r>
      <w:hyperlink r:id="rId84" w:history="1">
        <w:r w:rsidRPr="00963A27">
          <w:rPr>
            <w:rStyle w:val="Hyperlink"/>
            <w:rFonts w:ascii="Arial" w:hAnsi="Arial" w:cs="Arial"/>
            <w:sz w:val="20"/>
            <w:szCs w:val="20"/>
          </w:rPr>
          <w:t>https://patents.google.com/patent/US20070292479A1/en</w:t>
        </w:r>
      </w:hyperlink>
    </w:p>
    <w:p w14:paraId="2E245289" w14:textId="77777777" w:rsidR="004358A5" w:rsidRPr="00963A27" w:rsidRDefault="004358A5" w:rsidP="00882252">
      <w:pPr>
        <w:pStyle w:val="ListParagraph"/>
        <w:numPr>
          <w:ilvl w:val="0"/>
          <w:numId w:val="68"/>
        </w:numPr>
        <w:spacing w:line="360" w:lineRule="auto"/>
        <w:jc w:val="both"/>
        <w:rPr>
          <w:rFonts w:ascii="Arial" w:hAnsi="Arial" w:cs="Arial"/>
          <w:sz w:val="20"/>
          <w:szCs w:val="20"/>
        </w:rPr>
      </w:pPr>
      <w:r w:rsidRPr="00963A27">
        <w:rPr>
          <w:rFonts w:ascii="Arial" w:hAnsi="Arial" w:cs="Arial"/>
          <w:sz w:val="20"/>
          <w:szCs w:val="20"/>
        </w:rPr>
        <w:t xml:space="preserve">Dey, P., &amp; Ghosh, A. (2016). Wafers: An innovative advancement of orodispersible films. </w:t>
      </w:r>
      <w:r w:rsidRPr="00963A27">
        <w:rPr>
          <w:rFonts w:ascii="Arial" w:hAnsi="Arial" w:cs="Arial"/>
          <w:i/>
          <w:iCs/>
          <w:sz w:val="20"/>
          <w:szCs w:val="20"/>
        </w:rPr>
        <w:t>International Journal of Applied Pharmaceutics, 8</w:t>
      </w:r>
      <w:r w:rsidRPr="00963A27">
        <w:rPr>
          <w:rFonts w:ascii="Arial" w:hAnsi="Arial" w:cs="Arial"/>
          <w:sz w:val="20"/>
          <w:szCs w:val="20"/>
        </w:rPr>
        <w:t>(2), 16–22.</w:t>
      </w:r>
    </w:p>
    <w:p w14:paraId="2D9DA601" w14:textId="77777777" w:rsidR="004358A5" w:rsidRPr="00963A27" w:rsidRDefault="004358A5" w:rsidP="00956427">
      <w:pPr>
        <w:pStyle w:val="ListParagraph"/>
        <w:spacing w:line="360" w:lineRule="auto"/>
        <w:ind w:left="0"/>
        <w:jc w:val="both"/>
        <w:rPr>
          <w:rFonts w:ascii="Arial" w:hAnsi="Arial" w:cs="Arial"/>
        </w:rPr>
      </w:pPr>
    </w:p>
    <w:p w14:paraId="13F63B06" w14:textId="77777777" w:rsidR="004358A5" w:rsidRPr="00963A27" w:rsidRDefault="004358A5" w:rsidP="00956427">
      <w:pPr>
        <w:spacing w:line="360" w:lineRule="auto"/>
        <w:jc w:val="both"/>
        <w:rPr>
          <w:rFonts w:ascii="Arial" w:hAnsi="Arial" w:cs="Arial"/>
        </w:rPr>
      </w:pPr>
    </w:p>
    <w:p w14:paraId="515EF14E" w14:textId="77777777" w:rsidR="004358A5" w:rsidRPr="00963A27" w:rsidRDefault="004358A5" w:rsidP="00956427">
      <w:pPr>
        <w:spacing w:line="360" w:lineRule="auto"/>
        <w:jc w:val="both"/>
        <w:rPr>
          <w:rFonts w:ascii="Arial" w:hAnsi="Arial" w:cs="Arial"/>
          <w:sz w:val="24"/>
          <w:szCs w:val="24"/>
        </w:rPr>
      </w:pPr>
    </w:p>
    <w:p w14:paraId="4DEFD854" w14:textId="77777777" w:rsidR="002A350C" w:rsidRPr="00963A27" w:rsidRDefault="002A350C" w:rsidP="00956427">
      <w:pPr>
        <w:spacing w:line="360" w:lineRule="auto"/>
        <w:jc w:val="both"/>
        <w:rPr>
          <w:rFonts w:ascii="Arial" w:hAnsi="Arial" w:cs="Arial"/>
          <w:sz w:val="24"/>
          <w:szCs w:val="24"/>
        </w:rPr>
      </w:pPr>
    </w:p>
    <w:sectPr w:rsidR="002A350C" w:rsidRPr="00963A27">
      <w:headerReference w:type="even" r:id="rId85"/>
      <w:headerReference w:type="default" r:id="rId86"/>
      <w:footerReference w:type="even" r:id="rId87"/>
      <w:footerReference w:type="default" r:id="rId88"/>
      <w:headerReference w:type="first" r:id="rId89"/>
      <w:footerReference w:type="firs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4D3A0" w14:textId="77777777" w:rsidR="0056045B" w:rsidRDefault="0056045B" w:rsidP="00C01C27">
      <w:pPr>
        <w:spacing w:after="0" w:line="240" w:lineRule="auto"/>
      </w:pPr>
      <w:r>
        <w:separator/>
      </w:r>
    </w:p>
  </w:endnote>
  <w:endnote w:type="continuationSeparator" w:id="0">
    <w:p w14:paraId="67D9975D" w14:textId="77777777" w:rsidR="0056045B" w:rsidRDefault="0056045B" w:rsidP="00C01C27">
      <w:pPr>
        <w:spacing w:after="0" w:line="240" w:lineRule="auto"/>
      </w:pPr>
      <w:r>
        <w:continuationSeparator/>
      </w:r>
    </w:p>
  </w:endnote>
  <w:endnote w:type="continuationNotice" w:id="1">
    <w:p w14:paraId="48DF7391" w14:textId="77777777" w:rsidR="0056045B" w:rsidRDefault="005604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6F90" w14:textId="77777777" w:rsidR="000658CD" w:rsidRDefault="00065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AB05B" w14:textId="75616808" w:rsidR="00666BD3" w:rsidRPr="00B334E7" w:rsidRDefault="00251130" w:rsidP="00B334E7">
    <w:pPr>
      <w:pStyle w:val="Footer"/>
    </w:pPr>
    <w:r w:rsidRPr="00B334E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E798" w14:textId="77777777" w:rsidR="000658CD" w:rsidRDefault="00065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C055E" w14:textId="77777777" w:rsidR="0056045B" w:rsidRDefault="0056045B" w:rsidP="00C01C27">
      <w:pPr>
        <w:spacing w:after="0" w:line="240" w:lineRule="auto"/>
      </w:pPr>
      <w:r>
        <w:separator/>
      </w:r>
    </w:p>
  </w:footnote>
  <w:footnote w:type="continuationSeparator" w:id="0">
    <w:p w14:paraId="53BAEB8B" w14:textId="77777777" w:rsidR="0056045B" w:rsidRDefault="0056045B" w:rsidP="00C01C27">
      <w:pPr>
        <w:spacing w:after="0" w:line="240" w:lineRule="auto"/>
      </w:pPr>
      <w:r>
        <w:continuationSeparator/>
      </w:r>
    </w:p>
  </w:footnote>
  <w:footnote w:type="continuationNotice" w:id="1">
    <w:p w14:paraId="0C4281B0" w14:textId="77777777" w:rsidR="0056045B" w:rsidRDefault="005604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760F9" w14:textId="11DD925F" w:rsidR="000658CD" w:rsidRDefault="00000000">
    <w:pPr>
      <w:pStyle w:val="Header"/>
    </w:pPr>
    <w:r>
      <w:rPr>
        <w:noProof/>
      </w:rPr>
      <w:pict w14:anchorId="74D10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31922" o:spid="_x0000_s1026" type="#_x0000_t136" style="position:absolute;margin-left:0;margin-top:0;width:535.8pt;height:100.4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EE28" w14:textId="7ED481E3" w:rsidR="000658CD" w:rsidRDefault="00000000">
    <w:pPr>
      <w:pStyle w:val="Header"/>
    </w:pPr>
    <w:r>
      <w:rPr>
        <w:noProof/>
      </w:rPr>
      <w:pict w14:anchorId="178FB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31923" o:spid="_x0000_s1027" type="#_x0000_t136" style="position:absolute;margin-left:0;margin-top:0;width:535.8pt;height:100.4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A295B" w14:textId="696A76B1" w:rsidR="000658CD" w:rsidRDefault="00000000">
    <w:pPr>
      <w:pStyle w:val="Header"/>
    </w:pPr>
    <w:r>
      <w:rPr>
        <w:noProof/>
      </w:rPr>
      <w:pict w14:anchorId="78261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31921" o:spid="_x0000_s1025"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D59"/>
    <w:multiLevelType w:val="hybridMultilevel"/>
    <w:tmpl w:val="3CC82838"/>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 w15:restartNumberingAfterBreak="0">
    <w:nsid w:val="06581240"/>
    <w:multiLevelType w:val="multilevel"/>
    <w:tmpl w:val="4009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DA19EA"/>
    <w:multiLevelType w:val="hybridMultilevel"/>
    <w:tmpl w:val="BD5CEEEC"/>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 w15:restartNumberingAfterBreak="0">
    <w:nsid w:val="0A156A13"/>
    <w:multiLevelType w:val="hybridMultilevel"/>
    <w:tmpl w:val="328801F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A7423E3"/>
    <w:multiLevelType w:val="hybridMultilevel"/>
    <w:tmpl w:val="36AE209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0226F4"/>
    <w:multiLevelType w:val="multilevel"/>
    <w:tmpl w:val="C79E8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057AB"/>
    <w:multiLevelType w:val="hybridMultilevel"/>
    <w:tmpl w:val="E3AE0B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21E4261"/>
    <w:multiLevelType w:val="multilevel"/>
    <w:tmpl w:val="712A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C37FF"/>
    <w:multiLevelType w:val="multilevel"/>
    <w:tmpl w:val="FA0AF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A72217"/>
    <w:multiLevelType w:val="multilevel"/>
    <w:tmpl w:val="1FB4C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1E7D0E"/>
    <w:multiLevelType w:val="multilevel"/>
    <w:tmpl w:val="EDD80A2C"/>
    <w:styleLink w:val="Style5"/>
    <w:lvl w:ilvl="0">
      <w:start w:val="6"/>
      <w:numFmt w:val="decimal"/>
      <w:lvlText w:val="%1"/>
      <w:lvlJc w:val="left"/>
      <w:pPr>
        <w:ind w:left="360" w:hanging="360"/>
      </w:pPr>
      <w:rPr>
        <w:rFonts w:hint="default"/>
      </w:rPr>
    </w:lvl>
    <w:lvl w:ilvl="1">
      <w:start w:val="1"/>
      <w:numFmt w:val="decimal"/>
      <w:lvlText w:val="5.%2"/>
      <w:lvlJc w:val="left"/>
      <w:pPr>
        <w:ind w:left="720" w:hanging="360"/>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51B5FEA"/>
    <w:multiLevelType w:val="hybridMultilevel"/>
    <w:tmpl w:val="B1CC82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5B501BE"/>
    <w:multiLevelType w:val="multilevel"/>
    <w:tmpl w:val="CEB24148"/>
    <w:styleLink w:val="Style4"/>
    <w:lvl w:ilvl="0">
      <w:start w:val="3"/>
      <w:numFmt w:val="decimal"/>
      <w:lvlText w:val="%1."/>
      <w:lvlJc w:val="left"/>
      <w:pPr>
        <w:ind w:left="360" w:hanging="360"/>
      </w:pPr>
      <w:rPr>
        <w:rFonts w:hint="default"/>
        <w:b/>
        <w:bCs/>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64A421F"/>
    <w:multiLevelType w:val="multilevel"/>
    <w:tmpl w:val="DE8C61D0"/>
    <w:lvl w:ilvl="0">
      <w:start w:val="4"/>
      <w:numFmt w:val="decimal"/>
      <w:lvlText w:val="%1."/>
      <w:lvlJc w:val="left"/>
      <w:pPr>
        <w:ind w:left="360" w:hanging="360"/>
      </w:pPr>
      <w:rPr>
        <w:rFonts w:hint="default"/>
        <w:b/>
        <w:bCs/>
        <w:i w:val="0"/>
        <w:sz w:val="22"/>
        <w:szCs w:val="22"/>
        <w:vertAlign w:val="baseline"/>
      </w:rPr>
    </w:lvl>
    <w:lvl w:ilvl="1">
      <w:start w:val="1"/>
      <w:numFmt w:val="decimal"/>
      <w:lvlText w:val="%1.%2."/>
      <w:lvlJc w:val="left"/>
      <w:pPr>
        <w:ind w:left="128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7B64524"/>
    <w:multiLevelType w:val="multilevel"/>
    <w:tmpl w:val="5C40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A47CAC"/>
    <w:multiLevelType w:val="multilevel"/>
    <w:tmpl w:val="FF60B660"/>
    <w:lvl w:ilvl="0">
      <w:start w:val="4"/>
      <w:numFmt w:val="decimal"/>
      <w:lvlText w:val="%1."/>
      <w:lvlJc w:val="left"/>
      <w:pPr>
        <w:ind w:left="360" w:hanging="360"/>
      </w:pPr>
      <w:rPr>
        <w:rFonts w:hint="default"/>
        <w:b/>
        <w:bCs/>
        <w:i w:val="0"/>
        <w:sz w:val="20"/>
        <w:szCs w:val="20"/>
        <w:vertAlign w:val="baseline"/>
      </w:rPr>
    </w:lvl>
    <w:lvl w:ilvl="1">
      <w:start w:val="3"/>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2D5D72"/>
    <w:multiLevelType w:val="hybridMultilevel"/>
    <w:tmpl w:val="772C58D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7" w15:restartNumberingAfterBreak="0">
    <w:nsid w:val="201324AF"/>
    <w:multiLevelType w:val="hybridMultilevel"/>
    <w:tmpl w:val="0338EEE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8" w15:restartNumberingAfterBreak="0">
    <w:nsid w:val="23006C7A"/>
    <w:multiLevelType w:val="hybridMultilevel"/>
    <w:tmpl w:val="9A74EF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241A27F8"/>
    <w:multiLevelType w:val="multilevel"/>
    <w:tmpl w:val="40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7576D53"/>
    <w:multiLevelType w:val="multilevel"/>
    <w:tmpl w:val="A924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A12FE3"/>
    <w:multiLevelType w:val="multilevel"/>
    <w:tmpl w:val="4009001F"/>
    <w:styleLink w:val="Style11"/>
    <w:lvl w:ilvl="0">
      <w:start w:val="5"/>
      <w:numFmt w:val="decimal"/>
      <w:lvlText w:val="%1."/>
      <w:lvlJc w:val="left"/>
      <w:pPr>
        <w:ind w:left="360" w:hanging="360"/>
      </w:pPr>
      <w:rPr>
        <w:rFonts w:hint="default"/>
        <w:b/>
        <w:bCs/>
        <w:i w:val="0"/>
        <w:sz w:val="28"/>
        <w:szCs w:val="28"/>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AA373E9"/>
    <w:multiLevelType w:val="hybridMultilevel"/>
    <w:tmpl w:val="298C35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B9B0292"/>
    <w:multiLevelType w:val="multilevel"/>
    <w:tmpl w:val="4009001F"/>
    <w:styleLink w:val="Style1"/>
    <w:lvl w:ilvl="0">
      <w:start w:val="4"/>
      <w:numFmt w:val="decimal"/>
      <w:lvlText w:val="%1."/>
      <w:lvlJc w:val="left"/>
      <w:pPr>
        <w:ind w:left="360" w:hanging="360"/>
      </w:pPr>
      <w:rPr>
        <w:rFonts w:hint="default"/>
        <w:b/>
        <w:bCs/>
        <w:i w:val="0"/>
        <w:sz w:val="20"/>
        <w:szCs w:val="20"/>
        <w:vertAlign w:val="baseline"/>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E00724F"/>
    <w:multiLevelType w:val="multilevel"/>
    <w:tmpl w:val="4009001F"/>
    <w:styleLink w:val="Style10"/>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E035CCB"/>
    <w:multiLevelType w:val="multilevel"/>
    <w:tmpl w:val="BBE48F6E"/>
    <w:lvl w:ilvl="0">
      <w:start w:val="6"/>
      <w:numFmt w:val="decimal"/>
      <w:lvlText w:val="%1."/>
      <w:lvlJc w:val="left"/>
      <w:pPr>
        <w:ind w:left="360" w:hanging="360"/>
      </w:pPr>
      <w:rPr>
        <w:rFonts w:hint="default"/>
        <w:b/>
        <w:bCs/>
        <w:i w:val="0"/>
        <w:sz w:val="22"/>
        <w:szCs w:val="22"/>
        <w:vertAlign w:val="baseline"/>
      </w:rPr>
    </w:lvl>
    <w:lvl w:ilvl="1">
      <w:start w:val="1"/>
      <w:numFmt w:val="none"/>
      <w:lvlText w:val="5.3"/>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14F5C14"/>
    <w:multiLevelType w:val="hybridMultilevel"/>
    <w:tmpl w:val="7E668AA4"/>
    <w:lvl w:ilvl="0" w:tplc="40090005">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7" w15:restartNumberingAfterBreak="0">
    <w:nsid w:val="32423FB2"/>
    <w:multiLevelType w:val="hybridMultilevel"/>
    <w:tmpl w:val="A4944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5C7521F"/>
    <w:multiLevelType w:val="multilevel"/>
    <w:tmpl w:val="AFD05C48"/>
    <w:lvl w:ilvl="0">
      <w:start w:val="1"/>
      <w:numFmt w:val="bullet"/>
      <w:lvlText w:val=""/>
      <w:lvlJc w:val="left"/>
      <w:pPr>
        <w:ind w:left="360" w:hanging="360"/>
      </w:pPr>
      <w:rPr>
        <w:rFonts w:ascii="Symbol" w:hAnsi="Symbol" w:hint="default"/>
        <w:b/>
        <w:bCs/>
        <w:i w:val="0"/>
        <w:sz w:val="20"/>
        <w:szCs w:val="20"/>
        <w:vertAlign w:val="baseline"/>
      </w:rPr>
    </w:lvl>
    <w:lvl w:ilvl="1">
      <w:start w:val="2"/>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6CA1A95"/>
    <w:multiLevelType w:val="multilevel"/>
    <w:tmpl w:val="A71E98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E945A6"/>
    <w:multiLevelType w:val="hybridMultilevel"/>
    <w:tmpl w:val="7D1897F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1" w15:restartNumberingAfterBreak="0">
    <w:nsid w:val="3815464D"/>
    <w:multiLevelType w:val="multilevel"/>
    <w:tmpl w:val="D206A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721ACA"/>
    <w:multiLevelType w:val="multilevel"/>
    <w:tmpl w:val="4009001D"/>
    <w:styleLink w:val="Style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8BB2402"/>
    <w:multiLevelType w:val="multilevel"/>
    <w:tmpl w:val="6C3A5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442B33"/>
    <w:multiLevelType w:val="hybridMultilevel"/>
    <w:tmpl w:val="23A23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9634153"/>
    <w:multiLevelType w:val="hybridMultilevel"/>
    <w:tmpl w:val="84B6E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C832F9D"/>
    <w:multiLevelType w:val="multilevel"/>
    <w:tmpl w:val="9EB6460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D1E66E9"/>
    <w:multiLevelType w:val="multilevel"/>
    <w:tmpl w:val="A32441FC"/>
    <w:lvl w:ilvl="0">
      <w:start w:val="5"/>
      <w:numFmt w:val="decimal"/>
      <w:lvlText w:val="%1."/>
      <w:lvlJc w:val="left"/>
      <w:pPr>
        <w:ind w:left="360" w:hanging="360"/>
      </w:pPr>
      <w:rPr>
        <w:rFonts w:hint="default"/>
        <w:b/>
        <w:bCs/>
        <w:i w:val="0"/>
        <w:sz w:val="28"/>
        <w:szCs w:val="28"/>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D800665"/>
    <w:multiLevelType w:val="hybridMultilevel"/>
    <w:tmpl w:val="FE5819F6"/>
    <w:lvl w:ilvl="0" w:tplc="ED7AFD54">
      <w:start w:val="1"/>
      <w:numFmt w:val="decimal"/>
      <w:lvlText w:val="%1. "/>
      <w:lvlJc w:val="left"/>
      <w:pPr>
        <w:ind w:left="720" w:hanging="360"/>
      </w:pPr>
      <w:rPr>
        <w:rFonts w:ascii="Helvetica" w:hAnsi="Helvetica" w:hint="default"/>
        <w:b w:val="0"/>
        <w:i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DC86483"/>
    <w:multiLevelType w:val="hybridMultilevel"/>
    <w:tmpl w:val="9112C23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3F765311"/>
    <w:multiLevelType w:val="hybridMultilevel"/>
    <w:tmpl w:val="4850A35A"/>
    <w:lvl w:ilvl="0" w:tplc="40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3FC47711"/>
    <w:multiLevelType w:val="multilevel"/>
    <w:tmpl w:val="D9485280"/>
    <w:styleLink w:val="Style9"/>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3276ED9"/>
    <w:multiLevelType w:val="multilevel"/>
    <w:tmpl w:val="4009001F"/>
    <w:styleLink w:val="Style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344474D"/>
    <w:multiLevelType w:val="multilevel"/>
    <w:tmpl w:val="9EB64600"/>
    <w:styleLink w:val="Style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53E3155"/>
    <w:multiLevelType w:val="multilevel"/>
    <w:tmpl w:val="CEB24148"/>
    <w:numStyleLink w:val="Style4"/>
  </w:abstractNum>
  <w:abstractNum w:abstractNumId="45" w15:restartNumberingAfterBreak="0">
    <w:nsid w:val="455213CE"/>
    <w:multiLevelType w:val="multilevel"/>
    <w:tmpl w:val="0116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A5592D"/>
    <w:multiLevelType w:val="hybridMultilevel"/>
    <w:tmpl w:val="CB4CA602"/>
    <w:lvl w:ilvl="0" w:tplc="D03E6BEE">
      <w:start w:val="9"/>
      <w:numFmt w:val="decimal"/>
      <w:lvlText w:val="%1."/>
      <w:lvlJc w:val="left"/>
      <w:pPr>
        <w:ind w:left="475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DA5E22"/>
    <w:multiLevelType w:val="multilevel"/>
    <w:tmpl w:val="D9485280"/>
    <w:numStyleLink w:val="Style9"/>
  </w:abstractNum>
  <w:abstractNum w:abstractNumId="48" w15:restartNumberingAfterBreak="0">
    <w:nsid w:val="4C5A617A"/>
    <w:multiLevelType w:val="multilevel"/>
    <w:tmpl w:val="5006784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BD724D"/>
    <w:multiLevelType w:val="multilevel"/>
    <w:tmpl w:val="4EC2BBE0"/>
    <w:lvl w:ilvl="0">
      <w:start w:val="4"/>
      <w:numFmt w:val="decimal"/>
      <w:lvlText w:val="%1."/>
      <w:lvlJc w:val="left"/>
      <w:pPr>
        <w:ind w:left="360" w:hanging="360"/>
      </w:pPr>
      <w:rPr>
        <w:rFonts w:hint="default"/>
        <w:b/>
        <w:bCs/>
        <w:i w:val="0"/>
        <w:sz w:val="20"/>
        <w:szCs w:val="20"/>
        <w:vertAlign w:val="baseline"/>
      </w:rPr>
    </w:lvl>
    <w:lvl w:ilvl="1">
      <w:start w:val="2"/>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F5E7C1C"/>
    <w:multiLevelType w:val="hybridMultilevel"/>
    <w:tmpl w:val="01DE1B8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1" w15:restartNumberingAfterBreak="0">
    <w:nsid w:val="50D82E77"/>
    <w:multiLevelType w:val="hybridMultilevel"/>
    <w:tmpl w:val="7E1C6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52183689"/>
    <w:multiLevelType w:val="multilevel"/>
    <w:tmpl w:val="C79E8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984F7D"/>
    <w:multiLevelType w:val="hybridMultilevel"/>
    <w:tmpl w:val="DD720604"/>
    <w:lvl w:ilvl="0" w:tplc="D034FBDA">
      <w:start w:val="4"/>
      <w:numFmt w:val="decimal"/>
      <w:lvlText w:val="5.%1"/>
      <w:lvlJc w:val="left"/>
      <w:pPr>
        <w:ind w:left="720" w:hanging="360"/>
      </w:pPr>
      <w:rPr>
        <w:rFonts w:hint="default"/>
        <w:b/>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79064A3"/>
    <w:multiLevelType w:val="multilevel"/>
    <w:tmpl w:val="C79E8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FD43BC"/>
    <w:multiLevelType w:val="hybridMultilevel"/>
    <w:tmpl w:val="A3A0A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5DFE282C"/>
    <w:multiLevelType w:val="multilevel"/>
    <w:tmpl w:val="D2FEF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13530D"/>
    <w:multiLevelType w:val="multilevel"/>
    <w:tmpl w:val="8072FA22"/>
    <w:lvl w:ilvl="0">
      <w:start w:val="5"/>
      <w:numFmt w:val="decimal"/>
      <w:lvlText w:val="%1."/>
      <w:lvlJc w:val="left"/>
      <w:pPr>
        <w:ind w:left="360" w:hanging="360"/>
      </w:pPr>
      <w:rPr>
        <w:rFonts w:hint="default"/>
        <w:b/>
        <w:bCs/>
        <w:i w:val="0"/>
        <w:sz w:val="22"/>
        <w:szCs w:val="22"/>
        <w:vertAlign w:val="baseline"/>
      </w:rPr>
    </w:lvl>
    <w:lvl w:ilvl="1">
      <w:start w:val="1"/>
      <w:numFmt w:val="decimal"/>
      <w:lvlText w:val="%1.%2."/>
      <w:lvlJc w:val="left"/>
      <w:pPr>
        <w:ind w:left="128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0043AD9"/>
    <w:multiLevelType w:val="multilevel"/>
    <w:tmpl w:val="9EB64600"/>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02377E0"/>
    <w:multiLevelType w:val="multilevel"/>
    <w:tmpl w:val="43B2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9C7263"/>
    <w:multiLevelType w:val="hybridMultilevel"/>
    <w:tmpl w:val="59769F5C"/>
    <w:lvl w:ilvl="0" w:tplc="FFFFFFFF">
      <w:start w:val="1"/>
      <w:numFmt w:val="decimal"/>
      <w:lvlText w:val="%1."/>
      <w:lvlJc w:val="left"/>
      <w:pPr>
        <w:ind w:left="475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2F762CC"/>
    <w:multiLevelType w:val="multilevel"/>
    <w:tmpl w:val="18BC54CE"/>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4EE41D4"/>
    <w:multiLevelType w:val="multilevel"/>
    <w:tmpl w:val="D272DA12"/>
    <w:lvl w:ilvl="0">
      <w:start w:val="4"/>
      <w:numFmt w:val="decimal"/>
      <w:lvlText w:val="%1."/>
      <w:lvlJc w:val="left"/>
      <w:pPr>
        <w:ind w:left="360" w:hanging="360"/>
      </w:pPr>
      <w:rPr>
        <w:rFonts w:hint="default"/>
        <w:b/>
        <w:bCs/>
        <w:i w:val="0"/>
        <w:sz w:val="20"/>
        <w:szCs w:val="20"/>
        <w:vertAlign w:val="baseline"/>
      </w:rPr>
    </w:lvl>
    <w:lvl w:ilvl="1">
      <w:start w:val="4"/>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7335D85"/>
    <w:multiLevelType w:val="multilevel"/>
    <w:tmpl w:val="1AE4E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7876DB2"/>
    <w:multiLevelType w:val="hybridMultilevel"/>
    <w:tmpl w:val="3882612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65" w15:restartNumberingAfterBreak="0">
    <w:nsid w:val="6BB000AB"/>
    <w:multiLevelType w:val="hybridMultilevel"/>
    <w:tmpl w:val="E03CEAC8"/>
    <w:lvl w:ilvl="0" w:tplc="A440B56A">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D843E21"/>
    <w:multiLevelType w:val="hybridMultilevel"/>
    <w:tmpl w:val="8458ADF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7" w15:restartNumberingAfterBreak="0">
    <w:nsid w:val="6F78226C"/>
    <w:multiLevelType w:val="hybridMultilevel"/>
    <w:tmpl w:val="FB0CA726"/>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68" w15:restartNumberingAfterBreak="0">
    <w:nsid w:val="703E40D7"/>
    <w:multiLevelType w:val="hybridMultilevel"/>
    <w:tmpl w:val="698C97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15943F7"/>
    <w:multiLevelType w:val="hybridMultilevel"/>
    <w:tmpl w:val="2594109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0" w15:restartNumberingAfterBreak="0">
    <w:nsid w:val="73566B2C"/>
    <w:multiLevelType w:val="multilevel"/>
    <w:tmpl w:val="9D78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FE1CA7"/>
    <w:multiLevelType w:val="multilevel"/>
    <w:tmpl w:val="D4B8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647E41"/>
    <w:multiLevelType w:val="multilevel"/>
    <w:tmpl w:val="8AF8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EF62B6"/>
    <w:multiLevelType w:val="multilevel"/>
    <w:tmpl w:val="E5B62C20"/>
    <w:lvl w:ilvl="0">
      <w:start w:val="1"/>
      <w:numFmt w:val="decimal"/>
      <w:lvlText w:val="%1."/>
      <w:lvlJc w:val="left"/>
      <w:pPr>
        <w:ind w:left="360" w:hanging="360"/>
      </w:pPr>
      <w:rPr>
        <w:rFonts w:hint="default"/>
        <w:b/>
        <w:bCs/>
        <w:i w:val="0"/>
        <w:sz w:val="22"/>
        <w:szCs w:val="22"/>
        <w:vertAlign w:val="baseline"/>
      </w:rPr>
    </w:lvl>
    <w:lvl w:ilvl="1">
      <w:start w:val="2"/>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A56151E"/>
    <w:multiLevelType w:val="multilevel"/>
    <w:tmpl w:val="EA9C17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DEF18C6"/>
    <w:multiLevelType w:val="multilevel"/>
    <w:tmpl w:val="5986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0042286">
    <w:abstractNumId w:val="73"/>
  </w:num>
  <w:num w:numId="2" w16cid:durableId="516233080">
    <w:abstractNumId w:val="51"/>
  </w:num>
  <w:num w:numId="3" w16cid:durableId="1370453653">
    <w:abstractNumId w:val="13"/>
  </w:num>
  <w:num w:numId="4" w16cid:durableId="1881625588">
    <w:abstractNumId w:val="23"/>
  </w:num>
  <w:num w:numId="5" w16cid:durableId="574512965">
    <w:abstractNumId w:val="19"/>
  </w:num>
  <w:num w:numId="6" w16cid:durableId="1519277200">
    <w:abstractNumId w:val="1"/>
  </w:num>
  <w:num w:numId="7" w16cid:durableId="797837030">
    <w:abstractNumId w:val="45"/>
  </w:num>
  <w:num w:numId="8" w16cid:durableId="1430617383">
    <w:abstractNumId w:val="75"/>
  </w:num>
  <w:num w:numId="9" w16cid:durableId="1314336857">
    <w:abstractNumId w:val="36"/>
  </w:num>
  <w:num w:numId="10" w16cid:durableId="1896577369">
    <w:abstractNumId w:val="61"/>
  </w:num>
  <w:num w:numId="11" w16cid:durableId="1629047903">
    <w:abstractNumId w:val="58"/>
  </w:num>
  <w:num w:numId="12" w16cid:durableId="1643582349">
    <w:abstractNumId w:val="25"/>
  </w:num>
  <w:num w:numId="13" w16cid:durableId="981429159">
    <w:abstractNumId w:val="65"/>
  </w:num>
  <w:num w:numId="14" w16cid:durableId="222176594">
    <w:abstractNumId w:val="35"/>
  </w:num>
  <w:num w:numId="15" w16cid:durableId="664937439">
    <w:abstractNumId w:val="48"/>
  </w:num>
  <w:num w:numId="16" w16cid:durableId="1931087671">
    <w:abstractNumId w:val="20"/>
  </w:num>
  <w:num w:numId="17" w16cid:durableId="1490172711">
    <w:abstractNumId w:val="59"/>
  </w:num>
  <w:num w:numId="18" w16cid:durableId="304356982">
    <w:abstractNumId w:val="7"/>
  </w:num>
  <w:num w:numId="19" w16cid:durableId="1557007574">
    <w:abstractNumId w:val="72"/>
  </w:num>
  <w:num w:numId="20" w16cid:durableId="1319185767">
    <w:abstractNumId w:val="55"/>
  </w:num>
  <w:num w:numId="21" w16cid:durableId="880439336">
    <w:abstractNumId w:val="6"/>
  </w:num>
  <w:num w:numId="22" w16cid:durableId="1413116570">
    <w:abstractNumId w:val="22"/>
  </w:num>
  <w:num w:numId="23" w16cid:durableId="240411415">
    <w:abstractNumId w:val="40"/>
  </w:num>
  <w:num w:numId="24" w16cid:durableId="1355882651">
    <w:abstractNumId w:val="70"/>
  </w:num>
  <w:num w:numId="25" w16cid:durableId="1163545768">
    <w:abstractNumId w:val="63"/>
  </w:num>
  <w:num w:numId="26" w16cid:durableId="201872047">
    <w:abstractNumId w:val="9"/>
  </w:num>
  <w:num w:numId="27" w16cid:durableId="1089699368">
    <w:abstractNumId w:val="8"/>
  </w:num>
  <w:num w:numId="28" w16cid:durableId="1765876568">
    <w:abstractNumId w:val="56"/>
  </w:num>
  <w:num w:numId="29" w16cid:durableId="113377753">
    <w:abstractNumId w:val="71"/>
  </w:num>
  <w:num w:numId="30" w16cid:durableId="113600435">
    <w:abstractNumId w:val="29"/>
  </w:num>
  <w:num w:numId="31" w16cid:durableId="2028749388">
    <w:abstractNumId w:val="31"/>
  </w:num>
  <w:num w:numId="32" w16cid:durableId="998270183">
    <w:abstractNumId w:val="33"/>
  </w:num>
  <w:num w:numId="33" w16cid:durableId="1024748758">
    <w:abstractNumId w:val="5"/>
  </w:num>
  <w:num w:numId="34" w16cid:durableId="887759533">
    <w:abstractNumId w:val="46"/>
  </w:num>
  <w:num w:numId="35" w16cid:durableId="1672683432">
    <w:abstractNumId w:val="60"/>
  </w:num>
  <w:num w:numId="36" w16cid:durableId="533423514">
    <w:abstractNumId w:val="54"/>
  </w:num>
  <w:num w:numId="37" w16cid:durableId="998584032">
    <w:abstractNumId w:val="52"/>
  </w:num>
  <w:num w:numId="38" w16cid:durableId="307321013">
    <w:abstractNumId w:val="49"/>
  </w:num>
  <w:num w:numId="39" w16cid:durableId="41440113">
    <w:abstractNumId w:val="28"/>
  </w:num>
  <w:num w:numId="40" w16cid:durableId="844979963">
    <w:abstractNumId w:val="0"/>
  </w:num>
  <w:num w:numId="41" w16cid:durableId="2115590652">
    <w:abstractNumId w:val="26"/>
  </w:num>
  <w:num w:numId="42" w16cid:durableId="83652762">
    <w:abstractNumId w:val="39"/>
  </w:num>
  <w:num w:numId="43" w16cid:durableId="271743229">
    <w:abstractNumId w:val="15"/>
  </w:num>
  <w:num w:numId="44" w16cid:durableId="589894497">
    <w:abstractNumId w:val="30"/>
  </w:num>
  <w:num w:numId="45" w16cid:durableId="1476755387">
    <w:abstractNumId w:val="34"/>
  </w:num>
  <w:num w:numId="46" w16cid:durableId="968242226">
    <w:abstractNumId w:val="62"/>
  </w:num>
  <w:num w:numId="47" w16cid:durableId="1596400638">
    <w:abstractNumId w:val="16"/>
  </w:num>
  <w:num w:numId="48" w16cid:durableId="1338003929">
    <w:abstractNumId w:val="11"/>
  </w:num>
  <w:num w:numId="49" w16cid:durableId="1071854586">
    <w:abstractNumId w:val="64"/>
  </w:num>
  <w:num w:numId="50" w16cid:durableId="1221480501">
    <w:abstractNumId w:val="50"/>
  </w:num>
  <w:num w:numId="51" w16cid:durableId="1701081189">
    <w:abstractNumId w:val="67"/>
  </w:num>
  <w:num w:numId="52" w16cid:durableId="1947886857">
    <w:abstractNumId w:val="66"/>
  </w:num>
  <w:num w:numId="53" w16cid:durableId="1508788292">
    <w:abstractNumId w:val="27"/>
  </w:num>
  <w:num w:numId="54" w16cid:durableId="1368607285">
    <w:abstractNumId w:val="2"/>
  </w:num>
  <w:num w:numId="55" w16cid:durableId="1161696391">
    <w:abstractNumId w:val="74"/>
  </w:num>
  <w:num w:numId="56" w16cid:durableId="1461922291">
    <w:abstractNumId w:val="4"/>
  </w:num>
  <w:num w:numId="57" w16cid:durableId="669480260">
    <w:abstractNumId w:val="18"/>
  </w:num>
  <w:num w:numId="58" w16cid:durableId="1924484720">
    <w:abstractNumId w:val="3"/>
  </w:num>
  <w:num w:numId="59" w16cid:durableId="1818767246">
    <w:abstractNumId w:val="12"/>
  </w:num>
  <w:num w:numId="60" w16cid:durableId="640384682">
    <w:abstractNumId w:val="57"/>
  </w:num>
  <w:num w:numId="61" w16cid:durableId="1093744706">
    <w:abstractNumId w:val="10"/>
  </w:num>
  <w:num w:numId="62" w16cid:durableId="1666861543">
    <w:abstractNumId w:val="32"/>
  </w:num>
  <w:num w:numId="63" w16cid:durableId="1998606619">
    <w:abstractNumId w:val="44"/>
    <w:lvlOverride w:ilvl="0">
      <w:lvl w:ilvl="0">
        <w:start w:val="3"/>
        <w:numFmt w:val="decimal"/>
        <w:lvlText w:val="%1."/>
        <w:lvlJc w:val="left"/>
        <w:pPr>
          <w:ind w:left="360" w:hanging="360"/>
        </w:pPr>
        <w:rPr>
          <w:rFonts w:hint="default"/>
          <w:b/>
          <w:bCs/>
        </w:rPr>
      </w:lvl>
    </w:lvlOverride>
    <w:lvlOverride w:ilvl="1">
      <w:lvl w:ilvl="1">
        <w:start w:val="3"/>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16cid:durableId="1776320415">
    <w:abstractNumId w:val="42"/>
  </w:num>
  <w:num w:numId="65" w16cid:durableId="343096341">
    <w:abstractNumId w:val="43"/>
  </w:num>
  <w:num w:numId="66" w16cid:durableId="812603435">
    <w:abstractNumId w:val="47"/>
  </w:num>
  <w:num w:numId="67" w16cid:durableId="904336312">
    <w:abstractNumId w:val="41"/>
  </w:num>
  <w:num w:numId="68" w16cid:durableId="227962934">
    <w:abstractNumId w:val="38"/>
  </w:num>
  <w:num w:numId="69" w16cid:durableId="1036193766">
    <w:abstractNumId w:val="68"/>
  </w:num>
  <w:num w:numId="70" w16cid:durableId="918370104">
    <w:abstractNumId w:val="37"/>
  </w:num>
  <w:num w:numId="71" w16cid:durableId="1472752664">
    <w:abstractNumId w:val="24"/>
  </w:num>
  <w:num w:numId="72" w16cid:durableId="1726641993">
    <w:abstractNumId w:val="14"/>
  </w:num>
  <w:num w:numId="73" w16cid:durableId="1489982676">
    <w:abstractNumId w:val="21"/>
  </w:num>
  <w:num w:numId="74" w16cid:durableId="825438599">
    <w:abstractNumId w:val="53"/>
  </w:num>
  <w:num w:numId="75" w16cid:durableId="2135443877">
    <w:abstractNumId w:val="69"/>
  </w:num>
  <w:num w:numId="76" w16cid:durableId="341660998">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B80"/>
    <w:rsid w:val="00002938"/>
    <w:rsid w:val="0001040B"/>
    <w:rsid w:val="0001285C"/>
    <w:rsid w:val="0001485C"/>
    <w:rsid w:val="00015ED7"/>
    <w:rsid w:val="000224D2"/>
    <w:rsid w:val="00025504"/>
    <w:rsid w:val="0003000F"/>
    <w:rsid w:val="0003028A"/>
    <w:rsid w:val="00032A17"/>
    <w:rsid w:val="000338C9"/>
    <w:rsid w:val="000369C8"/>
    <w:rsid w:val="00044585"/>
    <w:rsid w:val="00057633"/>
    <w:rsid w:val="00057F66"/>
    <w:rsid w:val="00060F37"/>
    <w:rsid w:val="000617DD"/>
    <w:rsid w:val="00065164"/>
    <w:rsid w:val="000658CD"/>
    <w:rsid w:val="00070421"/>
    <w:rsid w:val="00070C99"/>
    <w:rsid w:val="00071E95"/>
    <w:rsid w:val="00074605"/>
    <w:rsid w:val="00075019"/>
    <w:rsid w:val="00075D6A"/>
    <w:rsid w:val="00076925"/>
    <w:rsid w:val="0007782A"/>
    <w:rsid w:val="000778EA"/>
    <w:rsid w:val="000914C9"/>
    <w:rsid w:val="00091FED"/>
    <w:rsid w:val="00094702"/>
    <w:rsid w:val="000956B0"/>
    <w:rsid w:val="00095827"/>
    <w:rsid w:val="0009674D"/>
    <w:rsid w:val="000A658F"/>
    <w:rsid w:val="000B195B"/>
    <w:rsid w:val="000B1FCE"/>
    <w:rsid w:val="000B20DF"/>
    <w:rsid w:val="000B5131"/>
    <w:rsid w:val="000B7398"/>
    <w:rsid w:val="000C0E94"/>
    <w:rsid w:val="000C49BE"/>
    <w:rsid w:val="000C7DE6"/>
    <w:rsid w:val="000D0D65"/>
    <w:rsid w:val="000D175E"/>
    <w:rsid w:val="000D1DFF"/>
    <w:rsid w:val="000D48FE"/>
    <w:rsid w:val="000D5BB2"/>
    <w:rsid w:val="000D69B7"/>
    <w:rsid w:val="000E149B"/>
    <w:rsid w:val="000E15F8"/>
    <w:rsid w:val="000E1D04"/>
    <w:rsid w:val="000E4715"/>
    <w:rsid w:val="000E6E1D"/>
    <w:rsid w:val="000F03A4"/>
    <w:rsid w:val="000F5BC2"/>
    <w:rsid w:val="001016DA"/>
    <w:rsid w:val="00102792"/>
    <w:rsid w:val="0010375C"/>
    <w:rsid w:val="00103997"/>
    <w:rsid w:val="0011053F"/>
    <w:rsid w:val="00110F9D"/>
    <w:rsid w:val="001126B3"/>
    <w:rsid w:val="00113EED"/>
    <w:rsid w:val="001246A0"/>
    <w:rsid w:val="00126107"/>
    <w:rsid w:val="001268AA"/>
    <w:rsid w:val="001269F7"/>
    <w:rsid w:val="00126F8A"/>
    <w:rsid w:val="00127F30"/>
    <w:rsid w:val="00132322"/>
    <w:rsid w:val="00132C24"/>
    <w:rsid w:val="001403CE"/>
    <w:rsid w:val="00140B16"/>
    <w:rsid w:val="00141D12"/>
    <w:rsid w:val="0014220B"/>
    <w:rsid w:val="001429D5"/>
    <w:rsid w:val="0014498F"/>
    <w:rsid w:val="00150BF5"/>
    <w:rsid w:val="00155050"/>
    <w:rsid w:val="001579FF"/>
    <w:rsid w:val="00160B70"/>
    <w:rsid w:val="00166D3B"/>
    <w:rsid w:val="0016775F"/>
    <w:rsid w:val="001678E2"/>
    <w:rsid w:val="00173614"/>
    <w:rsid w:val="00174241"/>
    <w:rsid w:val="00174D25"/>
    <w:rsid w:val="001753F5"/>
    <w:rsid w:val="001754CC"/>
    <w:rsid w:val="00176783"/>
    <w:rsid w:val="00176E6B"/>
    <w:rsid w:val="00182F23"/>
    <w:rsid w:val="00186EF7"/>
    <w:rsid w:val="00187D7F"/>
    <w:rsid w:val="00191861"/>
    <w:rsid w:val="00195FA3"/>
    <w:rsid w:val="001A33F9"/>
    <w:rsid w:val="001B594F"/>
    <w:rsid w:val="001B7C65"/>
    <w:rsid w:val="001C031A"/>
    <w:rsid w:val="001C1A53"/>
    <w:rsid w:val="001C1B20"/>
    <w:rsid w:val="001C39EC"/>
    <w:rsid w:val="001C4023"/>
    <w:rsid w:val="001C50AA"/>
    <w:rsid w:val="001C6D6E"/>
    <w:rsid w:val="001C6E2A"/>
    <w:rsid w:val="001D4470"/>
    <w:rsid w:val="001D4FE1"/>
    <w:rsid w:val="001D51FC"/>
    <w:rsid w:val="001E1E7F"/>
    <w:rsid w:val="001E21AF"/>
    <w:rsid w:val="001E2A80"/>
    <w:rsid w:val="001E62DC"/>
    <w:rsid w:val="001F0096"/>
    <w:rsid w:val="001F1151"/>
    <w:rsid w:val="001F12A0"/>
    <w:rsid w:val="001F4CA1"/>
    <w:rsid w:val="001F6A2E"/>
    <w:rsid w:val="002004AF"/>
    <w:rsid w:val="002014ED"/>
    <w:rsid w:val="00204345"/>
    <w:rsid w:val="00214F62"/>
    <w:rsid w:val="00214F73"/>
    <w:rsid w:val="002176C6"/>
    <w:rsid w:val="00217A4C"/>
    <w:rsid w:val="00220CD2"/>
    <w:rsid w:val="00221C8D"/>
    <w:rsid w:val="0022249F"/>
    <w:rsid w:val="002232CA"/>
    <w:rsid w:val="00226570"/>
    <w:rsid w:val="00226BA9"/>
    <w:rsid w:val="00230979"/>
    <w:rsid w:val="00230B57"/>
    <w:rsid w:val="00232B79"/>
    <w:rsid w:val="00234B32"/>
    <w:rsid w:val="00234BA0"/>
    <w:rsid w:val="00235DCF"/>
    <w:rsid w:val="00240A1D"/>
    <w:rsid w:val="00240B1C"/>
    <w:rsid w:val="00241467"/>
    <w:rsid w:val="00244033"/>
    <w:rsid w:val="002504E7"/>
    <w:rsid w:val="00251130"/>
    <w:rsid w:val="00253071"/>
    <w:rsid w:val="00253194"/>
    <w:rsid w:val="00254869"/>
    <w:rsid w:val="0025625A"/>
    <w:rsid w:val="00256DFE"/>
    <w:rsid w:val="00260A6D"/>
    <w:rsid w:val="00262E53"/>
    <w:rsid w:val="00263B56"/>
    <w:rsid w:val="00263FDA"/>
    <w:rsid w:val="002674EE"/>
    <w:rsid w:val="00271A72"/>
    <w:rsid w:val="00272245"/>
    <w:rsid w:val="00272680"/>
    <w:rsid w:val="00274D9C"/>
    <w:rsid w:val="0028182B"/>
    <w:rsid w:val="0028375D"/>
    <w:rsid w:val="002907F1"/>
    <w:rsid w:val="00291B0D"/>
    <w:rsid w:val="0029257B"/>
    <w:rsid w:val="00295062"/>
    <w:rsid w:val="002A020E"/>
    <w:rsid w:val="002A1615"/>
    <w:rsid w:val="002A350C"/>
    <w:rsid w:val="002A52F3"/>
    <w:rsid w:val="002A5967"/>
    <w:rsid w:val="002A6BE9"/>
    <w:rsid w:val="002A72A9"/>
    <w:rsid w:val="002A757B"/>
    <w:rsid w:val="002A75EA"/>
    <w:rsid w:val="002B12D3"/>
    <w:rsid w:val="002B518A"/>
    <w:rsid w:val="002B66F9"/>
    <w:rsid w:val="002C5ACB"/>
    <w:rsid w:val="002C6AD4"/>
    <w:rsid w:val="002D1AE2"/>
    <w:rsid w:val="002D3D3B"/>
    <w:rsid w:val="002D7110"/>
    <w:rsid w:val="002E3795"/>
    <w:rsid w:val="002E6B39"/>
    <w:rsid w:val="002E7578"/>
    <w:rsid w:val="002F26F4"/>
    <w:rsid w:val="002F31C2"/>
    <w:rsid w:val="002F6924"/>
    <w:rsid w:val="002F7BA2"/>
    <w:rsid w:val="0030062E"/>
    <w:rsid w:val="00301BF5"/>
    <w:rsid w:val="00302067"/>
    <w:rsid w:val="00302930"/>
    <w:rsid w:val="00302E24"/>
    <w:rsid w:val="003047E1"/>
    <w:rsid w:val="00307A19"/>
    <w:rsid w:val="003137E4"/>
    <w:rsid w:val="00315595"/>
    <w:rsid w:val="00315B47"/>
    <w:rsid w:val="00317A1C"/>
    <w:rsid w:val="00325162"/>
    <w:rsid w:val="00327817"/>
    <w:rsid w:val="00331D95"/>
    <w:rsid w:val="0033219D"/>
    <w:rsid w:val="003330E0"/>
    <w:rsid w:val="0033363B"/>
    <w:rsid w:val="003375F6"/>
    <w:rsid w:val="00340352"/>
    <w:rsid w:val="0034062F"/>
    <w:rsid w:val="003412A2"/>
    <w:rsid w:val="003413EC"/>
    <w:rsid w:val="00341FF3"/>
    <w:rsid w:val="003428AC"/>
    <w:rsid w:val="003463C5"/>
    <w:rsid w:val="003465CB"/>
    <w:rsid w:val="0035180E"/>
    <w:rsid w:val="00351999"/>
    <w:rsid w:val="00356469"/>
    <w:rsid w:val="00361C47"/>
    <w:rsid w:val="00361E64"/>
    <w:rsid w:val="00362369"/>
    <w:rsid w:val="0036638E"/>
    <w:rsid w:val="00367620"/>
    <w:rsid w:val="00367DB3"/>
    <w:rsid w:val="003742C4"/>
    <w:rsid w:val="00374598"/>
    <w:rsid w:val="00375357"/>
    <w:rsid w:val="00381455"/>
    <w:rsid w:val="00386EE8"/>
    <w:rsid w:val="00387BD3"/>
    <w:rsid w:val="0039130F"/>
    <w:rsid w:val="00391978"/>
    <w:rsid w:val="0039340D"/>
    <w:rsid w:val="00394D06"/>
    <w:rsid w:val="0039691A"/>
    <w:rsid w:val="00397AED"/>
    <w:rsid w:val="003A150A"/>
    <w:rsid w:val="003A1BEE"/>
    <w:rsid w:val="003A64B7"/>
    <w:rsid w:val="003B33E6"/>
    <w:rsid w:val="003B397E"/>
    <w:rsid w:val="003B41B0"/>
    <w:rsid w:val="003B4C79"/>
    <w:rsid w:val="003C5F6C"/>
    <w:rsid w:val="003D2D88"/>
    <w:rsid w:val="003D2D90"/>
    <w:rsid w:val="003D5511"/>
    <w:rsid w:val="003D58BA"/>
    <w:rsid w:val="003E0D8C"/>
    <w:rsid w:val="003E179D"/>
    <w:rsid w:val="003E5156"/>
    <w:rsid w:val="003E5A3D"/>
    <w:rsid w:val="003E6758"/>
    <w:rsid w:val="003F5C0B"/>
    <w:rsid w:val="003F61CD"/>
    <w:rsid w:val="004045F2"/>
    <w:rsid w:val="00410B53"/>
    <w:rsid w:val="00411DB2"/>
    <w:rsid w:val="0041291F"/>
    <w:rsid w:val="00415198"/>
    <w:rsid w:val="0041767A"/>
    <w:rsid w:val="0042002C"/>
    <w:rsid w:val="00421789"/>
    <w:rsid w:val="00423DDD"/>
    <w:rsid w:val="00430A75"/>
    <w:rsid w:val="00431447"/>
    <w:rsid w:val="00435470"/>
    <w:rsid w:val="004358A5"/>
    <w:rsid w:val="0044458D"/>
    <w:rsid w:val="00446927"/>
    <w:rsid w:val="0044756B"/>
    <w:rsid w:val="00452210"/>
    <w:rsid w:val="00454532"/>
    <w:rsid w:val="00454D06"/>
    <w:rsid w:val="00455163"/>
    <w:rsid w:val="0045564A"/>
    <w:rsid w:val="00460AA3"/>
    <w:rsid w:val="00461252"/>
    <w:rsid w:val="00461527"/>
    <w:rsid w:val="004643BD"/>
    <w:rsid w:val="0046711A"/>
    <w:rsid w:val="004706C1"/>
    <w:rsid w:val="00471118"/>
    <w:rsid w:val="004744F5"/>
    <w:rsid w:val="00475881"/>
    <w:rsid w:val="00476330"/>
    <w:rsid w:val="00476C45"/>
    <w:rsid w:val="00477298"/>
    <w:rsid w:val="0048199B"/>
    <w:rsid w:val="00482AFF"/>
    <w:rsid w:val="004856D7"/>
    <w:rsid w:val="00487703"/>
    <w:rsid w:val="00487D07"/>
    <w:rsid w:val="0049220C"/>
    <w:rsid w:val="004A4759"/>
    <w:rsid w:val="004A731B"/>
    <w:rsid w:val="004B0C0E"/>
    <w:rsid w:val="004B33C0"/>
    <w:rsid w:val="004C12D0"/>
    <w:rsid w:val="004C169D"/>
    <w:rsid w:val="004C514B"/>
    <w:rsid w:val="004D0077"/>
    <w:rsid w:val="004D5DE1"/>
    <w:rsid w:val="004D69BA"/>
    <w:rsid w:val="004E27A3"/>
    <w:rsid w:val="004E548B"/>
    <w:rsid w:val="004F16D4"/>
    <w:rsid w:val="004F3533"/>
    <w:rsid w:val="004F5DCB"/>
    <w:rsid w:val="004F66B0"/>
    <w:rsid w:val="00504B8E"/>
    <w:rsid w:val="00506FCC"/>
    <w:rsid w:val="00511CE5"/>
    <w:rsid w:val="00511D6A"/>
    <w:rsid w:val="0051691F"/>
    <w:rsid w:val="0052006A"/>
    <w:rsid w:val="00523BEE"/>
    <w:rsid w:val="00525529"/>
    <w:rsid w:val="00526279"/>
    <w:rsid w:val="00526D9B"/>
    <w:rsid w:val="005277B5"/>
    <w:rsid w:val="0053203C"/>
    <w:rsid w:val="0054414F"/>
    <w:rsid w:val="00544E0E"/>
    <w:rsid w:val="00550A06"/>
    <w:rsid w:val="005535D2"/>
    <w:rsid w:val="0055624B"/>
    <w:rsid w:val="00557E3E"/>
    <w:rsid w:val="0056005F"/>
    <w:rsid w:val="0056045B"/>
    <w:rsid w:val="005677DB"/>
    <w:rsid w:val="00567819"/>
    <w:rsid w:val="005708F3"/>
    <w:rsid w:val="0058004C"/>
    <w:rsid w:val="0058668F"/>
    <w:rsid w:val="005954CD"/>
    <w:rsid w:val="00595EB5"/>
    <w:rsid w:val="005A1944"/>
    <w:rsid w:val="005A40B0"/>
    <w:rsid w:val="005A4F88"/>
    <w:rsid w:val="005A6721"/>
    <w:rsid w:val="005B2B0C"/>
    <w:rsid w:val="005C234B"/>
    <w:rsid w:val="005C5653"/>
    <w:rsid w:val="005C58A8"/>
    <w:rsid w:val="005C7F4F"/>
    <w:rsid w:val="005D051C"/>
    <w:rsid w:val="005D17EB"/>
    <w:rsid w:val="005D35C5"/>
    <w:rsid w:val="005D5262"/>
    <w:rsid w:val="005D6187"/>
    <w:rsid w:val="005E3457"/>
    <w:rsid w:val="005E3976"/>
    <w:rsid w:val="005E4A30"/>
    <w:rsid w:val="005E5A20"/>
    <w:rsid w:val="005F1514"/>
    <w:rsid w:val="005F1F5C"/>
    <w:rsid w:val="005F7EAB"/>
    <w:rsid w:val="00601F3A"/>
    <w:rsid w:val="0061185D"/>
    <w:rsid w:val="00612684"/>
    <w:rsid w:val="00612AA7"/>
    <w:rsid w:val="006132D8"/>
    <w:rsid w:val="00613639"/>
    <w:rsid w:val="00613EC0"/>
    <w:rsid w:val="006145EC"/>
    <w:rsid w:val="00614E11"/>
    <w:rsid w:val="006158E3"/>
    <w:rsid w:val="0061630E"/>
    <w:rsid w:val="00616389"/>
    <w:rsid w:val="00622B08"/>
    <w:rsid w:val="00623040"/>
    <w:rsid w:val="0062501B"/>
    <w:rsid w:val="00625B80"/>
    <w:rsid w:val="006324B4"/>
    <w:rsid w:val="00635E97"/>
    <w:rsid w:val="00637149"/>
    <w:rsid w:val="006377E7"/>
    <w:rsid w:val="00637E6A"/>
    <w:rsid w:val="006402FB"/>
    <w:rsid w:val="00640BB7"/>
    <w:rsid w:val="00640DE0"/>
    <w:rsid w:val="00645D4E"/>
    <w:rsid w:val="00652D90"/>
    <w:rsid w:val="00655C42"/>
    <w:rsid w:val="006568E3"/>
    <w:rsid w:val="00656ACA"/>
    <w:rsid w:val="00664FB8"/>
    <w:rsid w:val="00666BD3"/>
    <w:rsid w:val="00667804"/>
    <w:rsid w:val="00667DD4"/>
    <w:rsid w:val="006703E1"/>
    <w:rsid w:val="0067246E"/>
    <w:rsid w:val="00675058"/>
    <w:rsid w:val="0067569E"/>
    <w:rsid w:val="00676162"/>
    <w:rsid w:val="006762BB"/>
    <w:rsid w:val="00676914"/>
    <w:rsid w:val="00681598"/>
    <w:rsid w:val="00684231"/>
    <w:rsid w:val="006879CB"/>
    <w:rsid w:val="00690745"/>
    <w:rsid w:val="006938DD"/>
    <w:rsid w:val="006962B6"/>
    <w:rsid w:val="006A050E"/>
    <w:rsid w:val="006A1622"/>
    <w:rsid w:val="006A342E"/>
    <w:rsid w:val="006A51C3"/>
    <w:rsid w:val="006A656C"/>
    <w:rsid w:val="006A7234"/>
    <w:rsid w:val="006B068F"/>
    <w:rsid w:val="006B1458"/>
    <w:rsid w:val="006B1F97"/>
    <w:rsid w:val="006B4BE8"/>
    <w:rsid w:val="006B5B22"/>
    <w:rsid w:val="006C1490"/>
    <w:rsid w:val="006C385A"/>
    <w:rsid w:val="006C3F32"/>
    <w:rsid w:val="006C4105"/>
    <w:rsid w:val="006D1412"/>
    <w:rsid w:val="006D2BBF"/>
    <w:rsid w:val="006D4E08"/>
    <w:rsid w:val="006D662F"/>
    <w:rsid w:val="006D7203"/>
    <w:rsid w:val="006E057F"/>
    <w:rsid w:val="006F0AFF"/>
    <w:rsid w:val="006F2B87"/>
    <w:rsid w:val="006F350C"/>
    <w:rsid w:val="006F67ED"/>
    <w:rsid w:val="00700803"/>
    <w:rsid w:val="007009DE"/>
    <w:rsid w:val="00700FEF"/>
    <w:rsid w:val="007041D7"/>
    <w:rsid w:val="00710754"/>
    <w:rsid w:val="0071095B"/>
    <w:rsid w:val="00711089"/>
    <w:rsid w:val="00711A58"/>
    <w:rsid w:val="00713B66"/>
    <w:rsid w:val="007154F8"/>
    <w:rsid w:val="007175C2"/>
    <w:rsid w:val="007207CB"/>
    <w:rsid w:val="0072105E"/>
    <w:rsid w:val="0072226C"/>
    <w:rsid w:val="00722EC7"/>
    <w:rsid w:val="007278FB"/>
    <w:rsid w:val="007367A3"/>
    <w:rsid w:val="00736C7E"/>
    <w:rsid w:val="00737BA2"/>
    <w:rsid w:val="00740C11"/>
    <w:rsid w:val="00742E55"/>
    <w:rsid w:val="007432A0"/>
    <w:rsid w:val="00744439"/>
    <w:rsid w:val="007445F8"/>
    <w:rsid w:val="0074712E"/>
    <w:rsid w:val="00751C6A"/>
    <w:rsid w:val="007525A9"/>
    <w:rsid w:val="00752E3C"/>
    <w:rsid w:val="00757348"/>
    <w:rsid w:val="00761724"/>
    <w:rsid w:val="00761F08"/>
    <w:rsid w:val="00762AA8"/>
    <w:rsid w:val="00763600"/>
    <w:rsid w:val="00770160"/>
    <w:rsid w:val="00770E8E"/>
    <w:rsid w:val="007727E1"/>
    <w:rsid w:val="00772AFA"/>
    <w:rsid w:val="00772B2B"/>
    <w:rsid w:val="00775D20"/>
    <w:rsid w:val="007769AD"/>
    <w:rsid w:val="007771CF"/>
    <w:rsid w:val="00777573"/>
    <w:rsid w:val="00777F7E"/>
    <w:rsid w:val="00781685"/>
    <w:rsid w:val="007818BC"/>
    <w:rsid w:val="00781CF0"/>
    <w:rsid w:val="00785679"/>
    <w:rsid w:val="007902E3"/>
    <w:rsid w:val="00790E12"/>
    <w:rsid w:val="00791B80"/>
    <w:rsid w:val="00791F46"/>
    <w:rsid w:val="007925C8"/>
    <w:rsid w:val="00794B4C"/>
    <w:rsid w:val="00794C05"/>
    <w:rsid w:val="00796043"/>
    <w:rsid w:val="007A01E3"/>
    <w:rsid w:val="007A0E46"/>
    <w:rsid w:val="007A4263"/>
    <w:rsid w:val="007A461B"/>
    <w:rsid w:val="007B0878"/>
    <w:rsid w:val="007B283B"/>
    <w:rsid w:val="007B3837"/>
    <w:rsid w:val="007B5F06"/>
    <w:rsid w:val="007B69B3"/>
    <w:rsid w:val="007B736C"/>
    <w:rsid w:val="007B797D"/>
    <w:rsid w:val="007C0D5C"/>
    <w:rsid w:val="007C1465"/>
    <w:rsid w:val="007D08DD"/>
    <w:rsid w:val="007D2E3A"/>
    <w:rsid w:val="007D5C50"/>
    <w:rsid w:val="007D67C4"/>
    <w:rsid w:val="007D7DC4"/>
    <w:rsid w:val="007F4517"/>
    <w:rsid w:val="007F4E62"/>
    <w:rsid w:val="007F52AD"/>
    <w:rsid w:val="008027DC"/>
    <w:rsid w:val="00804F4D"/>
    <w:rsid w:val="008076C1"/>
    <w:rsid w:val="008104B0"/>
    <w:rsid w:val="00812012"/>
    <w:rsid w:val="00812326"/>
    <w:rsid w:val="0081303C"/>
    <w:rsid w:val="00813B13"/>
    <w:rsid w:val="008141C1"/>
    <w:rsid w:val="00816B77"/>
    <w:rsid w:val="00816CCC"/>
    <w:rsid w:val="00822065"/>
    <w:rsid w:val="00822C67"/>
    <w:rsid w:val="00831746"/>
    <w:rsid w:val="008343FF"/>
    <w:rsid w:val="00834FE9"/>
    <w:rsid w:val="00837098"/>
    <w:rsid w:val="00840AAE"/>
    <w:rsid w:val="00842EA9"/>
    <w:rsid w:val="00843029"/>
    <w:rsid w:val="00843808"/>
    <w:rsid w:val="00845F59"/>
    <w:rsid w:val="00850319"/>
    <w:rsid w:val="00850F26"/>
    <w:rsid w:val="008510E5"/>
    <w:rsid w:val="00855ABC"/>
    <w:rsid w:val="00860C9D"/>
    <w:rsid w:val="00864774"/>
    <w:rsid w:val="00873906"/>
    <w:rsid w:val="00875371"/>
    <w:rsid w:val="00875A83"/>
    <w:rsid w:val="00876AC6"/>
    <w:rsid w:val="008771CA"/>
    <w:rsid w:val="00877307"/>
    <w:rsid w:val="008776C4"/>
    <w:rsid w:val="008803B0"/>
    <w:rsid w:val="00880DC7"/>
    <w:rsid w:val="008816FF"/>
    <w:rsid w:val="00882252"/>
    <w:rsid w:val="00887DF8"/>
    <w:rsid w:val="00891B79"/>
    <w:rsid w:val="00897929"/>
    <w:rsid w:val="008A14BF"/>
    <w:rsid w:val="008A4F79"/>
    <w:rsid w:val="008A50BE"/>
    <w:rsid w:val="008A58EA"/>
    <w:rsid w:val="008A5AEE"/>
    <w:rsid w:val="008A7F28"/>
    <w:rsid w:val="008B542B"/>
    <w:rsid w:val="008B6F6A"/>
    <w:rsid w:val="008B790A"/>
    <w:rsid w:val="008B7E80"/>
    <w:rsid w:val="008C08E1"/>
    <w:rsid w:val="008D08F2"/>
    <w:rsid w:val="008D1731"/>
    <w:rsid w:val="008D357F"/>
    <w:rsid w:val="008D3B1C"/>
    <w:rsid w:val="008D4A63"/>
    <w:rsid w:val="008D4C23"/>
    <w:rsid w:val="008D6DAE"/>
    <w:rsid w:val="008D7907"/>
    <w:rsid w:val="008E090F"/>
    <w:rsid w:val="008E2E77"/>
    <w:rsid w:val="008E36C6"/>
    <w:rsid w:val="008E5951"/>
    <w:rsid w:val="008E6D6C"/>
    <w:rsid w:val="008E780C"/>
    <w:rsid w:val="008F05D9"/>
    <w:rsid w:val="008F10E6"/>
    <w:rsid w:val="008F1B1F"/>
    <w:rsid w:val="0090078D"/>
    <w:rsid w:val="00903A99"/>
    <w:rsid w:val="00903D3C"/>
    <w:rsid w:val="0091020F"/>
    <w:rsid w:val="009109FF"/>
    <w:rsid w:val="00910FFC"/>
    <w:rsid w:val="009128E2"/>
    <w:rsid w:val="00913EA1"/>
    <w:rsid w:val="00914F7A"/>
    <w:rsid w:val="00915BE9"/>
    <w:rsid w:val="00917136"/>
    <w:rsid w:val="009178DC"/>
    <w:rsid w:val="00921475"/>
    <w:rsid w:val="00923195"/>
    <w:rsid w:val="00931F8A"/>
    <w:rsid w:val="00932D4F"/>
    <w:rsid w:val="00932D6D"/>
    <w:rsid w:val="00933AEA"/>
    <w:rsid w:val="00934F54"/>
    <w:rsid w:val="009401F2"/>
    <w:rsid w:val="00940AA1"/>
    <w:rsid w:val="00944667"/>
    <w:rsid w:val="00944C8F"/>
    <w:rsid w:val="00951683"/>
    <w:rsid w:val="0095230F"/>
    <w:rsid w:val="00954B6C"/>
    <w:rsid w:val="00956427"/>
    <w:rsid w:val="00957B05"/>
    <w:rsid w:val="00961584"/>
    <w:rsid w:val="00963A27"/>
    <w:rsid w:val="00964786"/>
    <w:rsid w:val="009707CA"/>
    <w:rsid w:val="009729BA"/>
    <w:rsid w:val="0097360A"/>
    <w:rsid w:val="00974EE4"/>
    <w:rsid w:val="00976312"/>
    <w:rsid w:val="009808C8"/>
    <w:rsid w:val="00984C56"/>
    <w:rsid w:val="00985854"/>
    <w:rsid w:val="00986346"/>
    <w:rsid w:val="00994F42"/>
    <w:rsid w:val="009954A9"/>
    <w:rsid w:val="009A4D0B"/>
    <w:rsid w:val="009B0FD1"/>
    <w:rsid w:val="009B0FE6"/>
    <w:rsid w:val="009B1433"/>
    <w:rsid w:val="009B3F41"/>
    <w:rsid w:val="009B51EB"/>
    <w:rsid w:val="009B62B3"/>
    <w:rsid w:val="009C11F0"/>
    <w:rsid w:val="009C232D"/>
    <w:rsid w:val="009C3C27"/>
    <w:rsid w:val="009C3F3A"/>
    <w:rsid w:val="009D2688"/>
    <w:rsid w:val="009D2D2E"/>
    <w:rsid w:val="009D48EE"/>
    <w:rsid w:val="009D6F87"/>
    <w:rsid w:val="009D7E5C"/>
    <w:rsid w:val="009E02C3"/>
    <w:rsid w:val="009E09FB"/>
    <w:rsid w:val="009E0B5E"/>
    <w:rsid w:val="009E3D52"/>
    <w:rsid w:val="009E4229"/>
    <w:rsid w:val="009F177F"/>
    <w:rsid w:val="009F2692"/>
    <w:rsid w:val="009F3404"/>
    <w:rsid w:val="009F44A7"/>
    <w:rsid w:val="009F4A97"/>
    <w:rsid w:val="009F4B73"/>
    <w:rsid w:val="009F6496"/>
    <w:rsid w:val="009F7C00"/>
    <w:rsid w:val="00A00700"/>
    <w:rsid w:val="00A0367F"/>
    <w:rsid w:val="00A047B0"/>
    <w:rsid w:val="00A04972"/>
    <w:rsid w:val="00A072B7"/>
    <w:rsid w:val="00A1107B"/>
    <w:rsid w:val="00A1195A"/>
    <w:rsid w:val="00A12DCB"/>
    <w:rsid w:val="00A23D5C"/>
    <w:rsid w:val="00A255B6"/>
    <w:rsid w:val="00A25BB7"/>
    <w:rsid w:val="00A2766C"/>
    <w:rsid w:val="00A30A5B"/>
    <w:rsid w:val="00A3576C"/>
    <w:rsid w:val="00A35841"/>
    <w:rsid w:val="00A35A6E"/>
    <w:rsid w:val="00A35CB7"/>
    <w:rsid w:val="00A372F4"/>
    <w:rsid w:val="00A428BE"/>
    <w:rsid w:val="00A42CD1"/>
    <w:rsid w:val="00A443A4"/>
    <w:rsid w:val="00A44623"/>
    <w:rsid w:val="00A44D08"/>
    <w:rsid w:val="00A453C5"/>
    <w:rsid w:val="00A453C7"/>
    <w:rsid w:val="00A51D78"/>
    <w:rsid w:val="00A52E22"/>
    <w:rsid w:val="00A5755E"/>
    <w:rsid w:val="00A606DC"/>
    <w:rsid w:val="00A60E3A"/>
    <w:rsid w:val="00A6783C"/>
    <w:rsid w:val="00A74555"/>
    <w:rsid w:val="00A77A21"/>
    <w:rsid w:val="00A85FB3"/>
    <w:rsid w:val="00A87220"/>
    <w:rsid w:val="00A91120"/>
    <w:rsid w:val="00A9127C"/>
    <w:rsid w:val="00A92365"/>
    <w:rsid w:val="00A95D90"/>
    <w:rsid w:val="00AA4A7E"/>
    <w:rsid w:val="00AA6343"/>
    <w:rsid w:val="00AA7FB3"/>
    <w:rsid w:val="00AB5ACB"/>
    <w:rsid w:val="00AB65A4"/>
    <w:rsid w:val="00AC06C2"/>
    <w:rsid w:val="00AC1535"/>
    <w:rsid w:val="00AC550F"/>
    <w:rsid w:val="00AC7B8A"/>
    <w:rsid w:val="00AD09A8"/>
    <w:rsid w:val="00AD3D87"/>
    <w:rsid w:val="00AD589C"/>
    <w:rsid w:val="00AD7BD0"/>
    <w:rsid w:val="00AE55A4"/>
    <w:rsid w:val="00AE64CB"/>
    <w:rsid w:val="00AE66B0"/>
    <w:rsid w:val="00AF0943"/>
    <w:rsid w:val="00AF0BF3"/>
    <w:rsid w:val="00AF1EF0"/>
    <w:rsid w:val="00AF27BA"/>
    <w:rsid w:val="00AF4990"/>
    <w:rsid w:val="00AF4C6F"/>
    <w:rsid w:val="00AF50BB"/>
    <w:rsid w:val="00AF5241"/>
    <w:rsid w:val="00AF625C"/>
    <w:rsid w:val="00AF760C"/>
    <w:rsid w:val="00B00028"/>
    <w:rsid w:val="00B0205A"/>
    <w:rsid w:val="00B02F0F"/>
    <w:rsid w:val="00B042A3"/>
    <w:rsid w:val="00B10788"/>
    <w:rsid w:val="00B135A7"/>
    <w:rsid w:val="00B13FE3"/>
    <w:rsid w:val="00B174BC"/>
    <w:rsid w:val="00B22742"/>
    <w:rsid w:val="00B27296"/>
    <w:rsid w:val="00B3022E"/>
    <w:rsid w:val="00B32596"/>
    <w:rsid w:val="00B334E7"/>
    <w:rsid w:val="00B36AF3"/>
    <w:rsid w:val="00B40514"/>
    <w:rsid w:val="00B47927"/>
    <w:rsid w:val="00B50DA3"/>
    <w:rsid w:val="00B5362D"/>
    <w:rsid w:val="00B5412B"/>
    <w:rsid w:val="00B54161"/>
    <w:rsid w:val="00B56510"/>
    <w:rsid w:val="00B5710A"/>
    <w:rsid w:val="00B57193"/>
    <w:rsid w:val="00B5768B"/>
    <w:rsid w:val="00B607AD"/>
    <w:rsid w:val="00B60840"/>
    <w:rsid w:val="00B62974"/>
    <w:rsid w:val="00B64970"/>
    <w:rsid w:val="00B66607"/>
    <w:rsid w:val="00B75A40"/>
    <w:rsid w:val="00B7656C"/>
    <w:rsid w:val="00B80345"/>
    <w:rsid w:val="00B827E6"/>
    <w:rsid w:val="00B82A74"/>
    <w:rsid w:val="00B856BB"/>
    <w:rsid w:val="00B86739"/>
    <w:rsid w:val="00B915E0"/>
    <w:rsid w:val="00B92AA6"/>
    <w:rsid w:val="00B93BCE"/>
    <w:rsid w:val="00BA09F0"/>
    <w:rsid w:val="00BA2DBF"/>
    <w:rsid w:val="00BB13A9"/>
    <w:rsid w:val="00BB37D0"/>
    <w:rsid w:val="00BB4BC0"/>
    <w:rsid w:val="00BB7E01"/>
    <w:rsid w:val="00BC0479"/>
    <w:rsid w:val="00BC1107"/>
    <w:rsid w:val="00BC136A"/>
    <w:rsid w:val="00BC4326"/>
    <w:rsid w:val="00BC7774"/>
    <w:rsid w:val="00BD0325"/>
    <w:rsid w:val="00BD301D"/>
    <w:rsid w:val="00BE093C"/>
    <w:rsid w:val="00BE3925"/>
    <w:rsid w:val="00BE3A12"/>
    <w:rsid w:val="00BE3FCF"/>
    <w:rsid w:val="00BE6019"/>
    <w:rsid w:val="00BF58D5"/>
    <w:rsid w:val="00BF7901"/>
    <w:rsid w:val="00C01C27"/>
    <w:rsid w:val="00C02F30"/>
    <w:rsid w:val="00C057A3"/>
    <w:rsid w:val="00C05EE3"/>
    <w:rsid w:val="00C06443"/>
    <w:rsid w:val="00C0654D"/>
    <w:rsid w:val="00C07659"/>
    <w:rsid w:val="00C123E3"/>
    <w:rsid w:val="00C15F88"/>
    <w:rsid w:val="00C166B1"/>
    <w:rsid w:val="00C17EAE"/>
    <w:rsid w:val="00C24000"/>
    <w:rsid w:val="00C30F38"/>
    <w:rsid w:val="00C31FD2"/>
    <w:rsid w:val="00C32EDF"/>
    <w:rsid w:val="00C340C8"/>
    <w:rsid w:val="00C353B7"/>
    <w:rsid w:val="00C367EF"/>
    <w:rsid w:val="00C36A09"/>
    <w:rsid w:val="00C40DF8"/>
    <w:rsid w:val="00C440DD"/>
    <w:rsid w:val="00C44BBB"/>
    <w:rsid w:val="00C45F01"/>
    <w:rsid w:val="00C473BD"/>
    <w:rsid w:val="00C51350"/>
    <w:rsid w:val="00C51A19"/>
    <w:rsid w:val="00C55316"/>
    <w:rsid w:val="00C5570E"/>
    <w:rsid w:val="00C558F1"/>
    <w:rsid w:val="00C57011"/>
    <w:rsid w:val="00C57035"/>
    <w:rsid w:val="00C625DC"/>
    <w:rsid w:val="00C63A02"/>
    <w:rsid w:val="00C67CF5"/>
    <w:rsid w:val="00C7200B"/>
    <w:rsid w:val="00C763E2"/>
    <w:rsid w:val="00C77C47"/>
    <w:rsid w:val="00C81AD7"/>
    <w:rsid w:val="00C83C2B"/>
    <w:rsid w:val="00C85A06"/>
    <w:rsid w:val="00C85A91"/>
    <w:rsid w:val="00C8733C"/>
    <w:rsid w:val="00C90861"/>
    <w:rsid w:val="00C91CE3"/>
    <w:rsid w:val="00C94409"/>
    <w:rsid w:val="00C96E5B"/>
    <w:rsid w:val="00C9766B"/>
    <w:rsid w:val="00C97E95"/>
    <w:rsid w:val="00CA0E2C"/>
    <w:rsid w:val="00CA1DC5"/>
    <w:rsid w:val="00CA46F1"/>
    <w:rsid w:val="00CA5524"/>
    <w:rsid w:val="00CA7593"/>
    <w:rsid w:val="00CA7BA5"/>
    <w:rsid w:val="00CB26C7"/>
    <w:rsid w:val="00CB544E"/>
    <w:rsid w:val="00CB69BA"/>
    <w:rsid w:val="00CB7580"/>
    <w:rsid w:val="00CC4A41"/>
    <w:rsid w:val="00CC4DF5"/>
    <w:rsid w:val="00CC5316"/>
    <w:rsid w:val="00CC70C0"/>
    <w:rsid w:val="00CD10D8"/>
    <w:rsid w:val="00CD3EA8"/>
    <w:rsid w:val="00CD3F65"/>
    <w:rsid w:val="00CD4F67"/>
    <w:rsid w:val="00CE0669"/>
    <w:rsid w:val="00CE339D"/>
    <w:rsid w:val="00CE342B"/>
    <w:rsid w:val="00CE3ABA"/>
    <w:rsid w:val="00CE55DB"/>
    <w:rsid w:val="00CE6865"/>
    <w:rsid w:val="00CF6C8D"/>
    <w:rsid w:val="00D03359"/>
    <w:rsid w:val="00D03B36"/>
    <w:rsid w:val="00D068B5"/>
    <w:rsid w:val="00D07C29"/>
    <w:rsid w:val="00D100D1"/>
    <w:rsid w:val="00D13527"/>
    <w:rsid w:val="00D15175"/>
    <w:rsid w:val="00D155F1"/>
    <w:rsid w:val="00D172FC"/>
    <w:rsid w:val="00D23474"/>
    <w:rsid w:val="00D25F3B"/>
    <w:rsid w:val="00D2627C"/>
    <w:rsid w:val="00D26AA9"/>
    <w:rsid w:val="00D31774"/>
    <w:rsid w:val="00D32773"/>
    <w:rsid w:val="00D33E38"/>
    <w:rsid w:val="00D34372"/>
    <w:rsid w:val="00D372A7"/>
    <w:rsid w:val="00D3786A"/>
    <w:rsid w:val="00D40B1A"/>
    <w:rsid w:val="00D427B0"/>
    <w:rsid w:val="00D446B8"/>
    <w:rsid w:val="00D5070A"/>
    <w:rsid w:val="00D51D33"/>
    <w:rsid w:val="00D5464B"/>
    <w:rsid w:val="00D54F02"/>
    <w:rsid w:val="00D57474"/>
    <w:rsid w:val="00D615E5"/>
    <w:rsid w:val="00D6251E"/>
    <w:rsid w:val="00D639E2"/>
    <w:rsid w:val="00D77B44"/>
    <w:rsid w:val="00D80325"/>
    <w:rsid w:val="00D83621"/>
    <w:rsid w:val="00D84918"/>
    <w:rsid w:val="00D9199B"/>
    <w:rsid w:val="00D9571B"/>
    <w:rsid w:val="00DA038B"/>
    <w:rsid w:val="00DB3313"/>
    <w:rsid w:val="00DB5CDC"/>
    <w:rsid w:val="00DB5F18"/>
    <w:rsid w:val="00DC0A6D"/>
    <w:rsid w:val="00DC1E69"/>
    <w:rsid w:val="00DC3E9B"/>
    <w:rsid w:val="00DC4149"/>
    <w:rsid w:val="00DD1985"/>
    <w:rsid w:val="00DD29D3"/>
    <w:rsid w:val="00DD35DF"/>
    <w:rsid w:val="00DD58E2"/>
    <w:rsid w:val="00DE4873"/>
    <w:rsid w:val="00E02650"/>
    <w:rsid w:val="00E139CD"/>
    <w:rsid w:val="00E21787"/>
    <w:rsid w:val="00E221EB"/>
    <w:rsid w:val="00E22EE2"/>
    <w:rsid w:val="00E23A16"/>
    <w:rsid w:val="00E327E9"/>
    <w:rsid w:val="00E35488"/>
    <w:rsid w:val="00E411CF"/>
    <w:rsid w:val="00E418BB"/>
    <w:rsid w:val="00E41F1A"/>
    <w:rsid w:val="00E425E7"/>
    <w:rsid w:val="00E4412A"/>
    <w:rsid w:val="00E44CEB"/>
    <w:rsid w:val="00E44F08"/>
    <w:rsid w:val="00E45831"/>
    <w:rsid w:val="00E500A9"/>
    <w:rsid w:val="00E54212"/>
    <w:rsid w:val="00E57B44"/>
    <w:rsid w:val="00E60F30"/>
    <w:rsid w:val="00E62B80"/>
    <w:rsid w:val="00E63E22"/>
    <w:rsid w:val="00E65E55"/>
    <w:rsid w:val="00E67D2F"/>
    <w:rsid w:val="00E71449"/>
    <w:rsid w:val="00E71BC9"/>
    <w:rsid w:val="00E73B70"/>
    <w:rsid w:val="00E74ED2"/>
    <w:rsid w:val="00E761D9"/>
    <w:rsid w:val="00E80CD3"/>
    <w:rsid w:val="00E85BFD"/>
    <w:rsid w:val="00E86E0A"/>
    <w:rsid w:val="00E874FF"/>
    <w:rsid w:val="00E87AC0"/>
    <w:rsid w:val="00E90CF8"/>
    <w:rsid w:val="00E975DB"/>
    <w:rsid w:val="00E97605"/>
    <w:rsid w:val="00E97C31"/>
    <w:rsid w:val="00EA2AF8"/>
    <w:rsid w:val="00EA67C4"/>
    <w:rsid w:val="00EA6AE7"/>
    <w:rsid w:val="00EA73B8"/>
    <w:rsid w:val="00EB029A"/>
    <w:rsid w:val="00EC3EE1"/>
    <w:rsid w:val="00EC64E7"/>
    <w:rsid w:val="00EC6F01"/>
    <w:rsid w:val="00EC79FE"/>
    <w:rsid w:val="00ED0551"/>
    <w:rsid w:val="00ED178B"/>
    <w:rsid w:val="00ED3CD3"/>
    <w:rsid w:val="00ED4D52"/>
    <w:rsid w:val="00ED4F93"/>
    <w:rsid w:val="00ED6FE8"/>
    <w:rsid w:val="00EE03AE"/>
    <w:rsid w:val="00EE3839"/>
    <w:rsid w:val="00EE4854"/>
    <w:rsid w:val="00EE4A1B"/>
    <w:rsid w:val="00EE5010"/>
    <w:rsid w:val="00EF1A25"/>
    <w:rsid w:val="00EF480B"/>
    <w:rsid w:val="00F001E8"/>
    <w:rsid w:val="00F005EA"/>
    <w:rsid w:val="00F009C3"/>
    <w:rsid w:val="00F00BF2"/>
    <w:rsid w:val="00F024F3"/>
    <w:rsid w:val="00F11CEA"/>
    <w:rsid w:val="00F126B6"/>
    <w:rsid w:val="00F134DB"/>
    <w:rsid w:val="00F13D06"/>
    <w:rsid w:val="00F146D9"/>
    <w:rsid w:val="00F155E9"/>
    <w:rsid w:val="00F206C1"/>
    <w:rsid w:val="00F21D13"/>
    <w:rsid w:val="00F221B1"/>
    <w:rsid w:val="00F239D4"/>
    <w:rsid w:val="00F23E23"/>
    <w:rsid w:val="00F31E38"/>
    <w:rsid w:val="00F3668F"/>
    <w:rsid w:val="00F36E3F"/>
    <w:rsid w:val="00F471B2"/>
    <w:rsid w:val="00F505FC"/>
    <w:rsid w:val="00F50F31"/>
    <w:rsid w:val="00F566FE"/>
    <w:rsid w:val="00F73AA8"/>
    <w:rsid w:val="00F8081C"/>
    <w:rsid w:val="00F82737"/>
    <w:rsid w:val="00F85080"/>
    <w:rsid w:val="00F86B18"/>
    <w:rsid w:val="00F92465"/>
    <w:rsid w:val="00F944F2"/>
    <w:rsid w:val="00F96BFE"/>
    <w:rsid w:val="00F97CB6"/>
    <w:rsid w:val="00FA6762"/>
    <w:rsid w:val="00FA72C9"/>
    <w:rsid w:val="00FA7435"/>
    <w:rsid w:val="00FA75E9"/>
    <w:rsid w:val="00FA7A65"/>
    <w:rsid w:val="00FB2AEC"/>
    <w:rsid w:val="00FB4D64"/>
    <w:rsid w:val="00FB6931"/>
    <w:rsid w:val="00FB73D4"/>
    <w:rsid w:val="00FC56EE"/>
    <w:rsid w:val="00FD3DF0"/>
    <w:rsid w:val="00FD5C39"/>
    <w:rsid w:val="00FD7CE7"/>
    <w:rsid w:val="00FE1FE7"/>
    <w:rsid w:val="00FE40E2"/>
    <w:rsid w:val="00FE41A9"/>
    <w:rsid w:val="00FE7C4C"/>
    <w:rsid w:val="00FF0359"/>
    <w:rsid w:val="00FF065F"/>
    <w:rsid w:val="00FF4513"/>
    <w:rsid w:val="00FF49BD"/>
    <w:rsid w:val="00FF4C28"/>
    <w:rsid w:val="00FF7A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F5619"/>
  <w15:chartTrackingRefBased/>
  <w15:docId w15:val="{BE4EAC82-B52F-419B-B2F9-65CF1CE25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B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1B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91B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1B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1B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1B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1B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1B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1B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B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1B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91B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1B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1B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1B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B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B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B80"/>
    <w:rPr>
      <w:rFonts w:eastAsiaTheme="majorEastAsia" w:cstheme="majorBidi"/>
      <w:color w:val="272727" w:themeColor="text1" w:themeTint="D8"/>
    </w:rPr>
  </w:style>
  <w:style w:type="paragraph" w:styleId="Title">
    <w:name w:val="Title"/>
    <w:basedOn w:val="Normal"/>
    <w:next w:val="Normal"/>
    <w:link w:val="TitleChar"/>
    <w:uiPriority w:val="10"/>
    <w:qFormat/>
    <w:rsid w:val="000F5BC2"/>
    <w:pPr>
      <w:spacing w:after="80" w:line="240" w:lineRule="auto"/>
      <w:contextualSpacing/>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0F5BC2"/>
    <w:rPr>
      <w:rFonts w:ascii="Times New Roman" w:eastAsiaTheme="majorEastAsia" w:hAnsi="Times New Roman" w:cstheme="majorBidi"/>
      <w:b/>
      <w:spacing w:val="-10"/>
      <w:kern w:val="28"/>
      <w:sz w:val="28"/>
      <w:szCs w:val="56"/>
    </w:rPr>
  </w:style>
  <w:style w:type="paragraph" w:styleId="Subtitle">
    <w:name w:val="Subtitle"/>
    <w:basedOn w:val="Normal"/>
    <w:next w:val="Normal"/>
    <w:link w:val="SubtitleChar"/>
    <w:uiPriority w:val="11"/>
    <w:qFormat/>
    <w:rsid w:val="00791B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1B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B80"/>
    <w:pPr>
      <w:spacing w:before="160"/>
      <w:jc w:val="center"/>
    </w:pPr>
    <w:rPr>
      <w:i/>
      <w:iCs/>
      <w:color w:val="404040" w:themeColor="text1" w:themeTint="BF"/>
    </w:rPr>
  </w:style>
  <w:style w:type="character" w:customStyle="1" w:styleId="QuoteChar">
    <w:name w:val="Quote Char"/>
    <w:basedOn w:val="DefaultParagraphFont"/>
    <w:link w:val="Quote"/>
    <w:uiPriority w:val="29"/>
    <w:rsid w:val="00791B80"/>
    <w:rPr>
      <w:i/>
      <w:iCs/>
      <w:color w:val="404040" w:themeColor="text1" w:themeTint="BF"/>
    </w:rPr>
  </w:style>
  <w:style w:type="paragraph" w:styleId="ListParagraph">
    <w:name w:val="List Paragraph"/>
    <w:basedOn w:val="Normal"/>
    <w:uiPriority w:val="34"/>
    <w:qFormat/>
    <w:rsid w:val="00791B80"/>
    <w:pPr>
      <w:ind w:left="720"/>
      <w:contextualSpacing/>
    </w:pPr>
  </w:style>
  <w:style w:type="character" w:styleId="IntenseEmphasis">
    <w:name w:val="Intense Emphasis"/>
    <w:basedOn w:val="DefaultParagraphFont"/>
    <w:uiPriority w:val="21"/>
    <w:qFormat/>
    <w:rsid w:val="00791B80"/>
    <w:rPr>
      <w:i/>
      <w:iCs/>
      <w:color w:val="2F5496" w:themeColor="accent1" w:themeShade="BF"/>
    </w:rPr>
  </w:style>
  <w:style w:type="paragraph" w:styleId="IntenseQuote">
    <w:name w:val="Intense Quote"/>
    <w:basedOn w:val="Normal"/>
    <w:next w:val="Normal"/>
    <w:link w:val="IntenseQuoteChar"/>
    <w:uiPriority w:val="30"/>
    <w:qFormat/>
    <w:rsid w:val="00791B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1B80"/>
    <w:rPr>
      <w:i/>
      <w:iCs/>
      <w:color w:val="2F5496" w:themeColor="accent1" w:themeShade="BF"/>
    </w:rPr>
  </w:style>
  <w:style w:type="character" w:styleId="IntenseReference">
    <w:name w:val="Intense Reference"/>
    <w:basedOn w:val="DefaultParagraphFont"/>
    <w:uiPriority w:val="32"/>
    <w:qFormat/>
    <w:rsid w:val="00791B80"/>
    <w:rPr>
      <w:b/>
      <w:bCs/>
      <w:smallCaps/>
      <w:color w:val="2F5496" w:themeColor="accent1" w:themeShade="BF"/>
      <w:spacing w:val="5"/>
    </w:rPr>
  </w:style>
  <w:style w:type="paragraph" w:styleId="Header">
    <w:name w:val="header"/>
    <w:basedOn w:val="Normal"/>
    <w:link w:val="HeaderChar"/>
    <w:uiPriority w:val="99"/>
    <w:unhideWhenUsed/>
    <w:rsid w:val="00C01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C27"/>
  </w:style>
  <w:style w:type="paragraph" w:styleId="Footer">
    <w:name w:val="footer"/>
    <w:basedOn w:val="Normal"/>
    <w:link w:val="FooterChar"/>
    <w:uiPriority w:val="99"/>
    <w:unhideWhenUsed/>
    <w:rsid w:val="00C01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C27"/>
  </w:style>
  <w:style w:type="numbering" w:customStyle="1" w:styleId="Style1">
    <w:name w:val="Style1"/>
    <w:uiPriority w:val="99"/>
    <w:rsid w:val="00812012"/>
    <w:pPr>
      <w:numPr>
        <w:numId w:val="4"/>
      </w:numPr>
    </w:pPr>
  </w:style>
  <w:style w:type="numbering" w:customStyle="1" w:styleId="Style2">
    <w:name w:val="Style2"/>
    <w:uiPriority w:val="99"/>
    <w:rsid w:val="00C05EE3"/>
    <w:pPr>
      <w:numPr>
        <w:numId w:val="5"/>
      </w:numPr>
    </w:pPr>
  </w:style>
  <w:style w:type="numbering" w:customStyle="1" w:styleId="Style3">
    <w:name w:val="Style3"/>
    <w:uiPriority w:val="99"/>
    <w:rsid w:val="00C05EE3"/>
    <w:pPr>
      <w:numPr>
        <w:numId w:val="6"/>
      </w:numPr>
    </w:pPr>
  </w:style>
  <w:style w:type="table" w:styleId="TableGrid">
    <w:name w:val="Table Grid"/>
    <w:basedOn w:val="TableNormal"/>
    <w:uiPriority w:val="59"/>
    <w:rsid w:val="004C1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55DB"/>
    <w:rPr>
      <w:b/>
      <w:bCs/>
    </w:rPr>
  </w:style>
  <w:style w:type="paragraph" w:styleId="NormalWeb">
    <w:name w:val="Normal (Web)"/>
    <w:basedOn w:val="Normal"/>
    <w:uiPriority w:val="99"/>
    <w:unhideWhenUsed/>
    <w:rsid w:val="003B33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F66B0"/>
    <w:rPr>
      <w:color w:val="0563C1" w:themeColor="hyperlink"/>
      <w:u w:val="single"/>
    </w:rPr>
  </w:style>
  <w:style w:type="character" w:styleId="UnresolvedMention">
    <w:name w:val="Unresolved Mention"/>
    <w:basedOn w:val="DefaultParagraphFont"/>
    <w:uiPriority w:val="99"/>
    <w:semiHidden/>
    <w:unhideWhenUsed/>
    <w:rsid w:val="00E327E9"/>
    <w:rPr>
      <w:color w:val="605E5C"/>
      <w:shd w:val="clear" w:color="auto" w:fill="E1DFDD"/>
    </w:rPr>
  </w:style>
  <w:style w:type="numbering" w:customStyle="1" w:styleId="Style4">
    <w:name w:val="Style4"/>
    <w:uiPriority w:val="99"/>
    <w:rsid w:val="007154F8"/>
    <w:pPr>
      <w:numPr>
        <w:numId w:val="59"/>
      </w:numPr>
    </w:pPr>
  </w:style>
  <w:style w:type="numbering" w:customStyle="1" w:styleId="Style5">
    <w:name w:val="Style5"/>
    <w:uiPriority w:val="99"/>
    <w:rsid w:val="007154F8"/>
    <w:pPr>
      <w:numPr>
        <w:numId w:val="61"/>
      </w:numPr>
    </w:pPr>
  </w:style>
  <w:style w:type="numbering" w:customStyle="1" w:styleId="Style6">
    <w:name w:val="Style6"/>
    <w:uiPriority w:val="99"/>
    <w:rsid w:val="007154F8"/>
    <w:pPr>
      <w:numPr>
        <w:numId w:val="62"/>
      </w:numPr>
    </w:pPr>
  </w:style>
  <w:style w:type="numbering" w:customStyle="1" w:styleId="Style7">
    <w:name w:val="Style7"/>
    <w:uiPriority w:val="99"/>
    <w:rsid w:val="007154F8"/>
    <w:pPr>
      <w:numPr>
        <w:numId w:val="64"/>
      </w:numPr>
    </w:pPr>
  </w:style>
  <w:style w:type="numbering" w:customStyle="1" w:styleId="Style8">
    <w:name w:val="Style8"/>
    <w:uiPriority w:val="99"/>
    <w:rsid w:val="003465CB"/>
    <w:pPr>
      <w:numPr>
        <w:numId w:val="65"/>
      </w:numPr>
    </w:pPr>
  </w:style>
  <w:style w:type="numbering" w:customStyle="1" w:styleId="Style9">
    <w:name w:val="Style9"/>
    <w:uiPriority w:val="99"/>
    <w:rsid w:val="003465CB"/>
    <w:pPr>
      <w:numPr>
        <w:numId w:val="67"/>
      </w:numPr>
    </w:pPr>
  </w:style>
  <w:style w:type="numbering" w:customStyle="1" w:styleId="Style10">
    <w:name w:val="Style10"/>
    <w:uiPriority w:val="99"/>
    <w:rsid w:val="007A4263"/>
    <w:pPr>
      <w:numPr>
        <w:numId w:val="71"/>
      </w:numPr>
    </w:pPr>
  </w:style>
  <w:style w:type="numbering" w:customStyle="1" w:styleId="Style11">
    <w:name w:val="Style11"/>
    <w:uiPriority w:val="99"/>
    <w:rsid w:val="00794B4C"/>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7278">
      <w:bodyDiv w:val="1"/>
      <w:marLeft w:val="0"/>
      <w:marRight w:val="0"/>
      <w:marTop w:val="0"/>
      <w:marBottom w:val="0"/>
      <w:divBdr>
        <w:top w:val="none" w:sz="0" w:space="0" w:color="auto"/>
        <w:left w:val="none" w:sz="0" w:space="0" w:color="auto"/>
        <w:bottom w:val="none" w:sz="0" w:space="0" w:color="auto"/>
        <w:right w:val="none" w:sz="0" w:space="0" w:color="auto"/>
      </w:divBdr>
    </w:div>
    <w:div w:id="85006717">
      <w:bodyDiv w:val="1"/>
      <w:marLeft w:val="0"/>
      <w:marRight w:val="0"/>
      <w:marTop w:val="0"/>
      <w:marBottom w:val="0"/>
      <w:divBdr>
        <w:top w:val="none" w:sz="0" w:space="0" w:color="auto"/>
        <w:left w:val="none" w:sz="0" w:space="0" w:color="auto"/>
        <w:bottom w:val="none" w:sz="0" w:space="0" w:color="auto"/>
        <w:right w:val="none" w:sz="0" w:space="0" w:color="auto"/>
      </w:divBdr>
    </w:div>
    <w:div w:id="89157484">
      <w:bodyDiv w:val="1"/>
      <w:marLeft w:val="0"/>
      <w:marRight w:val="0"/>
      <w:marTop w:val="0"/>
      <w:marBottom w:val="0"/>
      <w:divBdr>
        <w:top w:val="none" w:sz="0" w:space="0" w:color="auto"/>
        <w:left w:val="none" w:sz="0" w:space="0" w:color="auto"/>
        <w:bottom w:val="none" w:sz="0" w:space="0" w:color="auto"/>
        <w:right w:val="none" w:sz="0" w:space="0" w:color="auto"/>
      </w:divBdr>
    </w:div>
    <w:div w:id="106509058">
      <w:bodyDiv w:val="1"/>
      <w:marLeft w:val="0"/>
      <w:marRight w:val="0"/>
      <w:marTop w:val="0"/>
      <w:marBottom w:val="0"/>
      <w:divBdr>
        <w:top w:val="none" w:sz="0" w:space="0" w:color="auto"/>
        <w:left w:val="none" w:sz="0" w:space="0" w:color="auto"/>
        <w:bottom w:val="none" w:sz="0" w:space="0" w:color="auto"/>
        <w:right w:val="none" w:sz="0" w:space="0" w:color="auto"/>
      </w:divBdr>
      <w:divsChild>
        <w:div w:id="457527705">
          <w:marLeft w:val="0"/>
          <w:marRight w:val="0"/>
          <w:marTop w:val="0"/>
          <w:marBottom w:val="0"/>
          <w:divBdr>
            <w:top w:val="none" w:sz="0" w:space="0" w:color="auto"/>
            <w:left w:val="none" w:sz="0" w:space="0" w:color="auto"/>
            <w:bottom w:val="none" w:sz="0" w:space="0" w:color="auto"/>
            <w:right w:val="none" w:sz="0" w:space="0" w:color="auto"/>
          </w:divBdr>
        </w:div>
      </w:divsChild>
    </w:div>
    <w:div w:id="114520715">
      <w:bodyDiv w:val="1"/>
      <w:marLeft w:val="0"/>
      <w:marRight w:val="0"/>
      <w:marTop w:val="0"/>
      <w:marBottom w:val="0"/>
      <w:divBdr>
        <w:top w:val="none" w:sz="0" w:space="0" w:color="auto"/>
        <w:left w:val="none" w:sz="0" w:space="0" w:color="auto"/>
        <w:bottom w:val="none" w:sz="0" w:space="0" w:color="auto"/>
        <w:right w:val="none" w:sz="0" w:space="0" w:color="auto"/>
      </w:divBdr>
    </w:div>
    <w:div w:id="163205637">
      <w:bodyDiv w:val="1"/>
      <w:marLeft w:val="0"/>
      <w:marRight w:val="0"/>
      <w:marTop w:val="0"/>
      <w:marBottom w:val="0"/>
      <w:divBdr>
        <w:top w:val="none" w:sz="0" w:space="0" w:color="auto"/>
        <w:left w:val="none" w:sz="0" w:space="0" w:color="auto"/>
        <w:bottom w:val="none" w:sz="0" w:space="0" w:color="auto"/>
        <w:right w:val="none" w:sz="0" w:space="0" w:color="auto"/>
      </w:divBdr>
    </w:div>
    <w:div w:id="267397099">
      <w:bodyDiv w:val="1"/>
      <w:marLeft w:val="0"/>
      <w:marRight w:val="0"/>
      <w:marTop w:val="0"/>
      <w:marBottom w:val="0"/>
      <w:divBdr>
        <w:top w:val="none" w:sz="0" w:space="0" w:color="auto"/>
        <w:left w:val="none" w:sz="0" w:space="0" w:color="auto"/>
        <w:bottom w:val="none" w:sz="0" w:space="0" w:color="auto"/>
        <w:right w:val="none" w:sz="0" w:space="0" w:color="auto"/>
      </w:divBdr>
    </w:div>
    <w:div w:id="304551331">
      <w:bodyDiv w:val="1"/>
      <w:marLeft w:val="0"/>
      <w:marRight w:val="0"/>
      <w:marTop w:val="0"/>
      <w:marBottom w:val="0"/>
      <w:divBdr>
        <w:top w:val="none" w:sz="0" w:space="0" w:color="auto"/>
        <w:left w:val="none" w:sz="0" w:space="0" w:color="auto"/>
        <w:bottom w:val="none" w:sz="0" w:space="0" w:color="auto"/>
        <w:right w:val="none" w:sz="0" w:space="0" w:color="auto"/>
      </w:divBdr>
    </w:div>
    <w:div w:id="367490613">
      <w:bodyDiv w:val="1"/>
      <w:marLeft w:val="0"/>
      <w:marRight w:val="0"/>
      <w:marTop w:val="0"/>
      <w:marBottom w:val="0"/>
      <w:divBdr>
        <w:top w:val="none" w:sz="0" w:space="0" w:color="auto"/>
        <w:left w:val="none" w:sz="0" w:space="0" w:color="auto"/>
        <w:bottom w:val="none" w:sz="0" w:space="0" w:color="auto"/>
        <w:right w:val="none" w:sz="0" w:space="0" w:color="auto"/>
      </w:divBdr>
    </w:div>
    <w:div w:id="367878837">
      <w:bodyDiv w:val="1"/>
      <w:marLeft w:val="0"/>
      <w:marRight w:val="0"/>
      <w:marTop w:val="0"/>
      <w:marBottom w:val="0"/>
      <w:divBdr>
        <w:top w:val="none" w:sz="0" w:space="0" w:color="auto"/>
        <w:left w:val="none" w:sz="0" w:space="0" w:color="auto"/>
        <w:bottom w:val="none" w:sz="0" w:space="0" w:color="auto"/>
        <w:right w:val="none" w:sz="0" w:space="0" w:color="auto"/>
      </w:divBdr>
    </w:div>
    <w:div w:id="578713335">
      <w:bodyDiv w:val="1"/>
      <w:marLeft w:val="0"/>
      <w:marRight w:val="0"/>
      <w:marTop w:val="0"/>
      <w:marBottom w:val="0"/>
      <w:divBdr>
        <w:top w:val="none" w:sz="0" w:space="0" w:color="auto"/>
        <w:left w:val="none" w:sz="0" w:space="0" w:color="auto"/>
        <w:bottom w:val="none" w:sz="0" w:space="0" w:color="auto"/>
        <w:right w:val="none" w:sz="0" w:space="0" w:color="auto"/>
      </w:divBdr>
    </w:div>
    <w:div w:id="588849105">
      <w:bodyDiv w:val="1"/>
      <w:marLeft w:val="0"/>
      <w:marRight w:val="0"/>
      <w:marTop w:val="0"/>
      <w:marBottom w:val="0"/>
      <w:divBdr>
        <w:top w:val="none" w:sz="0" w:space="0" w:color="auto"/>
        <w:left w:val="none" w:sz="0" w:space="0" w:color="auto"/>
        <w:bottom w:val="none" w:sz="0" w:space="0" w:color="auto"/>
        <w:right w:val="none" w:sz="0" w:space="0" w:color="auto"/>
      </w:divBdr>
      <w:divsChild>
        <w:div w:id="202251402">
          <w:marLeft w:val="0"/>
          <w:marRight w:val="0"/>
          <w:marTop w:val="0"/>
          <w:marBottom w:val="0"/>
          <w:divBdr>
            <w:top w:val="none" w:sz="0" w:space="0" w:color="auto"/>
            <w:left w:val="none" w:sz="0" w:space="0" w:color="auto"/>
            <w:bottom w:val="none" w:sz="0" w:space="0" w:color="auto"/>
            <w:right w:val="none" w:sz="0" w:space="0" w:color="auto"/>
          </w:divBdr>
        </w:div>
      </w:divsChild>
    </w:div>
    <w:div w:id="603617406">
      <w:bodyDiv w:val="1"/>
      <w:marLeft w:val="0"/>
      <w:marRight w:val="0"/>
      <w:marTop w:val="0"/>
      <w:marBottom w:val="0"/>
      <w:divBdr>
        <w:top w:val="none" w:sz="0" w:space="0" w:color="auto"/>
        <w:left w:val="none" w:sz="0" w:space="0" w:color="auto"/>
        <w:bottom w:val="none" w:sz="0" w:space="0" w:color="auto"/>
        <w:right w:val="none" w:sz="0" w:space="0" w:color="auto"/>
      </w:divBdr>
    </w:div>
    <w:div w:id="686638673">
      <w:bodyDiv w:val="1"/>
      <w:marLeft w:val="0"/>
      <w:marRight w:val="0"/>
      <w:marTop w:val="0"/>
      <w:marBottom w:val="0"/>
      <w:divBdr>
        <w:top w:val="none" w:sz="0" w:space="0" w:color="auto"/>
        <w:left w:val="none" w:sz="0" w:space="0" w:color="auto"/>
        <w:bottom w:val="none" w:sz="0" w:space="0" w:color="auto"/>
        <w:right w:val="none" w:sz="0" w:space="0" w:color="auto"/>
      </w:divBdr>
    </w:div>
    <w:div w:id="760183280">
      <w:bodyDiv w:val="1"/>
      <w:marLeft w:val="0"/>
      <w:marRight w:val="0"/>
      <w:marTop w:val="0"/>
      <w:marBottom w:val="0"/>
      <w:divBdr>
        <w:top w:val="none" w:sz="0" w:space="0" w:color="auto"/>
        <w:left w:val="none" w:sz="0" w:space="0" w:color="auto"/>
        <w:bottom w:val="none" w:sz="0" w:space="0" w:color="auto"/>
        <w:right w:val="none" w:sz="0" w:space="0" w:color="auto"/>
      </w:divBdr>
    </w:div>
    <w:div w:id="781805063">
      <w:bodyDiv w:val="1"/>
      <w:marLeft w:val="0"/>
      <w:marRight w:val="0"/>
      <w:marTop w:val="0"/>
      <w:marBottom w:val="0"/>
      <w:divBdr>
        <w:top w:val="none" w:sz="0" w:space="0" w:color="auto"/>
        <w:left w:val="none" w:sz="0" w:space="0" w:color="auto"/>
        <w:bottom w:val="none" w:sz="0" w:space="0" w:color="auto"/>
        <w:right w:val="none" w:sz="0" w:space="0" w:color="auto"/>
      </w:divBdr>
    </w:div>
    <w:div w:id="794374543">
      <w:bodyDiv w:val="1"/>
      <w:marLeft w:val="0"/>
      <w:marRight w:val="0"/>
      <w:marTop w:val="0"/>
      <w:marBottom w:val="0"/>
      <w:divBdr>
        <w:top w:val="none" w:sz="0" w:space="0" w:color="auto"/>
        <w:left w:val="none" w:sz="0" w:space="0" w:color="auto"/>
        <w:bottom w:val="none" w:sz="0" w:space="0" w:color="auto"/>
        <w:right w:val="none" w:sz="0" w:space="0" w:color="auto"/>
      </w:divBdr>
    </w:div>
    <w:div w:id="803423146">
      <w:bodyDiv w:val="1"/>
      <w:marLeft w:val="0"/>
      <w:marRight w:val="0"/>
      <w:marTop w:val="0"/>
      <w:marBottom w:val="0"/>
      <w:divBdr>
        <w:top w:val="none" w:sz="0" w:space="0" w:color="auto"/>
        <w:left w:val="none" w:sz="0" w:space="0" w:color="auto"/>
        <w:bottom w:val="none" w:sz="0" w:space="0" w:color="auto"/>
        <w:right w:val="none" w:sz="0" w:space="0" w:color="auto"/>
      </w:divBdr>
    </w:div>
    <w:div w:id="847016134">
      <w:bodyDiv w:val="1"/>
      <w:marLeft w:val="0"/>
      <w:marRight w:val="0"/>
      <w:marTop w:val="0"/>
      <w:marBottom w:val="0"/>
      <w:divBdr>
        <w:top w:val="none" w:sz="0" w:space="0" w:color="auto"/>
        <w:left w:val="none" w:sz="0" w:space="0" w:color="auto"/>
        <w:bottom w:val="none" w:sz="0" w:space="0" w:color="auto"/>
        <w:right w:val="none" w:sz="0" w:space="0" w:color="auto"/>
      </w:divBdr>
    </w:div>
    <w:div w:id="889998108">
      <w:bodyDiv w:val="1"/>
      <w:marLeft w:val="0"/>
      <w:marRight w:val="0"/>
      <w:marTop w:val="0"/>
      <w:marBottom w:val="0"/>
      <w:divBdr>
        <w:top w:val="none" w:sz="0" w:space="0" w:color="auto"/>
        <w:left w:val="none" w:sz="0" w:space="0" w:color="auto"/>
        <w:bottom w:val="none" w:sz="0" w:space="0" w:color="auto"/>
        <w:right w:val="none" w:sz="0" w:space="0" w:color="auto"/>
      </w:divBdr>
    </w:div>
    <w:div w:id="891043243">
      <w:bodyDiv w:val="1"/>
      <w:marLeft w:val="0"/>
      <w:marRight w:val="0"/>
      <w:marTop w:val="0"/>
      <w:marBottom w:val="0"/>
      <w:divBdr>
        <w:top w:val="none" w:sz="0" w:space="0" w:color="auto"/>
        <w:left w:val="none" w:sz="0" w:space="0" w:color="auto"/>
        <w:bottom w:val="none" w:sz="0" w:space="0" w:color="auto"/>
        <w:right w:val="none" w:sz="0" w:space="0" w:color="auto"/>
      </w:divBdr>
    </w:div>
    <w:div w:id="970865900">
      <w:bodyDiv w:val="1"/>
      <w:marLeft w:val="0"/>
      <w:marRight w:val="0"/>
      <w:marTop w:val="0"/>
      <w:marBottom w:val="0"/>
      <w:divBdr>
        <w:top w:val="none" w:sz="0" w:space="0" w:color="auto"/>
        <w:left w:val="none" w:sz="0" w:space="0" w:color="auto"/>
        <w:bottom w:val="none" w:sz="0" w:space="0" w:color="auto"/>
        <w:right w:val="none" w:sz="0" w:space="0" w:color="auto"/>
      </w:divBdr>
    </w:div>
    <w:div w:id="1006058871">
      <w:bodyDiv w:val="1"/>
      <w:marLeft w:val="0"/>
      <w:marRight w:val="0"/>
      <w:marTop w:val="0"/>
      <w:marBottom w:val="0"/>
      <w:divBdr>
        <w:top w:val="none" w:sz="0" w:space="0" w:color="auto"/>
        <w:left w:val="none" w:sz="0" w:space="0" w:color="auto"/>
        <w:bottom w:val="none" w:sz="0" w:space="0" w:color="auto"/>
        <w:right w:val="none" w:sz="0" w:space="0" w:color="auto"/>
      </w:divBdr>
      <w:divsChild>
        <w:div w:id="580529934">
          <w:marLeft w:val="0"/>
          <w:marRight w:val="0"/>
          <w:marTop w:val="0"/>
          <w:marBottom w:val="0"/>
          <w:divBdr>
            <w:top w:val="none" w:sz="0" w:space="0" w:color="auto"/>
            <w:left w:val="none" w:sz="0" w:space="0" w:color="auto"/>
            <w:bottom w:val="none" w:sz="0" w:space="0" w:color="auto"/>
            <w:right w:val="none" w:sz="0" w:space="0" w:color="auto"/>
          </w:divBdr>
        </w:div>
      </w:divsChild>
    </w:div>
    <w:div w:id="1011958362">
      <w:bodyDiv w:val="1"/>
      <w:marLeft w:val="0"/>
      <w:marRight w:val="0"/>
      <w:marTop w:val="0"/>
      <w:marBottom w:val="0"/>
      <w:divBdr>
        <w:top w:val="none" w:sz="0" w:space="0" w:color="auto"/>
        <w:left w:val="none" w:sz="0" w:space="0" w:color="auto"/>
        <w:bottom w:val="none" w:sz="0" w:space="0" w:color="auto"/>
        <w:right w:val="none" w:sz="0" w:space="0" w:color="auto"/>
      </w:divBdr>
    </w:div>
    <w:div w:id="1054278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0560">
          <w:marLeft w:val="0"/>
          <w:marRight w:val="0"/>
          <w:marTop w:val="0"/>
          <w:marBottom w:val="0"/>
          <w:divBdr>
            <w:top w:val="none" w:sz="0" w:space="0" w:color="auto"/>
            <w:left w:val="none" w:sz="0" w:space="0" w:color="auto"/>
            <w:bottom w:val="none" w:sz="0" w:space="0" w:color="auto"/>
            <w:right w:val="none" w:sz="0" w:space="0" w:color="auto"/>
          </w:divBdr>
        </w:div>
      </w:divsChild>
    </w:div>
    <w:div w:id="1060404558">
      <w:bodyDiv w:val="1"/>
      <w:marLeft w:val="0"/>
      <w:marRight w:val="0"/>
      <w:marTop w:val="0"/>
      <w:marBottom w:val="0"/>
      <w:divBdr>
        <w:top w:val="none" w:sz="0" w:space="0" w:color="auto"/>
        <w:left w:val="none" w:sz="0" w:space="0" w:color="auto"/>
        <w:bottom w:val="none" w:sz="0" w:space="0" w:color="auto"/>
        <w:right w:val="none" w:sz="0" w:space="0" w:color="auto"/>
      </w:divBdr>
    </w:div>
    <w:div w:id="1071002655">
      <w:bodyDiv w:val="1"/>
      <w:marLeft w:val="0"/>
      <w:marRight w:val="0"/>
      <w:marTop w:val="0"/>
      <w:marBottom w:val="0"/>
      <w:divBdr>
        <w:top w:val="none" w:sz="0" w:space="0" w:color="auto"/>
        <w:left w:val="none" w:sz="0" w:space="0" w:color="auto"/>
        <w:bottom w:val="none" w:sz="0" w:space="0" w:color="auto"/>
        <w:right w:val="none" w:sz="0" w:space="0" w:color="auto"/>
      </w:divBdr>
    </w:div>
    <w:div w:id="1119762935">
      <w:bodyDiv w:val="1"/>
      <w:marLeft w:val="0"/>
      <w:marRight w:val="0"/>
      <w:marTop w:val="0"/>
      <w:marBottom w:val="0"/>
      <w:divBdr>
        <w:top w:val="none" w:sz="0" w:space="0" w:color="auto"/>
        <w:left w:val="none" w:sz="0" w:space="0" w:color="auto"/>
        <w:bottom w:val="none" w:sz="0" w:space="0" w:color="auto"/>
        <w:right w:val="none" w:sz="0" w:space="0" w:color="auto"/>
      </w:divBdr>
    </w:div>
    <w:div w:id="1175799946">
      <w:bodyDiv w:val="1"/>
      <w:marLeft w:val="0"/>
      <w:marRight w:val="0"/>
      <w:marTop w:val="0"/>
      <w:marBottom w:val="0"/>
      <w:divBdr>
        <w:top w:val="none" w:sz="0" w:space="0" w:color="auto"/>
        <w:left w:val="none" w:sz="0" w:space="0" w:color="auto"/>
        <w:bottom w:val="none" w:sz="0" w:space="0" w:color="auto"/>
        <w:right w:val="none" w:sz="0" w:space="0" w:color="auto"/>
      </w:divBdr>
    </w:div>
    <w:div w:id="1190293584">
      <w:bodyDiv w:val="1"/>
      <w:marLeft w:val="0"/>
      <w:marRight w:val="0"/>
      <w:marTop w:val="0"/>
      <w:marBottom w:val="0"/>
      <w:divBdr>
        <w:top w:val="none" w:sz="0" w:space="0" w:color="auto"/>
        <w:left w:val="none" w:sz="0" w:space="0" w:color="auto"/>
        <w:bottom w:val="none" w:sz="0" w:space="0" w:color="auto"/>
        <w:right w:val="none" w:sz="0" w:space="0" w:color="auto"/>
      </w:divBdr>
    </w:div>
    <w:div w:id="1193110423">
      <w:bodyDiv w:val="1"/>
      <w:marLeft w:val="0"/>
      <w:marRight w:val="0"/>
      <w:marTop w:val="0"/>
      <w:marBottom w:val="0"/>
      <w:divBdr>
        <w:top w:val="none" w:sz="0" w:space="0" w:color="auto"/>
        <w:left w:val="none" w:sz="0" w:space="0" w:color="auto"/>
        <w:bottom w:val="none" w:sz="0" w:space="0" w:color="auto"/>
        <w:right w:val="none" w:sz="0" w:space="0" w:color="auto"/>
      </w:divBdr>
    </w:div>
    <w:div w:id="1204714198">
      <w:bodyDiv w:val="1"/>
      <w:marLeft w:val="0"/>
      <w:marRight w:val="0"/>
      <w:marTop w:val="0"/>
      <w:marBottom w:val="0"/>
      <w:divBdr>
        <w:top w:val="none" w:sz="0" w:space="0" w:color="auto"/>
        <w:left w:val="none" w:sz="0" w:space="0" w:color="auto"/>
        <w:bottom w:val="none" w:sz="0" w:space="0" w:color="auto"/>
        <w:right w:val="none" w:sz="0" w:space="0" w:color="auto"/>
      </w:divBdr>
    </w:div>
    <w:div w:id="1351492417">
      <w:bodyDiv w:val="1"/>
      <w:marLeft w:val="0"/>
      <w:marRight w:val="0"/>
      <w:marTop w:val="0"/>
      <w:marBottom w:val="0"/>
      <w:divBdr>
        <w:top w:val="none" w:sz="0" w:space="0" w:color="auto"/>
        <w:left w:val="none" w:sz="0" w:space="0" w:color="auto"/>
        <w:bottom w:val="none" w:sz="0" w:space="0" w:color="auto"/>
        <w:right w:val="none" w:sz="0" w:space="0" w:color="auto"/>
      </w:divBdr>
    </w:div>
    <w:div w:id="1378772538">
      <w:bodyDiv w:val="1"/>
      <w:marLeft w:val="0"/>
      <w:marRight w:val="0"/>
      <w:marTop w:val="0"/>
      <w:marBottom w:val="0"/>
      <w:divBdr>
        <w:top w:val="none" w:sz="0" w:space="0" w:color="auto"/>
        <w:left w:val="none" w:sz="0" w:space="0" w:color="auto"/>
        <w:bottom w:val="none" w:sz="0" w:space="0" w:color="auto"/>
        <w:right w:val="none" w:sz="0" w:space="0" w:color="auto"/>
      </w:divBdr>
    </w:div>
    <w:div w:id="1499345670">
      <w:bodyDiv w:val="1"/>
      <w:marLeft w:val="0"/>
      <w:marRight w:val="0"/>
      <w:marTop w:val="0"/>
      <w:marBottom w:val="0"/>
      <w:divBdr>
        <w:top w:val="none" w:sz="0" w:space="0" w:color="auto"/>
        <w:left w:val="none" w:sz="0" w:space="0" w:color="auto"/>
        <w:bottom w:val="none" w:sz="0" w:space="0" w:color="auto"/>
        <w:right w:val="none" w:sz="0" w:space="0" w:color="auto"/>
      </w:divBdr>
    </w:div>
    <w:div w:id="1551382731">
      <w:bodyDiv w:val="1"/>
      <w:marLeft w:val="0"/>
      <w:marRight w:val="0"/>
      <w:marTop w:val="0"/>
      <w:marBottom w:val="0"/>
      <w:divBdr>
        <w:top w:val="none" w:sz="0" w:space="0" w:color="auto"/>
        <w:left w:val="none" w:sz="0" w:space="0" w:color="auto"/>
        <w:bottom w:val="none" w:sz="0" w:space="0" w:color="auto"/>
        <w:right w:val="none" w:sz="0" w:space="0" w:color="auto"/>
      </w:divBdr>
    </w:div>
    <w:div w:id="1573856435">
      <w:bodyDiv w:val="1"/>
      <w:marLeft w:val="0"/>
      <w:marRight w:val="0"/>
      <w:marTop w:val="0"/>
      <w:marBottom w:val="0"/>
      <w:divBdr>
        <w:top w:val="none" w:sz="0" w:space="0" w:color="auto"/>
        <w:left w:val="none" w:sz="0" w:space="0" w:color="auto"/>
        <w:bottom w:val="none" w:sz="0" w:space="0" w:color="auto"/>
        <w:right w:val="none" w:sz="0" w:space="0" w:color="auto"/>
      </w:divBdr>
    </w:div>
    <w:div w:id="1671832979">
      <w:bodyDiv w:val="1"/>
      <w:marLeft w:val="0"/>
      <w:marRight w:val="0"/>
      <w:marTop w:val="0"/>
      <w:marBottom w:val="0"/>
      <w:divBdr>
        <w:top w:val="none" w:sz="0" w:space="0" w:color="auto"/>
        <w:left w:val="none" w:sz="0" w:space="0" w:color="auto"/>
        <w:bottom w:val="none" w:sz="0" w:space="0" w:color="auto"/>
        <w:right w:val="none" w:sz="0" w:space="0" w:color="auto"/>
      </w:divBdr>
    </w:div>
    <w:div w:id="1732387273">
      <w:bodyDiv w:val="1"/>
      <w:marLeft w:val="0"/>
      <w:marRight w:val="0"/>
      <w:marTop w:val="0"/>
      <w:marBottom w:val="0"/>
      <w:divBdr>
        <w:top w:val="none" w:sz="0" w:space="0" w:color="auto"/>
        <w:left w:val="none" w:sz="0" w:space="0" w:color="auto"/>
        <w:bottom w:val="none" w:sz="0" w:space="0" w:color="auto"/>
        <w:right w:val="none" w:sz="0" w:space="0" w:color="auto"/>
      </w:divBdr>
    </w:div>
    <w:div w:id="1796675039">
      <w:bodyDiv w:val="1"/>
      <w:marLeft w:val="0"/>
      <w:marRight w:val="0"/>
      <w:marTop w:val="0"/>
      <w:marBottom w:val="0"/>
      <w:divBdr>
        <w:top w:val="none" w:sz="0" w:space="0" w:color="auto"/>
        <w:left w:val="none" w:sz="0" w:space="0" w:color="auto"/>
        <w:bottom w:val="none" w:sz="0" w:space="0" w:color="auto"/>
        <w:right w:val="none" w:sz="0" w:space="0" w:color="auto"/>
      </w:divBdr>
    </w:div>
    <w:div w:id="1851943561">
      <w:bodyDiv w:val="1"/>
      <w:marLeft w:val="0"/>
      <w:marRight w:val="0"/>
      <w:marTop w:val="0"/>
      <w:marBottom w:val="0"/>
      <w:divBdr>
        <w:top w:val="none" w:sz="0" w:space="0" w:color="auto"/>
        <w:left w:val="none" w:sz="0" w:space="0" w:color="auto"/>
        <w:bottom w:val="none" w:sz="0" w:space="0" w:color="auto"/>
        <w:right w:val="none" w:sz="0" w:space="0" w:color="auto"/>
      </w:divBdr>
    </w:div>
    <w:div w:id="1865243087">
      <w:bodyDiv w:val="1"/>
      <w:marLeft w:val="0"/>
      <w:marRight w:val="0"/>
      <w:marTop w:val="0"/>
      <w:marBottom w:val="0"/>
      <w:divBdr>
        <w:top w:val="none" w:sz="0" w:space="0" w:color="auto"/>
        <w:left w:val="none" w:sz="0" w:space="0" w:color="auto"/>
        <w:bottom w:val="none" w:sz="0" w:space="0" w:color="auto"/>
        <w:right w:val="none" w:sz="0" w:space="0" w:color="auto"/>
      </w:divBdr>
    </w:div>
    <w:div w:id="1869640230">
      <w:bodyDiv w:val="1"/>
      <w:marLeft w:val="0"/>
      <w:marRight w:val="0"/>
      <w:marTop w:val="0"/>
      <w:marBottom w:val="0"/>
      <w:divBdr>
        <w:top w:val="none" w:sz="0" w:space="0" w:color="auto"/>
        <w:left w:val="none" w:sz="0" w:space="0" w:color="auto"/>
        <w:bottom w:val="none" w:sz="0" w:space="0" w:color="auto"/>
        <w:right w:val="none" w:sz="0" w:space="0" w:color="auto"/>
      </w:divBdr>
    </w:div>
    <w:div w:id="1874070989">
      <w:bodyDiv w:val="1"/>
      <w:marLeft w:val="0"/>
      <w:marRight w:val="0"/>
      <w:marTop w:val="0"/>
      <w:marBottom w:val="0"/>
      <w:divBdr>
        <w:top w:val="none" w:sz="0" w:space="0" w:color="auto"/>
        <w:left w:val="none" w:sz="0" w:space="0" w:color="auto"/>
        <w:bottom w:val="none" w:sz="0" w:space="0" w:color="auto"/>
        <w:right w:val="none" w:sz="0" w:space="0" w:color="auto"/>
      </w:divBdr>
    </w:div>
    <w:div w:id="1890995198">
      <w:bodyDiv w:val="1"/>
      <w:marLeft w:val="0"/>
      <w:marRight w:val="0"/>
      <w:marTop w:val="0"/>
      <w:marBottom w:val="0"/>
      <w:divBdr>
        <w:top w:val="none" w:sz="0" w:space="0" w:color="auto"/>
        <w:left w:val="none" w:sz="0" w:space="0" w:color="auto"/>
        <w:bottom w:val="none" w:sz="0" w:space="0" w:color="auto"/>
        <w:right w:val="none" w:sz="0" w:space="0" w:color="auto"/>
      </w:divBdr>
    </w:div>
    <w:div w:id="1971662488">
      <w:bodyDiv w:val="1"/>
      <w:marLeft w:val="0"/>
      <w:marRight w:val="0"/>
      <w:marTop w:val="0"/>
      <w:marBottom w:val="0"/>
      <w:divBdr>
        <w:top w:val="none" w:sz="0" w:space="0" w:color="auto"/>
        <w:left w:val="none" w:sz="0" w:space="0" w:color="auto"/>
        <w:bottom w:val="none" w:sz="0" w:space="0" w:color="auto"/>
        <w:right w:val="none" w:sz="0" w:space="0" w:color="auto"/>
      </w:divBdr>
    </w:div>
    <w:div w:id="2024746778">
      <w:bodyDiv w:val="1"/>
      <w:marLeft w:val="0"/>
      <w:marRight w:val="0"/>
      <w:marTop w:val="0"/>
      <w:marBottom w:val="0"/>
      <w:divBdr>
        <w:top w:val="none" w:sz="0" w:space="0" w:color="auto"/>
        <w:left w:val="none" w:sz="0" w:space="0" w:color="auto"/>
        <w:bottom w:val="none" w:sz="0" w:space="0" w:color="auto"/>
        <w:right w:val="none" w:sz="0" w:space="0" w:color="auto"/>
      </w:divBdr>
    </w:div>
    <w:div w:id="212187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conrel.2021.12.030" TargetMode="External"/><Relationship Id="rId21" Type="http://schemas.openxmlformats.org/officeDocument/2006/relationships/hyperlink" Target="https://doi.org/10.1002/mba2.19" TargetMode="External"/><Relationship Id="rId42" Type="http://schemas.openxmlformats.org/officeDocument/2006/relationships/hyperlink" Target="https://doi.org/10.1186/s12951-018-0392-8" TargetMode="External"/><Relationship Id="rId47" Type="http://schemas.openxmlformats.org/officeDocument/2006/relationships/hyperlink" Target="https://doi.org/10.3390/pharmaceutics11070339" TargetMode="External"/><Relationship Id="rId63" Type="http://schemas.openxmlformats.org/officeDocument/2006/relationships/hyperlink" Target="https://doi.org/10.3109/10717540903508987" TargetMode="External"/><Relationship Id="rId68" Type="http://schemas.openxmlformats.org/officeDocument/2006/relationships/hyperlink" Target="https://doi.org/10.1016/j.addr.2020.07.012" TargetMode="External"/><Relationship Id="rId84" Type="http://schemas.openxmlformats.org/officeDocument/2006/relationships/hyperlink" Target="https://patents.google.com/patent/US20070292479A1/en" TargetMode="External"/><Relationship Id="rId89" Type="http://schemas.openxmlformats.org/officeDocument/2006/relationships/header" Target="header3.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oi.org/10.1016/j.jddst.2020.102201" TargetMode="External"/><Relationship Id="rId37" Type="http://schemas.openxmlformats.org/officeDocument/2006/relationships/hyperlink" Target="https://doi.org/10.3390/polym13071105" TargetMode="External"/><Relationship Id="rId53" Type="http://schemas.openxmlformats.org/officeDocument/2006/relationships/hyperlink" Target="https://doi.org/10.1177/0036850420964302" TargetMode="External"/><Relationship Id="rId58" Type="http://schemas.openxmlformats.org/officeDocument/2006/relationships/hyperlink" Target="https://doi.org/10.4274/tjps.galenos.2020.76390" TargetMode="External"/><Relationship Id="rId74" Type="http://schemas.openxmlformats.org/officeDocument/2006/relationships/hyperlink" Target="https://doi.org/10.3109/10717540903508987" TargetMode="External"/><Relationship Id="rId79" Type="http://schemas.openxmlformats.org/officeDocument/2006/relationships/hyperlink" Target="https://patents.google.com/patent/EP2509631/en"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7.png"/><Relationship Id="rId22" Type="http://schemas.openxmlformats.org/officeDocument/2006/relationships/hyperlink" Target="https://doi.org/10.1016/j.drudis.2017.10.003" TargetMode="External"/><Relationship Id="rId27" Type="http://schemas.openxmlformats.org/officeDocument/2006/relationships/hyperlink" Target="https://doi.org/10.3390/pharmaceutics10040222" TargetMode="External"/><Relationship Id="rId30" Type="http://schemas.openxmlformats.org/officeDocument/2006/relationships/hyperlink" Target="https://doi.org/10.4274/tjps.galenos.2020.76390" TargetMode="External"/><Relationship Id="rId35" Type="http://schemas.openxmlformats.org/officeDocument/2006/relationships/hyperlink" Target="https://doi.org/10.25258/ijcprr.v8i03.9214" TargetMode="External"/><Relationship Id="rId43" Type="http://schemas.openxmlformats.org/officeDocument/2006/relationships/hyperlink" Target="https://doi.org/10.3109/21691401.2014.953633" TargetMode="External"/><Relationship Id="rId48" Type="http://schemas.openxmlformats.org/officeDocument/2006/relationships/hyperlink" Target="https://doi.org/10.1080/00140139.2017.1349935" TargetMode="External"/><Relationship Id="rId56" Type="http://schemas.openxmlformats.org/officeDocument/2006/relationships/hyperlink" Target="https://doi.org/10.1208/s12249-015-0360-7" TargetMode="External"/><Relationship Id="rId64" Type="http://schemas.openxmlformats.org/officeDocument/2006/relationships/hyperlink" Target="https://doi.org/10.3109/10717540903508987" TargetMode="External"/><Relationship Id="rId69" Type="http://schemas.openxmlformats.org/officeDocument/2006/relationships/hyperlink" Target="https://doi.org/10.1016/j.ijpharm.2019.118697" TargetMode="External"/><Relationship Id="rId77" Type="http://schemas.openxmlformats.org/officeDocument/2006/relationships/hyperlink" Target="https://patents.google.com/patent/EP2883540/en" TargetMode="External"/><Relationship Id="rId8" Type="http://schemas.openxmlformats.org/officeDocument/2006/relationships/image" Target="media/image1.png"/><Relationship Id="rId51" Type="http://schemas.openxmlformats.org/officeDocument/2006/relationships/hyperlink" Target="https://doi.org/10.1016/s1773-2247(13)50068-2" TargetMode="External"/><Relationship Id="rId72" Type="http://schemas.openxmlformats.org/officeDocument/2006/relationships/hyperlink" Target="https://doi.org/10.1016/j.ijpharm.2019.01.029" TargetMode="External"/><Relationship Id="rId80" Type="http://schemas.openxmlformats.org/officeDocument/2006/relationships/hyperlink" Target="https://patents.google.com/patent/US20100215774/en"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ejpb.2017.01.003" TargetMode="External"/><Relationship Id="rId25" Type="http://schemas.openxmlformats.org/officeDocument/2006/relationships/hyperlink" Target="https://doi.org/10.3390/pharmaceutics15122753" TargetMode="External"/><Relationship Id="rId33" Type="http://schemas.openxmlformats.org/officeDocument/2006/relationships/hyperlink" Target="https://doi.org/10.1016/j.jconrel.2020.12.029" TargetMode="External"/><Relationship Id="rId38" Type="http://schemas.openxmlformats.org/officeDocument/2006/relationships/hyperlink" Target="https://doi.org/10.1016/j.eurpolymj.2010.12.011" TargetMode="External"/><Relationship Id="rId46" Type="http://schemas.openxmlformats.org/officeDocument/2006/relationships/hyperlink" Target="https://doi.org/10.1016/j.ijpharm.2021.120759" TargetMode="External"/><Relationship Id="rId59" Type="http://schemas.openxmlformats.org/officeDocument/2006/relationships/hyperlink" Target="https://doi.org/10.1080/17425247.2016.1198767" TargetMode="External"/><Relationship Id="rId67" Type="http://schemas.openxmlformats.org/officeDocument/2006/relationships/hyperlink" Target="https://doi.org/10.47583/ijpsrr.2022.v76i01.007" TargetMode="External"/><Relationship Id="rId20" Type="http://schemas.openxmlformats.org/officeDocument/2006/relationships/hyperlink" Target="https://doi.org/10.1016/j.colsurfb.2025.114604" TargetMode="External"/><Relationship Id="rId41" Type="http://schemas.openxmlformats.org/officeDocument/2006/relationships/hyperlink" Target="https://doi.org/10.1080/21691401.2023.2247036" TargetMode="External"/><Relationship Id="rId54" Type="http://schemas.openxmlformats.org/officeDocument/2006/relationships/hyperlink" Target="https://doi.org/10.5402/2012/436763" TargetMode="External"/><Relationship Id="rId62" Type="http://schemas.openxmlformats.org/officeDocument/2006/relationships/hyperlink" Target="https://doi.org/10.1016/j.ijpharm.2020.119807" TargetMode="External"/><Relationship Id="rId70" Type="http://schemas.openxmlformats.org/officeDocument/2006/relationships/hyperlink" Target="https://doi.org/10.1016/j.ijpharm.2023.122789" TargetMode="External"/><Relationship Id="rId75" Type="http://schemas.openxmlformats.org/officeDocument/2006/relationships/hyperlink" Target="https://doi.org/10.53730/ijhs.v6ns5.9567" TargetMode="External"/><Relationship Id="rId83" Type="http://schemas.openxmlformats.org/officeDocument/2006/relationships/hyperlink" Target="https://patents.google.com/patent/US8623401B2/en"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j.ijpharm.2021.120759" TargetMode="External"/><Relationship Id="rId28" Type="http://schemas.openxmlformats.org/officeDocument/2006/relationships/hyperlink" Target="https://doi.org/10.1016/j.jconrel.2009.07.016" TargetMode="External"/><Relationship Id="rId36" Type="http://schemas.openxmlformats.org/officeDocument/2006/relationships/hyperlink" Target="https://doi.org/10.1016/j.focha.2022.100135" TargetMode="External"/><Relationship Id="rId49" Type="http://schemas.openxmlformats.org/officeDocument/2006/relationships/hyperlink" Target="https://doi.org/10.1111/j.1601-0825.2009.01513.x" TargetMode="External"/><Relationship Id="rId57" Type="http://schemas.openxmlformats.org/officeDocument/2006/relationships/hyperlink" Target="https://doi.org/10.1016/j.drudis.2019.05.013" TargetMode="External"/><Relationship Id="rId10" Type="http://schemas.openxmlformats.org/officeDocument/2006/relationships/image" Target="media/image3.jpg"/><Relationship Id="rId31" Type="http://schemas.openxmlformats.org/officeDocument/2006/relationships/hyperlink" Target="https://doi.org/10.47583/ijpsrr.2022.v76i01.007" TargetMode="External"/><Relationship Id="rId44" Type="http://schemas.openxmlformats.org/officeDocument/2006/relationships/hyperlink" Target="https://doi.org/10.3390/pharmaceutics14030517" TargetMode="External"/><Relationship Id="rId52" Type="http://schemas.openxmlformats.org/officeDocument/2006/relationships/hyperlink" Target="https://doi.org/10.1002/pen.11147" TargetMode="External"/><Relationship Id="rId60" Type="http://schemas.openxmlformats.org/officeDocument/2006/relationships/hyperlink" Target="https://doi.org/10.3390/ph15070844" TargetMode="External"/><Relationship Id="rId65" Type="http://schemas.openxmlformats.org/officeDocument/2006/relationships/hyperlink" Target="https://doi.org/10.1016/j.jconrel.2012.11.019" TargetMode="External"/><Relationship Id="rId73" Type="http://schemas.openxmlformats.org/officeDocument/2006/relationships/hyperlink" Target="https://doi.org/10.1177/0883073810368312" TargetMode="External"/><Relationship Id="rId78" Type="http://schemas.openxmlformats.org/officeDocument/2006/relationships/hyperlink" Target="https://patents.google.com/patent/US8906277/en" TargetMode="External"/><Relationship Id="rId81" Type="http://schemas.openxmlformats.org/officeDocument/2006/relationships/hyperlink" Target="https://patents.google.com/patent/US7727466/en" TargetMode="Externa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hyperlink" Target="https://doi.org/10.1016/j.jare.2019.04.010" TargetMode="External"/><Relationship Id="rId39" Type="http://schemas.openxmlformats.org/officeDocument/2006/relationships/hyperlink" Target="https://doi.org/10.1016/j.fbio.2018.06.006" TargetMode="External"/><Relationship Id="rId34" Type="http://schemas.openxmlformats.org/officeDocument/2006/relationships/hyperlink" Target="https://doi.org/10.1016/j.jconrel.2009.06.014" TargetMode="External"/><Relationship Id="rId50" Type="http://schemas.openxmlformats.org/officeDocument/2006/relationships/hyperlink" Target="https://doi.org/10.1016/j.ejpb.2020.06.005" TargetMode="External"/><Relationship Id="rId55" Type="http://schemas.openxmlformats.org/officeDocument/2006/relationships/hyperlink" Target="https://doi.org/10.3109/10837450.2012.693505" TargetMode="External"/><Relationship Id="rId76" Type="http://schemas.openxmlformats.org/officeDocument/2006/relationships/hyperlink" Target="https://patents.google.com/patent/EP2821066A2/en" TargetMode="External"/><Relationship Id="rId7" Type="http://schemas.openxmlformats.org/officeDocument/2006/relationships/endnotes" Target="endnotes.xml"/><Relationship Id="rId71" Type="http://schemas.openxmlformats.org/officeDocument/2006/relationships/hyperlink" Target="https://doi.org/10.2174/1381612826666200614182013"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i.org/10.4103/2230-973x.114897" TargetMode="External"/><Relationship Id="rId24" Type="http://schemas.openxmlformats.org/officeDocument/2006/relationships/hyperlink" Target="https://doi.org/10.22270/jddt.v12i2.5244" TargetMode="External"/><Relationship Id="rId40" Type="http://schemas.openxmlformats.org/officeDocument/2006/relationships/hyperlink" Target="https://doi.org/10.1016/j.apsb.2013.11.001" TargetMode="External"/><Relationship Id="rId45" Type="http://schemas.openxmlformats.org/officeDocument/2006/relationships/hyperlink" Target="https://doi.org/10.4274/tjps.galenos.2020.76390" TargetMode="External"/><Relationship Id="rId66" Type="http://schemas.openxmlformats.org/officeDocument/2006/relationships/hyperlink" Target="https://doi.org/10.1016/j.ijpharm.2019.02.042" TargetMode="External"/><Relationship Id="rId87" Type="http://schemas.openxmlformats.org/officeDocument/2006/relationships/footer" Target="footer1.xml"/><Relationship Id="rId61" Type="http://schemas.openxmlformats.org/officeDocument/2006/relationships/hyperlink" Target="https://doi.org/10.1208/s12249-017-0754-9" TargetMode="External"/><Relationship Id="rId82" Type="http://schemas.openxmlformats.org/officeDocument/2006/relationships/hyperlink" Target="https://patents.google.com/patent/US7241411/en" TargetMode="External"/><Relationship Id="rId19" Type="http://schemas.openxmlformats.org/officeDocument/2006/relationships/hyperlink" Target="https://doi.org/10.1016/j.jddst.2022.1039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13E1B-0A2F-4764-A989-A8957CBB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12357</Words>
  <Characters>70440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Arpitha Nandakumar</dc:creator>
  <cp:keywords/>
  <dc:description/>
  <cp:lastModifiedBy>Arpitha Nandakumar</cp:lastModifiedBy>
  <cp:revision>6</cp:revision>
  <cp:lastPrinted>2025-03-24T08:01:00Z</cp:lastPrinted>
  <dcterms:created xsi:type="dcterms:W3CDTF">2025-04-01T03:42:00Z</dcterms:created>
  <dcterms:modified xsi:type="dcterms:W3CDTF">2025-04-01T03:55:00Z</dcterms:modified>
</cp:coreProperties>
</file>