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461B9" w14:textId="77777777" w:rsidR="00751852" w:rsidRDefault="00751852" w:rsidP="005E42B1">
      <w:pPr>
        <w:rPr>
          <w:rFonts w:ascii="Arial" w:hAnsi="Arial" w:cs="Arial"/>
          <w:b/>
          <w:sz w:val="36"/>
          <w:szCs w:val="36"/>
        </w:rPr>
      </w:pPr>
      <w:r w:rsidRPr="00751852">
        <w:rPr>
          <w:rFonts w:ascii="Arial" w:hAnsi="Arial" w:cs="Arial"/>
          <w:b/>
          <w:sz w:val="36"/>
          <w:szCs w:val="36"/>
        </w:rPr>
        <w:t>Original Research Article</w:t>
      </w:r>
    </w:p>
    <w:p w14:paraId="48CD9FD9" w14:textId="77777777" w:rsidR="00751852" w:rsidRDefault="00751852" w:rsidP="005E42B1">
      <w:pPr>
        <w:rPr>
          <w:rFonts w:ascii="Arial" w:hAnsi="Arial" w:cs="Arial"/>
          <w:b/>
          <w:sz w:val="36"/>
          <w:szCs w:val="36"/>
        </w:rPr>
      </w:pPr>
    </w:p>
    <w:p w14:paraId="367A7DDA" w14:textId="337273B4" w:rsidR="005E42B1" w:rsidRPr="00C20D63" w:rsidRDefault="005E42B1" w:rsidP="005E42B1">
      <w:pPr>
        <w:rPr>
          <w:rFonts w:ascii="Arial" w:hAnsi="Arial" w:cs="Arial"/>
          <w:b/>
          <w:sz w:val="36"/>
          <w:szCs w:val="36"/>
        </w:rPr>
      </w:pPr>
      <w:r w:rsidRPr="00C20D63">
        <w:rPr>
          <w:rFonts w:ascii="Arial" w:hAnsi="Arial" w:cs="Arial"/>
          <w:b/>
          <w:sz w:val="36"/>
          <w:szCs w:val="36"/>
        </w:rPr>
        <w:t xml:space="preserve">Microbiology </w:t>
      </w:r>
      <w:r>
        <w:rPr>
          <w:rFonts w:ascii="Arial" w:hAnsi="Arial" w:cs="Arial"/>
          <w:b/>
          <w:sz w:val="36"/>
          <w:szCs w:val="36"/>
        </w:rPr>
        <w:t>o</w:t>
      </w:r>
      <w:r w:rsidRPr="00C20D63">
        <w:rPr>
          <w:rFonts w:ascii="Arial" w:hAnsi="Arial" w:cs="Arial"/>
          <w:b/>
          <w:sz w:val="36"/>
          <w:szCs w:val="36"/>
        </w:rPr>
        <w:t xml:space="preserve">f Dental Calculus </w:t>
      </w:r>
      <w:r>
        <w:rPr>
          <w:rFonts w:ascii="Arial" w:hAnsi="Arial" w:cs="Arial"/>
          <w:b/>
          <w:sz w:val="36"/>
          <w:szCs w:val="36"/>
        </w:rPr>
        <w:t>o</w:t>
      </w:r>
      <w:r w:rsidRPr="00C20D63">
        <w:rPr>
          <w:rFonts w:ascii="Arial" w:hAnsi="Arial" w:cs="Arial"/>
          <w:b/>
          <w:sz w:val="36"/>
          <w:szCs w:val="36"/>
        </w:rPr>
        <w:t xml:space="preserve">f Prehistoric People </w:t>
      </w:r>
      <w:r>
        <w:rPr>
          <w:rFonts w:ascii="Arial" w:hAnsi="Arial" w:cs="Arial"/>
          <w:b/>
          <w:sz w:val="36"/>
          <w:szCs w:val="36"/>
        </w:rPr>
        <w:t>f</w:t>
      </w:r>
      <w:r w:rsidRPr="00C20D63">
        <w:rPr>
          <w:rFonts w:ascii="Arial" w:hAnsi="Arial" w:cs="Arial"/>
          <w:b/>
          <w:sz w:val="36"/>
          <w:szCs w:val="36"/>
        </w:rPr>
        <w:t xml:space="preserve">rom </w:t>
      </w:r>
      <w:proofErr w:type="spellStart"/>
      <w:r w:rsidRPr="00C20D63">
        <w:rPr>
          <w:rFonts w:ascii="Arial" w:hAnsi="Arial" w:cs="Arial"/>
          <w:b/>
          <w:sz w:val="36"/>
          <w:szCs w:val="36"/>
        </w:rPr>
        <w:t>Cabeçuda</w:t>
      </w:r>
      <w:proofErr w:type="spellEnd"/>
      <w:r w:rsidRPr="00C20D63">
        <w:rPr>
          <w:rFonts w:ascii="Arial" w:hAnsi="Arial" w:cs="Arial"/>
          <w:b/>
          <w:sz w:val="36"/>
          <w:szCs w:val="36"/>
        </w:rPr>
        <w:t xml:space="preserve"> Shell Mound, Santa Catarina, Brazil</w:t>
      </w:r>
    </w:p>
    <w:p w14:paraId="11352E9E" w14:textId="77777777" w:rsidR="003724B3" w:rsidRPr="00686471" w:rsidRDefault="003724B3" w:rsidP="00441B6F">
      <w:pPr>
        <w:pStyle w:val="Affiliation"/>
        <w:spacing w:after="0" w:line="240" w:lineRule="auto"/>
        <w:jc w:val="both"/>
        <w:rPr>
          <w:rFonts w:ascii="Arial" w:hAnsi="Arial" w:cs="Arial"/>
        </w:rPr>
      </w:pPr>
    </w:p>
    <w:p w14:paraId="247B5340" w14:textId="54F3C870" w:rsidR="00B01FCD" w:rsidRPr="00FB3A86" w:rsidRDefault="00DB2BA3" w:rsidP="00441B6F">
      <w:pPr>
        <w:pStyle w:val="Copyright"/>
        <w:spacing w:after="0" w:line="240" w:lineRule="auto"/>
        <w:jc w:val="both"/>
        <w:rPr>
          <w:rFonts w:ascii="Arial" w:hAnsi="Arial" w:cs="Arial"/>
        </w:rPr>
        <w:sectPr w:rsidR="00B01FCD" w:rsidRPr="00FB3A86" w:rsidSect="003724B3">
          <w:headerReference w:type="even" r:id="rId8"/>
          <w:headerReference w:type="default" r:id="rId9"/>
          <w:headerReference w:type="first" r:id="rId10"/>
          <w:footerReference w:type="first" r:id="rId11"/>
          <w:pgSz w:w="12240" w:h="15840" w:code="1"/>
          <w:pgMar w:top="1440" w:right="2016" w:bottom="2016" w:left="2016" w:header="720" w:footer="1296" w:gutter="0"/>
          <w:cols w:space="720"/>
          <w:titlePg/>
          <w:docGrid w:linePitch="272"/>
        </w:sectPr>
      </w:pPr>
      <w:r>
        <w:rPr>
          <w:rFonts w:ascii="Arial" w:hAnsi="Arial" w:cs="Arial"/>
          <w:noProof/>
        </w:rPr>
        <mc:AlternateContent>
          <mc:Choice Requires="wps">
            <w:drawing>
              <wp:inline distT="0" distB="0" distL="0" distR="0" wp14:anchorId="41583D33" wp14:editId="58E499F9">
                <wp:extent cx="5303520" cy="635"/>
                <wp:effectExtent l="11430" t="13335" r="9525" b="15240"/>
                <wp:docPr id="19390967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603DB9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A358A9B" w14:textId="775BE44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313134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B7407E4" w14:textId="77777777" w:rsidTr="001E44FE">
        <w:tc>
          <w:tcPr>
            <w:tcW w:w="9576" w:type="dxa"/>
            <w:shd w:val="clear" w:color="auto" w:fill="F2F2F2"/>
          </w:tcPr>
          <w:p w14:paraId="126ED210" w14:textId="77777777" w:rsidR="0055035B" w:rsidRPr="0055035B" w:rsidRDefault="0055035B" w:rsidP="00A0695F">
            <w:pPr>
              <w:spacing w:after="160" w:line="278" w:lineRule="auto"/>
              <w:jc w:val="both"/>
              <w:rPr>
                <w:rFonts w:ascii="Arial" w:eastAsia="Aptos" w:hAnsi="Arial" w:cs="Arial"/>
                <w:kern w:val="2"/>
                <w14:ligatures w14:val="standardContextual"/>
              </w:rPr>
            </w:pPr>
            <w:r w:rsidRPr="0055035B">
              <w:rPr>
                <w:rFonts w:ascii="Arial" w:eastAsia="Aptos" w:hAnsi="Arial" w:cs="Arial"/>
                <w:b/>
                <w:bCs/>
                <w:kern w:val="2"/>
                <w14:ligatures w14:val="standardContextual"/>
              </w:rPr>
              <w:t>Background and Aim</w:t>
            </w:r>
            <w:r w:rsidRPr="0055035B">
              <w:rPr>
                <w:rFonts w:ascii="Arial" w:eastAsia="Aptos" w:hAnsi="Arial" w:cs="Arial"/>
                <w:kern w:val="2"/>
                <w14:ligatures w14:val="standardContextual"/>
              </w:rPr>
              <w:t xml:space="preserve">: Oral health investigations contribute to the understanding of the culture and biology of past populations. It is possible to go beyond the main diseases, such as caries and tooth loss, addressing detailed information on morphology, pathology, and physiology. A progressing analysis of microfossils in dental calculus confirms the good preservation of biofilm in the matrix. Health models associating synergic relationships of dental &amp; oral pathology with systemic diseases are important to understand modern, as well as past human life and death. The aim of this investigation is to the absence of dental caries in one human past population, that could be associated with a specific oral microbiota and health conditions. </w:t>
            </w:r>
          </w:p>
          <w:p w14:paraId="407D7246" w14:textId="584ED47B" w:rsidR="0055035B" w:rsidRPr="0055035B" w:rsidRDefault="0055035B" w:rsidP="00A0695F">
            <w:pPr>
              <w:spacing w:after="160" w:line="278" w:lineRule="auto"/>
              <w:jc w:val="both"/>
              <w:rPr>
                <w:rFonts w:ascii="Arial" w:eastAsia="Aptos" w:hAnsi="Arial" w:cs="Arial"/>
                <w:kern w:val="2"/>
                <w14:ligatures w14:val="standardContextual"/>
              </w:rPr>
            </w:pPr>
            <w:r w:rsidRPr="0055035B">
              <w:rPr>
                <w:rFonts w:ascii="Arial" w:eastAsia="Aptos" w:hAnsi="Arial" w:cs="Arial"/>
                <w:b/>
                <w:bCs/>
                <w:kern w:val="2"/>
                <w14:ligatures w14:val="standardContextual"/>
              </w:rPr>
              <w:t>Methodology</w:t>
            </w:r>
            <w:r w:rsidRPr="0055035B">
              <w:rPr>
                <w:rFonts w:ascii="Arial" w:eastAsia="Aptos" w:hAnsi="Arial" w:cs="Arial"/>
                <w:kern w:val="2"/>
                <w14:ligatures w14:val="standardContextual"/>
              </w:rPr>
              <w:t xml:space="preserve">: Dental calculi were extracted from the human teeth of 20 different adult and subadult individuals, both sexes. The morphology of biofilm components was described, especially in the search for </w:t>
            </w:r>
            <w:proofErr w:type="spellStart"/>
            <w:r w:rsidRPr="0055035B">
              <w:rPr>
                <w:rFonts w:ascii="Arial" w:eastAsia="Aptos" w:hAnsi="Arial" w:cs="Arial"/>
                <w:kern w:val="2"/>
                <w14:ligatures w14:val="standardContextual"/>
              </w:rPr>
              <w:t>Vibrios</w:t>
            </w:r>
            <w:proofErr w:type="spellEnd"/>
            <w:r w:rsidRPr="0055035B">
              <w:rPr>
                <w:rFonts w:ascii="Arial" w:eastAsia="Aptos" w:hAnsi="Arial" w:cs="Arial"/>
                <w:kern w:val="2"/>
                <w14:ligatures w14:val="standardContextual"/>
              </w:rPr>
              <w:t xml:space="preserve">. Coastal human groups lived exposed to the saltwater environment, and the one studied here, from the shell mound of </w:t>
            </w:r>
            <w:proofErr w:type="spellStart"/>
            <w:r w:rsidRPr="0055035B">
              <w:rPr>
                <w:rFonts w:ascii="Arial" w:eastAsia="Aptos" w:hAnsi="Arial" w:cs="Arial"/>
                <w:kern w:val="2"/>
                <w14:ligatures w14:val="standardContextual"/>
              </w:rPr>
              <w:t>Cabeçuda</w:t>
            </w:r>
            <w:proofErr w:type="spellEnd"/>
            <w:r w:rsidRPr="0055035B">
              <w:rPr>
                <w:rFonts w:ascii="Arial" w:eastAsia="Aptos" w:hAnsi="Arial" w:cs="Arial"/>
                <w:kern w:val="2"/>
                <w14:ligatures w14:val="standardContextual"/>
              </w:rPr>
              <w:t xml:space="preserve">, Santa Catarina State, Brazil, was free from caries (estimate date 2,800 to 1,500 BP). The archaeological series belonged to the </w:t>
            </w:r>
            <w:proofErr w:type="spellStart"/>
            <w:r w:rsidRPr="0055035B">
              <w:rPr>
                <w:rFonts w:ascii="Arial" w:eastAsia="Aptos" w:hAnsi="Arial" w:cs="Arial"/>
                <w:kern w:val="2"/>
                <w14:ligatures w14:val="standardContextual"/>
              </w:rPr>
              <w:t>Museu</w:t>
            </w:r>
            <w:proofErr w:type="spellEnd"/>
            <w:r w:rsidRPr="0055035B">
              <w:rPr>
                <w:rFonts w:ascii="Arial" w:eastAsia="Aptos" w:hAnsi="Arial" w:cs="Arial"/>
                <w:kern w:val="2"/>
                <w14:ligatures w14:val="standardContextual"/>
              </w:rPr>
              <w:t xml:space="preserve"> Nacional of Rio de Janeiro; sample selection occurred in its Biological Anthropology laboratory. Calculi extraction &amp; preparation was in the laboratory of paleoparasitology at </w:t>
            </w:r>
            <w:proofErr w:type="spellStart"/>
            <w:r w:rsidRPr="0055035B">
              <w:rPr>
                <w:rFonts w:ascii="Arial" w:eastAsia="Aptos" w:hAnsi="Arial" w:cs="Arial"/>
                <w:kern w:val="2"/>
                <w14:ligatures w14:val="standardContextual"/>
              </w:rPr>
              <w:t>Fiocruz</w:t>
            </w:r>
            <w:proofErr w:type="spellEnd"/>
            <w:r w:rsidRPr="0055035B">
              <w:rPr>
                <w:rFonts w:ascii="Arial" w:eastAsia="Aptos" w:hAnsi="Arial" w:cs="Arial"/>
                <w:kern w:val="2"/>
                <w14:ligatures w14:val="standardContextual"/>
              </w:rPr>
              <w:t xml:space="preserve">, the SEM analysis was at Hertha Mayer Laboratory, Federal University of Rio de Janeiro. After appropriate </w:t>
            </w:r>
            <w:proofErr w:type="spellStart"/>
            <w:r w:rsidRPr="0055035B">
              <w:rPr>
                <w:rFonts w:ascii="Arial" w:eastAsia="Aptos" w:hAnsi="Arial" w:cs="Arial"/>
                <w:kern w:val="2"/>
                <w14:ligatures w14:val="standardContextual"/>
              </w:rPr>
              <w:t>hygienization</w:t>
            </w:r>
            <w:proofErr w:type="spellEnd"/>
            <w:r w:rsidRPr="0055035B">
              <w:rPr>
                <w:rFonts w:ascii="Arial" w:eastAsia="Aptos" w:hAnsi="Arial" w:cs="Arial"/>
                <w:kern w:val="2"/>
                <w14:ligatures w14:val="standardContextual"/>
              </w:rPr>
              <w:t xml:space="preserve">, dental calculi were extracted and </w:t>
            </w:r>
            <w:r w:rsidR="00B80107" w:rsidRPr="0055035B">
              <w:rPr>
                <w:rFonts w:ascii="Arial" w:eastAsia="Aptos" w:hAnsi="Arial" w:cs="Arial"/>
                <w:kern w:val="2"/>
                <w14:ligatures w14:val="standardContextual"/>
              </w:rPr>
              <w:t>disaggregated,</w:t>
            </w:r>
            <w:r w:rsidRPr="0055035B">
              <w:rPr>
                <w:rFonts w:ascii="Arial" w:eastAsia="Aptos" w:hAnsi="Arial" w:cs="Arial"/>
                <w:kern w:val="2"/>
                <w14:ligatures w14:val="standardContextual"/>
              </w:rPr>
              <w:t xml:space="preserve"> and parts were scanned. The images were analyzed, considering morphotypes in the biofilm, their density, and spatial distribution. </w:t>
            </w:r>
          </w:p>
          <w:p w14:paraId="2795C5B1" w14:textId="77777777" w:rsidR="0055035B" w:rsidRPr="0055035B" w:rsidRDefault="0055035B" w:rsidP="00A0695F">
            <w:pPr>
              <w:spacing w:after="160" w:line="278" w:lineRule="auto"/>
              <w:jc w:val="both"/>
              <w:rPr>
                <w:rFonts w:ascii="Arial" w:eastAsia="Aptos" w:hAnsi="Arial" w:cs="Arial"/>
                <w:kern w:val="2"/>
                <w14:ligatures w14:val="standardContextual"/>
              </w:rPr>
            </w:pPr>
            <w:r w:rsidRPr="0055035B">
              <w:rPr>
                <w:rFonts w:ascii="Arial" w:eastAsia="Aptos" w:hAnsi="Arial" w:cs="Arial"/>
                <w:b/>
                <w:bCs/>
                <w:kern w:val="2"/>
                <w14:ligatures w14:val="standardContextual"/>
              </w:rPr>
              <w:t>Results</w:t>
            </w:r>
            <w:r w:rsidRPr="0055035B">
              <w:rPr>
                <w:rFonts w:ascii="Arial" w:eastAsia="Aptos" w:hAnsi="Arial" w:cs="Arial"/>
                <w:kern w:val="2"/>
                <w14:ligatures w14:val="standardContextual"/>
              </w:rPr>
              <w:t>: No Vibrio was detected, but 5 different morphotypes were described and associated with possible genders (</w:t>
            </w:r>
            <w:r w:rsidRPr="00863D71">
              <w:rPr>
                <w:rFonts w:ascii="Arial" w:eastAsia="Aptos" w:hAnsi="Arial" w:cs="Arial"/>
                <w:i/>
                <w:iCs/>
                <w:kern w:val="2"/>
                <w14:ligatures w14:val="standardContextual"/>
              </w:rPr>
              <w:t>Lactobacillus</w:t>
            </w:r>
            <w:r w:rsidRPr="0055035B">
              <w:rPr>
                <w:rFonts w:ascii="Arial" w:eastAsia="Aptos" w:hAnsi="Arial" w:cs="Arial"/>
                <w:kern w:val="2"/>
                <w14:ligatures w14:val="standardContextual"/>
              </w:rPr>
              <w:t xml:space="preserve">, </w:t>
            </w:r>
            <w:proofErr w:type="spellStart"/>
            <w:r w:rsidRPr="00863D71">
              <w:rPr>
                <w:rFonts w:ascii="Arial" w:eastAsia="Aptos" w:hAnsi="Arial" w:cs="Arial"/>
                <w:i/>
                <w:iCs/>
                <w:kern w:val="2"/>
                <w14:ligatures w14:val="standardContextual"/>
              </w:rPr>
              <w:t>Porphyromonas</w:t>
            </w:r>
            <w:proofErr w:type="spellEnd"/>
            <w:r w:rsidRPr="0055035B">
              <w:rPr>
                <w:rFonts w:ascii="Arial" w:eastAsia="Aptos" w:hAnsi="Arial" w:cs="Arial"/>
                <w:kern w:val="2"/>
                <w14:ligatures w14:val="standardContextual"/>
              </w:rPr>
              <w:t xml:space="preserve">, </w:t>
            </w:r>
            <w:r w:rsidRPr="00863D71">
              <w:rPr>
                <w:rFonts w:ascii="Arial" w:eastAsia="Aptos" w:hAnsi="Arial" w:cs="Arial"/>
                <w:i/>
                <w:iCs/>
                <w:kern w:val="2"/>
                <w14:ligatures w14:val="standardContextual"/>
              </w:rPr>
              <w:t>Actinomyces</w:t>
            </w:r>
            <w:r w:rsidRPr="0055035B">
              <w:rPr>
                <w:rFonts w:ascii="Arial" w:eastAsia="Aptos" w:hAnsi="Arial" w:cs="Arial"/>
                <w:kern w:val="2"/>
                <w14:ligatures w14:val="standardContextual"/>
              </w:rPr>
              <w:t xml:space="preserve">, </w:t>
            </w:r>
            <w:proofErr w:type="spellStart"/>
            <w:r w:rsidRPr="00863D71">
              <w:rPr>
                <w:rFonts w:ascii="Arial" w:eastAsia="Aptos" w:hAnsi="Arial" w:cs="Arial"/>
                <w:i/>
                <w:iCs/>
                <w:kern w:val="2"/>
                <w14:ligatures w14:val="standardContextual"/>
              </w:rPr>
              <w:t>Leptotrichia</w:t>
            </w:r>
            <w:proofErr w:type="spellEnd"/>
            <w:r w:rsidRPr="0055035B">
              <w:rPr>
                <w:rFonts w:ascii="Arial" w:eastAsia="Aptos" w:hAnsi="Arial" w:cs="Arial"/>
                <w:kern w:val="2"/>
                <w14:ligatures w14:val="standardContextual"/>
              </w:rPr>
              <w:t xml:space="preserve">, </w:t>
            </w:r>
            <w:proofErr w:type="spellStart"/>
            <w:r w:rsidRPr="00863D71">
              <w:rPr>
                <w:rFonts w:ascii="Arial" w:eastAsia="Aptos" w:hAnsi="Arial" w:cs="Arial"/>
                <w:i/>
                <w:iCs/>
                <w:kern w:val="2"/>
                <w14:ligatures w14:val="standardContextual"/>
              </w:rPr>
              <w:t>Rothya</w:t>
            </w:r>
            <w:proofErr w:type="spellEnd"/>
            <w:r w:rsidRPr="0055035B">
              <w:rPr>
                <w:rFonts w:ascii="Arial" w:eastAsia="Aptos" w:hAnsi="Arial" w:cs="Arial"/>
                <w:kern w:val="2"/>
                <w14:ligatures w14:val="standardContextual"/>
              </w:rPr>
              <w:t xml:space="preserve">, </w:t>
            </w:r>
            <w:r w:rsidRPr="00863D71">
              <w:rPr>
                <w:rFonts w:ascii="Arial" w:eastAsia="Aptos" w:hAnsi="Arial" w:cs="Arial"/>
                <w:i/>
                <w:iCs/>
                <w:kern w:val="2"/>
                <w14:ligatures w14:val="standardContextual"/>
              </w:rPr>
              <w:t>Neisseria</w:t>
            </w:r>
            <w:r w:rsidRPr="0055035B">
              <w:rPr>
                <w:rFonts w:ascii="Arial" w:eastAsia="Aptos" w:hAnsi="Arial" w:cs="Arial"/>
                <w:kern w:val="2"/>
                <w14:ligatures w14:val="standardContextual"/>
              </w:rPr>
              <w:t xml:space="preserve">, </w:t>
            </w:r>
            <w:r w:rsidRPr="00863D71">
              <w:rPr>
                <w:rFonts w:ascii="Arial" w:eastAsia="Aptos" w:hAnsi="Arial" w:cs="Arial"/>
                <w:i/>
                <w:iCs/>
                <w:kern w:val="2"/>
                <w14:ligatures w14:val="standardContextual"/>
              </w:rPr>
              <w:t>Staphylococcus</w:t>
            </w:r>
            <w:r w:rsidRPr="0055035B">
              <w:rPr>
                <w:rFonts w:ascii="Arial" w:eastAsia="Aptos" w:hAnsi="Arial" w:cs="Arial"/>
                <w:kern w:val="2"/>
                <w14:ligatures w14:val="standardContextual"/>
              </w:rPr>
              <w:t xml:space="preserve">, </w:t>
            </w:r>
            <w:proofErr w:type="spellStart"/>
            <w:r w:rsidRPr="00863D71">
              <w:rPr>
                <w:rFonts w:ascii="Arial" w:eastAsia="Aptos" w:hAnsi="Arial" w:cs="Arial"/>
                <w:i/>
                <w:iCs/>
                <w:kern w:val="2"/>
                <w14:ligatures w14:val="standardContextual"/>
              </w:rPr>
              <w:t>Veillonella</w:t>
            </w:r>
            <w:proofErr w:type="spellEnd"/>
            <w:r w:rsidRPr="0055035B">
              <w:rPr>
                <w:rFonts w:ascii="Arial" w:eastAsia="Aptos" w:hAnsi="Arial" w:cs="Arial"/>
                <w:kern w:val="2"/>
                <w14:ligatures w14:val="standardContextual"/>
              </w:rPr>
              <w:t xml:space="preserve">, </w:t>
            </w:r>
            <w:proofErr w:type="spellStart"/>
            <w:r w:rsidRPr="00863D71">
              <w:rPr>
                <w:rFonts w:ascii="Arial" w:eastAsia="Aptos" w:hAnsi="Arial" w:cs="Arial"/>
                <w:i/>
                <w:iCs/>
                <w:kern w:val="2"/>
                <w14:ligatures w14:val="standardContextual"/>
              </w:rPr>
              <w:t>Peptostreptococcus</w:t>
            </w:r>
            <w:proofErr w:type="spellEnd"/>
            <w:r w:rsidRPr="0055035B">
              <w:rPr>
                <w:rFonts w:ascii="Arial" w:eastAsia="Aptos" w:hAnsi="Arial" w:cs="Arial"/>
                <w:kern w:val="2"/>
                <w14:ligatures w14:val="standardContextual"/>
              </w:rPr>
              <w:t xml:space="preserve">, </w:t>
            </w:r>
            <w:r w:rsidRPr="00863D71">
              <w:rPr>
                <w:rFonts w:ascii="Arial" w:eastAsia="Aptos" w:hAnsi="Arial" w:cs="Arial"/>
                <w:i/>
                <w:iCs/>
                <w:kern w:val="2"/>
                <w14:ligatures w14:val="standardContextual"/>
              </w:rPr>
              <w:t>Streptococcus</w:t>
            </w:r>
            <w:r w:rsidRPr="0055035B">
              <w:rPr>
                <w:rFonts w:ascii="Arial" w:eastAsia="Aptos" w:hAnsi="Arial" w:cs="Arial"/>
                <w:kern w:val="2"/>
                <w14:ligatures w14:val="standardContextual"/>
              </w:rPr>
              <w:t xml:space="preserve">). </w:t>
            </w:r>
          </w:p>
          <w:p w14:paraId="37CDDE1C" w14:textId="77777777" w:rsidR="0055035B" w:rsidRPr="0055035B" w:rsidRDefault="0055035B" w:rsidP="00A0695F">
            <w:pPr>
              <w:spacing w:after="160" w:line="278" w:lineRule="auto"/>
              <w:jc w:val="both"/>
              <w:rPr>
                <w:rFonts w:ascii="Arial" w:eastAsia="Aptos" w:hAnsi="Arial" w:cs="Arial"/>
                <w:kern w:val="2"/>
                <w14:ligatures w14:val="standardContextual"/>
              </w:rPr>
            </w:pPr>
            <w:r w:rsidRPr="0055035B">
              <w:rPr>
                <w:rFonts w:ascii="Arial" w:eastAsia="Aptos" w:hAnsi="Arial" w:cs="Arial"/>
                <w:b/>
                <w:bCs/>
                <w:kern w:val="2"/>
                <w14:ligatures w14:val="standardContextual"/>
              </w:rPr>
              <w:t>Conclusion</w:t>
            </w:r>
            <w:r w:rsidRPr="0055035B">
              <w:rPr>
                <w:rFonts w:ascii="Arial" w:eastAsia="Aptos" w:hAnsi="Arial" w:cs="Arial"/>
                <w:kern w:val="2"/>
                <w14:ligatures w14:val="standardContextual"/>
              </w:rPr>
              <w:t xml:space="preserve">: Morphotypes are a good first approach to the main components of biofilm, results can be improved with better disaggregation techniques. Complementary genomics and proteomics techniques should be more conclusive.  </w:t>
            </w:r>
          </w:p>
          <w:p w14:paraId="400CF085" w14:textId="26788196" w:rsidR="00505F06" w:rsidRPr="005E42B1" w:rsidRDefault="006F0BCB" w:rsidP="005E42B1">
            <w:pPr>
              <w:jc w:val="both"/>
              <w:rPr>
                <w:rFonts w:ascii="Arial" w:eastAsia="Calibri" w:hAnsi="Arial" w:cs="Arial"/>
              </w:rPr>
            </w:pPr>
            <w:r w:rsidRPr="00112DFB">
              <w:rPr>
                <w:rFonts w:ascii="Arial" w:eastAsia="Calibri" w:hAnsi="Arial" w:cs="Arial"/>
              </w:rPr>
              <w:t xml:space="preserve"> </w:t>
            </w:r>
          </w:p>
        </w:tc>
      </w:tr>
    </w:tbl>
    <w:p w14:paraId="5CC3FF58" w14:textId="77777777" w:rsidR="004D422C" w:rsidRDefault="004D422C" w:rsidP="00441B6F">
      <w:pPr>
        <w:pStyle w:val="Body"/>
        <w:spacing w:after="0"/>
        <w:rPr>
          <w:rFonts w:ascii="Arial" w:hAnsi="Arial" w:cs="Arial"/>
          <w:i/>
        </w:rPr>
      </w:pPr>
    </w:p>
    <w:p w14:paraId="15B2C952" w14:textId="43AB5BB6" w:rsidR="00A24E7E" w:rsidRDefault="00A24E7E" w:rsidP="00441B6F">
      <w:pPr>
        <w:pStyle w:val="Body"/>
        <w:spacing w:after="0"/>
        <w:rPr>
          <w:rFonts w:ascii="Arial" w:hAnsi="Arial" w:cs="Arial"/>
          <w:i/>
        </w:rPr>
      </w:pPr>
      <w:r>
        <w:rPr>
          <w:rFonts w:ascii="Arial" w:hAnsi="Arial" w:cs="Arial"/>
          <w:i/>
        </w:rPr>
        <w:t xml:space="preserve">Keywords: </w:t>
      </w:r>
      <w:r w:rsidR="00CF621D" w:rsidRPr="00CF621D">
        <w:rPr>
          <w:rFonts w:ascii="Arial" w:hAnsi="Arial" w:cs="Arial"/>
          <w:i/>
        </w:rPr>
        <w:t xml:space="preserve">dental calculus – biofilm – </w:t>
      </w:r>
      <w:r w:rsidR="00686471">
        <w:rPr>
          <w:rFonts w:ascii="Arial" w:hAnsi="Arial" w:cs="Arial"/>
          <w:i/>
        </w:rPr>
        <w:t>V</w:t>
      </w:r>
      <w:r w:rsidR="00CF621D" w:rsidRPr="00CF621D">
        <w:rPr>
          <w:rFonts w:ascii="Arial" w:hAnsi="Arial" w:cs="Arial"/>
          <w:i/>
        </w:rPr>
        <w:t>ibrio – shell</w:t>
      </w:r>
      <w:r w:rsidR="00686471">
        <w:rPr>
          <w:rFonts w:ascii="Arial" w:hAnsi="Arial" w:cs="Arial"/>
          <w:i/>
        </w:rPr>
        <w:t xml:space="preserve"> </w:t>
      </w:r>
      <w:r w:rsidR="00CF621D" w:rsidRPr="00CF621D">
        <w:rPr>
          <w:rFonts w:ascii="Arial" w:hAnsi="Arial" w:cs="Arial"/>
          <w:i/>
        </w:rPr>
        <w:t>mound - prehistory</w:t>
      </w:r>
    </w:p>
    <w:p w14:paraId="62E3BA89" w14:textId="77777777" w:rsidR="0024282C" w:rsidRDefault="0024282C" w:rsidP="00441B6F">
      <w:pPr>
        <w:pStyle w:val="Body"/>
        <w:spacing w:after="0"/>
        <w:rPr>
          <w:rFonts w:ascii="Arial" w:hAnsi="Arial" w:cs="Arial"/>
          <w:i/>
          <w:sz w:val="18"/>
        </w:rPr>
      </w:pPr>
    </w:p>
    <w:p w14:paraId="7B1BFC0A" w14:textId="7B201B2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BA10E87" w14:textId="77777777" w:rsidR="00790ADA" w:rsidRPr="00FB3A86" w:rsidRDefault="00790ADA" w:rsidP="00441B6F">
      <w:pPr>
        <w:pStyle w:val="AbstHead"/>
        <w:spacing w:after="0"/>
        <w:jc w:val="both"/>
        <w:rPr>
          <w:rFonts w:ascii="Arial" w:hAnsi="Arial" w:cs="Arial"/>
        </w:rPr>
      </w:pPr>
    </w:p>
    <w:p w14:paraId="1039EC77" w14:textId="77777777" w:rsidR="005649DE" w:rsidRPr="005649DE" w:rsidRDefault="005649DE" w:rsidP="005649DE">
      <w:pPr>
        <w:spacing w:after="160" w:line="278" w:lineRule="auto"/>
        <w:ind w:firstLine="360"/>
        <w:jc w:val="both"/>
        <w:rPr>
          <w:rFonts w:ascii="Arial" w:eastAsia="Aptos" w:hAnsi="Arial" w:cs="Arial"/>
          <w:kern w:val="2"/>
          <w14:ligatures w14:val="standardContextual"/>
        </w:rPr>
      </w:pPr>
      <w:r w:rsidRPr="005649DE">
        <w:rPr>
          <w:rFonts w:ascii="Arial" w:eastAsia="Aptos" w:hAnsi="Arial" w:cs="Arial"/>
          <w:kern w:val="2"/>
          <w14:ligatures w14:val="standardContextual"/>
        </w:rPr>
        <w:t xml:space="preserve">Dental caries is a dynamic and multifactorial infectious disease [1,2], which results from the interaction between the oral microbiota, the mouth environment, and host susceptibility. Even in the case of increased carbohydrate consumption, there may be no </w:t>
      </w:r>
      <w:proofErr w:type="spellStart"/>
      <w:r w:rsidRPr="005649DE">
        <w:rPr>
          <w:rFonts w:ascii="Arial" w:eastAsia="Aptos" w:hAnsi="Arial" w:cs="Arial"/>
          <w:kern w:val="2"/>
          <w14:ligatures w14:val="standardContextual"/>
        </w:rPr>
        <w:t>karyogenesis</w:t>
      </w:r>
      <w:proofErr w:type="spellEnd"/>
      <w:r w:rsidRPr="005649DE">
        <w:rPr>
          <w:rFonts w:ascii="Arial" w:eastAsia="Aptos" w:hAnsi="Arial" w:cs="Arial"/>
          <w:kern w:val="2"/>
          <w14:ligatures w14:val="standardContextual"/>
        </w:rPr>
        <w:t xml:space="preserve">, without expressive activity and multiplication of cariogenic bacteria [3]. The composition of the oral microbiota and the presence of growth of acidity-tolerant bacteria, as well as the enamel demineralization processes, contribute to enamel erosion and, therefore, </w:t>
      </w:r>
      <w:proofErr w:type="gramStart"/>
      <w:r w:rsidRPr="005649DE">
        <w:rPr>
          <w:rFonts w:ascii="Arial" w:eastAsia="Aptos" w:hAnsi="Arial" w:cs="Arial"/>
          <w:kern w:val="2"/>
          <w14:ligatures w14:val="standardContextual"/>
        </w:rPr>
        <w:t>caries</w:t>
      </w:r>
      <w:proofErr w:type="gramEnd"/>
      <w:r w:rsidRPr="005649DE">
        <w:rPr>
          <w:rFonts w:ascii="Arial" w:eastAsia="Aptos" w:hAnsi="Arial" w:cs="Arial"/>
          <w:kern w:val="2"/>
          <w14:ligatures w14:val="standardContextual"/>
        </w:rPr>
        <w:t xml:space="preserve"> of dental surfaces, starting </w:t>
      </w:r>
      <w:proofErr w:type="spellStart"/>
      <w:r w:rsidRPr="005649DE">
        <w:rPr>
          <w:rFonts w:ascii="Arial" w:eastAsia="Aptos" w:hAnsi="Arial" w:cs="Arial"/>
          <w:kern w:val="2"/>
          <w14:ligatures w14:val="standardContextual"/>
        </w:rPr>
        <w:t>karyogenesis</w:t>
      </w:r>
      <w:proofErr w:type="spellEnd"/>
      <w:r w:rsidRPr="005649DE">
        <w:rPr>
          <w:rFonts w:ascii="Arial" w:eastAsia="Aptos" w:hAnsi="Arial" w:cs="Arial"/>
          <w:kern w:val="2"/>
          <w14:ligatures w14:val="standardContextual"/>
        </w:rPr>
        <w:t xml:space="preserve"> [4]. At birth, humans have a sterile oral cavity. Exposure to bacteria in the mother's body, the environment, food, and other factors determine the formation of biofilms in the oral cavity. Changes suffered throughout life bring new exposures and colonization by hundreds of species [5, 6, 7, 8] by different routes of introduction [8, 9, 10, 11].</w:t>
      </w:r>
    </w:p>
    <w:p w14:paraId="3C2D5B1E" w14:textId="77777777" w:rsidR="00C9581D" w:rsidRPr="00C9581D" w:rsidRDefault="00C9581D" w:rsidP="00C9581D">
      <w:pPr>
        <w:spacing w:after="160" w:line="278" w:lineRule="auto"/>
        <w:ind w:firstLine="360"/>
        <w:jc w:val="both"/>
        <w:rPr>
          <w:rFonts w:ascii="Arial" w:eastAsia="Aptos" w:hAnsi="Arial" w:cs="Arial"/>
          <w:kern w:val="2"/>
          <w14:ligatures w14:val="standardContextual"/>
        </w:rPr>
      </w:pPr>
      <w:r w:rsidRPr="00C9581D">
        <w:rPr>
          <w:rFonts w:ascii="Arial" w:eastAsia="Aptos" w:hAnsi="Arial" w:cs="Arial"/>
          <w:kern w:val="2"/>
          <w14:ligatures w14:val="standardContextual"/>
        </w:rPr>
        <w:t xml:space="preserve">Studying the teeth, mucous membranes, and other components of the mouth environment and their biofilms is important to understanding health and disease, whether of individuals or human groups. In this context, dental calculus is a true reference for paleopathological, and even cultural aspects [12, 13]. Oral versus systemic health has been the subject of paleopathology for decades [14, 15, 16]. The community of microorganisms in the oral cavity constitutes an ecologically active environment impacting health. </w:t>
      </w:r>
    </w:p>
    <w:p w14:paraId="330D6D5C" w14:textId="3E757893" w:rsidR="00C9581D" w:rsidRPr="00C9581D" w:rsidRDefault="00C9581D" w:rsidP="00C9581D">
      <w:pPr>
        <w:spacing w:after="160" w:line="278" w:lineRule="auto"/>
        <w:ind w:firstLine="360"/>
        <w:jc w:val="both"/>
        <w:rPr>
          <w:rFonts w:ascii="Arial" w:eastAsia="Aptos" w:hAnsi="Arial" w:cs="Arial"/>
          <w:kern w:val="2"/>
          <w14:ligatures w14:val="standardContextual"/>
        </w:rPr>
      </w:pPr>
      <w:r w:rsidRPr="00C9581D">
        <w:rPr>
          <w:rFonts w:ascii="Arial" w:eastAsia="Aptos" w:hAnsi="Arial" w:cs="Arial"/>
          <w:kern w:val="2"/>
          <w14:ligatures w14:val="standardContextual"/>
        </w:rPr>
        <w:t xml:space="preserve">In general, human coexistence with the oral microbiota is formed by many saprophytes and commensals, remaining generally healthy and balanced [17, 18, 19]. Increased consumption of starchy foods, processed foods, and ultra-processed foods [1, 10, 15, 20, 21, 22] changes the microecological balance between host and microorganisms causing a </w:t>
      </w:r>
      <w:proofErr w:type="spellStart"/>
      <w:r w:rsidRPr="00C9581D">
        <w:rPr>
          <w:rFonts w:ascii="Arial" w:eastAsia="Aptos" w:hAnsi="Arial" w:cs="Arial"/>
          <w:kern w:val="2"/>
          <w14:ligatures w14:val="standardContextual"/>
        </w:rPr>
        <w:t>dysbiotic</w:t>
      </w:r>
      <w:proofErr w:type="spellEnd"/>
      <w:r w:rsidRPr="00C9581D">
        <w:rPr>
          <w:rFonts w:ascii="Arial" w:eastAsia="Aptos" w:hAnsi="Arial" w:cs="Arial"/>
          <w:kern w:val="2"/>
          <w14:ligatures w14:val="standardContextual"/>
        </w:rPr>
        <w:t xml:space="preserve"> state [23]. The impact on oral health causes a progressive increase in the prevalence of dental </w:t>
      </w:r>
      <w:proofErr w:type="spellStart"/>
      <w:r w:rsidRPr="00C9581D">
        <w:rPr>
          <w:rFonts w:ascii="Arial" w:eastAsia="Aptos" w:hAnsi="Arial" w:cs="Arial"/>
          <w:kern w:val="2"/>
          <w14:ligatures w14:val="standardContextual"/>
        </w:rPr>
        <w:t>carie</w:t>
      </w:r>
      <w:proofErr w:type="spellEnd"/>
      <w:r w:rsidRPr="00C9581D">
        <w:rPr>
          <w:rFonts w:ascii="Arial" w:eastAsia="Aptos" w:hAnsi="Arial" w:cs="Arial"/>
          <w:kern w:val="2"/>
          <w14:ligatures w14:val="standardContextual"/>
        </w:rPr>
        <w:t xml:space="preserve"> and its systemic consequences [11].</w:t>
      </w:r>
    </w:p>
    <w:p w14:paraId="5A8A72EE" w14:textId="7705A2B5" w:rsidR="00E844B9" w:rsidRPr="00E844B9" w:rsidRDefault="00E844B9" w:rsidP="00E844B9">
      <w:pPr>
        <w:spacing w:after="160" w:line="278" w:lineRule="auto"/>
        <w:ind w:firstLine="360"/>
        <w:jc w:val="both"/>
        <w:rPr>
          <w:rFonts w:ascii="Arial" w:eastAsia="Aptos" w:hAnsi="Arial" w:cs="Arial"/>
          <w:kern w:val="2"/>
          <w14:ligatures w14:val="standardContextual"/>
        </w:rPr>
      </w:pPr>
      <w:r w:rsidRPr="00E844B9">
        <w:rPr>
          <w:rFonts w:ascii="Arial" w:eastAsia="Aptos" w:hAnsi="Arial" w:cs="Arial"/>
          <w:kern w:val="2"/>
          <w14:ligatures w14:val="standardContextual"/>
        </w:rPr>
        <w:t xml:space="preserve">Frequencies of dental caries in different periods and populations [24, 25, 26] establish their determinant factors. In Brazil, the adoption of crops and other forms of food production introduced more cariogenic components to the diet of pre-horticulturists. Brazilian pre-horticultural groups living in coastal environments in the South-Southeast, between 8,000 and 1,500 years ago, </w:t>
      </w:r>
      <w:r w:rsidR="00497BED">
        <w:rPr>
          <w:rFonts w:ascii="Arial" w:eastAsia="Aptos" w:hAnsi="Arial" w:cs="Arial"/>
          <w:kern w:val="2"/>
          <w14:ligatures w14:val="standardContextual"/>
        </w:rPr>
        <w:t xml:space="preserve">as a rule, </w:t>
      </w:r>
      <w:r w:rsidRPr="00E844B9">
        <w:rPr>
          <w:rFonts w:ascii="Arial" w:eastAsia="Aptos" w:hAnsi="Arial" w:cs="Arial"/>
          <w:kern w:val="2"/>
          <w14:ligatures w14:val="standardContextual"/>
        </w:rPr>
        <w:t>represented a period before the introduction of starch-rich cultivars [27, 28, 29]. The frequency of caries [30] was low, increasing when carbohydrates began to be more intensively used. Caries occurs in low frequencies among the builders of monumental shell mounds</w:t>
      </w:r>
      <w:r w:rsidR="00595E74">
        <w:rPr>
          <w:rFonts w:ascii="Arial" w:eastAsia="Aptos" w:hAnsi="Arial" w:cs="Arial"/>
          <w:kern w:val="2"/>
          <w14:ligatures w14:val="standardContextual"/>
        </w:rPr>
        <w:t>,</w:t>
      </w:r>
      <w:r w:rsidRPr="00E844B9">
        <w:rPr>
          <w:rFonts w:ascii="Arial" w:eastAsia="Aptos" w:hAnsi="Arial" w:cs="Arial"/>
          <w:kern w:val="2"/>
          <w14:ligatures w14:val="standardContextual"/>
        </w:rPr>
        <w:t xml:space="preserve"> called </w:t>
      </w:r>
      <w:proofErr w:type="spellStart"/>
      <w:r w:rsidRPr="00E844B9">
        <w:rPr>
          <w:rFonts w:ascii="Arial" w:eastAsia="Aptos" w:hAnsi="Arial" w:cs="Arial"/>
          <w:kern w:val="2"/>
          <w14:ligatures w14:val="standardContextual"/>
        </w:rPr>
        <w:t>sambaquis</w:t>
      </w:r>
      <w:proofErr w:type="spellEnd"/>
      <w:r w:rsidRPr="00E844B9">
        <w:rPr>
          <w:rFonts w:ascii="Arial" w:eastAsia="Aptos" w:hAnsi="Arial" w:cs="Arial"/>
          <w:kern w:val="2"/>
          <w14:ligatures w14:val="standardContextual"/>
        </w:rPr>
        <w:t xml:space="preserve"> in Brazil [31]. </w:t>
      </w:r>
    </w:p>
    <w:p w14:paraId="6CCD4D55" w14:textId="2546CDB8" w:rsidR="00F867B1" w:rsidRPr="00F867B1" w:rsidRDefault="00F867B1" w:rsidP="00F867B1">
      <w:pPr>
        <w:spacing w:after="160" w:line="278" w:lineRule="auto"/>
        <w:ind w:firstLine="360"/>
        <w:jc w:val="both"/>
        <w:rPr>
          <w:rFonts w:ascii="Arial" w:eastAsia="Aptos" w:hAnsi="Arial" w:cs="Arial"/>
          <w:kern w:val="2"/>
          <w14:ligatures w14:val="standardContextual"/>
        </w:rPr>
      </w:pPr>
      <w:r w:rsidRPr="00F867B1">
        <w:rPr>
          <w:rFonts w:ascii="Arial" w:eastAsia="Aptos" w:hAnsi="Arial" w:cs="Arial"/>
          <w:kern w:val="2"/>
          <w14:ligatures w14:val="standardContextual"/>
        </w:rPr>
        <w:t>Different processes of microbial interaction and the growth of the population of cariogenic bacteria can be modulated, with microorganisms capable of interfering with the proliferation of others [33]. Th</w:t>
      </w:r>
      <w:r w:rsidR="00DC119C">
        <w:rPr>
          <w:rFonts w:ascii="Arial" w:eastAsia="Aptos" w:hAnsi="Arial" w:cs="Arial"/>
          <w:kern w:val="2"/>
          <w14:ligatures w14:val="standardContextual"/>
        </w:rPr>
        <w:t>e</w:t>
      </w:r>
      <w:r w:rsidRPr="00F867B1">
        <w:rPr>
          <w:rFonts w:ascii="Arial" w:eastAsia="Aptos" w:hAnsi="Arial" w:cs="Arial"/>
          <w:kern w:val="2"/>
          <w14:ligatures w14:val="standardContextual"/>
        </w:rPr>
        <w:t xml:space="preserve"> </w:t>
      </w:r>
      <w:r w:rsidR="00725CBC">
        <w:rPr>
          <w:rFonts w:ascii="Arial" w:eastAsia="Aptos" w:hAnsi="Arial" w:cs="Arial"/>
          <w:kern w:val="2"/>
          <w14:ligatures w14:val="standardContextual"/>
        </w:rPr>
        <w:t>performance of microorganisms</w:t>
      </w:r>
      <w:r w:rsidRPr="00F867B1">
        <w:rPr>
          <w:rFonts w:ascii="Arial" w:eastAsia="Aptos" w:hAnsi="Arial" w:cs="Arial"/>
          <w:kern w:val="2"/>
          <w14:ligatures w14:val="standardContextual"/>
        </w:rPr>
        <w:t xml:space="preserve"> [6, 19, 34, 35, 36, 37, 38] and their ability to produce non-physiological events must consider the complexity of their diversity and interactions.</w:t>
      </w:r>
    </w:p>
    <w:p w14:paraId="1B1CA73F" w14:textId="20ECB39A" w:rsidR="00F867B1" w:rsidRDefault="00F867B1" w:rsidP="00AE6AE5">
      <w:pPr>
        <w:spacing w:after="160" w:line="278" w:lineRule="auto"/>
        <w:ind w:firstLine="360"/>
        <w:jc w:val="both"/>
        <w:rPr>
          <w:rFonts w:ascii="Arial" w:eastAsia="Aptos" w:hAnsi="Arial" w:cs="Arial"/>
          <w:kern w:val="2"/>
          <w14:ligatures w14:val="standardContextual"/>
        </w:rPr>
      </w:pPr>
      <w:r w:rsidRPr="00F867B1">
        <w:rPr>
          <w:rFonts w:ascii="Arial" w:eastAsia="Aptos" w:hAnsi="Arial" w:cs="Arial"/>
          <w:kern w:val="2"/>
          <w14:ligatures w14:val="standardContextual"/>
        </w:rPr>
        <w:t>In a review concerning the composition of the oral microbiota and its correlation with oral and systemic diseases</w:t>
      </w:r>
      <w:r w:rsidR="009E4452">
        <w:rPr>
          <w:rFonts w:ascii="Arial" w:eastAsia="Aptos" w:hAnsi="Arial" w:cs="Arial"/>
          <w:kern w:val="2"/>
          <w14:ligatures w14:val="standardContextual"/>
        </w:rPr>
        <w:t xml:space="preserve"> </w:t>
      </w:r>
      <w:r w:rsidR="009E4452" w:rsidRPr="00232C8C">
        <w:rPr>
          <w:rFonts w:ascii="Arial" w:eastAsia="Aptos" w:hAnsi="Arial" w:cs="Arial"/>
          <w:kern w:val="2"/>
          <w14:ligatures w14:val="standardContextual"/>
        </w:rPr>
        <w:t>[</w:t>
      </w:r>
      <w:r w:rsidR="009E4452" w:rsidRPr="009E4452">
        <w:rPr>
          <w:rFonts w:ascii="Arial" w:eastAsia="Aptos" w:hAnsi="Arial" w:cs="Arial"/>
          <w:kern w:val="2"/>
          <w14:ligatures w14:val="standardContextual"/>
        </w:rPr>
        <w:t>23]</w:t>
      </w:r>
      <w:r w:rsidRPr="00F867B1">
        <w:rPr>
          <w:rFonts w:ascii="Arial" w:eastAsia="Aptos" w:hAnsi="Arial" w:cs="Arial"/>
          <w:kern w:val="2"/>
          <w14:ligatures w14:val="standardContextual"/>
        </w:rPr>
        <w:t xml:space="preserve">, the authors call attention to the presence of the genus Vibrio, which acts as a growth modulator of other microorganisms. Santos (1978) [39] studied its ability to induce the composition of the biofilm, through quorum sensing, interfering in the </w:t>
      </w:r>
      <w:r w:rsidRPr="00F867B1">
        <w:rPr>
          <w:rFonts w:ascii="Arial" w:eastAsia="Aptos" w:hAnsi="Arial" w:cs="Arial"/>
          <w:kern w:val="2"/>
          <w14:ligatures w14:val="standardContextual"/>
        </w:rPr>
        <w:lastRenderedPageBreak/>
        <w:t xml:space="preserve">growth of other microorganisms through metabolites eliminated in the environment [40]. Acting on the plaques that form on tooth surfaces, those microorganisms modulate the presence of cariogenic bacteria reducing caries development. </w:t>
      </w:r>
    </w:p>
    <w:p w14:paraId="3518BAE0" w14:textId="77777777" w:rsidR="00B32AC9" w:rsidRPr="00B32AC9" w:rsidRDefault="00B32AC9" w:rsidP="00B32AC9">
      <w:pPr>
        <w:spacing w:after="160" w:line="278" w:lineRule="auto"/>
        <w:ind w:firstLine="360"/>
        <w:jc w:val="both"/>
        <w:rPr>
          <w:rFonts w:ascii="Arial" w:eastAsia="Aptos" w:hAnsi="Arial" w:cs="Arial"/>
          <w:kern w:val="2"/>
          <w14:ligatures w14:val="standardContextual"/>
        </w:rPr>
      </w:pPr>
      <w:r w:rsidRPr="00B32AC9">
        <w:rPr>
          <w:rFonts w:ascii="Arial" w:eastAsia="Aptos" w:hAnsi="Arial" w:cs="Arial"/>
          <w:kern w:val="2"/>
          <w14:ligatures w14:val="standardContextual"/>
        </w:rPr>
        <w:t>Despite the difficulties in studying dental calculus, pioneers such as Dobney and Brothwell (1988) [41], and more recent authors, such as Charlier et al. (2010) [42] and Power et al. (2014) [43], confirmed the morphological preservation of microfossils from the biofilm. Advances in techniques and methodologies today allow, contrary to what still occurred about two decades ago, to identify significant results and eliminate possible contamination biases, for example, expanding the potential of investigations on oral microbiota [12, 13].</w:t>
      </w:r>
    </w:p>
    <w:p w14:paraId="10C5E670" w14:textId="17F09BA4" w:rsidR="00B32AC9" w:rsidRPr="00B32AC9" w:rsidRDefault="00B32AC9" w:rsidP="00B32AC9">
      <w:pPr>
        <w:spacing w:after="160" w:line="278" w:lineRule="auto"/>
        <w:ind w:firstLine="360"/>
        <w:jc w:val="both"/>
        <w:rPr>
          <w:rFonts w:ascii="Arial" w:eastAsia="Aptos" w:hAnsi="Arial" w:cs="Arial"/>
          <w:kern w:val="2"/>
          <w14:ligatures w14:val="standardContextual"/>
        </w:rPr>
      </w:pPr>
      <w:r w:rsidRPr="00B32AC9">
        <w:rPr>
          <w:rFonts w:ascii="Arial" w:eastAsia="Aptos" w:hAnsi="Arial" w:cs="Arial"/>
          <w:kern w:val="2"/>
          <w14:ligatures w14:val="standardContextual"/>
        </w:rPr>
        <w:t xml:space="preserve">The present work searches for evidence of </w:t>
      </w:r>
      <w:r w:rsidR="0094079E">
        <w:rPr>
          <w:rFonts w:ascii="Arial" w:eastAsia="Aptos" w:hAnsi="Arial" w:cs="Arial"/>
          <w:kern w:val="2"/>
          <w14:ligatures w14:val="standardContextual"/>
        </w:rPr>
        <w:t>V</w:t>
      </w:r>
      <w:r w:rsidRPr="00B32AC9">
        <w:rPr>
          <w:rFonts w:ascii="Arial" w:eastAsia="Aptos" w:hAnsi="Arial" w:cs="Arial"/>
          <w:kern w:val="2"/>
          <w14:ligatures w14:val="standardContextual"/>
        </w:rPr>
        <w:t>ibrio in the biofilms of prehistoric dental calculi, a way to contribute to studies on the health of such groups, especially the absence of dental caries.</w:t>
      </w:r>
    </w:p>
    <w:p w14:paraId="27B27EC8" w14:textId="2791996E" w:rsidR="00E53F87" w:rsidRPr="00056FFD" w:rsidRDefault="00E53F87" w:rsidP="00E53F87">
      <w:pPr>
        <w:spacing w:after="200"/>
        <w:jc w:val="both"/>
        <w:rPr>
          <w:rFonts w:ascii="Arial" w:eastAsia="Calibri" w:hAnsi="Arial" w:cs="Arial"/>
          <w:b/>
          <w:bCs/>
        </w:rPr>
      </w:pPr>
      <w:r w:rsidRPr="00056FFD">
        <w:rPr>
          <w:rFonts w:ascii="Arial" w:eastAsia="Calibri" w:hAnsi="Arial" w:cs="Arial"/>
          <w:b/>
          <w:bCs/>
        </w:rPr>
        <w:t xml:space="preserve">An ancient </w:t>
      </w:r>
      <w:r w:rsidR="003F7B5B">
        <w:rPr>
          <w:rFonts w:ascii="Arial" w:eastAsia="Calibri" w:hAnsi="Arial" w:cs="Arial"/>
          <w:b/>
          <w:bCs/>
        </w:rPr>
        <w:t>group</w:t>
      </w:r>
      <w:r w:rsidRPr="00056FFD">
        <w:rPr>
          <w:rFonts w:ascii="Arial" w:eastAsia="Calibri" w:hAnsi="Arial" w:cs="Arial"/>
          <w:b/>
          <w:bCs/>
        </w:rPr>
        <w:t xml:space="preserve"> without dental </w:t>
      </w:r>
      <w:proofErr w:type="gramStart"/>
      <w:r w:rsidRPr="00056FFD">
        <w:rPr>
          <w:rFonts w:ascii="Arial" w:eastAsia="Calibri" w:hAnsi="Arial" w:cs="Arial"/>
          <w:b/>
          <w:bCs/>
        </w:rPr>
        <w:t>carie</w:t>
      </w:r>
      <w:r w:rsidR="003F7B5B">
        <w:rPr>
          <w:rFonts w:ascii="Arial" w:eastAsia="Calibri" w:hAnsi="Arial" w:cs="Arial"/>
          <w:b/>
          <w:bCs/>
        </w:rPr>
        <w:t>s</w:t>
      </w:r>
      <w:proofErr w:type="gramEnd"/>
      <w:r w:rsidRPr="00056FFD">
        <w:rPr>
          <w:rFonts w:ascii="Arial" w:eastAsia="Calibri" w:hAnsi="Arial" w:cs="Arial"/>
          <w:b/>
          <w:bCs/>
        </w:rPr>
        <w:t xml:space="preserve"> </w:t>
      </w:r>
    </w:p>
    <w:p w14:paraId="46800639" w14:textId="5E45220C" w:rsidR="00D129B2" w:rsidRPr="00D129B2" w:rsidRDefault="00D129B2" w:rsidP="00D129B2">
      <w:pPr>
        <w:spacing w:after="160" w:line="278" w:lineRule="auto"/>
        <w:ind w:firstLine="720"/>
        <w:jc w:val="both"/>
        <w:rPr>
          <w:rFonts w:ascii="Arial" w:eastAsia="Aptos" w:hAnsi="Arial" w:cs="Arial"/>
          <w:kern w:val="2"/>
          <w14:ligatures w14:val="standardContextual"/>
        </w:rPr>
      </w:pPr>
      <w:r w:rsidRPr="00D129B2">
        <w:rPr>
          <w:rFonts w:ascii="Arial" w:eastAsia="Aptos" w:hAnsi="Arial" w:cs="Arial"/>
          <w:kern w:val="2"/>
          <w14:ligatures w14:val="standardContextual"/>
        </w:rPr>
        <w:t xml:space="preserve">Shell mounds are prehistoric monuments for funerary use, which preserve many remnants of human bodies. These sites are found mainly along the Atlantic coast, in </w:t>
      </w:r>
      <w:r w:rsidR="000E619A">
        <w:rPr>
          <w:rFonts w:ascii="Arial" w:eastAsia="Aptos" w:hAnsi="Arial" w:cs="Arial"/>
          <w:kern w:val="2"/>
          <w14:ligatures w14:val="standardContextual"/>
        </w:rPr>
        <w:t>S</w:t>
      </w:r>
      <w:r w:rsidRPr="00D129B2">
        <w:rPr>
          <w:rFonts w:ascii="Arial" w:eastAsia="Aptos" w:hAnsi="Arial" w:cs="Arial"/>
          <w:kern w:val="2"/>
          <w14:ligatures w14:val="standardContextual"/>
        </w:rPr>
        <w:t xml:space="preserve">outh and </w:t>
      </w:r>
      <w:r w:rsidR="000E619A">
        <w:rPr>
          <w:rFonts w:ascii="Arial" w:eastAsia="Aptos" w:hAnsi="Arial" w:cs="Arial"/>
          <w:kern w:val="2"/>
          <w14:ligatures w14:val="standardContextual"/>
        </w:rPr>
        <w:t>S</w:t>
      </w:r>
      <w:r w:rsidRPr="00D129B2">
        <w:rPr>
          <w:rFonts w:ascii="Arial" w:eastAsia="Aptos" w:hAnsi="Arial" w:cs="Arial"/>
          <w:kern w:val="2"/>
          <w14:ligatures w14:val="standardContextual"/>
        </w:rPr>
        <w:t>outheastern Brazil [27, 28]. Artifacts, faunal skeletons, and human remains of non-horticultural groups that lived by gathering, fishing, and occasionally hunting, between 8,000 and 1,500 years before the present are found in those sites, together with funerary structures and fireplaces. Testimonies of their lifestyle include economic evidence [44], cultural material [29], physical and genetic characteristics [45], and demographic [46, 47] as well as paleopathological, nutritional, and other health evidence [31, 48] recurrently described and discussed.</w:t>
      </w:r>
    </w:p>
    <w:p w14:paraId="387B9432" w14:textId="4AD7736B" w:rsidR="00D129B2" w:rsidRPr="00D129B2" w:rsidRDefault="00D129B2" w:rsidP="00D129B2">
      <w:pPr>
        <w:spacing w:after="160" w:line="278" w:lineRule="auto"/>
        <w:ind w:firstLine="491"/>
        <w:jc w:val="both"/>
        <w:rPr>
          <w:rFonts w:ascii="Arial" w:eastAsia="Aptos" w:hAnsi="Arial" w:cs="Arial"/>
          <w:kern w:val="2"/>
          <w14:ligatures w14:val="standardContextual"/>
        </w:rPr>
      </w:pPr>
      <w:r w:rsidRPr="00D129B2">
        <w:rPr>
          <w:rFonts w:ascii="Arial" w:eastAsia="Aptos" w:hAnsi="Arial" w:cs="Arial"/>
          <w:kern w:val="2"/>
          <w14:ligatures w14:val="standardContextual"/>
        </w:rPr>
        <w:t xml:space="preserve">In Brazil, one of the largest shell mounds is the </w:t>
      </w:r>
      <w:proofErr w:type="spellStart"/>
      <w:r w:rsidRPr="00D129B2">
        <w:rPr>
          <w:rFonts w:ascii="Arial" w:eastAsia="Aptos" w:hAnsi="Arial" w:cs="Arial"/>
          <w:kern w:val="2"/>
          <w14:ligatures w14:val="standardContextual"/>
        </w:rPr>
        <w:t>Cabeçuda</w:t>
      </w:r>
      <w:proofErr w:type="spellEnd"/>
      <w:r w:rsidRPr="00D129B2">
        <w:rPr>
          <w:rFonts w:ascii="Arial" w:eastAsia="Aptos" w:hAnsi="Arial" w:cs="Arial"/>
          <w:kern w:val="2"/>
          <w14:ligatures w14:val="standardContextual"/>
        </w:rPr>
        <w:t xml:space="preserve"> (Figure 1), which is located between the lagoons of Santo Antônio dos Anjos and </w:t>
      </w:r>
      <w:proofErr w:type="spellStart"/>
      <w:r w:rsidRPr="00D129B2">
        <w:rPr>
          <w:rFonts w:ascii="Arial" w:eastAsia="Aptos" w:hAnsi="Arial" w:cs="Arial"/>
          <w:kern w:val="2"/>
          <w14:ligatures w14:val="standardContextual"/>
        </w:rPr>
        <w:t>Imaruí</w:t>
      </w:r>
      <w:proofErr w:type="spellEnd"/>
      <w:r w:rsidRPr="00D129B2">
        <w:rPr>
          <w:rFonts w:ascii="Arial" w:eastAsia="Aptos" w:hAnsi="Arial" w:cs="Arial"/>
          <w:kern w:val="2"/>
          <w14:ligatures w14:val="standardContextual"/>
        </w:rPr>
        <w:t xml:space="preserve">, in the municipality of Laguna, State of Santa Catarina. It was a monumental site, but today it is almost destroyed by economic exploitation. The few meters remaining from its base continue to be studied by the </w:t>
      </w:r>
      <w:proofErr w:type="spellStart"/>
      <w:r w:rsidRPr="00D129B2">
        <w:rPr>
          <w:rFonts w:ascii="Arial" w:eastAsia="Aptos" w:hAnsi="Arial" w:cs="Arial"/>
          <w:kern w:val="2"/>
          <w14:ligatures w14:val="standardContextual"/>
        </w:rPr>
        <w:t>Museu</w:t>
      </w:r>
      <w:proofErr w:type="spellEnd"/>
      <w:r w:rsidRPr="00D129B2">
        <w:rPr>
          <w:rFonts w:ascii="Arial" w:eastAsia="Aptos" w:hAnsi="Arial" w:cs="Arial"/>
          <w:kern w:val="2"/>
          <w14:ligatures w14:val="standardContextual"/>
        </w:rPr>
        <w:t xml:space="preserve"> Nacional</w:t>
      </w:r>
      <w:r w:rsidR="004E439E">
        <w:rPr>
          <w:rFonts w:ascii="Arial" w:eastAsia="Aptos" w:hAnsi="Arial" w:cs="Arial"/>
          <w:kern w:val="2"/>
          <w14:ligatures w14:val="standardContextual"/>
        </w:rPr>
        <w:t xml:space="preserve"> of the</w:t>
      </w:r>
      <w:r w:rsidRPr="00D129B2">
        <w:rPr>
          <w:rFonts w:ascii="Arial" w:eastAsia="Aptos" w:hAnsi="Arial" w:cs="Arial"/>
          <w:kern w:val="2"/>
          <w14:ligatures w14:val="standardContextual"/>
        </w:rPr>
        <w:t xml:space="preserve"> Federal University of Rio de Janeiro, and University of Southern Santa Catarina. By the time of the first excavation in the year 1950, the testimony of the original monument measured about 20m in height and 53,000m² in area [49]. It was a typical funerary site (Figure 2) that may have contained hundreds of burials [46]. The series of human skeletons, which specimens were used in the present study, comes from a single funerary area [50] excavated by Luiz de Castro Faria [49].  </w:t>
      </w:r>
    </w:p>
    <w:p w14:paraId="4DD12396" w14:textId="77777777" w:rsidR="00D129B2" w:rsidRDefault="00D129B2" w:rsidP="00E53F87">
      <w:pPr>
        <w:spacing w:after="200"/>
        <w:ind w:firstLine="491"/>
        <w:jc w:val="both"/>
        <w:rPr>
          <w:rFonts w:ascii="Arial" w:eastAsia="Calibri" w:hAnsi="Arial" w:cs="Arial"/>
        </w:rPr>
      </w:pPr>
    </w:p>
    <w:p w14:paraId="7DCCFCF3" w14:textId="77777777" w:rsidR="00ED03FC" w:rsidRDefault="00EE0076" w:rsidP="007266F3">
      <w:pPr>
        <w:pStyle w:val="Body"/>
        <w:rPr>
          <w:rFonts w:ascii="Arial" w:hAnsi="Arial" w:cs="Arial"/>
        </w:rPr>
      </w:pPr>
      <w:r>
        <w:rPr>
          <w:rFonts w:ascii="Arial" w:hAnsi="Arial" w:cs="Arial"/>
          <w:noProof/>
        </w:rPr>
        <w:lastRenderedPageBreak/>
        <w:drawing>
          <wp:inline distT="0" distB="0" distL="0" distR="0" wp14:anchorId="0BC201F4" wp14:editId="5FC0E8A3">
            <wp:extent cx="3162300" cy="2395683"/>
            <wp:effectExtent l="0" t="0" r="0" b="0"/>
            <wp:docPr id="754811980" name="Imagem 1" descr="Foto em preto e branco em cima de uma superfície de ped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11980" name="Imagem 1" descr="Foto em preto e branco em cima de uma superfície de pedra&#10;&#10;O conteúdo gerado por IA pode estar incorreto."/>
                    <pic:cNvPicPr/>
                  </pic:nvPicPr>
                  <pic:blipFill>
                    <a:blip r:embed="rId12">
                      <a:extLst>
                        <a:ext uri="{28A0092B-C50C-407E-A947-70E740481C1C}">
                          <a14:useLocalDpi xmlns:a14="http://schemas.microsoft.com/office/drawing/2010/main" val="0"/>
                        </a:ext>
                      </a:extLst>
                    </a:blip>
                    <a:stretch>
                      <a:fillRect/>
                    </a:stretch>
                  </pic:blipFill>
                  <pic:spPr>
                    <a:xfrm>
                      <a:off x="0" y="0"/>
                      <a:ext cx="3192175" cy="2418315"/>
                    </a:xfrm>
                    <a:prstGeom prst="rect">
                      <a:avLst/>
                    </a:prstGeom>
                  </pic:spPr>
                </pic:pic>
              </a:graphicData>
            </a:graphic>
          </wp:inline>
        </w:drawing>
      </w:r>
    </w:p>
    <w:p w14:paraId="2F7B3E3F" w14:textId="07C386A9" w:rsidR="007266F3" w:rsidRPr="007266F3" w:rsidRDefault="007266F3" w:rsidP="007266F3">
      <w:pPr>
        <w:pStyle w:val="Body"/>
        <w:rPr>
          <w:rFonts w:ascii="Arial" w:hAnsi="Arial" w:cs="Arial"/>
        </w:rPr>
      </w:pPr>
      <w:r w:rsidRPr="007266F3">
        <w:rPr>
          <w:rFonts w:ascii="Arial" w:hAnsi="Arial" w:cs="Arial"/>
        </w:rPr>
        <w:t xml:space="preserve">Figure 1 - View of the </w:t>
      </w:r>
      <w:proofErr w:type="spellStart"/>
      <w:r w:rsidRPr="007266F3">
        <w:rPr>
          <w:rFonts w:ascii="Arial" w:hAnsi="Arial" w:cs="Arial"/>
        </w:rPr>
        <w:t>sambaqui</w:t>
      </w:r>
      <w:proofErr w:type="spellEnd"/>
      <w:r w:rsidRPr="007266F3">
        <w:rPr>
          <w:rFonts w:ascii="Arial" w:hAnsi="Arial" w:cs="Arial"/>
        </w:rPr>
        <w:t xml:space="preserve"> called </w:t>
      </w:r>
      <w:proofErr w:type="spellStart"/>
      <w:r w:rsidRPr="007266F3">
        <w:rPr>
          <w:rFonts w:ascii="Arial" w:hAnsi="Arial" w:cs="Arial"/>
        </w:rPr>
        <w:t>Cabeçuda</w:t>
      </w:r>
      <w:proofErr w:type="spellEnd"/>
      <w:r w:rsidRPr="007266F3">
        <w:rPr>
          <w:rFonts w:ascii="Arial" w:hAnsi="Arial" w:cs="Arial"/>
        </w:rPr>
        <w:t xml:space="preserve"> shell mound, located next to the </w:t>
      </w:r>
      <w:proofErr w:type="spellStart"/>
      <w:r w:rsidRPr="007266F3">
        <w:rPr>
          <w:rFonts w:ascii="Arial" w:hAnsi="Arial" w:cs="Arial"/>
        </w:rPr>
        <w:t>Imaruí</w:t>
      </w:r>
      <w:proofErr w:type="spellEnd"/>
      <w:r w:rsidRPr="007266F3">
        <w:rPr>
          <w:rFonts w:ascii="Arial" w:hAnsi="Arial" w:cs="Arial"/>
        </w:rPr>
        <w:t xml:space="preserve"> Lagoon, in Laguna, State of Santa Catarina, Brazil (Photo: L.C. Faria, 1952)</w:t>
      </w:r>
      <w:r w:rsidR="00505C90" w:rsidRPr="00505C90">
        <w:rPr>
          <w:rFonts w:ascii="Arial" w:eastAsia="Calibri" w:hAnsi="Arial" w:cs="Arial"/>
        </w:rPr>
        <w:t xml:space="preserve"> </w:t>
      </w:r>
      <w:r w:rsidR="00505C90">
        <w:rPr>
          <w:rFonts w:ascii="Arial" w:eastAsia="Calibri" w:hAnsi="Arial" w:cs="Arial"/>
        </w:rPr>
        <w:t>[</w:t>
      </w:r>
      <w:r w:rsidR="00505C90" w:rsidRPr="00F57DA1">
        <w:rPr>
          <w:rFonts w:ascii="Arial" w:eastAsia="Calibri" w:hAnsi="Arial" w:cs="Arial"/>
        </w:rPr>
        <w:t>49</w:t>
      </w:r>
      <w:r w:rsidR="00505C90">
        <w:rPr>
          <w:rFonts w:ascii="Arial" w:eastAsia="Calibri" w:hAnsi="Arial" w:cs="Arial"/>
        </w:rPr>
        <w:t>]</w:t>
      </w:r>
      <w:r w:rsidR="00ED52DC">
        <w:rPr>
          <w:rFonts w:ascii="Arial" w:hAnsi="Arial" w:cs="Arial"/>
        </w:rPr>
        <w:t>.</w:t>
      </w:r>
      <w:r w:rsidRPr="007266F3">
        <w:rPr>
          <w:rFonts w:ascii="Arial" w:hAnsi="Arial" w:cs="Arial"/>
        </w:rPr>
        <w:t xml:space="preserve"> </w:t>
      </w:r>
    </w:p>
    <w:p w14:paraId="260FD4C6" w14:textId="77777777" w:rsidR="007266F3" w:rsidRPr="007266F3" w:rsidRDefault="007266F3" w:rsidP="007266F3">
      <w:pPr>
        <w:pStyle w:val="Body"/>
        <w:rPr>
          <w:rFonts w:ascii="Arial" w:hAnsi="Arial" w:cs="Arial"/>
        </w:rPr>
      </w:pPr>
    </w:p>
    <w:p w14:paraId="1BA0C2C8" w14:textId="77777777" w:rsidR="00ED03FC" w:rsidRDefault="00ED03FC" w:rsidP="007266F3">
      <w:pPr>
        <w:pStyle w:val="Body"/>
        <w:rPr>
          <w:rFonts w:ascii="Arial" w:hAnsi="Arial" w:cs="Arial"/>
        </w:rPr>
      </w:pPr>
      <w:r>
        <w:rPr>
          <w:rFonts w:ascii="Arial" w:hAnsi="Arial" w:cs="Arial"/>
          <w:noProof/>
        </w:rPr>
        <w:drawing>
          <wp:inline distT="0" distB="0" distL="0" distR="0" wp14:anchorId="0E8F0707" wp14:editId="0E065924">
            <wp:extent cx="2676525" cy="3472792"/>
            <wp:effectExtent l="0" t="0" r="0" b="0"/>
            <wp:docPr id="781064413" name="Imagem 2" descr="Foto em preto e branco de criança em p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64413" name="Imagem 2" descr="Foto em preto e branco de criança em pé&#10;&#10;O conteúdo gerado por IA pode estar incorreto."/>
                    <pic:cNvPicPr/>
                  </pic:nvPicPr>
                  <pic:blipFill>
                    <a:blip r:embed="rId13">
                      <a:extLst>
                        <a:ext uri="{28A0092B-C50C-407E-A947-70E740481C1C}">
                          <a14:useLocalDpi xmlns:a14="http://schemas.microsoft.com/office/drawing/2010/main" val="0"/>
                        </a:ext>
                      </a:extLst>
                    </a:blip>
                    <a:stretch>
                      <a:fillRect/>
                    </a:stretch>
                  </pic:blipFill>
                  <pic:spPr>
                    <a:xfrm>
                      <a:off x="0" y="0"/>
                      <a:ext cx="2689962" cy="3490227"/>
                    </a:xfrm>
                    <a:prstGeom prst="rect">
                      <a:avLst/>
                    </a:prstGeom>
                  </pic:spPr>
                </pic:pic>
              </a:graphicData>
            </a:graphic>
          </wp:inline>
        </w:drawing>
      </w:r>
    </w:p>
    <w:p w14:paraId="04F91703" w14:textId="4F42705C" w:rsidR="007266F3" w:rsidRPr="007266F3" w:rsidRDefault="007266F3" w:rsidP="007266F3">
      <w:pPr>
        <w:pStyle w:val="Body"/>
        <w:rPr>
          <w:rFonts w:ascii="Arial" w:hAnsi="Arial" w:cs="Arial"/>
        </w:rPr>
      </w:pPr>
      <w:r w:rsidRPr="007266F3">
        <w:rPr>
          <w:rFonts w:ascii="Arial" w:hAnsi="Arial" w:cs="Arial"/>
        </w:rPr>
        <w:t>Figure 2 – Human burial in a flexed position recorded during the archaeological field work in the 1950s (Photo: L.C. Faria, 1952)</w:t>
      </w:r>
      <w:r w:rsidR="00505C90">
        <w:rPr>
          <w:rFonts w:ascii="Arial" w:hAnsi="Arial" w:cs="Arial"/>
        </w:rPr>
        <w:t xml:space="preserve"> </w:t>
      </w:r>
      <w:r w:rsidR="00505C90">
        <w:rPr>
          <w:rFonts w:ascii="Arial" w:eastAsia="Calibri" w:hAnsi="Arial" w:cs="Arial"/>
        </w:rPr>
        <w:t>[</w:t>
      </w:r>
      <w:r w:rsidR="00505C90" w:rsidRPr="00017665">
        <w:rPr>
          <w:rFonts w:ascii="Arial" w:eastAsia="Calibri" w:hAnsi="Arial" w:cs="Arial"/>
        </w:rPr>
        <w:t>49</w:t>
      </w:r>
      <w:r w:rsidR="00505C90">
        <w:rPr>
          <w:rFonts w:ascii="Arial" w:eastAsia="Calibri" w:hAnsi="Arial" w:cs="Arial"/>
        </w:rPr>
        <w:t>]</w:t>
      </w:r>
      <w:r w:rsidRPr="007266F3">
        <w:rPr>
          <w:rFonts w:ascii="Arial" w:hAnsi="Arial" w:cs="Arial"/>
        </w:rPr>
        <w:t xml:space="preserve">. </w:t>
      </w:r>
    </w:p>
    <w:p w14:paraId="77CE291D" w14:textId="77777777" w:rsidR="00350C87" w:rsidRPr="00056FFD" w:rsidRDefault="00350C87" w:rsidP="00350C87">
      <w:pPr>
        <w:autoSpaceDE w:val="0"/>
        <w:autoSpaceDN w:val="0"/>
        <w:adjustRightInd w:val="0"/>
        <w:spacing w:line="360" w:lineRule="auto"/>
        <w:ind w:firstLine="360"/>
        <w:jc w:val="both"/>
        <w:rPr>
          <w:rFonts w:ascii="Arial" w:eastAsia="Calibri" w:hAnsi="Arial" w:cs="Arial"/>
          <w:b/>
          <w:bCs/>
        </w:rPr>
      </w:pPr>
    </w:p>
    <w:p w14:paraId="6E0AFF84" w14:textId="517FDDE3" w:rsidR="00D05CEE" w:rsidRPr="009A009D" w:rsidRDefault="00D05CEE" w:rsidP="00D05CEE">
      <w:pPr>
        <w:spacing w:after="160" w:line="278" w:lineRule="auto"/>
        <w:ind w:firstLine="720"/>
        <w:jc w:val="both"/>
        <w:rPr>
          <w:rFonts w:ascii="Arial" w:eastAsia="Aptos" w:hAnsi="Arial" w:cs="Arial"/>
          <w:kern w:val="2"/>
          <w14:ligatures w14:val="standardContextual"/>
        </w:rPr>
      </w:pPr>
      <w:r w:rsidRPr="009A009D">
        <w:rPr>
          <w:rFonts w:ascii="Arial" w:eastAsia="Aptos" w:hAnsi="Arial" w:cs="Arial"/>
          <w:kern w:val="2"/>
          <w14:ligatures w14:val="standardContextual"/>
        </w:rPr>
        <w:lastRenderedPageBreak/>
        <w:t xml:space="preserve">In </w:t>
      </w:r>
      <w:proofErr w:type="spellStart"/>
      <w:r w:rsidRPr="009A009D">
        <w:rPr>
          <w:rFonts w:ascii="Arial" w:eastAsia="Aptos" w:hAnsi="Arial" w:cs="Arial"/>
          <w:kern w:val="2"/>
          <w14:ligatures w14:val="standardContextual"/>
        </w:rPr>
        <w:t>Cabeçuda</w:t>
      </w:r>
      <w:proofErr w:type="spellEnd"/>
      <w:r w:rsidRPr="009A009D">
        <w:rPr>
          <w:rFonts w:ascii="Arial" w:eastAsia="Aptos" w:hAnsi="Arial" w:cs="Arial"/>
          <w:kern w:val="2"/>
          <w14:ligatures w14:val="standardContextual"/>
        </w:rPr>
        <w:t xml:space="preserve"> people tooth loss was not very significant, thanks to tooth impaction by </w:t>
      </w:r>
      <w:proofErr w:type="spellStart"/>
      <w:r w:rsidRPr="009A009D">
        <w:rPr>
          <w:rFonts w:ascii="Arial" w:eastAsia="Aptos" w:hAnsi="Arial" w:cs="Arial"/>
          <w:kern w:val="2"/>
          <w14:ligatures w14:val="standardContextual"/>
        </w:rPr>
        <w:t>hypercementosis</w:t>
      </w:r>
      <w:proofErr w:type="spellEnd"/>
      <w:r w:rsidRPr="009A009D">
        <w:rPr>
          <w:rFonts w:ascii="Arial" w:eastAsia="Aptos" w:hAnsi="Arial" w:cs="Arial"/>
          <w:kern w:val="2"/>
          <w14:ligatures w14:val="standardContextual"/>
        </w:rPr>
        <w:t xml:space="preserve"> [51]. The complete absence of caries </w:t>
      </w:r>
      <w:r w:rsidR="00071AC4">
        <w:rPr>
          <w:rFonts w:ascii="Arial" w:eastAsia="Aptos" w:hAnsi="Arial" w:cs="Arial"/>
          <w:kern w:val="2"/>
          <w14:ligatures w14:val="standardContextual"/>
        </w:rPr>
        <w:t xml:space="preserve">was a subject of interest </w:t>
      </w:r>
      <w:r w:rsidRPr="009A009D">
        <w:rPr>
          <w:rFonts w:ascii="Arial" w:eastAsia="Aptos" w:hAnsi="Arial" w:cs="Arial"/>
          <w:kern w:val="2"/>
          <w14:ligatures w14:val="standardContextual"/>
        </w:rPr>
        <w:t xml:space="preserve">since the first study of this material, even considering that coastal shell mounds usually have a low frequency of </w:t>
      </w:r>
      <w:proofErr w:type="gramStart"/>
      <w:r w:rsidRPr="009A009D">
        <w:rPr>
          <w:rFonts w:ascii="Arial" w:eastAsia="Aptos" w:hAnsi="Arial" w:cs="Arial"/>
          <w:kern w:val="2"/>
          <w14:ligatures w14:val="standardContextual"/>
        </w:rPr>
        <w:t>caries</w:t>
      </w:r>
      <w:proofErr w:type="gramEnd"/>
      <w:r w:rsidRPr="009A009D">
        <w:rPr>
          <w:rFonts w:ascii="Arial" w:eastAsia="Aptos" w:hAnsi="Arial" w:cs="Arial"/>
          <w:kern w:val="2"/>
          <w14:ligatures w14:val="standardContextual"/>
        </w:rPr>
        <w:t xml:space="preserve">. A pioneering investigation pointed to the absence of caries in 1329 human teeth of 83 adult/sub-adult individuals. The secondary dentitions were represented by 231 maxilla teeth and 1088 mandibula teeth. The remaining 38 were deciduous [52]. At the time, the diagnostic criterion was the presence of a cavity on the surface of the crown or root, detected with the aid of an exploratory dental probe (0.5 mm). The total absence of dental caries </w:t>
      </w:r>
      <w:r w:rsidR="008548B0">
        <w:rPr>
          <w:rFonts w:ascii="Arial" w:eastAsia="Aptos" w:hAnsi="Arial" w:cs="Arial"/>
          <w:kern w:val="2"/>
          <w14:ligatures w14:val="standardContextual"/>
        </w:rPr>
        <w:t xml:space="preserve">in </w:t>
      </w:r>
      <w:proofErr w:type="spellStart"/>
      <w:r w:rsidR="008548B0">
        <w:rPr>
          <w:rFonts w:ascii="Arial" w:eastAsia="Aptos" w:hAnsi="Arial" w:cs="Arial"/>
          <w:kern w:val="2"/>
          <w14:ligatures w14:val="standardContextual"/>
        </w:rPr>
        <w:t>Cabeçuda</w:t>
      </w:r>
      <w:proofErr w:type="spellEnd"/>
      <w:r w:rsidR="008548B0">
        <w:rPr>
          <w:rFonts w:ascii="Arial" w:eastAsia="Aptos" w:hAnsi="Arial" w:cs="Arial"/>
          <w:kern w:val="2"/>
          <w14:ligatures w14:val="standardContextual"/>
        </w:rPr>
        <w:t xml:space="preserve"> </w:t>
      </w:r>
      <w:r w:rsidRPr="009A009D">
        <w:rPr>
          <w:rFonts w:ascii="Arial" w:eastAsia="Aptos" w:hAnsi="Arial" w:cs="Arial"/>
          <w:kern w:val="2"/>
          <w14:ligatures w14:val="standardContextual"/>
        </w:rPr>
        <w:t xml:space="preserve">was initially attributed to the </w:t>
      </w:r>
      <w:r w:rsidR="00ED2ED8" w:rsidRPr="009A009D">
        <w:rPr>
          <w:rFonts w:ascii="Arial" w:eastAsia="Aptos" w:hAnsi="Arial" w:cs="Arial"/>
          <w:kern w:val="2"/>
          <w14:ligatures w14:val="standardContextual"/>
        </w:rPr>
        <w:t>hyper protein</w:t>
      </w:r>
      <w:r w:rsidRPr="009A009D">
        <w:rPr>
          <w:rFonts w:ascii="Arial" w:eastAsia="Aptos" w:hAnsi="Arial" w:cs="Arial"/>
          <w:kern w:val="2"/>
          <w14:ligatures w14:val="standardContextual"/>
        </w:rPr>
        <w:t xml:space="preserve"> nutrition of the pre-horticultor coastal fishing-gathering groups, and a possible genetic factor, given that similar coastal groups exposed to similar habits and environment, presented low caries frequencies, but not zero. The absence of caries in the </w:t>
      </w:r>
      <w:proofErr w:type="spellStart"/>
      <w:r w:rsidRPr="009A009D">
        <w:rPr>
          <w:rFonts w:ascii="Arial" w:eastAsia="Aptos" w:hAnsi="Arial" w:cs="Arial"/>
          <w:kern w:val="2"/>
          <w14:ligatures w14:val="standardContextual"/>
        </w:rPr>
        <w:t>Cabeçuda</w:t>
      </w:r>
      <w:proofErr w:type="spellEnd"/>
      <w:r w:rsidRPr="009A009D">
        <w:rPr>
          <w:rFonts w:ascii="Arial" w:eastAsia="Aptos" w:hAnsi="Arial" w:cs="Arial"/>
          <w:kern w:val="2"/>
          <w14:ligatures w14:val="standardContextual"/>
        </w:rPr>
        <w:t xml:space="preserve"> people was confirmed in a later study [51], based on the same criterion, using the same probe size. The second investigation used 33 probably female, 36 probably male, and 7 of undetermined sex [53]. </w:t>
      </w:r>
    </w:p>
    <w:p w14:paraId="36F94D8F" w14:textId="2994853B" w:rsidR="00D05CEE" w:rsidRPr="009A009D" w:rsidRDefault="00D05CEE" w:rsidP="00D05CEE">
      <w:pPr>
        <w:spacing w:after="160" w:line="278" w:lineRule="auto"/>
        <w:ind w:firstLine="720"/>
        <w:jc w:val="both"/>
        <w:rPr>
          <w:rFonts w:ascii="Arial" w:eastAsia="Aptos" w:hAnsi="Arial" w:cs="Arial"/>
          <w:kern w:val="2"/>
          <w14:ligatures w14:val="standardContextual"/>
        </w:rPr>
      </w:pPr>
      <w:r w:rsidRPr="009A009D">
        <w:rPr>
          <w:rFonts w:ascii="Arial" w:eastAsia="Aptos" w:hAnsi="Arial" w:cs="Arial"/>
          <w:kern w:val="2"/>
          <w14:ligatures w14:val="standardContextual"/>
        </w:rPr>
        <w:t xml:space="preserve">Integrating different paleopathological skeletal signs from the same human remains, Souza (1999) [54] proposed a systemic interpretation. General health conditions associated with their exposure to environmental risks provided a systemic approach to the absence of caries. Physiological stress indicators such as porotic hyperostosis, </w:t>
      </w:r>
      <w:proofErr w:type="spellStart"/>
      <w:r w:rsidRPr="00863D71">
        <w:rPr>
          <w:rFonts w:ascii="Arial" w:eastAsia="Aptos" w:hAnsi="Arial" w:cs="Arial"/>
          <w:kern w:val="2"/>
          <w14:ligatures w14:val="standardContextual"/>
        </w:rPr>
        <w:t>cribra</w:t>
      </w:r>
      <w:proofErr w:type="spellEnd"/>
      <w:r w:rsidRPr="00863D71">
        <w:rPr>
          <w:rFonts w:ascii="Arial" w:eastAsia="Aptos" w:hAnsi="Arial" w:cs="Arial"/>
          <w:kern w:val="2"/>
          <w14:ligatures w14:val="standardContextual"/>
        </w:rPr>
        <w:t xml:space="preserve"> </w:t>
      </w:r>
      <w:proofErr w:type="spellStart"/>
      <w:r w:rsidRPr="00863D71">
        <w:rPr>
          <w:rFonts w:ascii="Arial" w:eastAsia="Aptos" w:hAnsi="Arial" w:cs="Arial"/>
          <w:kern w:val="2"/>
          <w14:ligatures w14:val="standardContextual"/>
        </w:rPr>
        <w:t>orbitalia</w:t>
      </w:r>
      <w:proofErr w:type="spellEnd"/>
      <w:r w:rsidRPr="009A009D">
        <w:rPr>
          <w:rFonts w:ascii="Arial" w:eastAsia="Aptos" w:hAnsi="Arial" w:cs="Arial"/>
          <w:kern w:val="2"/>
          <w14:ligatures w14:val="standardContextual"/>
        </w:rPr>
        <w:t>, linear enamel hypoplasia, arrested growth lines in long bones, periosteal reactions</w:t>
      </w:r>
      <w:r w:rsidR="008D0741">
        <w:rPr>
          <w:rFonts w:ascii="Arial" w:eastAsia="Aptos" w:hAnsi="Arial" w:cs="Arial"/>
          <w:kern w:val="2"/>
          <w14:ligatures w14:val="standardContextual"/>
        </w:rPr>
        <w:t xml:space="preserve"> and </w:t>
      </w:r>
      <w:r w:rsidRPr="009A009D">
        <w:rPr>
          <w:rFonts w:ascii="Arial" w:eastAsia="Aptos" w:hAnsi="Arial" w:cs="Arial"/>
          <w:kern w:val="2"/>
          <w14:ligatures w14:val="standardContextual"/>
        </w:rPr>
        <w:t xml:space="preserve">auditory </w:t>
      </w:r>
      <w:r w:rsidR="00036D4E">
        <w:rPr>
          <w:rFonts w:ascii="Arial" w:eastAsia="Aptos" w:hAnsi="Arial" w:cs="Arial"/>
          <w:kern w:val="2"/>
          <w14:ligatures w14:val="standardContextual"/>
        </w:rPr>
        <w:t xml:space="preserve">and mandibula </w:t>
      </w:r>
      <w:r w:rsidRPr="009A009D">
        <w:rPr>
          <w:rFonts w:ascii="Arial" w:eastAsia="Aptos" w:hAnsi="Arial" w:cs="Arial"/>
          <w:kern w:val="2"/>
          <w14:ligatures w14:val="standardContextual"/>
        </w:rPr>
        <w:t xml:space="preserve">torus.  </w:t>
      </w:r>
      <w:r w:rsidR="00036D4E">
        <w:rPr>
          <w:rFonts w:ascii="Arial" w:eastAsia="Aptos" w:hAnsi="Arial" w:cs="Arial"/>
          <w:kern w:val="2"/>
          <w14:ligatures w14:val="standardContextual"/>
        </w:rPr>
        <w:t>A c</w:t>
      </w:r>
      <w:r w:rsidRPr="009A009D">
        <w:rPr>
          <w:rFonts w:ascii="Arial" w:eastAsia="Aptos" w:hAnsi="Arial" w:cs="Arial"/>
          <w:kern w:val="2"/>
          <w14:ligatures w14:val="standardContextual"/>
        </w:rPr>
        <w:t xml:space="preserve">hronic exposure to recurrent infections caused by saltwater </w:t>
      </w:r>
      <w:r w:rsidR="00036D4E" w:rsidRPr="00863D71">
        <w:rPr>
          <w:rFonts w:ascii="Arial" w:eastAsia="Aptos" w:hAnsi="Arial" w:cs="Arial"/>
          <w:i/>
          <w:iCs/>
          <w:kern w:val="2"/>
          <w14:ligatures w14:val="standardContextual"/>
        </w:rPr>
        <w:t>V</w:t>
      </w:r>
      <w:r w:rsidRPr="00863D71">
        <w:rPr>
          <w:rFonts w:ascii="Arial" w:eastAsia="Aptos" w:hAnsi="Arial" w:cs="Arial"/>
          <w:i/>
          <w:iCs/>
          <w:kern w:val="2"/>
          <w14:ligatures w14:val="standardContextual"/>
        </w:rPr>
        <w:t xml:space="preserve">ibrio </w:t>
      </w:r>
      <w:r w:rsidRPr="009A009D">
        <w:rPr>
          <w:rFonts w:ascii="Arial" w:eastAsia="Aptos" w:hAnsi="Arial" w:cs="Arial"/>
          <w:kern w:val="2"/>
          <w14:ligatures w14:val="standardContextual"/>
        </w:rPr>
        <w:t xml:space="preserve">was then proposed by Souza (1999) [54]. Colonizing skin and mucous membranes, including the oral cavity, </w:t>
      </w:r>
      <w:r w:rsidR="003A3983" w:rsidRPr="00863D71">
        <w:rPr>
          <w:rFonts w:ascii="Arial" w:eastAsia="Aptos" w:hAnsi="Arial" w:cs="Arial"/>
          <w:i/>
          <w:iCs/>
          <w:kern w:val="2"/>
          <w14:ligatures w14:val="standardContextual"/>
        </w:rPr>
        <w:t>V</w:t>
      </w:r>
      <w:r w:rsidRPr="00863D71">
        <w:rPr>
          <w:rFonts w:ascii="Arial" w:eastAsia="Aptos" w:hAnsi="Arial" w:cs="Arial"/>
          <w:i/>
          <w:iCs/>
          <w:kern w:val="2"/>
          <w14:ligatures w14:val="standardContextual"/>
        </w:rPr>
        <w:t>ibrio</w:t>
      </w:r>
      <w:r w:rsidRPr="009A009D">
        <w:rPr>
          <w:rFonts w:ascii="Arial" w:eastAsia="Aptos" w:hAnsi="Arial" w:cs="Arial"/>
          <w:kern w:val="2"/>
          <w14:ligatures w14:val="standardContextual"/>
        </w:rPr>
        <w:t xml:space="preserve"> would cause cutaneous, gastroenteric, and other infections.  Different health problems </w:t>
      </w:r>
      <w:r w:rsidR="005C2688">
        <w:rPr>
          <w:rFonts w:ascii="Arial" w:eastAsia="Aptos" w:hAnsi="Arial" w:cs="Arial"/>
          <w:kern w:val="2"/>
          <w14:ligatures w14:val="standardContextual"/>
        </w:rPr>
        <w:t xml:space="preserve">could be </w:t>
      </w:r>
      <w:r w:rsidRPr="009A009D">
        <w:rPr>
          <w:rFonts w:ascii="Arial" w:eastAsia="Aptos" w:hAnsi="Arial" w:cs="Arial"/>
          <w:kern w:val="2"/>
          <w14:ligatures w14:val="standardContextual"/>
        </w:rPr>
        <w:t xml:space="preserve">caused by </w:t>
      </w:r>
      <w:r w:rsidRPr="00863D71">
        <w:rPr>
          <w:rFonts w:ascii="Arial" w:eastAsia="Aptos" w:hAnsi="Arial" w:cs="Arial"/>
          <w:i/>
          <w:iCs/>
          <w:kern w:val="2"/>
          <w14:ligatures w14:val="standardContextual"/>
        </w:rPr>
        <w:t>Vibrio</w:t>
      </w:r>
      <w:r w:rsidRPr="009A009D">
        <w:rPr>
          <w:rFonts w:ascii="Arial" w:eastAsia="Aptos" w:hAnsi="Arial" w:cs="Arial"/>
          <w:kern w:val="2"/>
          <w14:ligatures w14:val="standardContextual"/>
        </w:rPr>
        <w:t>, such as gastroenteritis, periostitis, otitis, skin and mucous membrane infections</w:t>
      </w:r>
      <w:r w:rsidR="005C2688">
        <w:rPr>
          <w:rFonts w:ascii="Arial" w:eastAsia="Aptos" w:hAnsi="Arial" w:cs="Arial"/>
          <w:kern w:val="2"/>
          <w14:ligatures w14:val="standardContextual"/>
        </w:rPr>
        <w:t>;</w:t>
      </w:r>
      <w:r w:rsidRPr="009A009D">
        <w:rPr>
          <w:rFonts w:ascii="Arial" w:eastAsia="Aptos" w:hAnsi="Arial" w:cs="Arial"/>
          <w:kern w:val="2"/>
          <w14:ligatures w14:val="standardContextual"/>
        </w:rPr>
        <w:t xml:space="preserve"> even fatal cases are described in contemporaneous coastal populations [55, 56]. Colonizing the mucous membranes and modifying the ecology of the oral cavity [39], </w:t>
      </w:r>
      <w:r w:rsidR="005C2688">
        <w:rPr>
          <w:rFonts w:ascii="Arial" w:eastAsia="Aptos" w:hAnsi="Arial" w:cs="Arial"/>
          <w:kern w:val="2"/>
          <w14:ligatures w14:val="standardContextual"/>
        </w:rPr>
        <w:t>V</w:t>
      </w:r>
      <w:r w:rsidRPr="009A009D">
        <w:rPr>
          <w:rFonts w:ascii="Arial" w:eastAsia="Aptos" w:hAnsi="Arial" w:cs="Arial"/>
          <w:kern w:val="2"/>
          <w14:ligatures w14:val="standardContextual"/>
        </w:rPr>
        <w:t xml:space="preserve">ibrio would be able to modulate the cariogenic microbiota, interfering in </w:t>
      </w:r>
      <w:proofErr w:type="spellStart"/>
      <w:r w:rsidR="006E6A63">
        <w:rPr>
          <w:rFonts w:ascii="Arial" w:eastAsia="Aptos" w:hAnsi="Arial" w:cs="Arial"/>
          <w:kern w:val="2"/>
          <w14:ligatures w14:val="standardContextual"/>
        </w:rPr>
        <w:t>c</w:t>
      </w:r>
      <w:r w:rsidRPr="009A009D">
        <w:rPr>
          <w:rFonts w:ascii="Arial" w:eastAsia="Aptos" w:hAnsi="Arial" w:cs="Arial"/>
          <w:kern w:val="2"/>
          <w14:ligatures w14:val="standardContextual"/>
        </w:rPr>
        <w:t>ariogenesis</w:t>
      </w:r>
      <w:proofErr w:type="spellEnd"/>
      <w:r w:rsidRPr="009A009D">
        <w:rPr>
          <w:rFonts w:ascii="Arial" w:eastAsia="Aptos" w:hAnsi="Arial" w:cs="Arial"/>
          <w:kern w:val="2"/>
          <w14:ligatures w14:val="standardContextual"/>
        </w:rPr>
        <w:t xml:space="preserve">.  </w:t>
      </w:r>
    </w:p>
    <w:p w14:paraId="5A65FA79" w14:textId="0D4982DB" w:rsidR="007266F3" w:rsidRPr="007266F3" w:rsidRDefault="00B34C59" w:rsidP="00751998">
      <w:pPr>
        <w:pStyle w:val="Body"/>
        <w:spacing w:line="276" w:lineRule="auto"/>
        <w:ind w:firstLine="720"/>
        <w:rPr>
          <w:rFonts w:ascii="Arial" w:hAnsi="Arial" w:cs="Arial"/>
        </w:rPr>
      </w:pPr>
      <w:r>
        <w:rPr>
          <w:rFonts w:ascii="Arial" w:eastAsia="Aptos" w:hAnsi="Arial" w:cs="Arial"/>
          <w:kern w:val="2"/>
          <w14:ligatures w14:val="standardContextual"/>
        </w:rPr>
        <w:t>T</w:t>
      </w:r>
      <w:r w:rsidR="006208DC" w:rsidRPr="006208DC">
        <w:rPr>
          <w:rFonts w:ascii="Arial" w:eastAsia="Aptos" w:hAnsi="Arial" w:cs="Arial"/>
          <w:kern w:val="2"/>
          <w14:ligatures w14:val="standardContextual"/>
        </w:rPr>
        <w:t xml:space="preserve">he present </w:t>
      </w:r>
      <w:r>
        <w:rPr>
          <w:rFonts w:ascii="Arial" w:eastAsia="Aptos" w:hAnsi="Arial" w:cs="Arial"/>
          <w:kern w:val="2"/>
          <w14:ligatures w14:val="standardContextual"/>
        </w:rPr>
        <w:t xml:space="preserve">investigation </w:t>
      </w:r>
      <w:r w:rsidR="003634B1">
        <w:rPr>
          <w:rFonts w:ascii="Arial" w:eastAsia="Aptos" w:hAnsi="Arial" w:cs="Arial"/>
          <w:kern w:val="2"/>
          <w14:ligatures w14:val="standardContextual"/>
        </w:rPr>
        <w:t xml:space="preserve">uses </w:t>
      </w:r>
      <w:r w:rsidR="00777C4F" w:rsidRPr="006208DC">
        <w:rPr>
          <w:rFonts w:ascii="Arial" w:eastAsia="Aptos" w:hAnsi="Arial" w:cs="Arial"/>
          <w:kern w:val="2"/>
          <w14:ligatures w14:val="standardContextual"/>
        </w:rPr>
        <w:t>scanning electron microscopy (SEM)</w:t>
      </w:r>
      <w:r w:rsidR="003634B1">
        <w:rPr>
          <w:rFonts w:ascii="Arial" w:eastAsia="Aptos" w:hAnsi="Arial" w:cs="Arial"/>
          <w:kern w:val="2"/>
          <w14:ligatures w14:val="standardContextual"/>
        </w:rPr>
        <w:t xml:space="preserve"> to analyze </w:t>
      </w:r>
      <w:r w:rsidR="00777C4F">
        <w:rPr>
          <w:rFonts w:ascii="Arial" w:eastAsia="Aptos" w:hAnsi="Arial" w:cs="Arial"/>
          <w:kern w:val="2"/>
          <w14:ligatures w14:val="standardContextual"/>
        </w:rPr>
        <w:t>the</w:t>
      </w:r>
      <w:r w:rsidR="006208DC" w:rsidRPr="006208DC">
        <w:rPr>
          <w:rFonts w:ascii="Arial" w:eastAsia="Aptos" w:hAnsi="Arial" w:cs="Arial"/>
          <w:kern w:val="2"/>
          <w14:ligatures w14:val="standardContextual"/>
        </w:rPr>
        <w:t xml:space="preserve"> supragingival dental calculi from individuals buried in </w:t>
      </w:r>
      <w:proofErr w:type="spellStart"/>
      <w:r w:rsidR="006208DC" w:rsidRPr="006208DC">
        <w:rPr>
          <w:rFonts w:ascii="Arial" w:eastAsia="Aptos" w:hAnsi="Arial" w:cs="Arial"/>
          <w:kern w:val="2"/>
          <w14:ligatures w14:val="standardContextual"/>
        </w:rPr>
        <w:t>Cabeçuda</w:t>
      </w:r>
      <w:proofErr w:type="spellEnd"/>
      <w:r w:rsidR="006208DC" w:rsidRPr="006208DC">
        <w:rPr>
          <w:rFonts w:ascii="Arial" w:eastAsia="Aptos" w:hAnsi="Arial" w:cs="Arial"/>
          <w:kern w:val="2"/>
          <w14:ligatures w14:val="standardContextual"/>
        </w:rPr>
        <w:t xml:space="preserve">, </w:t>
      </w:r>
      <w:r w:rsidR="003634B1">
        <w:rPr>
          <w:rFonts w:ascii="Arial" w:eastAsia="Aptos" w:hAnsi="Arial" w:cs="Arial"/>
          <w:kern w:val="2"/>
          <w14:ligatures w14:val="standardContextual"/>
        </w:rPr>
        <w:t>searching for</w:t>
      </w:r>
      <w:r w:rsidR="006208DC" w:rsidRPr="006208DC">
        <w:rPr>
          <w:rFonts w:ascii="Arial" w:eastAsia="Aptos" w:hAnsi="Arial" w:cs="Arial"/>
          <w:kern w:val="2"/>
          <w14:ligatures w14:val="standardContextual"/>
        </w:rPr>
        <w:t xml:space="preserve"> microfossils of the </w:t>
      </w:r>
      <w:r w:rsidR="002A78DA">
        <w:rPr>
          <w:rFonts w:ascii="Arial" w:eastAsia="Aptos" w:hAnsi="Arial" w:cs="Arial"/>
          <w:kern w:val="2"/>
          <w14:ligatures w14:val="standardContextual"/>
        </w:rPr>
        <w:t xml:space="preserve">former </w:t>
      </w:r>
      <w:r w:rsidR="006208DC" w:rsidRPr="006208DC">
        <w:rPr>
          <w:rFonts w:ascii="Arial" w:eastAsia="Aptos" w:hAnsi="Arial" w:cs="Arial"/>
          <w:kern w:val="2"/>
          <w14:ligatures w14:val="standardContextual"/>
        </w:rPr>
        <w:t>microorganisms in the biofilm</w:t>
      </w:r>
      <w:r w:rsidR="002A78DA">
        <w:rPr>
          <w:rFonts w:ascii="Arial" w:eastAsia="Aptos" w:hAnsi="Arial" w:cs="Arial"/>
          <w:kern w:val="2"/>
          <w14:ligatures w14:val="standardContextual"/>
        </w:rPr>
        <w:t xml:space="preserve">. The </w:t>
      </w:r>
      <w:r w:rsidR="00762C2D">
        <w:rPr>
          <w:rFonts w:ascii="Arial" w:eastAsia="Aptos" w:hAnsi="Arial" w:cs="Arial"/>
          <w:kern w:val="2"/>
          <w14:ligatures w14:val="standardContextual"/>
        </w:rPr>
        <w:t xml:space="preserve">study aims </w:t>
      </w:r>
      <w:r w:rsidR="006208DC" w:rsidRPr="006208DC">
        <w:rPr>
          <w:rFonts w:ascii="Arial" w:eastAsia="Aptos" w:hAnsi="Arial" w:cs="Arial"/>
          <w:kern w:val="2"/>
          <w14:ligatures w14:val="standardContextual"/>
        </w:rPr>
        <w:t xml:space="preserve">especially </w:t>
      </w:r>
      <w:r w:rsidR="00762C2D">
        <w:rPr>
          <w:rFonts w:ascii="Arial" w:eastAsia="Aptos" w:hAnsi="Arial" w:cs="Arial"/>
          <w:kern w:val="2"/>
          <w14:ligatures w14:val="standardContextual"/>
        </w:rPr>
        <w:t>the</w:t>
      </w:r>
      <w:r w:rsidR="006208DC" w:rsidRPr="006208DC">
        <w:rPr>
          <w:rFonts w:ascii="Arial" w:eastAsia="Aptos" w:hAnsi="Arial" w:cs="Arial"/>
          <w:kern w:val="2"/>
          <w14:ligatures w14:val="standardContextual"/>
        </w:rPr>
        <w:t xml:space="preserve"> </w:t>
      </w:r>
      <w:r w:rsidR="00762C2D">
        <w:rPr>
          <w:rFonts w:ascii="Arial" w:eastAsia="Aptos" w:hAnsi="Arial" w:cs="Arial"/>
          <w:kern w:val="2"/>
          <w14:ligatures w14:val="standardContextual"/>
        </w:rPr>
        <w:t xml:space="preserve">possible </w:t>
      </w:r>
      <w:r w:rsidR="006208DC" w:rsidRPr="006208DC">
        <w:rPr>
          <w:rFonts w:ascii="Arial" w:eastAsia="Aptos" w:hAnsi="Arial" w:cs="Arial"/>
          <w:kern w:val="2"/>
          <w14:ligatures w14:val="standardContextual"/>
        </w:rPr>
        <w:t xml:space="preserve">evidence of the presence of </w:t>
      </w:r>
      <w:r w:rsidR="006E6A63" w:rsidRPr="00863D71">
        <w:rPr>
          <w:rFonts w:ascii="Arial" w:eastAsia="Aptos" w:hAnsi="Arial" w:cs="Arial"/>
          <w:i/>
          <w:iCs/>
          <w:kern w:val="2"/>
          <w14:ligatures w14:val="standardContextual"/>
        </w:rPr>
        <w:t>V</w:t>
      </w:r>
      <w:r w:rsidR="006208DC" w:rsidRPr="00863D71">
        <w:rPr>
          <w:rFonts w:ascii="Arial" w:eastAsia="Aptos" w:hAnsi="Arial" w:cs="Arial"/>
          <w:i/>
          <w:iCs/>
          <w:kern w:val="2"/>
          <w14:ligatures w14:val="standardContextual"/>
        </w:rPr>
        <w:t>ibrio</w:t>
      </w:r>
      <w:r w:rsidR="006208DC" w:rsidRPr="006208DC">
        <w:rPr>
          <w:rFonts w:ascii="Arial" w:eastAsia="Aptos" w:hAnsi="Arial" w:cs="Arial"/>
          <w:kern w:val="2"/>
          <w14:ligatures w14:val="standardContextual"/>
        </w:rPr>
        <w:t xml:space="preserve">. Here the </w:t>
      </w:r>
      <w:proofErr w:type="gramStart"/>
      <w:r w:rsidR="006208DC" w:rsidRPr="006208DC">
        <w:rPr>
          <w:rFonts w:ascii="Arial" w:eastAsia="Aptos" w:hAnsi="Arial" w:cs="Arial"/>
          <w:kern w:val="2"/>
          <w14:ligatures w14:val="standardContextual"/>
        </w:rPr>
        <w:t>taxa</w:t>
      </w:r>
      <w:proofErr w:type="gramEnd"/>
      <w:r w:rsidR="006208DC" w:rsidRPr="006208DC">
        <w:rPr>
          <w:rFonts w:ascii="Arial" w:eastAsia="Aptos" w:hAnsi="Arial" w:cs="Arial"/>
          <w:kern w:val="2"/>
          <w14:ligatures w14:val="standardContextual"/>
        </w:rPr>
        <w:t xml:space="preserve"> identified are presented, and technical difficulties limit</w:t>
      </w:r>
      <w:r w:rsidR="00762C2D">
        <w:rPr>
          <w:rFonts w:ascii="Arial" w:eastAsia="Aptos" w:hAnsi="Arial" w:cs="Arial"/>
          <w:kern w:val="2"/>
          <w14:ligatures w14:val="standardContextual"/>
        </w:rPr>
        <w:t>ing</w:t>
      </w:r>
      <w:r w:rsidR="006208DC" w:rsidRPr="006208DC">
        <w:rPr>
          <w:rFonts w:ascii="Arial" w:eastAsia="Aptos" w:hAnsi="Arial" w:cs="Arial"/>
          <w:kern w:val="2"/>
          <w14:ligatures w14:val="standardContextual"/>
        </w:rPr>
        <w:t xml:space="preserve"> the </w:t>
      </w:r>
      <w:r w:rsidR="00AB11C9">
        <w:rPr>
          <w:rFonts w:ascii="Arial" w:eastAsia="Aptos" w:hAnsi="Arial" w:cs="Arial"/>
          <w:kern w:val="2"/>
          <w14:ligatures w14:val="standardContextual"/>
        </w:rPr>
        <w:t xml:space="preserve">identification of </w:t>
      </w:r>
      <w:r w:rsidR="006208DC" w:rsidRPr="006208DC">
        <w:rPr>
          <w:rFonts w:ascii="Arial" w:eastAsia="Aptos" w:hAnsi="Arial" w:cs="Arial"/>
          <w:kern w:val="2"/>
          <w14:ligatures w14:val="standardContextual"/>
        </w:rPr>
        <w:t xml:space="preserve">microfossils morphologically compatible with </w:t>
      </w:r>
      <w:r w:rsidR="00AB11C9">
        <w:rPr>
          <w:rFonts w:ascii="Arial" w:eastAsia="Aptos" w:hAnsi="Arial" w:cs="Arial"/>
          <w:kern w:val="2"/>
          <w14:ligatures w14:val="standardContextual"/>
        </w:rPr>
        <w:t>V</w:t>
      </w:r>
      <w:r w:rsidR="006208DC" w:rsidRPr="006208DC">
        <w:rPr>
          <w:rFonts w:ascii="Arial" w:eastAsia="Aptos" w:hAnsi="Arial" w:cs="Arial"/>
          <w:kern w:val="2"/>
          <w14:ligatures w14:val="standardContextual"/>
        </w:rPr>
        <w:t>ibrio are discussed</w:t>
      </w:r>
      <w:r w:rsidR="00AB11C9">
        <w:rPr>
          <w:rFonts w:ascii="Arial" w:eastAsia="Aptos" w:hAnsi="Arial" w:cs="Arial"/>
          <w:kern w:val="2"/>
          <w14:ligatures w14:val="standardContextual"/>
        </w:rPr>
        <w:t>. S</w:t>
      </w:r>
      <w:r w:rsidR="006208DC" w:rsidRPr="006208DC">
        <w:rPr>
          <w:rFonts w:ascii="Arial" w:eastAsia="Aptos" w:hAnsi="Arial" w:cs="Arial"/>
          <w:kern w:val="2"/>
          <w14:ligatures w14:val="standardContextual"/>
        </w:rPr>
        <w:t xml:space="preserve">uggestions </w:t>
      </w:r>
      <w:proofErr w:type="gramStart"/>
      <w:r w:rsidR="006208DC" w:rsidRPr="006208DC">
        <w:rPr>
          <w:rFonts w:ascii="Arial" w:eastAsia="Aptos" w:hAnsi="Arial" w:cs="Arial"/>
          <w:kern w:val="2"/>
          <w14:ligatures w14:val="standardContextual"/>
        </w:rPr>
        <w:t>on</w:t>
      </w:r>
      <w:proofErr w:type="gramEnd"/>
      <w:r w:rsidR="006208DC" w:rsidRPr="006208DC">
        <w:rPr>
          <w:rFonts w:ascii="Arial" w:eastAsia="Aptos" w:hAnsi="Arial" w:cs="Arial"/>
          <w:kern w:val="2"/>
          <w14:ligatures w14:val="standardContextual"/>
        </w:rPr>
        <w:t xml:space="preserve"> methodological adjustments necessary for the continuity </w:t>
      </w:r>
      <w:proofErr w:type="gramStart"/>
      <w:r w:rsidR="006208DC" w:rsidRPr="006208DC">
        <w:rPr>
          <w:rFonts w:ascii="Arial" w:eastAsia="Aptos" w:hAnsi="Arial" w:cs="Arial"/>
          <w:kern w:val="2"/>
          <w14:ligatures w14:val="standardContextual"/>
        </w:rPr>
        <w:t>in</w:t>
      </w:r>
      <w:proofErr w:type="gramEnd"/>
      <w:r w:rsidR="006208DC" w:rsidRPr="006208DC">
        <w:rPr>
          <w:rFonts w:ascii="Arial" w:eastAsia="Aptos" w:hAnsi="Arial" w:cs="Arial"/>
          <w:kern w:val="2"/>
          <w14:ligatures w14:val="standardContextual"/>
        </w:rPr>
        <w:t xml:space="preserve"> this line of research</w:t>
      </w:r>
      <w:r w:rsidR="00AB11C9">
        <w:rPr>
          <w:rFonts w:ascii="Arial" w:eastAsia="Aptos" w:hAnsi="Arial" w:cs="Arial"/>
          <w:kern w:val="2"/>
          <w14:ligatures w14:val="standardContextual"/>
        </w:rPr>
        <w:t xml:space="preserve"> </w:t>
      </w:r>
      <w:r w:rsidR="00FD6694">
        <w:rPr>
          <w:rFonts w:ascii="Arial" w:eastAsia="Aptos" w:hAnsi="Arial" w:cs="Arial"/>
          <w:kern w:val="2"/>
          <w14:ligatures w14:val="standardContextual"/>
        </w:rPr>
        <w:t>are pr</w:t>
      </w:r>
      <w:r w:rsidR="00AB11C9">
        <w:rPr>
          <w:rFonts w:ascii="Arial" w:eastAsia="Aptos" w:hAnsi="Arial" w:cs="Arial"/>
          <w:kern w:val="2"/>
          <w14:ligatures w14:val="standardContextual"/>
        </w:rPr>
        <w:t>oposed.</w:t>
      </w:r>
    </w:p>
    <w:p w14:paraId="1E2E0C38" w14:textId="3E67CB2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797802E" w14:textId="77777777" w:rsidR="00790ADA" w:rsidRPr="00FB3A86" w:rsidRDefault="00790ADA" w:rsidP="00441B6F">
      <w:pPr>
        <w:pStyle w:val="AbstHead"/>
        <w:spacing w:after="0"/>
        <w:jc w:val="both"/>
        <w:rPr>
          <w:rFonts w:ascii="Arial" w:hAnsi="Arial" w:cs="Arial"/>
        </w:rPr>
      </w:pPr>
    </w:p>
    <w:p w14:paraId="6DF77CBE" w14:textId="5CD52045" w:rsidR="00836856" w:rsidRPr="00836856" w:rsidRDefault="00836856" w:rsidP="00836856">
      <w:pPr>
        <w:spacing w:after="160" w:line="278" w:lineRule="auto"/>
        <w:ind w:firstLine="720"/>
        <w:jc w:val="both"/>
        <w:rPr>
          <w:rFonts w:ascii="Arial" w:eastAsia="Aptos" w:hAnsi="Arial" w:cs="Arial"/>
          <w:kern w:val="2"/>
          <w14:ligatures w14:val="standardContextual"/>
        </w:rPr>
      </w:pPr>
      <w:r w:rsidRPr="00836856">
        <w:rPr>
          <w:rFonts w:ascii="Arial" w:eastAsia="Aptos" w:hAnsi="Arial" w:cs="Arial"/>
          <w:kern w:val="2"/>
          <w14:ligatures w14:val="standardContextual"/>
        </w:rPr>
        <w:t xml:space="preserve">Dental calculi from 20 different adult or sub-adult individuals, exhumed during archaeological research in the 1950s, in the shell mound of </w:t>
      </w:r>
      <w:proofErr w:type="spellStart"/>
      <w:r w:rsidRPr="00836856">
        <w:rPr>
          <w:rFonts w:ascii="Arial" w:eastAsia="Aptos" w:hAnsi="Arial" w:cs="Arial"/>
          <w:kern w:val="2"/>
          <w14:ligatures w14:val="standardContextual"/>
        </w:rPr>
        <w:t>Cabeçuda</w:t>
      </w:r>
      <w:proofErr w:type="spellEnd"/>
      <w:r w:rsidRPr="00836856">
        <w:rPr>
          <w:rFonts w:ascii="Arial" w:eastAsia="Aptos" w:hAnsi="Arial" w:cs="Arial"/>
          <w:kern w:val="2"/>
          <w14:ligatures w14:val="standardContextual"/>
        </w:rPr>
        <w:t>, were analyzed. The skeletons used in the present study had their antiquity estimated b</w:t>
      </w:r>
      <w:r w:rsidR="00FD6694">
        <w:rPr>
          <w:rFonts w:ascii="Arial" w:eastAsia="Aptos" w:hAnsi="Arial" w:cs="Arial"/>
          <w:kern w:val="2"/>
          <w14:ligatures w14:val="standardContextual"/>
        </w:rPr>
        <w:t>y</w:t>
      </w:r>
      <w:r w:rsidRPr="00836856">
        <w:rPr>
          <w:rFonts w:ascii="Arial" w:eastAsia="Aptos" w:hAnsi="Arial" w:cs="Arial"/>
          <w:kern w:val="2"/>
          <w14:ligatures w14:val="standardContextual"/>
        </w:rPr>
        <w:t xml:space="preserve"> dating </w:t>
      </w:r>
      <w:r w:rsidR="005C3E21" w:rsidRPr="00836856">
        <w:rPr>
          <w:rFonts w:ascii="Arial" w:eastAsia="Aptos" w:hAnsi="Arial" w:cs="Arial"/>
          <w:kern w:val="2"/>
          <w14:ligatures w14:val="standardContextual"/>
        </w:rPr>
        <w:t>to</w:t>
      </w:r>
      <w:r w:rsidRPr="00836856">
        <w:rPr>
          <w:rFonts w:ascii="Arial" w:eastAsia="Aptos" w:hAnsi="Arial" w:cs="Arial"/>
          <w:kern w:val="2"/>
          <w14:ligatures w14:val="standardContextual"/>
        </w:rPr>
        <w:t xml:space="preserve"> the archaeological layers where they were buried. Such calibrated dates reveal ages between 2,300 and 1,500 years before the present [44]. Among the individuals studied, six had ages estimated by cementum annulation of the dental roots [47], with the following results: two of them were between 40.5 and 40.8 years old, two were between 28.1 and 28.5 years old, one of them was 18.8 years old and the other was 32.7 years old. The others were identified in the catalog of the collection only as adults, nine of them had the sex estimated.[53],</w:t>
      </w:r>
      <w:r w:rsidR="00520452">
        <w:rPr>
          <w:rFonts w:ascii="Arial" w:eastAsia="Aptos" w:hAnsi="Arial" w:cs="Arial"/>
          <w:kern w:val="2"/>
          <w14:ligatures w14:val="standardContextual"/>
        </w:rPr>
        <w:t xml:space="preserve"> f</w:t>
      </w:r>
      <w:r w:rsidRPr="00836856">
        <w:rPr>
          <w:rFonts w:ascii="Arial" w:eastAsia="Aptos" w:hAnsi="Arial" w:cs="Arial"/>
          <w:kern w:val="2"/>
          <w14:ligatures w14:val="standardContextual"/>
        </w:rPr>
        <w:t xml:space="preserve">rom </w:t>
      </w:r>
      <w:r w:rsidRPr="00836856">
        <w:rPr>
          <w:rFonts w:ascii="Arial" w:eastAsia="Aptos" w:hAnsi="Arial" w:cs="Arial"/>
          <w:kern w:val="2"/>
          <w14:ligatures w14:val="standardContextual"/>
        </w:rPr>
        <w:lastRenderedPageBreak/>
        <w:t xml:space="preserve">incomplete skeletons, with limitations in their estimation. Four males and five females were identified. Of these, only three male skeletons and one female skeleton were also confirmed by discriminant analysis [57]. </w:t>
      </w:r>
      <w:r w:rsidR="00B9347B">
        <w:rPr>
          <w:rFonts w:ascii="Arial" w:eastAsia="Aptos" w:hAnsi="Arial" w:cs="Arial"/>
          <w:kern w:val="2"/>
          <w14:ligatures w14:val="standardContextual"/>
        </w:rPr>
        <w:t>Th</w:t>
      </w:r>
      <w:r w:rsidR="00663FA7">
        <w:rPr>
          <w:rFonts w:ascii="Arial" w:eastAsia="Aptos" w:hAnsi="Arial" w:cs="Arial"/>
          <w:kern w:val="2"/>
          <w14:ligatures w14:val="standardContextual"/>
        </w:rPr>
        <w:t>e</w:t>
      </w:r>
      <w:r w:rsidR="00B9347B">
        <w:rPr>
          <w:rFonts w:ascii="Arial" w:eastAsia="Aptos" w:hAnsi="Arial" w:cs="Arial"/>
          <w:kern w:val="2"/>
          <w14:ligatures w14:val="standardContextual"/>
        </w:rPr>
        <w:t xml:space="preserve"> </w:t>
      </w:r>
      <w:r w:rsidR="004A05AA">
        <w:rPr>
          <w:rFonts w:ascii="Arial" w:eastAsia="Aptos" w:hAnsi="Arial" w:cs="Arial"/>
          <w:kern w:val="2"/>
          <w14:ligatures w14:val="standardContextual"/>
        </w:rPr>
        <w:t>results of th</w:t>
      </w:r>
      <w:r w:rsidR="00663FA7">
        <w:rPr>
          <w:rFonts w:ascii="Arial" w:eastAsia="Aptos" w:hAnsi="Arial" w:cs="Arial"/>
          <w:kern w:val="2"/>
          <w14:ligatures w14:val="standardContextual"/>
        </w:rPr>
        <w:t>e</w:t>
      </w:r>
      <w:r w:rsidR="004A05AA">
        <w:rPr>
          <w:rFonts w:ascii="Arial" w:eastAsia="Aptos" w:hAnsi="Arial" w:cs="Arial"/>
          <w:kern w:val="2"/>
          <w14:ligatures w14:val="standardContextual"/>
        </w:rPr>
        <w:t xml:space="preserve"> </w:t>
      </w:r>
      <w:r w:rsidR="00B9347B">
        <w:rPr>
          <w:rFonts w:ascii="Arial" w:eastAsia="Aptos" w:hAnsi="Arial" w:cs="Arial"/>
          <w:kern w:val="2"/>
          <w14:ligatures w14:val="standardContextual"/>
        </w:rPr>
        <w:t xml:space="preserve">research </w:t>
      </w:r>
      <w:r w:rsidR="00162E34">
        <w:rPr>
          <w:rFonts w:ascii="Arial" w:eastAsia="Aptos" w:hAnsi="Arial" w:cs="Arial"/>
          <w:kern w:val="2"/>
          <w14:ligatures w14:val="standardContextual"/>
        </w:rPr>
        <w:t>were</w:t>
      </w:r>
      <w:r w:rsidR="004A05AA">
        <w:rPr>
          <w:rFonts w:ascii="Arial" w:eastAsia="Aptos" w:hAnsi="Arial" w:cs="Arial"/>
          <w:kern w:val="2"/>
          <w14:ligatures w14:val="standardContextual"/>
        </w:rPr>
        <w:t xml:space="preserve"> used to obtain the </w:t>
      </w:r>
      <w:proofErr w:type="gramStart"/>
      <w:r w:rsidR="004A05AA">
        <w:rPr>
          <w:rFonts w:ascii="Arial" w:eastAsia="Aptos" w:hAnsi="Arial" w:cs="Arial"/>
          <w:kern w:val="2"/>
          <w14:ligatures w14:val="standardContextual"/>
        </w:rPr>
        <w:t xml:space="preserve">Master Degree </w:t>
      </w:r>
      <w:r w:rsidR="00663FA7">
        <w:rPr>
          <w:rFonts w:ascii="Arial" w:eastAsia="Aptos" w:hAnsi="Arial" w:cs="Arial"/>
          <w:kern w:val="2"/>
          <w14:ligatures w14:val="standardContextual"/>
        </w:rPr>
        <w:t>in Public Health</w:t>
      </w:r>
      <w:proofErr w:type="gramEnd"/>
      <w:r w:rsidR="00663FA7">
        <w:rPr>
          <w:rFonts w:ascii="Arial" w:eastAsia="Aptos" w:hAnsi="Arial" w:cs="Arial"/>
          <w:kern w:val="2"/>
          <w14:ligatures w14:val="standardContextual"/>
        </w:rPr>
        <w:t xml:space="preserve">, at the National School of Public Health </w:t>
      </w:r>
      <w:r w:rsidR="00E326FD">
        <w:rPr>
          <w:rFonts w:ascii="Arial" w:eastAsia="Aptos" w:hAnsi="Arial" w:cs="Arial"/>
          <w:kern w:val="2"/>
          <w14:ligatures w14:val="standardContextual"/>
        </w:rPr>
        <w:t>(</w:t>
      </w:r>
      <w:proofErr w:type="spellStart"/>
      <w:r w:rsidR="00E326FD">
        <w:rPr>
          <w:rFonts w:ascii="Arial" w:eastAsia="Aptos" w:hAnsi="Arial" w:cs="Arial"/>
          <w:kern w:val="2"/>
          <w14:ligatures w14:val="standardContextual"/>
        </w:rPr>
        <w:t>Fiocruz</w:t>
      </w:r>
      <w:proofErr w:type="spellEnd"/>
      <w:r w:rsidR="00E326FD">
        <w:rPr>
          <w:rFonts w:ascii="Arial" w:eastAsia="Aptos" w:hAnsi="Arial" w:cs="Arial"/>
          <w:kern w:val="2"/>
          <w14:ligatures w14:val="standardContextual"/>
        </w:rPr>
        <w:t xml:space="preserve">) </w:t>
      </w:r>
      <w:r w:rsidR="004A05AA">
        <w:rPr>
          <w:rFonts w:ascii="Arial" w:eastAsia="Aptos" w:hAnsi="Arial" w:cs="Arial"/>
          <w:kern w:val="2"/>
          <w14:ligatures w14:val="standardContextual"/>
        </w:rPr>
        <w:t>of the first author</w:t>
      </w:r>
      <w:r w:rsidR="00B9347B">
        <w:rPr>
          <w:rFonts w:ascii="Arial" w:eastAsia="Aptos" w:hAnsi="Arial" w:cs="Arial"/>
          <w:kern w:val="2"/>
          <w14:ligatures w14:val="standardContextual"/>
        </w:rPr>
        <w:t xml:space="preserve"> </w:t>
      </w:r>
      <w:r w:rsidR="00663FA7">
        <w:rPr>
          <w:rFonts w:ascii="Arial" w:eastAsia="Aptos" w:hAnsi="Arial" w:cs="Arial"/>
          <w:kern w:val="2"/>
          <w14:ligatures w14:val="standardContextual"/>
        </w:rPr>
        <w:t>in 2014.</w:t>
      </w:r>
      <w:r w:rsidR="00B9347B">
        <w:rPr>
          <w:rFonts w:ascii="Arial" w:eastAsia="Aptos" w:hAnsi="Arial" w:cs="Arial"/>
          <w:kern w:val="2"/>
          <w14:ligatures w14:val="standardContextual"/>
        </w:rPr>
        <w:t xml:space="preserve"> </w:t>
      </w:r>
      <w:r w:rsidR="00E326FD">
        <w:rPr>
          <w:rFonts w:ascii="Arial" w:eastAsia="Aptos" w:hAnsi="Arial" w:cs="Arial"/>
          <w:kern w:val="2"/>
          <w14:ligatures w14:val="standardContextual"/>
        </w:rPr>
        <w:t xml:space="preserve">The co-authors </w:t>
      </w:r>
      <w:r w:rsidR="00ED53E4">
        <w:rPr>
          <w:rFonts w:ascii="Arial" w:eastAsia="Aptos" w:hAnsi="Arial" w:cs="Arial"/>
          <w:kern w:val="2"/>
          <w14:ligatures w14:val="standardContextual"/>
        </w:rPr>
        <w:t>were the supervisors of the Graduation Program.</w:t>
      </w:r>
    </w:p>
    <w:p w14:paraId="4A7970EB" w14:textId="730FC852" w:rsidR="00836856" w:rsidRPr="00836856" w:rsidRDefault="00836856" w:rsidP="00836856">
      <w:pPr>
        <w:spacing w:after="160" w:line="278" w:lineRule="auto"/>
        <w:ind w:firstLine="720"/>
        <w:jc w:val="both"/>
        <w:rPr>
          <w:rFonts w:ascii="Arial" w:eastAsia="Aptos" w:hAnsi="Arial" w:cs="Arial"/>
          <w:kern w:val="2"/>
          <w14:ligatures w14:val="standardContextual"/>
        </w:rPr>
      </w:pPr>
      <w:r w:rsidRPr="00836856">
        <w:rPr>
          <w:rFonts w:ascii="Arial" w:eastAsia="Aptos" w:hAnsi="Arial" w:cs="Arial"/>
          <w:kern w:val="2"/>
          <w14:ligatures w14:val="standardContextual"/>
        </w:rPr>
        <w:t xml:space="preserve">Voluminous calculus justified the choice of specimens for this study.  Some </w:t>
      </w:r>
      <w:r w:rsidR="005B2D44">
        <w:rPr>
          <w:rFonts w:ascii="Arial" w:eastAsia="Aptos" w:hAnsi="Arial" w:cs="Arial"/>
          <w:kern w:val="2"/>
          <w14:ligatures w14:val="standardContextual"/>
        </w:rPr>
        <w:t>calculi</w:t>
      </w:r>
      <w:r w:rsidRPr="00836856">
        <w:rPr>
          <w:rFonts w:ascii="Arial" w:eastAsia="Aptos" w:hAnsi="Arial" w:cs="Arial"/>
          <w:kern w:val="2"/>
          <w14:ligatures w14:val="standardContextual"/>
        </w:rPr>
        <w:t xml:space="preserve"> came from previously disconnected teeth (n=14), and others from teeth</w:t>
      </w:r>
      <w:r w:rsidR="005B2D44">
        <w:rPr>
          <w:rFonts w:ascii="Arial" w:eastAsia="Aptos" w:hAnsi="Arial" w:cs="Arial"/>
          <w:kern w:val="2"/>
          <w14:ligatures w14:val="standardContextual"/>
        </w:rPr>
        <w:t xml:space="preserve"> in situ</w:t>
      </w:r>
      <w:r w:rsidRPr="00836856">
        <w:rPr>
          <w:rFonts w:ascii="Arial" w:eastAsia="Aptos" w:hAnsi="Arial" w:cs="Arial"/>
          <w:kern w:val="2"/>
          <w14:ligatures w14:val="standardContextual"/>
        </w:rPr>
        <w:t xml:space="preserve"> (n=6). Except for one upper left canine, the others were molars</w:t>
      </w:r>
      <w:r w:rsidR="00B76B7D">
        <w:rPr>
          <w:rFonts w:ascii="Arial" w:eastAsia="Aptos" w:hAnsi="Arial" w:cs="Arial"/>
          <w:kern w:val="2"/>
          <w14:ligatures w14:val="standardContextual"/>
        </w:rPr>
        <w:t>:</w:t>
      </w:r>
      <w:r w:rsidRPr="00836856">
        <w:rPr>
          <w:rFonts w:ascii="Arial" w:eastAsia="Aptos" w:hAnsi="Arial" w:cs="Arial"/>
          <w:kern w:val="2"/>
          <w14:ligatures w14:val="standardContextual"/>
        </w:rPr>
        <w:t xml:space="preserve"> three upper left, eight upper right, five lower left, and three lower </w:t>
      </w:r>
      <w:proofErr w:type="gramStart"/>
      <w:r w:rsidRPr="00836856">
        <w:rPr>
          <w:rFonts w:ascii="Arial" w:eastAsia="Aptos" w:hAnsi="Arial" w:cs="Arial"/>
          <w:kern w:val="2"/>
          <w14:ligatures w14:val="standardContextual"/>
        </w:rPr>
        <w:t>right</w:t>
      </w:r>
      <w:proofErr w:type="gramEnd"/>
      <w:r w:rsidRPr="00836856">
        <w:rPr>
          <w:rFonts w:ascii="Arial" w:eastAsia="Aptos" w:hAnsi="Arial" w:cs="Arial"/>
          <w:kern w:val="2"/>
          <w14:ligatures w14:val="standardContextual"/>
        </w:rPr>
        <w:t xml:space="preserve">. Molar teeth were chosen because they had larger calculi (Figure 3). After selection, the material was described and documented on cards, macro, and microscopic photos (50x, PROSCOPE digital magnifying glass </w:t>
      </w:r>
      <w:proofErr w:type="gramStart"/>
      <w:r w:rsidRPr="00836856">
        <w:rPr>
          <w:rFonts w:ascii="Arial" w:eastAsia="Aptos" w:hAnsi="Arial" w:cs="Arial"/>
          <w:kern w:val="2"/>
          <w14:ligatures w14:val="standardContextual"/>
        </w:rPr>
        <w:t>Avantgarde@)</w:t>
      </w:r>
      <w:proofErr w:type="gramEnd"/>
      <w:r w:rsidRPr="00836856">
        <w:rPr>
          <w:rFonts w:ascii="Arial" w:eastAsia="Aptos" w:hAnsi="Arial" w:cs="Arial"/>
          <w:kern w:val="2"/>
          <w14:ligatures w14:val="standardContextual"/>
        </w:rPr>
        <w:t xml:space="preserve">. </w:t>
      </w:r>
    </w:p>
    <w:p w14:paraId="2FEDD6CA" w14:textId="77777777" w:rsidR="00836856" w:rsidRPr="00836856" w:rsidRDefault="00836856" w:rsidP="00836856">
      <w:pPr>
        <w:spacing w:after="160" w:line="278" w:lineRule="auto"/>
        <w:ind w:firstLine="720"/>
        <w:jc w:val="both"/>
        <w:rPr>
          <w:rFonts w:ascii="Arial" w:eastAsia="Aptos" w:hAnsi="Arial" w:cs="Arial"/>
          <w:kern w:val="2"/>
          <w14:ligatures w14:val="standardContextual"/>
        </w:rPr>
      </w:pPr>
      <w:r w:rsidRPr="00836856">
        <w:rPr>
          <w:rFonts w:ascii="Arial" w:eastAsia="Aptos" w:hAnsi="Arial" w:cs="Arial"/>
          <w:kern w:val="2"/>
          <w14:ligatures w14:val="standardContextual"/>
        </w:rPr>
        <w:t xml:space="preserve">The calculi and enamel surfaces were previously sanitized with soft brushes and distilled water. A curette was used to extract the calculi without removing the tooth from the socket. The fragments were reserved in Eppendorf and identified. The stage of choosing and selecting the samples, as well as extracting the dental calculus, was carried out at the Biological Anthropology Laboratory of the National Museum of Rio de Janeiro. </w:t>
      </w:r>
    </w:p>
    <w:p w14:paraId="1C33FADF" w14:textId="631DD789" w:rsidR="007266F3" w:rsidRPr="007266F3" w:rsidRDefault="00ED03FC" w:rsidP="007266F3">
      <w:pPr>
        <w:pStyle w:val="Body"/>
        <w:rPr>
          <w:rFonts w:ascii="Arial" w:hAnsi="Arial" w:cs="Arial"/>
        </w:rPr>
      </w:pPr>
      <w:r>
        <w:rPr>
          <w:rFonts w:ascii="Arial" w:hAnsi="Arial" w:cs="Arial"/>
          <w:noProof/>
        </w:rPr>
        <w:drawing>
          <wp:inline distT="0" distB="0" distL="0" distR="0" wp14:anchorId="0AE27FE9" wp14:editId="439A371C">
            <wp:extent cx="5212080" cy="4380230"/>
            <wp:effectExtent l="0" t="0" r="0" b="0"/>
            <wp:docPr id="517969451" name="Imagem 3" descr="Uma imagem contendo mesa, comida, rosquinh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9451" name="Imagem 3" descr="Uma imagem contendo mesa, comida, rosquinha, azul&#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4380230"/>
                    </a:xfrm>
                    <a:prstGeom prst="rect">
                      <a:avLst/>
                    </a:prstGeom>
                  </pic:spPr>
                </pic:pic>
              </a:graphicData>
            </a:graphic>
          </wp:inline>
        </w:drawing>
      </w:r>
      <w:r w:rsidR="007266F3" w:rsidRPr="007266F3">
        <w:rPr>
          <w:rFonts w:ascii="Arial" w:hAnsi="Arial" w:cs="Arial"/>
        </w:rPr>
        <w:t xml:space="preserve">Figure 3 - Teeth from burials of the </w:t>
      </w:r>
      <w:proofErr w:type="spellStart"/>
      <w:r w:rsidR="007266F3" w:rsidRPr="007266F3">
        <w:rPr>
          <w:rFonts w:ascii="Arial" w:hAnsi="Arial" w:cs="Arial"/>
        </w:rPr>
        <w:t>Cabeçuda</w:t>
      </w:r>
      <w:proofErr w:type="spellEnd"/>
      <w:r w:rsidR="007266F3" w:rsidRPr="007266F3">
        <w:rPr>
          <w:rFonts w:ascii="Arial" w:hAnsi="Arial" w:cs="Arial"/>
        </w:rPr>
        <w:t xml:space="preserve"> shell mound, note the accumulation of dental calculus (Photo: T.P.)</w:t>
      </w:r>
    </w:p>
    <w:p w14:paraId="112C01F3" w14:textId="77777777" w:rsidR="007266F3" w:rsidRPr="007266F3" w:rsidRDefault="007266F3" w:rsidP="007266F3">
      <w:pPr>
        <w:pStyle w:val="Body"/>
        <w:rPr>
          <w:rFonts w:ascii="Arial" w:hAnsi="Arial" w:cs="Arial"/>
        </w:rPr>
      </w:pPr>
    </w:p>
    <w:p w14:paraId="268849E1" w14:textId="77777777" w:rsidR="00921607" w:rsidRPr="00921607" w:rsidRDefault="00921607" w:rsidP="00582220">
      <w:pPr>
        <w:spacing w:after="160" w:line="278" w:lineRule="auto"/>
        <w:ind w:firstLine="720"/>
        <w:jc w:val="both"/>
        <w:rPr>
          <w:rFonts w:ascii="Arial" w:eastAsia="Aptos" w:hAnsi="Arial" w:cs="Arial"/>
          <w:kern w:val="2"/>
          <w14:ligatures w14:val="standardContextual"/>
        </w:rPr>
      </w:pPr>
      <w:r w:rsidRPr="00921607">
        <w:rPr>
          <w:rFonts w:ascii="Arial" w:eastAsia="Aptos" w:hAnsi="Arial" w:cs="Arial"/>
          <w:kern w:val="2"/>
          <w14:ligatures w14:val="standardContextual"/>
        </w:rPr>
        <w:t xml:space="preserve">Subsequently, the material was taken to the Paleoparasitology Laboratory of the Sergio Arouca National School of Public Health, of the Oswaldo Cruz Foundation, where the fragments were reexamined under a digital magnifying glass (50x), weighed on a SPLABOR digital scale, and then partitioned and reserved in new 2ml Eppendorf tubes. </w:t>
      </w:r>
    </w:p>
    <w:p w14:paraId="55871155" w14:textId="01EEE72A" w:rsidR="00921607" w:rsidRPr="00921607" w:rsidRDefault="00921607" w:rsidP="00582220">
      <w:pPr>
        <w:spacing w:after="160" w:line="278" w:lineRule="auto"/>
        <w:ind w:firstLine="720"/>
        <w:jc w:val="both"/>
        <w:rPr>
          <w:rFonts w:ascii="Arial" w:eastAsia="Aptos" w:hAnsi="Arial" w:cs="Arial"/>
          <w:kern w:val="2"/>
          <w14:ligatures w14:val="standardContextual"/>
        </w:rPr>
      </w:pPr>
      <w:r w:rsidRPr="00921607">
        <w:rPr>
          <w:rFonts w:ascii="Arial" w:eastAsia="Aptos" w:hAnsi="Arial" w:cs="Arial"/>
          <w:kern w:val="2"/>
          <w14:ligatures w14:val="standardContextual"/>
        </w:rPr>
        <w:t xml:space="preserve">Next, two physical techniques for exposing the microfossils were tested: the first was the disaggregation by ultrasound, done in distilled water, at room temperature, in </w:t>
      </w:r>
      <w:proofErr w:type="spellStart"/>
      <w:r w:rsidRPr="00921607">
        <w:rPr>
          <w:rFonts w:ascii="Arial" w:eastAsia="Aptos" w:hAnsi="Arial" w:cs="Arial"/>
          <w:kern w:val="2"/>
          <w14:ligatures w14:val="standardContextual"/>
        </w:rPr>
        <w:t>Cristófoli</w:t>
      </w:r>
      <w:proofErr w:type="spellEnd"/>
      <w:r w:rsidRPr="00921607">
        <w:rPr>
          <w:rFonts w:ascii="Arial" w:eastAsia="Aptos" w:hAnsi="Arial" w:cs="Arial"/>
          <w:kern w:val="2"/>
          <w14:ligatures w14:val="standardContextual"/>
        </w:rPr>
        <w:t xml:space="preserve"> Ultrasonic Tub (USC12038L188018), for progressively longer times at 42Khz, which was not very effective. Alternatively, the calculi were </w:t>
      </w:r>
      <w:r w:rsidR="00827C66" w:rsidRPr="00921607">
        <w:rPr>
          <w:rFonts w:ascii="Arial" w:eastAsia="Aptos" w:hAnsi="Arial" w:cs="Arial"/>
          <w:kern w:val="2"/>
          <w14:ligatures w14:val="standardContextual"/>
        </w:rPr>
        <w:t>crushed,</w:t>
      </w:r>
      <w:r w:rsidRPr="00921607">
        <w:rPr>
          <w:rFonts w:ascii="Arial" w:eastAsia="Aptos" w:hAnsi="Arial" w:cs="Arial"/>
          <w:kern w:val="2"/>
          <w14:ligatures w14:val="standardContextual"/>
        </w:rPr>
        <w:t xml:space="preserve"> and the fragments were fixed to the stubs with carbon tape (Ted Pella Inc.) for microscopic examination. </w:t>
      </w:r>
    </w:p>
    <w:p w14:paraId="39B0C67E" w14:textId="77777777" w:rsidR="00921607" w:rsidRPr="00921607" w:rsidRDefault="00921607" w:rsidP="00582220">
      <w:pPr>
        <w:spacing w:after="160" w:line="278" w:lineRule="auto"/>
        <w:ind w:firstLine="720"/>
        <w:jc w:val="both"/>
        <w:rPr>
          <w:rFonts w:ascii="Arial" w:eastAsia="Aptos" w:hAnsi="Arial" w:cs="Arial"/>
          <w:kern w:val="2"/>
          <w14:ligatures w14:val="standardContextual"/>
        </w:rPr>
      </w:pPr>
      <w:r w:rsidRPr="00921607">
        <w:rPr>
          <w:rFonts w:ascii="Arial" w:eastAsia="Aptos" w:hAnsi="Arial" w:cs="Arial"/>
          <w:kern w:val="2"/>
          <w14:ligatures w14:val="standardContextual"/>
        </w:rPr>
        <w:t>The assemblies were then taken to the SEM at the Herta Mayer Cellular Ultrastructure Laboratory, Carlos Chagas Institute of Biophysics, of the Federal University of Rio de Janeiro, where they were coated with gold for better visualization of microfossils. Scanning electron microscopy was performed with the technical support of the SEM laboratory. Due to problems with one of the microscopes, part of the material had to be examined in a Zeiss EVO MA10, and part in a Quanta 250 (FEI Co.), obtaining images with different magnitudes according to the case (Figure 4).</w:t>
      </w:r>
    </w:p>
    <w:p w14:paraId="4DBB96BB" w14:textId="2B68E7B3" w:rsidR="00921607" w:rsidRPr="00921607" w:rsidRDefault="00921607" w:rsidP="00582220">
      <w:pPr>
        <w:spacing w:after="160" w:line="278" w:lineRule="auto"/>
        <w:ind w:firstLine="720"/>
        <w:jc w:val="both"/>
        <w:rPr>
          <w:rFonts w:ascii="Arial" w:eastAsia="Aptos" w:hAnsi="Arial" w:cs="Arial"/>
          <w:kern w:val="2"/>
          <w14:ligatures w14:val="standardContextual"/>
        </w:rPr>
      </w:pPr>
      <w:r w:rsidRPr="00921607">
        <w:rPr>
          <w:rFonts w:ascii="Arial" w:eastAsia="Aptos" w:hAnsi="Arial" w:cs="Arial"/>
          <w:kern w:val="2"/>
          <w14:ligatures w14:val="standardContextual"/>
        </w:rPr>
        <w:t>The best image of each specimen was analyzed. To this end, each was divided into quadrants, for microfossil quantification. Only those whose outlines could be fully visualized were considered. Each individualized microfossil was measured as follows: the rod</w:t>
      </w:r>
      <w:r w:rsidR="00ED68BF">
        <w:rPr>
          <w:rFonts w:ascii="Arial" w:eastAsia="Aptos" w:hAnsi="Arial" w:cs="Arial"/>
          <w:kern w:val="2"/>
          <w14:ligatures w14:val="standardContextual"/>
        </w:rPr>
        <w:t xml:space="preserve">-shaped </w:t>
      </w:r>
      <w:r w:rsidR="001337CC">
        <w:rPr>
          <w:rFonts w:ascii="Arial" w:eastAsia="Aptos" w:hAnsi="Arial" w:cs="Arial"/>
          <w:kern w:val="2"/>
          <w14:ligatures w14:val="standardContextual"/>
        </w:rPr>
        <w:t>ones</w:t>
      </w:r>
      <w:r w:rsidRPr="00921607">
        <w:rPr>
          <w:rFonts w:ascii="Arial" w:eastAsia="Aptos" w:hAnsi="Arial" w:cs="Arial"/>
          <w:kern w:val="2"/>
          <w14:ligatures w14:val="standardContextual"/>
        </w:rPr>
        <w:t xml:space="preserve"> at their two maximum orthogonal diameters, and the cocci at their maximum diameter. The measurements were compared with the morphology of the current bacteria known and described according to Bergey's current manual of systematics of archaea and bacteria [58] and the descriptions in Zhou and Li (2020) [59]. The results allowed them to be grouped into morphotypes.</w:t>
      </w:r>
    </w:p>
    <w:p w14:paraId="30925E4C" w14:textId="77777777" w:rsidR="00921607" w:rsidRPr="00921607" w:rsidRDefault="00921607" w:rsidP="00582220">
      <w:pPr>
        <w:spacing w:after="160" w:line="278" w:lineRule="auto"/>
        <w:ind w:firstLine="720"/>
        <w:jc w:val="both"/>
        <w:rPr>
          <w:rFonts w:ascii="Arial" w:eastAsia="Aptos" w:hAnsi="Arial" w:cs="Arial"/>
          <w:kern w:val="2"/>
          <w14:ligatures w14:val="standardContextual"/>
        </w:rPr>
      </w:pPr>
      <w:r w:rsidRPr="00921607">
        <w:rPr>
          <w:rFonts w:ascii="Arial" w:eastAsia="Aptos" w:hAnsi="Arial" w:cs="Arial"/>
          <w:kern w:val="2"/>
          <w14:ligatures w14:val="standardContextual"/>
        </w:rPr>
        <w:t>An average of three counts in each specimen was considered. The density of microfossils per area was calculated by dividing the total number of microfossils (cavities + intact microfossils) by the planimetric value of the photographed area, to control the bias introduced by the different magnifications. The results were compared and discussed.</w:t>
      </w:r>
    </w:p>
    <w:p w14:paraId="79409413" w14:textId="77777777" w:rsidR="00790ADA" w:rsidRPr="00FB3A86" w:rsidRDefault="00790ADA" w:rsidP="00441B6F">
      <w:pPr>
        <w:pStyle w:val="Body"/>
        <w:spacing w:after="0"/>
        <w:rPr>
          <w:rFonts w:ascii="Arial" w:hAnsi="Arial" w:cs="Arial"/>
        </w:rPr>
      </w:pPr>
    </w:p>
    <w:p w14:paraId="3D7D98E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5FEDCD" w14:textId="77777777" w:rsidR="00790ADA" w:rsidRPr="00FB3A86" w:rsidRDefault="00790ADA" w:rsidP="00441B6F">
      <w:pPr>
        <w:pStyle w:val="Head1"/>
        <w:spacing w:after="0"/>
        <w:jc w:val="both"/>
        <w:rPr>
          <w:rFonts w:ascii="Arial" w:hAnsi="Arial" w:cs="Arial"/>
        </w:rPr>
      </w:pPr>
    </w:p>
    <w:p w14:paraId="5C37E0B3" w14:textId="02725780" w:rsidR="00463AB3" w:rsidRPr="00463AB3" w:rsidRDefault="00463AB3" w:rsidP="00463AB3">
      <w:pPr>
        <w:spacing w:after="160" w:line="278" w:lineRule="auto"/>
        <w:ind w:firstLine="720"/>
        <w:jc w:val="both"/>
        <w:rPr>
          <w:rFonts w:ascii="Arial" w:eastAsia="Aptos" w:hAnsi="Arial" w:cs="Arial"/>
          <w:kern w:val="2"/>
          <w14:ligatures w14:val="standardContextual"/>
        </w:rPr>
      </w:pPr>
      <w:r w:rsidRPr="00463AB3">
        <w:rPr>
          <w:rFonts w:ascii="Arial" w:eastAsia="Aptos" w:hAnsi="Arial" w:cs="Arial"/>
          <w:kern w:val="2"/>
          <w14:ligatures w14:val="standardContextual"/>
        </w:rPr>
        <w:t xml:space="preserve">The analysis of dental calculi from </w:t>
      </w:r>
      <w:proofErr w:type="spellStart"/>
      <w:r w:rsidRPr="00463AB3">
        <w:rPr>
          <w:rFonts w:ascii="Arial" w:eastAsia="Aptos" w:hAnsi="Arial" w:cs="Arial"/>
          <w:kern w:val="2"/>
          <w14:ligatures w14:val="standardContextual"/>
        </w:rPr>
        <w:t>Cabeçuda</w:t>
      </w:r>
      <w:proofErr w:type="spellEnd"/>
      <w:r w:rsidRPr="00463AB3">
        <w:rPr>
          <w:rFonts w:ascii="Arial" w:eastAsia="Aptos" w:hAnsi="Arial" w:cs="Arial"/>
          <w:kern w:val="2"/>
          <w14:ligatures w14:val="standardContextual"/>
        </w:rPr>
        <w:t xml:space="preserve"> shell mound from a microbiological point of view, consider</w:t>
      </w:r>
      <w:r w:rsidR="00CF12E7">
        <w:rPr>
          <w:rFonts w:ascii="Arial" w:eastAsia="Aptos" w:hAnsi="Arial" w:cs="Arial"/>
          <w:kern w:val="2"/>
          <w14:ligatures w14:val="standardContextual"/>
        </w:rPr>
        <w:t>ed</w:t>
      </w:r>
      <w:r w:rsidRPr="00463AB3">
        <w:rPr>
          <w:rFonts w:ascii="Arial" w:eastAsia="Aptos" w:hAnsi="Arial" w:cs="Arial"/>
          <w:kern w:val="2"/>
          <w14:ligatures w14:val="standardContextual"/>
        </w:rPr>
        <w:t xml:space="preserve"> only morphological and morphometric aspects of the microfossils </w:t>
      </w:r>
      <w:r w:rsidR="00CF12E7">
        <w:rPr>
          <w:rFonts w:ascii="Arial" w:eastAsia="Aptos" w:hAnsi="Arial" w:cs="Arial"/>
          <w:kern w:val="2"/>
          <w14:ligatures w14:val="standardContextual"/>
        </w:rPr>
        <w:t xml:space="preserve">visible </w:t>
      </w:r>
      <w:r w:rsidRPr="00463AB3">
        <w:rPr>
          <w:rFonts w:ascii="Arial" w:eastAsia="Aptos" w:hAnsi="Arial" w:cs="Arial"/>
          <w:kern w:val="2"/>
          <w14:ligatures w14:val="standardContextual"/>
        </w:rPr>
        <w:t>on the fractured surfaces</w:t>
      </w:r>
      <w:r w:rsidR="001D076F">
        <w:rPr>
          <w:rFonts w:ascii="Arial" w:eastAsia="Aptos" w:hAnsi="Arial" w:cs="Arial"/>
          <w:kern w:val="2"/>
          <w14:ligatures w14:val="standardContextual"/>
        </w:rPr>
        <w:t xml:space="preserve">. This condition </w:t>
      </w:r>
      <w:r w:rsidRPr="00463AB3">
        <w:rPr>
          <w:rFonts w:ascii="Arial" w:eastAsia="Aptos" w:hAnsi="Arial" w:cs="Arial"/>
          <w:kern w:val="2"/>
          <w14:ligatures w14:val="standardContextual"/>
        </w:rPr>
        <w:t xml:space="preserve">brought great limitations to the study. In addition, </w:t>
      </w:r>
      <w:r w:rsidR="001D076F">
        <w:rPr>
          <w:rFonts w:ascii="Arial" w:eastAsia="Aptos" w:hAnsi="Arial" w:cs="Arial"/>
          <w:kern w:val="2"/>
          <w14:ligatures w14:val="standardContextual"/>
        </w:rPr>
        <w:t xml:space="preserve">even the </w:t>
      </w:r>
      <w:r w:rsidR="00EA15CB">
        <w:rPr>
          <w:rFonts w:ascii="Arial" w:eastAsia="Aptos" w:hAnsi="Arial" w:cs="Arial"/>
          <w:kern w:val="2"/>
          <w14:ligatures w14:val="standardContextual"/>
        </w:rPr>
        <w:t xml:space="preserve">good SEM </w:t>
      </w:r>
      <w:r w:rsidRPr="00463AB3">
        <w:rPr>
          <w:rFonts w:ascii="Arial" w:eastAsia="Aptos" w:hAnsi="Arial" w:cs="Arial"/>
          <w:kern w:val="2"/>
          <w14:ligatures w14:val="standardContextual"/>
        </w:rPr>
        <w:t xml:space="preserve">images limited the three-dimensional view of the microfossils, </w:t>
      </w:r>
      <w:r w:rsidR="009A5099">
        <w:rPr>
          <w:rFonts w:ascii="Arial" w:eastAsia="Aptos" w:hAnsi="Arial" w:cs="Arial"/>
          <w:kern w:val="2"/>
          <w14:ligatures w14:val="standardContextual"/>
        </w:rPr>
        <w:t xml:space="preserve">a consequence was that </w:t>
      </w:r>
      <w:r w:rsidRPr="00463AB3">
        <w:rPr>
          <w:rFonts w:ascii="Arial" w:eastAsia="Aptos" w:hAnsi="Arial" w:cs="Arial"/>
          <w:kern w:val="2"/>
          <w14:ligatures w14:val="standardContextual"/>
        </w:rPr>
        <w:t>only simple morphotypes were applicable. Remaining attached to the matrix of the calcul</w:t>
      </w:r>
      <w:r w:rsidR="009A5099">
        <w:rPr>
          <w:rFonts w:ascii="Arial" w:eastAsia="Aptos" w:hAnsi="Arial" w:cs="Arial"/>
          <w:kern w:val="2"/>
          <w14:ligatures w14:val="standardContextual"/>
        </w:rPr>
        <w:t>i</w:t>
      </w:r>
      <w:r w:rsidRPr="00463AB3">
        <w:rPr>
          <w:rFonts w:ascii="Arial" w:eastAsia="Aptos" w:hAnsi="Arial" w:cs="Arial"/>
          <w:kern w:val="2"/>
          <w14:ligatures w14:val="standardContextual"/>
        </w:rPr>
        <w:t>, the microfossil</w:t>
      </w:r>
      <w:r w:rsidR="009A5099">
        <w:rPr>
          <w:rFonts w:ascii="Arial" w:eastAsia="Aptos" w:hAnsi="Arial" w:cs="Arial"/>
          <w:kern w:val="2"/>
          <w14:ligatures w14:val="standardContextual"/>
        </w:rPr>
        <w:t>s</w:t>
      </w:r>
      <w:r w:rsidRPr="00463AB3">
        <w:rPr>
          <w:rFonts w:ascii="Arial" w:eastAsia="Aptos" w:hAnsi="Arial" w:cs="Arial"/>
          <w:kern w:val="2"/>
          <w14:ligatures w14:val="standardContextual"/>
        </w:rPr>
        <w:t xml:space="preserve"> </w:t>
      </w:r>
      <w:r w:rsidR="00DF7557">
        <w:rPr>
          <w:rFonts w:ascii="Arial" w:eastAsia="Aptos" w:hAnsi="Arial" w:cs="Arial"/>
          <w:kern w:val="2"/>
          <w14:ligatures w14:val="standardContextual"/>
        </w:rPr>
        <w:t>were poorly described, unless</w:t>
      </w:r>
      <w:r w:rsidRPr="00463AB3">
        <w:rPr>
          <w:rFonts w:ascii="Arial" w:eastAsia="Aptos" w:hAnsi="Arial" w:cs="Arial"/>
          <w:kern w:val="2"/>
          <w14:ligatures w14:val="standardContextual"/>
        </w:rPr>
        <w:t xml:space="preserve"> when free from the </w:t>
      </w:r>
      <w:r w:rsidR="00511105">
        <w:rPr>
          <w:rFonts w:ascii="Arial" w:eastAsia="Aptos" w:hAnsi="Arial" w:cs="Arial"/>
          <w:kern w:val="2"/>
          <w14:ligatures w14:val="standardContextual"/>
        </w:rPr>
        <w:t>calcified layers</w:t>
      </w:r>
      <w:r w:rsidRPr="00463AB3">
        <w:rPr>
          <w:rFonts w:ascii="Arial" w:eastAsia="Aptos" w:hAnsi="Arial" w:cs="Arial"/>
          <w:kern w:val="2"/>
          <w14:ligatures w14:val="standardContextual"/>
        </w:rPr>
        <w:t xml:space="preserve">.  </w:t>
      </w:r>
    </w:p>
    <w:p w14:paraId="66B4266A" w14:textId="25BC9A6D" w:rsidR="00463AB3" w:rsidRPr="00463AB3" w:rsidRDefault="00463AB3" w:rsidP="00463AB3">
      <w:pPr>
        <w:spacing w:after="160" w:line="278" w:lineRule="auto"/>
        <w:ind w:firstLine="720"/>
        <w:jc w:val="both"/>
        <w:rPr>
          <w:rFonts w:ascii="Arial" w:eastAsia="Aptos" w:hAnsi="Arial" w:cs="Arial"/>
          <w:kern w:val="2"/>
          <w14:ligatures w14:val="standardContextual"/>
        </w:rPr>
      </w:pPr>
      <w:r w:rsidRPr="00463AB3">
        <w:rPr>
          <w:rFonts w:ascii="Arial" w:eastAsia="Aptos" w:hAnsi="Arial" w:cs="Arial"/>
          <w:kern w:val="2"/>
          <w14:ligatures w14:val="standardContextual"/>
        </w:rPr>
        <w:t xml:space="preserve">Even so, the good external preservation of the microfossils confirmed the promising scenario in this line of research. It is remarkable how their outer morphology was preserved in </w:t>
      </w:r>
      <w:proofErr w:type="gramStart"/>
      <w:r w:rsidRPr="00463AB3">
        <w:rPr>
          <w:rFonts w:ascii="Arial" w:eastAsia="Aptos" w:hAnsi="Arial" w:cs="Arial"/>
          <w:kern w:val="2"/>
          <w14:ligatures w14:val="standardContextual"/>
        </w:rPr>
        <w:t>th</w:t>
      </w:r>
      <w:r w:rsidR="00CF2FEF">
        <w:rPr>
          <w:rFonts w:ascii="Arial" w:eastAsia="Aptos" w:hAnsi="Arial" w:cs="Arial"/>
          <w:kern w:val="2"/>
          <w14:ligatures w14:val="standardContextual"/>
        </w:rPr>
        <w:t>e</w:t>
      </w:r>
      <w:r w:rsidRPr="00463AB3">
        <w:rPr>
          <w:rFonts w:ascii="Arial" w:eastAsia="Aptos" w:hAnsi="Arial" w:cs="Arial"/>
          <w:kern w:val="2"/>
          <w14:ligatures w14:val="standardContextual"/>
        </w:rPr>
        <w:t xml:space="preserve"> ancient</w:t>
      </w:r>
      <w:proofErr w:type="gramEnd"/>
      <w:r w:rsidRPr="00463AB3">
        <w:rPr>
          <w:rFonts w:ascii="Arial" w:eastAsia="Aptos" w:hAnsi="Arial" w:cs="Arial"/>
          <w:kern w:val="2"/>
          <w14:ligatures w14:val="standardContextual"/>
        </w:rPr>
        <w:t xml:space="preserve"> material, allowing the contours and volumes of the microorganisms to be </w:t>
      </w:r>
      <w:r w:rsidRPr="00463AB3">
        <w:rPr>
          <w:rFonts w:ascii="Arial" w:eastAsia="Aptos" w:hAnsi="Arial" w:cs="Arial"/>
          <w:kern w:val="2"/>
          <w14:ligatures w14:val="standardContextual"/>
        </w:rPr>
        <w:lastRenderedPageBreak/>
        <w:t xml:space="preserve">maintained, as described in previous works by Charlier et al. (2010) [42] and Power et al. (2014) [43]. The images of the scanning electron microscopy show that the microfossils presented themselves in two ways: intact corpuscles formed by closed curved surfaces, corresponding to the external contours, or mineralized membranes of bacterial cells; </w:t>
      </w:r>
      <w:r w:rsidR="00B36E09">
        <w:rPr>
          <w:rFonts w:ascii="Arial" w:eastAsia="Aptos" w:hAnsi="Arial" w:cs="Arial"/>
          <w:kern w:val="2"/>
          <w14:ligatures w14:val="standardContextual"/>
        </w:rPr>
        <w:t xml:space="preserve">and </w:t>
      </w:r>
      <w:r w:rsidRPr="00463AB3">
        <w:rPr>
          <w:rFonts w:ascii="Arial" w:eastAsia="Aptos" w:hAnsi="Arial" w:cs="Arial"/>
          <w:kern w:val="2"/>
          <w14:ligatures w14:val="standardContextual"/>
        </w:rPr>
        <w:t xml:space="preserve">cavities delimited by the same contours, i.e., mineralized membranes. The fragmentation of the samples for assembly under the microscope </w:t>
      </w:r>
      <w:r w:rsidR="005E667C">
        <w:rPr>
          <w:rFonts w:ascii="Arial" w:eastAsia="Aptos" w:hAnsi="Arial" w:cs="Arial"/>
          <w:kern w:val="2"/>
          <w14:ligatures w14:val="standardContextual"/>
        </w:rPr>
        <w:t xml:space="preserve">also </w:t>
      </w:r>
      <w:r w:rsidRPr="00463AB3">
        <w:rPr>
          <w:rFonts w:ascii="Arial" w:eastAsia="Aptos" w:hAnsi="Arial" w:cs="Arial"/>
          <w:kern w:val="2"/>
          <w14:ligatures w14:val="standardContextual"/>
        </w:rPr>
        <w:t>remov</w:t>
      </w:r>
      <w:r w:rsidR="00D00FF8">
        <w:rPr>
          <w:rFonts w:ascii="Arial" w:eastAsia="Aptos" w:hAnsi="Arial" w:cs="Arial"/>
          <w:kern w:val="2"/>
          <w14:ligatures w14:val="standardContextual"/>
        </w:rPr>
        <w:t>ed</w:t>
      </w:r>
      <w:r w:rsidRPr="00463AB3">
        <w:rPr>
          <w:rFonts w:ascii="Arial" w:eastAsia="Aptos" w:hAnsi="Arial" w:cs="Arial"/>
          <w:kern w:val="2"/>
          <w14:ligatures w14:val="standardContextual"/>
        </w:rPr>
        <w:t xml:space="preserve"> part</w:t>
      </w:r>
      <w:r w:rsidR="00D00FF8">
        <w:rPr>
          <w:rFonts w:ascii="Arial" w:eastAsia="Aptos" w:hAnsi="Arial" w:cs="Arial"/>
          <w:kern w:val="2"/>
          <w14:ligatures w14:val="standardContextual"/>
        </w:rPr>
        <w:t>s</w:t>
      </w:r>
      <w:r w:rsidRPr="00463AB3">
        <w:rPr>
          <w:rFonts w:ascii="Arial" w:eastAsia="Aptos" w:hAnsi="Arial" w:cs="Arial"/>
          <w:kern w:val="2"/>
          <w14:ligatures w14:val="standardContextual"/>
        </w:rPr>
        <w:t xml:space="preserve"> of the </w:t>
      </w:r>
      <w:r w:rsidR="00D00FF8">
        <w:rPr>
          <w:rFonts w:ascii="Arial" w:eastAsia="Aptos" w:hAnsi="Arial" w:cs="Arial"/>
          <w:kern w:val="2"/>
          <w14:ligatures w14:val="standardContextual"/>
        </w:rPr>
        <w:t>micro</w:t>
      </w:r>
      <w:r w:rsidR="005E667C">
        <w:rPr>
          <w:rFonts w:ascii="Arial" w:eastAsia="Aptos" w:hAnsi="Arial" w:cs="Arial"/>
          <w:kern w:val="2"/>
          <w14:ligatures w14:val="standardContextual"/>
        </w:rPr>
        <w:t>f</w:t>
      </w:r>
      <w:r w:rsidR="00D00FF8">
        <w:rPr>
          <w:rFonts w:ascii="Arial" w:eastAsia="Aptos" w:hAnsi="Arial" w:cs="Arial"/>
          <w:kern w:val="2"/>
          <w14:ligatures w14:val="standardContextual"/>
        </w:rPr>
        <w:t>ossils</w:t>
      </w:r>
      <w:r w:rsidR="005E667C">
        <w:rPr>
          <w:rFonts w:ascii="Arial" w:eastAsia="Aptos" w:hAnsi="Arial" w:cs="Arial"/>
          <w:kern w:val="2"/>
          <w14:ligatures w14:val="standardContextual"/>
        </w:rPr>
        <w:t>,</w:t>
      </w:r>
      <w:r w:rsidRPr="00463AB3">
        <w:rPr>
          <w:rFonts w:ascii="Arial" w:eastAsia="Aptos" w:hAnsi="Arial" w:cs="Arial"/>
          <w:kern w:val="2"/>
          <w14:ligatures w14:val="standardContextual"/>
        </w:rPr>
        <w:t xml:space="preserve"> sometimes releasing intact microfossils, sometimes fracturing them, expos</w:t>
      </w:r>
      <w:r w:rsidR="0017538C">
        <w:rPr>
          <w:rFonts w:ascii="Arial" w:eastAsia="Aptos" w:hAnsi="Arial" w:cs="Arial"/>
          <w:kern w:val="2"/>
          <w14:ligatures w14:val="standardContextual"/>
        </w:rPr>
        <w:t>ing</w:t>
      </w:r>
      <w:r w:rsidRPr="00463AB3">
        <w:rPr>
          <w:rFonts w:ascii="Arial" w:eastAsia="Aptos" w:hAnsi="Arial" w:cs="Arial"/>
          <w:kern w:val="2"/>
          <w14:ligatures w14:val="standardContextual"/>
        </w:rPr>
        <w:t xml:space="preserve"> the</w:t>
      </w:r>
      <w:r w:rsidR="002F2AE2">
        <w:rPr>
          <w:rFonts w:ascii="Arial" w:eastAsia="Aptos" w:hAnsi="Arial" w:cs="Arial"/>
          <w:kern w:val="2"/>
          <w14:ligatures w14:val="standardContextual"/>
        </w:rPr>
        <w:t xml:space="preserve"> inside</w:t>
      </w:r>
      <w:r w:rsidRPr="00463AB3">
        <w:rPr>
          <w:rFonts w:ascii="Arial" w:eastAsia="Aptos" w:hAnsi="Arial" w:cs="Arial"/>
          <w:kern w:val="2"/>
          <w14:ligatures w14:val="standardContextual"/>
        </w:rPr>
        <w:t xml:space="preserve">. The observation of open and fractured microfossils confirmed that the process of calcium phosphate </w:t>
      </w:r>
      <w:r w:rsidR="00232C8C" w:rsidRPr="00463AB3">
        <w:rPr>
          <w:rFonts w:ascii="Arial" w:eastAsia="Aptos" w:hAnsi="Arial" w:cs="Arial"/>
          <w:kern w:val="2"/>
          <w14:ligatures w14:val="standardContextual"/>
        </w:rPr>
        <w:t>deposition</w:t>
      </w:r>
      <w:r w:rsidRPr="00463AB3">
        <w:rPr>
          <w:rFonts w:ascii="Arial" w:eastAsia="Aptos" w:hAnsi="Arial" w:cs="Arial"/>
          <w:kern w:val="2"/>
          <w14:ligatures w14:val="standardContextual"/>
        </w:rPr>
        <w:t xml:space="preserve"> mineralized only the envelopes of microorganisms, leaving their interior empty, as described by Hilson (1990) [15]. </w:t>
      </w:r>
    </w:p>
    <w:p w14:paraId="5FABA2CC" w14:textId="77777777" w:rsidR="00110034" w:rsidRDefault="00110034" w:rsidP="006F2794">
      <w:pPr>
        <w:pStyle w:val="Body"/>
        <w:rPr>
          <w:rFonts w:ascii="Arial" w:hAnsi="Arial" w:cs="Arial"/>
        </w:rPr>
      </w:pPr>
      <w:r>
        <w:rPr>
          <w:rFonts w:ascii="Arial" w:hAnsi="Arial" w:cs="Arial"/>
          <w:noProof/>
        </w:rPr>
        <w:lastRenderedPageBreak/>
        <w:drawing>
          <wp:inline distT="0" distB="0" distL="0" distR="0" wp14:anchorId="276C06C2" wp14:editId="6C3895FA">
            <wp:extent cx="3703320" cy="2772295"/>
            <wp:effectExtent l="0" t="0" r="0" b="9525"/>
            <wp:docPr id="2125251118" name="Imagem 2" descr="Uma imagem contendo no interior, foto, coberto, colori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51118" name="Imagem 2" descr="Uma imagem contendo no interior, foto, coberto, colorido&#10;&#10;O conteúdo gerado por IA pode estar incorreto."/>
                    <pic:cNvPicPr/>
                  </pic:nvPicPr>
                  <pic:blipFill>
                    <a:blip r:embed="rId15">
                      <a:extLst>
                        <a:ext uri="{28A0092B-C50C-407E-A947-70E740481C1C}">
                          <a14:useLocalDpi xmlns:a14="http://schemas.microsoft.com/office/drawing/2010/main" val="0"/>
                        </a:ext>
                      </a:extLst>
                    </a:blip>
                    <a:stretch>
                      <a:fillRect/>
                    </a:stretch>
                  </pic:blipFill>
                  <pic:spPr>
                    <a:xfrm>
                      <a:off x="0" y="0"/>
                      <a:ext cx="3703320" cy="2772295"/>
                    </a:xfrm>
                    <a:prstGeom prst="rect">
                      <a:avLst/>
                    </a:prstGeom>
                  </pic:spPr>
                </pic:pic>
              </a:graphicData>
            </a:graphic>
          </wp:inline>
        </w:drawing>
      </w:r>
      <w:r>
        <w:rPr>
          <w:rFonts w:ascii="Arial" w:hAnsi="Arial" w:cs="Arial"/>
          <w:noProof/>
        </w:rPr>
        <w:drawing>
          <wp:inline distT="0" distB="0" distL="0" distR="0" wp14:anchorId="368E0FF5" wp14:editId="794339A5">
            <wp:extent cx="3703320" cy="3407792"/>
            <wp:effectExtent l="0" t="0" r="0" b="2540"/>
            <wp:docPr id="29743821" name="Imagem 3" descr="Uma imagem contendo no interior, segurando, grande, m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821" name="Imagem 3" descr="Uma imagem contendo no interior, segurando, grande, mã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3710745" cy="3414625"/>
                    </a:xfrm>
                    <a:prstGeom prst="rect">
                      <a:avLst/>
                    </a:prstGeom>
                  </pic:spPr>
                </pic:pic>
              </a:graphicData>
            </a:graphic>
          </wp:inline>
        </w:drawing>
      </w:r>
    </w:p>
    <w:p w14:paraId="2CAECF17" w14:textId="001FD143" w:rsidR="006F2794" w:rsidRPr="006F2794" w:rsidRDefault="006F2794" w:rsidP="006F2794">
      <w:pPr>
        <w:pStyle w:val="Body"/>
        <w:rPr>
          <w:rFonts w:ascii="Arial" w:hAnsi="Arial" w:cs="Arial"/>
        </w:rPr>
      </w:pPr>
      <w:r w:rsidRPr="006F2794">
        <w:rPr>
          <w:rFonts w:ascii="Arial" w:hAnsi="Arial" w:cs="Arial"/>
        </w:rPr>
        <w:t xml:space="preserve">Figure 4 - Scanning electron microscopy of human dental calculi from the </w:t>
      </w:r>
      <w:proofErr w:type="spellStart"/>
      <w:r w:rsidRPr="006F2794">
        <w:rPr>
          <w:rFonts w:ascii="Arial" w:hAnsi="Arial" w:cs="Arial"/>
        </w:rPr>
        <w:t>Cabeçuda</w:t>
      </w:r>
      <w:proofErr w:type="spellEnd"/>
      <w:r w:rsidRPr="006F2794">
        <w:rPr>
          <w:rFonts w:ascii="Arial" w:hAnsi="Arial" w:cs="Arial"/>
        </w:rPr>
        <w:t xml:space="preserve"> shell mound. Note the intact and fragmented microfossils, still embedded in the </w:t>
      </w:r>
      <w:proofErr w:type="spellStart"/>
      <w:r w:rsidRPr="006F2794">
        <w:rPr>
          <w:rFonts w:ascii="Arial" w:hAnsi="Arial" w:cs="Arial"/>
        </w:rPr>
        <w:t>phosphocalcium</w:t>
      </w:r>
      <w:proofErr w:type="spellEnd"/>
      <w:r w:rsidRPr="006F2794">
        <w:rPr>
          <w:rFonts w:ascii="Arial" w:hAnsi="Arial" w:cs="Arial"/>
        </w:rPr>
        <w:t xml:space="preserve"> matrix of the calculus. Above, MN1673 specimen photographed under a QUANTA 8,000x microscope. Below, MN1743 photographed under a ZEISS microscope, 9.430x (Photos: Hertha Mayer Laboratory/UFRJ) </w:t>
      </w:r>
    </w:p>
    <w:p w14:paraId="3FE1B434" w14:textId="06D6CAF7" w:rsidR="0050624E" w:rsidRPr="0050624E" w:rsidRDefault="0050624E" w:rsidP="0050624E">
      <w:pPr>
        <w:spacing w:after="160" w:line="278" w:lineRule="auto"/>
        <w:ind w:firstLine="720"/>
        <w:jc w:val="both"/>
        <w:rPr>
          <w:rFonts w:ascii="Arial" w:eastAsia="Aptos" w:hAnsi="Arial" w:cs="Arial"/>
          <w:kern w:val="2"/>
          <w14:ligatures w14:val="standardContextual"/>
        </w:rPr>
      </w:pPr>
      <w:r w:rsidRPr="0050624E">
        <w:rPr>
          <w:rFonts w:ascii="Arial" w:eastAsia="Aptos" w:hAnsi="Arial" w:cs="Arial"/>
          <w:kern w:val="2"/>
          <w14:ligatures w14:val="standardContextual"/>
        </w:rPr>
        <w:t xml:space="preserve">The possibility of confirming the results by biomolecular techniques [60], although considered, has been limited by the costs of applying this methodology. On the other hand, </w:t>
      </w:r>
      <w:proofErr w:type="gramStart"/>
      <w:r w:rsidR="00335EA4">
        <w:rPr>
          <w:rFonts w:ascii="Arial" w:eastAsia="Aptos" w:hAnsi="Arial" w:cs="Arial"/>
          <w:kern w:val="2"/>
          <w14:ligatures w14:val="standardContextual"/>
        </w:rPr>
        <w:t>the</w:t>
      </w:r>
      <w:r w:rsidRPr="0050624E">
        <w:rPr>
          <w:rFonts w:ascii="Arial" w:eastAsia="Aptos" w:hAnsi="Arial" w:cs="Arial"/>
          <w:kern w:val="2"/>
          <w14:ligatures w14:val="standardContextual"/>
        </w:rPr>
        <w:t xml:space="preserve"> microfossils</w:t>
      </w:r>
      <w:proofErr w:type="gramEnd"/>
      <w:r w:rsidRPr="0050624E">
        <w:rPr>
          <w:rFonts w:ascii="Arial" w:eastAsia="Aptos" w:hAnsi="Arial" w:cs="Arial"/>
          <w:kern w:val="2"/>
          <w14:ligatures w14:val="standardContextual"/>
        </w:rPr>
        <w:t xml:space="preserve"> preserv</w:t>
      </w:r>
      <w:r w:rsidR="00335EA4">
        <w:rPr>
          <w:rFonts w:ascii="Arial" w:eastAsia="Aptos" w:hAnsi="Arial" w:cs="Arial"/>
          <w:kern w:val="2"/>
          <w14:ligatures w14:val="standardContextual"/>
        </w:rPr>
        <w:t xml:space="preserve">ation, </w:t>
      </w:r>
      <w:r w:rsidR="001E19AE">
        <w:rPr>
          <w:rFonts w:ascii="Arial" w:eastAsia="Aptos" w:hAnsi="Arial" w:cs="Arial"/>
          <w:kern w:val="2"/>
          <w14:ligatures w14:val="standardContextual"/>
        </w:rPr>
        <w:t xml:space="preserve">losing cellular contents and </w:t>
      </w:r>
      <w:r w:rsidR="005F26C0">
        <w:rPr>
          <w:rFonts w:ascii="Arial" w:eastAsia="Aptos" w:hAnsi="Arial" w:cs="Arial"/>
          <w:kern w:val="2"/>
          <w14:ligatures w14:val="standardContextual"/>
        </w:rPr>
        <w:t xml:space="preserve">nucleic </w:t>
      </w:r>
      <w:proofErr w:type="spellStart"/>
      <w:r w:rsidR="005F26C0">
        <w:rPr>
          <w:rFonts w:ascii="Arial" w:eastAsia="Aptos" w:hAnsi="Arial" w:cs="Arial"/>
          <w:kern w:val="2"/>
          <w14:ligatures w14:val="standardContextual"/>
        </w:rPr>
        <w:t>accids</w:t>
      </w:r>
      <w:proofErr w:type="spellEnd"/>
      <w:r w:rsidR="001E19AE">
        <w:rPr>
          <w:rFonts w:ascii="Arial" w:eastAsia="Aptos" w:hAnsi="Arial" w:cs="Arial"/>
          <w:kern w:val="2"/>
          <w14:ligatures w14:val="standardContextual"/>
        </w:rPr>
        <w:t xml:space="preserve">, </w:t>
      </w:r>
      <w:r w:rsidRPr="0050624E">
        <w:rPr>
          <w:rFonts w:ascii="Arial" w:eastAsia="Aptos" w:hAnsi="Arial" w:cs="Arial"/>
          <w:kern w:val="2"/>
          <w14:ligatures w14:val="standardContextual"/>
        </w:rPr>
        <w:t>bring</w:t>
      </w:r>
      <w:r w:rsidR="005F26C0">
        <w:rPr>
          <w:rFonts w:ascii="Arial" w:eastAsia="Aptos" w:hAnsi="Arial" w:cs="Arial"/>
          <w:kern w:val="2"/>
          <w14:ligatures w14:val="standardContextual"/>
        </w:rPr>
        <w:t>s</w:t>
      </w:r>
      <w:r w:rsidRPr="0050624E">
        <w:rPr>
          <w:rFonts w:ascii="Arial" w:eastAsia="Aptos" w:hAnsi="Arial" w:cs="Arial"/>
          <w:kern w:val="2"/>
          <w14:ligatures w14:val="standardContextual"/>
        </w:rPr>
        <w:t xml:space="preserve"> limitation to </w:t>
      </w:r>
      <w:r w:rsidRPr="0050624E">
        <w:rPr>
          <w:rFonts w:ascii="Arial" w:eastAsia="Aptos" w:hAnsi="Arial" w:cs="Arial"/>
          <w:kern w:val="2"/>
          <w14:ligatures w14:val="standardContextual"/>
        </w:rPr>
        <w:lastRenderedPageBreak/>
        <w:t>paleogenetic studies</w:t>
      </w:r>
      <w:r w:rsidR="005F26C0">
        <w:rPr>
          <w:rFonts w:ascii="Arial" w:eastAsia="Aptos" w:hAnsi="Arial" w:cs="Arial"/>
          <w:kern w:val="2"/>
          <w14:ligatures w14:val="standardContextual"/>
        </w:rPr>
        <w:t>.</w:t>
      </w:r>
      <w:r w:rsidRPr="0050624E">
        <w:rPr>
          <w:rFonts w:ascii="Arial" w:eastAsia="Aptos" w:hAnsi="Arial" w:cs="Arial"/>
          <w:kern w:val="2"/>
          <w14:ligatures w14:val="standardContextual"/>
        </w:rPr>
        <w:t xml:space="preserve"> In the absence of intracellular structures, the results </w:t>
      </w:r>
      <w:r w:rsidR="008A3F77">
        <w:rPr>
          <w:rFonts w:ascii="Arial" w:eastAsia="Aptos" w:hAnsi="Arial" w:cs="Arial"/>
          <w:kern w:val="2"/>
          <w14:ligatures w14:val="standardContextual"/>
        </w:rPr>
        <w:t xml:space="preserve">could </w:t>
      </w:r>
      <w:r w:rsidRPr="0050624E">
        <w:rPr>
          <w:rFonts w:ascii="Arial" w:eastAsia="Aptos" w:hAnsi="Arial" w:cs="Arial"/>
          <w:kern w:val="2"/>
          <w14:ligatures w14:val="standardContextual"/>
        </w:rPr>
        <w:t xml:space="preserve">represent </w:t>
      </w:r>
      <w:r w:rsidR="008A3F77">
        <w:rPr>
          <w:rFonts w:ascii="Arial" w:eastAsia="Aptos" w:hAnsi="Arial" w:cs="Arial"/>
          <w:kern w:val="2"/>
          <w14:ligatures w14:val="standardContextual"/>
        </w:rPr>
        <w:t xml:space="preserve">only </w:t>
      </w:r>
      <w:r w:rsidRPr="0050624E">
        <w:rPr>
          <w:rFonts w:ascii="Arial" w:eastAsia="Aptos" w:hAnsi="Arial" w:cs="Arial"/>
          <w:kern w:val="2"/>
          <w14:ligatures w14:val="standardContextual"/>
        </w:rPr>
        <w:t xml:space="preserve">the contamination </w:t>
      </w:r>
      <w:r w:rsidR="003E3750">
        <w:rPr>
          <w:rFonts w:ascii="Arial" w:eastAsia="Aptos" w:hAnsi="Arial" w:cs="Arial"/>
          <w:kern w:val="2"/>
          <w14:ligatures w14:val="standardContextual"/>
        </w:rPr>
        <w:t>by old and recent</w:t>
      </w:r>
      <w:r w:rsidRPr="0050624E">
        <w:rPr>
          <w:rFonts w:ascii="Arial" w:eastAsia="Aptos" w:hAnsi="Arial" w:cs="Arial"/>
          <w:kern w:val="2"/>
          <w14:ligatures w14:val="standardContextual"/>
        </w:rPr>
        <w:t xml:space="preserve"> microorganisms from the environment, as reported in previous studies [61]. In recent years, however, new technologies </w:t>
      </w:r>
      <w:r w:rsidR="00255B7A">
        <w:rPr>
          <w:rFonts w:ascii="Arial" w:eastAsia="Aptos" w:hAnsi="Arial" w:cs="Arial"/>
          <w:kern w:val="2"/>
          <w14:ligatures w14:val="standardContextual"/>
        </w:rPr>
        <w:t xml:space="preserve">seem to be offering </w:t>
      </w:r>
      <w:r w:rsidRPr="0050624E">
        <w:rPr>
          <w:rFonts w:ascii="Arial" w:eastAsia="Aptos" w:hAnsi="Arial" w:cs="Arial"/>
          <w:kern w:val="2"/>
          <w14:ligatures w14:val="standardContextual"/>
        </w:rPr>
        <w:t>a more favorable scenario, and this path can be resumed [12].</w:t>
      </w:r>
    </w:p>
    <w:p w14:paraId="50CAF2A0" w14:textId="64DCFDEE" w:rsidR="0050624E" w:rsidRPr="0050624E" w:rsidRDefault="0050624E" w:rsidP="0050624E">
      <w:pPr>
        <w:spacing w:after="160" w:line="278" w:lineRule="auto"/>
        <w:jc w:val="both"/>
        <w:rPr>
          <w:rFonts w:ascii="Arial" w:eastAsia="Aptos" w:hAnsi="Arial" w:cs="Arial"/>
          <w:kern w:val="2"/>
          <w14:ligatures w14:val="standardContextual"/>
        </w:rPr>
      </w:pPr>
      <w:r w:rsidRPr="0050624E">
        <w:rPr>
          <w:rFonts w:ascii="Arial" w:eastAsia="Aptos" w:hAnsi="Arial" w:cs="Arial"/>
          <w:kern w:val="2"/>
          <w14:ligatures w14:val="standardContextual"/>
        </w:rPr>
        <w:t xml:space="preserve"> </w:t>
      </w:r>
      <w:r>
        <w:rPr>
          <w:rFonts w:ascii="Arial" w:eastAsia="Aptos" w:hAnsi="Arial" w:cs="Arial"/>
          <w:kern w:val="2"/>
          <w14:ligatures w14:val="standardContextual"/>
        </w:rPr>
        <w:tab/>
      </w:r>
      <w:r w:rsidRPr="0050624E">
        <w:rPr>
          <w:rFonts w:ascii="Arial" w:eastAsia="Aptos" w:hAnsi="Arial" w:cs="Arial"/>
          <w:kern w:val="2"/>
          <w14:ligatures w14:val="standardContextual"/>
        </w:rPr>
        <w:t xml:space="preserve">On the other hand, </w:t>
      </w:r>
      <w:r w:rsidR="00255B7A">
        <w:rPr>
          <w:rFonts w:ascii="Arial" w:eastAsia="Aptos" w:hAnsi="Arial" w:cs="Arial"/>
          <w:kern w:val="2"/>
          <w14:ligatures w14:val="standardContextual"/>
        </w:rPr>
        <w:t xml:space="preserve">microfossils </w:t>
      </w:r>
      <w:r w:rsidRPr="0050624E">
        <w:rPr>
          <w:rFonts w:ascii="Arial" w:eastAsia="Aptos" w:hAnsi="Arial" w:cs="Arial"/>
          <w:kern w:val="2"/>
          <w14:ligatures w14:val="standardContextual"/>
        </w:rPr>
        <w:t>preservation drew attention to the</w:t>
      </w:r>
      <w:r w:rsidR="00F06CBD">
        <w:rPr>
          <w:rFonts w:ascii="Arial" w:eastAsia="Aptos" w:hAnsi="Arial" w:cs="Arial"/>
          <w:kern w:val="2"/>
          <w14:ligatures w14:val="standardContextual"/>
        </w:rPr>
        <w:t>ir</w:t>
      </w:r>
      <w:r w:rsidRPr="0050624E">
        <w:rPr>
          <w:rFonts w:ascii="Arial" w:eastAsia="Aptos" w:hAnsi="Arial" w:cs="Arial"/>
          <w:kern w:val="2"/>
          <w14:ligatures w14:val="standardContextual"/>
        </w:rPr>
        <w:t xml:space="preserve"> fragility under the apparent resistance of calculus</w:t>
      </w:r>
      <w:r w:rsidR="00F06CBD">
        <w:rPr>
          <w:rFonts w:ascii="Arial" w:eastAsia="Aptos" w:hAnsi="Arial" w:cs="Arial"/>
          <w:kern w:val="2"/>
          <w14:ligatures w14:val="standardContextual"/>
        </w:rPr>
        <w:t>. T</w:t>
      </w:r>
      <w:r w:rsidRPr="0050624E">
        <w:rPr>
          <w:rFonts w:ascii="Arial" w:eastAsia="Aptos" w:hAnsi="Arial" w:cs="Arial"/>
          <w:kern w:val="2"/>
          <w14:ligatures w14:val="standardContextual"/>
        </w:rPr>
        <w:t>heir delicate structures are a challenge</w:t>
      </w:r>
      <w:r w:rsidR="00F06CBD">
        <w:rPr>
          <w:rFonts w:ascii="Arial" w:eastAsia="Aptos" w:hAnsi="Arial" w:cs="Arial"/>
          <w:kern w:val="2"/>
          <w14:ligatures w14:val="standardContextual"/>
        </w:rPr>
        <w:t xml:space="preserve"> to </w:t>
      </w:r>
      <w:r w:rsidR="00D664FA">
        <w:rPr>
          <w:rFonts w:ascii="Arial" w:eastAsia="Aptos" w:hAnsi="Arial" w:cs="Arial"/>
          <w:kern w:val="2"/>
          <w14:ligatures w14:val="standardContextual"/>
        </w:rPr>
        <w:t xml:space="preserve">those studies that need them </w:t>
      </w:r>
      <w:r w:rsidRPr="0050624E">
        <w:rPr>
          <w:rFonts w:ascii="Arial" w:eastAsia="Aptos" w:hAnsi="Arial" w:cs="Arial"/>
          <w:kern w:val="2"/>
          <w14:ligatures w14:val="standardContextual"/>
        </w:rPr>
        <w:t>intact for proper morphological study. Since the mineralization processes</w:t>
      </w:r>
      <w:r w:rsidR="00D664FA">
        <w:rPr>
          <w:rFonts w:ascii="Arial" w:eastAsia="Aptos" w:hAnsi="Arial" w:cs="Arial"/>
          <w:kern w:val="2"/>
          <w14:ligatures w14:val="standardContextual"/>
        </w:rPr>
        <w:t xml:space="preserve"> </w:t>
      </w:r>
      <w:r w:rsidRPr="0050624E">
        <w:rPr>
          <w:rFonts w:ascii="Arial" w:eastAsia="Aptos" w:hAnsi="Arial" w:cs="Arial"/>
          <w:kern w:val="2"/>
          <w14:ligatures w14:val="standardContextual"/>
        </w:rPr>
        <w:t xml:space="preserve">in </w:t>
      </w:r>
      <w:r w:rsidR="00D664FA">
        <w:rPr>
          <w:rFonts w:ascii="Arial" w:eastAsia="Aptos" w:hAnsi="Arial" w:cs="Arial"/>
          <w:kern w:val="2"/>
          <w14:ligatures w14:val="standardContextual"/>
        </w:rPr>
        <w:t xml:space="preserve">the calculus, in </w:t>
      </w:r>
      <w:r w:rsidRPr="0050624E">
        <w:rPr>
          <w:rFonts w:ascii="Arial" w:eastAsia="Aptos" w:hAnsi="Arial" w:cs="Arial"/>
          <w:kern w:val="2"/>
          <w14:ligatures w14:val="standardContextual"/>
        </w:rPr>
        <w:t>addition to the calcification in vivo, continue</w:t>
      </w:r>
      <w:r w:rsidR="00D664FA">
        <w:rPr>
          <w:rFonts w:ascii="Arial" w:eastAsia="Aptos" w:hAnsi="Arial" w:cs="Arial"/>
          <w:kern w:val="2"/>
          <w14:ligatures w14:val="standardContextual"/>
        </w:rPr>
        <w:t>s</w:t>
      </w:r>
      <w:r w:rsidRPr="0050624E">
        <w:rPr>
          <w:rFonts w:ascii="Arial" w:eastAsia="Aptos" w:hAnsi="Arial" w:cs="Arial"/>
          <w:kern w:val="2"/>
          <w14:ligatures w14:val="standardContextual"/>
        </w:rPr>
        <w:t xml:space="preserve"> in the soil [15], the formation of calcite in the bony, dental, and calculus matrix interstices </w:t>
      </w:r>
      <w:r w:rsidR="008D67C1">
        <w:rPr>
          <w:rFonts w:ascii="Arial" w:eastAsia="Aptos" w:hAnsi="Arial" w:cs="Arial"/>
          <w:kern w:val="2"/>
          <w14:ligatures w14:val="standardContextual"/>
        </w:rPr>
        <w:t>are</w:t>
      </w:r>
      <w:r w:rsidRPr="0050624E">
        <w:rPr>
          <w:rFonts w:ascii="Arial" w:eastAsia="Aptos" w:hAnsi="Arial" w:cs="Arial"/>
          <w:kern w:val="2"/>
          <w14:ligatures w14:val="standardContextual"/>
        </w:rPr>
        <w:t xml:space="preserve"> frequent</w:t>
      </w:r>
      <w:r w:rsidR="00FC27CD">
        <w:rPr>
          <w:rFonts w:ascii="Arial" w:eastAsia="Aptos" w:hAnsi="Arial" w:cs="Arial"/>
          <w:kern w:val="2"/>
          <w14:ligatures w14:val="standardContextual"/>
        </w:rPr>
        <w:t xml:space="preserve">. It is important to consider in future investigations that </w:t>
      </w:r>
      <w:r w:rsidRPr="0050624E">
        <w:rPr>
          <w:rFonts w:ascii="Arial" w:eastAsia="Aptos" w:hAnsi="Arial" w:cs="Arial"/>
          <w:kern w:val="2"/>
          <w14:ligatures w14:val="standardContextual"/>
        </w:rPr>
        <w:t>an increase in the hardness of th</w:t>
      </w:r>
      <w:r w:rsidR="008D67C1">
        <w:rPr>
          <w:rFonts w:ascii="Arial" w:eastAsia="Aptos" w:hAnsi="Arial" w:cs="Arial"/>
          <w:kern w:val="2"/>
          <w14:ligatures w14:val="standardContextual"/>
        </w:rPr>
        <w:t>e</w:t>
      </w:r>
      <w:r w:rsidRPr="0050624E">
        <w:rPr>
          <w:rFonts w:ascii="Arial" w:eastAsia="Aptos" w:hAnsi="Arial" w:cs="Arial"/>
          <w:kern w:val="2"/>
          <w14:ligatures w14:val="standardContextual"/>
        </w:rPr>
        <w:t xml:space="preserve"> matrix</w:t>
      </w:r>
      <w:r w:rsidR="008D67C1">
        <w:rPr>
          <w:rFonts w:ascii="Arial" w:eastAsia="Aptos" w:hAnsi="Arial" w:cs="Arial"/>
          <w:kern w:val="2"/>
          <w14:ligatures w14:val="standardContextual"/>
        </w:rPr>
        <w:t xml:space="preserve"> may occur</w:t>
      </w:r>
      <w:r w:rsidRPr="0050624E">
        <w:rPr>
          <w:rFonts w:ascii="Arial" w:eastAsia="Aptos" w:hAnsi="Arial" w:cs="Arial"/>
          <w:kern w:val="2"/>
          <w14:ligatures w14:val="standardContextual"/>
        </w:rPr>
        <w:t>, increasing the difficulty for sample disaggregation.</w:t>
      </w:r>
      <w:r w:rsidR="00DD25A8">
        <w:rPr>
          <w:rFonts w:ascii="Arial" w:eastAsia="Aptos" w:hAnsi="Arial" w:cs="Arial"/>
          <w:kern w:val="2"/>
          <w14:ligatures w14:val="standardContextual"/>
        </w:rPr>
        <w:t xml:space="preserve"> </w:t>
      </w:r>
      <w:r w:rsidRPr="0050624E">
        <w:rPr>
          <w:rFonts w:ascii="Arial" w:eastAsia="Aptos" w:hAnsi="Arial" w:cs="Arial"/>
          <w:kern w:val="2"/>
          <w14:ligatures w14:val="standardContextual"/>
        </w:rPr>
        <w:t xml:space="preserve"> </w:t>
      </w:r>
    </w:p>
    <w:p w14:paraId="14CAC5C2" w14:textId="54FB632B" w:rsidR="0050624E" w:rsidRPr="0050624E" w:rsidRDefault="0050624E" w:rsidP="0050624E">
      <w:pPr>
        <w:spacing w:after="160" w:line="278" w:lineRule="auto"/>
        <w:ind w:firstLine="720"/>
        <w:jc w:val="both"/>
        <w:rPr>
          <w:rFonts w:ascii="Arial" w:eastAsia="Aptos" w:hAnsi="Arial" w:cs="Arial"/>
          <w:kern w:val="2"/>
          <w14:ligatures w14:val="standardContextual"/>
        </w:rPr>
      </w:pPr>
      <w:r w:rsidRPr="0050624E">
        <w:rPr>
          <w:rFonts w:ascii="Arial" w:eastAsia="Aptos" w:hAnsi="Arial" w:cs="Arial"/>
          <w:kern w:val="2"/>
          <w14:ligatures w14:val="standardContextual"/>
        </w:rPr>
        <w:t xml:space="preserve">The possibility of different calcium phosphate recrystallization of minerals in the </w:t>
      </w:r>
      <w:proofErr w:type="gramStart"/>
      <w:r w:rsidRPr="0050624E">
        <w:rPr>
          <w:rFonts w:ascii="Arial" w:eastAsia="Aptos" w:hAnsi="Arial" w:cs="Arial"/>
          <w:kern w:val="2"/>
          <w14:ligatures w14:val="standardContextual"/>
        </w:rPr>
        <w:t>samples</w:t>
      </w:r>
      <w:proofErr w:type="gramEnd"/>
      <w:r w:rsidRPr="0050624E">
        <w:rPr>
          <w:rFonts w:ascii="Arial" w:eastAsia="Aptos" w:hAnsi="Arial" w:cs="Arial"/>
          <w:kern w:val="2"/>
          <w14:ligatures w14:val="standardContextual"/>
        </w:rPr>
        <w:t xml:space="preserve"> accounts for the differences in the hardness of the calculi, and therefore in their resistance to ultrasonics. The minerals most frequently deposited in life, in the formation of the calculus, would be </w:t>
      </w:r>
      <w:proofErr w:type="spellStart"/>
      <w:r w:rsidRPr="0050624E">
        <w:rPr>
          <w:rFonts w:ascii="Arial" w:eastAsia="Aptos" w:hAnsi="Arial" w:cs="Arial"/>
          <w:kern w:val="2"/>
          <w14:ligatures w14:val="standardContextual"/>
        </w:rPr>
        <w:t>bruxite</w:t>
      </w:r>
      <w:proofErr w:type="spellEnd"/>
      <w:r w:rsidRPr="0050624E">
        <w:rPr>
          <w:rFonts w:ascii="Arial" w:eastAsia="Aptos" w:hAnsi="Arial" w:cs="Arial"/>
          <w:kern w:val="2"/>
          <w14:ligatures w14:val="standardContextual"/>
        </w:rPr>
        <w:t xml:space="preserve"> (hardness 2.5 on the </w:t>
      </w:r>
      <w:proofErr w:type="spellStart"/>
      <w:r w:rsidRPr="0050624E">
        <w:rPr>
          <w:rFonts w:ascii="Arial" w:eastAsia="Aptos" w:hAnsi="Arial" w:cs="Arial"/>
          <w:kern w:val="2"/>
          <w14:ligatures w14:val="standardContextual"/>
        </w:rPr>
        <w:t>Möhs</w:t>
      </w:r>
      <w:proofErr w:type="spellEnd"/>
      <w:r w:rsidRPr="0050624E">
        <w:rPr>
          <w:rFonts w:ascii="Arial" w:eastAsia="Aptos" w:hAnsi="Arial" w:cs="Arial"/>
          <w:kern w:val="2"/>
          <w14:ligatures w14:val="standardContextual"/>
        </w:rPr>
        <w:t xml:space="preserve"> scale), whose basic formula is Ca8HPO4.2H2O, and whitlockite (hardness 5 on the </w:t>
      </w:r>
      <w:proofErr w:type="spellStart"/>
      <w:r w:rsidRPr="0050624E">
        <w:rPr>
          <w:rFonts w:ascii="Arial" w:eastAsia="Aptos" w:hAnsi="Arial" w:cs="Arial"/>
          <w:kern w:val="2"/>
          <w14:ligatures w14:val="standardContextual"/>
        </w:rPr>
        <w:t>Möhs</w:t>
      </w:r>
      <w:proofErr w:type="spellEnd"/>
      <w:r w:rsidRPr="0050624E">
        <w:rPr>
          <w:rFonts w:ascii="Arial" w:eastAsia="Aptos" w:hAnsi="Arial" w:cs="Arial"/>
          <w:kern w:val="2"/>
          <w14:ligatures w14:val="standardContextual"/>
        </w:rPr>
        <w:t xml:space="preserve"> scale), whose basic formula is Ca8(HPO4)2.  In the shell mound substrate, rich in skeletal remains of fauna, more than in other sites, the percolation of fluvial, rainwater and tidal water favor the migration of ions. It may contribute to the gradual replacement of original minerals by apatite (also hardness 5.0 on the </w:t>
      </w:r>
      <w:proofErr w:type="spellStart"/>
      <w:r w:rsidRPr="0050624E">
        <w:rPr>
          <w:rFonts w:ascii="Arial" w:eastAsia="Aptos" w:hAnsi="Arial" w:cs="Arial"/>
          <w:kern w:val="2"/>
          <w14:ligatures w14:val="standardContextual"/>
        </w:rPr>
        <w:t>Möhs</w:t>
      </w:r>
      <w:proofErr w:type="spellEnd"/>
      <w:r w:rsidRPr="0050624E">
        <w:rPr>
          <w:rFonts w:ascii="Arial" w:eastAsia="Aptos" w:hAnsi="Arial" w:cs="Arial"/>
          <w:kern w:val="2"/>
          <w14:ligatures w14:val="standardContextual"/>
        </w:rPr>
        <w:t xml:space="preserve"> scale), whose generic formula is Ca5(PO4)3(OH, F, Cl). This substitution certainly gives greater hardness to the matrix and, consequently, to the calculus, which now offers greater resistance to disaggregation. The </w:t>
      </w:r>
      <w:proofErr w:type="spellStart"/>
      <w:r w:rsidRPr="0050624E">
        <w:rPr>
          <w:rFonts w:ascii="Arial" w:eastAsia="Aptos" w:hAnsi="Arial" w:cs="Arial"/>
          <w:kern w:val="2"/>
          <w14:ligatures w14:val="standardContextual"/>
        </w:rPr>
        <w:t>Cabeçuda</w:t>
      </w:r>
      <w:proofErr w:type="spellEnd"/>
      <w:r w:rsidRPr="0050624E">
        <w:rPr>
          <w:rFonts w:ascii="Arial" w:eastAsia="Aptos" w:hAnsi="Arial" w:cs="Arial"/>
          <w:kern w:val="2"/>
          <w14:ligatures w14:val="standardContextual"/>
        </w:rPr>
        <w:t>, a shell mound whose substrate is formed by a predominance of mollusk shells, with a reduced proportion of soil, a taphonom</w:t>
      </w:r>
      <w:r w:rsidR="002744FD">
        <w:rPr>
          <w:rFonts w:ascii="Arial" w:eastAsia="Aptos" w:hAnsi="Arial" w:cs="Arial"/>
          <w:kern w:val="2"/>
          <w14:ligatures w14:val="standardContextual"/>
        </w:rPr>
        <w:t>y</w:t>
      </w:r>
      <w:r w:rsidRPr="0050624E">
        <w:rPr>
          <w:rFonts w:ascii="Arial" w:eastAsia="Aptos" w:hAnsi="Arial" w:cs="Arial"/>
          <w:kern w:val="2"/>
          <w14:ligatures w14:val="standardContextual"/>
        </w:rPr>
        <w:t xml:space="preserve"> process of this type would find even more conditions to occur. The observation of great variation in the resistance of stones to dissolution processes by physical and chemical methods has been observed in other studies, and even for their dissolution, different times of exposure to acid solution have been employed for various materials [30, 62]. </w:t>
      </w:r>
    </w:p>
    <w:p w14:paraId="4ABCD8EC" w14:textId="0E702467" w:rsidR="00053161" w:rsidRPr="00053161" w:rsidRDefault="00DF0AB7" w:rsidP="00053161">
      <w:pPr>
        <w:spacing w:after="160" w:line="278" w:lineRule="auto"/>
        <w:ind w:firstLine="720"/>
        <w:jc w:val="both"/>
        <w:rPr>
          <w:rFonts w:ascii="Arial" w:eastAsia="Aptos" w:hAnsi="Arial" w:cs="Arial"/>
          <w:kern w:val="2"/>
          <w14:ligatures w14:val="standardContextual"/>
        </w:rPr>
      </w:pPr>
      <w:r>
        <w:rPr>
          <w:rFonts w:ascii="Arial" w:eastAsia="Aptos" w:hAnsi="Arial" w:cs="Arial"/>
          <w:kern w:val="2"/>
          <w14:ligatures w14:val="standardContextual"/>
        </w:rPr>
        <w:t>C</w:t>
      </w:r>
      <w:r w:rsidR="00053161" w:rsidRPr="00053161">
        <w:rPr>
          <w:rFonts w:ascii="Arial" w:eastAsia="Aptos" w:hAnsi="Arial" w:cs="Arial"/>
          <w:kern w:val="2"/>
          <w14:ligatures w14:val="standardContextual"/>
        </w:rPr>
        <w:t>onfirm</w:t>
      </w:r>
      <w:r>
        <w:rPr>
          <w:rFonts w:ascii="Arial" w:eastAsia="Aptos" w:hAnsi="Arial" w:cs="Arial"/>
          <w:kern w:val="2"/>
          <w14:ligatures w14:val="standardContextual"/>
        </w:rPr>
        <w:t>ing</w:t>
      </w:r>
      <w:r w:rsidR="00053161" w:rsidRPr="00053161">
        <w:rPr>
          <w:rFonts w:ascii="Arial" w:eastAsia="Aptos" w:hAnsi="Arial" w:cs="Arial"/>
          <w:kern w:val="2"/>
          <w14:ligatures w14:val="standardContextual"/>
        </w:rPr>
        <w:t xml:space="preserve"> </w:t>
      </w:r>
      <w:proofErr w:type="gramStart"/>
      <w:r w:rsidR="00053161" w:rsidRPr="00053161">
        <w:rPr>
          <w:rFonts w:ascii="Arial" w:eastAsia="Aptos" w:hAnsi="Arial" w:cs="Arial"/>
          <w:kern w:val="2"/>
          <w14:ligatures w14:val="standardContextual"/>
        </w:rPr>
        <w:t xml:space="preserve">a large </w:t>
      </w:r>
      <w:r w:rsidR="002744FD" w:rsidRPr="00053161">
        <w:rPr>
          <w:rFonts w:ascii="Arial" w:eastAsia="Aptos" w:hAnsi="Arial" w:cs="Arial"/>
          <w:kern w:val="2"/>
          <w14:ligatures w14:val="standardContextual"/>
        </w:rPr>
        <w:t>number</w:t>
      </w:r>
      <w:r w:rsidR="00053161" w:rsidRPr="00053161">
        <w:rPr>
          <w:rFonts w:ascii="Arial" w:eastAsia="Aptos" w:hAnsi="Arial" w:cs="Arial"/>
          <w:kern w:val="2"/>
          <w14:ligatures w14:val="standardContextual"/>
        </w:rPr>
        <w:t xml:space="preserve"> of</w:t>
      </w:r>
      <w:proofErr w:type="gramEnd"/>
      <w:r w:rsidR="00053161" w:rsidRPr="00053161">
        <w:rPr>
          <w:rFonts w:ascii="Arial" w:eastAsia="Aptos" w:hAnsi="Arial" w:cs="Arial"/>
          <w:kern w:val="2"/>
          <w14:ligatures w14:val="standardContextual"/>
        </w:rPr>
        <w:t xml:space="preserve"> bacterial microfossils preserved in most of the 20 samples, except two of them, MN 1674 and MN 1942, was an important result</w:t>
      </w:r>
      <w:r>
        <w:rPr>
          <w:rFonts w:ascii="Arial" w:eastAsia="Aptos" w:hAnsi="Arial" w:cs="Arial"/>
          <w:kern w:val="2"/>
          <w14:ligatures w14:val="standardContextual"/>
        </w:rPr>
        <w:t xml:space="preserve">. </w:t>
      </w:r>
      <w:r w:rsidR="0062667A">
        <w:rPr>
          <w:rFonts w:ascii="Arial" w:eastAsia="Aptos" w:hAnsi="Arial" w:cs="Arial"/>
          <w:kern w:val="2"/>
          <w14:ligatures w14:val="standardContextual"/>
        </w:rPr>
        <w:t>I</w:t>
      </w:r>
      <w:r w:rsidR="00053161" w:rsidRPr="00053161">
        <w:rPr>
          <w:rFonts w:ascii="Arial" w:eastAsia="Aptos" w:hAnsi="Arial" w:cs="Arial"/>
          <w:kern w:val="2"/>
          <w14:ligatures w14:val="standardContextual"/>
        </w:rPr>
        <w:t xml:space="preserve">t draws attention to the potential of this material.  Cases in which microfossils were rare or absent may represent parts of the calculus where the matrix predominated, such as in areas of rapid precipitation of calcium salts, or of specimens where, due to specific conditions, the preservation of microfossils has been impaired. </w:t>
      </w:r>
    </w:p>
    <w:p w14:paraId="49DAB0C6" w14:textId="0C41FCA8" w:rsidR="00053161" w:rsidRPr="00053161" w:rsidRDefault="00053161" w:rsidP="002744FD">
      <w:pPr>
        <w:spacing w:after="160" w:line="278" w:lineRule="auto"/>
        <w:ind w:firstLine="720"/>
        <w:jc w:val="both"/>
        <w:rPr>
          <w:rFonts w:ascii="Arial" w:eastAsia="Aptos" w:hAnsi="Arial" w:cs="Arial"/>
          <w:kern w:val="2"/>
          <w14:ligatures w14:val="standardContextual"/>
        </w:rPr>
      </w:pPr>
      <w:r w:rsidRPr="00053161">
        <w:rPr>
          <w:rFonts w:ascii="Arial" w:eastAsia="Aptos" w:hAnsi="Arial" w:cs="Arial"/>
          <w:kern w:val="2"/>
          <w14:ligatures w14:val="standardContextual"/>
        </w:rPr>
        <w:t xml:space="preserve">The number of intact microfossils in each image ranged from 48 to 300, and the number of broken microfossils in each image ranged from 32 to 190. Adding the amounts of both, the proportion of bacteria in each stone surface examined ranged from 0.056 bacteria per </w:t>
      </w:r>
      <w:r w:rsidRPr="00053161">
        <w:rPr>
          <w:rFonts w:ascii="Arial" w:eastAsia="Aptos" w:hAnsi="Arial" w:cs="Arial"/>
          <w:kern w:val="2"/>
          <w:lang w:val="pt-PT"/>
          <w14:ligatures w14:val="standardContextual"/>
        </w:rPr>
        <w:t>μ</w:t>
      </w:r>
      <w:r w:rsidRPr="00053161">
        <w:rPr>
          <w:rFonts w:ascii="Arial" w:eastAsia="Aptos" w:hAnsi="Arial" w:cs="Arial"/>
          <w:kern w:val="2"/>
          <w14:ligatures w14:val="standardContextual"/>
        </w:rPr>
        <w:t xml:space="preserve">m² to 0.83 bacteria per </w:t>
      </w:r>
      <w:r w:rsidRPr="00053161">
        <w:rPr>
          <w:rFonts w:ascii="Arial" w:eastAsia="Aptos" w:hAnsi="Arial" w:cs="Arial"/>
          <w:kern w:val="2"/>
          <w:lang w:val="pt-PT"/>
          <w14:ligatures w14:val="standardContextual"/>
        </w:rPr>
        <w:t>μ</w:t>
      </w:r>
      <w:r w:rsidRPr="00053161">
        <w:rPr>
          <w:rFonts w:ascii="Arial" w:eastAsia="Aptos" w:hAnsi="Arial" w:cs="Arial"/>
          <w:kern w:val="2"/>
          <w14:ligatures w14:val="standardContextual"/>
        </w:rPr>
        <w:t>m² (Figure 5). These results confirm that there may be different proportions of microfossils in specimens from the same site. Differences in diet, such as in periods of higher protein intake, form ammonia radicals that base the mouth environment, favoring and accelerating the precipitation of calcium salts and faster calculus formation. Another possible cause for variation in diet may be the existence of different diets, according to cultural patterns related to sex or age</w:t>
      </w:r>
      <w:r w:rsidR="002A6A8C">
        <w:rPr>
          <w:rFonts w:ascii="Arial" w:eastAsia="Aptos" w:hAnsi="Arial" w:cs="Arial"/>
          <w:kern w:val="2"/>
          <w14:ligatures w14:val="standardContextual"/>
        </w:rPr>
        <w:t>, for instance</w:t>
      </w:r>
      <w:r w:rsidRPr="00053161">
        <w:rPr>
          <w:rFonts w:ascii="Arial" w:eastAsia="Aptos" w:hAnsi="Arial" w:cs="Arial"/>
          <w:kern w:val="2"/>
          <w14:ligatures w14:val="standardContextual"/>
        </w:rPr>
        <w:t xml:space="preserve">. Isotopic studies, such as by </w:t>
      </w:r>
      <w:proofErr w:type="spellStart"/>
      <w:r w:rsidRPr="00053161">
        <w:rPr>
          <w:rFonts w:ascii="Arial" w:eastAsia="Aptos" w:hAnsi="Arial" w:cs="Arial"/>
          <w:kern w:val="2"/>
          <w14:ligatures w14:val="standardContextual"/>
        </w:rPr>
        <w:t>Colonese</w:t>
      </w:r>
      <w:proofErr w:type="spellEnd"/>
      <w:r w:rsidRPr="00053161">
        <w:rPr>
          <w:rFonts w:ascii="Arial" w:eastAsia="Aptos" w:hAnsi="Arial" w:cs="Arial"/>
          <w:kern w:val="2"/>
          <w14:ligatures w14:val="standardContextual"/>
        </w:rPr>
        <w:t xml:space="preserve"> et al. (2014) [63], seeking to reconstruct </w:t>
      </w:r>
      <w:r w:rsidR="00443ECE" w:rsidRPr="00053161">
        <w:rPr>
          <w:rFonts w:ascii="Arial" w:eastAsia="Aptos" w:hAnsi="Arial" w:cs="Arial"/>
          <w:kern w:val="2"/>
          <w14:ligatures w14:val="standardContextual"/>
        </w:rPr>
        <w:t>paleo nutrition</w:t>
      </w:r>
      <w:r w:rsidRPr="00053161">
        <w:rPr>
          <w:rFonts w:ascii="Arial" w:eastAsia="Aptos" w:hAnsi="Arial" w:cs="Arial"/>
          <w:kern w:val="2"/>
          <w14:ligatures w14:val="standardContextual"/>
        </w:rPr>
        <w:t xml:space="preserve"> in shell mounds from Brazil, suggest that even in a single site there would have been variability in the diet between different </w:t>
      </w:r>
      <w:r w:rsidRPr="00053161">
        <w:rPr>
          <w:rFonts w:ascii="Arial" w:eastAsia="Aptos" w:hAnsi="Arial" w:cs="Arial"/>
          <w:kern w:val="2"/>
          <w14:ligatures w14:val="standardContextual"/>
        </w:rPr>
        <w:lastRenderedPageBreak/>
        <w:t xml:space="preserve">individuals, which would certainly impact the formation of dental plaque and the speed of calculus formation [4], including for factors such as gender or age. In the case of </w:t>
      </w:r>
      <w:proofErr w:type="spellStart"/>
      <w:r w:rsidRPr="00053161">
        <w:rPr>
          <w:rFonts w:ascii="Arial" w:eastAsia="Aptos" w:hAnsi="Arial" w:cs="Arial"/>
          <w:kern w:val="2"/>
          <w14:ligatures w14:val="standardContextual"/>
        </w:rPr>
        <w:t>Cabeçuda</w:t>
      </w:r>
      <w:proofErr w:type="spellEnd"/>
      <w:r w:rsidRPr="00053161">
        <w:rPr>
          <w:rFonts w:ascii="Arial" w:eastAsia="Aptos" w:hAnsi="Arial" w:cs="Arial"/>
          <w:kern w:val="2"/>
          <w14:ligatures w14:val="standardContextual"/>
        </w:rPr>
        <w:t xml:space="preserve">, in only eight specimens, it was possible to estimate the sex. The small number of observations avoids establishing a correlation, however, the results concentrated lower values of microfossil density in skeletons estimated to be female. </w:t>
      </w:r>
    </w:p>
    <w:p w14:paraId="65BC6A01" w14:textId="77777777" w:rsidR="00053161" w:rsidRPr="00053161" w:rsidRDefault="00053161" w:rsidP="00443ECE">
      <w:pPr>
        <w:spacing w:after="160" w:line="278" w:lineRule="auto"/>
        <w:ind w:firstLine="720"/>
        <w:jc w:val="both"/>
        <w:rPr>
          <w:rFonts w:ascii="Arial" w:eastAsia="Aptos" w:hAnsi="Arial" w:cs="Arial"/>
          <w:kern w:val="2"/>
          <w14:ligatures w14:val="standardContextual"/>
        </w:rPr>
      </w:pPr>
      <w:r w:rsidRPr="00053161">
        <w:rPr>
          <w:rFonts w:ascii="Arial" w:eastAsia="Aptos" w:hAnsi="Arial" w:cs="Arial"/>
          <w:kern w:val="2"/>
          <w14:ligatures w14:val="standardContextual"/>
        </w:rPr>
        <w:t xml:space="preserve">When analyzing samples from cemeteries, we must consider that the specimens studied are not always synchronous, their lives and deaths may represent different periods of the group's life. Thus, variations in the individual diet may represent different strategies for obtaining food, especially in a fishing-gatherer group. In the same way, there may be differences related to the entry of individuals from other areas or groups buried in the same site. It is also possible to find differences related to specific personal events since differences determined by cultural patterns and divisions of subsistence activities are not uncommon. Isotopic studies for coastal populations in Brazil suggest such differences [64], and further </w:t>
      </w:r>
      <w:proofErr w:type="spellStart"/>
      <w:r w:rsidRPr="00053161">
        <w:rPr>
          <w:rFonts w:ascii="Arial" w:eastAsia="Aptos" w:hAnsi="Arial" w:cs="Arial"/>
          <w:kern w:val="2"/>
          <w14:ligatures w14:val="standardContextual"/>
        </w:rPr>
        <w:t>bioarchaeological</w:t>
      </w:r>
      <w:proofErr w:type="spellEnd"/>
      <w:r w:rsidRPr="00053161">
        <w:rPr>
          <w:rFonts w:ascii="Arial" w:eastAsia="Aptos" w:hAnsi="Arial" w:cs="Arial"/>
          <w:kern w:val="2"/>
          <w14:ligatures w14:val="standardContextual"/>
        </w:rPr>
        <w:t xml:space="preserve"> studies in larger series could detail interpretations of the formation of dental calculi in shell mound builder groups.</w:t>
      </w:r>
    </w:p>
    <w:p w14:paraId="520C5041" w14:textId="77777777" w:rsidR="00D031C5" w:rsidRPr="00D031C5" w:rsidRDefault="00D031C5" w:rsidP="00D031C5">
      <w:pPr>
        <w:spacing w:after="160" w:line="278" w:lineRule="auto"/>
        <w:ind w:firstLine="720"/>
        <w:jc w:val="both"/>
        <w:rPr>
          <w:rFonts w:ascii="Arial" w:eastAsia="Aptos" w:hAnsi="Arial" w:cs="Arial"/>
          <w:kern w:val="2"/>
          <w14:ligatures w14:val="standardContextual"/>
        </w:rPr>
      </w:pPr>
      <w:r w:rsidRPr="00D031C5">
        <w:rPr>
          <w:rFonts w:ascii="Arial" w:eastAsia="Aptos" w:hAnsi="Arial" w:cs="Arial"/>
          <w:kern w:val="2"/>
          <w14:ligatures w14:val="standardContextual"/>
        </w:rPr>
        <w:t>The detail of the location, the size of the calculus, the more precise record of the pictured area of the calculus surface, the plane corresponding to the broken face examined, and its proximity to the enamel surface, among other variables, can also explain the differences. The succession of microbial communities that form dental plaque conforms to an architecture that may explain quantitative variations and morphotypes. In special cases, worn-out calculi, or calculi that were partially lost during their lifetime, may present peculiar variations in their composition, and even abrupt transition zones. In future studies, it would be desirable to be able to define in advance the portion of the calculus to be removed, as well as to standardize the fracture plane for microscopic analysis, ensuring greater comparability of the results.</w:t>
      </w:r>
    </w:p>
    <w:p w14:paraId="522E4896" w14:textId="456AD159" w:rsidR="00197264" w:rsidRDefault="00FA7BFC" w:rsidP="006F2794">
      <w:pPr>
        <w:pStyle w:val="Body"/>
        <w:rPr>
          <w:rFonts w:ascii="Arial" w:hAnsi="Arial" w:cs="Arial"/>
        </w:rPr>
      </w:pPr>
      <w:r>
        <w:rPr>
          <w:rFonts w:ascii="Arial" w:hAnsi="Arial" w:cs="Arial"/>
          <w:noProof/>
        </w:rPr>
        <w:drawing>
          <wp:inline distT="0" distB="0" distL="0" distR="0" wp14:anchorId="4E2BB998" wp14:editId="40585F0E">
            <wp:extent cx="5410200" cy="3040017"/>
            <wp:effectExtent l="0" t="0" r="0" b="8255"/>
            <wp:docPr id="709401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8907" cy="3044909"/>
                    </a:xfrm>
                    <a:prstGeom prst="rect">
                      <a:avLst/>
                    </a:prstGeom>
                    <a:noFill/>
                  </pic:spPr>
                </pic:pic>
              </a:graphicData>
            </a:graphic>
          </wp:inline>
        </w:drawing>
      </w:r>
    </w:p>
    <w:p w14:paraId="4640D093" w14:textId="12FCA14F" w:rsidR="006F2794" w:rsidRPr="006F2794" w:rsidRDefault="00304EC7" w:rsidP="006F2794">
      <w:pPr>
        <w:pStyle w:val="Body"/>
        <w:rPr>
          <w:rFonts w:ascii="Arial" w:hAnsi="Arial" w:cs="Arial"/>
        </w:rPr>
      </w:pPr>
      <w:r>
        <w:rPr>
          <w:rFonts w:ascii="Arial" w:hAnsi="Arial" w:cs="Arial"/>
        </w:rPr>
        <w:lastRenderedPageBreak/>
        <w:t>Figure 5</w:t>
      </w:r>
      <w:r w:rsidR="006F2794" w:rsidRPr="006F2794">
        <w:rPr>
          <w:rFonts w:ascii="Arial" w:hAnsi="Arial" w:cs="Arial"/>
        </w:rPr>
        <w:t xml:space="preserve"> – Variation in the density of microfossils by area in the human adult dental calculi from people of the shell mound of </w:t>
      </w:r>
      <w:proofErr w:type="spellStart"/>
      <w:r w:rsidR="006F2794" w:rsidRPr="006F2794">
        <w:rPr>
          <w:rFonts w:ascii="Arial" w:hAnsi="Arial" w:cs="Arial"/>
        </w:rPr>
        <w:t>Cabeçuda</w:t>
      </w:r>
      <w:proofErr w:type="spellEnd"/>
      <w:r w:rsidR="006F2794" w:rsidRPr="006F2794">
        <w:rPr>
          <w:rFonts w:ascii="Arial" w:hAnsi="Arial" w:cs="Arial"/>
        </w:rPr>
        <w:t xml:space="preserve">, Laguna, Santa Catarina, Brazil. </w:t>
      </w:r>
    </w:p>
    <w:p w14:paraId="0ED1632D" w14:textId="77777777" w:rsidR="00E406FB" w:rsidRPr="00E406FB" w:rsidRDefault="00E406FB" w:rsidP="0032086E">
      <w:pPr>
        <w:spacing w:after="160" w:line="278" w:lineRule="auto"/>
        <w:ind w:firstLine="720"/>
        <w:jc w:val="both"/>
        <w:rPr>
          <w:rFonts w:ascii="Arial" w:eastAsia="Aptos" w:hAnsi="Arial" w:cs="Arial"/>
          <w:kern w:val="2"/>
          <w14:ligatures w14:val="standardContextual"/>
        </w:rPr>
      </w:pPr>
      <w:r w:rsidRPr="00E406FB">
        <w:rPr>
          <w:rFonts w:ascii="Arial" w:eastAsia="Aptos" w:hAnsi="Arial" w:cs="Arial"/>
          <w:kern w:val="2"/>
          <w14:ligatures w14:val="standardContextual"/>
        </w:rPr>
        <w:t xml:space="preserve">About the general aspects of the results, the pictures showed no inclusions that could be mineral debris, pollens, phytoliths, fibers, starch, or other elements introduced along with food or other. However, considering the results of Jorge (2018) [62] for </w:t>
      </w:r>
      <w:proofErr w:type="spellStart"/>
      <w:r w:rsidRPr="00E406FB">
        <w:rPr>
          <w:rFonts w:ascii="Arial" w:eastAsia="Aptos" w:hAnsi="Arial" w:cs="Arial"/>
          <w:kern w:val="2"/>
          <w14:ligatures w14:val="standardContextual"/>
        </w:rPr>
        <w:t>Cabeçuda</w:t>
      </w:r>
      <w:proofErr w:type="spellEnd"/>
      <w:r w:rsidRPr="00E406FB">
        <w:rPr>
          <w:rFonts w:ascii="Arial" w:eastAsia="Aptos" w:hAnsi="Arial" w:cs="Arial"/>
          <w:kern w:val="2"/>
          <w14:ligatures w14:val="standardContextual"/>
        </w:rPr>
        <w:t>, the almost total absence of starch was confirmed to characterize this material. Although pictures of intrusive materials of this type have been recorded in matrices of other shell mound dental calculus photographed similarly [65], the preparation of the samples in the present study, without dissolution and decalcification of the samples, would make the presence of evidence of this type.</w:t>
      </w:r>
    </w:p>
    <w:p w14:paraId="11D670FE" w14:textId="77777777" w:rsidR="00E406FB" w:rsidRPr="00E406FB" w:rsidRDefault="00E406FB" w:rsidP="0032086E">
      <w:pPr>
        <w:spacing w:after="160" w:line="278" w:lineRule="auto"/>
        <w:ind w:firstLine="720"/>
        <w:jc w:val="both"/>
        <w:rPr>
          <w:rFonts w:ascii="Arial" w:eastAsia="Aptos" w:hAnsi="Arial" w:cs="Arial"/>
          <w:kern w:val="2"/>
          <w14:ligatures w14:val="standardContextual"/>
        </w:rPr>
      </w:pPr>
      <w:r w:rsidRPr="00E406FB">
        <w:rPr>
          <w:rFonts w:ascii="Arial" w:eastAsia="Aptos" w:hAnsi="Arial" w:cs="Arial"/>
          <w:kern w:val="2"/>
          <w14:ligatures w14:val="standardContextual"/>
        </w:rPr>
        <w:t>The results obtained with the measurement of the microfossils were grouped into five morphotypes. The comparison of these morphotypes with the described metric characteristics [58, 59], allowed us to propose taxa represented in the microbial biofilm of these calculi corresponding to the following possible taxa:  Type "A"  - consistent with rod-shaped ones -   0.5</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 to 0.8</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 xml:space="preserve"> m  wide/1.0</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 to 3.5</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 xml:space="preserve">m long, corresponding to straight bacterial corpses, similar to rod-shaped, either isolated or in chains: </w:t>
      </w:r>
      <w:r w:rsidRPr="00232C8C">
        <w:rPr>
          <w:rFonts w:ascii="Arial" w:eastAsia="Aptos" w:hAnsi="Arial" w:cs="Arial"/>
          <w:i/>
          <w:iCs/>
          <w:kern w:val="2"/>
          <w14:ligatures w14:val="standardContextual"/>
        </w:rPr>
        <w:t>Lactobacillus</w:t>
      </w:r>
      <w:r w:rsidRPr="00E406FB">
        <w:rPr>
          <w:rFonts w:ascii="Arial" w:eastAsia="Aptos" w:hAnsi="Arial" w:cs="Arial"/>
          <w:kern w:val="2"/>
          <w14:ligatures w14:val="standardContextual"/>
        </w:rPr>
        <w:t xml:space="preserve"> spp., </w:t>
      </w:r>
      <w:proofErr w:type="spellStart"/>
      <w:r w:rsidRPr="00232C8C">
        <w:rPr>
          <w:rFonts w:ascii="Arial" w:eastAsia="Aptos" w:hAnsi="Arial" w:cs="Arial"/>
          <w:i/>
          <w:iCs/>
          <w:kern w:val="2"/>
          <w14:ligatures w14:val="standardContextual"/>
        </w:rPr>
        <w:t>Porphyromonas</w:t>
      </w:r>
      <w:proofErr w:type="spellEnd"/>
      <w:r w:rsidRPr="00E406FB">
        <w:rPr>
          <w:rFonts w:ascii="Arial" w:eastAsia="Aptos" w:hAnsi="Arial" w:cs="Arial"/>
          <w:kern w:val="2"/>
          <w14:ligatures w14:val="standardContextual"/>
        </w:rPr>
        <w:t xml:space="preserve"> spp., </w:t>
      </w:r>
      <w:r w:rsidRPr="00232C8C">
        <w:rPr>
          <w:rFonts w:ascii="Arial" w:eastAsia="Aptos" w:hAnsi="Arial" w:cs="Arial"/>
          <w:i/>
          <w:iCs/>
          <w:kern w:val="2"/>
          <w14:ligatures w14:val="standardContextual"/>
        </w:rPr>
        <w:t>Actinomyces</w:t>
      </w:r>
      <w:r w:rsidRPr="00E406FB">
        <w:rPr>
          <w:rFonts w:ascii="Arial" w:eastAsia="Aptos" w:hAnsi="Arial" w:cs="Arial"/>
          <w:kern w:val="2"/>
          <w14:ligatures w14:val="standardContextual"/>
        </w:rPr>
        <w:t xml:space="preserve"> spp.. Type "B" – consistent with rod-shaped ones  -  0.5</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 to 0.8</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m/1.3</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 to 3.8</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 xml:space="preserve">m long, corresponding to curved rod-shaped ones, either isolated or in chains: </w:t>
      </w:r>
      <w:r w:rsidRPr="004B5B8B">
        <w:rPr>
          <w:rFonts w:ascii="Arial" w:eastAsia="Aptos" w:hAnsi="Arial" w:cs="Arial"/>
          <w:i/>
          <w:iCs/>
          <w:kern w:val="2"/>
          <w14:ligatures w14:val="standardContextual"/>
        </w:rPr>
        <w:t>Lactobacillus</w:t>
      </w:r>
      <w:r w:rsidRPr="00E406FB">
        <w:rPr>
          <w:rFonts w:ascii="Arial" w:eastAsia="Aptos" w:hAnsi="Arial" w:cs="Arial"/>
          <w:kern w:val="2"/>
          <w14:ligatures w14:val="standardContextual"/>
        </w:rPr>
        <w:t xml:space="preserve"> spp., </w:t>
      </w:r>
      <w:proofErr w:type="spellStart"/>
      <w:r w:rsidRPr="004B5B8B">
        <w:rPr>
          <w:rFonts w:ascii="Arial" w:eastAsia="Aptos" w:hAnsi="Arial" w:cs="Arial"/>
          <w:i/>
          <w:iCs/>
          <w:kern w:val="2"/>
          <w14:ligatures w14:val="standardContextual"/>
        </w:rPr>
        <w:t>Leptotrichia</w:t>
      </w:r>
      <w:proofErr w:type="spellEnd"/>
      <w:r w:rsidRPr="00E406FB">
        <w:rPr>
          <w:rFonts w:ascii="Arial" w:eastAsia="Aptos" w:hAnsi="Arial" w:cs="Arial"/>
          <w:kern w:val="2"/>
          <w14:ligatures w14:val="standardContextual"/>
        </w:rPr>
        <w:t xml:space="preserve"> spp. Type "C" – probably cocci – diameter varying from 0.5</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 to 1.3</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 xml:space="preserve">m, isolated: </w:t>
      </w:r>
      <w:proofErr w:type="spellStart"/>
      <w:r w:rsidRPr="004B5B8B">
        <w:rPr>
          <w:rFonts w:ascii="Arial" w:eastAsia="Aptos" w:hAnsi="Arial" w:cs="Arial"/>
          <w:i/>
          <w:iCs/>
          <w:kern w:val="2"/>
          <w14:ligatures w14:val="standardContextual"/>
        </w:rPr>
        <w:t>Rothia</w:t>
      </w:r>
      <w:proofErr w:type="spellEnd"/>
      <w:r w:rsidRPr="00E406FB">
        <w:rPr>
          <w:rFonts w:ascii="Arial" w:eastAsia="Aptos" w:hAnsi="Arial" w:cs="Arial"/>
          <w:kern w:val="2"/>
          <w14:ligatures w14:val="standardContextual"/>
        </w:rPr>
        <w:t xml:space="preserve"> spp., </w:t>
      </w:r>
      <w:r w:rsidRPr="004B5B8B">
        <w:rPr>
          <w:rFonts w:ascii="Arial" w:eastAsia="Aptos" w:hAnsi="Arial" w:cs="Arial"/>
          <w:i/>
          <w:iCs/>
          <w:kern w:val="2"/>
          <w14:ligatures w14:val="standardContextual"/>
        </w:rPr>
        <w:t>Neisseria</w:t>
      </w:r>
      <w:r w:rsidRPr="00E406FB">
        <w:rPr>
          <w:rFonts w:ascii="Arial" w:eastAsia="Aptos" w:hAnsi="Arial" w:cs="Arial"/>
          <w:kern w:val="2"/>
          <w14:ligatures w14:val="standardContextual"/>
        </w:rPr>
        <w:t xml:space="preserve"> spp., </w:t>
      </w:r>
      <w:r w:rsidRPr="004B5B8B">
        <w:rPr>
          <w:rFonts w:ascii="Arial" w:eastAsia="Aptos" w:hAnsi="Arial" w:cs="Arial"/>
          <w:i/>
          <w:iCs/>
          <w:kern w:val="2"/>
          <w14:ligatures w14:val="standardContextual"/>
        </w:rPr>
        <w:t>Staphylococcus</w:t>
      </w:r>
      <w:r w:rsidRPr="00E406FB">
        <w:rPr>
          <w:rFonts w:ascii="Arial" w:eastAsia="Aptos" w:hAnsi="Arial" w:cs="Arial"/>
          <w:kern w:val="2"/>
          <w14:ligatures w14:val="standardContextual"/>
        </w:rPr>
        <w:t xml:space="preserve"> spp. Type "D" – probably cocci – diameter varying from 0.5</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 to 0.8</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 xml:space="preserve">m, spherical bacterial corpus in chains: </w:t>
      </w:r>
      <w:proofErr w:type="spellStart"/>
      <w:r w:rsidRPr="004B5B8B">
        <w:rPr>
          <w:rFonts w:ascii="Arial" w:eastAsia="Aptos" w:hAnsi="Arial" w:cs="Arial"/>
          <w:i/>
          <w:iCs/>
          <w:kern w:val="2"/>
          <w14:ligatures w14:val="standardContextual"/>
        </w:rPr>
        <w:t>Rothia</w:t>
      </w:r>
      <w:proofErr w:type="spellEnd"/>
      <w:r w:rsidRPr="00E406FB">
        <w:rPr>
          <w:rFonts w:ascii="Arial" w:eastAsia="Aptos" w:hAnsi="Arial" w:cs="Arial"/>
          <w:kern w:val="2"/>
          <w14:ligatures w14:val="standardContextual"/>
        </w:rPr>
        <w:t xml:space="preserve"> spp., </w:t>
      </w:r>
      <w:r w:rsidRPr="004B5B8B">
        <w:rPr>
          <w:rFonts w:ascii="Arial" w:eastAsia="Aptos" w:hAnsi="Arial" w:cs="Arial"/>
          <w:i/>
          <w:iCs/>
          <w:kern w:val="2"/>
          <w14:ligatures w14:val="standardContextual"/>
        </w:rPr>
        <w:t>Neisseria</w:t>
      </w:r>
      <w:r w:rsidRPr="00E406FB">
        <w:rPr>
          <w:rFonts w:ascii="Arial" w:eastAsia="Aptos" w:hAnsi="Arial" w:cs="Arial"/>
          <w:kern w:val="2"/>
          <w14:ligatures w14:val="standardContextual"/>
        </w:rPr>
        <w:t xml:space="preserve"> spp., </w:t>
      </w:r>
      <w:proofErr w:type="spellStart"/>
      <w:r w:rsidRPr="004B5B8B">
        <w:rPr>
          <w:rFonts w:ascii="Arial" w:eastAsia="Aptos" w:hAnsi="Arial" w:cs="Arial"/>
          <w:i/>
          <w:iCs/>
          <w:kern w:val="2"/>
          <w14:ligatures w14:val="standardContextual"/>
        </w:rPr>
        <w:t>Vellonella</w:t>
      </w:r>
      <w:proofErr w:type="spellEnd"/>
      <w:r w:rsidRPr="00E406FB">
        <w:rPr>
          <w:rFonts w:ascii="Arial" w:eastAsia="Aptos" w:hAnsi="Arial" w:cs="Arial"/>
          <w:kern w:val="2"/>
          <w14:ligatures w14:val="standardContextual"/>
        </w:rPr>
        <w:t xml:space="preserve"> spp., </w:t>
      </w:r>
      <w:proofErr w:type="spellStart"/>
      <w:r w:rsidRPr="004B5B8B">
        <w:rPr>
          <w:rFonts w:ascii="Arial" w:eastAsia="Aptos" w:hAnsi="Arial" w:cs="Arial"/>
          <w:i/>
          <w:iCs/>
          <w:kern w:val="2"/>
          <w14:ligatures w14:val="standardContextual"/>
        </w:rPr>
        <w:t>Peptrostreptococcus</w:t>
      </w:r>
      <w:proofErr w:type="spellEnd"/>
      <w:r w:rsidRPr="00E406FB">
        <w:rPr>
          <w:rFonts w:ascii="Arial" w:eastAsia="Aptos" w:hAnsi="Arial" w:cs="Arial"/>
          <w:kern w:val="2"/>
          <w14:ligatures w14:val="standardContextual"/>
        </w:rPr>
        <w:t xml:space="preserve"> spp., </w:t>
      </w:r>
      <w:r w:rsidRPr="004B5B8B">
        <w:rPr>
          <w:rFonts w:ascii="Arial" w:eastAsia="Aptos" w:hAnsi="Arial" w:cs="Arial"/>
          <w:i/>
          <w:iCs/>
          <w:kern w:val="2"/>
          <w14:ligatures w14:val="standardContextual"/>
        </w:rPr>
        <w:t>Streptococcus</w:t>
      </w:r>
      <w:r w:rsidRPr="00E406FB">
        <w:rPr>
          <w:rFonts w:ascii="Arial" w:eastAsia="Aptos" w:hAnsi="Arial" w:cs="Arial"/>
          <w:kern w:val="2"/>
          <w14:ligatures w14:val="standardContextual"/>
        </w:rPr>
        <w:t xml:space="preserve"> spp. Type "E" -  probably cocci – diameter varying from 0.5</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m to 0.8</w:t>
      </w:r>
      <w:r w:rsidRPr="00E406FB">
        <w:rPr>
          <w:rFonts w:ascii="Arial" w:eastAsia="Aptos" w:hAnsi="Arial" w:cs="Arial"/>
          <w:kern w:val="2"/>
          <w:lang w:val="pt-PT"/>
          <w14:ligatures w14:val="standardContextual"/>
        </w:rPr>
        <w:t>μ</w:t>
      </w:r>
      <w:r w:rsidRPr="00E406FB">
        <w:rPr>
          <w:rFonts w:ascii="Arial" w:eastAsia="Aptos" w:hAnsi="Arial" w:cs="Arial"/>
          <w:kern w:val="2"/>
          <w14:ligatures w14:val="standardContextual"/>
        </w:rPr>
        <w:t xml:space="preserve">m, doubled or tetrads groups of spherical bacterial corpus:  </w:t>
      </w:r>
      <w:proofErr w:type="spellStart"/>
      <w:r w:rsidRPr="004B5B8B">
        <w:rPr>
          <w:rFonts w:ascii="Arial" w:eastAsia="Aptos" w:hAnsi="Arial" w:cs="Arial"/>
          <w:i/>
          <w:iCs/>
          <w:kern w:val="2"/>
          <w14:ligatures w14:val="standardContextual"/>
        </w:rPr>
        <w:t>Rothia</w:t>
      </w:r>
      <w:proofErr w:type="spellEnd"/>
      <w:r w:rsidRPr="00E406FB">
        <w:rPr>
          <w:rFonts w:ascii="Arial" w:eastAsia="Aptos" w:hAnsi="Arial" w:cs="Arial"/>
          <w:kern w:val="2"/>
          <w14:ligatures w14:val="standardContextual"/>
        </w:rPr>
        <w:t xml:space="preserve"> spp.; </w:t>
      </w:r>
      <w:r w:rsidRPr="004B5B8B">
        <w:rPr>
          <w:rFonts w:ascii="Arial" w:eastAsia="Aptos" w:hAnsi="Arial" w:cs="Arial"/>
          <w:i/>
          <w:iCs/>
          <w:kern w:val="2"/>
          <w14:ligatures w14:val="standardContextual"/>
        </w:rPr>
        <w:t>Neisseria</w:t>
      </w:r>
      <w:r w:rsidRPr="00E406FB">
        <w:rPr>
          <w:rFonts w:ascii="Arial" w:eastAsia="Aptos" w:hAnsi="Arial" w:cs="Arial"/>
          <w:kern w:val="2"/>
          <w14:ligatures w14:val="standardContextual"/>
        </w:rPr>
        <w:t xml:space="preserve"> spp., </w:t>
      </w:r>
      <w:r w:rsidRPr="004B5B8B">
        <w:rPr>
          <w:rFonts w:ascii="Arial" w:eastAsia="Aptos" w:hAnsi="Arial" w:cs="Arial"/>
          <w:i/>
          <w:iCs/>
          <w:kern w:val="2"/>
          <w14:ligatures w14:val="standardContextual"/>
        </w:rPr>
        <w:t>Staphylococcus</w:t>
      </w:r>
      <w:r w:rsidRPr="00E406FB">
        <w:rPr>
          <w:rFonts w:ascii="Arial" w:eastAsia="Aptos" w:hAnsi="Arial" w:cs="Arial"/>
          <w:kern w:val="2"/>
          <w14:ligatures w14:val="standardContextual"/>
        </w:rPr>
        <w:t xml:space="preserve"> spp. </w:t>
      </w:r>
    </w:p>
    <w:p w14:paraId="6AB98A3A" w14:textId="77777777" w:rsidR="00E406FB" w:rsidRPr="00E406FB" w:rsidRDefault="00E406FB" w:rsidP="0032086E">
      <w:pPr>
        <w:spacing w:after="160" w:line="278" w:lineRule="auto"/>
        <w:ind w:firstLine="720"/>
        <w:jc w:val="both"/>
        <w:rPr>
          <w:rFonts w:ascii="Arial" w:eastAsia="Aptos" w:hAnsi="Arial" w:cs="Arial"/>
          <w:kern w:val="2"/>
          <w14:ligatures w14:val="standardContextual"/>
        </w:rPr>
      </w:pPr>
      <w:r w:rsidRPr="00E406FB">
        <w:rPr>
          <w:rFonts w:ascii="Arial" w:eastAsia="Aptos" w:hAnsi="Arial" w:cs="Arial"/>
          <w:kern w:val="2"/>
          <w14:ligatures w14:val="standardContextual"/>
        </w:rPr>
        <w:t xml:space="preserve">Since the way of preparing the calculations for microscopy did not allow full three-dimensional visualization of the microfossils, it was admitted that some of the proposed gender, </w:t>
      </w:r>
      <w:r w:rsidRPr="004B5B8B">
        <w:rPr>
          <w:rFonts w:ascii="Arial" w:eastAsia="Aptos" w:hAnsi="Arial" w:cs="Arial"/>
          <w:i/>
          <w:iCs/>
          <w:kern w:val="2"/>
          <w14:ligatures w14:val="standardContextual"/>
        </w:rPr>
        <w:t>Lactobacillus</w:t>
      </w:r>
      <w:r w:rsidRPr="00E406FB">
        <w:rPr>
          <w:rFonts w:ascii="Arial" w:eastAsia="Aptos" w:hAnsi="Arial" w:cs="Arial"/>
          <w:kern w:val="2"/>
          <w14:ligatures w14:val="standardContextual"/>
        </w:rPr>
        <w:t xml:space="preserve"> among the rod-shaped, and </w:t>
      </w:r>
      <w:proofErr w:type="spellStart"/>
      <w:r w:rsidRPr="004B5B8B">
        <w:rPr>
          <w:rFonts w:ascii="Arial" w:eastAsia="Aptos" w:hAnsi="Arial" w:cs="Arial"/>
          <w:i/>
          <w:iCs/>
          <w:kern w:val="2"/>
          <w14:ligatures w14:val="standardContextual"/>
        </w:rPr>
        <w:t>Rothia</w:t>
      </w:r>
      <w:proofErr w:type="spellEnd"/>
      <w:r w:rsidRPr="00E406FB">
        <w:rPr>
          <w:rFonts w:ascii="Arial" w:eastAsia="Aptos" w:hAnsi="Arial" w:cs="Arial"/>
          <w:kern w:val="2"/>
          <w14:ligatures w14:val="standardContextual"/>
        </w:rPr>
        <w:t xml:space="preserve">, </w:t>
      </w:r>
      <w:r w:rsidRPr="004B5B8B">
        <w:rPr>
          <w:rFonts w:ascii="Arial" w:eastAsia="Aptos" w:hAnsi="Arial" w:cs="Arial"/>
          <w:i/>
          <w:iCs/>
          <w:kern w:val="2"/>
          <w14:ligatures w14:val="standardContextual"/>
        </w:rPr>
        <w:t>Neisseria</w:t>
      </w:r>
      <w:r w:rsidRPr="00E406FB">
        <w:rPr>
          <w:rFonts w:ascii="Arial" w:eastAsia="Aptos" w:hAnsi="Arial" w:cs="Arial"/>
          <w:kern w:val="2"/>
          <w14:ligatures w14:val="standardContextual"/>
        </w:rPr>
        <w:t xml:space="preserve">, and </w:t>
      </w:r>
      <w:r w:rsidRPr="004B5B8B">
        <w:rPr>
          <w:rFonts w:ascii="Arial" w:eastAsia="Aptos" w:hAnsi="Arial" w:cs="Arial"/>
          <w:i/>
          <w:iCs/>
          <w:kern w:val="2"/>
          <w14:ligatures w14:val="standardContextual"/>
        </w:rPr>
        <w:t>Staphylococcus</w:t>
      </w:r>
      <w:r w:rsidRPr="00E406FB">
        <w:rPr>
          <w:rFonts w:ascii="Arial" w:eastAsia="Aptos" w:hAnsi="Arial" w:cs="Arial"/>
          <w:kern w:val="2"/>
          <w14:ligatures w14:val="standardContextual"/>
        </w:rPr>
        <w:t xml:space="preserve"> among the cocci, could be classified in more than one morphotype, depending on the perspective in which they were visualized and their three-dimensional arrangements.  </w:t>
      </w:r>
    </w:p>
    <w:p w14:paraId="1F0CC89A" w14:textId="771A34F3" w:rsidR="00E406FB" w:rsidRDefault="00E406FB" w:rsidP="00FA23C3">
      <w:pPr>
        <w:pStyle w:val="Body"/>
        <w:spacing w:line="276" w:lineRule="auto"/>
        <w:ind w:firstLine="720"/>
        <w:rPr>
          <w:rFonts w:ascii="Arial" w:hAnsi="Arial" w:cs="Arial"/>
        </w:rPr>
      </w:pPr>
      <w:r w:rsidRPr="00E406FB">
        <w:rPr>
          <w:rFonts w:ascii="Arial" w:eastAsia="Aptos" w:hAnsi="Arial" w:cs="Arial"/>
          <w:kern w:val="2"/>
          <w14:ligatures w14:val="standardContextual"/>
        </w:rPr>
        <w:t xml:space="preserve">Although they are described by different authors [6, 19, 66, 67], their possible presence in the human dental calculus of the </w:t>
      </w:r>
      <w:proofErr w:type="spellStart"/>
      <w:r w:rsidRPr="00E406FB">
        <w:rPr>
          <w:rFonts w:ascii="Arial" w:eastAsia="Aptos" w:hAnsi="Arial" w:cs="Arial"/>
          <w:kern w:val="2"/>
          <w14:ligatures w14:val="standardContextual"/>
        </w:rPr>
        <w:t>Cabeçuda</w:t>
      </w:r>
      <w:proofErr w:type="spellEnd"/>
      <w:r w:rsidRPr="00E406FB">
        <w:rPr>
          <w:rFonts w:ascii="Arial" w:eastAsia="Aptos" w:hAnsi="Arial" w:cs="Arial"/>
          <w:kern w:val="2"/>
          <w14:ligatures w14:val="standardContextual"/>
        </w:rPr>
        <w:t xml:space="preserve"> shell mound was proposed based only on general morphological aspects. Limitations resulting from the image perspective should be considered</w:t>
      </w:r>
      <w:r w:rsidR="00FA23C3">
        <w:rPr>
          <w:rFonts w:ascii="Arial" w:eastAsia="Aptos" w:hAnsi="Arial" w:cs="Arial"/>
          <w:kern w:val="2"/>
          <w14:ligatures w14:val="standardContextual"/>
        </w:rPr>
        <w:t>.</w:t>
      </w:r>
    </w:p>
    <w:p w14:paraId="5B2C9BE2" w14:textId="6A6542C4" w:rsidR="00FE3073" w:rsidRPr="00FE3073" w:rsidRDefault="00FE3073" w:rsidP="00FE3073">
      <w:pPr>
        <w:spacing w:after="160" w:line="278" w:lineRule="auto"/>
        <w:ind w:firstLine="720"/>
        <w:jc w:val="both"/>
        <w:rPr>
          <w:rFonts w:ascii="Arial" w:eastAsia="Aptos" w:hAnsi="Arial" w:cs="Arial"/>
          <w:kern w:val="2"/>
          <w14:ligatures w14:val="standardContextual"/>
        </w:rPr>
      </w:pPr>
      <w:r w:rsidRPr="00FE3073">
        <w:rPr>
          <w:rFonts w:ascii="Arial" w:eastAsia="Aptos" w:hAnsi="Arial" w:cs="Arial"/>
          <w:kern w:val="2"/>
          <w14:ligatures w14:val="standardContextual"/>
        </w:rPr>
        <w:t xml:space="preserve">Since the measurements could be made only in part of the microfossils, because part of them were either broken or embedded in the </w:t>
      </w:r>
      <w:proofErr w:type="spellStart"/>
      <w:r w:rsidRPr="00FE3073">
        <w:rPr>
          <w:rFonts w:ascii="Arial" w:eastAsia="Aptos" w:hAnsi="Arial" w:cs="Arial"/>
          <w:kern w:val="2"/>
          <w14:ligatures w14:val="standardContextual"/>
        </w:rPr>
        <w:t>phosphocalcium</w:t>
      </w:r>
      <w:proofErr w:type="spellEnd"/>
      <w:r w:rsidRPr="00FE3073">
        <w:rPr>
          <w:rFonts w:ascii="Arial" w:eastAsia="Aptos" w:hAnsi="Arial" w:cs="Arial"/>
          <w:kern w:val="2"/>
          <w14:ligatures w14:val="standardContextual"/>
        </w:rPr>
        <w:t xml:space="preserve"> matrix, the </w:t>
      </w:r>
      <w:proofErr w:type="gramStart"/>
      <w:r w:rsidRPr="00FE3073">
        <w:rPr>
          <w:rFonts w:ascii="Arial" w:eastAsia="Aptos" w:hAnsi="Arial" w:cs="Arial"/>
          <w:kern w:val="2"/>
          <w14:ligatures w14:val="standardContextual"/>
        </w:rPr>
        <w:t>amount</w:t>
      </w:r>
      <w:proofErr w:type="gramEnd"/>
      <w:r w:rsidRPr="00FE3073">
        <w:rPr>
          <w:rFonts w:ascii="Arial" w:eastAsia="Aptos" w:hAnsi="Arial" w:cs="Arial"/>
          <w:kern w:val="2"/>
          <w14:ligatures w14:val="standardContextual"/>
        </w:rPr>
        <w:t xml:space="preserve"> of microfossils available for analysis was reduced, which also hindered the recording of variability. The complete disaggregation of the calculus, initially attempted by ultrasound, would certainly favor the morphotype count to be increased, making its measurement and identification more precise. Following laboratory tests will help with technique adjustments and possible successful results in the future. Although taphonom</w:t>
      </w:r>
      <w:r>
        <w:rPr>
          <w:rFonts w:ascii="Arial" w:eastAsia="Aptos" w:hAnsi="Arial" w:cs="Arial"/>
          <w:kern w:val="2"/>
          <w14:ligatures w14:val="standardContextual"/>
        </w:rPr>
        <w:t>y</w:t>
      </w:r>
      <w:r w:rsidRPr="00FE3073">
        <w:rPr>
          <w:rFonts w:ascii="Arial" w:eastAsia="Aptos" w:hAnsi="Arial" w:cs="Arial"/>
          <w:kern w:val="2"/>
          <w14:ligatures w14:val="standardContextual"/>
        </w:rPr>
        <w:t xml:space="preserve"> aspects should probably be considered, the complete exposure of the microfossils, after release of the matrix, would certainly allow the observation of additional morphological details and variability, in addition to allowing the more precise estimation of their proportion in each sample.  </w:t>
      </w:r>
    </w:p>
    <w:p w14:paraId="59651148" w14:textId="22B312FB" w:rsidR="00FE3073" w:rsidRPr="00FE3073" w:rsidRDefault="00FE3073" w:rsidP="00FE3073">
      <w:pPr>
        <w:spacing w:after="160" w:line="278" w:lineRule="auto"/>
        <w:jc w:val="both"/>
        <w:rPr>
          <w:rFonts w:ascii="Arial" w:eastAsia="Aptos" w:hAnsi="Arial" w:cs="Arial"/>
          <w:kern w:val="2"/>
          <w14:ligatures w14:val="standardContextual"/>
        </w:rPr>
      </w:pPr>
      <w:r w:rsidRPr="00FE3073">
        <w:rPr>
          <w:rFonts w:ascii="Arial" w:eastAsia="Aptos" w:hAnsi="Arial" w:cs="Arial"/>
          <w:kern w:val="2"/>
          <w14:ligatures w14:val="standardContextual"/>
        </w:rPr>
        <w:lastRenderedPageBreak/>
        <w:t xml:space="preserve"> </w:t>
      </w:r>
      <w:r>
        <w:rPr>
          <w:rFonts w:ascii="Arial" w:eastAsia="Aptos" w:hAnsi="Arial" w:cs="Arial"/>
          <w:kern w:val="2"/>
          <w14:ligatures w14:val="standardContextual"/>
        </w:rPr>
        <w:tab/>
      </w:r>
      <w:r w:rsidRPr="00FE3073">
        <w:rPr>
          <w:rFonts w:ascii="Arial" w:eastAsia="Aptos" w:hAnsi="Arial" w:cs="Arial"/>
          <w:kern w:val="2"/>
          <w14:ligatures w14:val="standardContextual"/>
        </w:rPr>
        <w:t xml:space="preserve">The possible presence of </w:t>
      </w:r>
      <w:r w:rsidRPr="004B5B8B">
        <w:rPr>
          <w:rFonts w:ascii="Arial" w:eastAsia="Aptos" w:hAnsi="Arial" w:cs="Arial"/>
          <w:i/>
          <w:iCs/>
          <w:kern w:val="2"/>
          <w14:ligatures w14:val="standardContextual"/>
        </w:rPr>
        <w:t>Streptococcus</w:t>
      </w:r>
      <w:r w:rsidRPr="00FE3073">
        <w:rPr>
          <w:rFonts w:ascii="Arial" w:eastAsia="Aptos" w:hAnsi="Arial" w:cs="Arial"/>
          <w:kern w:val="2"/>
          <w14:ligatures w14:val="standardContextual"/>
        </w:rPr>
        <w:t xml:space="preserve">, with known cariogenic potential, deserves consideration. It should be remembered that the mere presence of the taxon would be insufficient to determine the occurrence of caries, which would make it important to investigate the proportion in which microfossils morphologically compatible with this genus occur, and why they may, or may not, exercise their cariogenic potential. Knowing the number of possible morphotypes and the way they are distributed in the samples studied would help to interpret the findings [66]. </w:t>
      </w:r>
    </w:p>
    <w:p w14:paraId="1554CB61" w14:textId="66F9A96B" w:rsidR="00FE3073" w:rsidRPr="00FE3073" w:rsidRDefault="00FE3073" w:rsidP="00FE3073">
      <w:pPr>
        <w:spacing w:after="160" w:line="278" w:lineRule="auto"/>
        <w:ind w:firstLine="720"/>
        <w:jc w:val="both"/>
        <w:rPr>
          <w:rFonts w:ascii="Arial" w:eastAsia="Aptos" w:hAnsi="Arial" w:cs="Arial"/>
          <w:kern w:val="2"/>
          <w14:ligatures w14:val="standardContextual"/>
        </w:rPr>
      </w:pPr>
      <w:r w:rsidRPr="00FE3073">
        <w:rPr>
          <w:rFonts w:ascii="Arial" w:eastAsia="Aptos" w:hAnsi="Arial" w:cs="Arial"/>
          <w:kern w:val="2"/>
          <w14:ligatures w14:val="standardContextual"/>
        </w:rPr>
        <w:t>Despite the care with which the microfossils were examined</w:t>
      </w:r>
      <w:r w:rsidR="000A1584">
        <w:rPr>
          <w:rFonts w:ascii="Arial" w:eastAsia="Aptos" w:hAnsi="Arial" w:cs="Arial"/>
          <w:kern w:val="2"/>
          <w14:ligatures w14:val="standardContextual"/>
        </w:rPr>
        <w:t>,</w:t>
      </w:r>
      <w:r w:rsidRPr="00FE3073">
        <w:rPr>
          <w:rFonts w:ascii="Arial" w:eastAsia="Aptos" w:hAnsi="Arial" w:cs="Arial"/>
          <w:kern w:val="2"/>
          <w14:ligatures w14:val="standardContextual"/>
        </w:rPr>
        <w:t xml:space="preserve"> the morphotypes identified did not coincide with shapes that could suggest </w:t>
      </w:r>
      <w:r w:rsidRPr="004B5B8B">
        <w:rPr>
          <w:rFonts w:ascii="Arial" w:eastAsia="Aptos" w:hAnsi="Arial" w:cs="Arial"/>
          <w:i/>
          <w:iCs/>
          <w:kern w:val="2"/>
          <w14:ligatures w14:val="standardContextual"/>
        </w:rPr>
        <w:t>Vibrio</w:t>
      </w:r>
      <w:r w:rsidRPr="00FE3073">
        <w:rPr>
          <w:rFonts w:ascii="Arial" w:eastAsia="Aptos" w:hAnsi="Arial" w:cs="Arial"/>
          <w:kern w:val="2"/>
          <w14:ligatures w14:val="standardContextual"/>
        </w:rPr>
        <w:t xml:space="preserve"> sp. </w:t>
      </w:r>
      <w:r w:rsidR="00FB6206" w:rsidRPr="00FE3073">
        <w:rPr>
          <w:rFonts w:ascii="Arial" w:eastAsia="Aptos" w:hAnsi="Arial" w:cs="Arial"/>
          <w:kern w:val="2"/>
          <w14:ligatures w14:val="standardContextual"/>
        </w:rPr>
        <w:t xml:space="preserve">These </w:t>
      </w:r>
      <w:proofErr w:type="spellStart"/>
      <w:r w:rsidR="00FB6206">
        <w:rPr>
          <w:rFonts w:ascii="Arial" w:eastAsia="Aptos" w:hAnsi="Arial" w:cs="Arial"/>
          <w:kern w:val="2"/>
          <w14:ligatures w14:val="standardContextual"/>
        </w:rPr>
        <w:t>V</w:t>
      </w:r>
      <w:r w:rsidR="00FB6206" w:rsidRPr="00FE3073">
        <w:rPr>
          <w:rFonts w:ascii="Arial" w:eastAsia="Aptos" w:hAnsi="Arial" w:cs="Arial"/>
          <w:kern w:val="2"/>
          <w14:ligatures w14:val="standardContextual"/>
        </w:rPr>
        <w:t>ibrios</w:t>
      </w:r>
      <w:proofErr w:type="spellEnd"/>
      <w:r w:rsidRPr="00FE3073">
        <w:rPr>
          <w:rFonts w:ascii="Arial" w:eastAsia="Aptos" w:hAnsi="Arial" w:cs="Arial"/>
          <w:kern w:val="2"/>
          <w14:ligatures w14:val="standardContextual"/>
        </w:rPr>
        <w:t xml:space="preserve"> have been described for decades in the biofilms that form dental plaques [19, 34, 67, 68, 69], and their presence and caries-modulating role have been reiterated by Santos (1978) [39] in Brazil. Other problems caused by saline water </w:t>
      </w:r>
      <w:r w:rsidR="003B2511" w:rsidRPr="004B5B8B">
        <w:rPr>
          <w:rFonts w:ascii="Arial" w:eastAsia="Aptos" w:hAnsi="Arial" w:cs="Arial"/>
          <w:i/>
          <w:iCs/>
          <w:kern w:val="2"/>
          <w14:ligatures w14:val="standardContextual"/>
        </w:rPr>
        <w:t>V</w:t>
      </w:r>
      <w:r w:rsidRPr="004B5B8B">
        <w:rPr>
          <w:rFonts w:ascii="Arial" w:eastAsia="Aptos" w:hAnsi="Arial" w:cs="Arial"/>
          <w:i/>
          <w:iCs/>
          <w:kern w:val="2"/>
          <w14:ligatures w14:val="standardContextual"/>
        </w:rPr>
        <w:t>ibrio</w:t>
      </w:r>
      <w:r w:rsidRPr="00FE3073">
        <w:rPr>
          <w:rFonts w:ascii="Arial" w:eastAsia="Aptos" w:hAnsi="Arial" w:cs="Arial"/>
          <w:kern w:val="2"/>
          <w14:ligatures w14:val="standardContextual"/>
        </w:rPr>
        <w:t xml:space="preserve"> have been reported in public health [56]. However, despite the hypothesis that motivated the study in this coastal sample, no image analyzed suggested morphology that resembled </w:t>
      </w:r>
      <w:r w:rsidR="003B2511" w:rsidRPr="004B5B8B">
        <w:rPr>
          <w:rFonts w:ascii="Arial" w:eastAsia="Aptos" w:hAnsi="Arial" w:cs="Arial"/>
          <w:i/>
          <w:iCs/>
          <w:kern w:val="2"/>
          <w14:ligatures w14:val="standardContextual"/>
        </w:rPr>
        <w:t>V</w:t>
      </w:r>
      <w:r w:rsidRPr="004B5B8B">
        <w:rPr>
          <w:rFonts w:ascii="Arial" w:eastAsia="Aptos" w:hAnsi="Arial" w:cs="Arial"/>
          <w:i/>
          <w:iCs/>
          <w:kern w:val="2"/>
          <w14:ligatures w14:val="standardContextual"/>
        </w:rPr>
        <w:t>ibrio</w:t>
      </w:r>
      <w:r w:rsidRPr="00FE3073">
        <w:rPr>
          <w:rFonts w:ascii="Arial" w:eastAsia="Aptos" w:hAnsi="Arial" w:cs="Arial"/>
          <w:kern w:val="2"/>
          <w14:ligatures w14:val="standardContextual"/>
        </w:rPr>
        <w:t>. Previously, a microfossil with a compatible aspect was observed in a SEM image of a specimen of the shell mound from Forte Marechal Luz, also from Santa Catarina, Brazil</w:t>
      </w:r>
      <w:r w:rsidR="003D463A">
        <w:rPr>
          <w:rFonts w:ascii="Arial" w:eastAsia="Aptos" w:hAnsi="Arial" w:cs="Arial"/>
          <w:kern w:val="2"/>
          <w14:ligatures w14:val="standardContextual"/>
        </w:rPr>
        <w:t xml:space="preserve"> [65].</w:t>
      </w:r>
    </w:p>
    <w:p w14:paraId="710B0201" w14:textId="38966FAB" w:rsidR="00FE3073" w:rsidRPr="00FE3073" w:rsidRDefault="00FE3073" w:rsidP="00A977C7">
      <w:pPr>
        <w:spacing w:after="160" w:line="278" w:lineRule="auto"/>
        <w:ind w:firstLine="720"/>
        <w:jc w:val="both"/>
        <w:rPr>
          <w:rFonts w:ascii="Arial" w:eastAsia="Aptos" w:hAnsi="Arial" w:cs="Arial"/>
          <w:kern w:val="2"/>
          <w14:ligatures w14:val="standardContextual"/>
        </w:rPr>
      </w:pPr>
      <w:r w:rsidRPr="00FE3073">
        <w:rPr>
          <w:rFonts w:ascii="Arial" w:eastAsia="Aptos" w:hAnsi="Arial" w:cs="Arial"/>
          <w:kern w:val="2"/>
          <w14:ligatures w14:val="standardContextual"/>
        </w:rPr>
        <w:t>The calculi used in the present study represent</w:t>
      </w:r>
      <w:r w:rsidR="00A977C7">
        <w:rPr>
          <w:rFonts w:ascii="Arial" w:eastAsia="Aptos" w:hAnsi="Arial" w:cs="Arial"/>
          <w:kern w:val="2"/>
          <w14:ligatures w14:val="standardContextual"/>
        </w:rPr>
        <w:t>s</w:t>
      </w:r>
      <w:r w:rsidRPr="00FE3073">
        <w:rPr>
          <w:rFonts w:ascii="Arial" w:eastAsia="Aptos" w:hAnsi="Arial" w:cs="Arial"/>
          <w:kern w:val="2"/>
          <w14:ligatures w14:val="standardContextual"/>
        </w:rPr>
        <w:t xml:space="preserve"> only supragingival areas of the teeth, which may explain the absence of the Vibrio morphology. Biofilm is variable in different areas of the teeth and mouth, the anatomic location of this genus is the subgingival area [70]. New experiments should be carried out to improve </w:t>
      </w:r>
      <w:r w:rsidR="00A977C7" w:rsidRPr="00FE3073">
        <w:rPr>
          <w:rFonts w:ascii="Arial" w:eastAsia="Aptos" w:hAnsi="Arial" w:cs="Arial"/>
          <w:kern w:val="2"/>
          <w14:ligatures w14:val="standardContextual"/>
        </w:rPr>
        <w:t>techniques</w:t>
      </w:r>
      <w:r w:rsidRPr="00FE3073">
        <w:rPr>
          <w:rFonts w:ascii="Arial" w:eastAsia="Aptos" w:hAnsi="Arial" w:cs="Arial"/>
          <w:kern w:val="2"/>
          <w14:ligatures w14:val="standardContextual"/>
        </w:rPr>
        <w:t xml:space="preserve"> for preparation and analysis of the calculus. </w:t>
      </w:r>
    </w:p>
    <w:p w14:paraId="45B927C0" w14:textId="77777777" w:rsidR="0030085D" w:rsidRPr="0030085D" w:rsidRDefault="0030085D" w:rsidP="0030085D">
      <w:pPr>
        <w:spacing w:after="160" w:line="278" w:lineRule="auto"/>
        <w:ind w:firstLine="720"/>
        <w:jc w:val="both"/>
        <w:rPr>
          <w:rFonts w:ascii="Arial" w:eastAsia="Aptos" w:hAnsi="Arial" w:cs="Arial"/>
          <w:kern w:val="2"/>
          <w14:ligatures w14:val="standardContextual"/>
        </w:rPr>
      </w:pPr>
      <w:r w:rsidRPr="0030085D">
        <w:rPr>
          <w:rFonts w:ascii="Arial" w:eastAsia="Aptos" w:hAnsi="Arial" w:cs="Arial"/>
          <w:kern w:val="2"/>
          <w14:ligatures w14:val="standardContextual"/>
        </w:rPr>
        <w:t xml:space="preserve">It is important to continue looking for ways to confirm the presence of Vibrio in the samples from this archaeological site. That possible </w:t>
      </w:r>
      <w:proofErr w:type="spellStart"/>
      <w:r w:rsidRPr="0030085D">
        <w:rPr>
          <w:rFonts w:ascii="Arial" w:eastAsia="Aptos" w:hAnsi="Arial" w:cs="Arial"/>
          <w:kern w:val="2"/>
          <w14:ligatures w14:val="standardContextual"/>
        </w:rPr>
        <w:t>paleoepidemiologic</w:t>
      </w:r>
      <w:proofErr w:type="spellEnd"/>
      <w:r w:rsidRPr="0030085D">
        <w:rPr>
          <w:rFonts w:ascii="Arial" w:eastAsia="Aptos" w:hAnsi="Arial" w:cs="Arial"/>
          <w:kern w:val="2"/>
          <w14:ligatures w14:val="standardContextual"/>
        </w:rPr>
        <w:t xml:space="preserve"> evidence of these additional mechanisms would justify the low frequency/absence of dental caries in the shell mounds of Brazil. The new and promising results obtained with omics techniques and the possibilities of decontamination, excluding the errors resulting from the presence of microorganisms of recent origin, for example, point to other possible investigations as suggested by some authors [12, 13, 71]. Despite the promising scenario, the scarcity of samples and the restrictions on destructive analyses, have still hindered the continuation of research, </w:t>
      </w:r>
    </w:p>
    <w:p w14:paraId="6B36C38B" w14:textId="1CB26B55" w:rsidR="0030085D" w:rsidRPr="0030085D" w:rsidRDefault="0030085D" w:rsidP="0030085D">
      <w:pPr>
        <w:spacing w:after="160" w:line="278" w:lineRule="auto"/>
        <w:ind w:firstLine="720"/>
        <w:jc w:val="both"/>
        <w:rPr>
          <w:rFonts w:ascii="Arial" w:eastAsia="Aptos" w:hAnsi="Arial" w:cs="Arial"/>
          <w:kern w:val="2"/>
          <w14:ligatures w14:val="standardContextual"/>
        </w:rPr>
      </w:pPr>
      <w:r w:rsidRPr="0030085D">
        <w:rPr>
          <w:rFonts w:ascii="Arial" w:eastAsia="Aptos" w:hAnsi="Arial" w:cs="Arial"/>
          <w:kern w:val="2"/>
          <w14:ligatures w14:val="standardContextual"/>
        </w:rPr>
        <w:t>Taphonom</w:t>
      </w:r>
      <w:r>
        <w:rPr>
          <w:rFonts w:ascii="Arial" w:eastAsia="Aptos" w:hAnsi="Arial" w:cs="Arial"/>
          <w:kern w:val="2"/>
          <w14:ligatures w14:val="standardContextual"/>
        </w:rPr>
        <w:t>y</w:t>
      </w:r>
      <w:r w:rsidRPr="0030085D">
        <w:rPr>
          <w:rFonts w:ascii="Arial" w:eastAsia="Aptos" w:hAnsi="Arial" w:cs="Arial"/>
          <w:kern w:val="2"/>
          <w14:ligatures w14:val="standardContextual"/>
        </w:rPr>
        <w:t xml:space="preserve"> processes modify dental calculus, making them sometimes more resistant, thus experiments to improve calculi disaggregation techniques should consider differentiated solubilization techniques. Protocols with temperature variations, or using calcium chelators, ultrasound, and other combined resources should allow the adaptation of techniques applicable to different materials. Studies on the composition and hardness of calculi, physicochemical processes in soil, and recrystallizations of minerals present in cavities of bones, teeth, and others from archaeological sites, will certainly bring knowledge to this area. Finally, identification of the minerals present in the calculi may be used as a basis for protocols aimed at differential solubility [72], which allow the separation of matrix and microfossils, favoring their quantification and morphological analysis. Studies in this line should be programmed to continue in this line of research. </w:t>
      </w:r>
    </w:p>
    <w:p w14:paraId="2EF8A0AF" w14:textId="77777777" w:rsidR="0030085D" w:rsidRPr="0030085D" w:rsidRDefault="0030085D" w:rsidP="0030085D">
      <w:pPr>
        <w:spacing w:after="160" w:line="278" w:lineRule="auto"/>
        <w:jc w:val="both"/>
        <w:rPr>
          <w:rFonts w:ascii="Arial" w:eastAsia="Aptos" w:hAnsi="Arial" w:cs="Arial"/>
          <w:kern w:val="2"/>
          <w14:ligatures w14:val="standardContextual"/>
        </w:rPr>
      </w:pPr>
    </w:p>
    <w:p w14:paraId="53AA021D" w14:textId="77777777" w:rsidR="00E406FB" w:rsidRDefault="00E406FB" w:rsidP="006F2794">
      <w:pPr>
        <w:pStyle w:val="Body"/>
        <w:rPr>
          <w:rFonts w:ascii="Arial" w:hAnsi="Arial" w:cs="Arial"/>
        </w:rPr>
      </w:pPr>
    </w:p>
    <w:p w14:paraId="71C633D9" w14:textId="77777777" w:rsidR="00351E9D" w:rsidRDefault="00351E9D" w:rsidP="006F2794">
      <w:pPr>
        <w:pStyle w:val="Body"/>
        <w:rPr>
          <w:rFonts w:ascii="Arial" w:hAnsi="Arial" w:cs="Arial"/>
        </w:rPr>
      </w:pPr>
    </w:p>
    <w:p w14:paraId="728EDBF2" w14:textId="77777777" w:rsidR="00351E9D" w:rsidRDefault="00351E9D" w:rsidP="006F2794">
      <w:pPr>
        <w:pStyle w:val="Body"/>
        <w:rPr>
          <w:rFonts w:ascii="Arial" w:hAnsi="Arial" w:cs="Arial"/>
        </w:rPr>
      </w:pPr>
    </w:p>
    <w:p w14:paraId="1A16212A" w14:textId="77777777" w:rsidR="00351E9D" w:rsidRDefault="00351E9D" w:rsidP="006F2794">
      <w:pPr>
        <w:pStyle w:val="Body"/>
        <w:rPr>
          <w:rFonts w:ascii="Arial" w:hAnsi="Arial" w:cs="Arial"/>
        </w:rPr>
      </w:pPr>
    </w:p>
    <w:p w14:paraId="11D056F2" w14:textId="77777777" w:rsidR="00952F75" w:rsidRDefault="00952F75" w:rsidP="006F2794">
      <w:pPr>
        <w:pStyle w:val="Body"/>
        <w:rPr>
          <w:rFonts w:ascii="Arial" w:hAnsi="Arial" w:cs="Arial"/>
        </w:rPr>
      </w:pPr>
    </w:p>
    <w:p w14:paraId="35A6FA41" w14:textId="77777777" w:rsidR="00952F75" w:rsidRDefault="00952F75" w:rsidP="006F2794">
      <w:pPr>
        <w:pStyle w:val="Body"/>
        <w:rPr>
          <w:rFonts w:ascii="Arial" w:hAnsi="Arial" w:cs="Arial"/>
        </w:rPr>
      </w:pPr>
    </w:p>
    <w:p w14:paraId="35953061" w14:textId="77777777" w:rsidR="00952F75" w:rsidRDefault="00952F75" w:rsidP="006F2794">
      <w:pPr>
        <w:pStyle w:val="Body"/>
        <w:rPr>
          <w:rFonts w:ascii="Arial" w:hAnsi="Arial" w:cs="Arial"/>
        </w:rPr>
      </w:pPr>
    </w:p>
    <w:p w14:paraId="68FC710C" w14:textId="77777777" w:rsidR="006F2794" w:rsidRDefault="006F2794" w:rsidP="006F2794">
      <w:pPr>
        <w:pStyle w:val="Body"/>
        <w:spacing w:after="0"/>
        <w:rPr>
          <w:rFonts w:ascii="Arial" w:hAnsi="Arial" w:cs="Arial"/>
        </w:rPr>
      </w:pPr>
    </w:p>
    <w:p w14:paraId="09387D8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734F790" w14:textId="77777777" w:rsidR="00790ADA" w:rsidRPr="00FB3A86" w:rsidRDefault="00790ADA" w:rsidP="00441B6F">
      <w:pPr>
        <w:pStyle w:val="ConcHead"/>
        <w:spacing w:after="0"/>
        <w:jc w:val="both"/>
        <w:rPr>
          <w:rFonts w:ascii="Arial" w:hAnsi="Arial" w:cs="Arial"/>
        </w:rPr>
      </w:pPr>
    </w:p>
    <w:p w14:paraId="71751592" w14:textId="77777777" w:rsidR="00C01472" w:rsidRPr="00C01472" w:rsidRDefault="00C01472" w:rsidP="00C01472">
      <w:pPr>
        <w:spacing w:after="160" w:line="278" w:lineRule="auto"/>
        <w:ind w:firstLine="720"/>
        <w:jc w:val="both"/>
        <w:rPr>
          <w:rFonts w:ascii="Arial" w:eastAsia="Aptos" w:hAnsi="Arial" w:cs="Arial"/>
          <w:kern w:val="2"/>
          <w14:ligatures w14:val="standardContextual"/>
        </w:rPr>
      </w:pPr>
      <w:r w:rsidRPr="00C01472">
        <w:rPr>
          <w:rFonts w:ascii="Arial" w:eastAsia="Aptos" w:hAnsi="Arial" w:cs="Arial"/>
          <w:kern w:val="2"/>
          <w14:ligatures w14:val="standardContextual"/>
        </w:rPr>
        <w:t xml:space="preserve">The study allowed new questions for this line of investigation. Although it was not possible to confirm the presence of the Vibrio morphology, its presence cannot be refuted either. Therefore, this work opens doors for the continuity of investigations. </w:t>
      </w:r>
    </w:p>
    <w:p w14:paraId="33C967A5" w14:textId="693DC7DD" w:rsidR="00C01472" w:rsidRPr="00C01472" w:rsidRDefault="00C01472" w:rsidP="00C01472">
      <w:pPr>
        <w:spacing w:after="160" w:line="278" w:lineRule="auto"/>
        <w:ind w:firstLine="720"/>
        <w:jc w:val="both"/>
        <w:rPr>
          <w:rFonts w:ascii="Arial" w:eastAsia="Aptos" w:hAnsi="Arial" w:cs="Arial"/>
          <w:kern w:val="2"/>
          <w14:ligatures w14:val="standardContextual"/>
        </w:rPr>
      </w:pPr>
      <w:r w:rsidRPr="00C01472">
        <w:rPr>
          <w:rFonts w:ascii="Arial" w:eastAsia="Aptos" w:hAnsi="Arial" w:cs="Arial"/>
          <w:kern w:val="2"/>
          <w14:ligatures w14:val="standardContextual"/>
        </w:rPr>
        <w:t xml:space="preserve">The morphological preservation of microfossils in millennial dental calculi draws attention to the potential of this type of material for the study of the microbial biofilm of teeth, and its interest in expanding knowledge related to oral health in ancient human groups. This is a promising line to be explored. The complexity and role of these communities are great, and it is necessary to expand the knowledge of their relationship with our pathophysiological and physiological processes, a </w:t>
      </w:r>
      <w:proofErr w:type="gramStart"/>
      <w:r w:rsidRPr="00C01472">
        <w:rPr>
          <w:rFonts w:ascii="Arial" w:eastAsia="Aptos" w:hAnsi="Arial" w:cs="Arial"/>
          <w:kern w:val="2"/>
          <w14:ligatures w14:val="standardContextual"/>
        </w:rPr>
        <w:t>conception</w:t>
      </w:r>
      <w:proofErr w:type="gramEnd"/>
      <w:r w:rsidRPr="00C01472">
        <w:rPr>
          <w:rFonts w:ascii="Arial" w:eastAsia="Aptos" w:hAnsi="Arial" w:cs="Arial"/>
          <w:kern w:val="2"/>
          <w14:ligatures w14:val="standardContextual"/>
        </w:rPr>
        <w:t xml:space="preserve"> that is also applicable to the oral microbiome and its relationship with human health and diseases of the present, as </w:t>
      </w:r>
      <w:r w:rsidR="00797F53" w:rsidRPr="00C01472">
        <w:rPr>
          <w:rFonts w:ascii="Arial" w:eastAsia="Aptos" w:hAnsi="Arial" w:cs="Arial"/>
          <w:kern w:val="2"/>
          <w14:ligatures w14:val="standardContextual"/>
        </w:rPr>
        <w:t>well as</w:t>
      </w:r>
      <w:r w:rsidRPr="00C01472">
        <w:rPr>
          <w:rFonts w:ascii="Arial" w:eastAsia="Aptos" w:hAnsi="Arial" w:cs="Arial"/>
          <w:kern w:val="2"/>
          <w14:ligatures w14:val="standardContextual"/>
        </w:rPr>
        <w:t xml:space="preserve"> of the past.</w:t>
      </w:r>
    </w:p>
    <w:p w14:paraId="5099E41B" w14:textId="748720B1" w:rsidR="00C01472" w:rsidRPr="00C01472" w:rsidRDefault="00C01472" w:rsidP="00C01472">
      <w:pPr>
        <w:spacing w:after="160" w:line="278" w:lineRule="auto"/>
        <w:ind w:firstLine="720"/>
        <w:jc w:val="both"/>
        <w:rPr>
          <w:rFonts w:ascii="Arial" w:eastAsia="Aptos" w:hAnsi="Arial" w:cs="Arial"/>
          <w:kern w:val="2"/>
          <w14:ligatures w14:val="standardContextual"/>
        </w:rPr>
      </w:pPr>
      <w:r w:rsidRPr="00C01472">
        <w:rPr>
          <w:rFonts w:ascii="Arial" w:eastAsia="Aptos" w:hAnsi="Arial" w:cs="Arial"/>
          <w:kern w:val="2"/>
          <w14:ligatures w14:val="standardContextual"/>
        </w:rPr>
        <w:t>Some directions can be proposed based on our results, aiming at continuing the studies and improving the protocols for the analysis of dental calculus. To proceed in this line, the experiments must be oriented towards the release of the microfossils embedded in the matrix without damaging them, to allow their qualitative, quantitative, and other morphological analysis. If a good technique for this is achieved, it will be possible to know the composition of dental plaques in different individuals and groups and seek to better understand their relationship with caries and other events. The taphonom</w:t>
      </w:r>
      <w:r w:rsidR="00C7584E">
        <w:rPr>
          <w:rFonts w:ascii="Arial" w:eastAsia="Aptos" w:hAnsi="Arial" w:cs="Arial"/>
          <w:kern w:val="2"/>
          <w14:ligatures w14:val="standardContextual"/>
        </w:rPr>
        <w:t>y</w:t>
      </w:r>
      <w:r w:rsidRPr="00C01472">
        <w:rPr>
          <w:rFonts w:ascii="Arial" w:eastAsia="Aptos" w:hAnsi="Arial" w:cs="Arial"/>
          <w:kern w:val="2"/>
          <w14:ligatures w14:val="standardContextual"/>
        </w:rPr>
        <w:t xml:space="preserve"> processes that affect the preservation of dental calculi should be better documented, and their differences, on a case-by-case basis, would help the adequacy of protocols and customization of laboratory procedures, according to the archaeological sites studied. Finally, considering the challenges for the disaggregation of dental calculus, future studies based on imaging techniques such as microtomography should be tested in this line of investigation.  </w:t>
      </w:r>
    </w:p>
    <w:p w14:paraId="3AD0BE5E" w14:textId="77777777" w:rsidR="00C01472" w:rsidRPr="00C01472" w:rsidRDefault="00C01472" w:rsidP="00C01472">
      <w:pPr>
        <w:spacing w:after="160" w:line="278" w:lineRule="auto"/>
        <w:ind w:firstLine="720"/>
        <w:jc w:val="both"/>
        <w:rPr>
          <w:rFonts w:ascii="Arial" w:eastAsia="Aptos" w:hAnsi="Arial" w:cs="Arial"/>
          <w:kern w:val="2"/>
          <w14:ligatures w14:val="standardContextual"/>
        </w:rPr>
      </w:pPr>
      <w:r w:rsidRPr="00C01472">
        <w:rPr>
          <w:rFonts w:ascii="Arial" w:eastAsia="Aptos" w:hAnsi="Arial" w:cs="Arial"/>
          <w:kern w:val="2"/>
          <w14:ligatures w14:val="standardContextual"/>
        </w:rPr>
        <w:t xml:space="preserve">Likewise, the contribution of other approaches and methodologies, mainly genomics and proteomics, should be sought, </w:t>
      </w:r>
      <w:proofErr w:type="gramStart"/>
      <w:r w:rsidRPr="00C01472">
        <w:rPr>
          <w:rFonts w:ascii="Arial" w:eastAsia="Aptos" w:hAnsi="Arial" w:cs="Arial"/>
          <w:kern w:val="2"/>
          <w14:ligatures w14:val="standardContextual"/>
        </w:rPr>
        <w:t>in order to</w:t>
      </w:r>
      <w:proofErr w:type="gramEnd"/>
      <w:r w:rsidRPr="00C01472">
        <w:rPr>
          <w:rFonts w:ascii="Arial" w:eastAsia="Aptos" w:hAnsi="Arial" w:cs="Arial"/>
          <w:kern w:val="2"/>
          <w14:ligatures w14:val="standardContextual"/>
        </w:rPr>
        <w:t xml:space="preserve"> explore the integration of results, reducing biases and contaminations, and reinforcing the interpretation of results. </w:t>
      </w:r>
    </w:p>
    <w:p w14:paraId="7523FED3" w14:textId="77777777" w:rsidR="00C01472" w:rsidRPr="00C01472" w:rsidRDefault="00C01472" w:rsidP="00C01472">
      <w:pPr>
        <w:spacing w:after="160" w:line="278" w:lineRule="auto"/>
        <w:ind w:firstLine="720"/>
        <w:jc w:val="both"/>
        <w:rPr>
          <w:rFonts w:ascii="Arial" w:eastAsia="Aptos" w:hAnsi="Arial" w:cs="Arial"/>
          <w:kern w:val="2"/>
          <w14:ligatures w14:val="standardContextual"/>
        </w:rPr>
      </w:pPr>
      <w:r w:rsidRPr="00C01472">
        <w:rPr>
          <w:rFonts w:ascii="Arial" w:eastAsia="Aptos" w:hAnsi="Arial" w:cs="Arial"/>
          <w:kern w:val="2"/>
          <w14:ligatures w14:val="standardContextual"/>
        </w:rPr>
        <w:t xml:space="preserve">Finally, it is worth remembering that the dramatic loss of the collection of human skeletons excavated in the 1950s in the shell mound of </w:t>
      </w:r>
      <w:proofErr w:type="spellStart"/>
      <w:r w:rsidRPr="00C01472">
        <w:rPr>
          <w:rFonts w:ascii="Arial" w:eastAsia="Aptos" w:hAnsi="Arial" w:cs="Arial"/>
          <w:kern w:val="2"/>
          <w14:ligatures w14:val="standardContextual"/>
        </w:rPr>
        <w:t>Cabeçuda</w:t>
      </w:r>
      <w:proofErr w:type="spellEnd"/>
      <w:r w:rsidRPr="00C01472">
        <w:rPr>
          <w:rFonts w:ascii="Arial" w:eastAsia="Aptos" w:hAnsi="Arial" w:cs="Arial"/>
          <w:kern w:val="2"/>
          <w14:ligatures w14:val="standardContextual"/>
        </w:rPr>
        <w:t xml:space="preserve">, on the occasion of the accident that destroyed a large part of the archaeological collections of the National Museum, is a permanent motivation for the continuity of investigations and improvement of the questions and methodologies that will allow us to continue to tell the history of health in the past.  </w:t>
      </w:r>
    </w:p>
    <w:p w14:paraId="24F40D37" w14:textId="77777777" w:rsidR="005C784C" w:rsidRDefault="005C784C" w:rsidP="00441B6F">
      <w:pPr>
        <w:pStyle w:val="ReferHead"/>
        <w:spacing w:after="0"/>
        <w:jc w:val="both"/>
        <w:rPr>
          <w:rFonts w:ascii="Arial" w:hAnsi="Arial" w:cs="Arial"/>
          <w:b w:val="0"/>
          <w:caps w:val="0"/>
          <w:sz w:val="20"/>
        </w:rPr>
      </w:pPr>
    </w:p>
    <w:p w14:paraId="41ABB206" w14:textId="7357977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2D96F1C" w14:textId="77777777" w:rsidR="005C784C" w:rsidRPr="002B685A" w:rsidRDefault="005C784C" w:rsidP="00441B6F">
      <w:pPr>
        <w:pStyle w:val="ReferHead"/>
        <w:spacing w:after="0"/>
        <w:jc w:val="both"/>
        <w:rPr>
          <w:rFonts w:ascii="Arial" w:hAnsi="Arial" w:cs="Arial"/>
          <w:bCs/>
        </w:rPr>
      </w:pPr>
    </w:p>
    <w:p w14:paraId="51089266" w14:textId="073EBE67" w:rsidR="00860000" w:rsidRDefault="0017171B" w:rsidP="00441B6F">
      <w:pPr>
        <w:pStyle w:val="ReferHead"/>
        <w:spacing w:after="0"/>
        <w:jc w:val="both"/>
        <w:rPr>
          <w:rFonts w:ascii="Arial" w:hAnsi="Arial" w:cs="Arial"/>
          <w:b w:val="0"/>
          <w:caps w:val="0"/>
          <w:sz w:val="20"/>
        </w:rPr>
      </w:pPr>
      <w:r w:rsidRPr="0017171B">
        <w:rPr>
          <w:rFonts w:ascii="Arial" w:hAnsi="Arial" w:cs="Arial"/>
          <w:b w:val="0"/>
          <w:caps w:val="0"/>
          <w:sz w:val="20"/>
        </w:rPr>
        <w:t>It is not applicable.</w:t>
      </w:r>
    </w:p>
    <w:p w14:paraId="511F38C9" w14:textId="77777777" w:rsidR="0017171B" w:rsidRDefault="0017171B" w:rsidP="00441B6F">
      <w:pPr>
        <w:pStyle w:val="ReferHead"/>
        <w:spacing w:after="0"/>
        <w:jc w:val="both"/>
        <w:rPr>
          <w:rFonts w:ascii="Arial" w:hAnsi="Arial" w:cs="Arial"/>
        </w:rPr>
      </w:pPr>
    </w:p>
    <w:p w14:paraId="1753A3A3" w14:textId="77777777" w:rsidR="0017171B" w:rsidRDefault="0017171B" w:rsidP="00441B6F">
      <w:pPr>
        <w:pStyle w:val="ReferHead"/>
        <w:spacing w:after="0"/>
        <w:jc w:val="both"/>
        <w:rPr>
          <w:rFonts w:ascii="Arial" w:hAnsi="Arial" w:cs="Arial"/>
        </w:rPr>
      </w:pPr>
      <w:r w:rsidRPr="0017171B">
        <w:rPr>
          <w:rFonts w:ascii="Arial" w:hAnsi="Arial" w:cs="Arial"/>
        </w:rPr>
        <w:t>DISCLAIMER (ARTIFICIAL INTELLIGENCE)</w:t>
      </w:r>
    </w:p>
    <w:p w14:paraId="23071E7D" w14:textId="77777777" w:rsidR="0017171B" w:rsidRDefault="0017171B" w:rsidP="00441B6F">
      <w:pPr>
        <w:pStyle w:val="ReferHead"/>
        <w:spacing w:after="0"/>
        <w:jc w:val="both"/>
        <w:rPr>
          <w:rFonts w:ascii="Arial" w:hAnsi="Arial" w:cs="Arial"/>
        </w:rPr>
      </w:pPr>
    </w:p>
    <w:p w14:paraId="0951BACC" w14:textId="79C5745E" w:rsidR="0017171B" w:rsidRPr="0017171B" w:rsidRDefault="0017171B" w:rsidP="00441B6F">
      <w:pPr>
        <w:pStyle w:val="ReferHead"/>
        <w:spacing w:after="0"/>
        <w:jc w:val="both"/>
        <w:rPr>
          <w:rFonts w:ascii="Arial" w:hAnsi="Arial" w:cs="Arial"/>
          <w:b w:val="0"/>
          <w:bCs/>
          <w:sz w:val="20"/>
        </w:rPr>
      </w:pPr>
      <w:r w:rsidRPr="0017171B">
        <w:rPr>
          <w:rFonts w:ascii="Arial" w:hAnsi="Arial" w:cs="Arial"/>
          <w:b w:val="0"/>
          <w:bCs/>
          <w:caps w:val="0"/>
          <w:sz w:val="20"/>
        </w:rPr>
        <w:t xml:space="preserve">Authors hereby </w:t>
      </w:r>
      <w:r w:rsidR="00400436" w:rsidRPr="0017171B">
        <w:rPr>
          <w:rFonts w:ascii="Arial" w:hAnsi="Arial" w:cs="Arial"/>
          <w:b w:val="0"/>
          <w:bCs/>
          <w:caps w:val="0"/>
          <w:sz w:val="20"/>
        </w:rPr>
        <w:t>declares</w:t>
      </w:r>
      <w:r w:rsidRPr="0017171B">
        <w:rPr>
          <w:rFonts w:ascii="Arial" w:hAnsi="Arial" w:cs="Arial"/>
          <w:b w:val="0"/>
          <w:bCs/>
          <w:caps w:val="0"/>
          <w:sz w:val="20"/>
        </w:rPr>
        <w:t xml:space="preserve"> that no generative </w:t>
      </w:r>
      <w:r>
        <w:rPr>
          <w:rFonts w:ascii="Arial" w:hAnsi="Arial" w:cs="Arial"/>
          <w:b w:val="0"/>
          <w:bCs/>
          <w:caps w:val="0"/>
          <w:sz w:val="20"/>
        </w:rPr>
        <w:t>AI</w:t>
      </w:r>
      <w:r w:rsidRPr="0017171B">
        <w:rPr>
          <w:rFonts w:ascii="Arial" w:hAnsi="Arial" w:cs="Arial"/>
          <w:b w:val="0"/>
          <w:bCs/>
          <w:caps w:val="0"/>
          <w:sz w:val="20"/>
        </w:rPr>
        <w:t xml:space="preserve"> technologies such as large language models (</w:t>
      </w:r>
      <w:r w:rsidR="00EC2C00" w:rsidRPr="0017171B">
        <w:rPr>
          <w:rFonts w:ascii="Arial" w:hAnsi="Arial" w:cs="Arial"/>
          <w:b w:val="0"/>
          <w:bCs/>
          <w:caps w:val="0"/>
          <w:sz w:val="20"/>
        </w:rPr>
        <w:t>ChatGPT</w:t>
      </w:r>
      <w:r w:rsidRPr="0017171B">
        <w:rPr>
          <w:rFonts w:ascii="Arial" w:hAnsi="Arial" w:cs="Arial"/>
          <w:b w:val="0"/>
          <w:bCs/>
          <w:caps w:val="0"/>
          <w:sz w:val="20"/>
        </w:rPr>
        <w:t xml:space="preserve">, copilot, etc.) </w:t>
      </w:r>
      <w:r w:rsidR="00400436">
        <w:rPr>
          <w:rFonts w:ascii="Arial" w:hAnsi="Arial" w:cs="Arial"/>
          <w:b w:val="0"/>
          <w:bCs/>
          <w:caps w:val="0"/>
          <w:sz w:val="20"/>
        </w:rPr>
        <w:t>a</w:t>
      </w:r>
      <w:r w:rsidRPr="0017171B">
        <w:rPr>
          <w:rFonts w:ascii="Arial" w:hAnsi="Arial" w:cs="Arial"/>
          <w:b w:val="0"/>
          <w:bCs/>
          <w:caps w:val="0"/>
          <w:sz w:val="20"/>
        </w:rPr>
        <w:t>nd text-to-image</w:t>
      </w:r>
      <w:r>
        <w:rPr>
          <w:rFonts w:ascii="Arial" w:hAnsi="Arial" w:cs="Arial"/>
          <w:b w:val="0"/>
          <w:bCs/>
          <w:caps w:val="0"/>
          <w:sz w:val="20"/>
        </w:rPr>
        <w:t xml:space="preserve"> </w:t>
      </w:r>
      <w:r w:rsidRPr="0017171B">
        <w:rPr>
          <w:rFonts w:ascii="Arial" w:hAnsi="Arial" w:cs="Arial"/>
          <w:b w:val="0"/>
          <w:bCs/>
          <w:caps w:val="0"/>
          <w:sz w:val="20"/>
        </w:rPr>
        <w:t>generators have been used during the writing or editing of this manuscript.</w:t>
      </w:r>
    </w:p>
    <w:p w14:paraId="55BC9BF7" w14:textId="77777777" w:rsidR="0017171B" w:rsidRDefault="0017171B" w:rsidP="00441B6F">
      <w:pPr>
        <w:pStyle w:val="ReferHead"/>
        <w:spacing w:after="0"/>
        <w:jc w:val="both"/>
        <w:rPr>
          <w:rFonts w:ascii="Arial" w:hAnsi="Arial" w:cs="Arial"/>
        </w:rPr>
      </w:pPr>
    </w:p>
    <w:p w14:paraId="50E5397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31DC7BE" w14:textId="77777777" w:rsidR="00792E3D" w:rsidRDefault="00792E3D" w:rsidP="00441B6F">
      <w:pPr>
        <w:pStyle w:val="ReferHead"/>
        <w:spacing w:after="0"/>
        <w:jc w:val="both"/>
        <w:rPr>
          <w:rFonts w:ascii="Arial" w:hAnsi="Arial" w:cs="Arial"/>
        </w:rPr>
      </w:pPr>
    </w:p>
    <w:p w14:paraId="65CBA684" w14:textId="371CA379" w:rsidR="00792E3D" w:rsidRPr="00A00A79" w:rsidRDefault="00792E3D" w:rsidP="00792E3D">
      <w:pPr>
        <w:pStyle w:val="Body"/>
        <w:numPr>
          <w:ilvl w:val="0"/>
          <w:numId w:val="31"/>
        </w:numPr>
      </w:pPr>
      <w:r w:rsidRPr="00A00A79">
        <w:t xml:space="preserve">White G.E. (1975). Dental caries: a multifactorial disease.  Springfield, Charles C. Thomas Ed. </w:t>
      </w:r>
    </w:p>
    <w:p w14:paraId="7554F29F" w14:textId="77777777" w:rsidR="00E30E06" w:rsidRDefault="00E30E06" w:rsidP="00E30E06">
      <w:pPr>
        <w:pStyle w:val="Body"/>
        <w:numPr>
          <w:ilvl w:val="0"/>
          <w:numId w:val="31"/>
        </w:numPr>
      </w:pPr>
      <w:r>
        <w:t xml:space="preserve">Pitts, N.B.; Zero, D.T.; Marsh, P. D.; Ekstrand, K.; Weintraub, J.A.; Ramos-Gomez, F.; Tagami, J.; </w:t>
      </w:r>
      <w:proofErr w:type="spellStart"/>
      <w:r>
        <w:t>Twetman</w:t>
      </w:r>
      <w:proofErr w:type="spellEnd"/>
      <w:r>
        <w:t xml:space="preserve">, S.; Tsakos, G. &amp; Ismail, A. (2017). Dental </w:t>
      </w:r>
      <w:proofErr w:type="gramStart"/>
      <w:r>
        <w:t>caries</w:t>
      </w:r>
      <w:proofErr w:type="gramEnd"/>
      <w:r>
        <w:t xml:space="preserve">. Nature Review Disease Primers, 3 [17030].  https://doi.org/10.1038/nrdp.2017.30  </w:t>
      </w:r>
    </w:p>
    <w:p w14:paraId="6CCDC42D" w14:textId="60E1BC33" w:rsidR="00537CDF" w:rsidRDefault="00537CDF" w:rsidP="00537CDF">
      <w:pPr>
        <w:pStyle w:val="Body"/>
        <w:numPr>
          <w:ilvl w:val="0"/>
          <w:numId w:val="31"/>
        </w:numPr>
      </w:pPr>
      <w:proofErr w:type="spellStart"/>
      <w:r>
        <w:t>Eshed</w:t>
      </w:r>
      <w:proofErr w:type="spellEnd"/>
      <w:r>
        <w:t>, V.; Gopher, A. &amp; Hershkovitz, I. (2006). Tooth wear and dental pathology at the advent of agriculture: new evidence from the Levant. American Journal of Physical Anthropology, 130: 145–159.</w:t>
      </w:r>
      <w:r w:rsidR="00AC4E53">
        <w:t xml:space="preserve"> </w:t>
      </w:r>
      <w:r w:rsidR="00AC4E53" w:rsidRPr="00AC4E53">
        <w:t>https://doi.org/10.1002/ajpa.20362</w:t>
      </w:r>
    </w:p>
    <w:p w14:paraId="1106FAC7" w14:textId="4E249688" w:rsidR="00996C24" w:rsidRPr="00B12129" w:rsidRDefault="00996C24" w:rsidP="00996C24">
      <w:pPr>
        <w:pStyle w:val="Body"/>
        <w:numPr>
          <w:ilvl w:val="0"/>
          <w:numId w:val="31"/>
        </w:numPr>
        <w:rPr>
          <w:lang w:val="pt-PT"/>
        </w:rPr>
      </w:pPr>
      <w:r w:rsidRPr="00B12129">
        <w:rPr>
          <w:lang w:val="pt-PT"/>
        </w:rPr>
        <w:t xml:space="preserve">Caraiman, O. (2020). Fatores moduladores na cárie dentária e erosão dentária. Revisão sistemática da literatura. Dissertação de Mestrado em Medicina Dentária, Faculdade de Medicina Dentária, Universidade Católica Portuguesa.  </w:t>
      </w:r>
      <w:r w:rsidR="00AC4E53" w:rsidRPr="00AC4E53">
        <w:rPr>
          <w:lang w:val="pt-PT"/>
        </w:rPr>
        <w:t>https://repositorio.ucp.pt/bitstreams/9af0cfd1-44a6-4382-8d58-cd55f00c297e/download</w:t>
      </w:r>
    </w:p>
    <w:p w14:paraId="1FEF8036" w14:textId="3E0E2E5B" w:rsidR="0034326B" w:rsidRDefault="0034326B" w:rsidP="0034326B">
      <w:pPr>
        <w:pStyle w:val="Body"/>
        <w:numPr>
          <w:ilvl w:val="0"/>
          <w:numId w:val="31"/>
        </w:numPr>
      </w:pPr>
      <w:r>
        <w:t>Li, Y.; Wang, W. &amp; Caufield, P.W. (2000). The fidelity of Streptococci mutans transmission and caries status correlate with breast-feeding experience among Chinese families. Caries Research, 34:123-132.</w:t>
      </w:r>
      <w:r w:rsidR="00AC4E53">
        <w:t xml:space="preserve"> </w:t>
      </w:r>
      <w:r w:rsidR="00AC4E53" w:rsidRPr="00AC4E53">
        <w:t>https://doi.org/10.1159/000016579</w:t>
      </w:r>
    </w:p>
    <w:p w14:paraId="0230EE83" w14:textId="2D216244" w:rsidR="00702575" w:rsidRDefault="00702575" w:rsidP="00702575">
      <w:pPr>
        <w:pStyle w:val="Body"/>
        <w:numPr>
          <w:ilvl w:val="0"/>
          <w:numId w:val="31"/>
        </w:numPr>
      </w:pPr>
      <w:r w:rsidRPr="00686471">
        <w:t xml:space="preserve">Gibbons, R.J.; </w:t>
      </w:r>
      <w:proofErr w:type="spellStart"/>
      <w:r w:rsidRPr="00686471">
        <w:t>Socransky</w:t>
      </w:r>
      <w:proofErr w:type="spellEnd"/>
      <w:r w:rsidRPr="00686471">
        <w:t xml:space="preserve">, S.S.; Araujo, W.C. &amp; van Houte, J. (1964). </w:t>
      </w:r>
      <w:r>
        <w:t>Studies of the predominant cultivable microbiota of dental plaque. Archives of Oral Biology, 9: 365-70.</w:t>
      </w:r>
      <w:r w:rsidR="00AC4E53" w:rsidRPr="00AC4E53">
        <w:t xml:space="preserve"> https://doi.org/10.1016/0003-9969(64)90069-x</w:t>
      </w:r>
    </w:p>
    <w:p w14:paraId="563BF6B0" w14:textId="5EE226B3" w:rsidR="00625ADF" w:rsidRPr="00B12129" w:rsidRDefault="00625ADF" w:rsidP="00625ADF">
      <w:pPr>
        <w:pStyle w:val="Body"/>
        <w:numPr>
          <w:ilvl w:val="0"/>
          <w:numId w:val="31"/>
        </w:numPr>
        <w:rPr>
          <w:lang w:val="pt-PT"/>
        </w:rPr>
      </w:pPr>
      <w:r>
        <w:t xml:space="preserve">Gordon, D.F. &amp; Jong, B.B. (1968). Indigenous flora from human saliva. </w:t>
      </w:r>
      <w:r w:rsidRPr="00B12129">
        <w:rPr>
          <w:lang w:val="pt-PT"/>
        </w:rPr>
        <w:t xml:space="preserve">Applied Microbiology, 16(2): 428-429. </w:t>
      </w:r>
      <w:r w:rsidR="00AC4E53" w:rsidRPr="00AC4E53">
        <w:rPr>
          <w:lang w:val="pt-PT"/>
        </w:rPr>
        <w:t>https://doi.org/10.1128/am.16.2.428-429.1968</w:t>
      </w:r>
    </w:p>
    <w:p w14:paraId="714F50D5" w14:textId="402326BE" w:rsidR="00B43CA5" w:rsidRPr="00B12129" w:rsidRDefault="00B43CA5" w:rsidP="00B43CA5">
      <w:pPr>
        <w:pStyle w:val="Body"/>
        <w:numPr>
          <w:ilvl w:val="0"/>
          <w:numId w:val="31"/>
        </w:numPr>
        <w:rPr>
          <w:lang w:val="pt-PT"/>
        </w:rPr>
      </w:pPr>
      <w:proofErr w:type="spellStart"/>
      <w:r>
        <w:t>Akcali</w:t>
      </w:r>
      <w:proofErr w:type="spellEnd"/>
      <w:r>
        <w:t xml:space="preserve">, A. &amp; Lang, N.P. (2018). Dental calculus: the calcified biofilm and its role in disease development.  </w:t>
      </w:r>
      <w:r w:rsidRPr="00B12129">
        <w:rPr>
          <w:lang w:val="pt-PT"/>
        </w:rPr>
        <w:t>Periodontology 2000. 76(1):109-115.</w:t>
      </w:r>
      <w:r w:rsidR="00AC4E53" w:rsidRPr="00AC4E53">
        <w:t xml:space="preserve"> </w:t>
      </w:r>
      <w:r w:rsidR="00AC4E53" w:rsidRPr="00AC4E53">
        <w:rPr>
          <w:lang w:val="pt-PT"/>
        </w:rPr>
        <w:t>https://doi.org/10.1111/prd.12151</w:t>
      </w:r>
    </w:p>
    <w:p w14:paraId="54AABC7B" w14:textId="4B186864" w:rsidR="0025466E" w:rsidRPr="00686471" w:rsidRDefault="0025466E" w:rsidP="0025466E">
      <w:pPr>
        <w:pStyle w:val="Body"/>
        <w:numPr>
          <w:ilvl w:val="0"/>
          <w:numId w:val="31"/>
        </w:numPr>
      </w:pPr>
      <w:proofErr w:type="spellStart"/>
      <w:r w:rsidRPr="00686471">
        <w:t>Arensbourg</w:t>
      </w:r>
      <w:proofErr w:type="spellEnd"/>
      <w:r w:rsidRPr="00686471">
        <w:t>, B. (1996). Ancient dental calculus and diet. Human Evolution, 11: 139-145</w:t>
      </w:r>
      <w:r w:rsidR="00AC4E53" w:rsidRPr="00686471">
        <w:t>. https://doi.org/10.1007/bf02437397</w:t>
      </w:r>
    </w:p>
    <w:p w14:paraId="4322178F" w14:textId="543523DD" w:rsidR="007E0372" w:rsidRDefault="007E0372" w:rsidP="007E0372">
      <w:pPr>
        <w:pStyle w:val="Body"/>
        <w:numPr>
          <w:ilvl w:val="0"/>
          <w:numId w:val="31"/>
        </w:numPr>
      </w:pPr>
      <w:r>
        <w:t xml:space="preserve">Adler, C.J.; Dobney, K.; Weyrich, L.S.; </w:t>
      </w:r>
      <w:proofErr w:type="spellStart"/>
      <w:r>
        <w:t>Kaidonis</w:t>
      </w:r>
      <w:proofErr w:type="spellEnd"/>
      <w:r>
        <w:t xml:space="preserve">, J.; Walker, A.W.; Haak, W.; Bradshaw, C.J.A.; Townsend, G.; </w:t>
      </w:r>
      <w:proofErr w:type="spellStart"/>
      <w:r>
        <w:t>Sołtysiak</w:t>
      </w:r>
      <w:proofErr w:type="spellEnd"/>
      <w:r>
        <w:t xml:space="preserve">, A.; Alt, K.W.; Parkhill, J. &amp; Cooper, A. (2013). Sequencing ancient calcified dental plaque shows changes in oral microbiota </w:t>
      </w:r>
      <w:r>
        <w:lastRenderedPageBreak/>
        <w:t xml:space="preserve">with dietary shifts of the Neolithic and industrial revolutions. National Genetics, 45: 450–455. </w:t>
      </w:r>
      <w:r w:rsidR="001675ED" w:rsidRPr="001675ED">
        <w:t>https://doi.org/10.1038/ng.2536</w:t>
      </w:r>
    </w:p>
    <w:p w14:paraId="327D9170" w14:textId="77777777" w:rsidR="00556557" w:rsidRDefault="00556557" w:rsidP="00556557">
      <w:pPr>
        <w:pStyle w:val="Body"/>
        <w:numPr>
          <w:ilvl w:val="0"/>
          <w:numId w:val="31"/>
        </w:numPr>
      </w:pPr>
      <w:r>
        <w:t>Lee, Y-H.; Chung, S.W.; Auh, Q-S.; Hong, S-J.; Lee, Y-A.; Jung, J.; Lee, G-J.; Park, H.J.; Shin, S-I. &amp; Hong, J-Y. (2021). Progress in oral microbiome related to oral and systemic diseases: an update. Diagnostics, 11: 1283 https://doi.org/103390/diagnostics 11071283.</w:t>
      </w:r>
    </w:p>
    <w:p w14:paraId="19D4DC6B" w14:textId="34A96960" w:rsidR="000B7ECC" w:rsidRDefault="000B7ECC" w:rsidP="000B7ECC">
      <w:pPr>
        <w:pStyle w:val="Body"/>
        <w:numPr>
          <w:ilvl w:val="0"/>
          <w:numId w:val="31"/>
        </w:numPr>
      </w:pPr>
      <w:proofErr w:type="spellStart"/>
      <w:r>
        <w:t>Kerkens</w:t>
      </w:r>
      <w:proofErr w:type="spellEnd"/>
      <w:r>
        <w:t xml:space="preserve">, J.W.; Nichols, R.V.; Murray, G.G.R.; Perez, K.; </w:t>
      </w:r>
      <w:proofErr w:type="spellStart"/>
      <w:r>
        <w:t>Merga</w:t>
      </w:r>
      <w:proofErr w:type="spellEnd"/>
      <w:r>
        <w:t xml:space="preserve">, E.; </w:t>
      </w:r>
      <w:proofErr w:type="spellStart"/>
      <w:r>
        <w:t>Kaijankoski</w:t>
      </w:r>
      <w:proofErr w:type="spellEnd"/>
      <w:r>
        <w:t xml:space="preserve">, P.; </w:t>
      </w:r>
      <w:proofErr w:type="spellStart"/>
      <w:r>
        <w:t>Rosenthl</w:t>
      </w:r>
      <w:proofErr w:type="spellEnd"/>
      <w:r>
        <w:t xml:space="preserve">, J.S.; </w:t>
      </w:r>
      <w:proofErr w:type="spellStart"/>
      <w:r>
        <w:t>Engbring</w:t>
      </w:r>
      <w:proofErr w:type="spellEnd"/>
      <w:r>
        <w:t>, L. &amp; Shapiro, B. (2018). A probable prehistoric case of meningococcal disease from San Francisco Bay: Next Generation sequencing of Neisseria meningitidis from dental calculus and osteological evidence. International Journal of Paleopathology 22: 173-180.</w:t>
      </w:r>
      <w:r w:rsidR="001675ED">
        <w:t xml:space="preserve"> </w:t>
      </w:r>
      <w:r w:rsidR="001675ED" w:rsidRPr="001675ED">
        <w:t>https://doi.org/10.1016/j.ijpp.2018.05.001</w:t>
      </w:r>
    </w:p>
    <w:p w14:paraId="2E2BC706" w14:textId="16B1ECE9" w:rsidR="001F55C0" w:rsidRDefault="001F55C0" w:rsidP="001F55C0">
      <w:pPr>
        <w:pStyle w:val="Body"/>
        <w:numPr>
          <w:ilvl w:val="0"/>
          <w:numId w:val="31"/>
        </w:numPr>
      </w:pPr>
      <w:r>
        <w:t xml:space="preserve">Standeven, F.J.; Dahlquist-Axe, G.; Hendy, J.; </w:t>
      </w:r>
      <w:proofErr w:type="spellStart"/>
      <w:r>
        <w:t>Fiddyment</w:t>
      </w:r>
      <w:proofErr w:type="spellEnd"/>
      <w:r>
        <w:t xml:space="preserve">, S.; Holst, M.; McGrath, K.; Collins, M.; Mundorff, A.; Meehan, C.J.; Tedder, A. &amp; </w:t>
      </w:r>
      <w:proofErr w:type="spellStart"/>
      <w:r>
        <w:t>Spelle</w:t>
      </w:r>
      <w:proofErr w:type="spellEnd"/>
      <w:r>
        <w:t xml:space="preserve">, C.F. (2024). An extensive archaeological dental calculus dataset spanning 5000 years for ancient human oral microbiome research. </w:t>
      </w:r>
      <w:proofErr w:type="spellStart"/>
      <w:r>
        <w:t>BIORxiv</w:t>
      </w:r>
      <w:proofErr w:type="spellEnd"/>
      <w:r w:rsidR="001675ED">
        <w:t>.</w:t>
      </w:r>
      <w:r>
        <w:t xml:space="preserve"> </w:t>
      </w:r>
      <w:r w:rsidR="001675ED" w:rsidRPr="001675ED">
        <w:t>https://doi.org/10.1101/2024.09.17.613443</w:t>
      </w:r>
    </w:p>
    <w:p w14:paraId="0B0E0247" w14:textId="0C7B72DD" w:rsidR="007B73E6" w:rsidRDefault="007B73E6" w:rsidP="007B73E6">
      <w:pPr>
        <w:pStyle w:val="Body"/>
        <w:numPr>
          <w:ilvl w:val="0"/>
          <w:numId w:val="31"/>
        </w:numPr>
      </w:pPr>
      <w:r w:rsidRPr="00686471">
        <w:rPr>
          <w:lang w:val="es-BO"/>
        </w:rPr>
        <w:t xml:space="preserve">Cohen, M.N. &amp; </w:t>
      </w:r>
      <w:proofErr w:type="spellStart"/>
      <w:r w:rsidRPr="00686471">
        <w:rPr>
          <w:lang w:val="es-BO"/>
        </w:rPr>
        <w:t>Armelagos</w:t>
      </w:r>
      <w:proofErr w:type="spellEnd"/>
      <w:r w:rsidRPr="00686471">
        <w:rPr>
          <w:lang w:val="es-BO"/>
        </w:rPr>
        <w:t xml:space="preserve">, G.J. (1984). </w:t>
      </w:r>
      <w:r>
        <w:t>Paleopathology at the Origins of Agriculture. New York, Academic Press.</w:t>
      </w:r>
      <w:r w:rsidR="00661E23">
        <w:t xml:space="preserve"> </w:t>
      </w:r>
      <w:r w:rsidR="00B66A4B" w:rsidRPr="00B66A4B">
        <w:t>https://www.researchgate.net/profile/George_Armelagos2/publication/236231629_Preface_to_the_2013_Edition._Paleopathology_at_the_Origins_of_Agriculture/links/00463517304e3499ce000000.pdf</w:t>
      </w:r>
      <w:r w:rsidR="00661E23">
        <w:t xml:space="preserve"> </w:t>
      </w:r>
    </w:p>
    <w:p w14:paraId="0BA1B43A" w14:textId="5384D2F5" w:rsidR="0052552A" w:rsidRDefault="0052552A" w:rsidP="0052552A">
      <w:pPr>
        <w:pStyle w:val="Body"/>
        <w:numPr>
          <w:ilvl w:val="0"/>
          <w:numId w:val="31"/>
        </w:numPr>
      </w:pPr>
      <w:r>
        <w:t xml:space="preserve">Hilson, S. (1990). Teeth.  Cambridge, Cambridge University Press. </w:t>
      </w:r>
      <w:bookmarkStart w:id="0" w:name="_Hlk195655752"/>
      <w:r w:rsidR="00B66A4B" w:rsidRPr="00B66A4B">
        <w:t>https://www.academia.edu/49762482/Teeth_Cambridge_Manuals_in_Archaeology</w:t>
      </w:r>
    </w:p>
    <w:bookmarkEnd w:id="0"/>
    <w:p w14:paraId="607F3E43" w14:textId="216CA373" w:rsidR="001360D2" w:rsidRPr="00B12129" w:rsidRDefault="001360D2" w:rsidP="001360D2">
      <w:pPr>
        <w:pStyle w:val="Body"/>
        <w:numPr>
          <w:ilvl w:val="0"/>
          <w:numId w:val="31"/>
        </w:numPr>
        <w:rPr>
          <w:lang w:val="pt-PT"/>
        </w:rPr>
      </w:pPr>
      <w:r>
        <w:t xml:space="preserve">Mackenzie, L.; Speller, C.F.; Holst, M.; Keefe, K. &amp; Radini, A. (2023). Dental calculus in the industrial age: human dental calculus in the post-medieval period, a case study from industrial Manchester. </w:t>
      </w:r>
      <w:r w:rsidRPr="00B12129">
        <w:rPr>
          <w:lang w:val="pt-PT"/>
        </w:rPr>
        <w:t xml:space="preserve">Quaternary International, 20: 653-654. </w:t>
      </w:r>
      <w:r w:rsidR="00661E23" w:rsidRPr="00661E23">
        <w:rPr>
          <w:lang w:val="pt-PT"/>
        </w:rPr>
        <w:t>https://doi.org/10.1016/j.quaint.2021.09.020</w:t>
      </w:r>
    </w:p>
    <w:p w14:paraId="4082740B" w14:textId="53115A33" w:rsidR="00C46049" w:rsidRDefault="00C46049" w:rsidP="00C46049">
      <w:pPr>
        <w:pStyle w:val="Body"/>
        <w:numPr>
          <w:ilvl w:val="0"/>
          <w:numId w:val="31"/>
        </w:numPr>
      </w:pPr>
      <w:proofErr w:type="spellStart"/>
      <w:r>
        <w:t>Socransky</w:t>
      </w:r>
      <w:proofErr w:type="spellEnd"/>
      <w:r>
        <w:t>, S. M &amp; Manganiello, S.D. (1971). The oral microbiota from birth to senility. Journal of Periodontology, 42: 485-94.</w:t>
      </w:r>
      <w:r w:rsidR="00661E23">
        <w:t xml:space="preserve"> </w:t>
      </w:r>
      <w:r w:rsidR="00661E23" w:rsidRPr="00661E23">
        <w:t>https://doi.org/10.1902/jop.1971.42.8.485</w:t>
      </w:r>
    </w:p>
    <w:p w14:paraId="610E407E" w14:textId="71FF355D" w:rsidR="00097E52" w:rsidRDefault="00097E52" w:rsidP="00097E52">
      <w:pPr>
        <w:pStyle w:val="Body"/>
        <w:numPr>
          <w:ilvl w:val="0"/>
          <w:numId w:val="31"/>
        </w:numPr>
      </w:pPr>
      <w:r>
        <w:t>Kleinberg, I. (2002). A mixed-bacteria ecological approach to understanding the role of oral bacteria in dental caries causation: an alternative to Streptococcus mutans and specific plaque hypothesis. Critical Review of Oral Biology Medicine, 13:108-25.</w:t>
      </w:r>
      <w:r w:rsidR="008E6849" w:rsidRPr="008E6849">
        <w:t xml:space="preserve"> https://doi.org/10.1177/154411130201300202</w:t>
      </w:r>
    </w:p>
    <w:p w14:paraId="37A92E7C" w14:textId="77D2303D" w:rsidR="00D72B60" w:rsidRDefault="00D72B60" w:rsidP="009D2F62">
      <w:pPr>
        <w:pStyle w:val="PargrafodaLista"/>
        <w:numPr>
          <w:ilvl w:val="0"/>
          <w:numId w:val="31"/>
        </w:numPr>
      </w:pPr>
      <w:r>
        <w:t>Marsh, P.D. (2010). Microbial ecology of dental plaque and its significance in health and disease. Advances in Dental Research (Washington DC), 8(2): 263-271.</w:t>
      </w:r>
      <w:r w:rsidR="009D2F62" w:rsidRPr="009D2F62">
        <w:t xml:space="preserve"> </w:t>
      </w:r>
      <w:r w:rsidR="008E6849" w:rsidRPr="008E6849">
        <w:t>https://doi.org/10.1177/08959374940080022001</w:t>
      </w:r>
    </w:p>
    <w:p w14:paraId="6AC6A9FC" w14:textId="77777777" w:rsidR="009D2F62" w:rsidRDefault="009D2F62" w:rsidP="009D2F62">
      <w:pPr>
        <w:ind w:left="360"/>
      </w:pPr>
    </w:p>
    <w:p w14:paraId="25E2A2A0" w14:textId="1F7E00E3" w:rsidR="00585971" w:rsidRDefault="00585971" w:rsidP="00585971">
      <w:pPr>
        <w:pStyle w:val="Body"/>
        <w:numPr>
          <w:ilvl w:val="0"/>
          <w:numId w:val="31"/>
        </w:numPr>
      </w:pPr>
      <w:r w:rsidRPr="00B12129">
        <w:rPr>
          <w:lang w:val="pt-PT"/>
        </w:rPr>
        <w:t xml:space="preserve">Cook, D.C.; Bastos, M.Q.R.; Lopes, C.; Souza, S.M.de &amp; Santos, R.V. (2012). </w:t>
      </w:r>
      <w:proofErr w:type="spellStart"/>
      <w:r>
        <w:t>Pretos</w:t>
      </w:r>
      <w:proofErr w:type="spellEnd"/>
      <w:r>
        <w:t xml:space="preserve"> </w:t>
      </w:r>
      <w:proofErr w:type="spellStart"/>
      <w:r>
        <w:t>Novos</w:t>
      </w:r>
      <w:proofErr w:type="spellEnd"/>
      <w:r>
        <w:t xml:space="preserve">: evidence for African oral hygiene practices in Brazil. International Journal of </w:t>
      </w:r>
      <w:proofErr w:type="spellStart"/>
      <w:r>
        <w:t>Osteoarchaeology</w:t>
      </w:r>
      <w:proofErr w:type="spellEnd"/>
      <w:r>
        <w:t>, 25(2): 238-244.</w:t>
      </w:r>
      <w:r w:rsidR="008E6849">
        <w:t xml:space="preserve"> </w:t>
      </w:r>
      <w:r w:rsidR="008E6849" w:rsidRPr="008E6849">
        <w:t>https://doi.org/10.1002/oa.2278</w:t>
      </w:r>
    </w:p>
    <w:p w14:paraId="024DF2A2" w14:textId="4F584F7F" w:rsidR="00DC3416" w:rsidRDefault="00DC3416" w:rsidP="00DC3416">
      <w:pPr>
        <w:pStyle w:val="Body"/>
        <w:numPr>
          <w:ilvl w:val="0"/>
          <w:numId w:val="31"/>
        </w:numPr>
      </w:pPr>
      <w:r>
        <w:t>Williams, L.R. (2019). Paleopathological and microbio</w:t>
      </w:r>
      <w:r w:rsidR="008E6849">
        <w:t>lo</w:t>
      </w:r>
      <w:r>
        <w:t xml:space="preserve">gical investigations of dental health in America since 1890. </w:t>
      </w:r>
      <w:proofErr w:type="spellStart"/>
      <w:r>
        <w:t>Tese</w:t>
      </w:r>
      <w:proofErr w:type="spellEnd"/>
      <w:r>
        <w:t xml:space="preserve"> de </w:t>
      </w:r>
      <w:proofErr w:type="spellStart"/>
      <w:r>
        <w:t>Doutorado</w:t>
      </w:r>
      <w:proofErr w:type="spellEnd"/>
      <w:r>
        <w:t xml:space="preserve"> </w:t>
      </w:r>
      <w:proofErr w:type="spellStart"/>
      <w:r>
        <w:t>em</w:t>
      </w:r>
      <w:proofErr w:type="spellEnd"/>
      <w:r>
        <w:t xml:space="preserve"> </w:t>
      </w:r>
      <w:proofErr w:type="spellStart"/>
      <w:r>
        <w:t>Antropologia</w:t>
      </w:r>
      <w:proofErr w:type="spellEnd"/>
      <w:r>
        <w:t xml:space="preserve">, New Jersey, State University of New Jersey. </w:t>
      </w:r>
      <w:r w:rsidR="008E6849" w:rsidRPr="008E6849">
        <w:t>https://rucore.libraries.rutgers.edu/rutgers-lib/62049/PDF/1/play/</w:t>
      </w:r>
    </w:p>
    <w:p w14:paraId="3FE1B185" w14:textId="7F743B0C" w:rsidR="00854E71" w:rsidRDefault="00854E71" w:rsidP="00854E71">
      <w:pPr>
        <w:pStyle w:val="Body"/>
        <w:numPr>
          <w:ilvl w:val="0"/>
          <w:numId w:val="31"/>
        </w:numPr>
      </w:pPr>
      <w:r>
        <w:lastRenderedPageBreak/>
        <w:t xml:space="preserve">Gagnon, C.M. (2020). Exploring oral paleopathology in the Central Andes. International Journal of Paleopathology, 29: 24-34. </w:t>
      </w:r>
      <w:r w:rsidR="008E6849" w:rsidRPr="008E6849">
        <w:t>https://doi.org/10.1016/j.ijpp.2019.10.003</w:t>
      </w:r>
    </w:p>
    <w:p w14:paraId="02E6C2A6" w14:textId="77777777" w:rsidR="00D25FD6" w:rsidRPr="00B12129" w:rsidRDefault="00D25FD6" w:rsidP="00D25FD6">
      <w:pPr>
        <w:pStyle w:val="Body"/>
        <w:numPr>
          <w:ilvl w:val="0"/>
          <w:numId w:val="31"/>
        </w:numPr>
        <w:rPr>
          <w:lang w:val="pt-PT"/>
        </w:rPr>
      </w:pPr>
      <w:r>
        <w:t xml:space="preserve">Li X., Liu Y., Yang X., Li C. &amp; Song Z. (2022). The Oral Microbiota: Community Composition, Influencing Factors, Pathogenesis, and Interventions. </w:t>
      </w:r>
      <w:r w:rsidRPr="00B12129">
        <w:rPr>
          <w:lang w:val="pt-PT"/>
        </w:rPr>
        <w:t>Frontiers Microbiology 29;13:895537. https://doi.org/10.3389/fmicb.2022.895537</w:t>
      </w:r>
    </w:p>
    <w:p w14:paraId="36EF60FA" w14:textId="00FC2174" w:rsidR="00FF6B5B" w:rsidRPr="00B12129" w:rsidRDefault="00FF6B5B" w:rsidP="00FF6B5B">
      <w:pPr>
        <w:pStyle w:val="Body"/>
        <w:numPr>
          <w:ilvl w:val="0"/>
          <w:numId w:val="31"/>
        </w:numPr>
        <w:rPr>
          <w:lang w:val="es-BO"/>
        </w:rPr>
      </w:pPr>
      <w:r w:rsidRPr="00B12129">
        <w:rPr>
          <w:lang w:val="pt-PT"/>
        </w:rPr>
        <w:t xml:space="preserve">Alves Filho, P.; Santos, R.V. &amp; Vettore, M.V. (2014). Fatores associados à cárie dental e doenças periodontais em indígenas da América Latina: revisão sistemática. </w:t>
      </w:r>
      <w:r w:rsidRPr="00B12129">
        <w:rPr>
          <w:lang w:val="es-BO"/>
        </w:rPr>
        <w:t xml:space="preserve">Revista Panamericana de Salud Pública, 35(1): 67-77.  </w:t>
      </w:r>
      <w:r w:rsidR="008E6849" w:rsidRPr="008E6849">
        <w:rPr>
          <w:lang w:val="es-BO"/>
        </w:rPr>
        <w:t>https://www.scielosp.org/pdf/rpsp/v35n1/10.pdf</w:t>
      </w:r>
    </w:p>
    <w:p w14:paraId="1CC1CC15" w14:textId="4509AA78" w:rsidR="00083B5D" w:rsidRDefault="00083B5D" w:rsidP="00083B5D">
      <w:pPr>
        <w:pStyle w:val="Body"/>
        <w:numPr>
          <w:ilvl w:val="0"/>
          <w:numId w:val="31"/>
        </w:numPr>
      </w:pPr>
      <w:r>
        <w:t xml:space="preserve">Witwer-Backofen, U. &amp; Engel, F. (2018). The history of </w:t>
      </w:r>
      <w:proofErr w:type="spellStart"/>
      <w:r>
        <w:t>european</w:t>
      </w:r>
      <w:proofErr w:type="spellEnd"/>
      <w:r>
        <w:t xml:space="preserve"> oral health: evidence from dental caries and antemortem tooth loss. In: Steckel, R.H.; Larsen, C.S.; Roberts, C.A.; Baten, J. (eds.) The backbone of Europe: health, diet, work and violence over two millennia. Cambridge University Press, Cambridge. 84-136.</w:t>
      </w:r>
      <w:r w:rsidR="008E6849" w:rsidRPr="008E6849">
        <w:t xml:space="preserve"> https://doi.org/10.1017/9781108379830.006</w:t>
      </w:r>
    </w:p>
    <w:p w14:paraId="105D1981" w14:textId="5F2BDC63" w:rsidR="003732F6" w:rsidRDefault="003732F6" w:rsidP="003732F6">
      <w:pPr>
        <w:pStyle w:val="Body"/>
        <w:numPr>
          <w:ilvl w:val="0"/>
          <w:numId w:val="31"/>
        </w:numPr>
      </w:pPr>
      <w:proofErr w:type="spellStart"/>
      <w:r>
        <w:t>Martignon</w:t>
      </w:r>
      <w:proofErr w:type="spellEnd"/>
      <w:r>
        <w:t xml:space="preserve">, S.; Roncalli, A.G.; Alvarez, E.; Aránguiz, V.; </w:t>
      </w:r>
      <w:proofErr w:type="spellStart"/>
      <w:r>
        <w:t>Feldens</w:t>
      </w:r>
      <w:proofErr w:type="spellEnd"/>
      <w:r>
        <w:t xml:space="preserve">, C.A. &amp; </w:t>
      </w:r>
      <w:proofErr w:type="spellStart"/>
      <w:r>
        <w:t>Buzalaf</w:t>
      </w:r>
      <w:proofErr w:type="spellEnd"/>
      <w:r>
        <w:t>, M.A.R. (2021). Risk factors for dental caries in Latin American and Caribbean countries. Brazilian Oral Research, 35 (suppl 1): 19-42.</w:t>
      </w:r>
      <w:r w:rsidR="00FD4586" w:rsidRPr="00FD4586">
        <w:t xml:space="preserve"> https://doi.org/10.1590/1807-3107bor-2021.vol35.0053</w:t>
      </w:r>
    </w:p>
    <w:p w14:paraId="26D27D61" w14:textId="39FA8624" w:rsidR="00EA5E99" w:rsidRDefault="00EA5E99" w:rsidP="00EA5E99">
      <w:pPr>
        <w:pStyle w:val="Body"/>
        <w:numPr>
          <w:ilvl w:val="0"/>
          <w:numId w:val="31"/>
        </w:numPr>
      </w:pPr>
      <w:r>
        <w:t xml:space="preserve">Gaspar, M.D.; DeBlasis, P.; Fish, S.K. &amp; Fish, P.R. (2007). </w:t>
      </w:r>
      <w:proofErr w:type="spellStart"/>
      <w:r>
        <w:t>Sambaqui</w:t>
      </w:r>
      <w:proofErr w:type="spellEnd"/>
      <w:r>
        <w:t xml:space="preserve"> (</w:t>
      </w:r>
      <w:proofErr w:type="spellStart"/>
      <w:r>
        <w:t>shellmound</w:t>
      </w:r>
      <w:proofErr w:type="spellEnd"/>
      <w:r>
        <w:t>) societies of coastal Brazil. In: Silverman, H.; Isbell, W.H. (eds.) Handbook of South American Archaeology. Lisboa, Springer. 319-335.</w:t>
      </w:r>
      <w:r w:rsidR="00FD4586">
        <w:t xml:space="preserve"> </w:t>
      </w:r>
      <w:r w:rsidR="00FD4586" w:rsidRPr="00FD4586">
        <w:t>https://www.researchgate.net/publication/226375443_Sambaqui_Shell_Mound_Societies_of_Coastal_Brazil</w:t>
      </w:r>
    </w:p>
    <w:p w14:paraId="7420A6E9" w14:textId="6265CE36" w:rsidR="00EA5E99" w:rsidRPr="00686471" w:rsidRDefault="00EA5E99" w:rsidP="00EA5E99">
      <w:pPr>
        <w:pStyle w:val="Body"/>
        <w:numPr>
          <w:ilvl w:val="0"/>
          <w:numId w:val="31"/>
        </w:numPr>
      </w:pPr>
      <w:r w:rsidRPr="00686471">
        <w:rPr>
          <w:lang w:val="es-BO"/>
        </w:rPr>
        <w:t xml:space="preserve">Gaspar, M.D.; </w:t>
      </w:r>
      <w:proofErr w:type="spellStart"/>
      <w:r w:rsidRPr="00686471">
        <w:rPr>
          <w:lang w:val="es-BO"/>
        </w:rPr>
        <w:t>Klökler</w:t>
      </w:r>
      <w:proofErr w:type="spellEnd"/>
      <w:r w:rsidRPr="00686471">
        <w:rPr>
          <w:lang w:val="es-BO"/>
        </w:rPr>
        <w:t xml:space="preserve">, D. &amp; </w:t>
      </w:r>
      <w:proofErr w:type="spellStart"/>
      <w:r w:rsidRPr="00686471">
        <w:rPr>
          <w:lang w:val="es-BO"/>
        </w:rPr>
        <w:t>DeBlasis</w:t>
      </w:r>
      <w:proofErr w:type="spellEnd"/>
      <w:r w:rsidRPr="00686471">
        <w:rPr>
          <w:lang w:val="es-BO"/>
        </w:rPr>
        <w:t xml:space="preserve">, P. (2014). </w:t>
      </w:r>
      <w:r>
        <w:t xml:space="preserve">Were </w:t>
      </w:r>
      <w:proofErr w:type="spellStart"/>
      <w:r>
        <w:t>sambaqui</w:t>
      </w:r>
      <w:proofErr w:type="spellEnd"/>
      <w:r>
        <w:t xml:space="preserve"> people buried in the trash? Archaeology, Physical Anthropology and the evolution of the interpretation of Brazilian </w:t>
      </w:r>
      <w:proofErr w:type="spellStart"/>
      <w:r>
        <w:t>shellmounds</w:t>
      </w:r>
      <w:proofErr w:type="spellEnd"/>
      <w:r>
        <w:t xml:space="preserve">. In: </w:t>
      </w:r>
      <w:proofErr w:type="spellStart"/>
      <w:r>
        <w:t>Rocksandic</w:t>
      </w:r>
      <w:proofErr w:type="spellEnd"/>
      <w:r>
        <w:t xml:space="preserve">, M.; Souza, S.M.de; Eggers, S.; </w:t>
      </w:r>
      <w:proofErr w:type="spellStart"/>
      <w:r>
        <w:t>Klökler</w:t>
      </w:r>
      <w:proofErr w:type="spellEnd"/>
      <w:r>
        <w:t xml:space="preserve">, D. (orgs.) The Cultural Dynamics of Shell Matrix Sites. Albuquerque, New Mexico University Press. </w:t>
      </w:r>
      <w:r w:rsidRPr="00686471">
        <w:t>91-100.</w:t>
      </w:r>
      <w:r w:rsidR="00FD4586" w:rsidRPr="00FD4586">
        <w:t xml:space="preserve"> </w:t>
      </w:r>
      <w:r w:rsidR="00FD4586" w:rsidRPr="00686471">
        <w:t>https://www.researchgate.net/publication/280962756_Were_sambaqui_people_buried_in_the_trash</w:t>
      </w:r>
    </w:p>
    <w:p w14:paraId="677EF48A" w14:textId="02824330" w:rsidR="00BD6797" w:rsidRDefault="00BD6797" w:rsidP="00BD6797">
      <w:pPr>
        <w:pStyle w:val="Body"/>
        <w:numPr>
          <w:ilvl w:val="0"/>
          <w:numId w:val="31"/>
        </w:numPr>
      </w:pPr>
      <w:proofErr w:type="spellStart"/>
      <w:r>
        <w:t>Kl</w:t>
      </w:r>
      <w:r w:rsidR="00963FD1">
        <w:t>o</w:t>
      </w:r>
      <w:r>
        <w:t>kler</w:t>
      </w:r>
      <w:proofErr w:type="spellEnd"/>
      <w:r>
        <w:t xml:space="preserve">, D.; Gaspar, M.D. &amp; Scheel-Ybert, R.  (2018). Why clam? Why clams? </w:t>
      </w:r>
      <w:proofErr w:type="spellStart"/>
      <w:r>
        <w:t>Shellmound</w:t>
      </w:r>
      <w:proofErr w:type="spellEnd"/>
      <w:r>
        <w:t xml:space="preserve"> construction in Southern Brazil. Journal of Archaeological Science, 20: 856–863.</w:t>
      </w:r>
      <w:r w:rsidR="00963FD1" w:rsidRPr="00963FD1">
        <w:t xml:space="preserve"> http://dx.doi.org/10.1016/j.jasrep.2018.06.015</w:t>
      </w:r>
    </w:p>
    <w:p w14:paraId="1232CB93" w14:textId="00CF6E32" w:rsidR="002333EF" w:rsidRDefault="002333EF" w:rsidP="002333EF">
      <w:pPr>
        <w:pStyle w:val="Body"/>
        <w:numPr>
          <w:ilvl w:val="0"/>
          <w:numId w:val="31"/>
        </w:numPr>
      </w:pPr>
      <w:proofErr w:type="spellStart"/>
      <w:proofErr w:type="gramStart"/>
      <w:r>
        <w:t>Wesolowski,V</w:t>
      </w:r>
      <w:proofErr w:type="spellEnd"/>
      <w:r>
        <w:t>.</w:t>
      </w:r>
      <w:proofErr w:type="gramEnd"/>
      <w:r>
        <w:t xml:space="preserve">; Souza, S.M.de; Reinhard, </w:t>
      </w:r>
      <w:proofErr w:type="gramStart"/>
      <w:r>
        <w:t>K.J..</w:t>
      </w:r>
      <w:proofErr w:type="gramEnd"/>
      <w:r>
        <w:t xml:space="preserve"> &amp; </w:t>
      </w:r>
      <w:proofErr w:type="spellStart"/>
      <w:r>
        <w:t>Ceccantini</w:t>
      </w:r>
      <w:proofErr w:type="spellEnd"/>
      <w:r>
        <w:t xml:space="preserve">, G. (2010). Evaluating microfossil content of dental calculus from Brazilian </w:t>
      </w:r>
      <w:proofErr w:type="spellStart"/>
      <w:r>
        <w:t>sambaquis</w:t>
      </w:r>
      <w:proofErr w:type="spellEnd"/>
      <w:r>
        <w:t>. Journal of Archaeological Sciences, 37: 1326-1338.</w:t>
      </w:r>
      <w:r w:rsidR="00963FD1">
        <w:t xml:space="preserve"> </w:t>
      </w:r>
      <w:r w:rsidR="00963FD1" w:rsidRPr="00963FD1">
        <w:t>https://doi.org/10.1016/j.jas.2009.12.037</w:t>
      </w:r>
    </w:p>
    <w:p w14:paraId="71E6F734" w14:textId="48C6F000" w:rsidR="002F0165" w:rsidRPr="00C7584E" w:rsidRDefault="002F0165" w:rsidP="002F0165">
      <w:pPr>
        <w:pStyle w:val="Body"/>
        <w:numPr>
          <w:ilvl w:val="0"/>
          <w:numId w:val="31"/>
        </w:numPr>
      </w:pPr>
      <w:r w:rsidRPr="00C7584E">
        <w:rPr>
          <w:lang w:val="pt-PT"/>
        </w:rPr>
        <w:t xml:space="preserve">Souza, S.M.de; Wesolowski, V. &amp; Rodrigues-Carvalho, C. </w:t>
      </w:r>
      <w:r w:rsidR="007705BF" w:rsidRPr="00C7584E">
        <w:rPr>
          <w:lang w:val="pt-PT"/>
        </w:rPr>
        <w:t>(</w:t>
      </w:r>
      <w:r w:rsidRPr="00C7584E">
        <w:rPr>
          <w:lang w:val="pt-PT"/>
        </w:rPr>
        <w:t>2009</w:t>
      </w:r>
      <w:r w:rsidR="007705BF" w:rsidRPr="00C7584E">
        <w:rPr>
          <w:lang w:val="pt-PT"/>
        </w:rPr>
        <w:t>)</w:t>
      </w:r>
      <w:r w:rsidRPr="00C7584E">
        <w:rPr>
          <w:lang w:val="pt-PT"/>
        </w:rPr>
        <w:t xml:space="preserve">. </w:t>
      </w:r>
      <w:r w:rsidRPr="00C7584E">
        <w:t xml:space="preserve">Teeth, nutrition, anemia, infection, mortality: costs of lifestyle at the Coastal Brazilian </w:t>
      </w:r>
      <w:proofErr w:type="spellStart"/>
      <w:r w:rsidRPr="00C7584E">
        <w:t>sambaquis</w:t>
      </w:r>
      <w:proofErr w:type="spellEnd"/>
      <w:r w:rsidRPr="00C7584E">
        <w:t xml:space="preserve">. In: </w:t>
      </w:r>
      <w:proofErr w:type="spellStart"/>
      <w:r w:rsidRPr="00C7584E">
        <w:t>Osterbeek</w:t>
      </w:r>
      <w:proofErr w:type="spellEnd"/>
      <w:r w:rsidRPr="00C7584E">
        <w:t xml:space="preserve">, L. (ed.) Humans: Evolutions and </w:t>
      </w:r>
      <w:proofErr w:type="spellStart"/>
      <w:r w:rsidRPr="00C7584E">
        <w:t>envirnments</w:t>
      </w:r>
      <w:proofErr w:type="spellEnd"/>
      <w:r w:rsidRPr="00C7584E">
        <w:t>. Proceedings of the XV World Congress. v.22. Oxford, BAR International Series 2026. 33-40.</w:t>
      </w:r>
    </w:p>
    <w:p w14:paraId="7ED0B850" w14:textId="77777777" w:rsidR="00AB4199" w:rsidRDefault="00AB4199" w:rsidP="00AB4199">
      <w:pPr>
        <w:pStyle w:val="Body"/>
        <w:numPr>
          <w:ilvl w:val="0"/>
          <w:numId w:val="31"/>
        </w:numPr>
      </w:pPr>
      <w:r w:rsidRPr="00B12129">
        <w:rPr>
          <w:lang w:val="pt-PT"/>
        </w:rPr>
        <w:lastRenderedPageBreak/>
        <w:t xml:space="preserve">Guida, V.; Bastos, M.Q.R. &amp; Rodrigues-Carvalho, C. (2024). </w:t>
      </w:r>
      <w:r>
        <w:t xml:space="preserve">Oral health of </w:t>
      </w:r>
      <w:proofErr w:type="spellStart"/>
      <w:r>
        <w:t>sambaqui</w:t>
      </w:r>
      <w:proofErr w:type="spellEnd"/>
      <w:r>
        <w:t xml:space="preserve"> groups in </w:t>
      </w:r>
      <w:proofErr w:type="spellStart"/>
      <w:r>
        <w:t>Saquarema</w:t>
      </w:r>
      <w:proofErr w:type="spellEnd"/>
      <w:r>
        <w:t>, Brazil. Latin American Antiquity 35: 23-38.   DOI 10.1017/1aq.2022.98</w:t>
      </w:r>
    </w:p>
    <w:p w14:paraId="0412A5BF" w14:textId="02F3B9E9" w:rsidR="00652437" w:rsidRDefault="00652437" w:rsidP="00652437">
      <w:pPr>
        <w:pStyle w:val="Body"/>
        <w:numPr>
          <w:ilvl w:val="0"/>
          <w:numId w:val="31"/>
        </w:numPr>
      </w:pPr>
      <w:r>
        <w:t xml:space="preserve">Whiteley, M; Diggle, S.P. &amp; Greenberg, P. (2017).  Progress in and promise of bacterial quorum sensing research. A review of </w:t>
      </w:r>
      <w:proofErr w:type="gramStart"/>
      <w:r>
        <w:t>the genetics</w:t>
      </w:r>
      <w:proofErr w:type="gramEnd"/>
      <w:r>
        <w:t>, biochemistry, ecology and evolution of bacterial quorum sensing. Nature, 551(7680): 313-320.</w:t>
      </w:r>
      <w:r w:rsidR="00963FD1">
        <w:t xml:space="preserve"> </w:t>
      </w:r>
      <w:r w:rsidR="00963FD1" w:rsidRPr="00963FD1">
        <w:t>https://doi.org/10.1038/nature24624</w:t>
      </w:r>
    </w:p>
    <w:p w14:paraId="4B97267E" w14:textId="01EDBB47" w:rsidR="00905383" w:rsidRPr="00B12129" w:rsidRDefault="00905383" w:rsidP="00905383">
      <w:pPr>
        <w:pStyle w:val="Body"/>
        <w:numPr>
          <w:ilvl w:val="0"/>
          <w:numId w:val="31"/>
        </w:numPr>
        <w:rPr>
          <w:lang w:val="pt-PT"/>
        </w:rPr>
      </w:pPr>
      <w:r>
        <w:t xml:space="preserve">Rosebury, T. (1952). The role of infectious periodontal diseases. </w:t>
      </w:r>
      <w:r w:rsidRPr="00B12129">
        <w:rPr>
          <w:lang w:val="pt-PT"/>
        </w:rPr>
        <w:t>Oral Surgery, Oral Medicine, Oral Pathology, 5(4): 363-370.</w:t>
      </w:r>
      <w:r w:rsidR="00963FD1">
        <w:rPr>
          <w:lang w:val="pt-PT"/>
        </w:rPr>
        <w:t xml:space="preserve"> </w:t>
      </w:r>
      <w:r w:rsidR="00963FD1" w:rsidRPr="00963FD1">
        <w:rPr>
          <w:lang w:val="pt-PT"/>
        </w:rPr>
        <w:t>https://doi.org/10.1016/0030-4220(52)90292-2</w:t>
      </w:r>
    </w:p>
    <w:p w14:paraId="1E8722C3" w14:textId="77777777" w:rsidR="00D94750" w:rsidRPr="00C7584E" w:rsidRDefault="00D94750" w:rsidP="00D94750">
      <w:pPr>
        <w:pStyle w:val="Body"/>
        <w:numPr>
          <w:ilvl w:val="0"/>
          <w:numId w:val="31"/>
        </w:numPr>
      </w:pPr>
      <w:r w:rsidRPr="00C7584E">
        <w:rPr>
          <w:lang w:val="pt-PT"/>
        </w:rPr>
        <w:t xml:space="preserve">Löesche, W. J. (1994). Ecologia da microbiota oral.  </w:t>
      </w:r>
      <w:r w:rsidRPr="00C7584E">
        <w:t>Microbiology and Oral Immunology, 2: 264-274.</w:t>
      </w:r>
    </w:p>
    <w:p w14:paraId="414D536E" w14:textId="64F50F55" w:rsidR="00D94750" w:rsidRDefault="00D94750" w:rsidP="00D94750">
      <w:pPr>
        <w:pStyle w:val="Body"/>
        <w:numPr>
          <w:ilvl w:val="0"/>
          <w:numId w:val="31"/>
        </w:numPr>
      </w:pPr>
      <w:proofErr w:type="spellStart"/>
      <w:r>
        <w:t>Löesche</w:t>
      </w:r>
      <w:proofErr w:type="spellEnd"/>
      <w:r>
        <w:t>, W.J.; Syed, S.A.; Schmid, E. &amp; Morrison, E.C. (1985). Bacterial profiles of sub-</w:t>
      </w:r>
      <w:proofErr w:type="spellStart"/>
      <w:r>
        <w:t>gengival</w:t>
      </w:r>
      <w:proofErr w:type="spellEnd"/>
      <w:r>
        <w:t xml:space="preserve"> plaques in periodontitis. Journal of Periodontology, 56 (8): 447-456.</w:t>
      </w:r>
      <w:r w:rsidR="003B3BA9" w:rsidRPr="003B3BA9">
        <w:t xml:space="preserve"> https://doi.org/10.1902/jop.1985.56.8.447</w:t>
      </w:r>
    </w:p>
    <w:p w14:paraId="0C5C3E92" w14:textId="5A661DEE" w:rsidR="00A06143" w:rsidRPr="00A06143" w:rsidRDefault="003B3BA9" w:rsidP="00DA014E">
      <w:pPr>
        <w:pStyle w:val="Body"/>
        <w:numPr>
          <w:ilvl w:val="0"/>
          <w:numId w:val="31"/>
        </w:numPr>
        <w:rPr>
          <w:lang w:val="pt-PT"/>
        </w:rPr>
      </w:pPr>
      <w:r w:rsidRPr="00A06143">
        <w:t>Aas J</w:t>
      </w:r>
      <w:r w:rsidR="00A06143">
        <w:t>.</w:t>
      </w:r>
      <w:r w:rsidRPr="00A06143">
        <w:t>A</w:t>
      </w:r>
      <w:r w:rsidR="00A06143">
        <w:t>.;</w:t>
      </w:r>
      <w:r w:rsidRPr="00A06143">
        <w:t xml:space="preserve"> Paster B</w:t>
      </w:r>
      <w:r w:rsidR="00A06143">
        <w:t>.</w:t>
      </w:r>
      <w:r w:rsidRPr="00A06143">
        <w:t>J</w:t>
      </w:r>
      <w:r w:rsidR="00A06143">
        <w:t>.;</w:t>
      </w:r>
      <w:r w:rsidRPr="00A06143">
        <w:t xml:space="preserve"> </w:t>
      </w:r>
      <w:proofErr w:type="gramStart"/>
      <w:r w:rsidRPr="00A06143">
        <w:t xml:space="preserve">Stokes </w:t>
      </w:r>
      <w:r w:rsidR="00A06143">
        <w:t>.</w:t>
      </w:r>
      <w:proofErr w:type="gramEnd"/>
      <w:r w:rsidRPr="00A06143">
        <w:t>LN</w:t>
      </w:r>
      <w:r w:rsidR="00A06143">
        <w:t>.</w:t>
      </w:r>
      <w:r w:rsidRPr="00A06143">
        <w:t>, Olsen I</w:t>
      </w:r>
      <w:r w:rsidR="00A06143">
        <w:t>.;</w:t>
      </w:r>
      <w:r w:rsidRPr="00A06143">
        <w:t xml:space="preserve"> Dewhirst F</w:t>
      </w:r>
      <w:r w:rsidR="00A06143">
        <w:t>.</w:t>
      </w:r>
      <w:r w:rsidRPr="00A06143">
        <w:t xml:space="preserve">E. </w:t>
      </w:r>
      <w:r w:rsidR="00A06143">
        <w:t>(</w:t>
      </w:r>
      <w:r w:rsidR="00A06143" w:rsidRPr="00A06143">
        <w:t>2005</w:t>
      </w:r>
      <w:r w:rsidR="00A06143">
        <w:t xml:space="preserve">). </w:t>
      </w:r>
      <w:r w:rsidRPr="00A06143">
        <w:t xml:space="preserve">Defining the normal bacterial flora of the oral cavity. J Clin </w:t>
      </w:r>
      <w:proofErr w:type="spellStart"/>
      <w:r w:rsidRPr="00A06143">
        <w:t>Microbiol</w:t>
      </w:r>
      <w:proofErr w:type="spellEnd"/>
      <w:r w:rsidRPr="00A06143">
        <w:t xml:space="preserve">. Nov;43(11):5721-32. </w:t>
      </w:r>
      <w:r w:rsidR="00A06143" w:rsidRPr="00A06143">
        <w:t>https://doi.org/10.1128/jcm.43.11.5721-5732.2005</w:t>
      </w:r>
    </w:p>
    <w:p w14:paraId="0445F18D" w14:textId="31835FE2" w:rsidR="00CA690C" w:rsidRPr="00A06143" w:rsidRDefault="00CA690C" w:rsidP="00DA014E">
      <w:pPr>
        <w:pStyle w:val="Body"/>
        <w:numPr>
          <w:ilvl w:val="0"/>
          <w:numId w:val="31"/>
        </w:numPr>
        <w:rPr>
          <w:lang w:val="pt-PT"/>
        </w:rPr>
      </w:pPr>
      <w:r w:rsidRPr="00686471">
        <w:rPr>
          <w:lang w:val="pt-PT"/>
        </w:rPr>
        <w:t xml:space="preserve">Nunes, M.C.P.; Casati, M.Z.; Villalpando, K.T. &amp; Crano, F.R. (2007). </w:t>
      </w:r>
      <w:r w:rsidRPr="00A06143">
        <w:rPr>
          <w:lang w:val="pt-PT"/>
        </w:rPr>
        <w:t>Contribuição ao estudo do biofilme dentário para o tratamento das doenças periodontais. Revista do Instituto de Ciência e Saúde, 25(1): 55-61.</w:t>
      </w:r>
      <w:r w:rsidR="00A06143" w:rsidRPr="00686471">
        <w:rPr>
          <w:lang w:val="pt-PT"/>
        </w:rPr>
        <w:t xml:space="preserve"> </w:t>
      </w:r>
      <w:r w:rsidR="00A06143" w:rsidRPr="00A06143">
        <w:rPr>
          <w:lang w:val="pt-PT"/>
        </w:rPr>
        <w:t>https://repositorio.unip.br/wp-content/uploads/tainacan-items/34088/53981/V25_N1_2007_p55-70.pdf</w:t>
      </w:r>
    </w:p>
    <w:p w14:paraId="72AD3A9F" w14:textId="293BF731" w:rsidR="002C61F5" w:rsidRPr="00C7584E" w:rsidRDefault="002C61F5" w:rsidP="002C61F5">
      <w:pPr>
        <w:pStyle w:val="Body"/>
        <w:numPr>
          <w:ilvl w:val="0"/>
          <w:numId w:val="31"/>
        </w:numPr>
        <w:rPr>
          <w:lang w:val="pt-PT"/>
        </w:rPr>
      </w:pPr>
      <w:r w:rsidRPr="00C7584E">
        <w:rPr>
          <w:lang w:val="pt-PT"/>
        </w:rPr>
        <w:t>Santos, A.A.C. (1978). Estudos de vibrios anaerób</w:t>
      </w:r>
      <w:r w:rsidR="00A06143" w:rsidRPr="00C7584E">
        <w:rPr>
          <w:lang w:val="pt-PT"/>
        </w:rPr>
        <w:t>i</w:t>
      </w:r>
      <w:r w:rsidRPr="00C7584E">
        <w:rPr>
          <w:lang w:val="pt-PT"/>
        </w:rPr>
        <w:t>os da cavidade oral. Tese de Doutoramento em Odontologia, Programa de Pós-graduação em Odontologia, Universidade Federal do Rio de Janeiro.</w:t>
      </w:r>
    </w:p>
    <w:p w14:paraId="0A0F086C" w14:textId="4FD47545" w:rsidR="000A6889" w:rsidRDefault="000A6889" w:rsidP="000A6889">
      <w:pPr>
        <w:pStyle w:val="Body"/>
        <w:numPr>
          <w:ilvl w:val="0"/>
          <w:numId w:val="31"/>
        </w:numPr>
      </w:pPr>
      <w:proofErr w:type="spellStart"/>
      <w:r w:rsidRPr="00197264">
        <w:t>Dickschat</w:t>
      </w:r>
      <w:proofErr w:type="spellEnd"/>
      <w:r w:rsidRPr="00197264">
        <w:t xml:space="preserve">, J.S. (2010). Quorum sensing and bacteria biofilms. </w:t>
      </w:r>
      <w:r>
        <w:t xml:space="preserve">Natural Products Reports, 27(3): 343-369.  </w:t>
      </w:r>
      <w:r w:rsidR="00A06143" w:rsidRPr="00A06143">
        <w:t>https://doi.org/10.1039/B804469B</w:t>
      </w:r>
    </w:p>
    <w:p w14:paraId="173FEF5A" w14:textId="34622A5E" w:rsidR="00CD5762" w:rsidRDefault="00CD5762" w:rsidP="00CD5762">
      <w:pPr>
        <w:pStyle w:val="Body"/>
        <w:numPr>
          <w:ilvl w:val="0"/>
          <w:numId w:val="31"/>
        </w:numPr>
      </w:pPr>
      <w:r>
        <w:t xml:space="preserve">Dobney, K. &amp; Brothwell, D. (1988). A scanning electron microscope study of archaeological dental calculus. In: Olsen, S. (ed.) Scanning Electron Microscopy in Archaeology. Oxford, BAR International Series 452: 372–385. </w:t>
      </w:r>
      <w:r w:rsidR="00A06143" w:rsidRPr="00A06143">
        <w:t>https://www.researchgate.net/publication/281380969_Ascanning_electron_microscope_study_of_archaeological_dental_calculus</w:t>
      </w:r>
    </w:p>
    <w:p w14:paraId="01AE5158" w14:textId="10711AF9" w:rsidR="00535374" w:rsidRDefault="00535374" w:rsidP="00535374">
      <w:pPr>
        <w:pStyle w:val="Body"/>
        <w:numPr>
          <w:ilvl w:val="0"/>
          <w:numId w:val="31"/>
        </w:numPr>
      </w:pPr>
      <w:r>
        <w:t>Charlier, P.; Huynh-Charlier, I.; Munoz, O.; Billard, M.; Brun, L. &amp; de la Grandmaison, G.L. (2010). The microscopic (optical and SEM) examination of dental calculus deposits (DCD). Potential interest in forensic anthropology of a bio-archaeological method. Legal Medicine (Tokyo), 12(4):163-171.</w:t>
      </w:r>
      <w:r w:rsidR="00283519">
        <w:t xml:space="preserve"> </w:t>
      </w:r>
      <w:r w:rsidR="00283519" w:rsidRPr="00283519">
        <w:t>https://doi.org/10.1016/j.legalmed.2010.03.003</w:t>
      </w:r>
    </w:p>
    <w:p w14:paraId="2E71B1AC" w14:textId="47DF9B2D" w:rsidR="00776AF9" w:rsidRDefault="00776AF9" w:rsidP="00776AF9">
      <w:pPr>
        <w:pStyle w:val="Body"/>
        <w:numPr>
          <w:ilvl w:val="0"/>
          <w:numId w:val="31"/>
        </w:numPr>
      </w:pPr>
      <w:r>
        <w:t xml:space="preserve">Power, R.; Salazar-Garcia, D.C.; Wittig, R.M. &amp; Henry, A.G. (2014). Assessing </w:t>
      </w:r>
      <w:proofErr w:type="gramStart"/>
      <w:r>
        <w:t>use</w:t>
      </w:r>
      <w:proofErr w:type="gramEnd"/>
      <w:r>
        <w:t xml:space="preserve"> and suitability of scanning electron microscopy in the analysis of </w:t>
      </w:r>
      <w:proofErr w:type="spellStart"/>
      <w:r>
        <w:t>microremains</w:t>
      </w:r>
      <w:proofErr w:type="spellEnd"/>
      <w:r>
        <w:t xml:space="preserve"> in dental calculus. Journal of Archaeological Sciences, 49: 160-169.</w:t>
      </w:r>
      <w:r w:rsidR="00283519">
        <w:t xml:space="preserve"> </w:t>
      </w:r>
      <w:r w:rsidR="00283519" w:rsidRPr="00283519">
        <w:t>https://doi.org/10.1016/j.jas.2014.04.016</w:t>
      </w:r>
    </w:p>
    <w:p w14:paraId="2A340386" w14:textId="295535A3" w:rsidR="007F553C" w:rsidRDefault="007F553C" w:rsidP="007F553C">
      <w:pPr>
        <w:pStyle w:val="Body"/>
        <w:numPr>
          <w:ilvl w:val="0"/>
          <w:numId w:val="31"/>
        </w:numPr>
      </w:pPr>
      <w:r w:rsidRPr="00B12129">
        <w:rPr>
          <w:lang w:val="pt-PT"/>
        </w:rPr>
        <w:lastRenderedPageBreak/>
        <w:t xml:space="preserve">Scheel-Ybert, R.; Rodrigues-Carvalho, C.; DeBlasis, P.; Gaspar, M.D. &amp; Klökler, D. (2020). Mudanças e permanências no sambaqui de Cabeçuda (Laguna, SC): das escavações de Farias às questões atuais. </w:t>
      </w:r>
      <w:proofErr w:type="spellStart"/>
      <w:r>
        <w:t>Revista</w:t>
      </w:r>
      <w:proofErr w:type="spellEnd"/>
      <w:r>
        <w:t xml:space="preserve"> de </w:t>
      </w:r>
      <w:proofErr w:type="spellStart"/>
      <w:r>
        <w:t>Arqueologia</w:t>
      </w:r>
      <w:proofErr w:type="spellEnd"/>
      <w:r>
        <w:t>, 33(1): 169-197.</w:t>
      </w:r>
      <w:r w:rsidR="00283519">
        <w:t xml:space="preserve"> </w:t>
      </w:r>
      <w:r w:rsidR="00283519" w:rsidRPr="00283519">
        <w:t>https://doi.org/10.24885/sab.v33i1.709</w:t>
      </w:r>
    </w:p>
    <w:p w14:paraId="6F2F3538" w14:textId="77777777" w:rsidR="00AC6F84" w:rsidRDefault="00AC6F84" w:rsidP="00AC6F84">
      <w:pPr>
        <w:pStyle w:val="Body"/>
        <w:numPr>
          <w:ilvl w:val="0"/>
          <w:numId w:val="31"/>
        </w:numPr>
      </w:pPr>
      <w:r w:rsidRPr="00686471">
        <w:t xml:space="preserve">Okumura, M. &amp; Eggers, S. (2014). </w:t>
      </w:r>
      <w:r>
        <w:t xml:space="preserve">Affinity groups from the </w:t>
      </w:r>
      <w:proofErr w:type="spellStart"/>
      <w:r>
        <w:t>shellmound</w:t>
      </w:r>
      <w:proofErr w:type="spellEnd"/>
      <w:r>
        <w:t xml:space="preserve"> of </w:t>
      </w:r>
      <w:proofErr w:type="spellStart"/>
      <w:r>
        <w:t>Jabuticabeira</w:t>
      </w:r>
      <w:proofErr w:type="spellEnd"/>
      <w:r>
        <w:t xml:space="preserve"> II (Santa Catarina, Brazil): what does the cranial morphology say? In: </w:t>
      </w:r>
      <w:proofErr w:type="spellStart"/>
      <w:r>
        <w:t>Osterbeek</w:t>
      </w:r>
      <w:proofErr w:type="spellEnd"/>
      <w:r>
        <w:t>, L.; Fidalgo, C. (eds.) Proceedings of the World Congress, Oxford: BAR International Series 2658. 37-44.</w:t>
      </w:r>
    </w:p>
    <w:p w14:paraId="7AB1944B" w14:textId="20DD4B0E" w:rsidR="00645466" w:rsidRDefault="00645466" w:rsidP="00645466">
      <w:pPr>
        <w:pStyle w:val="Body"/>
        <w:numPr>
          <w:ilvl w:val="0"/>
          <w:numId w:val="31"/>
        </w:numPr>
      </w:pPr>
      <w:r>
        <w:t xml:space="preserve">Souza, S.M.de. (2014). </w:t>
      </w:r>
      <w:proofErr w:type="spellStart"/>
      <w:r>
        <w:t>Sambaqui</w:t>
      </w:r>
      <w:proofErr w:type="spellEnd"/>
      <w:r>
        <w:t xml:space="preserve"> people, the </w:t>
      </w:r>
      <w:proofErr w:type="spellStart"/>
      <w:r>
        <w:t>shellmound</w:t>
      </w:r>
      <w:proofErr w:type="spellEnd"/>
      <w:r>
        <w:t xml:space="preserve"> builders of Brazil: a challenge for </w:t>
      </w:r>
      <w:proofErr w:type="spellStart"/>
      <w:r>
        <w:t>paleodemographers</w:t>
      </w:r>
      <w:proofErr w:type="spellEnd"/>
      <w:r>
        <w:t xml:space="preserve">. In: </w:t>
      </w:r>
      <w:proofErr w:type="spellStart"/>
      <w:r>
        <w:t>Rocsandik</w:t>
      </w:r>
      <w:proofErr w:type="spellEnd"/>
      <w:r>
        <w:t xml:space="preserve">, M.; Souza, S.M.de; Eggers, S.; Burchel, M.; </w:t>
      </w:r>
      <w:proofErr w:type="spellStart"/>
      <w:r>
        <w:t>Klökler</w:t>
      </w:r>
      <w:proofErr w:type="spellEnd"/>
      <w:r>
        <w:t>, D. (orgs.) Cultural dynamics of shell-matrix sites: diverse perspectives on biological remains from shell mounds and shell middens. Albuquerque, New Mexico University Press. 163-172.</w:t>
      </w:r>
      <w:r w:rsidR="00283519" w:rsidRPr="00283519">
        <w:t xml:space="preserve"> https://pt.scribd.com/document/844345429/SOUZA-2014-Sambaqui-People-the-Shell-Mound-Builders-of-Brazil</w:t>
      </w:r>
    </w:p>
    <w:p w14:paraId="7B296BF9" w14:textId="2C68748B" w:rsidR="009A2E9B" w:rsidRDefault="009A2E9B" w:rsidP="009A2E9B">
      <w:pPr>
        <w:pStyle w:val="Body"/>
        <w:numPr>
          <w:ilvl w:val="0"/>
          <w:numId w:val="31"/>
        </w:numPr>
      </w:pPr>
      <w:r>
        <w:t xml:space="preserve">Naji, S.; </w:t>
      </w:r>
      <w:proofErr w:type="spellStart"/>
      <w:r>
        <w:t>Blondiaux</w:t>
      </w:r>
      <w:proofErr w:type="spellEnd"/>
      <w:r>
        <w:t xml:space="preserve">, J.; Souza, S.M.de.; Zeng, I. &amp; Bocquet-Appel, J-P. (2022). Estimating mortality profile of </w:t>
      </w:r>
      <w:proofErr w:type="spellStart"/>
      <w:r>
        <w:t>fisherer</w:t>
      </w:r>
      <w:proofErr w:type="spellEnd"/>
      <w:r>
        <w:t xml:space="preserve">-gatherers in Brazil using </w:t>
      </w:r>
      <w:proofErr w:type="spellStart"/>
      <w:r>
        <w:t>cementochronology</w:t>
      </w:r>
      <w:proofErr w:type="spellEnd"/>
      <w:r>
        <w:t xml:space="preserve">. In: Naji, S.; </w:t>
      </w:r>
      <w:proofErr w:type="spellStart"/>
      <w:r>
        <w:t>Revendu</w:t>
      </w:r>
      <w:proofErr w:type="spellEnd"/>
      <w:r>
        <w:t xml:space="preserve">, W.; </w:t>
      </w:r>
      <w:proofErr w:type="spellStart"/>
      <w:r>
        <w:t>Gourichon</w:t>
      </w:r>
      <w:proofErr w:type="spellEnd"/>
      <w:r>
        <w:t>, L. (orgs.) Dental Cementum in Anthropology. Cambridge, Cambridge University Press. 322-337.</w:t>
      </w:r>
      <w:r w:rsidR="00283519" w:rsidRPr="00283519">
        <w:t xml:space="preserve"> https://doi.org/10.1017/9781108569507.022</w:t>
      </w:r>
    </w:p>
    <w:p w14:paraId="22AA6847" w14:textId="77777777" w:rsidR="00ED56C0" w:rsidRPr="00F7327A" w:rsidRDefault="00ED56C0" w:rsidP="00ED56C0">
      <w:pPr>
        <w:pStyle w:val="Body"/>
        <w:numPr>
          <w:ilvl w:val="0"/>
          <w:numId w:val="31"/>
        </w:numPr>
      </w:pPr>
      <w:r w:rsidRPr="00F7327A">
        <w:rPr>
          <w:lang w:val="pt-PT"/>
        </w:rPr>
        <w:t xml:space="preserve">Rodrigues-Carvalho, C.; Lessa, A. &amp; Souza, S.M.de. (2009). </w:t>
      </w:r>
      <w:proofErr w:type="spellStart"/>
      <w:r w:rsidRPr="00F7327A">
        <w:t>Bioarchaeology</w:t>
      </w:r>
      <w:proofErr w:type="spellEnd"/>
      <w:r w:rsidRPr="00F7327A">
        <w:t xml:space="preserve"> of the </w:t>
      </w:r>
      <w:proofErr w:type="spellStart"/>
      <w:r w:rsidRPr="00F7327A">
        <w:t>sambaqui</w:t>
      </w:r>
      <w:proofErr w:type="spellEnd"/>
      <w:r w:rsidRPr="00F7327A">
        <w:t xml:space="preserve"> groups: skeletal morphology, physical stress and trauma. In: </w:t>
      </w:r>
      <w:proofErr w:type="spellStart"/>
      <w:r w:rsidRPr="00F7327A">
        <w:t>Osterbeek</w:t>
      </w:r>
      <w:proofErr w:type="spellEnd"/>
      <w:r w:rsidRPr="00F7327A">
        <w:t xml:space="preserve">, L. (ed.) Humans: evolution and environments. Proceedings of the XV World Congress, v.22. Oxford: BAR International Series 2026, 15-20. </w:t>
      </w:r>
    </w:p>
    <w:p w14:paraId="19CE22F7" w14:textId="77777777" w:rsidR="009B0D28" w:rsidRPr="00F7327A" w:rsidRDefault="009B0D28" w:rsidP="009B0D28">
      <w:pPr>
        <w:pStyle w:val="Body"/>
        <w:numPr>
          <w:ilvl w:val="0"/>
          <w:numId w:val="31"/>
        </w:numPr>
      </w:pPr>
      <w:r w:rsidRPr="00F7327A">
        <w:t xml:space="preserve">Faria, L. de C. (1952). Le </w:t>
      </w:r>
      <w:proofErr w:type="spellStart"/>
      <w:r w:rsidRPr="00F7327A">
        <w:t>probléme</w:t>
      </w:r>
      <w:proofErr w:type="spellEnd"/>
      <w:r w:rsidRPr="00F7327A">
        <w:t xml:space="preserve"> des </w:t>
      </w:r>
      <w:proofErr w:type="spellStart"/>
      <w:r w:rsidRPr="00F7327A">
        <w:t>sambaquis</w:t>
      </w:r>
      <w:proofErr w:type="spellEnd"/>
      <w:r w:rsidRPr="00F7327A">
        <w:t xml:space="preserve"> du </w:t>
      </w:r>
      <w:proofErr w:type="spellStart"/>
      <w:r w:rsidRPr="00F7327A">
        <w:t>Brésil</w:t>
      </w:r>
      <w:proofErr w:type="spellEnd"/>
      <w:r w:rsidRPr="00F7327A">
        <w:t xml:space="preserve">: </w:t>
      </w:r>
      <w:proofErr w:type="spellStart"/>
      <w:r w:rsidRPr="00F7327A">
        <w:t>récents</w:t>
      </w:r>
      <w:proofErr w:type="spellEnd"/>
      <w:r w:rsidRPr="00F7327A">
        <w:t xml:space="preserve"> excavations du </w:t>
      </w:r>
      <w:proofErr w:type="spellStart"/>
      <w:r w:rsidRPr="00F7327A">
        <w:t>gisement</w:t>
      </w:r>
      <w:proofErr w:type="spellEnd"/>
      <w:r w:rsidRPr="00F7327A">
        <w:t xml:space="preserve"> de </w:t>
      </w:r>
      <w:proofErr w:type="spellStart"/>
      <w:r w:rsidRPr="00F7327A">
        <w:t>Cabeçuda</w:t>
      </w:r>
      <w:proofErr w:type="spellEnd"/>
      <w:r w:rsidRPr="00F7327A">
        <w:t xml:space="preserve"> (Laguna, Santa Catarina). In: Proceedings of the 30th International Congress of Americanists. Cambridge, Royal Anthropological Institute. 86-91.</w:t>
      </w:r>
    </w:p>
    <w:p w14:paraId="7D3CE49F" w14:textId="000F92EC" w:rsidR="00650F69" w:rsidRPr="00B12129" w:rsidRDefault="00650F69" w:rsidP="00650F69">
      <w:pPr>
        <w:pStyle w:val="Body"/>
        <w:numPr>
          <w:ilvl w:val="0"/>
          <w:numId w:val="31"/>
        </w:numPr>
        <w:rPr>
          <w:lang w:val="pt-PT"/>
        </w:rPr>
      </w:pPr>
      <w:r w:rsidRPr="00B12129">
        <w:rPr>
          <w:lang w:val="pt-PT"/>
        </w:rPr>
        <w:t>Gaspar, M.D. &amp; Souza, S.M.de. (2013). Abordagens estratégicas em sambaquis. Erechim, Habilis.</w:t>
      </w:r>
      <w:r w:rsidR="001A6475">
        <w:rPr>
          <w:lang w:val="pt-PT"/>
        </w:rPr>
        <w:t xml:space="preserve"> </w:t>
      </w:r>
      <w:r w:rsidR="001A6475" w:rsidRPr="001A6475">
        <w:rPr>
          <w:lang w:val="pt-PT"/>
        </w:rPr>
        <w:t>https://www.researchgate.net/profile/Andrea-Ribeiro-Dos-Santos/publication/262915840_DNA_Humano_Antigo_Orientacoes_para_coletas_em_sambaquis/links/649b3945b9ed6874a5df1745/DNA-Humano-Antigo-Orientacoes-para-coletas-em-sambaquis.pdf</w:t>
      </w:r>
    </w:p>
    <w:p w14:paraId="54815537" w14:textId="2A4362E7" w:rsidR="005D7C49" w:rsidRPr="00B12129" w:rsidRDefault="005D7C49" w:rsidP="005D7C49">
      <w:pPr>
        <w:pStyle w:val="Body"/>
        <w:numPr>
          <w:ilvl w:val="0"/>
          <w:numId w:val="31"/>
        </w:numPr>
        <w:rPr>
          <w:lang w:val="pt-PT"/>
        </w:rPr>
      </w:pPr>
      <w:r w:rsidRPr="00B12129">
        <w:rPr>
          <w:lang w:val="pt-PT"/>
        </w:rPr>
        <w:t xml:space="preserve">Rodrigues-Carvalho, C. &amp; Souza, S.M.de. (1998). Uso de adornos labiais pelos construtores do sambaqui de Cabeçuda, Santa Catarina, Brasil: uma hipótese baseada no perfil dento-patológico. Revista de Arqueologia (Sociedade de Arqueologia Brasileira), 11: 43-55. </w:t>
      </w:r>
      <w:r w:rsidR="001A6475" w:rsidRPr="001A6475">
        <w:rPr>
          <w:lang w:val="pt-PT"/>
        </w:rPr>
        <w:t>https://doi.org/10.24885/sab.v11i1.135</w:t>
      </w:r>
    </w:p>
    <w:p w14:paraId="283D392F" w14:textId="77777777" w:rsidR="00D12679" w:rsidRPr="00F7327A" w:rsidRDefault="00D12679" w:rsidP="00D12679">
      <w:pPr>
        <w:pStyle w:val="Body"/>
        <w:numPr>
          <w:ilvl w:val="0"/>
          <w:numId w:val="31"/>
        </w:numPr>
        <w:rPr>
          <w:lang w:val="pt-PT"/>
        </w:rPr>
      </w:pPr>
      <w:r w:rsidRPr="00F7327A">
        <w:rPr>
          <w:lang w:val="pt-PT"/>
        </w:rPr>
        <w:t xml:space="preserve">Cunha, E. De M.S. (1963). Afecções alvéolo-dentárias da população do sambaqui de Cabeçuda. Revista do Museu Paulista, 14:523-529. </w:t>
      </w:r>
    </w:p>
    <w:p w14:paraId="789E7C09" w14:textId="77777777" w:rsidR="001D615B" w:rsidRPr="00F7327A" w:rsidRDefault="001D615B" w:rsidP="001D615B">
      <w:pPr>
        <w:pStyle w:val="Body"/>
        <w:numPr>
          <w:ilvl w:val="0"/>
          <w:numId w:val="31"/>
        </w:numPr>
        <w:rPr>
          <w:lang w:val="pt-PT"/>
        </w:rPr>
      </w:pPr>
      <w:proofErr w:type="spellStart"/>
      <w:r w:rsidRPr="00F7327A">
        <w:t>Buikstra</w:t>
      </w:r>
      <w:proofErr w:type="spellEnd"/>
      <w:r w:rsidRPr="00F7327A">
        <w:t xml:space="preserve">, J.E.; </w:t>
      </w:r>
      <w:proofErr w:type="spellStart"/>
      <w:r w:rsidRPr="00F7327A">
        <w:t>Ubelaker</w:t>
      </w:r>
      <w:proofErr w:type="spellEnd"/>
      <w:r w:rsidRPr="00F7327A">
        <w:t xml:space="preserve">, D. (1994). Standards for data collection from human skeletal </w:t>
      </w:r>
      <w:proofErr w:type="gramStart"/>
      <w:r w:rsidRPr="00F7327A">
        <w:t>remains</w:t>
      </w:r>
      <w:proofErr w:type="gramEnd"/>
      <w:r w:rsidRPr="00F7327A">
        <w:t xml:space="preserve">. </w:t>
      </w:r>
      <w:r w:rsidRPr="00F7327A">
        <w:rPr>
          <w:lang w:val="pt-PT"/>
        </w:rPr>
        <w:t>Archaeological Survey Research Series #44. Fayeteville, Arkansas.</w:t>
      </w:r>
    </w:p>
    <w:p w14:paraId="21878969" w14:textId="77777777" w:rsidR="003876C4" w:rsidRPr="00F7327A" w:rsidRDefault="003876C4" w:rsidP="003876C4">
      <w:pPr>
        <w:pStyle w:val="Body"/>
        <w:numPr>
          <w:ilvl w:val="0"/>
          <w:numId w:val="31"/>
        </w:numPr>
      </w:pPr>
      <w:r w:rsidRPr="00F7327A">
        <w:rPr>
          <w:lang w:val="pt-PT"/>
        </w:rPr>
        <w:lastRenderedPageBreak/>
        <w:t xml:space="preserve">Souza, S.M.de. (1999). Anemia e adaptabilidade em um grupo costeiro prehistórico : uma hipótese patocenótica. In: Tenório, C.; Franco, T.C. (orgs.) Pre-história de Terra Brasilis. </w:t>
      </w:r>
      <w:r w:rsidRPr="00F7327A">
        <w:t>Rio de Janeiro, EDUFERJ. 171-188.</w:t>
      </w:r>
    </w:p>
    <w:p w14:paraId="3410A0ED" w14:textId="277586F4" w:rsidR="008B6CA6" w:rsidRPr="00B12129" w:rsidRDefault="008B6CA6" w:rsidP="008B6CA6">
      <w:pPr>
        <w:pStyle w:val="Body"/>
        <w:numPr>
          <w:ilvl w:val="0"/>
          <w:numId w:val="31"/>
        </w:numPr>
        <w:rPr>
          <w:lang w:val="pt-PT"/>
        </w:rPr>
      </w:pPr>
      <w:r w:rsidRPr="00B12129">
        <w:rPr>
          <w:lang w:val="pt-PT"/>
        </w:rPr>
        <w:t>Magalhães, V.; Lima, R.A. &amp; Tateno, S. (1991). Gastroenterites humanas associadas a Vibrio parahaemolyticus no Recife, Brasil. Revista do Instituto de Medicina Tropical de São Paulo, 33 (1): 64-68.</w:t>
      </w:r>
      <w:r w:rsidR="00817B0E" w:rsidRPr="00686471">
        <w:rPr>
          <w:lang w:val="pt-PT"/>
        </w:rPr>
        <w:t xml:space="preserve"> </w:t>
      </w:r>
      <w:r w:rsidR="00817B0E" w:rsidRPr="00817B0E">
        <w:rPr>
          <w:lang w:val="pt-PT"/>
        </w:rPr>
        <w:t>https://doi.org/10.1590/S0036-46651991000100012</w:t>
      </w:r>
    </w:p>
    <w:p w14:paraId="2B4CEA86" w14:textId="2D0736FE" w:rsidR="0025345D" w:rsidRPr="00B12129" w:rsidRDefault="0025345D" w:rsidP="0025345D">
      <w:pPr>
        <w:pStyle w:val="Body"/>
        <w:numPr>
          <w:ilvl w:val="0"/>
          <w:numId w:val="31"/>
        </w:numPr>
        <w:rPr>
          <w:lang w:val="pt-PT"/>
        </w:rPr>
      </w:pPr>
      <w:r w:rsidRPr="00B12129">
        <w:rPr>
          <w:lang w:val="pt-PT"/>
        </w:rPr>
        <w:t>Mancilla, E.P. (2005). Intoxicação por Vibrio parahaemolyticus. Cuadernos medico-sociales (Santiago, Chile), 45(1): 43-47.</w:t>
      </w:r>
      <w:r w:rsidR="00817B0E">
        <w:rPr>
          <w:lang w:val="pt-PT"/>
        </w:rPr>
        <w:t xml:space="preserve"> </w:t>
      </w:r>
      <w:r w:rsidR="00817B0E" w:rsidRPr="00817B0E">
        <w:t>https://cuadernosms.cl/index.php/cms/article/view/747</w:t>
      </w:r>
    </w:p>
    <w:p w14:paraId="36BD9994" w14:textId="77777777" w:rsidR="004046CA" w:rsidRPr="00F7327A" w:rsidRDefault="004046CA" w:rsidP="004046CA">
      <w:pPr>
        <w:pStyle w:val="Body"/>
        <w:numPr>
          <w:ilvl w:val="0"/>
          <w:numId w:val="31"/>
        </w:numPr>
        <w:rPr>
          <w:lang w:val="pt-PT"/>
        </w:rPr>
      </w:pPr>
      <w:r w:rsidRPr="00F7327A">
        <w:rPr>
          <w:lang w:val="pt-PT"/>
        </w:rPr>
        <w:t>Souza, S.M.de. (1991). Aplicação de funções discriminantes à estimativa de sexo em grupos humanos prehistóricos.  Dissertação de Mestrado em Anatomia, Centro de Ciências da Saúde, Universidade Federal do Rio de Janeiro.</w:t>
      </w:r>
    </w:p>
    <w:p w14:paraId="66355589" w14:textId="77777777" w:rsidR="006D7F7E" w:rsidRDefault="006D7F7E" w:rsidP="006D7F7E">
      <w:pPr>
        <w:pStyle w:val="Body"/>
        <w:numPr>
          <w:ilvl w:val="0"/>
          <w:numId w:val="31"/>
        </w:numPr>
      </w:pPr>
      <w:r>
        <w:t xml:space="preserve">William, B. W. (2015). Bergey's manual of systematics of archaea and bacteria (BMSAB). Bergey's Manual Trust e John Wiley &amp; Sons, Inc.  https://onlinelibrary.wiley.com/doi/book/10.1002/9781118960608. </w:t>
      </w:r>
    </w:p>
    <w:p w14:paraId="3702B1E9" w14:textId="77777777" w:rsidR="00216F7C" w:rsidRPr="00F7327A" w:rsidRDefault="00216F7C" w:rsidP="00216F7C">
      <w:pPr>
        <w:pStyle w:val="Body"/>
        <w:numPr>
          <w:ilvl w:val="0"/>
          <w:numId w:val="31"/>
        </w:numPr>
        <w:spacing w:after="0"/>
      </w:pPr>
      <w:r w:rsidRPr="00F7327A">
        <w:t>Zhou, X &amp; Li, Y. (2020). Atlas of oral microbiology from healthy microflora to disease.  2nd edition. Singapore, Springer Nature.</w:t>
      </w:r>
    </w:p>
    <w:p w14:paraId="7C083F6E" w14:textId="77777777" w:rsidR="004D7A7E" w:rsidRDefault="004D7A7E" w:rsidP="004D7A7E">
      <w:pPr>
        <w:pStyle w:val="Body"/>
        <w:spacing w:after="0"/>
        <w:ind w:left="720"/>
      </w:pPr>
    </w:p>
    <w:p w14:paraId="5C41D9B4" w14:textId="6227C330" w:rsidR="004D7A7E" w:rsidRDefault="004D7A7E" w:rsidP="004D7A7E">
      <w:pPr>
        <w:pStyle w:val="Body"/>
        <w:numPr>
          <w:ilvl w:val="0"/>
          <w:numId w:val="31"/>
        </w:numPr>
      </w:pPr>
      <w:r>
        <w:t>Preus, H.R.; Marvik, O.J.; Selvig, K.A. &amp; Bennike, P. (2011). Ancient bacterial DNA (</w:t>
      </w:r>
      <w:proofErr w:type="spellStart"/>
      <w:r>
        <w:t>aDNA</w:t>
      </w:r>
      <w:proofErr w:type="spellEnd"/>
      <w:r>
        <w:t xml:space="preserve">) in dental calculus from archaeological human remains. Journal of Archaeological Sciences, 38: 1827–1831. </w:t>
      </w:r>
      <w:r w:rsidR="00817B0E" w:rsidRPr="00817B0E">
        <w:t>http://dx.doi.org/10.1016/j.jas.2011.03.020</w:t>
      </w:r>
    </w:p>
    <w:p w14:paraId="006F7705" w14:textId="6B6197AB" w:rsidR="00C443B3" w:rsidRPr="00F7327A" w:rsidRDefault="00C443B3" w:rsidP="00C443B3">
      <w:pPr>
        <w:pStyle w:val="Body"/>
        <w:numPr>
          <w:ilvl w:val="0"/>
          <w:numId w:val="31"/>
        </w:numPr>
      </w:pPr>
      <w:r w:rsidRPr="00F7327A">
        <w:t>Pfister, L-A. (2005). Bacterial diseases of coastal populations in evolutionary perspective. In: 1st Paleopathology Association Meeting in South America. Program and Abstracts. Rio de Janeiro, ENSP/</w:t>
      </w:r>
      <w:proofErr w:type="spellStart"/>
      <w:r w:rsidRPr="00F7327A">
        <w:t>Fiocruz</w:t>
      </w:r>
      <w:proofErr w:type="spellEnd"/>
      <w:r w:rsidRPr="00F7327A">
        <w:t xml:space="preserve">. </w:t>
      </w:r>
    </w:p>
    <w:p w14:paraId="468800E9" w14:textId="244141FB" w:rsidR="008B3B83" w:rsidRPr="00B12129" w:rsidRDefault="008B3B83" w:rsidP="008B3B83">
      <w:pPr>
        <w:pStyle w:val="Body"/>
        <w:numPr>
          <w:ilvl w:val="0"/>
          <w:numId w:val="31"/>
        </w:numPr>
        <w:rPr>
          <w:lang w:val="pt-PT"/>
        </w:rPr>
      </w:pPr>
      <w:r w:rsidRPr="00B12129">
        <w:rPr>
          <w:lang w:val="pt-PT"/>
        </w:rPr>
        <w:t>Jorge, A.C.F.V. (2018). Análise de microvestígios vegetais em cálculos dentários humanos do sambaqui de Cabeçuda. Dissertação de Mestrado em Saúde Pública, Escola Nacional de Saúde Pública Sergio Arouca, Fundação Oswaldo Cruz.</w:t>
      </w:r>
      <w:r w:rsidR="00817B0E" w:rsidRPr="00686471">
        <w:rPr>
          <w:rFonts w:cs="Helvetica"/>
          <w:color w:val="333333"/>
          <w:shd w:val="clear" w:color="auto" w:fill="F5F5F5"/>
          <w:lang w:val="pt-PT"/>
        </w:rPr>
        <w:t xml:space="preserve"> </w:t>
      </w:r>
      <w:r w:rsidR="00817B0E" w:rsidRPr="00686471">
        <w:rPr>
          <w:lang w:val="pt-PT"/>
        </w:rPr>
        <w:t>https://www.arca.fiocruz.br/handle/icict/31146</w:t>
      </w:r>
    </w:p>
    <w:p w14:paraId="6CA501DB" w14:textId="7BBFEA45" w:rsidR="008B3B83" w:rsidRPr="00B12129" w:rsidRDefault="008B3B83" w:rsidP="008B3B83">
      <w:pPr>
        <w:pStyle w:val="Body"/>
        <w:numPr>
          <w:ilvl w:val="0"/>
          <w:numId w:val="31"/>
        </w:numPr>
        <w:rPr>
          <w:lang w:val="pt-PT"/>
        </w:rPr>
      </w:pPr>
      <w:r w:rsidRPr="00686471">
        <w:rPr>
          <w:lang w:val="pt-PT"/>
        </w:rPr>
        <w:t xml:space="preserve">Colonese, A.C; Collins, M.; Lucquin, A.; Eustace, M.; Hancock, Y.; Ponzoni, R.deA.R.; Mora, A.; Smith, C.; DeBlasis, P.; Figuti, L.; Wesolowski, V.; Plens, C.R.; Eggers, S.; Farias, D.S.E.de; Gledhill, A. &amp; Graig, O.E. (2014). </w:t>
      </w:r>
      <w:r>
        <w:t xml:space="preserve">Long-term resilience of Late Holocene coastal subsistence system in Southeastern South America. </w:t>
      </w:r>
      <w:r w:rsidRPr="00B12129">
        <w:rPr>
          <w:lang w:val="pt-PT"/>
        </w:rPr>
        <w:t>Plos One, 9(4): e93854</w:t>
      </w:r>
      <w:r w:rsidR="00817B0E">
        <w:rPr>
          <w:lang w:val="pt-PT"/>
        </w:rPr>
        <w:t>.</w:t>
      </w:r>
      <w:r w:rsidRPr="00B12129">
        <w:rPr>
          <w:lang w:val="pt-PT"/>
        </w:rPr>
        <w:t xml:space="preserve"> </w:t>
      </w:r>
      <w:r w:rsidR="00817B0E" w:rsidRPr="00817B0E">
        <w:rPr>
          <w:lang w:val="pt-PT"/>
        </w:rPr>
        <w:t>https://doi.org/10.1371/journal.pone.0093854</w:t>
      </w:r>
    </w:p>
    <w:p w14:paraId="77EEFF83" w14:textId="1D2AA34A" w:rsidR="009D2F62" w:rsidRDefault="009D2F62" w:rsidP="009D2F62">
      <w:pPr>
        <w:pStyle w:val="Body"/>
        <w:numPr>
          <w:ilvl w:val="0"/>
          <w:numId w:val="31"/>
        </w:numPr>
      </w:pPr>
      <w:r w:rsidRPr="00B12129">
        <w:rPr>
          <w:lang w:val="pt-PT"/>
        </w:rPr>
        <w:t xml:space="preserve">Bastos, M.Q.R.; Santos, R.V.; Tykot, R.H.; Souza, S.M.de; Rodrigues-Carvalho, C. &amp; Lessa, A. (2015).  </w:t>
      </w:r>
      <w:r>
        <w:t xml:space="preserve">Isotopic evidence regarding migration at the archaeological site Praia da Tapera: new data to an old matter. Journal of Archaeological Science, Reports 4: 588-595.  </w:t>
      </w:r>
      <w:r w:rsidR="00817B0E" w:rsidRPr="00817B0E">
        <w:t>https://doi.org/10.1016/j.jasrep.2015.10.028</w:t>
      </w:r>
    </w:p>
    <w:p w14:paraId="52756B4C" w14:textId="77777777" w:rsidR="009D2F62" w:rsidRPr="00F7327A" w:rsidRDefault="009D2F62" w:rsidP="009D2F62">
      <w:pPr>
        <w:pStyle w:val="Body"/>
        <w:numPr>
          <w:ilvl w:val="0"/>
          <w:numId w:val="31"/>
        </w:numPr>
        <w:rPr>
          <w:lang w:val="pt-PT"/>
        </w:rPr>
      </w:pPr>
      <w:r w:rsidRPr="00F7327A">
        <w:rPr>
          <w:lang w:val="pt-PT"/>
        </w:rPr>
        <w:t xml:space="preserve">Reinhard, K.J.; Souza, S.M.de; Rodrigues-Carvalho, C.; Nelson, C.; Vinton, S.D. &amp; Chaves, S.A.deM. (2000). </w:t>
      </w:r>
      <w:proofErr w:type="spellStart"/>
      <w:r w:rsidRPr="00F7327A">
        <w:t>Microresidues</w:t>
      </w:r>
      <w:proofErr w:type="spellEnd"/>
      <w:r w:rsidRPr="00F7327A">
        <w:t xml:space="preserve"> in dental calculus: a new perspective in diet and dental disease. </w:t>
      </w:r>
      <w:r w:rsidRPr="00F7327A">
        <w:rPr>
          <w:lang w:val="pt-PT"/>
        </w:rPr>
        <w:t xml:space="preserve">American Journal of Dental Anthropology. 113-118. </w:t>
      </w:r>
    </w:p>
    <w:p w14:paraId="148FB22F" w14:textId="57B73B3B" w:rsidR="009D2F62" w:rsidRDefault="009D2F62" w:rsidP="009D2F62">
      <w:pPr>
        <w:pStyle w:val="Body"/>
        <w:numPr>
          <w:ilvl w:val="0"/>
          <w:numId w:val="31"/>
        </w:numPr>
      </w:pPr>
      <w:r w:rsidRPr="00686471">
        <w:lastRenderedPageBreak/>
        <w:t>Marcotte, H.</w:t>
      </w:r>
      <w:r w:rsidR="00CF1AE7" w:rsidRPr="00686471">
        <w:t xml:space="preserve">; </w:t>
      </w:r>
      <w:r w:rsidRPr="00686471">
        <w:t xml:space="preserve">Lavoie, M.C. (1998). </w:t>
      </w:r>
      <w:r w:rsidRPr="00B12129">
        <w:rPr>
          <w:lang w:val="pt-PT"/>
        </w:rPr>
        <w:t xml:space="preserve">Ecologia microbiana oral e o papel da imunoglobulina A salivar.  </w:t>
      </w:r>
      <w:r>
        <w:t>Microbiological Molecular Biological Review, 62(1): 71-109.</w:t>
      </w:r>
      <w:r w:rsidR="00851031">
        <w:t xml:space="preserve"> </w:t>
      </w:r>
      <w:r w:rsidR="00851031" w:rsidRPr="00851031">
        <w:t>https://doi.org/10.1128/mmbr.62.1.71-109.1998</w:t>
      </w:r>
    </w:p>
    <w:p w14:paraId="74908213" w14:textId="18455939" w:rsidR="00C44674" w:rsidRDefault="00C44674" w:rsidP="00C44674">
      <w:pPr>
        <w:pStyle w:val="Body"/>
        <w:numPr>
          <w:ilvl w:val="0"/>
          <w:numId w:val="31"/>
        </w:numPr>
        <w:spacing w:after="0"/>
      </w:pPr>
      <w:r w:rsidRPr="00C636EA">
        <w:t xml:space="preserve">Smith, </w:t>
      </w:r>
      <w:r>
        <w:t xml:space="preserve">D.T. </w:t>
      </w:r>
      <w:r w:rsidR="00CF1AE7">
        <w:t>(</w:t>
      </w:r>
      <w:r w:rsidR="00CF1AE7" w:rsidRPr="00C636EA">
        <w:t>1930</w:t>
      </w:r>
      <w:r w:rsidR="00CF1AE7">
        <w:t xml:space="preserve">) </w:t>
      </w:r>
      <w:proofErr w:type="spellStart"/>
      <w:r w:rsidRPr="00C44674">
        <w:t>Fusospirochetal</w:t>
      </w:r>
      <w:proofErr w:type="spellEnd"/>
      <w:r w:rsidRPr="00C44674">
        <w:t xml:space="preserve"> Disease of the Lungs Produced with Cultures from Vincent's Angina</w:t>
      </w:r>
      <w:r w:rsidRPr="00C636EA">
        <w:t xml:space="preserve">. </w:t>
      </w:r>
      <w:r w:rsidRPr="00C44674">
        <w:t>The Journal of Infectious Diseases</w:t>
      </w:r>
      <w:r w:rsidRPr="00C636EA">
        <w:t>, 46, 303-310</w:t>
      </w:r>
      <w:r>
        <w:t>.</w:t>
      </w:r>
      <w:r w:rsidR="00851031">
        <w:t xml:space="preserve"> </w:t>
      </w:r>
      <w:r w:rsidR="00851031" w:rsidRPr="00851031">
        <w:t>https://doi.org/10.1093/infdis/46.4.303</w:t>
      </w:r>
    </w:p>
    <w:p w14:paraId="15D0C729" w14:textId="77777777" w:rsidR="00C44674" w:rsidRDefault="00C44674" w:rsidP="00C44674">
      <w:pPr>
        <w:pStyle w:val="Body"/>
        <w:spacing w:after="0"/>
        <w:ind w:left="360"/>
      </w:pPr>
    </w:p>
    <w:p w14:paraId="7E087E16" w14:textId="5F801E28" w:rsidR="00C44674" w:rsidRDefault="00C44674" w:rsidP="003502AF">
      <w:pPr>
        <w:pStyle w:val="Body"/>
        <w:numPr>
          <w:ilvl w:val="0"/>
          <w:numId w:val="31"/>
        </w:numPr>
        <w:spacing w:after="0"/>
      </w:pPr>
      <w:r w:rsidRPr="00C44674">
        <w:t>Park R.W.A.</w:t>
      </w:r>
      <w:r>
        <w:t>;</w:t>
      </w:r>
      <w:r w:rsidRPr="00C44674">
        <w:t xml:space="preserve"> </w:t>
      </w:r>
      <w:proofErr w:type="spellStart"/>
      <w:r w:rsidRPr="00C44674">
        <w:t>Jeynes</w:t>
      </w:r>
      <w:proofErr w:type="spellEnd"/>
      <w:r w:rsidRPr="00C44674">
        <w:t xml:space="preserve"> M.H.</w:t>
      </w:r>
      <w:r w:rsidR="00CF1AE7">
        <w:t xml:space="preserve"> (1959)</w:t>
      </w:r>
      <w:r w:rsidRPr="00C44674">
        <w:t xml:space="preserve"> Identity of the so-called </w:t>
      </w:r>
      <w:proofErr w:type="spellStart"/>
      <w:r w:rsidRPr="00C44674">
        <w:t>vibrios</w:t>
      </w:r>
      <w:proofErr w:type="spellEnd"/>
      <w:r w:rsidRPr="00C44674">
        <w:t xml:space="preserve"> of the oral flora</w:t>
      </w:r>
      <w:r>
        <w:t xml:space="preserve"> </w:t>
      </w:r>
      <w:r w:rsidRPr="00C44674">
        <w:t>https://journals.asm.org/doi/pdf/10.1128/jb.77.5.667-667.</w:t>
      </w:r>
    </w:p>
    <w:p w14:paraId="21D094E6" w14:textId="77777777" w:rsidR="00CF1AE7" w:rsidRDefault="00CF1AE7" w:rsidP="00CF1AE7">
      <w:pPr>
        <w:pStyle w:val="Body"/>
        <w:spacing w:after="0"/>
        <w:ind w:left="360"/>
      </w:pPr>
    </w:p>
    <w:p w14:paraId="59937CCB" w14:textId="7BA39EA1" w:rsidR="00CF1AE7" w:rsidRDefault="00CF1AE7" w:rsidP="00CF1AE7">
      <w:pPr>
        <w:pStyle w:val="Body"/>
        <w:numPr>
          <w:ilvl w:val="0"/>
          <w:numId w:val="31"/>
        </w:numPr>
      </w:pPr>
      <w:r>
        <w:t>Gibbons, R.J; Van Houte J. (1975). Bacterial adherence in oral microbial ecology. Annual Review of Microbiology, 29: 19-42.</w:t>
      </w:r>
      <w:r w:rsidR="00851031" w:rsidRPr="00851031">
        <w:t xml:space="preserve"> https://doi.org/10.1146/annurev.mi.29.100175.000315</w:t>
      </w:r>
    </w:p>
    <w:p w14:paraId="73C390E2" w14:textId="49E9EA5D" w:rsidR="00576097" w:rsidRDefault="00576097" w:rsidP="00576097">
      <w:pPr>
        <w:pStyle w:val="Body"/>
        <w:numPr>
          <w:ilvl w:val="0"/>
          <w:numId w:val="31"/>
        </w:numPr>
        <w:spacing w:after="0"/>
      </w:pPr>
      <w:r w:rsidRPr="00CF1AE7">
        <w:t>Loesche W</w:t>
      </w:r>
      <w:r w:rsidR="00ED382E">
        <w:t>.</w:t>
      </w:r>
      <w:r w:rsidRPr="00CF1AE7">
        <w:t>J, Syed S</w:t>
      </w:r>
      <w:r w:rsidR="00ED382E">
        <w:t>.</w:t>
      </w:r>
      <w:r w:rsidRPr="00CF1AE7">
        <w:t xml:space="preserve">A, Schmidt E, Morrison EC. </w:t>
      </w:r>
      <w:r w:rsidR="00ED382E">
        <w:t>(</w:t>
      </w:r>
      <w:r w:rsidR="00ED382E" w:rsidRPr="00CF1AE7">
        <w:t>1985</w:t>
      </w:r>
      <w:r w:rsidR="00ED382E">
        <w:t xml:space="preserve">) </w:t>
      </w:r>
      <w:r w:rsidRPr="00CF1AE7">
        <w:t xml:space="preserve">Bacterial profiles of subgingival plaques in periodontitis. J </w:t>
      </w:r>
      <w:proofErr w:type="spellStart"/>
      <w:r w:rsidRPr="00CF1AE7">
        <w:t>Periodontol</w:t>
      </w:r>
      <w:proofErr w:type="spellEnd"/>
      <w:r w:rsidRPr="00CF1AE7">
        <w:t xml:space="preserve">. Aug;56(8):447-56. </w:t>
      </w:r>
      <w:r w:rsidR="00D90D9B" w:rsidRPr="00D90D9B">
        <w:t>https://doi.org/10.1902/jop.1985.56.8.447</w:t>
      </w:r>
    </w:p>
    <w:p w14:paraId="3AA3B015" w14:textId="77777777" w:rsidR="00851031" w:rsidRDefault="00851031" w:rsidP="00851031">
      <w:pPr>
        <w:pStyle w:val="Body"/>
        <w:spacing w:after="0"/>
        <w:ind w:left="360"/>
      </w:pPr>
    </w:p>
    <w:p w14:paraId="4C946D08" w14:textId="1C1CE7D9" w:rsidR="00ED7713" w:rsidRPr="00686471" w:rsidRDefault="002510FB" w:rsidP="004B5817">
      <w:pPr>
        <w:pStyle w:val="Body"/>
        <w:numPr>
          <w:ilvl w:val="0"/>
          <w:numId w:val="31"/>
        </w:numPr>
      </w:pPr>
      <w:r w:rsidRPr="002510FB">
        <w:t>Lin, Y., Liang, X., Li, Z., Gong, T., Ren, B., Li, Y., &amp; Peng, X. (2024). Omics for deciphering oral microecology. </w:t>
      </w:r>
      <w:r w:rsidRPr="002510FB">
        <w:rPr>
          <w:i/>
          <w:iCs/>
        </w:rPr>
        <w:t>International Journal of Oral Science</w:t>
      </w:r>
      <w:r w:rsidRPr="002510FB">
        <w:t>, </w:t>
      </w:r>
      <w:r w:rsidRPr="002510FB">
        <w:rPr>
          <w:i/>
          <w:iCs/>
        </w:rPr>
        <w:t>16</w:t>
      </w:r>
      <w:r w:rsidRPr="002510FB">
        <w:t>(1), 2.</w:t>
      </w:r>
      <w:r w:rsidR="00ED7713" w:rsidRPr="00ED7713">
        <w:t xml:space="preserve"> </w:t>
      </w:r>
      <w:r w:rsidR="00B66A4B" w:rsidRPr="00B66A4B">
        <w:t>https://doi.org/10.1038/s41368-023-00264-x</w:t>
      </w:r>
    </w:p>
    <w:p w14:paraId="20B175D2" w14:textId="348BA9A8" w:rsidR="004B5817" w:rsidRDefault="004B5817" w:rsidP="004B5817">
      <w:pPr>
        <w:pStyle w:val="Body"/>
        <w:numPr>
          <w:ilvl w:val="0"/>
          <w:numId w:val="31"/>
        </w:numPr>
        <w:rPr>
          <w:lang w:val="pt-PT"/>
        </w:rPr>
      </w:pPr>
      <w:r w:rsidRPr="00B12129">
        <w:rPr>
          <w:lang w:val="pt-PT"/>
        </w:rPr>
        <w:t>Guastaldi, A.C.</w:t>
      </w:r>
      <w:r>
        <w:rPr>
          <w:lang w:val="pt-PT"/>
        </w:rPr>
        <w:t>;</w:t>
      </w:r>
      <w:r w:rsidRPr="00B12129">
        <w:rPr>
          <w:lang w:val="pt-PT"/>
        </w:rPr>
        <w:t xml:space="preserve"> Aparecida, A.H. (2010). Fosfatos de cálcio de interesse biológico: importância como biomateriais, propriedades e métodos de obtenção de recobrimentos. Química Nova, 33(6): 1352-1358.</w:t>
      </w:r>
      <w:r w:rsidR="00B66A4B">
        <w:rPr>
          <w:lang w:val="pt-PT"/>
        </w:rPr>
        <w:t xml:space="preserve"> </w:t>
      </w:r>
      <w:r w:rsidR="00B66A4B" w:rsidRPr="00B66A4B">
        <w:rPr>
          <w:lang w:val="pt-PT"/>
        </w:rPr>
        <w:t>https://doi.org/10.1590/S0100-40422010000600025</w:t>
      </w:r>
    </w:p>
    <w:p w14:paraId="40E114B5" w14:textId="77777777" w:rsidR="00576097" w:rsidRDefault="00576097">
      <w:pPr>
        <w:pStyle w:val="Body"/>
        <w:spacing w:after="0"/>
      </w:pPr>
    </w:p>
    <w:sectPr w:rsidR="00576097" w:rsidSect="003724B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EFDBD" w14:textId="77777777" w:rsidR="00FA134D" w:rsidRDefault="00FA134D" w:rsidP="00C37E61">
      <w:r>
        <w:separator/>
      </w:r>
    </w:p>
  </w:endnote>
  <w:endnote w:type="continuationSeparator" w:id="0">
    <w:p w14:paraId="4E199C30" w14:textId="77777777" w:rsidR="00FA134D" w:rsidRDefault="00FA134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64FD" w14:textId="77777777" w:rsidR="009E048A" w:rsidRDefault="009E048A">
    <w:pPr>
      <w:pStyle w:val="Rodap"/>
      <w:rPr>
        <w:rFonts w:ascii="Arial" w:hAnsi="Arial" w:cs="Arial"/>
        <w:sz w:val="16"/>
      </w:rPr>
    </w:pPr>
  </w:p>
  <w:p w14:paraId="02AB19B4" w14:textId="77777777" w:rsidR="009E048A" w:rsidRDefault="009E048A" w:rsidP="009E048A">
    <w:pPr>
      <w:pStyle w:val="Rodap"/>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19B3C8" w14:textId="2BBA2946" w:rsidR="00754C9A" w:rsidRPr="009E048A" w:rsidRDefault="00754C9A">
    <w:pPr>
      <w:pStyle w:val="Rodap"/>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445F8" w14:textId="77777777" w:rsidR="00FA134D" w:rsidRDefault="00FA134D" w:rsidP="00C37E61">
      <w:r>
        <w:separator/>
      </w:r>
    </w:p>
  </w:footnote>
  <w:footnote w:type="continuationSeparator" w:id="0">
    <w:p w14:paraId="0AFCCFAF" w14:textId="77777777" w:rsidR="00FA134D" w:rsidRDefault="00FA134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DCD6" w14:textId="49B7B93F" w:rsidR="003724B3" w:rsidRDefault="00000000">
    <w:pPr>
      <w:pStyle w:val="Cabealho"/>
    </w:pPr>
    <w:r>
      <w:rPr>
        <w:noProof/>
      </w:rPr>
      <w:pict w14:anchorId="26C0B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DB2F" w14:textId="6F6C3916" w:rsidR="003724B3" w:rsidRDefault="00000000">
    <w:pPr>
      <w:pStyle w:val="Cabealho"/>
    </w:pPr>
    <w:r>
      <w:rPr>
        <w:noProof/>
      </w:rPr>
      <w:pict w14:anchorId="20FEF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3885" w14:textId="29AA26B4" w:rsidR="00296529" w:rsidRPr="00296529" w:rsidRDefault="00000000" w:rsidP="00296529">
    <w:pPr>
      <w:ind w:left="2160"/>
      <w:jc w:val="center"/>
      <w:rPr>
        <w:rFonts w:ascii="Times New Roman" w:eastAsia="Calibri" w:hAnsi="Times New Roman"/>
        <w:i/>
        <w:sz w:val="18"/>
        <w:szCs w:val="22"/>
      </w:rPr>
    </w:pPr>
    <w:r>
      <w:rPr>
        <w:noProof/>
      </w:rPr>
      <w:pict w14:anchorId="21ED5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E00E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924EF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2ECE24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B28C1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B66D8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94E64D" w14:textId="77777777" w:rsidR="00296529" w:rsidRDefault="00754C9A">
    <w:pPr>
      <w:pStyle w:val="Cabealh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7332E"/>
    <w:multiLevelType w:val="hybridMultilevel"/>
    <w:tmpl w:val="68A04C38"/>
    <w:lvl w:ilvl="0" w:tplc="5CD01B16">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77511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9332470">
    <w:abstractNumId w:val="15"/>
  </w:num>
  <w:num w:numId="3" w16cid:durableId="293027041">
    <w:abstractNumId w:val="23"/>
  </w:num>
  <w:num w:numId="4" w16cid:durableId="56426521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85052380">
    <w:abstractNumId w:val="7"/>
  </w:num>
  <w:num w:numId="6" w16cid:durableId="1871335380">
    <w:abstractNumId w:val="6"/>
  </w:num>
  <w:num w:numId="7" w16cid:durableId="826432972">
    <w:abstractNumId w:val="1"/>
  </w:num>
  <w:num w:numId="8" w16cid:durableId="1915581708">
    <w:abstractNumId w:val="12"/>
  </w:num>
  <w:num w:numId="9" w16cid:durableId="605892371">
    <w:abstractNumId w:val="26"/>
  </w:num>
  <w:num w:numId="10" w16cid:durableId="1413505358">
    <w:abstractNumId w:val="2"/>
  </w:num>
  <w:num w:numId="11" w16cid:durableId="518617963">
    <w:abstractNumId w:val="18"/>
  </w:num>
  <w:num w:numId="12" w16cid:durableId="1047145178">
    <w:abstractNumId w:val="3"/>
  </w:num>
  <w:num w:numId="13" w16cid:durableId="1103914545">
    <w:abstractNumId w:val="17"/>
  </w:num>
  <w:num w:numId="14" w16cid:durableId="2028284977">
    <w:abstractNumId w:val="8"/>
  </w:num>
  <w:num w:numId="15" w16cid:durableId="226965483">
    <w:abstractNumId w:val="21"/>
  </w:num>
  <w:num w:numId="16" w16cid:durableId="1660115029">
    <w:abstractNumId w:val="5"/>
  </w:num>
  <w:num w:numId="17" w16cid:durableId="1016735263">
    <w:abstractNumId w:val="22"/>
  </w:num>
  <w:num w:numId="18" w16cid:durableId="788860666">
    <w:abstractNumId w:val="14"/>
  </w:num>
  <w:num w:numId="19" w16cid:durableId="1797138143">
    <w:abstractNumId w:val="29"/>
  </w:num>
  <w:num w:numId="20" w16cid:durableId="823394701">
    <w:abstractNumId w:val="11"/>
  </w:num>
  <w:num w:numId="21" w16cid:durableId="957220947">
    <w:abstractNumId w:val="9"/>
  </w:num>
  <w:num w:numId="22" w16cid:durableId="2015722715">
    <w:abstractNumId w:val="13"/>
  </w:num>
  <w:num w:numId="23" w16cid:durableId="1249120195">
    <w:abstractNumId w:val="19"/>
  </w:num>
  <w:num w:numId="24" w16cid:durableId="2013101036">
    <w:abstractNumId w:val="27"/>
  </w:num>
  <w:num w:numId="25" w16cid:durableId="853106154">
    <w:abstractNumId w:val="4"/>
  </w:num>
  <w:num w:numId="26" w16cid:durableId="6103430">
    <w:abstractNumId w:val="16"/>
  </w:num>
  <w:num w:numId="27" w16cid:durableId="1959871644">
    <w:abstractNumId w:val="20"/>
  </w:num>
  <w:num w:numId="28" w16cid:durableId="28457849">
    <w:abstractNumId w:val="28"/>
  </w:num>
  <w:num w:numId="29" w16cid:durableId="424348323">
    <w:abstractNumId w:val="24"/>
  </w:num>
  <w:num w:numId="30" w16cid:durableId="2146464791">
    <w:abstractNumId w:val="10"/>
  </w:num>
  <w:num w:numId="31" w16cid:durableId="4752680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665"/>
    <w:rsid w:val="00030174"/>
    <w:rsid w:val="00032963"/>
    <w:rsid w:val="000335F7"/>
    <w:rsid w:val="00034AD8"/>
    <w:rsid w:val="00036D4E"/>
    <w:rsid w:val="00042FE4"/>
    <w:rsid w:val="0004579C"/>
    <w:rsid w:val="00051C05"/>
    <w:rsid w:val="00053161"/>
    <w:rsid w:val="00071AC4"/>
    <w:rsid w:val="00073434"/>
    <w:rsid w:val="000736C2"/>
    <w:rsid w:val="00083B5D"/>
    <w:rsid w:val="00085ABC"/>
    <w:rsid w:val="00097E52"/>
    <w:rsid w:val="000A1584"/>
    <w:rsid w:val="000A47FA"/>
    <w:rsid w:val="000A65D3"/>
    <w:rsid w:val="000A6889"/>
    <w:rsid w:val="000B1E33"/>
    <w:rsid w:val="000B7ECC"/>
    <w:rsid w:val="000C0397"/>
    <w:rsid w:val="000C4789"/>
    <w:rsid w:val="000C59DF"/>
    <w:rsid w:val="000D1247"/>
    <w:rsid w:val="000D3D5B"/>
    <w:rsid w:val="000D5BBA"/>
    <w:rsid w:val="000D689F"/>
    <w:rsid w:val="000E1B46"/>
    <w:rsid w:val="000E4A3D"/>
    <w:rsid w:val="000E619A"/>
    <w:rsid w:val="000E7B7B"/>
    <w:rsid w:val="000E7D62"/>
    <w:rsid w:val="000F7CC1"/>
    <w:rsid w:val="00101BB9"/>
    <w:rsid w:val="00103357"/>
    <w:rsid w:val="00110034"/>
    <w:rsid w:val="00110176"/>
    <w:rsid w:val="00112DFB"/>
    <w:rsid w:val="00123C9F"/>
    <w:rsid w:val="00126190"/>
    <w:rsid w:val="00130F17"/>
    <w:rsid w:val="001320BF"/>
    <w:rsid w:val="001337CC"/>
    <w:rsid w:val="001360D2"/>
    <w:rsid w:val="00144B8F"/>
    <w:rsid w:val="0015741F"/>
    <w:rsid w:val="00160CC4"/>
    <w:rsid w:val="00162E28"/>
    <w:rsid w:val="00162E34"/>
    <w:rsid w:val="00163BC4"/>
    <w:rsid w:val="001675ED"/>
    <w:rsid w:val="0017171B"/>
    <w:rsid w:val="0017538C"/>
    <w:rsid w:val="00191062"/>
    <w:rsid w:val="00192B72"/>
    <w:rsid w:val="00195EBF"/>
    <w:rsid w:val="00196ADA"/>
    <w:rsid w:val="00197264"/>
    <w:rsid w:val="001A2293"/>
    <w:rsid w:val="001A29D8"/>
    <w:rsid w:val="001A5CAA"/>
    <w:rsid w:val="001A6475"/>
    <w:rsid w:val="001B03D6"/>
    <w:rsid w:val="001B0427"/>
    <w:rsid w:val="001C0576"/>
    <w:rsid w:val="001C1896"/>
    <w:rsid w:val="001C3555"/>
    <w:rsid w:val="001C4C6E"/>
    <w:rsid w:val="001C56FD"/>
    <w:rsid w:val="001D076F"/>
    <w:rsid w:val="001D3A51"/>
    <w:rsid w:val="001D615B"/>
    <w:rsid w:val="001E0FDF"/>
    <w:rsid w:val="001E10D2"/>
    <w:rsid w:val="001E19AE"/>
    <w:rsid w:val="001E25B4"/>
    <w:rsid w:val="001E2ED4"/>
    <w:rsid w:val="001E44FE"/>
    <w:rsid w:val="001F55C0"/>
    <w:rsid w:val="00200595"/>
    <w:rsid w:val="00203F6D"/>
    <w:rsid w:val="00204835"/>
    <w:rsid w:val="0020506C"/>
    <w:rsid w:val="00216F7C"/>
    <w:rsid w:val="002172B1"/>
    <w:rsid w:val="002177BA"/>
    <w:rsid w:val="00222308"/>
    <w:rsid w:val="00230091"/>
    <w:rsid w:val="0023061B"/>
    <w:rsid w:val="00231920"/>
    <w:rsid w:val="0023195C"/>
    <w:rsid w:val="0023245F"/>
    <w:rsid w:val="00232C8C"/>
    <w:rsid w:val="002333EF"/>
    <w:rsid w:val="00236919"/>
    <w:rsid w:val="0024282C"/>
    <w:rsid w:val="002448FF"/>
    <w:rsid w:val="002460DC"/>
    <w:rsid w:val="00250985"/>
    <w:rsid w:val="002510FB"/>
    <w:rsid w:val="0025345D"/>
    <w:rsid w:val="0025466E"/>
    <w:rsid w:val="002556F6"/>
    <w:rsid w:val="00255B7A"/>
    <w:rsid w:val="00256940"/>
    <w:rsid w:val="00257BB3"/>
    <w:rsid w:val="00261E59"/>
    <w:rsid w:val="00271ECA"/>
    <w:rsid w:val="002744FD"/>
    <w:rsid w:val="00283105"/>
    <w:rsid w:val="00283519"/>
    <w:rsid w:val="00284C4C"/>
    <w:rsid w:val="00287E68"/>
    <w:rsid w:val="0029100E"/>
    <w:rsid w:val="00296529"/>
    <w:rsid w:val="002A6A8C"/>
    <w:rsid w:val="002A743F"/>
    <w:rsid w:val="002A78DA"/>
    <w:rsid w:val="002B27FB"/>
    <w:rsid w:val="002B685A"/>
    <w:rsid w:val="002C48B4"/>
    <w:rsid w:val="002C57D2"/>
    <w:rsid w:val="002C61F5"/>
    <w:rsid w:val="002D518B"/>
    <w:rsid w:val="002D5D83"/>
    <w:rsid w:val="002E0D56"/>
    <w:rsid w:val="002E1DEA"/>
    <w:rsid w:val="002E1E34"/>
    <w:rsid w:val="002E1FA5"/>
    <w:rsid w:val="002E370F"/>
    <w:rsid w:val="002E6D62"/>
    <w:rsid w:val="002F0165"/>
    <w:rsid w:val="002F0AEA"/>
    <w:rsid w:val="002F2AE2"/>
    <w:rsid w:val="0030085D"/>
    <w:rsid w:val="00304EC7"/>
    <w:rsid w:val="00310124"/>
    <w:rsid w:val="003150AD"/>
    <w:rsid w:val="00315186"/>
    <w:rsid w:val="0032086E"/>
    <w:rsid w:val="0033083F"/>
    <w:rsid w:val="0033343E"/>
    <w:rsid w:val="00335EA4"/>
    <w:rsid w:val="0034326B"/>
    <w:rsid w:val="00350C87"/>
    <w:rsid w:val="003512C2"/>
    <w:rsid w:val="00351E9D"/>
    <w:rsid w:val="00355775"/>
    <w:rsid w:val="003634B1"/>
    <w:rsid w:val="00363AD0"/>
    <w:rsid w:val="00365647"/>
    <w:rsid w:val="00371FB6"/>
    <w:rsid w:val="003724B3"/>
    <w:rsid w:val="003732F6"/>
    <w:rsid w:val="003750CD"/>
    <w:rsid w:val="003763C1"/>
    <w:rsid w:val="00376BBE"/>
    <w:rsid w:val="003871C0"/>
    <w:rsid w:val="003876C4"/>
    <w:rsid w:val="0039224F"/>
    <w:rsid w:val="00393511"/>
    <w:rsid w:val="00397927"/>
    <w:rsid w:val="003A212E"/>
    <w:rsid w:val="003A3983"/>
    <w:rsid w:val="003A43A4"/>
    <w:rsid w:val="003A4A47"/>
    <w:rsid w:val="003A7E18"/>
    <w:rsid w:val="003B12FE"/>
    <w:rsid w:val="003B2511"/>
    <w:rsid w:val="003B3BA9"/>
    <w:rsid w:val="003C4C86"/>
    <w:rsid w:val="003C6258"/>
    <w:rsid w:val="003D463A"/>
    <w:rsid w:val="003E2904"/>
    <w:rsid w:val="003E34EA"/>
    <w:rsid w:val="003E3750"/>
    <w:rsid w:val="003F6264"/>
    <w:rsid w:val="003F7B5B"/>
    <w:rsid w:val="00400436"/>
    <w:rsid w:val="00401927"/>
    <w:rsid w:val="004046CA"/>
    <w:rsid w:val="0041027F"/>
    <w:rsid w:val="00412475"/>
    <w:rsid w:val="00423789"/>
    <w:rsid w:val="00424AD0"/>
    <w:rsid w:val="00440F43"/>
    <w:rsid w:val="00441B6F"/>
    <w:rsid w:val="00443ECE"/>
    <w:rsid w:val="00444AC0"/>
    <w:rsid w:val="00446221"/>
    <w:rsid w:val="00450E62"/>
    <w:rsid w:val="004539DB"/>
    <w:rsid w:val="0045680E"/>
    <w:rsid w:val="00457A20"/>
    <w:rsid w:val="00460663"/>
    <w:rsid w:val="00463AB3"/>
    <w:rsid w:val="00463C4F"/>
    <w:rsid w:val="00470705"/>
    <w:rsid w:val="00471A80"/>
    <w:rsid w:val="004747FB"/>
    <w:rsid w:val="004777AF"/>
    <w:rsid w:val="00482059"/>
    <w:rsid w:val="00493B26"/>
    <w:rsid w:val="00497BED"/>
    <w:rsid w:val="004A048F"/>
    <w:rsid w:val="004A05AA"/>
    <w:rsid w:val="004B5817"/>
    <w:rsid w:val="004B5B8B"/>
    <w:rsid w:val="004C1736"/>
    <w:rsid w:val="004C3BB5"/>
    <w:rsid w:val="004D262E"/>
    <w:rsid w:val="004D305E"/>
    <w:rsid w:val="004D422C"/>
    <w:rsid w:val="004D4277"/>
    <w:rsid w:val="004D5CBC"/>
    <w:rsid w:val="004D7A7E"/>
    <w:rsid w:val="004E439E"/>
    <w:rsid w:val="004F0540"/>
    <w:rsid w:val="00502516"/>
    <w:rsid w:val="00505C90"/>
    <w:rsid w:val="00505F06"/>
    <w:rsid w:val="0050624E"/>
    <w:rsid w:val="00506828"/>
    <w:rsid w:val="00511105"/>
    <w:rsid w:val="00520452"/>
    <w:rsid w:val="00520793"/>
    <w:rsid w:val="0052552A"/>
    <w:rsid w:val="0053056E"/>
    <w:rsid w:val="00531C52"/>
    <w:rsid w:val="00532969"/>
    <w:rsid w:val="00535374"/>
    <w:rsid w:val="00537CDF"/>
    <w:rsid w:val="0055035B"/>
    <w:rsid w:val="00554FDA"/>
    <w:rsid w:val="00556557"/>
    <w:rsid w:val="005649DE"/>
    <w:rsid w:val="00565379"/>
    <w:rsid w:val="005707F1"/>
    <w:rsid w:val="00574928"/>
    <w:rsid w:val="00576097"/>
    <w:rsid w:val="00582220"/>
    <w:rsid w:val="00585971"/>
    <w:rsid w:val="0059003E"/>
    <w:rsid w:val="00595E74"/>
    <w:rsid w:val="005B2D44"/>
    <w:rsid w:val="005B51B0"/>
    <w:rsid w:val="005C2688"/>
    <w:rsid w:val="005C3E21"/>
    <w:rsid w:val="005C5A08"/>
    <w:rsid w:val="005C784C"/>
    <w:rsid w:val="005D17F6"/>
    <w:rsid w:val="005D2102"/>
    <w:rsid w:val="005D7C49"/>
    <w:rsid w:val="005E42B1"/>
    <w:rsid w:val="005E5539"/>
    <w:rsid w:val="005E667C"/>
    <w:rsid w:val="005F26C0"/>
    <w:rsid w:val="00602BF5"/>
    <w:rsid w:val="0060620B"/>
    <w:rsid w:val="00612F07"/>
    <w:rsid w:val="00617FDD"/>
    <w:rsid w:val="006208DC"/>
    <w:rsid w:val="00622868"/>
    <w:rsid w:val="0062381F"/>
    <w:rsid w:val="006243DA"/>
    <w:rsid w:val="006251CE"/>
    <w:rsid w:val="00625ADF"/>
    <w:rsid w:val="0062667A"/>
    <w:rsid w:val="00627A52"/>
    <w:rsid w:val="00631681"/>
    <w:rsid w:val="00633614"/>
    <w:rsid w:val="00633F68"/>
    <w:rsid w:val="00636EB2"/>
    <w:rsid w:val="006375B8"/>
    <w:rsid w:val="00643E11"/>
    <w:rsid w:val="00645466"/>
    <w:rsid w:val="00650F69"/>
    <w:rsid w:val="00652437"/>
    <w:rsid w:val="0065523B"/>
    <w:rsid w:val="00661E23"/>
    <w:rsid w:val="00663FA7"/>
    <w:rsid w:val="0066510A"/>
    <w:rsid w:val="006654C0"/>
    <w:rsid w:val="00673F9F"/>
    <w:rsid w:val="00686471"/>
    <w:rsid w:val="00686953"/>
    <w:rsid w:val="00687DEA"/>
    <w:rsid w:val="00687E67"/>
    <w:rsid w:val="00691F58"/>
    <w:rsid w:val="006967F7"/>
    <w:rsid w:val="00696D5E"/>
    <w:rsid w:val="00696FE8"/>
    <w:rsid w:val="006A250C"/>
    <w:rsid w:val="006A7A30"/>
    <w:rsid w:val="006B21D3"/>
    <w:rsid w:val="006B57D0"/>
    <w:rsid w:val="006D30FF"/>
    <w:rsid w:val="006D6940"/>
    <w:rsid w:val="006D7F7E"/>
    <w:rsid w:val="006E6A63"/>
    <w:rsid w:val="006F0996"/>
    <w:rsid w:val="006F0BCB"/>
    <w:rsid w:val="006F0CE2"/>
    <w:rsid w:val="006F11EC"/>
    <w:rsid w:val="006F2794"/>
    <w:rsid w:val="006F347D"/>
    <w:rsid w:val="006F412B"/>
    <w:rsid w:val="006F7613"/>
    <w:rsid w:val="00700281"/>
    <w:rsid w:val="0070082C"/>
    <w:rsid w:val="007016FC"/>
    <w:rsid w:val="00701A90"/>
    <w:rsid w:val="00702575"/>
    <w:rsid w:val="0071752D"/>
    <w:rsid w:val="00717C56"/>
    <w:rsid w:val="00720DC5"/>
    <w:rsid w:val="007215EE"/>
    <w:rsid w:val="00725CBC"/>
    <w:rsid w:val="007266F3"/>
    <w:rsid w:val="00735D25"/>
    <w:rsid w:val="007369E6"/>
    <w:rsid w:val="00746E59"/>
    <w:rsid w:val="00751852"/>
    <w:rsid w:val="00751998"/>
    <w:rsid w:val="00754C9A"/>
    <w:rsid w:val="0075599A"/>
    <w:rsid w:val="007612B1"/>
    <w:rsid w:val="00761D52"/>
    <w:rsid w:val="00762C2D"/>
    <w:rsid w:val="00766325"/>
    <w:rsid w:val="007705BF"/>
    <w:rsid w:val="00770956"/>
    <w:rsid w:val="00774F70"/>
    <w:rsid w:val="00775B9D"/>
    <w:rsid w:val="00776AF9"/>
    <w:rsid w:val="0077749E"/>
    <w:rsid w:val="00777C4F"/>
    <w:rsid w:val="00785E93"/>
    <w:rsid w:val="00787583"/>
    <w:rsid w:val="00790ADA"/>
    <w:rsid w:val="00792E3D"/>
    <w:rsid w:val="00796A30"/>
    <w:rsid w:val="00797F53"/>
    <w:rsid w:val="007B5D8F"/>
    <w:rsid w:val="007B73E6"/>
    <w:rsid w:val="007C797A"/>
    <w:rsid w:val="007D2288"/>
    <w:rsid w:val="007E0372"/>
    <w:rsid w:val="007E088F"/>
    <w:rsid w:val="007E4B02"/>
    <w:rsid w:val="007F553C"/>
    <w:rsid w:val="007F7B32"/>
    <w:rsid w:val="00804BC2"/>
    <w:rsid w:val="0081431A"/>
    <w:rsid w:val="00817B0E"/>
    <w:rsid w:val="0082301E"/>
    <w:rsid w:val="00827C66"/>
    <w:rsid w:val="0083216F"/>
    <w:rsid w:val="00836856"/>
    <w:rsid w:val="00844093"/>
    <w:rsid w:val="00851031"/>
    <w:rsid w:val="008548B0"/>
    <w:rsid w:val="00854E71"/>
    <w:rsid w:val="00860000"/>
    <w:rsid w:val="00863BD3"/>
    <w:rsid w:val="00863D71"/>
    <w:rsid w:val="008641ED"/>
    <w:rsid w:val="00866D66"/>
    <w:rsid w:val="008671C6"/>
    <w:rsid w:val="00872164"/>
    <w:rsid w:val="00875803"/>
    <w:rsid w:val="008A30EF"/>
    <w:rsid w:val="008A3F77"/>
    <w:rsid w:val="008B09F4"/>
    <w:rsid w:val="008B3B83"/>
    <w:rsid w:val="008B459E"/>
    <w:rsid w:val="008B6CA6"/>
    <w:rsid w:val="008C21FD"/>
    <w:rsid w:val="008D0741"/>
    <w:rsid w:val="008D67C1"/>
    <w:rsid w:val="008E13AE"/>
    <w:rsid w:val="008E1506"/>
    <w:rsid w:val="008E4C6D"/>
    <w:rsid w:val="008E6849"/>
    <w:rsid w:val="008E710C"/>
    <w:rsid w:val="008F55F3"/>
    <w:rsid w:val="008F64C4"/>
    <w:rsid w:val="008F69D6"/>
    <w:rsid w:val="009016CA"/>
    <w:rsid w:val="00902823"/>
    <w:rsid w:val="00905383"/>
    <w:rsid w:val="00907DAD"/>
    <w:rsid w:val="009107AD"/>
    <w:rsid w:val="009127AC"/>
    <w:rsid w:val="00915CA6"/>
    <w:rsid w:val="00921607"/>
    <w:rsid w:val="00927834"/>
    <w:rsid w:val="0094025F"/>
    <w:rsid w:val="0094079E"/>
    <w:rsid w:val="009500A6"/>
    <w:rsid w:val="00952712"/>
    <w:rsid w:val="00952F75"/>
    <w:rsid w:val="00957C18"/>
    <w:rsid w:val="009607FB"/>
    <w:rsid w:val="00963FD1"/>
    <w:rsid w:val="009659BA"/>
    <w:rsid w:val="009673F3"/>
    <w:rsid w:val="0096780D"/>
    <w:rsid w:val="00967CCA"/>
    <w:rsid w:val="0097426E"/>
    <w:rsid w:val="009777B6"/>
    <w:rsid w:val="00983040"/>
    <w:rsid w:val="0099285E"/>
    <w:rsid w:val="00996C24"/>
    <w:rsid w:val="009A009D"/>
    <w:rsid w:val="009A0508"/>
    <w:rsid w:val="009A1402"/>
    <w:rsid w:val="009A2E9B"/>
    <w:rsid w:val="009A3D49"/>
    <w:rsid w:val="009A5099"/>
    <w:rsid w:val="009B0D28"/>
    <w:rsid w:val="009B3FB9"/>
    <w:rsid w:val="009C2465"/>
    <w:rsid w:val="009C26AF"/>
    <w:rsid w:val="009C3489"/>
    <w:rsid w:val="009C4A9F"/>
    <w:rsid w:val="009D2F62"/>
    <w:rsid w:val="009D35A0"/>
    <w:rsid w:val="009D4534"/>
    <w:rsid w:val="009D628E"/>
    <w:rsid w:val="009D7EB7"/>
    <w:rsid w:val="009E048A"/>
    <w:rsid w:val="009E08E9"/>
    <w:rsid w:val="009E2022"/>
    <w:rsid w:val="009E3DB9"/>
    <w:rsid w:val="009E4452"/>
    <w:rsid w:val="009E53B0"/>
    <w:rsid w:val="009E6E35"/>
    <w:rsid w:val="009F0EDA"/>
    <w:rsid w:val="009F520A"/>
    <w:rsid w:val="00A00A79"/>
    <w:rsid w:val="00A03B96"/>
    <w:rsid w:val="00A05B19"/>
    <w:rsid w:val="00A06143"/>
    <w:rsid w:val="00A0695F"/>
    <w:rsid w:val="00A1134E"/>
    <w:rsid w:val="00A14502"/>
    <w:rsid w:val="00A24E7E"/>
    <w:rsid w:val="00A258C3"/>
    <w:rsid w:val="00A31451"/>
    <w:rsid w:val="00A347C0"/>
    <w:rsid w:val="00A37AE2"/>
    <w:rsid w:val="00A407DA"/>
    <w:rsid w:val="00A51431"/>
    <w:rsid w:val="00A5192B"/>
    <w:rsid w:val="00A539AD"/>
    <w:rsid w:val="00A54BC4"/>
    <w:rsid w:val="00A54E74"/>
    <w:rsid w:val="00A71ECA"/>
    <w:rsid w:val="00A77334"/>
    <w:rsid w:val="00A80716"/>
    <w:rsid w:val="00A86D6A"/>
    <w:rsid w:val="00A94063"/>
    <w:rsid w:val="00A977C7"/>
    <w:rsid w:val="00AA6219"/>
    <w:rsid w:val="00AA6869"/>
    <w:rsid w:val="00AA74E0"/>
    <w:rsid w:val="00AB11C9"/>
    <w:rsid w:val="00AB17C8"/>
    <w:rsid w:val="00AB4199"/>
    <w:rsid w:val="00AB703F"/>
    <w:rsid w:val="00AC4E53"/>
    <w:rsid w:val="00AC6BB8"/>
    <w:rsid w:val="00AC6F84"/>
    <w:rsid w:val="00AD2315"/>
    <w:rsid w:val="00AD5225"/>
    <w:rsid w:val="00AE008F"/>
    <w:rsid w:val="00AE6AE5"/>
    <w:rsid w:val="00AF08C5"/>
    <w:rsid w:val="00AF6FD4"/>
    <w:rsid w:val="00B01FCD"/>
    <w:rsid w:val="00B0603B"/>
    <w:rsid w:val="00B12129"/>
    <w:rsid w:val="00B16B31"/>
    <w:rsid w:val="00B1776C"/>
    <w:rsid w:val="00B269B3"/>
    <w:rsid w:val="00B32AC9"/>
    <w:rsid w:val="00B32EDC"/>
    <w:rsid w:val="00B34C59"/>
    <w:rsid w:val="00B36E09"/>
    <w:rsid w:val="00B42DCE"/>
    <w:rsid w:val="00B43CA5"/>
    <w:rsid w:val="00B4674F"/>
    <w:rsid w:val="00B52583"/>
    <w:rsid w:val="00B52896"/>
    <w:rsid w:val="00B5302C"/>
    <w:rsid w:val="00B62073"/>
    <w:rsid w:val="00B64100"/>
    <w:rsid w:val="00B66A4B"/>
    <w:rsid w:val="00B7108F"/>
    <w:rsid w:val="00B76B7D"/>
    <w:rsid w:val="00B80107"/>
    <w:rsid w:val="00B84AE1"/>
    <w:rsid w:val="00B87843"/>
    <w:rsid w:val="00B9347B"/>
    <w:rsid w:val="00B93DC7"/>
    <w:rsid w:val="00B95236"/>
    <w:rsid w:val="00B96BD9"/>
    <w:rsid w:val="00BA1B01"/>
    <w:rsid w:val="00BA2641"/>
    <w:rsid w:val="00BA3D5C"/>
    <w:rsid w:val="00BA5F51"/>
    <w:rsid w:val="00BB1A97"/>
    <w:rsid w:val="00BB37AA"/>
    <w:rsid w:val="00BC53A0"/>
    <w:rsid w:val="00BC6AC1"/>
    <w:rsid w:val="00BD0BC8"/>
    <w:rsid w:val="00BD6797"/>
    <w:rsid w:val="00BD7F70"/>
    <w:rsid w:val="00BE4F22"/>
    <w:rsid w:val="00BE598F"/>
    <w:rsid w:val="00BE62AD"/>
    <w:rsid w:val="00BF121F"/>
    <w:rsid w:val="00BF1F80"/>
    <w:rsid w:val="00BF5A38"/>
    <w:rsid w:val="00BF6F95"/>
    <w:rsid w:val="00C01472"/>
    <w:rsid w:val="00C166EF"/>
    <w:rsid w:val="00C17EB0"/>
    <w:rsid w:val="00C2260A"/>
    <w:rsid w:val="00C2478F"/>
    <w:rsid w:val="00C27F5F"/>
    <w:rsid w:val="00C30A0F"/>
    <w:rsid w:val="00C37E61"/>
    <w:rsid w:val="00C43784"/>
    <w:rsid w:val="00C443B3"/>
    <w:rsid w:val="00C44674"/>
    <w:rsid w:val="00C46049"/>
    <w:rsid w:val="00C579ED"/>
    <w:rsid w:val="00C636EA"/>
    <w:rsid w:val="00C66216"/>
    <w:rsid w:val="00C66908"/>
    <w:rsid w:val="00C70F1B"/>
    <w:rsid w:val="00C71A47"/>
    <w:rsid w:val="00C745DF"/>
    <w:rsid w:val="00C7464C"/>
    <w:rsid w:val="00C7584E"/>
    <w:rsid w:val="00C7757D"/>
    <w:rsid w:val="00C85588"/>
    <w:rsid w:val="00C85929"/>
    <w:rsid w:val="00C90679"/>
    <w:rsid w:val="00C9150B"/>
    <w:rsid w:val="00C9581D"/>
    <w:rsid w:val="00CA690C"/>
    <w:rsid w:val="00CA7297"/>
    <w:rsid w:val="00CB1F71"/>
    <w:rsid w:val="00CB5598"/>
    <w:rsid w:val="00CB7F85"/>
    <w:rsid w:val="00CD5675"/>
    <w:rsid w:val="00CD5762"/>
    <w:rsid w:val="00CD6755"/>
    <w:rsid w:val="00CD6856"/>
    <w:rsid w:val="00CE0089"/>
    <w:rsid w:val="00CE793C"/>
    <w:rsid w:val="00CF12E7"/>
    <w:rsid w:val="00CF193C"/>
    <w:rsid w:val="00CF1AE7"/>
    <w:rsid w:val="00CF2FEF"/>
    <w:rsid w:val="00CF621D"/>
    <w:rsid w:val="00D00FF8"/>
    <w:rsid w:val="00D031C5"/>
    <w:rsid w:val="00D05CEE"/>
    <w:rsid w:val="00D12679"/>
    <w:rsid w:val="00D129B2"/>
    <w:rsid w:val="00D173F1"/>
    <w:rsid w:val="00D20176"/>
    <w:rsid w:val="00D22518"/>
    <w:rsid w:val="00D25D7B"/>
    <w:rsid w:val="00D25FD6"/>
    <w:rsid w:val="00D4784C"/>
    <w:rsid w:val="00D51DF5"/>
    <w:rsid w:val="00D578A8"/>
    <w:rsid w:val="00D664FA"/>
    <w:rsid w:val="00D705DC"/>
    <w:rsid w:val="00D72B60"/>
    <w:rsid w:val="00D72DDE"/>
    <w:rsid w:val="00D7453F"/>
    <w:rsid w:val="00D74CB0"/>
    <w:rsid w:val="00D8149C"/>
    <w:rsid w:val="00D8295D"/>
    <w:rsid w:val="00D84A17"/>
    <w:rsid w:val="00D90D9B"/>
    <w:rsid w:val="00D94750"/>
    <w:rsid w:val="00DA5C63"/>
    <w:rsid w:val="00DB1D9C"/>
    <w:rsid w:val="00DB2BA3"/>
    <w:rsid w:val="00DC119C"/>
    <w:rsid w:val="00DC2A65"/>
    <w:rsid w:val="00DC3416"/>
    <w:rsid w:val="00DC5AE4"/>
    <w:rsid w:val="00DD25A8"/>
    <w:rsid w:val="00DE060F"/>
    <w:rsid w:val="00DE15F0"/>
    <w:rsid w:val="00DE4411"/>
    <w:rsid w:val="00DE5663"/>
    <w:rsid w:val="00DE78AA"/>
    <w:rsid w:val="00DF0AB7"/>
    <w:rsid w:val="00DF6F43"/>
    <w:rsid w:val="00DF7557"/>
    <w:rsid w:val="00E04C8C"/>
    <w:rsid w:val="00E053D0"/>
    <w:rsid w:val="00E15994"/>
    <w:rsid w:val="00E22E40"/>
    <w:rsid w:val="00E30E06"/>
    <w:rsid w:val="00E3114E"/>
    <w:rsid w:val="00E31A70"/>
    <w:rsid w:val="00E326FD"/>
    <w:rsid w:val="00E32BB7"/>
    <w:rsid w:val="00E3464E"/>
    <w:rsid w:val="00E35B02"/>
    <w:rsid w:val="00E406FB"/>
    <w:rsid w:val="00E4354D"/>
    <w:rsid w:val="00E53F87"/>
    <w:rsid w:val="00E66496"/>
    <w:rsid w:val="00E66B35"/>
    <w:rsid w:val="00E66E10"/>
    <w:rsid w:val="00E7566E"/>
    <w:rsid w:val="00E769F6"/>
    <w:rsid w:val="00E8407C"/>
    <w:rsid w:val="00E844B9"/>
    <w:rsid w:val="00E84F3C"/>
    <w:rsid w:val="00E952B5"/>
    <w:rsid w:val="00EA012C"/>
    <w:rsid w:val="00EA15CB"/>
    <w:rsid w:val="00EA4FD0"/>
    <w:rsid w:val="00EA5E99"/>
    <w:rsid w:val="00EB0974"/>
    <w:rsid w:val="00EC2C00"/>
    <w:rsid w:val="00EC6A55"/>
    <w:rsid w:val="00ED0288"/>
    <w:rsid w:val="00ED03FC"/>
    <w:rsid w:val="00ED2ED8"/>
    <w:rsid w:val="00ED382E"/>
    <w:rsid w:val="00ED40E0"/>
    <w:rsid w:val="00ED52DC"/>
    <w:rsid w:val="00ED53E4"/>
    <w:rsid w:val="00ED56C0"/>
    <w:rsid w:val="00ED68BF"/>
    <w:rsid w:val="00ED7713"/>
    <w:rsid w:val="00EE0076"/>
    <w:rsid w:val="00EE52CB"/>
    <w:rsid w:val="00EF0BA3"/>
    <w:rsid w:val="00EF581D"/>
    <w:rsid w:val="00EF7FD8"/>
    <w:rsid w:val="00F06CBD"/>
    <w:rsid w:val="00F06F59"/>
    <w:rsid w:val="00F16EC8"/>
    <w:rsid w:val="00F17988"/>
    <w:rsid w:val="00F179D0"/>
    <w:rsid w:val="00F20D62"/>
    <w:rsid w:val="00F469F0"/>
    <w:rsid w:val="00F53273"/>
    <w:rsid w:val="00F57DA1"/>
    <w:rsid w:val="00F6069A"/>
    <w:rsid w:val="00F66F88"/>
    <w:rsid w:val="00F7327A"/>
    <w:rsid w:val="00F755E4"/>
    <w:rsid w:val="00F77D02"/>
    <w:rsid w:val="00F867B1"/>
    <w:rsid w:val="00F9789F"/>
    <w:rsid w:val="00FA134D"/>
    <w:rsid w:val="00FA23C3"/>
    <w:rsid w:val="00FA6DCB"/>
    <w:rsid w:val="00FA7BFC"/>
    <w:rsid w:val="00FB0031"/>
    <w:rsid w:val="00FB1DDA"/>
    <w:rsid w:val="00FB3A86"/>
    <w:rsid w:val="00FB412D"/>
    <w:rsid w:val="00FB6206"/>
    <w:rsid w:val="00FC2215"/>
    <w:rsid w:val="00FC27CD"/>
    <w:rsid w:val="00FD36C8"/>
    <w:rsid w:val="00FD4586"/>
    <w:rsid w:val="00FD6694"/>
    <w:rsid w:val="00FE3073"/>
    <w:rsid w:val="00FF62EF"/>
    <w:rsid w:val="00FF6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606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har"/>
    <w:semiHidden/>
    <w:unhideWhenUsed/>
    <w:qFormat/>
    <w:rsid w:val="00E406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link w:val="Rodap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character" w:customStyle="1" w:styleId="RodapChar">
    <w:name w:val="Rodapé Char"/>
    <w:basedOn w:val="Fontepargpadro"/>
    <w:link w:val="Rodap"/>
    <w:uiPriority w:val="99"/>
    <w:rsid w:val="00CF621D"/>
    <w:rPr>
      <w:rFonts w:ascii="Helvetica" w:hAnsi="Helvetica"/>
    </w:rPr>
  </w:style>
  <w:style w:type="paragraph" w:styleId="Assuntodocomentrio">
    <w:name w:val="annotation subject"/>
    <w:basedOn w:val="Textodecomentrio"/>
    <w:next w:val="Textodecomentrio"/>
    <w:link w:val="AssuntodocomentrioChar"/>
    <w:semiHidden/>
    <w:unhideWhenUsed/>
    <w:rsid w:val="003750CD"/>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3750CD"/>
    <w:rPr>
      <w:rFonts w:ascii="Helvetica" w:hAnsi="Helvetica"/>
      <w:b/>
      <w:bCs/>
      <w:lang w:val="nb-NO" w:eastAsia="nb-NO"/>
    </w:rPr>
  </w:style>
  <w:style w:type="paragraph" w:styleId="PargrafodaLista">
    <w:name w:val="List Paragraph"/>
    <w:basedOn w:val="Normal"/>
    <w:uiPriority w:val="34"/>
    <w:qFormat/>
    <w:rsid w:val="009D2F62"/>
    <w:pPr>
      <w:ind w:left="720"/>
      <w:contextualSpacing/>
    </w:pPr>
  </w:style>
  <w:style w:type="character" w:customStyle="1" w:styleId="Ttulo3Char">
    <w:name w:val="Título 3 Char"/>
    <w:basedOn w:val="Fontepargpadro"/>
    <w:link w:val="Ttulo3"/>
    <w:uiPriority w:val="9"/>
    <w:semiHidden/>
    <w:rsid w:val="00E406F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1546156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868648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25</TotalTime>
  <Pages>21</Pages>
  <Words>8180</Words>
  <Characters>44172</Characters>
  <Application>Microsoft Office Word</Application>
  <DocSecurity>0</DocSecurity>
  <Lines>368</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52248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Joselimaria</cp:lastModifiedBy>
  <cp:revision>2</cp:revision>
  <cp:lastPrinted>1999-07-06T11:00:00Z</cp:lastPrinted>
  <dcterms:created xsi:type="dcterms:W3CDTF">2025-04-17T12:52:00Z</dcterms:created>
  <dcterms:modified xsi:type="dcterms:W3CDTF">2025-04-17T12:52:00Z</dcterms:modified>
</cp:coreProperties>
</file>