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0E8" w:rsidRDefault="005975A9">
      <w:pPr>
        <w:pStyle w:val="Normal1"/>
        <w:jc w:val="center"/>
        <w:rPr>
          <w:b/>
          <w:sz w:val="34"/>
          <w:szCs w:val="34"/>
        </w:rPr>
      </w:pPr>
      <w:bookmarkStart w:id="0" w:name="_heading=h.i3e0ik4hcrhm" w:colFirst="0" w:colLast="0"/>
      <w:bookmarkEnd w:id="0"/>
      <w:r>
        <w:rPr>
          <w:b/>
          <w:sz w:val="34"/>
          <w:szCs w:val="34"/>
          <w:lang w:val="en-US"/>
        </w:rPr>
        <w:t>Time Series Analysis of Google Online Search Trends and Reported Cases of HIV in Nigeria</w:t>
      </w:r>
    </w:p>
    <w:p w:rsidR="00D850E8" w:rsidRDefault="00D850E8">
      <w:pPr>
        <w:pStyle w:val="Heading1"/>
        <w:rPr>
          <w:b/>
          <w:sz w:val="34"/>
          <w:szCs w:val="34"/>
        </w:rPr>
      </w:pPr>
      <w:bookmarkStart w:id="1" w:name="_heading=h.30j0zll" w:colFirst="0" w:colLast="0"/>
      <w:bookmarkEnd w:id="1"/>
    </w:p>
    <w:p w:rsidR="00D850E8" w:rsidRDefault="005975A9">
      <w:pPr>
        <w:pStyle w:val="Heading1"/>
        <w:rPr>
          <w:b/>
          <w:sz w:val="34"/>
          <w:szCs w:val="34"/>
        </w:rPr>
      </w:pPr>
      <w:r>
        <w:rPr>
          <w:b/>
          <w:sz w:val="34"/>
          <w:szCs w:val="34"/>
        </w:rPr>
        <w:t>Abstract</w:t>
      </w:r>
    </w:p>
    <w:p w:rsidR="00D850E8" w:rsidRDefault="005975A9">
      <w:pPr>
        <w:spacing w:before="240" w:after="240"/>
      </w:pPr>
      <w:r>
        <w:t>The HIV epidemic in Nigeria remains a significant public health challenge, with reported cases rising despite control efforts. Understanding public interest</w:t>
      </w:r>
      <w:r>
        <w:t xml:space="preserve"> in HIV-related topics through online search trends can provide valuable insights for monitoring and forecasting HIV trends. This study explores the relationship between online search trends for HIV-related terms and reported HIV cases in Nigeria from 2004</w:t>
      </w:r>
      <w:r>
        <w:t xml:space="preserve"> to 2023. Using Google Trends and UNAIDS databases, the study found significant correlations between online search trends and reported HIV cases, highlighting the potential of Google Trends data for monitoring public interest. However, time series forecast</w:t>
      </w:r>
      <w:r>
        <w:t>ing revealed that Google Trends data did not significantly predict HIV case reports, suggesting its limitations as a predictive tool. Overall, online search trends reflect public interest in HIV-related topics but may not directly predict actual HIV preval</w:t>
      </w:r>
      <w:r>
        <w:t>ence in Nigeria.</w:t>
      </w:r>
    </w:p>
    <w:p w:rsidR="00D850E8" w:rsidRDefault="005975A9">
      <w:pPr>
        <w:spacing w:before="240" w:after="240"/>
        <w:rPr>
          <w:b/>
        </w:rPr>
      </w:pPr>
      <w:r>
        <w:rPr>
          <w:b/>
          <w:sz w:val="26"/>
          <w:szCs w:val="26"/>
        </w:rPr>
        <w:t>Keywords:</w:t>
      </w:r>
      <w:r>
        <w:t xml:space="preserve"> HIV, AIDS, Google Trends, public health surveillance, Nigeria, digital epidemiology, HIV monitoring and forecasting.</w:t>
      </w:r>
    </w:p>
    <w:p w:rsidR="00D850E8" w:rsidRDefault="005975A9">
      <w:pPr>
        <w:pStyle w:val="Heading1"/>
        <w:numPr>
          <w:ilvl w:val="0"/>
          <w:numId w:val="1"/>
        </w:numPr>
        <w:rPr>
          <w:b/>
          <w:sz w:val="34"/>
          <w:szCs w:val="34"/>
        </w:rPr>
      </w:pPr>
      <w:bookmarkStart w:id="2" w:name="_heading=h.3znysh7" w:colFirst="0" w:colLast="0"/>
      <w:bookmarkEnd w:id="2"/>
      <w:r>
        <w:rPr>
          <w:b/>
          <w:sz w:val="34"/>
          <w:szCs w:val="34"/>
        </w:rPr>
        <w:t>Introduction</w:t>
      </w:r>
    </w:p>
    <w:p w:rsidR="00D850E8" w:rsidRDefault="005975A9">
      <w:pPr>
        <w:spacing w:before="240" w:after="240"/>
      </w:pPr>
      <w:r>
        <w:t>The HIV epidemic is a major public health issue in Nigeria, one of Sub-Saharan Africa's most popula</w:t>
      </w:r>
      <w:r>
        <w:t>ted countries, which carries a substantial burden of HIV/AIDS cases. According to recent UNAIDS reports, Nigeria ranks fourth in Africa in terms of the number of people living with HIV, with an expected 2 million (1,900,000-2,300,000) persons infected by t</w:t>
      </w:r>
      <w:r>
        <w:t>he virus by 2023 [1, 2]. While several efforts have been made towards reducing HIV burden, the virus continues to disproportionately affect a category of populations, such as sex workers, transgender women (TGW), men who have sex with men (MSM), and drug u</w:t>
      </w:r>
      <w:r>
        <w:t xml:space="preserve">sers [3]. </w:t>
      </w:r>
    </w:p>
    <w:p w:rsidR="00D850E8" w:rsidRDefault="005975A9">
      <w:pPr>
        <w:spacing w:before="240" w:after="240"/>
      </w:pPr>
      <w:r>
        <w:t>The current issues in HIV prevention, treatment, and care in Nigeria include limited healthcare infrastructure, stigma around HIV, and inadequate access to health services, particularly in rural and underserved communities [4].</w:t>
      </w:r>
    </w:p>
    <w:p w:rsidR="00D850E8" w:rsidRDefault="005975A9">
      <w:pPr>
        <w:spacing w:before="240" w:after="240"/>
      </w:pPr>
      <w:r>
        <w:t xml:space="preserve">HIV surveillance </w:t>
      </w:r>
      <w:r>
        <w:t>is indispensable for efficient public health planning, resource allocation, and monitoring of intervention programs. Monitoring HIV case trends enables timely responses to emerging outbreaks, informs prevention programs, and aids in assessing the effective</w:t>
      </w:r>
      <w:r>
        <w:t>ness of public health policies. However, traditional surveillance approaches, which rely mainly on clinical case reporting, frequently experience delays and underreporting, especially in resource-limited settings like Nigeria [5].</w:t>
      </w:r>
    </w:p>
    <w:p w:rsidR="00D850E8" w:rsidRDefault="005975A9">
      <w:pPr>
        <w:spacing w:before="240" w:after="240"/>
      </w:pPr>
      <w:r>
        <w:lastRenderedPageBreak/>
        <w:t>In recent years, there ha</w:t>
      </w:r>
      <w:r>
        <w:t>s been an increasing interest in leveraging alternative data sources, such as web search trends, to monitor public health concerns. These data sources, although imperfect, provide real-time insights about public interest and awareness, which can be correla</w:t>
      </w:r>
      <w:r>
        <w:t xml:space="preserve">ted with actual health trends (reported cases). Google Trends particularly is being increasingly utilized to assess public interest in numerous health topics, including HIV [6, 7]. </w:t>
      </w:r>
    </w:p>
    <w:p w:rsidR="00D850E8" w:rsidRDefault="005975A9">
      <w:pPr>
        <w:spacing w:before="240" w:after="240"/>
      </w:pPr>
      <w:r>
        <w:t>Google Trends provides data on the frequency of specific search terms, whi</w:t>
      </w:r>
      <w:r>
        <w:t>ch can reflect shifts in awareness, concerns, and behaviors related to HIV/AIDS. Google Trends is a valuable tool that enables researchers to monitor the frequency of specific search terms over time, providing insight into public health interest. It provid</w:t>
      </w:r>
      <w:r>
        <w:t xml:space="preserve">es normalized search volume statistics for a variety of searches, allowing researchers to examine trends connected to HIV/AIDS and other health issues. While Google Trends data offer advantages such as real-time access and regional participation [8], they </w:t>
      </w:r>
      <w:r>
        <w:t>also come with limitations, including the potential for biases in search behavior, such as differences in internet access and socio-economic factors [7].</w:t>
      </w:r>
    </w:p>
    <w:p w:rsidR="00D850E8" w:rsidRDefault="005975A9">
      <w:pPr>
        <w:spacing w:before="240" w:after="240"/>
      </w:pPr>
      <w:r>
        <w:t>Despite the growing popularity of Google Trends data in health research, there have been few studies t</w:t>
      </w:r>
      <w:r>
        <w:t>hat investigate the association between internet search trends and reported HIV cases, particularly in low-resource countries such as Nigeria. While research has been conducted in other locations to forecast diseases using online search trends, the specifi</w:t>
      </w:r>
      <w:r>
        <w:t xml:space="preserve">c association between online HIV-related search activity and reported HIV cases in Nigeria has not been properly investigated. </w:t>
      </w:r>
    </w:p>
    <w:p w:rsidR="00D850E8" w:rsidRDefault="005975A9">
      <w:pPr>
        <w:spacing w:before="240" w:after="240"/>
      </w:pPr>
      <w:r>
        <w:t xml:space="preserve">This study attempts to fill this gap by investigating the correlation between online search trends for HIV-related search terms </w:t>
      </w:r>
      <w:r>
        <w:t>and reported HIV cases in Nigeria. By analyzing Google Trends data with UNAIDS reported HIV cases’ data, the study seeks to provide insights into how online search patterns may reflect or forecast actual case trends, providing a complementary tool for Nige</w:t>
      </w:r>
      <w:r>
        <w:t>rian public health surveillance. However, previous studies have modeled google trends data in predicting HIV incidence  only focused on one state within the country (Nigeria) [9,10], and both studies concluded that Google Trends is useful in predicting HIV</w:t>
      </w:r>
      <w:r>
        <w:t xml:space="preserve"> cases within the studied states. Other researchers had also explored HIV-related search trends and their relationship to reported cases. A South African study discovered an association between HIV-related search terms and reported cases, indicating that o</w:t>
      </w:r>
      <w:r>
        <w:t>nline interest could act as an early warning signal for public health initiatives [11]. Similarly, a study in the United States demonstrated a correlation between online searches for HIV keywords and was of the opinion that Google Trends is a useful tool f</w:t>
      </w:r>
      <w:r>
        <w:t xml:space="preserve">or predicting new HIV cases at the state level [12]. </w:t>
      </w:r>
    </w:p>
    <w:p w:rsidR="00D850E8" w:rsidRDefault="005975A9">
      <w:pPr>
        <w:spacing w:before="240" w:after="240"/>
      </w:pPr>
      <w:r>
        <w:t>This study is significant in its potential to improve HIV monitoring systems, resulting in a more comprehensive and real-time approach to tracking the HIV epidemic. In addition to adding to HIV surveill</w:t>
      </w:r>
      <w:r>
        <w:t>ance, the findings may have implications for Nigerian public health policies and programs, particularly in terms of HIV prevention, education, and resource allocation.</w:t>
      </w:r>
    </w:p>
    <w:p w:rsidR="00D850E8" w:rsidRDefault="005975A9">
      <w:pPr>
        <w:spacing w:before="240" w:after="240"/>
      </w:pPr>
      <w:r>
        <w:t>Nigeria's digital landscape has seen rapid expansion in recent years. There</w:t>
      </w:r>
      <w:r>
        <w:rPr>
          <w:highlight w:val="white"/>
        </w:rPr>
        <w:t xml:space="preserve"> were 122.5 m</w:t>
      </w:r>
      <w:r>
        <w:rPr>
          <w:highlight w:val="white"/>
        </w:rPr>
        <w:t>illion internet users in 2023</w:t>
      </w:r>
      <w:r>
        <w:t xml:space="preserve"> with internet penetration reaching approximately 55.4% in 2023 [13]. The growing use of cellphones and internet access in rural as well as urban areas presents a unique opportunity to use online data for public health purposes</w:t>
      </w:r>
      <w:r>
        <w:t>. However, there are also issues in interpreting online search trends, as biases related to internet access and literacy levels may impact the accuracy of search data [14].</w:t>
      </w:r>
    </w:p>
    <w:p w:rsidR="00D850E8" w:rsidRDefault="005975A9">
      <w:pPr>
        <w:spacing w:before="240" w:after="240"/>
      </w:pPr>
      <w:r>
        <w:lastRenderedPageBreak/>
        <w:t>Several factors could influence HIV-related web search trends in Nigeria, including</w:t>
      </w:r>
      <w:r>
        <w:t xml:space="preserve"> public health campaigns, media coverage, and changing societal views around HIV. For example, during moments of heightened awareness, such as World AIDS Day, there may be an upsurge in searches for HIV preventive or treatment options [15].</w:t>
      </w:r>
    </w:p>
    <w:p w:rsidR="00D850E8" w:rsidRDefault="005975A9">
      <w:pPr>
        <w:spacing w:before="240" w:after="240"/>
      </w:pPr>
      <w:r>
        <w:t>This study will</w:t>
      </w:r>
      <w:r>
        <w:t xml:space="preserve"> specifically explore whether online search trends for HIV-related terms, such as "HIV", "AIDS", “HIV/AIDS", "HIV symptoms", "HIV prevention", and "HIV causes", correlate with reported HIV cases in Nigeria. By using Pearson correlation analysis, the study </w:t>
      </w:r>
      <w:r>
        <w:t>examines the strength and direction of this relationship, with the ultimate goal of determining whether online search trends can be a reliable supplementary tool for HIV surveillance in Nigeria.</w:t>
      </w:r>
    </w:p>
    <w:p w:rsidR="00D850E8" w:rsidRDefault="005975A9">
      <w:pPr>
        <w:spacing w:before="240" w:after="240"/>
      </w:pPr>
      <w:r>
        <w:t>To further explore the relationship between online search tre</w:t>
      </w:r>
      <w:r>
        <w:t>nds and HIV reported cases, a Time Series Analysis using ARIMA was conducted. This additional analysis aimed to assess the predictability of Google Trends data in forecasting future HIV case numbers using the patterns and relationships identified in the Go</w:t>
      </w:r>
      <w:r>
        <w:t>ogle Trends data.</w:t>
      </w:r>
    </w:p>
    <w:p w:rsidR="00D850E8" w:rsidRDefault="005975A9">
      <w:pPr>
        <w:spacing w:before="240" w:after="240"/>
        <w:rPr>
          <w:b/>
        </w:rPr>
      </w:pPr>
      <w:r>
        <w:t>Nevertheless, this research will contribute to the growing body of knowledge on the use of online search trends in public health surveillance. It will also provide valuable insights for policymakers, public health professionals, and resea</w:t>
      </w:r>
      <w:r>
        <w:t>rchers in Nigeria and other resource-limited settings, where traditional methods of disease surveillance may be hindered by infrastructural and logistical challenges. By examining the potential of online search data, this study aims to explore whether onli</w:t>
      </w:r>
      <w:r>
        <w:t>ne search trends for HIV-related terms correlate with reported HIV cases in Nigeria.</w:t>
      </w:r>
    </w:p>
    <w:p w:rsidR="00D850E8" w:rsidRDefault="005975A9">
      <w:pPr>
        <w:pStyle w:val="Heading1"/>
        <w:numPr>
          <w:ilvl w:val="0"/>
          <w:numId w:val="1"/>
        </w:numPr>
        <w:rPr>
          <w:b/>
          <w:sz w:val="34"/>
          <w:szCs w:val="34"/>
        </w:rPr>
      </w:pPr>
      <w:bookmarkStart w:id="3" w:name="_heading=h.2et92p0" w:colFirst="0" w:colLast="0"/>
      <w:bookmarkEnd w:id="3"/>
      <w:r>
        <w:rPr>
          <w:b/>
          <w:sz w:val="34"/>
          <w:szCs w:val="34"/>
        </w:rPr>
        <w:t>Materials and Methods</w:t>
      </w:r>
    </w:p>
    <w:p w:rsidR="00D850E8" w:rsidRDefault="005975A9">
      <w:pPr>
        <w:pStyle w:val="Heading2"/>
        <w:rPr>
          <w:b/>
          <w:sz w:val="26"/>
          <w:szCs w:val="26"/>
        </w:rPr>
      </w:pPr>
      <w:bookmarkStart w:id="4" w:name="_heading=h.tyjcwt" w:colFirst="0" w:colLast="0"/>
      <w:bookmarkEnd w:id="4"/>
      <w:r>
        <w:rPr>
          <w:b/>
          <w:sz w:val="26"/>
          <w:szCs w:val="26"/>
        </w:rPr>
        <w:t>2.1 Data Sources and Data Collection</w:t>
      </w:r>
    </w:p>
    <w:p w:rsidR="00D850E8" w:rsidRDefault="005975A9">
      <w:r>
        <w:t>This study utilized two primary data sources to investigate the relationship between online search trends and re</w:t>
      </w:r>
      <w:r>
        <w:t>ported cases of HIV in Nigeria:</w:t>
      </w:r>
    </w:p>
    <w:p w:rsidR="00D850E8" w:rsidRDefault="005975A9">
      <w:r>
        <w:rPr>
          <w:b/>
          <w:sz w:val="24"/>
          <w:szCs w:val="24"/>
        </w:rPr>
        <w:t>2.1.1 Google Trends Data</w:t>
      </w:r>
      <w:r>
        <w:rPr>
          <w:sz w:val="24"/>
          <w:szCs w:val="24"/>
        </w:rPr>
        <w:br/>
      </w:r>
      <w:r>
        <w:t>Google Trends data were collected using the Google Trends API, which provides access to search volume data over a specified period. This data was used to analyze online search interest in HIV-related</w:t>
      </w:r>
      <w:r>
        <w:t xml:space="preserve"> terms within Nigeria [16].</w:t>
      </w:r>
    </w:p>
    <w:p w:rsidR="00D850E8" w:rsidRDefault="005975A9">
      <w:r>
        <w:rPr>
          <w:b/>
          <w:sz w:val="24"/>
          <w:szCs w:val="24"/>
        </w:rPr>
        <w:t>2.1.2 Reported Cases’ Data</w:t>
      </w:r>
      <w:r>
        <w:rPr>
          <w:sz w:val="24"/>
          <w:szCs w:val="24"/>
        </w:rPr>
        <w:br/>
      </w:r>
      <w:r>
        <w:t>Data on reported HIV cases were obtained from the UNAIDS database, which compiles comprehensive global health data. For this study, the HIV/AIDS data specific to Nigeria, ranging from January 1, 2004 t</w:t>
      </w:r>
      <w:r>
        <w:t>o December 31, 2023, were collected [17].</w:t>
      </w:r>
    </w:p>
    <w:p w:rsidR="00D850E8" w:rsidRDefault="005975A9">
      <w:pPr>
        <w:pStyle w:val="Heading2"/>
        <w:rPr>
          <w:b/>
          <w:sz w:val="26"/>
          <w:szCs w:val="26"/>
        </w:rPr>
      </w:pPr>
      <w:bookmarkStart w:id="5" w:name="_heading=h.3dy6vkm" w:colFirst="0" w:colLast="0"/>
      <w:bookmarkEnd w:id="5"/>
      <w:r>
        <w:rPr>
          <w:b/>
          <w:sz w:val="26"/>
          <w:szCs w:val="26"/>
        </w:rPr>
        <w:t>2.2 Study Period</w:t>
      </w:r>
    </w:p>
    <w:p w:rsidR="00D850E8" w:rsidRDefault="005975A9">
      <w:r>
        <w:t>Data collection for this study occurred in December 2024, with a retrospective analysis covering the period from January 1, 2004, to December 31, 2023. This period was chosen based on available dat</w:t>
      </w:r>
      <w:r>
        <w:t>a in both databases.</w:t>
      </w:r>
    </w:p>
    <w:p w:rsidR="00D850E8" w:rsidRDefault="005975A9">
      <w:pPr>
        <w:pStyle w:val="Heading2"/>
        <w:rPr>
          <w:b/>
          <w:sz w:val="26"/>
          <w:szCs w:val="26"/>
        </w:rPr>
      </w:pPr>
      <w:bookmarkStart w:id="6" w:name="_heading=h.1t3h5sf" w:colFirst="0" w:colLast="0"/>
      <w:bookmarkEnd w:id="6"/>
      <w:r>
        <w:rPr>
          <w:b/>
          <w:sz w:val="26"/>
          <w:szCs w:val="26"/>
        </w:rPr>
        <w:lastRenderedPageBreak/>
        <w:t>2.3 Search Terms</w:t>
      </w:r>
    </w:p>
    <w:p w:rsidR="00D850E8" w:rsidRDefault="005975A9">
      <w:r>
        <w:t>The following search terms were identified and grouped into two categories for data extraction from Google Trends:</w:t>
      </w:r>
    </w:p>
    <w:p w:rsidR="00D850E8" w:rsidRDefault="005975A9">
      <w:pPr>
        <w:numPr>
          <w:ilvl w:val="0"/>
          <w:numId w:val="2"/>
        </w:numPr>
      </w:pPr>
      <w:r>
        <w:t>Terms Reflecting the Disease Condition:</w:t>
      </w:r>
    </w:p>
    <w:p w:rsidR="00D850E8" w:rsidRDefault="005975A9">
      <w:pPr>
        <w:numPr>
          <w:ilvl w:val="1"/>
          <w:numId w:val="2"/>
        </w:numPr>
      </w:pPr>
      <w:r>
        <w:t>HIV</w:t>
      </w:r>
    </w:p>
    <w:p w:rsidR="00D850E8" w:rsidRDefault="005975A9">
      <w:pPr>
        <w:numPr>
          <w:ilvl w:val="1"/>
          <w:numId w:val="2"/>
        </w:numPr>
      </w:pPr>
      <w:r>
        <w:t>AIDS</w:t>
      </w:r>
    </w:p>
    <w:p w:rsidR="00D850E8" w:rsidRDefault="005975A9">
      <w:pPr>
        <w:numPr>
          <w:ilvl w:val="1"/>
          <w:numId w:val="2"/>
        </w:numPr>
      </w:pPr>
      <w:r>
        <w:t>HIV/AIDS</w:t>
      </w:r>
    </w:p>
    <w:p w:rsidR="00D850E8" w:rsidRDefault="005975A9">
      <w:pPr>
        <w:numPr>
          <w:ilvl w:val="0"/>
          <w:numId w:val="2"/>
        </w:numPr>
      </w:pPr>
      <w:r>
        <w:t>HIV-Related Keywords:</w:t>
      </w:r>
    </w:p>
    <w:p w:rsidR="00D850E8" w:rsidRDefault="005975A9">
      <w:pPr>
        <w:numPr>
          <w:ilvl w:val="1"/>
          <w:numId w:val="2"/>
        </w:numPr>
      </w:pPr>
      <w:r>
        <w:t>HIV symptoms</w:t>
      </w:r>
    </w:p>
    <w:p w:rsidR="00D850E8" w:rsidRDefault="005975A9">
      <w:pPr>
        <w:numPr>
          <w:ilvl w:val="1"/>
          <w:numId w:val="2"/>
        </w:numPr>
      </w:pPr>
      <w:r>
        <w:t xml:space="preserve">HIV Causes </w:t>
      </w:r>
    </w:p>
    <w:p w:rsidR="00D850E8" w:rsidRDefault="005975A9">
      <w:pPr>
        <w:numPr>
          <w:ilvl w:val="1"/>
          <w:numId w:val="2"/>
        </w:numPr>
      </w:pPr>
      <w:r>
        <w:t>HIV prevention</w:t>
      </w:r>
    </w:p>
    <w:p w:rsidR="00D850E8" w:rsidRDefault="005975A9">
      <w:r>
        <w:t>These search terms were selected to reflect various aspects of public interest and awareness of HIV and its related factors, which were then analyzed in relation to the reported case data.</w:t>
      </w:r>
    </w:p>
    <w:p w:rsidR="00D850E8" w:rsidRDefault="005975A9">
      <w:pPr>
        <w:pStyle w:val="Heading2"/>
        <w:rPr>
          <w:b/>
          <w:sz w:val="26"/>
          <w:szCs w:val="26"/>
        </w:rPr>
      </w:pPr>
      <w:bookmarkStart w:id="7" w:name="_heading=h.4d34og8" w:colFirst="0" w:colLast="0"/>
      <w:bookmarkEnd w:id="7"/>
      <w:r>
        <w:rPr>
          <w:b/>
          <w:sz w:val="26"/>
          <w:szCs w:val="26"/>
        </w:rPr>
        <w:t>2.4 Data Preprocessing</w:t>
      </w:r>
    </w:p>
    <w:p w:rsidR="00D850E8" w:rsidRDefault="005975A9">
      <w:r>
        <w:t>The Google Trends data collected were aggregated on an annual basis to align with the reported case data. The data were not preprocessed to address missing values because there were no missing values since the monthly data collected were aggregated into ye</w:t>
      </w:r>
      <w:r>
        <w:t>ars to match the reported cases data. Normalization was performed to scale the search volumes for comparison purposes. The following formula was applied to compute the Normalized Search Volume (NSV) for each search term:</w:t>
      </w:r>
    </w:p>
    <w:p w:rsidR="00D850E8" w:rsidRDefault="005975A9">
      <w:r>
        <w:t>Normalized Search Volume (NSV)= (Se</w:t>
      </w:r>
      <w:r>
        <w:t>arch Volume / Maximum Search Volume) * 100</w:t>
      </w:r>
    </w:p>
    <w:p w:rsidR="00D850E8" w:rsidRDefault="005975A9">
      <w:pPr>
        <w:pStyle w:val="Heading2"/>
        <w:rPr>
          <w:b/>
          <w:sz w:val="26"/>
          <w:szCs w:val="26"/>
        </w:rPr>
      </w:pPr>
      <w:bookmarkStart w:id="8" w:name="_heading=h.2s8eyo1" w:colFirst="0" w:colLast="0"/>
      <w:bookmarkEnd w:id="8"/>
      <w:r>
        <w:rPr>
          <w:b/>
          <w:sz w:val="26"/>
          <w:szCs w:val="26"/>
        </w:rPr>
        <w:t>2.5 Data Analysis</w:t>
      </w:r>
    </w:p>
    <w:p w:rsidR="00D850E8" w:rsidRDefault="005975A9">
      <w:r>
        <w:t>The Normalized Search Volume data and the reported cases data were analysed using Python version 3.13.</w:t>
      </w:r>
    </w:p>
    <w:p w:rsidR="00D850E8" w:rsidRDefault="005975A9">
      <w:r>
        <w:t>To analyze the relationship between Google Trends data and reported HIV cases, several stati</w:t>
      </w:r>
      <w:r>
        <w:t>stical techniques were employed:</w:t>
      </w:r>
    </w:p>
    <w:p w:rsidR="00D850E8" w:rsidRDefault="005975A9">
      <w:r>
        <w:rPr>
          <w:b/>
          <w:sz w:val="24"/>
          <w:szCs w:val="24"/>
        </w:rPr>
        <w:t>2.5.1 Correlation Analysis</w:t>
      </w:r>
      <w:r>
        <w:rPr>
          <w:sz w:val="24"/>
          <w:szCs w:val="24"/>
        </w:rPr>
        <w:br/>
      </w:r>
      <w:r>
        <w:t>The Pearson correlation coefficient was computed to assess the strength and direction of the relationship between Google Trends search volume data and reported HIV case data across Nigerian states</w:t>
      </w:r>
      <w:r>
        <w:t xml:space="preserve"> [14].</w:t>
      </w:r>
    </w:p>
    <w:p w:rsidR="00D850E8" w:rsidRDefault="00D850E8">
      <w:pPr>
        <w:rPr>
          <w:sz w:val="24"/>
          <w:szCs w:val="24"/>
        </w:rPr>
      </w:pPr>
    </w:p>
    <w:p w:rsidR="00D850E8" w:rsidRDefault="005975A9">
      <w:r>
        <w:rPr>
          <w:b/>
          <w:sz w:val="24"/>
          <w:szCs w:val="24"/>
        </w:rPr>
        <w:t>2.5.2 Trend Analysis</w:t>
      </w:r>
      <w:r>
        <w:rPr>
          <w:sz w:val="24"/>
          <w:szCs w:val="24"/>
        </w:rPr>
        <w:br/>
      </w:r>
      <w:r>
        <w:t>The Mann-Kendall test was used to detect trends over time in the reported HIV cases. This non-parametric test is ideal for assessing monotonic trends in time series data [18].</w:t>
      </w:r>
    </w:p>
    <w:p w:rsidR="00D850E8" w:rsidRDefault="00D850E8">
      <w:pPr>
        <w:ind w:left="720"/>
        <w:rPr>
          <w:b/>
          <w:sz w:val="24"/>
          <w:szCs w:val="24"/>
        </w:rPr>
      </w:pPr>
    </w:p>
    <w:p w:rsidR="00D850E8" w:rsidRDefault="005975A9">
      <w:r>
        <w:rPr>
          <w:b/>
          <w:sz w:val="24"/>
          <w:szCs w:val="24"/>
        </w:rPr>
        <w:t>2.5.3 Time-Series Analysis</w:t>
      </w:r>
      <w:r>
        <w:rPr>
          <w:sz w:val="24"/>
          <w:szCs w:val="24"/>
        </w:rPr>
        <w:br/>
      </w:r>
      <w:r>
        <w:t>Autoregressive Integrat</w:t>
      </w:r>
      <w:r>
        <w:t>ed Moving Average (ARIMA) models were applied to examine the seasonal patterns and trends in both HIV search data and reported HIV cases. ARIMA models are widely used for forecasting and understanding time-dependent data.</w:t>
      </w:r>
    </w:p>
    <w:p w:rsidR="00D850E8" w:rsidRDefault="005975A9">
      <w:pPr>
        <w:pStyle w:val="Heading1"/>
        <w:rPr>
          <w:b/>
          <w:sz w:val="34"/>
          <w:szCs w:val="34"/>
        </w:rPr>
      </w:pPr>
      <w:bookmarkStart w:id="9" w:name="_heading=h.17dp8vu" w:colFirst="0" w:colLast="0"/>
      <w:bookmarkEnd w:id="9"/>
      <w:r>
        <w:rPr>
          <w:b/>
          <w:sz w:val="34"/>
          <w:szCs w:val="34"/>
        </w:rPr>
        <w:lastRenderedPageBreak/>
        <w:t>3. Result</w:t>
      </w:r>
    </w:p>
    <w:p w:rsidR="00D850E8" w:rsidRDefault="005975A9">
      <w:pPr>
        <w:pStyle w:val="Heading2"/>
        <w:rPr>
          <w:b/>
          <w:sz w:val="26"/>
          <w:szCs w:val="26"/>
        </w:rPr>
      </w:pPr>
      <w:bookmarkStart w:id="10" w:name="_heading=h.3rdcrjn" w:colFirst="0" w:colLast="0"/>
      <w:bookmarkEnd w:id="10"/>
      <w:r>
        <w:rPr>
          <w:b/>
          <w:sz w:val="26"/>
          <w:szCs w:val="26"/>
        </w:rPr>
        <w:t>3.1 Trends in Public Int</w:t>
      </w:r>
      <w:r>
        <w:rPr>
          <w:b/>
          <w:sz w:val="26"/>
          <w:szCs w:val="26"/>
        </w:rPr>
        <w:t>erest</w:t>
      </w:r>
    </w:p>
    <w:p w:rsidR="00D850E8" w:rsidRDefault="005975A9">
      <w:r>
        <w:t>The plot of Normalized Search Volume (NSV) (%) for HIV disease condition search terms from 2004 to 2023 as shown in Figure 1 highlights a notable decline in public interest. The blue line for “HIV” search term shows a significant peak in 2004-2005, f</w:t>
      </w:r>
      <w:r>
        <w:t xml:space="preserve">ollowed by a sharp decline in 2007. The orange line for “AIDS” search term mirrors this decline, with interest falling below 30% after 2016. The green line for “HIV/AIDS” search term relatively mirrors the trend pattern for “AIDS” term. </w:t>
      </w:r>
    </w:p>
    <w:p w:rsidR="00D850E8" w:rsidRDefault="005975A9">
      <w:pPr>
        <w:rPr>
          <w:sz w:val="24"/>
          <w:szCs w:val="24"/>
        </w:rPr>
      </w:pPr>
      <w:r>
        <w:rPr>
          <w:noProof/>
          <w:sz w:val="24"/>
          <w:szCs w:val="24"/>
          <w:lang w:val="en-IN" w:eastAsia="en-IN"/>
        </w:rPr>
        <w:drawing>
          <wp:inline distT="0" distB="0" distL="0" distR="0">
            <wp:extent cx="5943600" cy="2095500"/>
            <wp:effectExtent l="0" t="0" r="0" b="0"/>
            <wp:docPr id="1026"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r:embed="rId8" cstate="print"/>
                    <a:srcRect/>
                    <a:stretch/>
                  </pic:blipFill>
                  <pic:spPr>
                    <a:xfrm>
                      <a:off x="0" y="0"/>
                      <a:ext cx="5943600" cy="2095500"/>
                    </a:xfrm>
                    <a:prstGeom prst="rect">
                      <a:avLst/>
                    </a:prstGeom>
                    <a:ln w="9525" cap="flat" cmpd="sng">
                      <a:solidFill>
                        <a:srgbClr val="000000"/>
                      </a:solidFill>
                      <a:prstDash val="solid"/>
                      <a:round/>
                      <a:headEnd type="none" w="med" len="med"/>
                      <a:tailEnd type="none" w="med" len="med"/>
                    </a:ln>
                  </pic:spPr>
                </pic:pic>
              </a:graphicData>
            </a:graphic>
          </wp:inline>
        </w:drawing>
      </w:r>
    </w:p>
    <w:p w:rsidR="00D850E8" w:rsidRDefault="005975A9">
      <w:pPr>
        <w:rPr>
          <w:b/>
          <w:sz w:val="24"/>
          <w:szCs w:val="24"/>
        </w:rPr>
      </w:pPr>
      <w:r>
        <w:rPr>
          <w:b/>
          <w:sz w:val="24"/>
          <w:szCs w:val="24"/>
        </w:rPr>
        <w:t>Figure 1: Normal</w:t>
      </w:r>
      <w:r>
        <w:rPr>
          <w:b/>
          <w:sz w:val="24"/>
          <w:szCs w:val="24"/>
        </w:rPr>
        <w:t>ised HIV Disease Condition Search Plot</w:t>
      </w:r>
    </w:p>
    <w:p w:rsidR="00D850E8" w:rsidRDefault="00D850E8">
      <w:pPr>
        <w:rPr>
          <w:sz w:val="24"/>
          <w:szCs w:val="24"/>
        </w:rPr>
      </w:pPr>
    </w:p>
    <w:p w:rsidR="00D850E8" w:rsidRDefault="005975A9">
      <w:r>
        <w:t>The plot of Normalized Search Volume (NSV) (%) of HIV related terms from 2004 to 2023 as shown in Figure 2 reveals key insights into the public interest in HIV-related topics in Nigeria, as captured by Google Trends. The blue line representing the “HIV Sym</w:t>
      </w:r>
      <w:r>
        <w:t>ptoms” search term shows a noticeable increase in search volume starting in 2009, with the highest peak around 2019 and again in recent years. The orange line, for “HIV Prevention,” search term reflects a sharp increase in 2010, with the highest peak in 20</w:t>
      </w:r>
      <w:r>
        <w:t xml:space="preserve">12 and periodic downward trends. </w:t>
      </w:r>
    </w:p>
    <w:p w:rsidR="00D850E8" w:rsidRDefault="005975A9">
      <w:r>
        <w:t>The green line, indicating “HIV Causes,” search term demonstrates a gradual rise after 2010, with fluctuations in the following years.</w:t>
      </w:r>
    </w:p>
    <w:p w:rsidR="00D850E8" w:rsidRDefault="005975A9">
      <w:pPr>
        <w:rPr>
          <w:sz w:val="24"/>
          <w:szCs w:val="24"/>
        </w:rPr>
      </w:pPr>
      <w:r>
        <w:rPr>
          <w:noProof/>
          <w:sz w:val="24"/>
          <w:szCs w:val="24"/>
          <w:lang w:val="en-IN" w:eastAsia="en-IN"/>
        </w:rPr>
        <w:drawing>
          <wp:inline distT="0" distB="0" distL="0" distR="0">
            <wp:extent cx="5943600" cy="2006600"/>
            <wp:effectExtent l="0" t="0" r="0" b="0"/>
            <wp:docPr id="1027"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9" cstate="print"/>
                    <a:srcRect/>
                    <a:stretch/>
                  </pic:blipFill>
                  <pic:spPr>
                    <a:xfrm>
                      <a:off x="0" y="0"/>
                      <a:ext cx="5943600" cy="2006600"/>
                    </a:xfrm>
                    <a:prstGeom prst="rect">
                      <a:avLst/>
                    </a:prstGeom>
                    <a:ln w="9525" cap="flat" cmpd="sng">
                      <a:solidFill>
                        <a:srgbClr val="000000"/>
                      </a:solidFill>
                      <a:prstDash val="solid"/>
                      <a:round/>
                      <a:headEnd type="none" w="med" len="med"/>
                      <a:tailEnd type="none" w="med" len="med"/>
                    </a:ln>
                  </pic:spPr>
                </pic:pic>
              </a:graphicData>
            </a:graphic>
          </wp:inline>
        </w:drawing>
      </w:r>
    </w:p>
    <w:p w:rsidR="00D850E8" w:rsidRDefault="005975A9">
      <w:pPr>
        <w:rPr>
          <w:sz w:val="24"/>
          <w:szCs w:val="24"/>
        </w:rPr>
      </w:pPr>
      <w:r>
        <w:rPr>
          <w:b/>
          <w:sz w:val="24"/>
          <w:szCs w:val="24"/>
        </w:rPr>
        <w:t>Figure 2: Normalised HIV Disease Condition Related Search Plot</w:t>
      </w:r>
    </w:p>
    <w:p w:rsidR="00D850E8" w:rsidRDefault="005975A9">
      <w:pPr>
        <w:pStyle w:val="Heading2"/>
        <w:rPr>
          <w:sz w:val="24"/>
          <w:szCs w:val="24"/>
        </w:rPr>
      </w:pPr>
      <w:bookmarkStart w:id="11" w:name="_heading=h.26in1rg" w:colFirst="0" w:colLast="0"/>
      <w:bookmarkEnd w:id="11"/>
      <w:r>
        <w:rPr>
          <w:b/>
          <w:sz w:val="26"/>
          <w:szCs w:val="26"/>
        </w:rPr>
        <w:lastRenderedPageBreak/>
        <w:t xml:space="preserve">3.1 Trend Analysis of </w:t>
      </w:r>
      <w:r>
        <w:rPr>
          <w:b/>
          <w:sz w:val="26"/>
          <w:szCs w:val="26"/>
        </w:rPr>
        <w:t>the Estimated HIV Case Reports</w:t>
      </w:r>
    </w:p>
    <w:p w:rsidR="00D850E8" w:rsidRDefault="005975A9">
      <w:r>
        <w:t>The plot of the Normalized HIV Estimated Report (2004–2023) provides insights into the trend of HIV case estimates in Nigeria, as derived from the UNAIDS database. The blue line, representing the exact estimated HIV case repo</w:t>
      </w:r>
      <w:r>
        <w:t>rt, shows a steady increase from 2004 till 2023.</w:t>
      </w:r>
    </w:p>
    <w:p w:rsidR="00D850E8" w:rsidRDefault="005975A9">
      <w:r>
        <w:t xml:space="preserve">The orange line, representing the lower range of estimates and the green line representing the upper range of the estimate follow a similar trend. </w:t>
      </w:r>
    </w:p>
    <w:p w:rsidR="00D850E8" w:rsidRDefault="005975A9">
      <w:r>
        <w:t>However, the Mann-Kendall trend analysis applied to the est</w:t>
      </w:r>
      <w:r>
        <w:t>imated HIV cases in Nigeria from 2004 to 2023 revealed a strong positive upward trend with a Tau statistic value of 0.8675 with a p-value &lt; 0.05. This indicates statistically significant increasing trends in the reported HIV cases over the study period. Th</w:t>
      </w:r>
      <w:r>
        <w:t>is finding suggests that HIV cases in Nigeria have been steadily rising.</w:t>
      </w:r>
    </w:p>
    <w:p w:rsidR="00D850E8" w:rsidRDefault="005975A9">
      <w:pPr>
        <w:rPr>
          <w:sz w:val="24"/>
          <w:szCs w:val="24"/>
        </w:rPr>
      </w:pPr>
      <w:r>
        <w:rPr>
          <w:noProof/>
          <w:sz w:val="24"/>
          <w:szCs w:val="24"/>
          <w:lang w:val="en-IN" w:eastAsia="en-IN"/>
        </w:rPr>
        <w:drawing>
          <wp:inline distT="0" distB="0" distL="0" distR="0">
            <wp:extent cx="5943600" cy="1981200"/>
            <wp:effectExtent l="0" t="0" r="0" b="0"/>
            <wp:docPr id="1028"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rcRect/>
                    <a:stretch/>
                  </pic:blipFill>
                  <pic:spPr>
                    <a:xfrm>
                      <a:off x="0" y="0"/>
                      <a:ext cx="5943600" cy="1981200"/>
                    </a:xfrm>
                    <a:prstGeom prst="rect">
                      <a:avLst/>
                    </a:prstGeom>
                    <a:ln w="9525" cap="flat" cmpd="sng">
                      <a:solidFill>
                        <a:srgbClr val="000000"/>
                      </a:solidFill>
                      <a:prstDash val="solid"/>
                      <a:round/>
                      <a:headEnd type="none" w="med" len="med"/>
                      <a:tailEnd type="none" w="med" len="med"/>
                    </a:ln>
                  </pic:spPr>
                </pic:pic>
              </a:graphicData>
            </a:graphic>
          </wp:inline>
        </w:drawing>
      </w:r>
    </w:p>
    <w:p w:rsidR="00D850E8" w:rsidRDefault="005975A9">
      <w:pPr>
        <w:rPr>
          <w:sz w:val="24"/>
          <w:szCs w:val="24"/>
        </w:rPr>
      </w:pPr>
      <w:r>
        <w:rPr>
          <w:b/>
          <w:sz w:val="24"/>
          <w:szCs w:val="24"/>
        </w:rPr>
        <w:t>Figure 3: Normalised HIV Case Reports</w:t>
      </w:r>
    </w:p>
    <w:p w:rsidR="00D850E8" w:rsidRDefault="005975A9">
      <w:pPr>
        <w:pStyle w:val="Heading2"/>
        <w:rPr>
          <w:b/>
          <w:sz w:val="26"/>
          <w:szCs w:val="26"/>
        </w:rPr>
      </w:pPr>
      <w:bookmarkStart w:id="12" w:name="_heading=h.lnxbz9" w:colFirst="0" w:colLast="0"/>
      <w:bookmarkEnd w:id="12"/>
      <w:r>
        <w:rPr>
          <w:b/>
          <w:sz w:val="26"/>
          <w:szCs w:val="26"/>
        </w:rPr>
        <w:t>3.3 Correlation Between Online Search Trends and Reported HIV Cases in Nigeria</w:t>
      </w:r>
    </w:p>
    <w:p w:rsidR="00D850E8" w:rsidRDefault="005975A9">
      <w:r>
        <w:t>The  result from the Pearson correlation analysis between normal</w:t>
      </w:r>
      <w:r>
        <w:t xml:space="preserve">ized search volumes for all search terms and reported HIV cases in Nigeria (2004-2023) as represented in Table 1 revealed significant relationships. Based on the Pearson Correlation Values, weak negative correlations were observed between the search terms </w:t>
      </w:r>
      <w:r>
        <w:t>“HIV,” “AIDS,” “HIV/AIDS” and reported cases of HIV whereas there was a very strong positive correlation between “HIV Symptoms” and “ HIV Causes” search terms and reported cases of HIV. While there was weak positive correlation between “ HIV Preventions” s</w:t>
      </w:r>
      <w:r>
        <w:t>earch term and reported cases of HIV. These correlations were statistically significant with a 95% confidence interval and a p-value &lt; 0.05.</w:t>
      </w:r>
    </w:p>
    <w:p w:rsidR="00D850E8" w:rsidRDefault="00D850E8">
      <w:pPr>
        <w:rPr>
          <w:sz w:val="24"/>
          <w:szCs w:val="24"/>
        </w:rPr>
      </w:pPr>
    </w:p>
    <w:p w:rsidR="00D850E8" w:rsidRDefault="005975A9">
      <w:pPr>
        <w:rPr>
          <w:sz w:val="24"/>
          <w:szCs w:val="24"/>
        </w:rPr>
      </w:pPr>
      <w:r>
        <w:rPr>
          <w:b/>
          <w:sz w:val="24"/>
          <w:szCs w:val="24"/>
        </w:rPr>
        <w:t>Table 1: Pearson Correlation Values</w:t>
      </w:r>
      <w:r>
        <w:rPr>
          <w:sz w:val="24"/>
          <w:szCs w:val="24"/>
        </w:rPr>
        <w:t xml:space="preserve"> </w:t>
      </w:r>
    </w:p>
    <w:p w:rsidR="00D850E8" w:rsidRDefault="00D850E8">
      <w:pPr>
        <w:rPr>
          <w:sz w:val="24"/>
          <w:szCs w:val="24"/>
        </w:rPr>
      </w:pPr>
    </w:p>
    <w:tbl>
      <w:tblPr>
        <w:tblStyle w:val="a"/>
        <w:tblW w:w="93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00"/>
        <w:gridCol w:w="1005"/>
        <w:gridCol w:w="945"/>
        <w:gridCol w:w="930"/>
        <w:gridCol w:w="960"/>
        <w:gridCol w:w="960"/>
        <w:gridCol w:w="1095"/>
        <w:gridCol w:w="960"/>
        <w:gridCol w:w="930"/>
        <w:gridCol w:w="960"/>
      </w:tblGrid>
      <w:tr w:rsidR="00D850E8">
        <w:trPr>
          <w:trHeight w:val="300"/>
        </w:trPr>
        <w:tc>
          <w:tcPr>
            <w:tcW w:w="600"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rsidR="00D850E8" w:rsidRDefault="00D850E8">
            <w:pPr>
              <w:spacing w:line="240" w:lineRule="auto"/>
              <w:rPr>
                <w:sz w:val="24"/>
                <w:szCs w:val="24"/>
              </w:rPr>
            </w:pPr>
          </w:p>
        </w:tc>
        <w:tc>
          <w:tcPr>
            <w:tcW w:w="100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HIV</w:t>
            </w:r>
          </w:p>
        </w:tc>
        <w:tc>
          <w:tcPr>
            <w:tcW w:w="94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AIDS</w:t>
            </w:r>
          </w:p>
        </w:tc>
        <w:tc>
          <w:tcPr>
            <w:tcW w:w="9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HIV/AIDS</w:t>
            </w:r>
          </w:p>
        </w:tc>
        <w:tc>
          <w:tcPr>
            <w:tcW w:w="9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Symptoms</w:t>
            </w:r>
          </w:p>
        </w:tc>
        <w:tc>
          <w:tcPr>
            <w:tcW w:w="9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Prevention</w:t>
            </w:r>
          </w:p>
        </w:tc>
        <w:tc>
          <w:tcPr>
            <w:tcW w:w="1095"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Cause</w:t>
            </w:r>
          </w:p>
        </w:tc>
        <w:tc>
          <w:tcPr>
            <w:tcW w:w="9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Estimate</w:t>
            </w:r>
          </w:p>
        </w:tc>
        <w:tc>
          <w:tcPr>
            <w:tcW w:w="93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Low</w:t>
            </w:r>
          </w:p>
        </w:tc>
        <w:tc>
          <w:tcPr>
            <w:tcW w:w="96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High</w:t>
            </w:r>
          </w:p>
        </w:tc>
      </w:tr>
      <w:tr w:rsidR="00D850E8">
        <w:trPr>
          <w:trHeight w:val="300"/>
        </w:trPr>
        <w:tc>
          <w:tcPr>
            <w:tcW w:w="6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HIV</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1</w:t>
            </w:r>
          </w:p>
        </w:tc>
        <w:tc>
          <w:tcPr>
            <w:tcW w:w="94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0.96 </w:t>
            </w:r>
            <w:r>
              <w:rPr>
                <w:sz w:val="24"/>
                <w:szCs w:val="24"/>
              </w:rPr>
              <w:t>(0.90 0.98)*</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0.92 (0.82 0.97)*</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-0.88 (-0.95 -0.73)*</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-0.29 (-0.65  0.17)</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-0.85 (-0.94 -0.67)*</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-0.95 (-0.98 -0.88)*</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-0.94 (-0.97 -0.85)*</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-0.91 (-0.96 -0.79)*</w:t>
            </w:r>
          </w:p>
        </w:tc>
      </w:tr>
      <w:tr w:rsidR="00D850E8">
        <w:trPr>
          <w:trHeight w:val="300"/>
        </w:trPr>
        <w:tc>
          <w:tcPr>
            <w:tcW w:w="6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AIDS</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0.96 (0.898 </w:t>
            </w:r>
            <w:r>
              <w:rPr>
                <w:sz w:val="24"/>
                <w:szCs w:val="24"/>
              </w:rPr>
              <w:lastRenderedPageBreak/>
              <w:t>0.984)*</w:t>
            </w:r>
          </w:p>
        </w:tc>
        <w:tc>
          <w:tcPr>
            <w:tcW w:w="94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lastRenderedPageBreak/>
              <w:t>1</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0.99 (0.96 </w:t>
            </w:r>
            <w:r>
              <w:rPr>
                <w:sz w:val="24"/>
                <w:szCs w:val="24"/>
              </w:rPr>
              <w:lastRenderedPageBreak/>
              <w:t>0.99)</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lastRenderedPageBreak/>
              <w:t xml:space="preserve"> -0.94 (-0.97 </w:t>
            </w:r>
            <w:r>
              <w:rPr>
                <w:sz w:val="24"/>
                <w:szCs w:val="24"/>
              </w:rPr>
              <w:lastRenderedPageBreak/>
              <w:t>-0.85)*</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lastRenderedPageBreak/>
              <w:t xml:space="preserve"> -0.44 (-0.74 </w:t>
            </w:r>
            <w:r>
              <w:rPr>
                <w:sz w:val="24"/>
                <w:szCs w:val="24"/>
              </w:rPr>
              <w:lastRenderedPageBreak/>
              <w:t>-0.00)*</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lastRenderedPageBreak/>
              <w:t xml:space="preserve"> -0.89 (-0.95 -</w:t>
            </w:r>
            <w:r>
              <w:rPr>
                <w:sz w:val="24"/>
                <w:szCs w:val="24"/>
              </w:rPr>
              <w:lastRenderedPageBreak/>
              <w:t>0.74)*</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lastRenderedPageBreak/>
              <w:t xml:space="preserve"> -0.96 (-0.98 </w:t>
            </w:r>
            <w:r>
              <w:rPr>
                <w:sz w:val="24"/>
                <w:szCs w:val="24"/>
              </w:rPr>
              <w:lastRenderedPageBreak/>
              <w:t>-0.92)*</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lastRenderedPageBreak/>
              <w:t xml:space="preserve"> -0.94 (-0.97 </w:t>
            </w:r>
            <w:r>
              <w:rPr>
                <w:sz w:val="24"/>
                <w:szCs w:val="24"/>
              </w:rPr>
              <w:lastRenderedPageBreak/>
              <w:t>-0.86)*</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lastRenderedPageBreak/>
              <w:t xml:space="preserve"> -0.92 (-0.97 </w:t>
            </w:r>
            <w:r>
              <w:rPr>
                <w:sz w:val="24"/>
                <w:szCs w:val="24"/>
              </w:rPr>
              <w:lastRenderedPageBreak/>
              <w:t>-0.81)*</w:t>
            </w:r>
          </w:p>
        </w:tc>
      </w:tr>
      <w:tr w:rsidR="00D850E8">
        <w:trPr>
          <w:trHeight w:val="300"/>
        </w:trPr>
        <w:tc>
          <w:tcPr>
            <w:tcW w:w="6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lastRenderedPageBreak/>
              <w:t>HIV/AIDS</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0.92 (0.816 0.970)*</w:t>
            </w:r>
          </w:p>
        </w:tc>
        <w:tc>
          <w:tcPr>
            <w:tcW w:w="94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0.99 (0.96 0.99)*</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1</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-0.93 (-0.97 -0.83)*</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-0.51 (-0.78 -0.09)*</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-0.85 (-0.94 -0.66)*</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-0.93 (-0.97 -0.83)*</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-0.90 (-0.96 -0.76)*</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-0.88 (-0.95 -0.71)*</w:t>
            </w:r>
          </w:p>
        </w:tc>
      </w:tr>
      <w:tr w:rsidR="00D850E8">
        <w:trPr>
          <w:trHeight w:val="300"/>
        </w:trPr>
        <w:tc>
          <w:tcPr>
            <w:tcW w:w="6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Symptoms</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-0.89 (-0.98 -0.74)*</w:t>
            </w:r>
          </w:p>
        </w:tc>
        <w:tc>
          <w:tcPr>
            <w:tcW w:w="94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-0.94 (-0.97 -0.85)*</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-0.93 (-0.97 -0.83)*</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1</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0.50 (0.07 0.77)*</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0.90 (0.760 0.960)*</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0.93 (0.83 0.973)*</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0.948 (0.87 0.98)*</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0.918 (0.80 0.97)*</w:t>
            </w:r>
          </w:p>
        </w:tc>
      </w:tr>
      <w:tr w:rsidR="00D850E8">
        <w:trPr>
          <w:trHeight w:val="300"/>
        </w:trPr>
        <w:tc>
          <w:tcPr>
            <w:tcW w:w="6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Prevention</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-0.29 (-0.65 0.166)*</w:t>
            </w:r>
          </w:p>
        </w:tc>
        <w:tc>
          <w:tcPr>
            <w:tcW w:w="94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-0.44 (-0.74 -0.00)*</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-0.51 (-0.78 -0.09)*</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0.50 (0.07 0.77)*</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1</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0.54 (0.13 0.79)*</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0.39 (-0.06 0.71)*</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0.346 (-0.11 0.68)</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0.278 (-0.18 0.64)</w:t>
            </w:r>
          </w:p>
        </w:tc>
      </w:tr>
      <w:tr w:rsidR="00D850E8">
        <w:trPr>
          <w:trHeight w:val="300"/>
        </w:trPr>
        <w:tc>
          <w:tcPr>
            <w:tcW w:w="6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Cause</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-0.85 (-0.94 -0.67)*</w:t>
            </w:r>
          </w:p>
        </w:tc>
        <w:tc>
          <w:tcPr>
            <w:tcW w:w="94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-0.89 (-0.95 -0.74)*</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-0.85 (-0.94 -0.66)*</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0.90 (0.76 0.96)*</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0.54 (0.13 0.79)*</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1</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0.89 (0.74 0.96)*</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0.915 </w:t>
            </w:r>
            <w:r>
              <w:rPr>
                <w:sz w:val="24"/>
                <w:szCs w:val="24"/>
              </w:rPr>
              <w:t>(0.79 0.97)*</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0.893 (0.75 0.96)*</w:t>
            </w:r>
          </w:p>
        </w:tc>
      </w:tr>
      <w:tr w:rsidR="00D850E8">
        <w:trPr>
          <w:trHeight w:val="300"/>
        </w:trPr>
        <w:tc>
          <w:tcPr>
            <w:tcW w:w="6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Estimate</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-0.95 (-0.98 -0.88)*</w:t>
            </w:r>
          </w:p>
        </w:tc>
        <w:tc>
          <w:tcPr>
            <w:tcW w:w="94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-0.96 (-0.98 -0.92)*</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-0.93 (-0.97 -0.83)*</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0.93 (0.83 0.97)*</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0.39 (-0.06 0.71)</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0.89 (0.74 0.96)*</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1</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0.941 (0.86 0.98)*</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0.944 (0.86 0.98)*</w:t>
            </w:r>
          </w:p>
        </w:tc>
      </w:tr>
      <w:tr w:rsidR="00D850E8">
        <w:trPr>
          <w:trHeight w:val="300"/>
        </w:trPr>
        <w:tc>
          <w:tcPr>
            <w:tcW w:w="6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Low</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-0.94 (-0.97 -0.85)*</w:t>
            </w:r>
          </w:p>
        </w:tc>
        <w:tc>
          <w:tcPr>
            <w:tcW w:w="94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-0.94 (-0.97 -0.86)*</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-0.90 (-0.96 -0.76)*</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0.94 (0.87 0.98)*</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0.35 (-0.11 0.68)</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0.92 (0.79 0.97)*</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0.94 (0.86 0.98)*</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1</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0.952 (0.88 0.98)*</w:t>
            </w:r>
          </w:p>
        </w:tc>
      </w:tr>
      <w:tr w:rsidR="00D850E8">
        <w:trPr>
          <w:trHeight w:val="300"/>
        </w:trPr>
        <w:tc>
          <w:tcPr>
            <w:tcW w:w="600"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High</w:t>
            </w:r>
          </w:p>
        </w:tc>
        <w:tc>
          <w:tcPr>
            <w:tcW w:w="100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-0.91 (-0.96 -0.79)*</w:t>
            </w:r>
          </w:p>
        </w:tc>
        <w:tc>
          <w:tcPr>
            <w:tcW w:w="94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-0.92 (-0.97 -0.81)*</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 xml:space="preserve"> -0.88 (-0.95 -0.71)*</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0.92 (0.80 0.97)*</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0.28 (-0.18 0  .64)</w:t>
            </w:r>
          </w:p>
        </w:tc>
        <w:tc>
          <w:tcPr>
            <w:tcW w:w="1095"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0.89 (0.75 0.96)*</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0.94 (0.86 0.</w:t>
            </w:r>
            <w:r>
              <w:rPr>
                <w:sz w:val="24"/>
                <w:szCs w:val="24"/>
              </w:rPr>
              <w:t>98)*</w:t>
            </w:r>
          </w:p>
        </w:tc>
        <w:tc>
          <w:tcPr>
            <w:tcW w:w="93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0.952 (0.88 0.98)*</w:t>
            </w:r>
          </w:p>
        </w:tc>
        <w:tc>
          <w:tcPr>
            <w:tcW w:w="960" w:type="dxa"/>
            <w:tcBorders>
              <w:top w:val="nil"/>
              <w:left w:val="nil"/>
              <w:bottom w:val="single" w:sz="5" w:space="0" w:color="000000"/>
              <w:right w:val="single" w:sz="5" w:space="0" w:color="000000"/>
            </w:tcBorders>
            <w:tcMar>
              <w:top w:w="0" w:type="dxa"/>
              <w:left w:w="100" w:type="dxa"/>
              <w:bottom w:w="0" w:type="dxa"/>
              <w:right w:w="100" w:type="dxa"/>
            </w:tcMar>
          </w:tcPr>
          <w:p w:rsidR="00D850E8" w:rsidRDefault="005975A9">
            <w:pPr>
              <w:spacing w:line="240" w:lineRule="auto"/>
              <w:rPr>
                <w:sz w:val="24"/>
                <w:szCs w:val="24"/>
              </w:rPr>
            </w:pPr>
            <w:r>
              <w:rPr>
                <w:sz w:val="24"/>
                <w:szCs w:val="24"/>
              </w:rPr>
              <w:t>1</w:t>
            </w:r>
          </w:p>
        </w:tc>
      </w:tr>
    </w:tbl>
    <w:p w:rsidR="00D850E8" w:rsidRDefault="00D850E8">
      <w:pPr>
        <w:rPr>
          <w:sz w:val="24"/>
          <w:szCs w:val="24"/>
        </w:rPr>
      </w:pPr>
    </w:p>
    <w:p w:rsidR="00D850E8" w:rsidRDefault="005975A9">
      <w:pPr>
        <w:pStyle w:val="Heading2"/>
        <w:rPr>
          <w:sz w:val="24"/>
          <w:szCs w:val="24"/>
        </w:rPr>
      </w:pPr>
      <w:bookmarkStart w:id="13" w:name="_heading=h.35nkun2" w:colFirst="0" w:colLast="0"/>
      <w:bookmarkEnd w:id="13"/>
      <w:r>
        <w:rPr>
          <w:b/>
          <w:sz w:val="26"/>
          <w:szCs w:val="26"/>
        </w:rPr>
        <w:t>3.4 Time Series Analysis</w:t>
      </w:r>
    </w:p>
    <w:p w:rsidR="00D850E8" w:rsidRDefault="005975A9">
      <w:r>
        <w:t>The time series analysis performed on the estimated HIV cases in Nigeria as shown in Figure 4 showed significant insights into the forecasting model'</w:t>
      </w:r>
      <w:r>
        <w:t>s effectiveness. The forecast revealed an upward trend. The collected data was divided into training (2004–2019) and test (2020–2022) datasets, with 80% (2004–2019) used as training data and 20% (2020–2022) as testing data. The first order differencing was</w:t>
      </w:r>
      <w:r>
        <w:t xml:space="preserve"> employed to achieve stationarity after the Augmented Dickey-Fuller test revealed non-stationarity (p-value = 0.5754). The differenced data became stationary (p-value &lt; 0.0001), ensuring the validity of the ARIMA model [9].</w:t>
      </w:r>
    </w:p>
    <w:p w:rsidR="00D850E8" w:rsidRDefault="00D850E8"/>
    <w:p w:rsidR="00D850E8" w:rsidRDefault="005975A9">
      <w:r>
        <w:t>The ARIMA model was evaluated i</w:t>
      </w:r>
      <w:r>
        <w:t>n two scenarios: without including Google Trends search terms data and then with Google Trends search terms data (HIV, AIDS, HIV/AIDS, HIV symptoms, HIV prevention, HIV causes) as regressors. Despite the inclusion of the Google Trends data, the model's for</w:t>
      </w:r>
      <w:r>
        <w:t>ecast did not change, indicating that search trends were independent of the reported HIV cases. This suggests there was no discernible relationship between the online search trends for the keywords in predicting the actual HIV prevalence data in Nigeria.</w:t>
      </w:r>
    </w:p>
    <w:p w:rsidR="00D850E8" w:rsidRDefault="00D850E8"/>
    <w:p w:rsidR="00D850E8" w:rsidRDefault="005975A9">
      <w:r>
        <w:t>The model's fit was strong, as demonstrated by the low values of key performance metrics as shown in Table 2: MAE (2.50), RMSE (2.74), and MAPE (2.5%), highlighting minimal error in predictions. Furthermore, the AICc (67.36) indicated no overfitting, reaff</w:t>
      </w:r>
      <w:r>
        <w:t>irming the robustness of the model.</w:t>
      </w:r>
    </w:p>
    <w:p w:rsidR="00D850E8" w:rsidRDefault="00D850E8">
      <w:pPr>
        <w:rPr>
          <w:sz w:val="24"/>
          <w:szCs w:val="24"/>
        </w:rPr>
      </w:pPr>
    </w:p>
    <w:p w:rsidR="00D850E8" w:rsidRDefault="005975A9">
      <w:pPr>
        <w:rPr>
          <w:sz w:val="24"/>
          <w:szCs w:val="24"/>
        </w:rPr>
      </w:pPr>
      <w:r>
        <w:rPr>
          <w:noProof/>
          <w:sz w:val="24"/>
          <w:szCs w:val="24"/>
          <w:lang w:val="en-IN" w:eastAsia="en-IN"/>
        </w:rPr>
        <w:drawing>
          <wp:inline distT="0" distB="0" distL="0" distR="0">
            <wp:extent cx="5943600" cy="2362200"/>
            <wp:effectExtent l="0" t="0" r="0" b="0"/>
            <wp:docPr id="1029" name="image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11" cstate="print"/>
                    <a:srcRect/>
                    <a:stretch/>
                  </pic:blipFill>
                  <pic:spPr>
                    <a:xfrm>
                      <a:off x="0" y="0"/>
                      <a:ext cx="5943600" cy="2362200"/>
                    </a:xfrm>
                    <a:prstGeom prst="rect">
                      <a:avLst/>
                    </a:prstGeom>
                    <a:ln w="9525" cap="flat" cmpd="sng">
                      <a:solidFill>
                        <a:srgbClr val="000000"/>
                      </a:solidFill>
                      <a:prstDash val="solid"/>
                      <a:round/>
                      <a:headEnd type="none" w="med" len="med"/>
                      <a:tailEnd type="none" w="med" len="med"/>
                    </a:ln>
                  </pic:spPr>
                </pic:pic>
              </a:graphicData>
            </a:graphic>
          </wp:inline>
        </w:drawing>
      </w:r>
    </w:p>
    <w:p w:rsidR="00D850E8" w:rsidRDefault="005975A9">
      <w:pPr>
        <w:rPr>
          <w:b/>
          <w:sz w:val="24"/>
          <w:szCs w:val="24"/>
        </w:rPr>
      </w:pPr>
      <w:r>
        <w:rPr>
          <w:b/>
          <w:sz w:val="24"/>
          <w:szCs w:val="24"/>
        </w:rPr>
        <w:t>Figure 4: Prediction of estimated report without google trend data</w:t>
      </w:r>
    </w:p>
    <w:p w:rsidR="00D850E8" w:rsidRDefault="00D850E8"/>
    <w:p w:rsidR="00D850E8" w:rsidRDefault="005975A9">
      <w:pPr>
        <w:rPr>
          <w:b/>
          <w:sz w:val="24"/>
          <w:szCs w:val="24"/>
        </w:rPr>
      </w:pPr>
      <w:r>
        <w:rPr>
          <w:b/>
          <w:sz w:val="24"/>
          <w:szCs w:val="24"/>
        </w:rPr>
        <w:t xml:space="preserve">Table 2: Model Key Performance Metrics </w:t>
      </w:r>
    </w:p>
    <w:tbl>
      <w:tblPr>
        <w:tblStyle w:val="a0"/>
        <w:tblW w:w="93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D850E8">
        <w:tc>
          <w:tcPr>
            <w:tcW w:w="3120" w:type="dxa"/>
            <w:shd w:val="clear" w:color="auto" w:fill="auto"/>
            <w:tcMar>
              <w:top w:w="100" w:type="dxa"/>
              <w:left w:w="100" w:type="dxa"/>
              <w:bottom w:w="100" w:type="dxa"/>
              <w:right w:w="100" w:type="dxa"/>
            </w:tcMar>
          </w:tcPr>
          <w:p w:rsidR="00D850E8" w:rsidRDefault="005975A9">
            <w:r>
              <w:rPr>
                <w:sz w:val="24"/>
                <w:szCs w:val="24"/>
              </w:rPr>
              <w:t>key Performance Metrics</w:t>
            </w:r>
          </w:p>
        </w:tc>
        <w:tc>
          <w:tcPr>
            <w:tcW w:w="3120" w:type="dxa"/>
            <w:shd w:val="clear" w:color="auto" w:fill="auto"/>
            <w:tcMar>
              <w:top w:w="100" w:type="dxa"/>
              <w:left w:w="100" w:type="dxa"/>
              <w:bottom w:w="100" w:type="dxa"/>
              <w:right w:w="100" w:type="dxa"/>
            </w:tcMar>
          </w:tcPr>
          <w:p w:rsidR="00D850E8" w:rsidRDefault="005975A9">
            <w:pPr>
              <w:widowControl w:val="0"/>
              <w:spacing w:line="240" w:lineRule="auto"/>
            </w:pPr>
            <w:r>
              <w:t>Model without Google Trend</w:t>
            </w:r>
          </w:p>
        </w:tc>
        <w:tc>
          <w:tcPr>
            <w:tcW w:w="3120" w:type="dxa"/>
            <w:shd w:val="clear" w:color="auto" w:fill="auto"/>
            <w:tcMar>
              <w:top w:w="100" w:type="dxa"/>
              <w:left w:w="100" w:type="dxa"/>
              <w:bottom w:w="100" w:type="dxa"/>
              <w:right w:w="100" w:type="dxa"/>
            </w:tcMar>
          </w:tcPr>
          <w:p w:rsidR="00D850E8" w:rsidRDefault="005975A9">
            <w:pPr>
              <w:widowControl w:val="0"/>
              <w:spacing w:line="240" w:lineRule="auto"/>
            </w:pPr>
            <w:r>
              <w:t>Model with Google Trend</w:t>
            </w:r>
          </w:p>
        </w:tc>
      </w:tr>
      <w:tr w:rsidR="00D850E8">
        <w:tc>
          <w:tcPr>
            <w:tcW w:w="3120" w:type="dxa"/>
            <w:shd w:val="clear" w:color="auto" w:fill="auto"/>
            <w:tcMar>
              <w:top w:w="100" w:type="dxa"/>
              <w:left w:w="100" w:type="dxa"/>
              <w:bottom w:w="100" w:type="dxa"/>
              <w:right w:w="100" w:type="dxa"/>
            </w:tcMar>
          </w:tcPr>
          <w:p w:rsidR="00D850E8" w:rsidRDefault="005975A9">
            <w:pPr>
              <w:widowControl w:val="0"/>
              <w:spacing w:line="240" w:lineRule="auto"/>
              <w:rPr>
                <w:sz w:val="16"/>
                <w:szCs w:val="16"/>
              </w:rPr>
            </w:pPr>
            <w:r>
              <w:t>AIC</w:t>
            </w:r>
            <w:r>
              <w:rPr>
                <w:sz w:val="16"/>
                <w:szCs w:val="16"/>
              </w:rPr>
              <w:t>c</w:t>
            </w:r>
          </w:p>
        </w:tc>
        <w:tc>
          <w:tcPr>
            <w:tcW w:w="3120" w:type="dxa"/>
            <w:shd w:val="clear" w:color="auto" w:fill="auto"/>
            <w:tcMar>
              <w:top w:w="100" w:type="dxa"/>
              <w:left w:w="100" w:type="dxa"/>
              <w:bottom w:w="100" w:type="dxa"/>
              <w:right w:w="100" w:type="dxa"/>
            </w:tcMar>
          </w:tcPr>
          <w:p w:rsidR="00D850E8" w:rsidRDefault="005975A9">
            <w:pPr>
              <w:widowControl w:val="0"/>
              <w:spacing w:line="240" w:lineRule="auto"/>
            </w:pPr>
            <w:r>
              <w:t>67.36</w:t>
            </w:r>
          </w:p>
        </w:tc>
        <w:tc>
          <w:tcPr>
            <w:tcW w:w="3120" w:type="dxa"/>
            <w:shd w:val="clear" w:color="auto" w:fill="auto"/>
            <w:tcMar>
              <w:top w:w="100" w:type="dxa"/>
              <w:left w:w="100" w:type="dxa"/>
              <w:bottom w:w="100" w:type="dxa"/>
              <w:right w:w="100" w:type="dxa"/>
            </w:tcMar>
          </w:tcPr>
          <w:p w:rsidR="00D850E8" w:rsidRDefault="005975A9">
            <w:pPr>
              <w:widowControl w:val="0"/>
              <w:spacing w:line="240" w:lineRule="auto"/>
            </w:pPr>
            <w:r>
              <w:t>67.36</w:t>
            </w:r>
          </w:p>
        </w:tc>
      </w:tr>
      <w:tr w:rsidR="00D850E8">
        <w:tc>
          <w:tcPr>
            <w:tcW w:w="3120" w:type="dxa"/>
            <w:shd w:val="clear" w:color="auto" w:fill="auto"/>
            <w:tcMar>
              <w:top w:w="100" w:type="dxa"/>
              <w:left w:w="100" w:type="dxa"/>
              <w:bottom w:w="100" w:type="dxa"/>
              <w:right w:w="100" w:type="dxa"/>
            </w:tcMar>
          </w:tcPr>
          <w:p w:rsidR="00D850E8" w:rsidRDefault="005975A9">
            <w:pPr>
              <w:widowControl w:val="0"/>
              <w:spacing w:line="240" w:lineRule="auto"/>
            </w:pPr>
            <w:r>
              <w:t>RMSE</w:t>
            </w:r>
          </w:p>
        </w:tc>
        <w:tc>
          <w:tcPr>
            <w:tcW w:w="3120" w:type="dxa"/>
            <w:shd w:val="clear" w:color="auto" w:fill="auto"/>
            <w:tcMar>
              <w:top w:w="100" w:type="dxa"/>
              <w:left w:w="100" w:type="dxa"/>
              <w:bottom w:w="100" w:type="dxa"/>
              <w:right w:w="100" w:type="dxa"/>
            </w:tcMar>
          </w:tcPr>
          <w:p w:rsidR="00D850E8" w:rsidRDefault="005975A9">
            <w:pPr>
              <w:widowControl w:val="0"/>
              <w:spacing w:line="240" w:lineRule="auto"/>
            </w:pPr>
            <w:r>
              <w:t>2.74</w:t>
            </w:r>
          </w:p>
        </w:tc>
        <w:tc>
          <w:tcPr>
            <w:tcW w:w="3120" w:type="dxa"/>
            <w:shd w:val="clear" w:color="auto" w:fill="auto"/>
            <w:tcMar>
              <w:top w:w="100" w:type="dxa"/>
              <w:left w:w="100" w:type="dxa"/>
              <w:bottom w:w="100" w:type="dxa"/>
              <w:right w:w="100" w:type="dxa"/>
            </w:tcMar>
          </w:tcPr>
          <w:p w:rsidR="00D850E8" w:rsidRDefault="005975A9">
            <w:pPr>
              <w:widowControl w:val="0"/>
              <w:spacing w:line="240" w:lineRule="auto"/>
            </w:pPr>
            <w:r>
              <w:t>2.74</w:t>
            </w:r>
          </w:p>
        </w:tc>
      </w:tr>
      <w:tr w:rsidR="00D850E8">
        <w:tc>
          <w:tcPr>
            <w:tcW w:w="3120" w:type="dxa"/>
            <w:shd w:val="clear" w:color="auto" w:fill="auto"/>
            <w:tcMar>
              <w:top w:w="100" w:type="dxa"/>
              <w:left w:w="100" w:type="dxa"/>
              <w:bottom w:w="100" w:type="dxa"/>
              <w:right w:w="100" w:type="dxa"/>
            </w:tcMar>
          </w:tcPr>
          <w:p w:rsidR="00D850E8" w:rsidRDefault="005975A9">
            <w:pPr>
              <w:widowControl w:val="0"/>
              <w:spacing w:line="240" w:lineRule="auto"/>
            </w:pPr>
            <w:r>
              <w:t>MAE</w:t>
            </w:r>
          </w:p>
        </w:tc>
        <w:tc>
          <w:tcPr>
            <w:tcW w:w="3120" w:type="dxa"/>
            <w:shd w:val="clear" w:color="auto" w:fill="auto"/>
            <w:tcMar>
              <w:top w:w="100" w:type="dxa"/>
              <w:left w:w="100" w:type="dxa"/>
              <w:bottom w:w="100" w:type="dxa"/>
              <w:right w:w="100" w:type="dxa"/>
            </w:tcMar>
          </w:tcPr>
          <w:p w:rsidR="00D850E8" w:rsidRDefault="005975A9">
            <w:pPr>
              <w:widowControl w:val="0"/>
              <w:spacing w:line="240" w:lineRule="auto"/>
            </w:pPr>
            <w:r>
              <w:t>2.50</w:t>
            </w:r>
          </w:p>
        </w:tc>
        <w:tc>
          <w:tcPr>
            <w:tcW w:w="3120" w:type="dxa"/>
            <w:shd w:val="clear" w:color="auto" w:fill="auto"/>
            <w:tcMar>
              <w:top w:w="100" w:type="dxa"/>
              <w:left w:w="100" w:type="dxa"/>
              <w:bottom w:w="100" w:type="dxa"/>
              <w:right w:w="100" w:type="dxa"/>
            </w:tcMar>
          </w:tcPr>
          <w:p w:rsidR="00D850E8" w:rsidRDefault="005975A9">
            <w:pPr>
              <w:widowControl w:val="0"/>
              <w:spacing w:line="240" w:lineRule="auto"/>
            </w:pPr>
            <w:r>
              <w:t>2.50</w:t>
            </w:r>
          </w:p>
        </w:tc>
      </w:tr>
      <w:tr w:rsidR="00D850E8">
        <w:tc>
          <w:tcPr>
            <w:tcW w:w="3120" w:type="dxa"/>
            <w:shd w:val="clear" w:color="auto" w:fill="auto"/>
            <w:tcMar>
              <w:top w:w="100" w:type="dxa"/>
              <w:left w:w="100" w:type="dxa"/>
              <w:bottom w:w="100" w:type="dxa"/>
              <w:right w:w="100" w:type="dxa"/>
            </w:tcMar>
          </w:tcPr>
          <w:p w:rsidR="00D850E8" w:rsidRDefault="005975A9">
            <w:pPr>
              <w:widowControl w:val="0"/>
              <w:spacing w:line="240" w:lineRule="auto"/>
            </w:pPr>
            <w:r>
              <w:t>MAPE</w:t>
            </w:r>
          </w:p>
        </w:tc>
        <w:tc>
          <w:tcPr>
            <w:tcW w:w="3120" w:type="dxa"/>
            <w:shd w:val="clear" w:color="auto" w:fill="auto"/>
            <w:tcMar>
              <w:top w:w="100" w:type="dxa"/>
              <w:left w:w="100" w:type="dxa"/>
              <w:bottom w:w="100" w:type="dxa"/>
              <w:right w:w="100" w:type="dxa"/>
            </w:tcMar>
          </w:tcPr>
          <w:p w:rsidR="00D850E8" w:rsidRDefault="005975A9">
            <w:pPr>
              <w:widowControl w:val="0"/>
              <w:spacing w:line="240" w:lineRule="auto"/>
            </w:pPr>
            <w:r>
              <w:t>2.5%</w:t>
            </w:r>
          </w:p>
        </w:tc>
        <w:tc>
          <w:tcPr>
            <w:tcW w:w="3120" w:type="dxa"/>
            <w:shd w:val="clear" w:color="auto" w:fill="auto"/>
            <w:tcMar>
              <w:top w:w="100" w:type="dxa"/>
              <w:left w:w="100" w:type="dxa"/>
              <w:bottom w:w="100" w:type="dxa"/>
              <w:right w:w="100" w:type="dxa"/>
            </w:tcMar>
          </w:tcPr>
          <w:p w:rsidR="00D850E8" w:rsidRDefault="005975A9">
            <w:pPr>
              <w:widowControl w:val="0"/>
              <w:spacing w:line="240" w:lineRule="auto"/>
            </w:pPr>
            <w:r>
              <w:t>2.5%</w:t>
            </w:r>
          </w:p>
        </w:tc>
      </w:tr>
    </w:tbl>
    <w:p w:rsidR="00D850E8" w:rsidRDefault="00D850E8">
      <w:pPr>
        <w:rPr>
          <w:sz w:val="24"/>
          <w:szCs w:val="24"/>
        </w:rPr>
      </w:pPr>
    </w:p>
    <w:p w:rsidR="00D850E8" w:rsidRDefault="005975A9">
      <w:pPr>
        <w:pStyle w:val="Heading1"/>
        <w:keepNext w:val="0"/>
        <w:keepLines w:val="0"/>
        <w:spacing w:before="280"/>
        <w:rPr>
          <w:b/>
          <w:sz w:val="34"/>
          <w:szCs w:val="34"/>
        </w:rPr>
      </w:pPr>
      <w:bookmarkStart w:id="14" w:name="_heading=h.1ksv4uv" w:colFirst="0" w:colLast="0"/>
      <w:bookmarkEnd w:id="14"/>
      <w:r>
        <w:rPr>
          <w:b/>
          <w:sz w:val="34"/>
          <w:szCs w:val="34"/>
        </w:rPr>
        <w:t>4. Discussion</w:t>
      </w:r>
    </w:p>
    <w:p w:rsidR="00D850E8" w:rsidRDefault="005975A9">
      <w:pPr>
        <w:spacing w:before="240" w:after="240"/>
      </w:pPr>
      <w:r>
        <w:t xml:space="preserve">The results of this study, "Exploring the Relationship between Online Search Trends and Reported Cases of HIV in Nigeria," provide critical insights into both public interest in HIV and the trends in HIV case </w:t>
      </w:r>
      <w:r>
        <w:t>reporting, which are important for effective health planning and intervention.</w:t>
      </w:r>
    </w:p>
    <w:p w:rsidR="00D850E8" w:rsidRDefault="005975A9">
      <w:pPr>
        <w:spacing w:before="240" w:after="240"/>
      </w:pPr>
      <w:r>
        <w:rPr>
          <w:lang w:val="en-US"/>
        </w:rPr>
        <w:t>Notably, a comparison of the Google Trends data with reported HIV cases reveals an intriguing disconnect. While the normalized search volumes for HIV-related terms, such as "HIV</w:t>
      </w:r>
      <w:r>
        <w:rPr>
          <w:lang w:val="en-US"/>
        </w:rPr>
        <w:t xml:space="preserve"> Symptoms" and "HIV Causes," exhibit significant peaks and fluctuations over time, the reported HIV cases show a steady upward trend. This divergence suggests that public interest in HIV-related topics, as reflected in online searches, may not always align</w:t>
      </w:r>
      <w:r>
        <w:rPr>
          <w:lang w:val="en-US"/>
        </w:rPr>
        <w:t xml:space="preserve"> with the actual epidemiological trends. Furthermore, the time series analysis reveals that Google Trends data do not significantly influence the forecast of reported HIV cases, underscoring the limitations of using online search data as a predictive tool </w:t>
      </w:r>
      <w:r>
        <w:rPr>
          <w:lang w:val="en-US"/>
        </w:rPr>
        <w:t>for HIV surveillance.</w:t>
      </w:r>
    </w:p>
    <w:p w:rsidR="00D850E8" w:rsidRDefault="005975A9">
      <w:pPr>
        <w:spacing w:before="240" w:after="240"/>
      </w:pPr>
      <w:r>
        <w:t xml:space="preserve">The Normalized Search Volume (NSV) analysis of HIV-related terms, including "HIV," "AIDS," "HIV/AIDS," "HIV Symptoms," "HIV Prevention," and "HIV Causes," reveals a general decline in </w:t>
      </w:r>
      <w:r>
        <w:lastRenderedPageBreak/>
        <w:t>public interest from 2004 to 2023. The most notice</w:t>
      </w:r>
      <w:r>
        <w:t>able drop is observed for "AIDS" and "HIV/AIDS," with the search volume declining below 30% and 20%, respectively, by 2023. This  general downward trend for each search term, potentially reflecting changes in health priorities and media focus over time [19</w:t>
      </w:r>
      <w:r>
        <w:t>].</w:t>
      </w:r>
    </w:p>
    <w:p w:rsidR="00D850E8" w:rsidRDefault="005975A9">
      <w:pPr>
        <w:spacing w:before="240" w:after="240"/>
      </w:pPr>
      <w:r>
        <w:t>However, a more consistent interest is seen in terms such as "HIV Symptoms" and "HIV Causes," with peaks occurring around 2010 and 2019, these peaks can be linked to public health campaigns and the impact of media-driven events or health initiatives aim</w:t>
      </w:r>
      <w:r>
        <w:t>ed at increasing awareness [20, 21].</w:t>
      </w:r>
    </w:p>
    <w:p w:rsidR="00D850E8" w:rsidRDefault="005975A9">
      <w:pPr>
        <w:spacing w:before="240" w:after="240"/>
      </w:pPr>
      <w:r>
        <w:t>Meanwhile, the trend analysis of the estimated HIV case reports in Nigeria from 2004 to 2023 shows a persistent upward trend. This is in line with the findings from [22]. The green line, reflecting the higher range of e</w:t>
      </w:r>
      <w:r>
        <w:t xml:space="preserve">stimates, shows a parallel rise with higher values, suggesting the variability in the HIV epidemic's scope based on different reporting assumptions. These variations highlight the uncertainty in HIV case reporting and underscore the importance of accurate </w:t>
      </w:r>
      <w:r>
        <w:t>estimation methods for public health planning [23, 24, 25].</w:t>
      </w:r>
    </w:p>
    <w:p w:rsidR="00D850E8" w:rsidRDefault="005975A9">
      <w:pPr>
        <w:spacing w:before="240" w:after="240"/>
      </w:pPr>
      <w:r>
        <w:t>The Mann-Kendall test confirmed a statistically significant increasing trend in reported HIV cases over the years, suggesting that the HIV epidemic in Nigeria remains a growing public health conce</w:t>
      </w:r>
      <w:r>
        <w:t>rn. This finding is consistent with previous studies that also observed increasing trends in HIV incidence</w:t>
      </w:r>
      <w:r>
        <w:rPr>
          <w:color w:val="FF0000"/>
        </w:rPr>
        <w:t xml:space="preserve"> </w:t>
      </w:r>
      <w:r>
        <w:t>[26].</w:t>
      </w:r>
    </w:p>
    <w:p w:rsidR="00D850E8" w:rsidRDefault="005975A9">
      <w:pPr>
        <w:spacing w:before="240" w:after="240"/>
      </w:pPr>
      <w:r>
        <w:t>Pearson correlation analysis between Google Trends data and reported HIV cases revealed significant correlations with varied relationship stren</w:t>
      </w:r>
      <w:r>
        <w:t>gths between the search terms and the reported cases of HIV. This highlights the potential of using Google Trends data as a tool for monitoring public interest but also points to the complexity of its relationship with reported health statistics. These fin</w:t>
      </w:r>
      <w:r>
        <w:t>dings suggest that public interest in HIV-related topics, as reflected in online searches, significantly correlates with reported HIV cases, indicating that online search trends could be useful for monitoring and forecasting HIV trends [27, 12, 28, 10].</w:t>
      </w:r>
    </w:p>
    <w:p w:rsidR="00D850E8" w:rsidRDefault="005975A9">
      <w:pPr>
        <w:spacing w:before="240" w:after="240"/>
      </w:pPr>
      <w:r>
        <w:t>Th</w:t>
      </w:r>
      <w:r>
        <w:t>e time series analysis using the ARIMA model, confirmed that Google Trends search terms data, when used as regressors, did not significantly influence the forecast of reported HIV cases in Nigeria. Despite this, the ARIMA model performed well, as evidenced</w:t>
      </w:r>
      <w:r>
        <w:t xml:space="preserve"> by the low MAE, RMSE, and MAPE values, suggesting that the model was accurate in forecasting trends without the need for online search data. The non-impact of Google Trends data in the forecasting model in this study suggests that the public’s interest, a</w:t>
      </w:r>
      <w:r>
        <w:t>s measured through online search terms, may not be a reliable predictor of HIV case reporting, pointing to the potential independence of these two factors. This result aligns with findings from the study which found that while google search trends may offe</w:t>
      </w:r>
      <w:r>
        <w:t>r insights into public interest, it</w:t>
      </w:r>
      <w:r>
        <w:rPr>
          <w:color w:val="222222"/>
          <w:highlight w:val="white"/>
        </w:rPr>
        <w:t xml:space="preserve"> seems to be more influenced by the media clamor than by true epidemiological burden [29].</w:t>
      </w:r>
    </w:p>
    <w:p w:rsidR="00D850E8" w:rsidRDefault="005975A9">
      <w:pPr>
        <w:spacing w:before="240" w:after="240"/>
        <w:rPr>
          <w:b/>
          <w:color w:val="000000"/>
        </w:rPr>
      </w:pPr>
      <w:r>
        <w:t>However, there are some limitations to this study that must be addressed. One major limitation is that reliance on Google Trends d</w:t>
      </w:r>
      <w:r>
        <w:t>ata  may not fully capture the complexity of public interest in HIV-related topics. Google search behavior can be influenced by various factors such as internet access and literacy levels, particularly in regions like Nigeria. Additionally, the search volu</w:t>
      </w:r>
      <w:r>
        <w:t>me data may reflect interest from a broader population and not necessarily those at risk of HIV, thus introducing bias in the correlation with reported case data. Another limitation is the underreporting of HIV cases, which is common in many low- and middl</w:t>
      </w:r>
      <w:r>
        <w:t xml:space="preserve">e-income countries, including Nigeria. This reporting bias </w:t>
      </w:r>
      <w:r>
        <w:lastRenderedPageBreak/>
        <w:t>can skew the analysis, making it difficult to draw definitive conclusions about the relationship between online search trends and actual HIV incidence. Furthermore, the study's use of only one data</w:t>
      </w:r>
      <w:r>
        <w:t>base, UNAIDS, limits the scope of the findings, as other regional or national health data sources may provide a more comprehensive view of the epidemic.</w:t>
      </w:r>
    </w:p>
    <w:p w:rsidR="00D850E8" w:rsidRDefault="005975A9">
      <w:pPr>
        <w:pStyle w:val="Heading3"/>
        <w:keepNext w:val="0"/>
        <w:keepLines w:val="0"/>
        <w:spacing w:before="280"/>
        <w:rPr>
          <w:b/>
          <w:color w:val="000000"/>
          <w:sz w:val="34"/>
          <w:szCs w:val="34"/>
        </w:rPr>
      </w:pPr>
      <w:bookmarkStart w:id="15" w:name="_heading=h.z337ya" w:colFirst="0" w:colLast="0"/>
      <w:bookmarkEnd w:id="15"/>
      <w:r>
        <w:rPr>
          <w:b/>
          <w:color w:val="000000"/>
          <w:sz w:val="34"/>
          <w:szCs w:val="34"/>
        </w:rPr>
        <w:t>5. Conclusion</w:t>
      </w:r>
    </w:p>
    <w:p w:rsidR="00D850E8" w:rsidRDefault="005975A9">
      <w:pPr>
        <w:spacing w:before="240" w:after="240"/>
        <w:rPr>
          <w:sz w:val="24"/>
          <w:szCs w:val="24"/>
        </w:rPr>
      </w:pPr>
      <w:r>
        <w:t>This study investigated the potential of using online search trends to monitor and predic</w:t>
      </w:r>
      <w:r>
        <w:t>t HIV cases in Nigeria. The Pearson correlation analysis demonstrated significant relationships with varied relationship strengths between HIV-related search terms and reported cases, highlighting the usefulness of Google Trends for gauging public interest</w:t>
      </w:r>
      <w:r>
        <w:t xml:space="preserve">. However, the time series forecasting revealed that Google Trends data did not significantly influence HIV case reports, suggesting its limited utility in predicting trends. The findings of this study are important for public health policymakers, as they </w:t>
      </w:r>
      <w:r>
        <w:t>underscore the need for robust HIV surveillance systems that incorporate a variety of data sources in a manner tailored to the Nigerian context.</w:t>
      </w:r>
    </w:p>
    <w:p w:rsidR="00D850E8" w:rsidRDefault="00D850E8">
      <w:pPr>
        <w:spacing w:before="240" w:after="240"/>
        <w:rPr>
          <w:sz w:val="24"/>
          <w:szCs w:val="24"/>
        </w:rPr>
      </w:pPr>
    </w:p>
    <w:p w:rsidR="00D850E8" w:rsidRDefault="00D850E8">
      <w:bookmarkStart w:id="16" w:name="_heading=h.3j2qqm3" w:colFirst="0" w:colLast="0"/>
      <w:bookmarkEnd w:id="16"/>
    </w:p>
    <w:p w:rsidR="00D850E8" w:rsidRDefault="005975A9">
      <w:r>
        <w:rPr>
          <w:b/>
          <w:bCs/>
          <w:lang w:val="en-US"/>
        </w:rPr>
        <w:t>Data Availability</w:t>
      </w:r>
      <w:r>
        <w:rPr>
          <w:lang w:val="en-US"/>
        </w:rPr>
        <w:t>: This study utilized data available in the UNAIDS database and Google Trends API, which are cited in the Methodology section of this study and referenced accordingly.</w:t>
      </w:r>
    </w:p>
    <w:p w:rsidR="00D850E8" w:rsidRDefault="00D850E8"/>
    <w:p w:rsidR="00D850E8" w:rsidRDefault="005975A9">
      <w:pPr>
        <w:rPr>
          <w:rFonts w:ascii="Calibri" w:eastAsia="Calibri" w:hAnsi="Calibri" w:cs="Times New Roman"/>
          <w:kern w:val="2"/>
          <w:sz w:val="22"/>
          <w:highlight w:val="yellow"/>
          <w:lang w:val="en-US" w:eastAsia="en-US"/>
        </w:rPr>
      </w:pPr>
      <w:r>
        <w:rPr>
          <w:b/>
          <w:bCs/>
          <w:sz w:val="24"/>
          <w:szCs w:val="24"/>
          <w:lang w:val="en-US"/>
        </w:rPr>
        <w:t xml:space="preserve">Disclaimer (Artificial intelligence): </w:t>
      </w:r>
      <w:r>
        <w:rPr>
          <w:sz w:val="24"/>
          <w:szCs w:val="24"/>
          <w:lang w:val="en-US"/>
        </w:rPr>
        <w:t>Author(s) hereby declare that NO generative AI technologies such as Large Language Models (ChatGPT, COPILOT, etc.) and text-to-image generators have been used during the writing or editing of this manuscript.</w:t>
      </w:r>
      <w:bookmarkStart w:id="17" w:name="_heading=h.1y810tw" w:colFirst="0" w:colLast="0"/>
      <w:bookmarkStart w:id="18" w:name="_Hlk180402183"/>
      <w:bookmarkStart w:id="19" w:name="_Hlk183680988"/>
      <w:bookmarkEnd w:id="17"/>
    </w:p>
    <w:bookmarkEnd w:id="18"/>
    <w:bookmarkEnd w:id="19"/>
    <w:p w:rsidR="00D850E8" w:rsidRDefault="005975A9">
      <w:pPr>
        <w:pStyle w:val="Heading1"/>
        <w:rPr>
          <w:sz w:val="32"/>
          <w:szCs w:val="32"/>
        </w:rPr>
      </w:pPr>
      <w:r>
        <w:rPr>
          <w:sz w:val="32"/>
          <w:szCs w:val="32"/>
        </w:rPr>
        <w:t>Reference</w:t>
      </w:r>
      <w:r>
        <w:rPr>
          <w:sz w:val="32"/>
          <w:szCs w:val="32"/>
        </w:rPr>
        <w:t>s</w:t>
      </w:r>
      <w:bookmarkStart w:id="20" w:name="_GoBack"/>
      <w:bookmarkEnd w:id="20"/>
    </w:p>
    <w:p w:rsidR="00D850E8" w:rsidRDefault="005975A9">
      <w:pPr>
        <w:spacing w:line="240" w:lineRule="auto"/>
        <w:rPr>
          <w:highlight w:val="white"/>
        </w:rPr>
      </w:pPr>
      <w:r>
        <w:rPr>
          <w:highlight w:val="white"/>
        </w:rPr>
        <w:t>[1] UNAIDS. (2023). Nigeria. [online] Available at: https://www.unaids.org/en/regionscountries/countries/nigeria  [Accessed 15 December 2024]</w:t>
      </w:r>
    </w:p>
    <w:p w:rsidR="00D850E8" w:rsidRDefault="00D850E8">
      <w:pPr>
        <w:spacing w:line="240" w:lineRule="auto"/>
        <w:rPr>
          <w:highlight w:val="white"/>
        </w:rPr>
      </w:pPr>
    </w:p>
    <w:p w:rsidR="00D850E8" w:rsidRDefault="005975A9">
      <w:pPr>
        <w:spacing w:line="240" w:lineRule="auto"/>
        <w:rPr>
          <w:highlight w:val="white"/>
        </w:rPr>
      </w:pPr>
      <w:r>
        <w:rPr>
          <w:highlight w:val="white"/>
        </w:rPr>
        <w:t xml:space="preserve">[2] Statista. (2024). Number of people living with HIV in African countries as of 2022. [online] Available at: </w:t>
      </w:r>
      <w:r>
        <w:rPr>
          <w:highlight w:val="white"/>
        </w:rPr>
        <w:t>https://www.statista.com/statistics/1305217/number-people-with-hiv-african-countries/ [Accessed 15 December 2024]</w:t>
      </w:r>
    </w:p>
    <w:p w:rsidR="00D850E8" w:rsidRDefault="00D850E8">
      <w:pPr>
        <w:spacing w:line="240" w:lineRule="auto"/>
        <w:ind w:left="720"/>
        <w:rPr>
          <w:highlight w:val="white"/>
        </w:rPr>
      </w:pPr>
    </w:p>
    <w:p w:rsidR="00D850E8" w:rsidRDefault="005975A9">
      <w:pPr>
        <w:spacing w:line="240" w:lineRule="auto"/>
        <w:rPr>
          <w:highlight w:val="white"/>
        </w:rPr>
      </w:pPr>
      <w:r>
        <w:rPr>
          <w:highlight w:val="white"/>
        </w:rPr>
        <w:t>[3] Moyo, E., Moyo, P., Murewanhema, G., Mhango, M., Chitungo, I., &amp; Dzinamarira, T. (2023). Key populations and Sub-Saharan Africa's HIV res</w:t>
      </w:r>
      <w:r>
        <w:rPr>
          <w:highlight w:val="white"/>
        </w:rPr>
        <w:t>ponse. Frontiers in public health, 11, 1079990. https://doi.org/10.3389/fpubh.2023.1079990</w:t>
      </w:r>
    </w:p>
    <w:p w:rsidR="00D850E8" w:rsidRDefault="00D850E8">
      <w:pPr>
        <w:spacing w:line="240" w:lineRule="auto"/>
        <w:ind w:left="720"/>
        <w:rPr>
          <w:highlight w:val="white"/>
        </w:rPr>
      </w:pPr>
    </w:p>
    <w:p w:rsidR="00D850E8" w:rsidRDefault="005975A9">
      <w:pPr>
        <w:spacing w:line="240" w:lineRule="auto"/>
        <w:rPr>
          <w:highlight w:val="white"/>
        </w:rPr>
      </w:pPr>
      <w:r>
        <w:rPr>
          <w:highlight w:val="white"/>
        </w:rPr>
        <w:t>[4] Okonkwo, P., Olatoregun, O. J., Abolarin, O., &amp; Olajide, O. (2024). Barriers to Accessing Antiretroviral Treatment Among Key Populations in Southwest Nigeria. C</w:t>
      </w:r>
      <w:r>
        <w:rPr>
          <w:highlight w:val="white"/>
        </w:rPr>
        <w:t xml:space="preserve">ureus, 16(4), e59312. </w:t>
      </w:r>
      <w:hyperlink r:id="rId12" w:history="1">
        <w:r>
          <w:rPr>
            <w:color w:val="1155CC"/>
            <w:highlight w:val="white"/>
            <w:u w:val="single"/>
          </w:rPr>
          <w:t>https://doi.org/10.7759/cureus.59312</w:t>
        </w:r>
      </w:hyperlink>
    </w:p>
    <w:p w:rsidR="00D850E8" w:rsidRDefault="00D850E8">
      <w:pPr>
        <w:spacing w:line="240" w:lineRule="auto"/>
        <w:rPr>
          <w:highlight w:val="white"/>
        </w:rPr>
      </w:pPr>
    </w:p>
    <w:p w:rsidR="00D850E8" w:rsidRDefault="005975A9">
      <w:pPr>
        <w:spacing w:line="240" w:lineRule="auto"/>
        <w:rPr>
          <w:highlight w:val="white"/>
        </w:rPr>
      </w:pPr>
      <w:r>
        <w:rPr>
          <w:highlight w:val="white"/>
        </w:rPr>
        <w:t>[5] Mwanja, H., Waswa, J. P., Kiggundu, R., Mackline, H., Bulwadda, D., Byonanebye, D. M., Kambugu, A., &amp; Kakooza, F. (2024). Utility of syndro</w:t>
      </w:r>
      <w:r>
        <w:rPr>
          <w:highlight w:val="white"/>
        </w:rPr>
        <w:t xml:space="preserve">mic surveillance for the surveillance of healthcare-associated infections in resource-limited settings: a narrative review. Frontiers in microbiology, 15, 1493511. </w:t>
      </w:r>
      <w:hyperlink r:id="rId13" w:history="1">
        <w:r>
          <w:rPr>
            <w:color w:val="1155CC"/>
            <w:highlight w:val="white"/>
            <w:u w:val="single"/>
          </w:rPr>
          <w:t>https://doi.org/10.3389/fmicb.2024.1</w:t>
        </w:r>
        <w:r>
          <w:rPr>
            <w:color w:val="1155CC"/>
            <w:highlight w:val="white"/>
            <w:u w:val="single"/>
          </w:rPr>
          <w:t>493511</w:t>
        </w:r>
      </w:hyperlink>
    </w:p>
    <w:p w:rsidR="00D850E8" w:rsidRDefault="00D850E8">
      <w:pPr>
        <w:spacing w:line="240" w:lineRule="auto"/>
        <w:rPr>
          <w:highlight w:val="white"/>
        </w:rPr>
      </w:pPr>
    </w:p>
    <w:p w:rsidR="00D850E8" w:rsidRDefault="005975A9">
      <w:pPr>
        <w:spacing w:line="240" w:lineRule="auto"/>
        <w:rPr>
          <w:highlight w:val="white"/>
        </w:rPr>
      </w:pPr>
      <w:r>
        <w:rPr>
          <w:highlight w:val="white"/>
        </w:rPr>
        <w:lastRenderedPageBreak/>
        <w:t>[6] Savelkoel, J., Claushuis, T. A. M., van Engelen, T. S. R., Scheres, L. J. J., &amp; Wiersinga, W. J. (2018). Global impact of World Sepsis Day on digital awareness of sepsis: an evaluation using Google Trends. Critical care (London, England), 22</w:t>
      </w:r>
      <w:r>
        <w:rPr>
          <w:highlight w:val="white"/>
        </w:rPr>
        <w:t xml:space="preserve">(1), 61. </w:t>
      </w:r>
      <w:hyperlink r:id="rId14" w:history="1">
        <w:r>
          <w:rPr>
            <w:color w:val="1155CC"/>
            <w:highlight w:val="white"/>
            <w:u w:val="single"/>
          </w:rPr>
          <w:t>https://doi.org/10.1186/s13054-018-1981-5</w:t>
        </w:r>
      </w:hyperlink>
    </w:p>
    <w:p w:rsidR="00D850E8" w:rsidRDefault="00D850E8">
      <w:pPr>
        <w:spacing w:line="240" w:lineRule="auto"/>
        <w:rPr>
          <w:highlight w:val="white"/>
        </w:rPr>
      </w:pPr>
    </w:p>
    <w:p w:rsidR="00D850E8" w:rsidRDefault="005975A9">
      <w:pPr>
        <w:spacing w:line="240" w:lineRule="auto"/>
        <w:rPr>
          <w:highlight w:val="white"/>
        </w:rPr>
      </w:pPr>
      <w:r>
        <w:rPr>
          <w:highlight w:val="white"/>
        </w:rPr>
        <w:t>[7] Ornos, E.D.B., Tantengco, O.A.G. &amp; Abad, C.L.R. Global Online Interest in HIV/AIDS care Services in the time of COVID-19: A Google Trends Anal</w:t>
      </w:r>
      <w:r>
        <w:rPr>
          <w:highlight w:val="white"/>
        </w:rPr>
        <w:t xml:space="preserve">ysis. AIDS Behav 27, 1998–2004 (2023). </w:t>
      </w:r>
      <w:hyperlink r:id="rId15" w:history="1">
        <w:r>
          <w:rPr>
            <w:color w:val="1155CC"/>
            <w:highlight w:val="white"/>
            <w:u w:val="single"/>
          </w:rPr>
          <w:t>https://doi.org/10.1007/s10461-022-03933-w</w:t>
        </w:r>
      </w:hyperlink>
    </w:p>
    <w:p w:rsidR="00D850E8" w:rsidRDefault="00D850E8">
      <w:pPr>
        <w:spacing w:line="240" w:lineRule="auto"/>
        <w:rPr>
          <w:highlight w:val="white"/>
        </w:rPr>
      </w:pPr>
    </w:p>
    <w:p w:rsidR="00D850E8" w:rsidRDefault="005975A9">
      <w:pPr>
        <w:spacing w:line="240" w:lineRule="auto"/>
        <w:rPr>
          <w:color w:val="222222"/>
          <w:highlight w:val="white"/>
        </w:rPr>
      </w:pPr>
      <w:r>
        <w:rPr>
          <w:color w:val="222222"/>
          <w:highlight w:val="white"/>
        </w:rPr>
        <w:t>[8] Narita, M.F.; Yin, R. In Search of Information: Use of Google Trends’ Data to Narrow Information Gaps for Low-</w:t>
      </w:r>
      <w:r>
        <w:rPr>
          <w:color w:val="222222"/>
          <w:highlight w:val="white"/>
        </w:rPr>
        <w:t xml:space="preserve">Income Developing Countries; International Monetary Fund: 2018.                          </w:t>
      </w:r>
      <w:hyperlink r:id="rId16" w:history="1">
        <w:r>
          <w:rPr>
            <w:b/>
            <w:color w:val="4F5671"/>
            <w:highlight w:val="white"/>
          </w:rPr>
          <w:t>https://www.elibrary.imf.org/view/journals/001/2018/286/article-A001-en.xml</w:t>
        </w:r>
      </w:hyperlink>
    </w:p>
    <w:p w:rsidR="00D850E8" w:rsidRDefault="00D850E8">
      <w:pPr>
        <w:spacing w:line="240" w:lineRule="auto"/>
        <w:rPr>
          <w:highlight w:val="white"/>
        </w:rPr>
      </w:pPr>
    </w:p>
    <w:p w:rsidR="00D850E8" w:rsidRDefault="005975A9">
      <w:pPr>
        <w:spacing w:line="240" w:lineRule="auto"/>
        <w:rPr>
          <w:highlight w:val="white"/>
        </w:rPr>
      </w:pPr>
      <w:r>
        <w:rPr>
          <w:highlight w:val="white"/>
        </w:rPr>
        <w:t>[9] Umunna, N.C. &amp; Olanrewaju, S.O., 2020. Forecasting the Monthly Reported Cases of Human Immunodeficiency Virus (HIV) at Minna Niger State, Nigeria. Open Journal of Statistics, 10, pp.494-515. https://doi.org/10.4236/ojs.2020.103030</w:t>
      </w:r>
    </w:p>
    <w:p w:rsidR="00D850E8" w:rsidRDefault="00D850E8">
      <w:pPr>
        <w:spacing w:line="240" w:lineRule="auto"/>
        <w:rPr>
          <w:highlight w:val="white"/>
        </w:rPr>
      </w:pPr>
    </w:p>
    <w:p w:rsidR="00D850E8" w:rsidRDefault="005975A9">
      <w:pPr>
        <w:spacing w:line="240" w:lineRule="auto"/>
        <w:rPr>
          <w:highlight w:val="white"/>
        </w:rPr>
      </w:pPr>
      <w:r>
        <w:rPr>
          <w:highlight w:val="white"/>
        </w:rPr>
        <w:t>[10] Onovo, A. A.,</w:t>
      </w:r>
      <w:r>
        <w:rPr>
          <w:highlight w:val="white"/>
        </w:rPr>
        <w:t xml:space="preserve"> Adeyemi, A., Onime, D., Kalnoky, M., Kagniniwa, B., Dessie, M., Lee, L., Parrish, D., Adebobola, B., Ashefor, G., Ogorry, O., Goldstein, R., &amp; Meri, H. (2023). Estimation of HIV prevalence and burden in Nigeria: a Bayesian predictive modelling study. ECli</w:t>
      </w:r>
      <w:r>
        <w:rPr>
          <w:highlight w:val="white"/>
        </w:rPr>
        <w:t xml:space="preserve">nicalMedicine, 62, 102098. </w:t>
      </w:r>
      <w:hyperlink r:id="rId17" w:history="1">
        <w:r>
          <w:rPr>
            <w:color w:val="1155CC"/>
            <w:highlight w:val="white"/>
            <w:u w:val="single"/>
          </w:rPr>
          <w:t>https://doi.org/10.1016/j.eclinm.2023.102098</w:t>
        </w:r>
      </w:hyperlink>
    </w:p>
    <w:p w:rsidR="00D850E8" w:rsidRDefault="00D850E8">
      <w:pPr>
        <w:spacing w:line="240" w:lineRule="auto"/>
        <w:rPr>
          <w:highlight w:val="white"/>
        </w:rPr>
      </w:pPr>
    </w:p>
    <w:p w:rsidR="00D850E8" w:rsidRDefault="005975A9">
      <w:pPr>
        <w:spacing w:line="240" w:lineRule="auto"/>
        <w:rPr>
          <w:highlight w:val="white"/>
        </w:rPr>
      </w:pPr>
      <w:r>
        <w:rPr>
          <w:highlight w:val="white"/>
        </w:rPr>
        <w:t>[11] Okunoye, B., Ning, S., &amp; Jemielniak, D. (2022). Searching for HIV and AIDS Health Information in South Africa, 2004-2</w:t>
      </w:r>
      <w:r>
        <w:rPr>
          <w:highlight w:val="white"/>
        </w:rPr>
        <w:t xml:space="preserve">019: Analysis of Google and Wikipedia Search Trends. JMIR formative research, 6(3), e29819. </w:t>
      </w:r>
      <w:hyperlink r:id="rId18" w:history="1">
        <w:r>
          <w:rPr>
            <w:color w:val="1155CC"/>
            <w:highlight w:val="white"/>
            <w:u w:val="single"/>
          </w:rPr>
          <w:t>https://doi.org/10.2196/29819</w:t>
        </w:r>
      </w:hyperlink>
    </w:p>
    <w:p w:rsidR="00D850E8" w:rsidRDefault="00D850E8">
      <w:pPr>
        <w:spacing w:line="240" w:lineRule="auto"/>
        <w:ind w:left="720"/>
        <w:rPr>
          <w:highlight w:val="white"/>
        </w:rPr>
      </w:pPr>
    </w:p>
    <w:p w:rsidR="00D850E8" w:rsidRDefault="005975A9">
      <w:pPr>
        <w:spacing w:line="240" w:lineRule="auto"/>
        <w:rPr>
          <w:highlight w:val="white"/>
        </w:rPr>
      </w:pPr>
      <w:r>
        <w:rPr>
          <w:highlight w:val="white"/>
        </w:rPr>
        <w:t xml:space="preserve">[12] Young, S. D., &amp; Zhang, Q. (2018). Using search engine big data for predicting new </w:t>
      </w:r>
      <w:r>
        <w:rPr>
          <w:highlight w:val="white"/>
        </w:rPr>
        <w:t xml:space="preserve">HIV diagnoses. PloS one, 13(7), e0199527. </w:t>
      </w:r>
      <w:hyperlink r:id="rId19" w:history="1">
        <w:r>
          <w:rPr>
            <w:color w:val="1155CC"/>
            <w:highlight w:val="white"/>
            <w:u w:val="single"/>
          </w:rPr>
          <w:t>https://doi.org/10.1371/journal.pone.0199527</w:t>
        </w:r>
      </w:hyperlink>
    </w:p>
    <w:p w:rsidR="00D850E8" w:rsidRDefault="00D850E8">
      <w:pPr>
        <w:spacing w:line="240" w:lineRule="auto"/>
        <w:ind w:left="720"/>
        <w:rPr>
          <w:highlight w:val="white"/>
        </w:rPr>
      </w:pPr>
    </w:p>
    <w:p w:rsidR="00D850E8" w:rsidRDefault="005975A9">
      <w:pPr>
        <w:spacing w:line="240" w:lineRule="auto"/>
        <w:rPr>
          <w:highlight w:val="white"/>
        </w:rPr>
      </w:pPr>
      <w:r>
        <w:rPr>
          <w:highlight w:val="white"/>
        </w:rPr>
        <w:t>[13] Datareportal (2023) Digital 2023: Nigeria. Available at: https://datareportal.com/reports/digital-2023</w:t>
      </w:r>
      <w:r>
        <w:rPr>
          <w:highlight w:val="white"/>
        </w:rPr>
        <w:t>-nigeria#:~:text=There%20where%20122.5%20 million%20internet%20 users%20in%20Nigeria%20in%20 January,the%20beginning%20of%20the%20year [Accessed 15 December 2024]</w:t>
      </w:r>
    </w:p>
    <w:p w:rsidR="00D850E8" w:rsidRDefault="00D850E8">
      <w:pPr>
        <w:spacing w:line="240" w:lineRule="auto"/>
        <w:ind w:left="720"/>
        <w:rPr>
          <w:highlight w:val="white"/>
        </w:rPr>
      </w:pPr>
    </w:p>
    <w:p w:rsidR="00D850E8" w:rsidRDefault="005975A9">
      <w:pPr>
        <w:spacing w:line="240" w:lineRule="auto"/>
        <w:rPr>
          <w:highlight w:val="white"/>
        </w:rPr>
      </w:pPr>
      <w:r>
        <w:rPr>
          <w:highlight w:val="white"/>
        </w:rPr>
        <w:t xml:space="preserve">[14] Wang, D., Lang, J.C. &amp; Chen, YH.(2024) Assessment of using Google Trends for real-time </w:t>
      </w:r>
      <w:r>
        <w:rPr>
          <w:highlight w:val="white"/>
        </w:rPr>
        <w:t xml:space="preserve">monitoring of infectious disease outbreaks: a measles case study. Sci Rep 14, 9470. </w:t>
      </w:r>
      <w:hyperlink r:id="rId20" w:history="1">
        <w:r>
          <w:rPr>
            <w:color w:val="1155CC"/>
            <w:highlight w:val="white"/>
            <w:u w:val="single"/>
          </w:rPr>
          <w:t>https://doi.org/10.1038/s41598-024-60120-8</w:t>
        </w:r>
      </w:hyperlink>
    </w:p>
    <w:p w:rsidR="00D850E8" w:rsidRDefault="00D850E8">
      <w:pPr>
        <w:spacing w:line="240" w:lineRule="auto"/>
        <w:ind w:left="720"/>
        <w:rPr>
          <w:highlight w:val="white"/>
        </w:rPr>
      </w:pPr>
    </w:p>
    <w:p w:rsidR="00D850E8" w:rsidRDefault="005975A9">
      <w:pPr>
        <w:spacing w:line="240" w:lineRule="auto"/>
        <w:rPr>
          <w:highlight w:val="white"/>
        </w:rPr>
      </w:pPr>
      <w:r>
        <w:rPr>
          <w:highlight w:val="white"/>
        </w:rPr>
        <w:t>[15] Carter, E. (2020) '</w:t>
      </w:r>
      <w:r>
        <w:rPr>
          <w:highlight w:val="white"/>
        </w:rPr>
        <w:t xml:space="preserve">The trend in HIV internet search activity over a 5-year period and the impact of AIDS awareness day', Access Microbiology, 2(2).  </w:t>
      </w:r>
      <w:hyperlink r:id="rId21" w:history="1">
        <w:r>
          <w:rPr>
            <w:color w:val="1155CC"/>
            <w:highlight w:val="white"/>
            <w:u w:val="single"/>
          </w:rPr>
          <w:t>https://doi.org/10.1099/acmi.fis2019.po0216</w:t>
        </w:r>
      </w:hyperlink>
    </w:p>
    <w:p w:rsidR="00D850E8" w:rsidRDefault="00D850E8">
      <w:pPr>
        <w:spacing w:line="240" w:lineRule="auto"/>
        <w:ind w:left="720"/>
        <w:rPr>
          <w:highlight w:val="white"/>
        </w:rPr>
      </w:pPr>
    </w:p>
    <w:p w:rsidR="00D850E8" w:rsidRDefault="005975A9">
      <w:pPr>
        <w:spacing w:line="240" w:lineRule="auto"/>
        <w:rPr>
          <w:highlight w:val="white"/>
        </w:rPr>
      </w:pPr>
      <w:r>
        <w:rPr>
          <w:highlight w:val="white"/>
        </w:rPr>
        <w:t>[16] Google Trends. (</w:t>
      </w:r>
      <w:r>
        <w:rPr>
          <w:highlight w:val="white"/>
        </w:rPr>
        <w:t xml:space="preserve">n.d). Google Trends. Retrieved from </w:t>
      </w:r>
      <w:hyperlink r:id="rId22" w:history="1">
        <w:r>
          <w:rPr>
            <w:color w:val="1155CC"/>
            <w:highlight w:val="white"/>
            <w:u w:val="single"/>
          </w:rPr>
          <w:t>https://trends.google.com/trends</w:t>
        </w:r>
      </w:hyperlink>
      <w:r>
        <w:rPr>
          <w:highlight w:val="white"/>
        </w:rPr>
        <w:t xml:space="preserve">  [Accessed 11 December 2024]</w:t>
      </w:r>
    </w:p>
    <w:p w:rsidR="00D850E8" w:rsidRDefault="00D850E8">
      <w:pPr>
        <w:spacing w:line="240" w:lineRule="auto"/>
        <w:rPr>
          <w:highlight w:val="white"/>
        </w:rPr>
      </w:pPr>
    </w:p>
    <w:p w:rsidR="00D850E8" w:rsidRDefault="005975A9">
      <w:pPr>
        <w:spacing w:line="240" w:lineRule="auto"/>
        <w:rPr>
          <w:highlight w:val="white"/>
        </w:rPr>
      </w:pPr>
      <w:r>
        <w:rPr>
          <w:highlight w:val="white"/>
        </w:rPr>
        <w:t xml:space="preserve">[17] UNAIDS. (2024). HIV Estimates with Uncertainty Bounds, 1990–Present. Retrieved from </w:t>
      </w:r>
      <w:hyperlink r:id="rId23" w:history="1">
        <w:r>
          <w:rPr>
            <w:color w:val="1155CC"/>
            <w:highlight w:val="white"/>
            <w:u w:val="single"/>
          </w:rPr>
          <w:t>https://www.unaids.org/en/resources/documents/2024/HIV_estimates_with_uncertainty_bounds_1990-present</w:t>
        </w:r>
      </w:hyperlink>
      <w:r>
        <w:rPr>
          <w:highlight w:val="white"/>
        </w:rPr>
        <w:t xml:space="preserve">  [Accessed 11 December 2024]</w:t>
      </w:r>
    </w:p>
    <w:p w:rsidR="00D850E8" w:rsidRDefault="00D850E8">
      <w:pPr>
        <w:spacing w:line="240" w:lineRule="auto"/>
        <w:ind w:left="720"/>
        <w:rPr>
          <w:highlight w:val="white"/>
        </w:rPr>
      </w:pPr>
    </w:p>
    <w:p w:rsidR="00D850E8" w:rsidRDefault="005975A9">
      <w:pPr>
        <w:spacing w:line="240" w:lineRule="auto"/>
        <w:rPr>
          <w:highlight w:val="white"/>
        </w:rPr>
      </w:pPr>
      <w:r>
        <w:rPr>
          <w:highlight w:val="white"/>
        </w:rPr>
        <w:t xml:space="preserve">[18] Mann, H. B. (1945). </w:t>
      </w:r>
      <w:r>
        <w:rPr>
          <w:highlight w:val="white"/>
        </w:rPr>
        <w:t xml:space="preserve">Nonparametric Tests Against Trend. Econometrica, 13(3), 245–259. </w:t>
      </w:r>
      <w:hyperlink r:id="rId24" w:history="1">
        <w:r>
          <w:rPr>
            <w:color w:val="1155CC"/>
            <w:highlight w:val="white"/>
            <w:u w:val="single"/>
          </w:rPr>
          <w:t>https://doi.org/10.2307/1907187</w:t>
        </w:r>
      </w:hyperlink>
    </w:p>
    <w:p w:rsidR="00D850E8" w:rsidRDefault="00D850E8">
      <w:pPr>
        <w:spacing w:line="240" w:lineRule="auto"/>
        <w:rPr>
          <w:highlight w:val="white"/>
        </w:rPr>
      </w:pPr>
    </w:p>
    <w:p w:rsidR="00D850E8" w:rsidRDefault="005975A9">
      <w:pPr>
        <w:spacing w:line="240" w:lineRule="auto"/>
        <w:rPr>
          <w:highlight w:val="white"/>
        </w:rPr>
      </w:pPr>
      <w:r>
        <w:rPr>
          <w:highlight w:val="white"/>
        </w:rPr>
        <w:t>[19] Ming, W. K., Huang, F., Chen, Q., Liang, B., Jiao, A., Liu, T., Wu, H., Akinwunmi, B., Li, J., Liu, G., Z</w:t>
      </w:r>
      <w:r>
        <w:rPr>
          <w:highlight w:val="white"/>
        </w:rPr>
        <w:t xml:space="preserve">hang, C. J. P., Huang, J., &amp; Liu, Q. (2021). Understanding Health Communication Through </w:t>
      </w:r>
      <w:r>
        <w:rPr>
          <w:highlight w:val="white"/>
        </w:rPr>
        <w:lastRenderedPageBreak/>
        <w:t xml:space="preserve">Google Trends and News Coverage for COVID-19: Multinational Study in Eight Countries. JMIR public health and surveillance, 7(12), e26644. </w:t>
      </w:r>
      <w:hyperlink r:id="rId25" w:history="1">
        <w:r>
          <w:rPr>
            <w:color w:val="1155CC"/>
            <w:highlight w:val="white"/>
            <w:u w:val="single"/>
          </w:rPr>
          <w:t>https://doi.org/10.2196/26644</w:t>
        </w:r>
      </w:hyperlink>
    </w:p>
    <w:p w:rsidR="00D850E8" w:rsidRDefault="00D850E8">
      <w:pPr>
        <w:spacing w:line="240" w:lineRule="auto"/>
        <w:rPr>
          <w:highlight w:val="white"/>
        </w:rPr>
      </w:pPr>
    </w:p>
    <w:p w:rsidR="00D850E8" w:rsidRDefault="005975A9">
      <w:pPr>
        <w:spacing w:line="240" w:lineRule="auto"/>
        <w:rPr>
          <w:highlight w:val="white"/>
        </w:rPr>
      </w:pPr>
      <w:r>
        <w:rPr>
          <w:highlight w:val="white"/>
        </w:rPr>
        <w:t xml:space="preserve">[20] Havelka, E. M., Mallen, C. D., &amp; Shepherd, T. A. (2020). Using Google Trends to assess the impact of global public health days on online health information seeking behaviour in Central and South America. </w:t>
      </w:r>
      <w:r>
        <w:rPr>
          <w:highlight w:val="white"/>
        </w:rPr>
        <w:t xml:space="preserve">Journal of global health, 10(1), 010403. </w:t>
      </w:r>
      <w:hyperlink r:id="rId26" w:history="1">
        <w:r>
          <w:rPr>
            <w:color w:val="1155CC"/>
            <w:highlight w:val="white"/>
            <w:u w:val="single"/>
          </w:rPr>
          <w:t>https://doi.org/10.7189/jogh.10.010403</w:t>
        </w:r>
      </w:hyperlink>
    </w:p>
    <w:p w:rsidR="00D850E8" w:rsidRDefault="00D850E8">
      <w:pPr>
        <w:spacing w:line="240" w:lineRule="auto"/>
        <w:rPr>
          <w:highlight w:val="white"/>
        </w:rPr>
      </w:pPr>
    </w:p>
    <w:p w:rsidR="00D850E8" w:rsidRDefault="005975A9">
      <w:pPr>
        <w:spacing w:line="240" w:lineRule="auto"/>
        <w:rPr>
          <w:highlight w:val="white"/>
        </w:rPr>
      </w:pPr>
      <w:r>
        <w:rPr>
          <w:highlight w:val="white"/>
        </w:rPr>
        <w:t xml:space="preserve">[21] Al-Dmour, H., Masa'deh, R., Salman, A., Abuhashesh, M., &amp; Al-Dmour, R. (2020). Influence of Social Media Platforms </w:t>
      </w:r>
      <w:r>
        <w:rPr>
          <w:highlight w:val="white"/>
        </w:rPr>
        <w:t xml:space="preserve">on Public Health Protection Against the COVID-19 Pandemic via the Mediating Effects of Public Health Awareness and Behavioral Changes: Integrated Model. Journal of medical Internet research, 22(8), e19996. </w:t>
      </w:r>
      <w:hyperlink r:id="rId27" w:history="1">
        <w:r>
          <w:rPr>
            <w:color w:val="1155CC"/>
            <w:highlight w:val="white"/>
            <w:u w:val="single"/>
          </w:rPr>
          <w:t>https:/</w:t>
        </w:r>
        <w:r>
          <w:rPr>
            <w:color w:val="1155CC"/>
            <w:highlight w:val="white"/>
            <w:u w:val="single"/>
          </w:rPr>
          <w:t>/doi.org/10.2196/19996</w:t>
        </w:r>
      </w:hyperlink>
    </w:p>
    <w:p w:rsidR="00D850E8" w:rsidRDefault="00D850E8">
      <w:pPr>
        <w:spacing w:line="240" w:lineRule="auto"/>
        <w:ind w:left="720"/>
        <w:rPr>
          <w:highlight w:val="white"/>
        </w:rPr>
      </w:pPr>
    </w:p>
    <w:p w:rsidR="00D850E8" w:rsidRDefault="005975A9">
      <w:pPr>
        <w:spacing w:line="240" w:lineRule="auto"/>
        <w:rPr>
          <w:highlight w:val="white"/>
        </w:rPr>
      </w:pPr>
      <w:r>
        <w:rPr>
          <w:highlight w:val="white"/>
        </w:rPr>
        <w:t xml:space="preserve">[22] Bassey, A. E., &amp; Miteu, G. D. (2023). A review of current trends in HIV epidemiology, surveillance, and control in Nigeria. Annals of medicine and surgery (2012), 85(5), 1790–1795. </w:t>
      </w:r>
      <w:hyperlink r:id="rId28" w:history="1">
        <w:r>
          <w:rPr>
            <w:color w:val="1155CC"/>
            <w:highlight w:val="white"/>
            <w:u w:val="single"/>
          </w:rPr>
          <w:t>https://doi.org/10.1097/MS9.0000000000000604</w:t>
        </w:r>
      </w:hyperlink>
    </w:p>
    <w:p w:rsidR="00D850E8" w:rsidRDefault="00D850E8">
      <w:pPr>
        <w:spacing w:line="240" w:lineRule="auto"/>
        <w:rPr>
          <w:highlight w:val="white"/>
        </w:rPr>
      </w:pPr>
    </w:p>
    <w:p w:rsidR="00D850E8" w:rsidRDefault="005975A9">
      <w:pPr>
        <w:spacing w:line="240" w:lineRule="auto"/>
        <w:rPr>
          <w:highlight w:val="white"/>
        </w:rPr>
      </w:pPr>
      <w:r>
        <w:rPr>
          <w:highlight w:val="white"/>
        </w:rPr>
        <w:t>[23] Grassly, N.C., Morgan, M., Walker, N., Garnett, G., Stanecki, K.A., Stover, J., Brown, T. and Ghys, P.D., 2004. Uncertainty in estimates of HIV/AIDS: the estimation and application of pla</w:t>
      </w:r>
      <w:r>
        <w:rPr>
          <w:highlight w:val="white"/>
        </w:rPr>
        <w:t xml:space="preserve">usibility bounds. Sexually Transmitted Infections, 80(Suppl 1), pp.i31–i38. </w:t>
      </w:r>
      <w:hyperlink r:id="rId29" w:history="1">
        <w:r>
          <w:rPr>
            <w:color w:val="1155CC"/>
            <w:highlight w:val="white"/>
            <w:u w:val="single"/>
          </w:rPr>
          <w:t>https://doi.org/10.1136/sti.2004.010637</w:t>
        </w:r>
      </w:hyperlink>
    </w:p>
    <w:p w:rsidR="00D850E8" w:rsidRDefault="00D850E8">
      <w:pPr>
        <w:spacing w:line="240" w:lineRule="auto"/>
        <w:ind w:left="720"/>
        <w:rPr>
          <w:highlight w:val="white"/>
        </w:rPr>
      </w:pPr>
    </w:p>
    <w:p w:rsidR="00D850E8" w:rsidRDefault="005975A9">
      <w:pPr>
        <w:spacing w:line="240" w:lineRule="auto"/>
        <w:rPr>
          <w:highlight w:val="white"/>
        </w:rPr>
      </w:pPr>
      <w:r>
        <w:rPr>
          <w:highlight w:val="white"/>
        </w:rPr>
        <w:t>[24] Hallett T. B. (2011). Estimating the HIV incidence rate: recent and future dev</w:t>
      </w:r>
      <w:r>
        <w:rPr>
          <w:highlight w:val="white"/>
        </w:rPr>
        <w:t xml:space="preserve">elopments. Current opinion in HIV and AIDS, 6(2), 102–107. </w:t>
      </w:r>
      <w:hyperlink r:id="rId30" w:history="1">
        <w:r>
          <w:rPr>
            <w:color w:val="1155CC"/>
            <w:highlight w:val="white"/>
            <w:u w:val="single"/>
          </w:rPr>
          <w:t>https://doi.org/10.1097/COH.0b013e328343bfdb</w:t>
        </w:r>
      </w:hyperlink>
    </w:p>
    <w:p w:rsidR="00D850E8" w:rsidRDefault="00D850E8">
      <w:pPr>
        <w:spacing w:line="240" w:lineRule="auto"/>
        <w:rPr>
          <w:highlight w:val="white"/>
        </w:rPr>
      </w:pPr>
    </w:p>
    <w:p w:rsidR="00D850E8" w:rsidRDefault="005975A9">
      <w:pPr>
        <w:spacing w:line="240" w:lineRule="auto"/>
        <w:rPr>
          <w:highlight w:val="white"/>
        </w:rPr>
      </w:pPr>
      <w:r>
        <w:rPr>
          <w:highlight w:val="white"/>
        </w:rPr>
        <w:t>[25] Mosha, N.R., Aluko, O.S., Todd, J. et al., 2020. Analytical methods used in estimatin</w:t>
      </w:r>
      <w:r>
        <w:rPr>
          <w:highlight w:val="white"/>
        </w:rPr>
        <w:t xml:space="preserve">g the prevalence of HIV/AIDS from demographic and cross-sectional surveys with missing data: a systematic review. BMC Medical Research Methodology, 20(1), p.65. </w:t>
      </w:r>
      <w:hyperlink r:id="rId31" w:history="1">
        <w:r>
          <w:rPr>
            <w:color w:val="1155CC"/>
            <w:highlight w:val="white"/>
            <w:u w:val="single"/>
          </w:rPr>
          <w:t>https://doi.org/10.1186/s12874-020-0094</w:t>
        </w:r>
        <w:r>
          <w:rPr>
            <w:color w:val="1155CC"/>
            <w:highlight w:val="white"/>
            <w:u w:val="single"/>
          </w:rPr>
          <w:t>4-w</w:t>
        </w:r>
      </w:hyperlink>
    </w:p>
    <w:p w:rsidR="00D850E8" w:rsidRDefault="00D850E8">
      <w:pPr>
        <w:spacing w:line="240" w:lineRule="auto"/>
        <w:rPr>
          <w:highlight w:val="white"/>
        </w:rPr>
      </w:pPr>
    </w:p>
    <w:p w:rsidR="00D850E8" w:rsidRDefault="005975A9">
      <w:pPr>
        <w:spacing w:line="240" w:lineRule="auto"/>
        <w:rPr>
          <w:highlight w:val="white"/>
        </w:rPr>
      </w:pPr>
      <w:r>
        <w:rPr>
          <w:highlight w:val="white"/>
        </w:rPr>
        <w:t>[26] Tao, X., Huang, Y., Zheng, P., Wang, G., Xu, Y., Chen, Y., Deng, B., Chen, X., Qin, T., Liao, Y., Shi, M., Lu, B., Wu, Y., Li, J., Ye, L., Liang, H., Wei, F., &amp; Jiang, J. (2024). Application of 'CDC- Public Security Bureau-NGO' Joint Preventio</w:t>
      </w:r>
      <w:r>
        <w:rPr>
          <w:highlight w:val="white"/>
        </w:rPr>
        <w:t xml:space="preserve">n and Control Mechanism Allied AIDS prevention and control in Guigang, Guangxi. BMC public health, 24(1), 2416. </w:t>
      </w:r>
      <w:hyperlink r:id="rId32" w:history="1">
        <w:r>
          <w:rPr>
            <w:color w:val="1155CC"/>
            <w:highlight w:val="white"/>
            <w:u w:val="single"/>
          </w:rPr>
          <w:t>https://doi.org/10.1186/s12889-024-19873-0</w:t>
        </w:r>
      </w:hyperlink>
    </w:p>
    <w:p w:rsidR="00D850E8" w:rsidRDefault="00D850E8">
      <w:pPr>
        <w:spacing w:line="240" w:lineRule="auto"/>
        <w:ind w:left="720"/>
        <w:rPr>
          <w:highlight w:val="white"/>
        </w:rPr>
      </w:pPr>
    </w:p>
    <w:p w:rsidR="00D850E8" w:rsidRDefault="005975A9">
      <w:pPr>
        <w:spacing w:line="240" w:lineRule="auto"/>
        <w:rPr>
          <w:highlight w:val="white"/>
        </w:rPr>
      </w:pPr>
      <w:r>
        <w:rPr>
          <w:highlight w:val="white"/>
        </w:rPr>
        <w:t>[27] Mavragani, A. &amp; Ochoa, G., 2018. For</w:t>
      </w:r>
      <w:r>
        <w:rPr>
          <w:highlight w:val="white"/>
        </w:rPr>
        <w:t xml:space="preserve">ecasting AIDS prevalence in the United States using online search traffic data. Journal of Big Data, 5, p.17. </w:t>
      </w:r>
      <w:hyperlink r:id="rId33" w:history="1">
        <w:r>
          <w:rPr>
            <w:color w:val="1155CC"/>
            <w:highlight w:val="white"/>
            <w:u w:val="single"/>
          </w:rPr>
          <w:t>https://doi.org/10.1186/s40537-018-0126-7</w:t>
        </w:r>
      </w:hyperlink>
    </w:p>
    <w:p w:rsidR="00D850E8" w:rsidRDefault="00D850E8">
      <w:pPr>
        <w:spacing w:line="240" w:lineRule="auto"/>
        <w:ind w:left="720"/>
        <w:rPr>
          <w:highlight w:val="white"/>
        </w:rPr>
      </w:pPr>
    </w:p>
    <w:p w:rsidR="00D850E8" w:rsidRDefault="005975A9">
      <w:pPr>
        <w:spacing w:line="240" w:lineRule="auto"/>
        <w:rPr>
          <w:highlight w:val="white"/>
        </w:rPr>
      </w:pPr>
      <w:r>
        <w:rPr>
          <w:highlight w:val="white"/>
        </w:rPr>
        <w:t>[28] Garett, R., &amp; Young, S. D. (2021). Digit</w:t>
      </w:r>
      <w:r>
        <w:rPr>
          <w:highlight w:val="white"/>
        </w:rPr>
        <w:t xml:space="preserve">al Public Health Surveillance Tools for Alcohol Use and HIV Risk Behaviors. AIDS and behavior, 25(Suppl 3), 333–338. </w:t>
      </w:r>
      <w:hyperlink r:id="rId34" w:history="1">
        <w:r>
          <w:rPr>
            <w:color w:val="1155CC"/>
            <w:highlight w:val="white"/>
            <w:u w:val="single"/>
          </w:rPr>
          <w:t>https://doi.org/10.1007/s10461-021-03221-z</w:t>
        </w:r>
      </w:hyperlink>
    </w:p>
    <w:p w:rsidR="00D850E8" w:rsidRDefault="00D850E8">
      <w:pPr>
        <w:spacing w:line="240" w:lineRule="auto"/>
        <w:rPr>
          <w:highlight w:val="white"/>
        </w:rPr>
      </w:pPr>
    </w:p>
    <w:p w:rsidR="00D850E8" w:rsidRDefault="005975A9">
      <w:pPr>
        <w:spacing w:line="240" w:lineRule="auto"/>
        <w:rPr>
          <w:color w:val="212121"/>
          <w:highlight w:val="white"/>
        </w:rPr>
      </w:pPr>
      <w:r>
        <w:rPr>
          <w:color w:val="212121"/>
          <w:highlight w:val="white"/>
        </w:rPr>
        <w:t>[29] Cervellin, G., Comelli, I., &amp;</w:t>
      </w:r>
      <w:r>
        <w:rPr>
          <w:color w:val="212121"/>
          <w:highlight w:val="white"/>
        </w:rPr>
        <w:t xml:space="preserve"> Lippi, G. (2017). Is Google Trends a reliable tool for digital epidemiology? Insights from different clinical settings. </w:t>
      </w:r>
      <w:r>
        <w:rPr>
          <w:i/>
          <w:color w:val="212121"/>
          <w:highlight w:val="white"/>
        </w:rPr>
        <w:t>Journal of epidemiology and global health</w:t>
      </w:r>
      <w:r>
        <w:rPr>
          <w:color w:val="212121"/>
          <w:highlight w:val="white"/>
        </w:rPr>
        <w:t xml:space="preserve">, </w:t>
      </w:r>
      <w:r>
        <w:rPr>
          <w:i/>
          <w:color w:val="212121"/>
          <w:highlight w:val="white"/>
        </w:rPr>
        <w:t>7</w:t>
      </w:r>
      <w:r>
        <w:rPr>
          <w:color w:val="212121"/>
          <w:highlight w:val="white"/>
        </w:rPr>
        <w:t xml:space="preserve">(3), 185–189. </w:t>
      </w:r>
      <w:hyperlink r:id="rId35" w:history="1">
        <w:r>
          <w:rPr>
            <w:color w:val="1155CC"/>
            <w:highlight w:val="white"/>
            <w:u w:val="single"/>
          </w:rPr>
          <w:t>https://doi.org/10.10</w:t>
        </w:r>
        <w:r>
          <w:rPr>
            <w:color w:val="1155CC"/>
            <w:highlight w:val="white"/>
            <w:u w:val="single"/>
          </w:rPr>
          <w:t>16/j.jegh.2017.06.001</w:t>
        </w:r>
      </w:hyperlink>
    </w:p>
    <w:p w:rsidR="00D850E8" w:rsidRDefault="00D850E8">
      <w:pPr>
        <w:spacing w:line="240" w:lineRule="auto"/>
        <w:ind w:left="720"/>
        <w:rPr>
          <w:color w:val="212121"/>
          <w:sz w:val="24"/>
          <w:szCs w:val="24"/>
          <w:highlight w:val="white"/>
        </w:rPr>
      </w:pPr>
    </w:p>
    <w:p w:rsidR="00D850E8" w:rsidRDefault="00D850E8">
      <w:pPr>
        <w:spacing w:line="240" w:lineRule="auto"/>
        <w:rPr>
          <w:sz w:val="24"/>
          <w:szCs w:val="24"/>
          <w:highlight w:val="white"/>
        </w:rPr>
      </w:pPr>
    </w:p>
    <w:p w:rsidR="00D850E8" w:rsidRDefault="00D850E8">
      <w:pPr>
        <w:spacing w:line="240" w:lineRule="auto"/>
        <w:ind w:left="720"/>
        <w:rPr>
          <w:sz w:val="24"/>
          <w:szCs w:val="24"/>
          <w:highlight w:val="white"/>
        </w:rPr>
      </w:pPr>
    </w:p>
    <w:p w:rsidR="00D850E8" w:rsidRDefault="00D850E8">
      <w:pPr>
        <w:spacing w:line="240" w:lineRule="auto"/>
        <w:rPr>
          <w:sz w:val="24"/>
          <w:szCs w:val="24"/>
          <w:highlight w:val="white"/>
        </w:rPr>
      </w:pPr>
    </w:p>
    <w:p w:rsidR="00D850E8" w:rsidRDefault="00D850E8">
      <w:pPr>
        <w:spacing w:line="240" w:lineRule="auto"/>
        <w:rPr>
          <w:sz w:val="24"/>
          <w:szCs w:val="24"/>
          <w:highlight w:val="white"/>
        </w:rPr>
      </w:pPr>
    </w:p>
    <w:p w:rsidR="00D850E8" w:rsidRDefault="00D850E8">
      <w:pPr>
        <w:spacing w:line="240" w:lineRule="auto"/>
        <w:rPr>
          <w:sz w:val="24"/>
          <w:szCs w:val="24"/>
          <w:highlight w:val="white"/>
        </w:rPr>
      </w:pPr>
    </w:p>
    <w:p w:rsidR="00D850E8" w:rsidRDefault="00D850E8">
      <w:pPr>
        <w:spacing w:line="240" w:lineRule="auto"/>
        <w:ind w:left="720"/>
        <w:rPr>
          <w:sz w:val="24"/>
          <w:szCs w:val="24"/>
          <w:highlight w:val="white"/>
        </w:rPr>
      </w:pPr>
    </w:p>
    <w:p w:rsidR="00D850E8" w:rsidRDefault="00D850E8">
      <w:pPr>
        <w:spacing w:line="240" w:lineRule="auto"/>
        <w:ind w:left="720"/>
        <w:rPr>
          <w:sz w:val="24"/>
          <w:szCs w:val="24"/>
          <w:highlight w:val="white"/>
        </w:rPr>
      </w:pPr>
    </w:p>
    <w:p w:rsidR="00D850E8" w:rsidRDefault="00D850E8">
      <w:pPr>
        <w:spacing w:line="240" w:lineRule="auto"/>
        <w:rPr>
          <w:sz w:val="24"/>
          <w:szCs w:val="24"/>
          <w:highlight w:val="white"/>
        </w:rPr>
      </w:pPr>
    </w:p>
    <w:p w:rsidR="00D850E8" w:rsidRDefault="00D850E8">
      <w:pPr>
        <w:spacing w:line="240" w:lineRule="auto"/>
        <w:rPr>
          <w:sz w:val="24"/>
          <w:szCs w:val="24"/>
          <w:highlight w:val="white"/>
        </w:rPr>
      </w:pPr>
    </w:p>
    <w:p w:rsidR="00D850E8" w:rsidRDefault="00D850E8">
      <w:pPr>
        <w:spacing w:line="240" w:lineRule="auto"/>
        <w:rPr>
          <w:sz w:val="24"/>
          <w:szCs w:val="24"/>
          <w:highlight w:val="white"/>
        </w:rPr>
      </w:pPr>
    </w:p>
    <w:p w:rsidR="00D850E8" w:rsidRDefault="00D850E8">
      <w:pPr>
        <w:spacing w:line="240" w:lineRule="auto"/>
        <w:rPr>
          <w:sz w:val="24"/>
          <w:szCs w:val="24"/>
          <w:highlight w:val="white"/>
        </w:rPr>
      </w:pPr>
    </w:p>
    <w:p w:rsidR="00D850E8" w:rsidRDefault="00D850E8">
      <w:pPr>
        <w:spacing w:line="240" w:lineRule="auto"/>
      </w:pPr>
    </w:p>
    <w:p w:rsidR="00D850E8" w:rsidRDefault="00D850E8">
      <w:pPr>
        <w:spacing w:line="240" w:lineRule="auto"/>
      </w:pPr>
    </w:p>
    <w:p w:rsidR="00D850E8" w:rsidRDefault="00D850E8">
      <w:pPr>
        <w:spacing w:line="240" w:lineRule="auto"/>
      </w:pPr>
    </w:p>
    <w:p w:rsidR="00D850E8" w:rsidRDefault="00D850E8">
      <w:pPr>
        <w:spacing w:line="240" w:lineRule="auto"/>
      </w:pPr>
    </w:p>
    <w:p w:rsidR="00D850E8" w:rsidRDefault="00D850E8">
      <w:pPr>
        <w:spacing w:line="240" w:lineRule="auto"/>
      </w:pPr>
    </w:p>
    <w:p w:rsidR="00D850E8" w:rsidRDefault="00D850E8">
      <w:pPr>
        <w:spacing w:line="240" w:lineRule="auto"/>
      </w:pPr>
    </w:p>
    <w:p w:rsidR="00D850E8" w:rsidRDefault="00D850E8">
      <w:pPr>
        <w:spacing w:line="240" w:lineRule="auto"/>
      </w:pPr>
    </w:p>
    <w:p w:rsidR="00D850E8" w:rsidRDefault="00D850E8">
      <w:pPr>
        <w:spacing w:line="240" w:lineRule="auto"/>
      </w:pPr>
    </w:p>
    <w:p w:rsidR="00D850E8" w:rsidRDefault="00D850E8">
      <w:pPr>
        <w:spacing w:line="240" w:lineRule="auto"/>
      </w:pPr>
    </w:p>
    <w:p w:rsidR="00D850E8" w:rsidRDefault="00D850E8">
      <w:pPr>
        <w:spacing w:line="240" w:lineRule="auto"/>
      </w:pPr>
    </w:p>
    <w:p w:rsidR="00D850E8" w:rsidRDefault="00D850E8">
      <w:pPr>
        <w:spacing w:line="240" w:lineRule="auto"/>
      </w:pPr>
    </w:p>
    <w:p w:rsidR="00D850E8" w:rsidRDefault="00D850E8">
      <w:pPr>
        <w:spacing w:line="240" w:lineRule="auto"/>
        <w:rPr>
          <w:color w:val="222222"/>
          <w:highlight w:val="white"/>
        </w:rPr>
      </w:pPr>
    </w:p>
    <w:p w:rsidR="00D850E8" w:rsidRDefault="00D850E8">
      <w:pPr>
        <w:spacing w:line="240" w:lineRule="auto"/>
        <w:rPr>
          <w:color w:val="222222"/>
          <w:highlight w:val="white"/>
        </w:rPr>
      </w:pPr>
    </w:p>
    <w:p w:rsidR="00D850E8" w:rsidRDefault="00D850E8">
      <w:pPr>
        <w:spacing w:line="240" w:lineRule="auto"/>
        <w:rPr>
          <w:color w:val="1B1B1B"/>
          <w:highlight w:val="white"/>
        </w:rPr>
      </w:pPr>
    </w:p>
    <w:p w:rsidR="00D850E8" w:rsidRDefault="00D850E8">
      <w:pPr>
        <w:spacing w:line="240" w:lineRule="auto"/>
        <w:rPr>
          <w:color w:val="222222"/>
          <w:highlight w:val="white"/>
        </w:rPr>
      </w:pPr>
    </w:p>
    <w:p w:rsidR="00D850E8" w:rsidRDefault="00D850E8">
      <w:pPr>
        <w:spacing w:line="240" w:lineRule="auto"/>
        <w:rPr>
          <w:color w:val="222222"/>
          <w:highlight w:val="white"/>
        </w:rPr>
      </w:pPr>
    </w:p>
    <w:p w:rsidR="00D850E8" w:rsidRDefault="00D850E8">
      <w:pPr>
        <w:spacing w:line="240" w:lineRule="auto"/>
        <w:rPr>
          <w:color w:val="222222"/>
          <w:highlight w:val="white"/>
        </w:rPr>
      </w:pPr>
    </w:p>
    <w:p w:rsidR="00D850E8" w:rsidRDefault="00D850E8">
      <w:pPr>
        <w:spacing w:line="240" w:lineRule="auto"/>
        <w:rPr>
          <w:color w:val="222222"/>
          <w:highlight w:val="white"/>
        </w:rPr>
      </w:pPr>
    </w:p>
    <w:p w:rsidR="00D850E8" w:rsidRDefault="00D850E8">
      <w:pPr>
        <w:spacing w:line="240" w:lineRule="auto"/>
        <w:rPr>
          <w:color w:val="222222"/>
          <w:highlight w:val="white"/>
        </w:rPr>
      </w:pPr>
    </w:p>
    <w:p w:rsidR="00D850E8" w:rsidRDefault="00D850E8">
      <w:pPr>
        <w:spacing w:line="240" w:lineRule="auto"/>
      </w:pPr>
    </w:p>
    <w:sectPr w:rsidR="00D850E8">
      <w:headerReference w:type="even" r:id="rId36"/>
      <w:headerReference w:type="default" r:id="rId37"/>
      <w:footerReference w:type="even" r:id="rId38"/>
      <w:footerReference w:type="default" r:id="rId39"/>
      <w:headerReference w:type="first" r:id="rId40"/>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5A9" w:rsidRDefault="005975A9">
      <w:pPr>
        <w:spacing w:line="240" w:lineRule="auto"/>
      </w:pPr>
      <w:r>
        <w:separator/>
      </w:r>
    </w:p>
  </w:endnote>
  <w:endnote w:type="continuationSeparator" w:id="0">
    <w:p w:rsidR="005975A9" w:rsidRDefault="005975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0E8" w:rsidRDefault="00D850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0E8" w:rsidRDefault="00D850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5A9" w:rsidRDefault="005975A9">
      <w:pPr>
        <w:spacing w:line="240" w:lineRule="auto"/>
      </w:pPr>
      <w:r>
        <w:separator/>
      </w:r>
    </w:p>
  </w:footnote>
  <w:footnote w:type="continuationSeparator" w:id="0">
    <w:p w:rsidR="005975A9" w:rsidRDefault="005975A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0E8" w:rsidRDefault="005975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2051" type="#_x0000_t136" style="position:absolute;left:0;text-align:left;margin-left:0;margin-top:0;width:593.85pt;height:65.95pt;rotation:-45;z-index:-251658752;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0E8" w:rsidRDefault="005975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2050" type="#_x0000_t136" style="position:absolute;left:0;text-align:left;margin-left:0;margin-top:0;width:593.85pt;height:65.95pt;rotation:-45;z-index:-251657728;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0E8" w:rsidRDefault="005975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0" o:spid="_x0000_s2049" type="#_x0000_t136" style="position:absolute;left:0;text-align:left;margin-left:0;margin-top:0;width:593.85pt;height:65.95pt;rotation:-45;z-index:-251659776;visibility:visible;mso-wrap-distance-left:0;mso-wrap-distance-right:0;mso-position-horizontal:center;mso-position-horizontal-relative:margin;mso-position-vertical:center;mso-position-vertical-relative:margin;mso-width-relative:page;mso-height-relative:page"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FFFFFFFF"/>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0000001"/>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50E8"/>
    <w:rsid w:val="005975A9"/>
    <w:rsid w:val="00864632"/>
    <w:rsid w:val="00D850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1"/>
    </w:rPr>
  </w:style>
  <w:style w:type="paragraph" w:styleId="Heading1">
    <w:name w:val="heading 1"/>
    <w:basedOn w:val="Normal1"/>
    <w:next w:val="Normal1"/>
    <w:uiPriority w:val="9"/>
    <w:qFormat/>
    <w:pPr>
      <w:keepNext/>
      <w:keepLines/>
      <w:spacing w:before="400" w:after="120"/>
      <w:outlineLvl w:val="0"/>
    </w:pPr>
    <w:rPr>
      <w:sz w:val="40"/>
      <w:szCs w:val="40"/>
    </w:rPr>
  </w:style>
  <w:style w:type="paragraph" w:styleId="Heading2">
    <w:name w:val="heading 2"/>
    <w:basedOn w:val="Normal1"/>
    <w:next w:val="Normal1"/>
    <w:uiPriority w:val="9"/>
    <w:qFormat/>
    <w:pPr>
      <w:keepNext/>
      <w:keepLines/>
      <w:spacing w:before="360" w:after="120"/>
      <w:outlineLvl w:val="1"/>
    </w:pPr>
    <w:rPr>
      <w:sz w:val="32"/>
      <w:szCs w:val="32"/>
    </w:rPr>
  </w:style>
  <w:style w:type="paragraph" w:styleId="Heading3">
    <w:name w:val="heading 3"/>
    <w:basedOn w:val="Normal1"/>
    <w:next w:val="Normal1"/>
    <w:uiPriority w:val="9"/>
    <w:qFormat/>
    <w:pPr>
      <w:keepNext/>
      <w:keepLines/>
      <w:spacing w:before="320" w:after="80"/>
      <w:outlineLvl w:val="2"/>
    </w:pPr>
    <w:rPr>
      <w:color w:val="434343"/>
      <w:sz w:val="28"/>
      <w:szCs w:val="28"/>
    </w:rPr>
  </w:style>
  <w:style w:type="paragraph" w:styleId="Heading4">
    <w:name w:val="heading 4"/>
    <w:basedOn w:val="Normal1"/>
    <w:next w:val="Normal1"/>
    <w:uiPriority w:val="9"/>
    <w:qFormat/>
    <w:pPr>
      <w:keepNext/>
      <w:keepLines/>
      <w:spacing w:before="280" w:after="80"/>
      <w:outlineLvl w:val="3"/>
    </w:pPr>
    <w:rPr>
      <w:color w:val="666666"/>
      <w:sz w:val="24"/>
      <w:szCs w:val="24"/>
    </w:rPr>
  </w:style>
  <w:style w:type="paragraph" w:styleId="Heading5">
    <w:name w:val="heading 5"/>
    <w:basedOn w:val="Normal1"/>
    <w:next w:val="Normal1"/>
    <w:uiPriority w:val="9"/>
    <w:qFormat/>
    <w:pPr>
      <w:keepNext/>
      <w:keepLines/>
      <w:spacing w:before="240" w:after="80"/>
      <w:outlineLvl w:val="4"/>
    </w:pPr>
    <w:rPr>
      <w:color w:val="666666"/>
    </w:rPr>
  </w:style>
  <w:style w:type="paragraph" w:styleId="Heading6">
    <w:name w:val="heading 6"/>
    <w:basedOn w:val="Normal1"/>
    <w:next w:val="Normal1"/>
    <w:uiPriority w:val="9"/>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uiPriority w:val="10"/>
    <w:qFormat/>
    <w:pPr>
      <w:keepNext/>
      <w:keepLines/>
      <w:spacing w:after="60"/>
    </w:pPr>
    <w:rPr>
      <w:sz w:val="52"/>
      <w:szCs w:val="52"/>
    </w:rPr>
  </w:style>
  <w:style w:type="paragraph" w:styleId="Subtitle">
    <w:name w:val="Subtitle"/>
    <w:basedOn w:val="Normal1"/>
    <w:next w:val="Normal1"/>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rPr>
      <w:color w:val="0000FF"/>
      <w:u w:val="single"/>
    </w:rPr>
  </w:style>
  <w:style w:type="character" w:customStyle="1" w:styleId="UnresolvedMention">
    <w:name w:val="Unresolved Mention"/>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sz w:val="21"/>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rPr>
      <w:sz w:val="21"/>
    </w:rPr>
  </w:style>
  <w:style w:type="paragraph" w:styleId="BalloonText">
    <w:name w:val="Balloon Text"/>
    <w:basedOn w:val="Normal"/>
    <w:link w:val="BalloonTextChar"/>
    <w:uiPriority w:val="99"/>
    <w:semiHidden/>
    <w:unhideWhenUsed/>
    <w:rsid w:val="008646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both"/>
    </w:pPr>
    <w:rPr>
      <w:sz w:val="21"/>
    </w:rPr>
  </w:style>
  <w:style w:type="paragraph" w:styleId="Heading1">
    <w:name w:val="heading 1"/>
    <w:basedOn w:val="Normal1"/>
    <w:next w:val="Normal1"/>
    <w:uiPriority w:val="9"/>
    <w:qFormat/>
    <w:pPr>
      <w:keepNext/>
      <w:keepLines/>
      <w:spacing w:before="400" w:after="120"/>
      <w:outlineLvl w:val="0"/>
    </w:pPr>
    <w:rPr>
      <w:sz w:val="40"/>
      <w:szCs w:val="40"/>
    </w:rPr>
  </w:style>
  <w:style w:type="paragraph" w:styleId="Heading2">
    <w:name w:val="heading 2"/>
    <w:basedOn w:val="Normal1"/>
    <w:next w:val="Normal1"/>
    <w:uiPriority w:val="9"/>
    <w:qFormat/>
    <w:pPr>
      <w:keepNext/>
      <w:keepLines/>
      <w:spacing w:before="360" w:after="120"/>
      <w:outlineLvl w:val="1"/>
    </w:pPr>
    <w:rPr>
      <w:sz w:val="32"/>
      <w:szCs w:val="32"/>
    </w:rPr>
  </w:style>
  <w:style w:type="paragraph" w:styleId="Heading3">
    <w:name w:val="heading 3"/>
    <w:basedOn w:val="Normal1"/>
    <w:next w:val="Normal1"/>
    <w:uiPriority w:val="9"/>
    <w:qFormat/>
    <w:pPr>
      <w:keepNext/>
      <w:keepLines/>
      <w:spacing w:before="320" w:after="80"/>
      <w:outlineLvl w:val="2"/>
    </w:pPr>
    <w:rPr>
      <w:color w:val="434343"/>
      <w:sz w:val="28"/>
      <w:szCs w:val="28"/>
    </w:rPr>
  </w:style>
  <w:style w:type="paragraph" w:styleId="Heading4">
    <w:name w:val="heading 4"/>
    <w:basedOn w:val="Normal1"/>
    <w:next w:val="Normal1"/>
    <w:uiPriority w:val="9"/>
    <w:qFormat/>
    <w:pPr>
      <w:keepNext/>
      <w:keepLines/>
      <w:spacing w:before="280" w:after="80"/>
      <w:outlineLvl w:val="3"/>
    </w:pPr>
    <w:rPr>
      <w:color w:val="666666"/>
      <w:sz w:val="24"/>
      <w:szCs w:val="24"/>
    </w:rPr>
  </w:style>
  <w:style w:type="paragraph" w:styleId="Heading5">
    <w:name w:val="heading 5"/>
    <w:basedOn w:val="Normal1"/>
    <w:next w:val="Normal1"/>
    <w:uiPriority w:val="9"/>
    <w:qFormat/>
    <w:pPr>
      <w:keepNext/>
      <w:keepLines/>
      <w:spacing w:before="240" w:after="80"/>
      <w:outlineLvl w:val="4"/>
    </w:pPr>
    <w:rPr>
      <w:color w:val="666666"/>
    </w:rPr>
  </w:style>
  <w:style w:type="paragraph" w:styleId="Heading6">
    <w:name w:val="heading 6"/>
    <w:basedOn w:val="Normal1"/>
    <w:next w:val="Normal1"/>
    <w:uiPriority w:val="9"/>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uiPriority w:val="10"/>
    <w:qFormat/>
    <w:pPr>
      <w:keepNext/>
      <w:keepLines/>
      <w:spacing w:after="60"/>
    </w:pPr>
    <w:rPr>
      <w:sz w:val="52"/>
      <w:szCs w:val="52"/>
    </w:rPr>
  </w:style>
  <w:style w:type="paragraph" w:styleId="Subtitle">
    <w:name w:val="Subtitle"/>
    <w:basedOn w:val="Normal1"/>
    <w:next w:val="Normal1"/>
    <w:uiPriority w:val="11"/>
    <w:qFormat/>
    <w:pPr>
      <w:keepNext/>
      <w:keepLines/>
      <w:spacing w:after="320"/>
    </w:pPr>
    <w:rPr>
      <w:color w:val="666666"/>
      <w:sz w:val="30"/>
      <w:szCs w:val="30"/>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rPr>
      <w:color w:val="0000FF"/>
      <w:u w:val="single"/>
    </w:rPr>
  </w:style>
  <w:style w:type="character" w:customStyle="1" w:styleId="UnresolvedMention">
    <w:name w:val="Unresolved Mention"/>
    <w:basedOn w:val="DefaultParagraphFont"/>
    <w:uiPriority w:val="99"/>
    <w:rPr>
      <w:color w:val="605E5C"/>
      <w:shd w:val="clear" w:color="auto" w:fill="E1DFDD"/>
    </w:rPr>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sz w:val="21"/>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rPr>
      <w:sz w:val="21"/>
    </w:rPr>
  </w:style>
  <w:style w:type="paragraph" w:styleId="BalloonText">
    <w:name w:val="Balloon Text"/>
    <w:basedOn w:val="Normal"/>
    <w:link w:val="BalloonTextChar"/>
    <w:uiPriority w:val="99"/>
    <w:semiHidden/>
    <w:unhideWhenUsed/>
    <w:rsid w:val="008646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46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doi.org/10.3389/fmicb.2024.1493511" TargetMode="External"/><Relationship Id="rId18" Type="http://schemas.openxmlformats.org/officeDocument/2006/relationships/hyperlink" Target="https://doi.org/10.2196/29819" TargetMode="External"/><Relationship Id="rId26" Type="http://schemas.openxmlformats.org/officeDocument/2006/relationships/hyperlink" Target="https://doi.org/10.7189/jogh.10.010403" TargetMode="External"/><Relationship Id="rId39" Type="http://schemas.openxmlformats.org/officeDocument/2006/relationships/footer" Target="footer2.xml"/><Relationship Id="rId21" Type="http://schemas.openxmlformats.org/officeDocument/2006/relationships/hyperlink" Target="https://doi.org/10.1099/acmi.fis2019.po0216" TargetMode="External"/><Relationship Id="rId34" Type="http://schemas.openxmlformats.org/officeDocument/2006/relationships/hyperlink" Target="https://doi.org/10.1007/s10461-021-03221-z"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elibrary.imf.org/view/journals/001/2018/286/article-A001-en.xml" TargetMode="External"/><Relationship Id="rId20" Type="http://schemas.openxmlformats.org/officeDocument/2006/relationships/hyperlink" Target="https://doi.org/10.1038/s41598-024-60120-8" TargetMode="External"/><Relationship Id="rId29" Type="http://schemas.openxmlformats.org/officeDocument/2006/relationships/hyperlink" Target="https://doi.org/10.1136/sti.2004.010637"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2307/1907187" TargetMode="External"/><Relationship Id="rId32" Type="http://schemas.openxmlformats.org/officeDocument/2006/relationships/hyperlink" Target="https://doi.org/10.1186/s12889-024-19873-0"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1007/s10461-022-03933-w" TargetMode="External"/><Relationship Id="rId23" Type="http://schemas.openxmlformats.org/officeDocument/2006/relationships/hyperlink" Target="https://www.unaids.org/en/resources/documents/2024/HIV_estimates_with_uncertainty_bounds_1990-present" TargetMode="External"/><Relationship Id="rId28" Type="http://schemas.openxmlformats.org/officeDocument/2006/relationships/hyperlink" Target="https://doi.org/10.1097/MS9.0000000000000604" TargetMode="External"/><Relationship Id="rId36"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yperlink" Target="https://doi.org/10.1371/journal.pone.0199527" TargetMode="External"/><Relationship Id="rId31" Type="http://schemas.openxmlformats.org/officeDocument/2006/relationships/hyperlink" Target="https://doi.org/10.1186/s12874-020-00944-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86/s13054-018-1981-5" TargetMode="External"/><Relationship Id="rId22" Type="http://schemas.openxmlformats.org/officeDocument/2006/relationships/hyperlink" Target="https://trends.google.com/trends" TargetMode="External"/><Relationship Id="rId27" Type="http://schemas.openxmlformats.org/officeDocument/2006/relationships/hyperlink" Target="https://doi.org/10.2196/19996" TargetMode="External"/><Relationship Id="rId30" Type="http://schemas.openxmlformats.org/officeDocument/2006/relationships/hyperlink" Target="https://doi.org/10.1097/COH.0b013e328343bfdb" TargetMode="External"/><Relationship Id="rId35" Type="http://schemas.openxmlformats.org/officeDocument/2006/relationships/hyperlink" Target="https://doi.org/10.1016/j.jegh.2017.06.001" TargetMode="External"/><Relationship Id="rId8" Type="http://schemas.openxmlformats.org/officeDocument/2006/relationships/image" Target="media/image1.png"/><Relationship Id="rId3" Type="http://schemas.microsoft.com/office/2007/relationships/stylesWithEffects" Target="stylesWithEffects.xml"/><Relationship Id="rId12" Type="http://schemas.openxmlformats.org/officeDocument/2006/relationships/hyperlink" Target="https://doi.org/10.7759/cureus.59312" TargetMode="External"/><Relationship Id="rId17" Type="http://schemas.openxmlformats.org/officeDocument/2006/relationships/hyperlink" Target="https://doi.org/10.1016/j.eclinm.2023.102098" TargetMode="External"/><Relationship Id="rId25" Type="http://schemas.openxmlformats.org/officeDocument/2006/relationships/hyperlink" Target="https://doi.org/10.2196/26644" TargetMode="External"/><Relationship Id="rId33" Type="http://schemas.openxmlformats.org/officeDocument/2006/relationships/hyperlink" Target="https://doi.org/10.1186/s40537-018-0126-7"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4855</Words>
  <Characters>27674</Characters>
  <Application>Microsoft Office Word</Application>
  <DocSecurity>0</DocSecurity>
  <Lines>230</Lines>
  <Paragraphs>64</Paragraphs>
  <ScaleCrop>false</ScaleCrop>
  <Company/>
  <LinksUpToDate>false</LinksUpToDate>
  <CharactersWithSpaces>32465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SDI 1055</cp:lastModifiedBy>
  <cp:revision>10</cp:revision>
  <dcterms:created xsi:type="dcterms:W3CDTF">2025-03-11T15:49:00Z</dcterms:created>
  <dcterms:modified xsi:type="dcterms:W3CDTF">2025-04-02T06:54:00Z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3504eeab1f254b86b1ab1faa71f65bf5</vt:lpwstr>
  </property>
</Properties>
</file>