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9AEDF" w14:textId="6386E103" w:rsidR="00476ED0" w:rsidRPr="00476ED0" w:rsidRDefault="00476ED0" w:rsidP="00476ED0">
      <w:pPr>
        <w:pBdr>
          <w:top w:val="nil"/>
          <w:left w:val="nil"/>
          <w:bottom w:val="nil"/>
          <w:right w:val="nil"/>
          <w:between w:val="nil"/>
        </w:pBdr>
        <w:spacing w:line="240" w:lineRule="auto"/>
        <w:rPr>
          <w:rFonts w:ascii="Times New Roman" w:eastAsia="Times New Roman" w:hAnsi="Times New Roman" w:cs="Times New Roman"/>
          <w:b/>
          <w:color w:val="000000"/>
          <w:sz w:val="28"/>
          <w:szCs w:val="28"/>
          <w:u w:val="single"/>
        </w:rPr>
      </w:pPr>
      <w:r w:rsidRPr="00476ED0">
        <w:rPr>
          <w:rFonts w:ascii="Times New Roman" w:eastAsia="Times New Roman" w:hAnsi="Times New Roman" w:cs="Times New Roman"/>
          <w:b/>
          <w:color w:val="000000"/>
          <w:sz w:val="28"/>
          <w:szCs w:val="28"/>
          <w:u w:val="single"/>
        </w:rPr>
        <w:t>Original Research Article</w:t>
      </w:r>
    </w:p>
    <w:p w14:paraId="49B68B39" w14:textId="796C9679" w:rsidR="0006770F" w:rsidRPr="00AF72EF" w:rsidRDefault="00023EEB">
      <w:pPr>
        <w:pBdr>
          <w:top w:val="nil"/>
          <w:left w:val="nil"/>
          <w:bottom w:val="nil"/>
          <w:right w:val="nil"/>
          <w:between w:val="nil"/>
        </w:pBdr>
        <w:spacing w:line="240" w:lineRule="auto"/>
        <w:jc w:val="center"/>
        <w:rPr>
          <w:rFonts w:ascii="Arial" w:eastAsia="Times New Roman" w:hAnsi="Arial" w:cs="Arial"/>
          <w:b/>
          <w:color w:val="000000"/>
          <w:sz w:val="36"/>
          <w:szCs w:val="36"/>
        </w:rPr>
      </w:pPr>
      <w:r w:rsidRPr="00023EEB">
        <w:rPr>
          <w:rFonts w:ascii="Arial" w:eastAsia="Times New Roman" w:hAnsi="Arial" w:cs="Arial"/>
          <w:b/>
          <w:color w:val="000000"/>
          <w:sz w:val="36"/>
          <w:szCs w:val="36"/>
          <w:highlight w:val="yellow"/>
        </w:rPr>
        <w:t>Effect</w:t>
      </w:r>
      <w:r w:rsidR="00E3304A" w:rsidRPr="00AF72EF">
        <w:rPr>
          <w:rFonts w:ascii="Arial" w:eastAsia="Times New Roman" w:hAnsi="Arial" w:cs="Arial"/>
          <w:b/>
          <w:color w:val="000000"/>
          <w:sz w:val="36"/>
          <w:szCs w:val="36"/>
        </w:rPr>
        <w:t xml:space="preserve"> of foliar applications of micronutrients on the yield characteristics of cauliflower (</w:t>
      </w:r>
      <w:r w:rsidR="00E3304A" w:rsidRPr="00AF72EF">
        <w:rPr>
          <w:rFonts w:ascii="Arial" w:eastAsia="Times New Roman" w:hAnsi="Arial" w:cs="Arial"/>
          <w:b/>
          <w:i/>
          <w:color w:val="000000"/>
          <w:sz w:val="36"/>
          <w:szCs w:val="36"/>
        </w:rPr>
        <w:t>Brassica oleracea</w:t>
      </w:r>
      <w:r w:rsidR="00E3304A" w:rsidRPr="00AF72EF">
        <w:rPr>
          <w:rFonts w:ascii="Arial" w:eastAsia="Times New Roman" w:hAnsi="Arial" w:cs="Arial"/>
          <w:b/>
          <w:color w:val="000000"/>
          <w:sz w:val="36"/>
          <w:szCs w:val="36"/>
        </w:rPr>
        <w:t xml:space="preserve"> var. </w:t>
      </w:r>
      <w:r w:rsidR="00E3304A" w:rsidRPr="00AF72EF">
        <w:rPr>
          <w:rFonts w:ascii="Arial" w:eastAsia="Times New Roman" w:hAnsi="Arial" w:cs="Arial"/>
          <w:b/>
          <w:i/>
          <w:color w:val="000000"/>
          <w:sz w:val="36"/>
          <w:szCs w:val="36"/>
        </w:rPr>
        <w:t>botrytis</w:t>
      </w:r>
      <w:r w:rsidR="00E3304A" w:rsidRPr="00AF72EF">
        <w:rPr>
          <w:rFonts w:ascii="Arial" w:eastAsia="Times New Roman" w:hAnsi="Arial" w:cs="Arial"/>
          <w:b/>
          <w:color w:val="000000"/>
          <w:sz w:val="36"/>
          <w:szCs w:val="36"/>
        </w:rPr>
        <w:t xml:space="preserve"> L.)</w:t>
      </w:r>
    </w:p>
    <w:p w14:paraId="49B68B45" w14:textId="2DA25E2C" w:rsidR="0006770F" w:rsidRDefault="0006770F">
      <w:pPr>
        <w:jc w:val="center"/>
        <w:rPr>
          <w:rFonts w:ascii="Times New Roman" w:eastAsia="Times New Roman" w:hAnsi="Times New Roman" w:cs="Times New Roman"/>
          <w:sz w:val="24"/>
          <w:szCs w:val="24"/>
        </w:rPr>
      </w:pPr>
      <w:bookmarkStart w:id="0" w:name="_gsokc6mor5k4" w:colFirst="0" w:colLast="0"/>
      <w:bookmarkEnd w:id="0"/>
    </w:p>
    <w:p w14:paraId="49038C36" w14:textId="77777777" w:rsidR="00253208" w:rsidRDefault="00253208">
      <w:pPr>
        <w:jc w:val="center"/>
        <w:rPr>
          <w:rFonts w:ascii="Times New Roman" w:eastAsia="Times New Roman" w:hAnsi="Times New Roman" w:cs="Times New Roman"/>
          <w:sz w:val="24"/>
          <w:szCs w:val="24"/>
        </w:rPr>
      </w:pPr>
    </w:p>
    <w:p w14:paraId="49B68B59" w14:textId="031B9B81" w:rsidR="0006770F" w:rsidRPr="00AF72EF" w:rsidRDefault="00AF72EF">
      <w:pPr>
        <w:jc w:val="both"/>
        <w:rPr>
          <w:rFonts w:ascii="Arial" w:eastAsia="Times New Roman" w:hAnsi="Arial" w:cs="Arial"/>
          <w:b/>
        </w:rPr>
      </w:pPr>
      <w:r w:rsidRPr="00AF72EF">
        <w:rPr>
          <w:rFonts w:ascii="Arial" w:eastAsia="Times New Roman" w:hAnsi="Arial" w:cs="Arial"/>
          <w:b/>
        </w:rPr>
        <w:t>ABSTRACT</w:t>
      </w:r>
    </w:p>
    <w:p w14:paraId="49B68B5A" w14:textId="27B276EA" w:rsidR="0006770F" w:rsidRPr="00AF72EF" w:rsidRDefault="00023EEB" w:rsidP="008A0EAE">
      <w:pPr>
        <w:ind w:firstLine="720"/>
        <w:jc w:val="both"/>
        <w:rPr>
          <w:rFonts w:ascii="Arial" w:eastAsia="Times New Roman" w:hAnsi="Arial" w:cs="Arial"/>
        </w:rPr>
      </w:pPr>
      <w:r w:rsidRPr="00023EEB">
        <w:rPr>
          <w:rFonts w:ascii="Arial" w:eastAsia="Times New Roman" w:hAnsi="Arial" w:cs="Arial"/>
          <w:highlight w:val="yellow"/>
        </w:rPr>
        <w:t>Cauliflower, a member of the Brassicaceae family, is an important vegetable crop with specific cultivation requirements</w:t>
      </w:r>
      <w:r>
        <w:rPr>
          <w:rFonts w:ascii="Arial" w:eastAsia="Times New Roman" w:hAnsi="Arial" w:cs="Arial"/>
          <w:highlight w:val="yellow"/>
        </w:rPr>
        <w:t xml:space="preserve"> </w:t>
      </w:r>
      <w:r w:rsidRPr="00023EEB">
        <w:rPr>
          <w:rStyle w:val="highlight"/>
          <w:rFonts w:ascii="Arial" w:hAnsi="Arial" w:cs="Arial"/>
          <w:sz w:val="21"/>
          <w:szCs w:val="21"/>
          <w:highlight w:val="yellow"/>
          <w:shd w:val="clear" w:color="auto" w:fill="F8F9FD"/>
        </w:rPr>
        <w:t>(Campanelli &amp; Canali, 2012)</w:t>
      </w:r>
      <w:r w:rsidRPr="00023EEB">
        <w:rPr>
          <w:rFonts w:ascii="Arial" w:eastAsia="Times New Roman" w:hAnsi="Arial" w:cs="Arial"/>
          <w:highlight w:val="yellow"/>
        </w:rPr>
        <w:t>.</w:t>
      </w:r>
      <w:r>
        <w:rPr>
          <w:rFonts w:ascii="Arial" w:eastAsia="Times New Roman" w:hAnsi="Arial" w:cs="Arial"/>
        </w:rPr>
        <w:t xml:space="preserve"> </w:t>
      </w:r>
      <w:r w:rsidRPr="008A0EAE">
        <w:rPr>
          <w:rFonts w:ascii="Arial" w:eastAsia="Times New Roman" w:hAnsi="Arial" w:cs="Arial"/>
          <w:highlight w:val="yellow"/>
        </w:rPr>
        <w:t xml:space="preserve">Cauliflower is a heavy feeder crop, balanced fertilization is very important for better productivity. Due to the intensive cultivation and judicious use of only nitrogenous fertilizers, soils are become deficit in secondary and micronutrients (Ali </w:t>
      </w:r>
      <w:r w:rsidRPr="008A0EAE">
        <w:rPr>
          <w:rFonts w:ascii="Arial" w:eastAsia="Times New Roman" w:hAnsi="Arial" w:cs="Arial"/>
          <w:i/>
          <w:iCs/>
          <w:highlight w:val="yellow"/>
        </w:rPr>
        <w:t>et al</w:t>
      </w:r>
      <w:r w:rsidRPr="008A0EAE">
        <w:rPr>
          <w:rFonts w:ascii="Arial" w:eastAsia="Times New Roman" w:hAnsi="Arial" w:cs="Arial"/>
          <w:highlight w:val="yellow"/>
        </w:rPr>
        <w:t>., 2008).</w:t>
      </w:r>
      <w:r w:rsidRPr="00023EEB">
        <w:rPr>
          <w:rFonts w:ascii="Arial" w:eastAsia="Times New Roman" w:hAnsi="Arial" w:cs="Arial"/>
        </w:rPr>
        <w:t xml:space="preserve"> </w:t>
      </w:r>
      <w:r w:rsidR="008A0EAE">
        <w:rPr>
          <w:rFonts w:ascii="Arial" w:eastAsia="Times New Roman" w:hAnsi="Arial" w:cs="Arial"/>
        </w:rPr>
        <w:t>Keeping in view above facts a</w:t>
      </w:r>
      <w:r w:rsidR="00E3304A" w:rsidRPr="00AF72EF">
        <w:rPr>
          <w:rFonts w:ascii="Arial" w:eastAsia="Times New Roman" w:hAnsi="Arial" w:cs="Arial"/>
        </w:rPr>
        <w:t>n experiment was carried out over two consecutive winter seasons, 2018-19 and 2019-20, at the Agricultural Research farm (25</w:t>
      </w:r>
      <w:r w:rsidR="00E3304A" w:rsidRPr="00AF72EF">
        <w:rPr>
          <w:rFonts w:ascii="Arial" w:eastAsia="Times New Roman" w:hAnsi="Arial" w:cs="Arial"/>
          <w:vertAlign w:val="superscript"/>
        </w:rPr>
        <w:t>0</w:t>
      </w:r>
      <w:r w:rsidR="00E3304A" w:rsidRPr="00AF72EF">
        <w:rPr>
          <w:rFonts w:ascii="Arial" w:eastAsia="Times New Roman" w:hAnsi="Arial" w:cs="Arial"/>
        </w:rPr>
        <w:t>18' North latitude and 83</w:t>
      </w:r>
      <w:r w:rsidR="00E3304A" w:rsidRPr="00AF72EF">
        <w:rPr>
          <w:rFonts w:ascii="Arial" w:eastAsia="Times New Roman" w:hAnsi="Arial" w:cs="Arial"/>
          <w:vertAlign w:val="superscript"/>
        </w:rPr>
        <w:t>0</w:t>
      </w:r>
      <w:r w:rsidR="00E3304A" w:rsidRPr="00AF72EF">
        <w:rPr>
          <w:rFonts w:ascii="Arial" w:eastAsia="Times New Roman" w:hAnsi="Arial" w:cs="Arial"/>
        </w:rPr>
        <w:t xml:space="preserve">03' E) of Banaras Hindu University, Varanasi. </w:t>
      </w:r>
      <w:r w:rsidR="000A7DB1" w:rsidRPr="00AF72EF">
        <w:rPr>
          <w:rFonts w:ascii="Arial" w:eastAsia="Times New Roman" w:hAnsi="Arial" w:cs="Arial"/>
          <w:highlight w:val="yellow"/>
        </w:rPr>
        <w:t>The aim was to assess the impact of foliar micronutrient application on the yield attributes of cauliflower.</w:t>
      </w:r>
      <w:r w:rsidR="000A7DB1" w:rsidRPr="00AF72EF">
        <w:rPr>
          <w:rFonts w:ascii="Arial" w:eastAsia="Times New Roman" w:hAnsi="Arial" w:cs="Arial"/>
        </w:rPr>
        <w:t xml:space="preserve"> </w:t>
      </w:r>
      <w:r w:rsidR="00E3304A" w:rsidRPr="00AF72EF">
        <w:rPr>
          <w:rFonts w:ascii="Arial" w:eastAsia="Times New Roman" w:hAnsi="Arial" w:cs="Arial"/>
        </w:rPr>
        <w:t xml:space="preserve">The </w:t>
      </w:r>
      <w:r w:rsidR="001228EA">
        <w:rPr>
          <w:rFonts w:ascii="Arial" w:eastAsia="Times New Roman" w:hAnsi="Arial" w:cs="Arial"/>
        </w:rPr>
        <w:t>study involved sixteen</w:t>
      </w:r>
      <w:r w:rsidR="00E3304A" w:rsidRPr="00AF72EF">
        <w:rPr>
          <w:rFonts w:ascii="Arial" w:eastAsia="Times New Roman" w:hAnsi="Arial" w:cs="Arial"/>
        </w:rPr>
        <w:t xml:space="preserve"> foliar micronutrient treatments. These treatments were: T1 (Control), T2 (Ammonium Molybdate (Mo) @ 0.20%), T3 (Ammonium Molybdate (Mo) @ 0.30%), T4 (Ammonium Molybdate (Mo) @ 0.40%), T5 (Boron @ 0.060%), T6 (Boron @ 0.080%), T7 (Boron @ 0.100%), T8 (Ammonium Molybdate (Mo) @ 0.20% + Boron @ 0.060%), T9 (Ammonium Molybdate (Mo) @ 0.20% + Boron @ 0.080%), T10 (Ammonium Molybd</w:t>
      </w:r>
      <w:r w:rsidR="001228EA">
        <w:rPr>
          <w:rFonts w:ascii="Arial" w:eastAsia="Times New Roman" w:hAnsi="Arial" w:cs="Arial"/>
        </w:rPr>
        <w:t>ate (Mo) @ 0.20% + Boron @ 0.</w:t>
      </w:r>
      <w:r w:rsidR="001228EA" w:rsidRPr="001228EA">
        <w:rPr>
          <w:rFonts w:ascii="Arial" w:eastAsia="Times New Roman" w:hAnsi="Arial" w:cs="Arial"/>
          <w:highlight w:val="yellow"/>
        </w:rPr>
        <w:t>10</w:t>
      </w:r>
      <w:r w:rsidR="00E3304A" w:rsidRPr="001228EA">
        <w:rPr>
          <w:rFonts w:ascii="Arial" w:eastAsia="Times New Roman" w:hAnsi="Arial" w:cs="Arial"/>
          <w:highlight w:val="yellow"/>
        </w:rPr>
        <w:t>%</w:t>
      </w:r>
      <w:r w:rsidR="00E3304A" w:rsidRPr="00AF72EF">
        <w:rPr>
          <w:rFonts w:ascii="Arial" w:eastAsia="Times New Roman" w:hAnsi="Arial" w:cs="Arial"/>
        </w:rPr>
        <w:t>), T11 (Ammonium Molybdate (Mo) @ 0.30% + Boron @ 0.060%), T12 (Ammonium Molybdate (Mo) @ 0.30% + Boron @ 0.080%), T13 (Ammonium Molyb</w:t>
      </w:r>
      <w:r w:rsidR="001228EA">
        <w:rPr>
          <w:rFonts w:ascii="Arial" w:eastAsia="Times New Roman" w:hAnsi="Arial" w:cs="Arial"/>
        </w:rPr>
        <w:t>date (Mo) @ 0.30% + Boron @ 0.</w:t>
      </w:r>
      <w:r w:rsidR="001228EA" w:rsidRPr="001228EA">
        <w:rPr>
          <w:rFonts w:ascii="Arial" w:eastAsia="Times New Roman" w:hAnsi="Arial" w:cs="Arial"/>
          <w:highlight w:val="yellow"/>
        </w:rPr>
        <w:t>1</w:t>
      </w:r>
      <w:r w:rsidR="00E3304A" w:rsidRPr="001228EA">
        <w:rPr>
          <w:rFonts w:ascii="Arial" w:eastAsia="Times New Roman" w:hAnsi="Arial" w:cs="Arial"/>
          <w:highlight w:val="yellow"/>
        </w:rPr>
        <w:t>0</w:t>
      </w:r>
      <w:r w:rsidR="00E3304A" w:rsidRPr="00AF72EF">
        <w:rPr>
          <w:rFonts w:ascii="Arial" w:eastAsia="Times New Roman" w:hAnsi="Arial" w:cs="Arial"/>
        </w:rPr>
        <w:t>%), T14 (Ammonium Molybdate (Mo) @ 0.40% + Boron @ 0.060%), T15 (Ammonium Molybdate (Mo) @ 0.40% + Boron @ 0.080%), and T16 (Ammonium Molybdate (Mo) @ 0.40% + Boron @ 0.100%). These were replicated three times using a Randomized Block Design. A recommended basal dose of nitrogen, phosphorus, and potassium (160:80:120 kg ha</w:t>
      </w:r>
      <w:r w:rsidR="00E3304A" w:rsidRPr="00AF72EF">
        <w:rPr>
          <w:rFonts w:ascii="Arial" w:eastAsia="Times New Roman" w:hAnsi="Arial" w:cs="Arial"/>
          <w:vertAlign w:val="superscript"/>
        </w:rPr>
        <w:t>-1</w:t>
      </w:r>
      <w:r w:rsidR="00E3304A" w:rsidRPr="00AF72EF">
        <w:rPr>
          <w:rFonts w:ascii="Arial" w:eastAsia="Times New Roman" w:hAnsi="Arial" w:cs="Arial"/>
        </w:rPr>
        <w:t>) was applied using urea, SSP, and MOP, respectively, in both years. Nitrogen was applied 50% as a basal dose and the rest at 40 days after transplanting (DAT). The total rainfall during the crop growth period was 29.4 mm in 2018-19 and 93.9 mm in 2019-20. The Snowball-16 variety of cauliflower was used as the test crop. Chelated zinc at a concentration of 0.5 g l</w:t>
      </w:r>
      <w:r w:rsidR="00E3304A" w:rsidRPr="00AF72EF">
        <w:rPr>
          <w:rFonts w:ascii="Arial" w:eastAsia="Times New Roman" w:hAnsi="Arial" w:cs="Arial"/>
          <w:vertAlign w:val="superscript"/>
        </w:rPr>
        <w:t>-1</w:t>
      </w:r>
      <w:r w:rsidR="00E3304A" w:rsidRPr="00AF72EF">
        <w:rPr>
          <w:rFonts w:ascii="Arial" w:eastAsia="Times New Roman" w:hAnsi="Arial" w:cs="Arial"/>
        </w:rPr>
        <w:t xml:space="preserve"> was applied to all treatments, while boron and molybdenum were applied according to the specific treatment. Other crop management practices were followed as per local recommendations. The data showed that the time taken for 50% curd initiation and 50% curd maturity was shorter, while the curd volume (</w:t>
      </w:r>
      <w:r w:rsidR="001228EA" w:rsidRPr="00AF72EF">
        <w:rPr>
          <w:rFonts w:ascii="Arial" w:eastAsia="Times New Roman" w:hAnsi="Arial" w:cs="Arial"/>
          <w:color w:val="000000"/>
          <w:sz w:val="20"/>
          <w:szCs w:val="20"/>
          <w:highlight w:val="yellow"/>
        </w:rPr>
        <w:t>577.33</w:t>
      </w:r>
      <w:r w:rsidR="001228EA">
        <w:rPr>
          <w:rFonts w:ascii="Arial" w:eastAsia="Times New Roman" w:hAnsi="Arial" w:cs="Arial"/>
          <w:color w:val="000000"/>
          <w:sz w:val="20"/>
          <w:szCs w:val="20"/>
        </w:rPr>
        <w:t xml:space="preserve"> </w:t>
      </w:r>
      <w:r w:rsidR="00E3304A" w:rsidRPr="001228EA">
        <w:rPr>
          <w:rFonts w:ascii="Arial" w:eastAsia="Times New Roman" w:hAnsi="Arial" w:cs="Arial"/>
          <w:highlight w:val="yellow"/>
        </w:rPr>
        <w:t>cm</w:t>
      </w:r>
      <w:r w:rsidR="00E3304A" w:rsidRPr="001228EA">
        <w:rPr>
          <w:rFonts w:ascii="Arial" w:eastAsia="Times New Roman" w:hAnsi="Arial" w:cs="Arial"/>
          <w:highlight w:val="yellow"/>
          <w:vertAlign w:val="superscript"/>
        </w:rPr>
        <w:t>3</w:t>
      </w:r>
      <w:r w:rsidR="00E3304A" w:rsidRPr="001228EA">
        <w:rPr>
          <w:rFonts w:ascii="Arial" w:eastAsia="Times New Roman" w:hAnsi="Arial" w:cs="Arial"/>
          <w:highlight w:val="yellow"/>
        </w:rPr>
        <w:t>)</w:t>
      </w:r>
      <w:r w:rsidR="00E3304A" w:rsidRPr="00AF72EF">
        <w:rPr>
          <w:rFonts w:ascii="Arial" w:eastAsia="Times New Roman" w:hAnsi="Arial" w:cs="Arial"/>
        </w:rPr>
        <w:t xml:space="preserve"> and curd diameter (</w:t>
      </w:r>
      <w:r w:rsidR="001228EA" w:rsidRPr="000B691B">
        <w:rPr>
          <w:rFonts w:ascii="Arial" w:eastAsia="Times New Roman" w:hAnsi="Arial" w:cs="Arial"/>
          <w:color w:val="000000"/>
          <w:sz w:val="20"/>
          <w:szCs w:val="20"/>
          <w:highlight w:val="yellow"/>
        </w:rPr>
        <w:t>18.33</w:t>
      </w:r>
      <w:r w:rsidR="001228EA">
        <w:rPr>
          <w:rFonts w:ascii="Arial" w:eastAsia="Times New Roman" w:hAnsi="Arial" w:cs="Arial"/>
          <w:color w:val="000000"/>
          <w:sz w:val="20"/>
          <w:szCs w:val="20"/>
        </w:rPr>
        <w:t xml:space="preserve"> </w:t>
      </w:r>
      <w:r w:rsidR="00E3304A" w:rsidRPr="001228EA">
        <w:rPr>
          <w:rFonts w:ascii="Arial" w:eastAsia="Times New Roman" w:hAnsi="Arial" w:cs="Arial"/>
          <w:highlight w:val="yellow"/>
        </w:rPr>
        <w:t>cm</w:t>
      </w:r>
      <w:r w:rsidR="00E3304A" w:rsidRPr="00AF72EF">
        <w:rPr>
          <w:rFonts w:ascii="Arial" w:eastAsia="Times New Roman" w:hAnsi="Arial" w:cs="Arial"/>
        </w:rPr>
        <w:t>) in cauliflower were significantly larger when Ammonium Molybdate at 0.40% was a</w:t>
      </w:r>
      <w:r w:rsidR="001228EA">
        <w:rPr>
          <w:rFonts w:ascii="Arial" w:eastAsia="Times New Roman" w:hAnsi="Arial" w:cs="Arial"/>
        </w:rPr>
        <w:t xml:space="preserve">pplied along with boron at </w:t>
      </w:r>
      <w:r w:rsidR="001228EA" w:rsidRPr="001228EA">
        <w:rPr>
          <w:rFonts w:ascii="Arial" w:eastAsia="Times New Roman" w:hAnsi="Arial" w:cs="Arial"/>
          <w:highlight w:val="yellow"/>
        </w:rPr>
        <w:t>0.10</w:t>
      </w:r>
      <w:r w:rsidR="00E3304A" w:rsidRPr="001228EA">
        <w:rPr>
          <w:rFonts w:ascii="Arial" w:eastAsia="Times New Roman" w:hAnsi="Arial" w:cs="Arial"/>
          <w:highlight w:val="yellow"/>
        </w:rPr>
        <w:t>%</w:t>
      </w:r>
      <w:r w:rsidR="00E3304A" w:rsidRPr="00AF72EF">
        <w:rPr>
          <w:rFonts w:ascii="Arial" w:eastAsia="Times New Roman" w:hAnsi="Arial" w:cs="Arial"/>
        </w:rPr>
        <w:t xml:space="preserve"> (T16). This outcome was statistically comparable to the application of Ammonium Molybd</w:t>
      </w:r>
      <w:r w:rsidR="001228EA">
        <w:rPr>
          <w:rFonts w:ascii="Arial" w:eastAsia="Times New Roman" w:hAnsi="Arial" w:cs="Arial"/>
        </w:rPr>
        <w:t xml:space="preserve">ate at 0.30% with boron at </w:t>
      </w:r>
      <w:r w:rsidR="001228EA" w:rsidRPr="001228EA">
        <w:rPr>
          <w:rFonts w:ascii="Arial" w:eastAsia="Times New Roman" w:hAnsi="Arial" w:cs="Arial"/>
          <w:highlight w:val="yellow"/>
        </w:rPr>
        <w:t>0.10</w:t>
      </w:r>
      <w:r w:rsidR="00E3304A" w:rsidRPr="001228EA">
        <w:rPr>
          <w:rFonts w:ascii="Arial" w:eastAsia="Times New Roman" w:hAnsi="Arial" w:cs="Arial"/>
          <w:highlight w:val="yellow"/>
        </w:rPr>
        <w:t>% (</w:t>
      </w:r>
      <w:r w:rsidR="00E3304A" w:rsidRPr="00AF72EF">
        <w:rPr>
          <w:rFonts w:ascii="Arial" w:eastAsia="Times New Roman" w:hAnsi="Arial" w:cs="Arial"/>
        </w:rPr>
        <w:t>T13) and Ammonium Molybd</w:t>
      </w:r>
      <w:r w:rsidR="001228EA">
        <w:rPr>
          <w:rFonts w:ascii="Arial" w:eastAsia="Times New Roman" w:hAnsi="Arial" w:cs="Arial"/>
        </w:rPr>
        <w:t xml:space="preserve">ate at 0.20% with boron at </w:t>
      </w:r>
      <w:r w:rsidR="001228EA" w:rsidRPr="001228EA">
        <w:rPr>
          <w:rFonts w:ascii="Arial" w:eastAsia="Times New Roman" w:hAnsi="Arial" w:cs="Arial"/>
          <w:highlight w:val="yellow"/>
        </w:rPr>
        <w:t>0.10</w:t>
      </w:r>
      <w:r w:rsidR="00E3304A" w:rsidRPr="001228EA">
        <w:rPr>
          <w:rFonts w:ascii="Arial" w:eastAsia="Times New Roman" w:hAnsi="Arial" w:cs="Arial"/>
          <w:highlight w:val="yellow"/>
        </w:rPr>
        <w:t>%</w:t>
      </w:r>
      <w:r w:rsidR="00E3304A" w:rsidRPr="00AF72EF">
        <w:rPr>
          <w:rFonts w:ascii="Arial" w:eastAsia="Times New Roman" w:hAnsi="Arial" w:cs="Arial"/>
        </w:rPr>
        <w:t xml:space="preserve"> (T10), surpassing other treatments in both individual years and in the combined analysis.</w:t>
      </w:r>
    </w:p>
    <w:p w14:paraId="79E9B760" w14:textId="31A2B6D9" w:rsidR="000A7DB1" w:rsidRPr="00AF72EF" w:rsidRDefault="000A7DB1" w:rsidP="000A7DB1">
      <w:pPr>
        <w:jc w:val="both"/>
        <w:rPr>
          <w:rFonts w:ascii="Arial" w:eastAsia="Times New Roman" w:hAnsi="Arial" w:cs="Arial"/>
          <w:i/>
          <w:iCs/>
          <w:sz w:val="20"/>
          <w:szCs w:val="20"/>
        </w:rPr>
      </w:pPr>
      <w:r w:rsidRPr="00AF72EF">
        <w:rPr>
          <w:rFonts w:ascii="Arial" w:eastAsia="Times New Roman" w:hAnsi="Arial" w:cs="Arial"/>
          <w:b/>
          <w:bCs/>
          <w:i/>
          <w:iCs/>
          <w:sz w:val="20"/>
          <w:szCs w:val="20"/>
          <w:highlight w:val="yellow"/>
        </w:rPr>
        <w:t>Keywords:</w:t>
      </w:r>
      <w:r w:rsidRPr="00AF72EF">
        <w:rPr>
          <w:rFonts w:ascii="Arial" w:eastAsia="Times New Roman" w:hAnsi="Arial" w:cs="Arial"/>
          <w:i/>
          <w:iCs/>
          <w:sz w:val="20"/>
          <w:szCs w:val="20"/>
          <w:highlight w:val="yellow"/>
        </w:rPr>
        <w:t xml:space="preserve"> cauliflower, micronutrients, Ammonium Molybdate, yield</w:t>
      </w:r>
    </w:p>
    <w:p w14:paraId="49B68B5B" w14:textId="5454F00F" w:rsidR="0006770F" w:rsidRPr="00AF72EF" w:rsidRDefault="00AF72EF">
      <w:pPr>
        <w:ind w:firstLine="720"/>
        <w:jc w:val="both"/>
        <w:rPr>
          <w:rFonts w:ascii="Arial" w:hAnsi="Arial" w:cs="Arial"/>
          <w:b/>
        </w:rPr>
      </w:pPr>
      <w:r w:rsidRPr="00AF72EF">
        <w:rPr>
          <w:rFonts w:ascii="Arial" w:hAnsi="Arial" w:cs="Arial"/>
          <w:b/>
        </w:rPr>
        <w:t>1. INTRODUCTION:</w:t>
      </w:r>
    </w:p>
    <w:p w14:paraId="49B68B5C" w14:textId="77777777" w:rsidR="0006770F" w:rsidRPr="00AF72EF" w:rsidRDefault="00E3304A">
      <w:pPr>
        <w:pBdr>
          <w:top w:val="nil"/>
          <w:left w:val="nil"/>
          <w:bottom w:val="nil"/>
          <w:right w:val="nil"/>
          <w:between w:val="nil"/>
        </w:pBdr>
        <w:spacing w:line="240" w:lineRule="auto"/>
        <w:ind w:firstLine="720"/>
        <w:jc w:val="both"/>
        <w:rPr>
          <w:rFonts w:ascii="Arial" w:eastAsia="Times New Roman" w:hAnsi="Arial" w:cs="Arial"/>
          <w:color w:val="000000"/>
          <w:sz w:val="20"/>
          <w:szCs w:val="20"/>
        </w:rPr>
      </w:pPr>
      <w:r w:rsidRPr="00AF72EF">
        <w:rPr>
          <w:rFonts w:ascii="Arial" w:eastAsia="Times New Roman" w:hAnsi="Arial" w:cs="Arial"/>
          <w:color w:val="000000"/>
          <w:sz w:val="20"/>
          <w:szCs w:val="20"/>
        </w:rPr>
        <w:t xml:space="preserve">Vegetables are abundant in vital minerals and vitamins essential for the efficient operation of human metabolic activities, which is why they are regarded as 'protective supplementary food.' Growing vegetables is a lucrative business, particularly on small and marginal lands, owing to its high yield within a short timeframe. As a source of agricultural income, it plays a significant role in agricultural progress </w:t>
      </w:r>
      <w:r w:rsidRPr="00AF72EF">
        <w:rPr>
          <w:rFonts w:ascii="Arial" w:eastAsia="Times New Roman" w:hAnsi="Arial" w:cs="Arial"/>
          <w:color w:val="000000"/>
          <w:sz w:val="20"/>
          <w:szCs w:val="20"/>
        </w:rPr>
        <w:lastRenderedPageBreak/>
        <w:t>and national economy. There is a considerable demand for vegetables for both fresh consumption and processed goods within the country as well as for exports, which can bring in valuable foreign exchange for India. India is the second largest vegetable producer in the world after China, with a diverse range of crops cultivated nationwide. According to estimates, India produces 184.39 million tonnes of vegetables from 10.25 million hectares (Horticultural Statistics at a Glance, 2018). This represents about 13.38 percent of the global vegetable production, yet productivity is still low compared to that in developed countries. As a result, current production does not meet national requirements despite the potential for increased yield per unit area. There is also significant potential for exporting and processing vegetables. India is the leading producer of cauliflower globally (Thamburaj and Singh, 2001), with commercial cultivation spanning approximately 452.6 lakh hectares, producing 86.68 lakh tonnes annually, and a productivity rate of 19.2 MT ha</w:t>
      </w:r>
      <w:r w:rsidRPr="00AF72EF">
        <w:rPr>
          <w:rFonts w:ascii="Arial" w:eastAsia="Times New Roman" w:hAnsi="Arial" w:cs="Arial"/>
          <w:color w:val="000000"/>
          <w:sz w:val="20"/>
          <w:szCs w:val="20"/>
          <w:vertAlign w:val="superscript"/>
        </w:rPr>
        <w:t>-1</w:t>
      </w:r>
      <w:r w:rsidRPr="00AF72EF">
        <w:rPr>
          <w:rFonts w:ascii="Arial" w:eastAsia="Times New Roman" w:hAnsi="Arial" w:cs="Arial"/>
          <w:color w:val="000000"/>
          <w:sz w:val="20"/>
          <w:szCs w:val="20"/>
        </w:rPr>
        <w:t xml:space="preserve"> (Horticultural Glance, 2018). The main cauliflower-producing states in India are West Bengal, Bihar, Orissa, Uttar Pradesh, Assam, Haryana, Maharashtra, and Rajasthan. Uttar Pradesh alone has a cauliflower cultivation area of 17.53 thousand hectares, producing 400.81 thousand tons annually, contributing approximately 4.65 percent of the national cauliflower output (Horticultural Statistics at a Glance, 2018).</w:t>
      </w:r>
    </w:p>
    <w:p w14:paraId="49B68B5D" w14:textId="14D3D813" w:rsidR="0006770F" w:rsidRPr="00AF72EF" w:rsidRDefault="00E3304A">
      <w:pPr>
        <w:pBdr>
          <w:top w:val="nil"/>
          <w:left w:val="nil"/>
          <w:bottom w:val="nil"/>
          <w:right w:val="nil"/>
          <w:between w:val="nil"/>
        </w:pBdr>
        <w:spacing w:line="240" w:lineRule="auto"/>
        <w:ind w:firstLine="720"/>
        <w:jc w:val="both"/>
        <w:rPr>
          <w:rFonts w:ascii="Arial" w:eastAsia="Times New Roman" w:hAnsi="Arial" w:cs="Arial"/>
          <w:color w:val="000000"/>
          <w:sz w:val="20"/>
          <w:szCs w:val="20"/>
        </w:rPr>
      </w:pPr>
      <w:r w:rsidRPr="00AF72EF">
        <w:rPr>
          <w:rFonts w:ascii="Arial" w:eastAsia="Times New Roman" w:hAnsi="Arial" w:cs="Arial"/>
          <w:color w:val="000000"/>
          <w:sz w:val="20"/>
          <w:szCs w:val="20"/>
        </w:rPr>
        <w:t xml:space="preserve">Cauliflower requires a significant amount of nutrients, which makes balanced fertilization essential for achieving optimal yields. However, the practice of intensive agriculture and the predominant use of nitrogen-based fertilizers have resulted in soils lacking secondary nutrients and micronutrients (Ali </w:t>
      </w:r>
      <w:r w:rsidRPr="00AF72EF">
        <w:rPr>
          <w:rFonts w:ascii="Arial" w:eastAsia="Times New Roman" w:hAnsi="Arial" w:cs="Arial"/>
          <w:i/>
          <w:color w:val="000000"/>
          <w:sz w:val="20"/>
          <w:szCs w:val="20"/>
        </w:rPr>
        <w:t>et al</w:t>
      </w:r>
      <w:r w:rsidRPr="00AF72EF">
        <w:rPr>
          <w:rFonts w:ascii="Arial" w:eastAsia="Times New Roman" w:hAnsi="Arial" w:cs="Arial"/>
          <w:color w:val="000000"/>
          <w:sz w:val="20"/>
          <w:szCs w:val="20"/>
        </w:rPr>
        <w:t xml:space="preserve">., 2008). Although needed in small quantities, micronutrients are as vital as macronutrients and play a crucial role in regulating plant growth and yield (Hall </w:t>
      </w:r>
      <w:r w:rsidRPr="00AF72EF">
        <w:rPr>
          <w:rFonts w:ascii="Arial" w:eastAsia="Times New Roman" w:hAnsi="Arial" w:cs="Arial"/>
          <w:i/>
          <w:color w:val="000000"/>
          <w:sz w:val="20"/>
          <w:szCs w:val="20"/>
        </w:rPr>
        <w:t>et al</w:t>
      </w:r>
      <w:r w:rsidRPr="00AF72EF">
        <w:rPr>
          <w:rFonts w:ascii="Arial" w:eastAsia="Times New Roman" w:hAnsi="Arial" w:cs="Arial"/>
          <w:color w:val="000000"/>
          <w:sz w:val="20"/>
          <w:szCs w:val="20"/>
        </w:rPr>
        <w:t xml:space="preserve">., 2002). Among the various micronutrients, Boron, Molybdenum, Iron, Copper, Chlorine, Zinc, and Manganese, Boron and Molybdenum are particularly noteworthy because of their availability in soil, mobility within plants and soil, and reliance on soil pH (Kumar </w:t>
      </w:r>
      <w:r w:rsidRPr="00AF72EF">
        <w:rPr>
          <w:rFonts w:ascii="Arial" w:eastAsia="Times New Roman" w:hAnsi="Arial" w:cs="Arial"/>
          <w:i/>
          <w:color w:val="000000"/>
          <w:sz w:val="20"/>
          <w:szCs w:val="20"/>
        </w:rPr>
        <w:t>et al</w:t>
      </w:r>
      <w:r w:rsidRPr="00AF72EF">
        <w:rPr>
          <w:rFonts w:ascii="Arial" w:eastAsia="Times New Roman" w:hAnsi="Arial" w:cs="Arial"/>
          <w:color w:val="000000"/>
          <w:sz w:val="20"/>
          <w:szCs w:val="20"/>
        </w:rPr>
        <w:t xml:space="preserve">., 2012). Micronutrients improve the chemical composition of curds and overall health of plants (Hall </w:t>
      </w:r>
      <w:r w:rsidRPr="00AF72EF">
        <w:rPr>
          <w:rFonts w:ascii="Arial" w:eastAsia="Times New Roman" w:hAnsi="Arial" w:cs="Arial"/>
          <w:i/>
          <w:color w:val="000000"/>
          <w:sz w:val="20"/>
          <w:szCs w:val="20"/>
        </w:rPr>
        <w:t>et al</w:t>
      </w:r>
      <w:r w:rsidRPr="00AF72EF">
        <w:rPr>
          <w:rFonts w:ascii="Arial" w:eastAsia="Times New Roman" w:hAnsi="Arial" w:cs="Arial"/>
          <w:color w:val="000000"/>
          <w:sz w:val="20"/>
          <w:szCs w:val="20"/>
        </w:rPr>
        <w:t xml:space="preserve">., 2002). They enhance seed germination and macronutrient uptake, production, and quality by boosting photosynthetic efficiency and increasing leaf metabolite content (Chaudhari </w:t>
      </w:r>
      <w:r w:rsidRPr="00AF72EF">
        <w:rPr>
          <w:rFonts w:ascii="Arial" w:eastAsia="Times New Roman" w:hAnsi="Arial" w:cs="Arial"/>
          <w:i/>
          <w:color w:val="000000"/>
          <w:sz w:val="20"/>
          <w:szCs w:val="20"/>
        </w:rPr>
        <w:t>et al</w:t>
      </w:r>
      <w:r w:rsidRPr="00AF72EF">
        <w:rPr>
          <w:rFonts w:ascii="Arial" w:eastAsia="Times New Roman" w:hAnsi="Arial" w:cs="Arial"/>
          <w:color w:val="000000"/>
          <w:sz w:val="20"/>
          <w:szCs w:val="20"/>
        </w:rPr>
        <w:t xml:space="preserve">., 2017). Furthermore, they help reduce the incidence of diseases, pests, and disorders, while improving the postharvest quality of crops (Hemphill </w:t>
      </w:r>
      <w:r w:rsidRPr="00AF72EF">
        <w:rPr>
          <w:rFonts w:ascii="Arial" w:eastAsia="Times New Roman" w:hAnsi="Arial" w:cs="Arial"/>
          <w:i/>
          <w:color w:val="000000"/>
          <w:sz w:val="20"/>
          <w:szCs w:val="20"/>
        </w:rPr>
        <w:t>et al</w:t>
      </w:r>
      <w:r w:rsidRPr="00AF72EF">
        <w:rPr>
          <w:rFonts w:ascii="Arial" w:eastAsia="Times New Roman" w:hAnsi="Arial" w:cs="Arial"/>
          <w:color w:val="000000"/>
          <w:sz w:val="20"/>
          <w:szCs w:val="20"/>
        </w:rPr>
        <w:t xml:space="preserve">., 1982). Deficiency of these essential nutrients can significantly reduce crop yield and affect various physiological, morphological, and biochemical characteristics of cole crops during growth. Recently, it has been acknowledged that foliar spraying of micronutrients such as Zn, B, and Mo is advantageous for enhancing the yield, quality, and shelf life of cauliflowers (Kotecha </w:t>
      </w:r>
      <w:r w:rsidRPr="00AF72EF">
        <w:rPr>
          <w:rFonts w:ascii="Arial" w:eastAsia="Times New Roman" w:hAnsi="Arial" w:cs="Arial"/>
          <w:i/>
          <w:color w:val="000000"/>
          <w:sz w:val="20"/>
          <w:szCs w:val="20"/>
        </w:rPr>
        <w:t>et al</w:t>
      </w:r>
      <w:r w:rsidRPr="00AF72EF">
        <w:rPr>
          <w:rFonts w:ascii="Arial" w:eastAsia="Times New Roman" w:hAnsi="Arial" w:cs="Arial"/>
          <w:color w:val="000000"/>
          <w:sz w:val="20"/>
          <w:szCs w:val="20"/>
        </w:rPr>
        <w:t>., 2011). Foliar application is regarded as an effective and straightforward method to provide plants with the necessary nutrients at adequa</w:t>
      </w:r>
      <w:r w:rsidR="00531703">
        <w:rPr>
          <w:rFonts w:ascii="Arial" w:eastAsia="Times New Roman" w:hAnsi="Arial" w:cs="Arial"/>
          <w:color w:val="000000"/>
          <w:sz w:val="20"/>
          <w:szCs w:val="20"/>
        </w:rPr>
        <w:t>te concentrations (Alloway, 2008</w:t>
      </w:r>
      <w:r w:rsidRPr="00AF72EF">
        <w:rPr>
          <w:rFonts w:ascii="Arial" w:eastAsia="Times New Roman" w:hAnsi="Arial" w:cs="Arial"/>
          <w:color w:val="000000"/>
          <w:sz w:val="20"/>
          <w:szCs w:val="20"/>
        </w:rPr>
        <w:t xml:space="preserve">). Correcting micronutrient deficiencies via foliar application is effective because it allows for easy absorption through the leaves, leading to a profitable yield (Asad </w:t>
      </w:r>
      <w:r w:rsidRPr="00AF72EF">
        <w:rPr>
          <w:rFonts w:ascii="Arial" w:eastAsia="Times New Roman" w:hAnsi="Arial" w:cs="Arial"/>
          <w:i/>
          <w:color w:val="000000"/>
          <w:sz w:val="20"/>
          <w:szCs w:val="20"/>
        </w:rPr>
        <w:t>et al</w:t>
      </w:r>
      <w:r w:rsidRPr="00AF72EF">
        <w:rPr>
          <w:rFonts w:ascii="Arial" w:eastAsia="Times New Roman" w:hAnsi="Arial" w:cs="Arial"/>
          <w:color w:val="000000"/>
          <w:sz w:val="20"/>
          <w:szCs w:val="20"/>
        </w:rPr>
        <w:t>., 2003). Cauliflower plants often show deficiencies in boron and Mo, which appear as browning of the curd and whiptail formation in leaves, respectively. These problems render curds unsuitable for consumption and significantly reduce yield</w:t>
      </w:r>
      <w:r w:rsidR="00900275">
        <w:rPr>
          <w:rFonts w:ascii="Arial" w:eastAsia="Times New Roman" w:hAnsi="Arial" w:cs="Arial"/>
          <w:color w:val="000000"/>
          <w:sz w:val="20"/>
          <w:szCs w:val="20"/>
        </w:rPr>
        <w:t xml:space="preserve"> (</w:t>
      </w:r>
      <w:r w:rsidR="00900275" w:rsidRPr="00900275">
        <w:rPr>
          <w:rFonts w:ascii="Arial" w:eastAsia="Times New Roman" w:hAnsi="Arial" w:cs="Arial"/>
          <w:color w:val="000000"/>
          <w:sz w:val="20"/>
          <w:szCs w:val="20"/>
          <w:highlight w:val="yellow"/>
        </w:rPr>
        <w:t>Bhupenchandra et al., 2020)</w:t>
      </w:r>
      <w:r w:rsidRPr="00900275">
        <w:rPr>
          <w:rFonts w:ascii="Arial" w:eastAsia="Times New Roman" w:hAnsi="Arial" w:cs="Arial"/>
          <w:color w:val="000000"/>
          <w:sz w:val="20"/>
          <w:szCs w:val="20"/>
          <w:highlight w:val="yellow"/>
        </w:rPr>
        <w:t>.</w:t>
      </w:r>
      <w:r w:rsidRPr="00AF72EF">
        <w:rPr>
          <w:rFonts w:ascii="Arial" w:eastAsia="Times New Roman" w:hAnsi="Arial" w:cs="Arial"/>
          <w:color w:val="000000"/>
          <w:sz w:val="20"/>
          <w:szCs w:val="20"/>
        </w:rPr>
        <w:t xml:space="preserve"> The addition of boron has been shown to significantly improves the diameter, weight, yield, and quality of cauliflower curds (Kumar </w:t>
      </w:r>
      <w:r w:rsidRPr="00AF72EF">
        <w:rPr>
          <w:rFonts w:ascii="Arial" w:eastAsia="Times New Roman" w:hAnsi="Arial" w:cs="Arial"/>
          <w:i/>
          <w:color w:val="000000"/>
          <w:sz w:val="20"/>
          <w:szCs w:val="20"/>
        </w:rPr>
        <w:t>et al</w:t>
      </w:r>
      <w:r w:rsidRPr="00AF72EF">
        <w:rPr>
          <w:rFonts w:ascii="Arial" w:eastAsia="Times New Roman" w:hAnsi="Arial" w:cs="Arial"/>
          <w:color w:val="000000"/>
          <w:sz w:val="20"/>
          <w:szCs w:val="20"/>
        </w:rPr>
        <w:t>., 2002). However, before applying boron fertilizer, it is essential to confirm a suspected deficiency through soil and plant analyses, as excess boron can be extremely harmful to plants. Nevertheless, information on the micronutrients for cauliflower cultivation in Uttar Pradesh is limited. Considering the aforementioned facts regarding adequate information and research in this area, this study was conducted to examine the impact of foliar micronutrient application on the yield characteristics of cauliflower.</w:t>
      </w:r>
    </w:p>
    <w:p w14:paraId="49B68B5E" w14:textId="4E0014D4" w:rsidR="0006770F" w:rsidRPr="00AF72EF" w:rsidRDefault="00AF72EF">
      <w:pPr>
        <w:pBdr>
          <w:top w:val="nil"/>
          <w:left w:val="nil"/>
          <w:bottom w:val="nil"/>
          <w:right w:val="nil"/>
          <w:between w:val="nil"/>
        </w:pBdr>
        <w:spacing w:line="240" w:lineRule="auto"/>
        <w:jc w:val="both"/>
        <w:rPr>
          <w:rFonts w:ascii="Arial" w:eastAsia="Times New Roman" w:hAnsi="Arial" w:cs="Arial"/>
          <w:color w:val="000000"/>
        </w:rPr>
      </w:pPr>
      <w:r w:rsidRPr="00AF72EF">
        <w:rPr>
          <w:rFonts w:ascii="Arial" w:eastAsia="Times New Roman" w:hAnsi="Arial" w:cs="Arial"/>
          <w:b/>
          <w:color w:val="000000"/>
        </w:rPr>
        <w:t>2. MATERIALS AND METHODS</w:t>
      </w:r>
    </w:p>
    <w:p w14:paraId="49B68B5F" w14:textId="172D92BF" w:rsidR="0006770F" w:rsidRPr="00AF72EF" w:rsidRDefault="00E3304A">
      <w:pPr>
        <w:pBdr>
          <w:top w:val="nil"/>
          <w:left w:val="nil"/>
          <w:bottom w:val="nil"/>
          <w:right w:val="nil"/>
          <w:between w:val="nil"/>
        </w:pBdr>
        <w:spacing w:line="240" w:lineRule="auto"/>
        <w:ind w:firstLine="720"/>
        <w:jc w:val="both"/>
        <w:rPr>
          <w:rFonts w:ascii="Arial" w:eastAsia="Times New Roman" w:hAnsi="Arial" w:cs="Arial"/>
          <w:color w:val="000000"/>
          <w:sz w:val="20"/>
          <w:szCs w:val="20"/>
        </w:rPr>
      </w:pPr>
      <w:r w:rsidRPr="00AF72EF">
        <w:rPr>
          <w:rFonts w:ascii="Arial" w:eastAsia="Times New Roman" w:hAnsi="Arial" w:cs="Arial"/>
          <w:color w:val="000000"/>
          <w:sz w:val="20"/>
          <w:szCs w:val="20"/>
        </w:rPr>
        <w:t xml:space="preserve">The research was carried </w:t>
      </w:r>
      <w:r w:rsidRPr="001228EA">
        <w:rPr>
          <w:rFonts w:ascii="Arial" w:eastAsia="Times New Roman" w:hAnsi="Arial" w:cs="Arial"/>
          <w:color w:val="000000"/>
          <w:sz w:val="20"/>
          <w:szCs w:val="20"/>
          <w:highlight w:val="yellow"/>
        </w:rPr>
        <w:t>out over two winter seasons,</w:t>
      </w:r>
      <w:r w:rsidRPr="00AF72EF">
        <w:rPr>
          <w:rFonts w:ascii="Arial" w:eastAsia="Times New Roman" w:hAnsi="Arial" w:cs="Arial"/>
          <w:color w:val="000000"/>
          <w:sz w:val="20"/>
          <w:szCs w:val="20"/>
        </w:rPr>
        <w:t xml:space="preserve"> 2018-19 and 2019-20, at the Vegetable Research Farm (South Block) of the Department of Horticulture, Institute of Agricultural Sciences, Banaras Hindu University, situated in Varanasi, Uttar Pradesh (25</w:t>
      </w:r>
      <w:r w:rsidRPr="00AF72EF">
        <w:rPr>
          <w:rFonts w:ascii="Arial" w:eastAsia="Times New Roman" w:hAnsi="Arial" w:cs="Arial"/>
          <w:color w:val="000000"/>
          <w:sz w:val="20"/>
          <w:szCs w:val="20"/>
          <w:vertAlign w:val="superscript"/>
        </w:rPr>
        <w:t>0</w:t>
      </w:r>
      <w:r w:rsidRPr="00AF72EF">
        <w:rPr>
          <w:rFonts w:ascii="Arial" w:eastAsia="Times New Roman" w:hAnsi="Arial" w:cs="Arial"/>
          <w:color w:val="000000"/>
          <w:sz w:val="20"/>
          <w:szCs w:val="20"/>
        </w:rPr>
        <w:t>10’ N latitude and 83</w:t>
      </w:r>
      <w:r w:rsidRPr="00AF72EF">
        <w:rPr>
          <w:rFonts w:ascii="Arial" w:eastAsia="Times New Roman" w:hAnsi="Arial" w:cs="Arial"/>
          <w:color w:val="000000"/>
          <w:sz w:val="20"/>
          <w:szCs w:val="20"/>
          <w:vertAlign w:val="superscript"/>
        </w:rPr>
        <w:t>0</w:t>
      </w:r>
      <w:r w:rsidRPr="00AF72EF">
        <w:rPr>
          <w:rFonts w:ascii="Arial" w:eastAsia="Times New Roman" w:hAnsi="Arial" w:cs="Arial"/>
          <w:color w:val="000000"/>
          <w:sz w:val="20"/>
          <w:szCs w:val="20"/>
        </w:rPr>
        <w:t>03’ E longitude, with an altitude of 128.93 meters above sea level). The soil at this location was sandy clay loam, with a pH of 7.36, an electrical conductivity of 0.28 dSm</w:t>
      </w:r>
      <w:r w:rsidRPr="00AF72EF">
        <w:rPr>
          <w:rFonts w:ascii="Arial" w:eastAsia="Times New Roman" w:hAnsi="Arial" w:cs="Arial"/>
          <w:color w:val="000000"/>
          <w:sz w:val="20"/>
          <w:szCs w:val="20"/>
          <w:vertAlign w:val="superscript"/>
        </w:rPr>
        <w:t>-1</w:t>
      </w:r>
      <w:r w:rsidRPr="00AF72EF">
        <w:rPr>
          <w:rFonts w:ascii="Arial" w:eastAsia="Times New Roman" w:hAnsi="Arial" w:cs="Arial"/>
          <w:color w:val="000000"/>
          <w:sz w:val="20"/>
          <w:szCs w:val="20"/>
        </w:rPr>
        <w:t>, organic carbon content of 0.42%, available boron at 0.31 mg kg</w:t>
      </w:r>
      <w:r w:rsidRPr="00AF72EF">
        <w:rPr>
          <w:rFonts w:ascii="Arial" w:eastAsia="Times New Roman" w:hAnsi="Arial" w:cs="Arial"/>
          <w:color w:val="000000"/>
          <w:sz w:val="20"/>
          <w:szCs w:val="20"/>
          <w:vertAlign w:val="superscript"/>
        </w:rPr>
        <w:t>-1</w:t>
      </w:r>
      <w:r w:rsidRPr="00AF72EF">
        <w:rPr>
          <w:rFonts w:ascii="Arial" w:eastAsia="Times New Roman" w:hAnsi="Arial" w:cs="Arial"/>
          <w:color w:val="000000"/>
          <w:sz w:val="20"/>
          <w:szCs w:val="20"/>
        </w:rPr>
        <w:t>, available zinc at 0.57 mg kg</w:t>
      </w:r>
      <w:r w:rsidRPr="00AF72EF">
        <w:rPr>
          <w:rFonts w:ascii="Arial" w:eastAsia="Times New Roman" w:hAnsi="Arial" w:cs="Arial"/>
          <w:color w:val="000000"/>
          <w:sz w:val="20"/>
          <w:szCs w:val="20"/>
          <w:vertAlign w:val="superscript"/>
        </w:rPr>
        <w:t>-1</w:t>
      </w:r>
      <w:r w:rsidRPr="00AF72EF">
        <w:rPr>
          <w:rFonts w:ascii="Arial" w:eastAsia="Times New Roman" w:hAnsi="Arial" w:cs="Arial"/>
          <w:color w:val="000000"/>
          <w:sz w:val="20"/>
          <w:szCs w:val="20"/>
        </w:rPr>
        <w:t>, and available molybdenum at 0.26 ppm. The study utilized a randomized block design with three replications, examining sixteen different micronutrient treatments: (T1) control, (T2) Ammonium Molybdate (Mo) at 0.20%, (T3) Ammonium Molybdate (Mo) at 0.30%, (T4) Ammonium Molybdate (Mo) at 0.40%, (T5) Boron at 0.060%, (T6) Bor</w:t>
      </w:r>
      <w:r w:rsidR="001228EA">
        <w:rPr>
          <w:rFonts w:ascii="Arial" w:eastAsia="Times New Roman" w:hAnsi="Arial" w:cs="Arial"/>
          <w:color w:val="000000"/>
          <w:sz w:val="20"/>
          <w:szCs w:val="20"/>
        </w:rPr>
        <w:t>on at 0.080%, (T7) Boron at 0.</w:t>
      </w:r>
      <w:r w:rsidR="001228EA" w:rsidRPr="001228EA">
        <w:rPr>
          <w:rFonts w:ascii="Arial" w:eastAsia="Times New Roman" w:hAnsi="Arial" w:cs="Arial"/>
          <w:color w:val="000000"/>
          <w:sz w:val="20"/>
          <w:szCs w:val="20"/>
          <w:highlight w:val="yellow"/>
        </w:rPr>
        <w:t>1</w:t>
      </w:r>
      <w:r w:rsidRPr="001228EA">
        <w:rPr>
          <w:rFonts w:ascii="Arial" w:eastAsia="Times New Roman" w:hAnsi="Arial" w:cs="Arial"/>
          <w:color w:val="000000"/>
          <w:sz w:val="20"/>
          <w:szCs w:val="20"/>
          <w:highlight w:val="yellow"/>
        </w:rPr>
        <w:t>0</w:t>
      </w:r>
      <w:r w:rsidRPr="00AF72EF">
        <w:rPr>
          <w:rFonts w:ascii="Arial" w:eastAsia="Times New Roman" w:hAnsi="Arial" w:cs="Arial"/>
          <w:color w:val="000000"/>
          <w:sz w:val="20"/>
          <w:szCs w:val="20"/>
        </w:rPr>
        <w:t xml:space="preserve">%, (T8) Ammonium Molybdate (Mo) at 0.20% + Boron at 0.060%, (T9) Ammonium Molybdate (Mo) at 0.20% + Boron at 0.080%, (T10) Ammonium Molybdate (Mo) at 0.20% + </w:t>
      </w:r>
      <w:r w:rsidR="001228EA">
        <w:rPr>
          <w:rFonts w:ascii="Arial" w:eastAsia="Times New Roman" w:hAnsi="Arial" w:cs="Arial"/>
          <w:color w:val="000000"/>
          <w:sz w:val="20"/>
          <w:szCs w:val="20"/>
        </w:rPr>
        <w:t xml:space="preserve">Boron at </w:t>
      </w:r>
      <w:r w:rsidR="001228EA" w:rsidRPr="001228EA">
        <w:rPr>
          <w:rFonts w:ascii="Arial" w:eastAsia="Times New Roman" w:hAnsi="Arial" w:cs="Arial"/>
          <w:color w:val="000000"/>
          <w:sz w:val="20"/>
          <w:szCs w:val="20"/>
          <w:highlight w:val="yellow"/>
        </w:rPr>
        <w:t>0.1</w:t>
      </w:r>
      <w:r w:rsidRPr="001228EA">
        <w:rPr>
          <w:rFonts w:ascii="Arial" w:eastAsia="Times New Roman" w:hAnsi="Arial" w:cs="Arial"/>
          <w:color w:val="000000"/>
          <w:sz w:val="20"/>
          <w:szCs w:val="20"/>
          <w:highlight w:val="yellow"/>
        </w:rPr>
        <w:t>0</w:t>
      </w:r>
      <w:r w:rsidRPr="00AF72EF">
        <w:rPr>
          <w:rFonts w:ascii="Arial" w:eastAsia="Times New Roman" w:hAnsi="Arial" w:cs="Arial"/>
          <w:color w:val="000000"/>
          <w:sz w:val="20"/>
          <w:szCs w:val="20"/>
        </w:rPr>
        <w:t>%, (T11) Ammonium Molybdate (Mo) at 0.30% + Boron at 0.060%, (T12) Ammonium Molybdate (Mo) at 0.30% + Boron at 0.080%, (T13) Ammonium Molybdat</w:t>
      </w:r>
      <w:r w:rsidR="001228EA">
        <w:rPr>
          <w:rFonts w:ascii="Arial" w:eastAsia="Times New Roman" w:hAnsi="Arial" w:cs="Arial"/>
          <w:color w:val="000000"/>
          <w:sz w:val="20"/>
          <w:szCs w:val="20"/>
        </w:rPr>
        <w:t xml:space="preserve">e (Mo) at 0.30% + Boron </w:t>
      </w:r>
      <w:r w:rsidR="001228EA" w:rsidRPr="001228EA">
        <w:rPr>
          <w:rFonts w:ascii="Arial" w:eastAsia="Times New Roman" w:hAnsi="Arial" w:cs="Arial"/>
          <w:color w:val="000000"/>
          <w:sz w:val="20"/>
          <w:szCs w:val="20"/>
          <w:highlight w:val="yellow"/>
        </w:rPr>
        <w:t>at 0.10</w:t>
      </w:r>
      <w:r w:rsidRPr="001228EA">
        <w:rPr>
          <w:rFonts w:ascii="Arial" w:eastAsia="Times New Roman" w:hAnsi="Arial" w:cs="Arial"/>
          <w:color w:val="000000"/>
          <w:sz w:val="20"/>
          <w:szCs w:val="20"/>
          <w:highlight w:val="yellow"/>
        </w:rPr>
        <w:t>%,</w:t>
      </w:r>
      <w:r w:rsidRPr="00AF72EF">
        <w:rPr>
          <w:rFonts w:ascii="Arial" w:eastAsia="Times New Roman" w:hAnsi="Arial" w:cs="Arial"/>
          <w:color w:val="000000"/>
          <w:sz w:val="20"/>
          <w:szCs w:val="20"/>
        </w:rPr>
        <w:t xml:space="preserve"> (T14) Ammonium Molybdate (Mo) at 0.40% + Boron at 0.060%, (T15) Ammonium Molybdate (Mo) at 0.40% </w:t>
      </w:r>
      <w:r w:rsidRPr="00AF72EF">
        <w:rPr>
          <w:rFonts w:ascii="Arial" w:eastAsia="Times New Roman" w:hAnsi="Arial" w:cs="Arial"/>
          <w:color w:val="000000"/>
          <w:sz w:val="20"/>
          <w:szCs w:val="20"/>
        </w:rPr>
        <w:lastRenderedPageBreak/>
        <w:t>+ Boron at 0.080%, and (T16) Ammonium Molybda</w:t>
      </w:r>
      <w:r w:rsidR="001228EA">
        <w:rPr>
          <w:rFonts w:ascii="Arial" w:eastAsia="Times New Roman" w:hAnsi="Arial" w:cs="Arial"/>
          <w:color w:val="000000"/>
          <w:sz w:val="20"/>
          <w:szCs w:val="20"/>
        </w:rPr>
        <w:t xml:space="preserve">te (Mo) at 0.40% + Boron at </w:t>
      </w:r>
      <w:r w:rsidR="001228EA" w:rsidRPr="001228EA">
        <w:rPr>
          <w:rFonts w:ascii="Arial" w:eastAsia="Times New Roman" w:hAnsi="Arial" w:cs="Arial"/>
          <w:color w:val="000000"/>
          <w:sz w:val="20"/>
          <w:szCs w:val="20"/>
          <w:highlight w:val="yellow"/>
        </w:rPr>
        <w:t>0.1</w:t>
      </w:r>
      <w:r w:rsidRPr="001228EA">
        <w:rPr>
          <w:rFonts w:ascii="Arial" w:eastAsia="Times New Roman" w:hAnsi="Arial" w:cs="Arial"/>
          <w:color w:val="000000"/>
          <w:sz w:val="20"/>
          <w:szCs w:val="20"/>
          <w:highlight w:val="yellow"/>
        </w:rPr>
        <w:t>0%.</w:t>
      </w:r>
      <w:r w:rsidRPr="00AF72EF">
        <w:rPr>
          <w:rFonts w:ascii="Arial" w:eastAsia="Times New Roman" w:hAnsi="Arial" w:cs="Arial"/>
          <w:color w:val="000000"/>
          <w:sz w:val="20"/>
          <w:szCs w:val="20"/>
        </w:rPr>
        <w:t xml:space="preserve"> Furthermore, a consistent application of Zn (0.5 g l</w:t>
      </w:r>
      <w:r w:rsidRPr="00AF72EF">
        <w:rPr>
          <w:rFonts w:ascii="Arial" w:eastAsia="Times New Roman" w:hAnsi="Arial" w:cs="Arial"/>
          <w:color w:val="000000"/>
          <w:sz w:val="20"/>
          <w:szCs w:val="20"/>
          <w:vertAlign w:val="superscript"/>
        </w:rPr>
        <w:t>-1</w:t>
      </w:r>
      <w:r w:rsidRPr="00AF72EF">
        <w:rPr>
          <w:rFonts w:ascii="Arial" w:eastAsia="Times New Roman" w:hAnsi="Arial" w:cs="Arial"/>
          <w:color w:val="000000"/>
          <w:sz w:val="20"/>
          <w:szCs w:val="20"/>
        </w:rPr>
        <w:t>) was given to all treatments involving the Snowball-16 cauliflower variety. The crop was transplanted into the main field on November 14th, 2018, and November 16th, 2019. Foliar sprays were administered 20, 30, and 40 days after transplantation.</w:t>
      </w:r>
    </w:p>
    <w:p w14:paraId="49B68B60" w14:textId="03A6CBCD" w:rsidR="0006770F" w:rsidRPr="00AF72EF" w:rsidRDefault="00AF72EF">
      <w:pPr>
        <w:pBdr>
          <w:top w:val="nil"/>
          <w:left w:val="nil"/>
          <w:bottom w:val="nil"/>
          <w:right w:val="nil"/>
          <w:between w:val="nil"/>
        </w:pBdr>
        <w:spacing w:line="240" w:lineRule="auto"/>
        <w:jc w:val="both"/>
        <w:rPr>
          <w:rFonts w:ascii="Arial" w:eastAsia="Times New Roman" w:hAnsi="Arial" w:cs="Arial"/>
          <w:b/>
          <w:color w:val="000000"/>
        </w:rPr>
      </w:pPr>
      <w:r w:rsidRPr="00AF72EF">
        <w:rPr>
          <w:rFonts w:ascii="Arial" w:eastAsia="Times New Roman" w:hAnsi="Arial" w:cs="Arial"/>
          <w:b/>
          <w:color w:val="000000"/>
        </w:rPr>
        <w:t>2.1 STATISTICAL ANALYSIS AND INTERPRETATION OF DATA</w:t>
      </w:r>
    </w:p>
    <w:p w14:paraId="49B68B61" w14:textId="77777777" w:rsidR="0006770F" w:rsidRPr="00AF72EF" w:rsidRDefault="00E3304A">
      <w:pPr>
        <w:pBdr>
          <w:top w:val="nil"/>
          <w:left w:val="nil"/>
          <w:bottom w:val="nil"/>
          <w:right w:val="nil"/>
          <w:between w:val="nil"/>
        </w:pBdr>
        <w:spacing w:line="240" w:lineRule="auto"/>
        <w:rPr>
          <w:rFonts w:ascii="Arial" w:eastAsia="Times New Roman" w:hAnsi="Arial" w:cs="Arial"/>
          <w:color w:val="000000"/>
          <w:sz w:val="20"/>
          <w:szCs w:val="20"/>
        </w:rPr>
      </w:pPr>
      <w:r>
        <w:rPr>
          <w:rFonts w:ascii="Times New Roman" w:eastAsia="Times New Roman" w:hAnsi="Times New Roman" w:cs="Times New Roman"/>
          <w:b/>
          <w:color w:val="000000"/>
          <w:sz w:val="24"/>
          <w:szCs w:val="24"/>
        </w:rPr>
        <w:tab/>
      </w:r>
      <w:r w:rsidRPr="00AF72EF">
        <w:rPr>
          <w:rFonts w:ascii="Arial" w:eastAsia="Times New Roman" w:hAnsi="Arial" w:cs="Arial"/>
          <w:color w:val="000000"/>
          <w:sz w:val="20"/>
          <w:szCs w:val="20"/>
        </w:rPr>
        <w:t>The experimental data gathered for different parameters were examined using Fisher's analysis of variance (ANOVA), in accordance with the guidelines established by Gomez and Gomez (1984). The significance level for both the 'F' and 't' tests was set at p = 0.05. Critical difference values were calculated when the F-test showed statistical significance.</w:t>
      </w:r>
    </w:p>
    <w:p w14:paraId="49B68B62" w14:textId="2E5669C8" w:rsidR="0006770F" w:rsidRPr="00AF72EF" w:rsidRDefault="000B691B">
      <w:pPr>
        <w:pBdr>
          <w:top w:val="nil"/>
          <w:left w:val="nil"/>
          <w:bottom w:val="nil"/>
          <w:right w:val="nil"/>
          <w:between w:val="nil"/>
        </w:pBdr>
        <w:spacing w:line="240" w:lineRule="auto"/>
        <w:rPr>
          <w:rFonts w:ascii="Arial" w:eastAsia="Times New Roman" w:hAnsi="Arial" w:cs="Arial"/>
          <w:b/>
          <w:color w:val="000000"/>
        </w:rPr>
      </w:pPr>
      <w:r w:rsidRPr="00AF72EF">
        <w:rPr>
          <w:rFonts w:ascii="Arial" w:eastAsia="Times New Roman" w:hAnsi="Arial" w:cs="Arial"/>
          <w:b/>
          <w:color w:val="000000"/>
        </w:rPr>
        <w:t>3. RESULTS:</w:t>
      </w:r>
    </w:p>
    <w:p w14:paraId="49B68B63" w14:textId="57858856" w:rsidR="0006770F" w:rsidRPr="00AF72EF" w:rsidRDefault="000B691B">
      <w:pPr>
        <w:pBdr>
          <w:top w:val="nil"/>
          <w:left w:val="nil"/>
          <w:bottom w:val="nil"/>
          <w:right w:val="nil"/>
          <w:between w:val="nil"/>
        </w:pBdr>
        <w:spacing w:line="240" w:lineRule="auto"/>
        <w:rPr>
          <w:rFonts w:ascii="Arial" w:eastAsia="Times New Roman" w:hAnsi="Arial" w:cs="Arial"/>
          <w:b/>
          <w:color w:val="000000"/>
        </w:rPr>
      </w:pPr>
      <w:r w:rsidRPr="00AF72EF">
        <w:rPr>
          <w:rFonts w:ascii="Arial" w:eastAsia="Times New Roman" w:hAnsi="Arial" w:cs="Arial"/>
          <w:b/>
          <w:color w:val="000000"/>
        </w:rPr>
        <w:t xml:space="preserve">3.1 DAYS TO 50% CURD INITIATION </w:t>
      </w:r>
    </w:p>
    <w:p w14:paraId="49B68B64" w14:textId="44AB917E" w:rsidR="0006770F" w:rsidRPr="00AF72EF" w:rsidRDefault="00E3304A">
      <w:pPr>
        <w:pBdr>
          <w:top w:val="nil"/>
          <w:left w:val="nil"/>
          <w:bottom w:val="nil"/>
          <w:right w:val="nil"/>
          <w:between w:val="nil"/>
        </w:pBdr>
        <w:spacing w:line="240" w:lineRule="auto"/>
        <w:jc w:val="both"/>
        <w:rPr>
          <w:rFonts w:ascii="Arial" w:eastAsia="Times New Roman" w:hAnsi="Arial" w:cs="Arial"/>
          <w:color w:val="000000"/>
          <w:sz w:val="20"/>
          <w:szCs w:val="20"/>
        </w:rPr>
      </w:pPr>
      <w:r>
        <w:rPr>
          <w:rFonts w:ascii="Times New Roman" w:eastAsia="Times New Roman" w:hAnsi="Times New Roman" w:cs="Times New Roman"/>
          <w:b/>
          <w:color w:val="000000"/>
          <w:sz w:val="24"/>
          <w:szCs w:val="24"/>
        </w:rPr>
        <w:tab/>
      </w:r>
      <w:r w:rsidRPr="00AF72EF">
        <w:rPr>
          <w:rFonts w:ascii="Arial" w:eastAsia="Times New Roman" w:hAnsi="Arial" w:cs="Arial"/>
          <w:color w:val="000000"/>
          <w:sz w:val="20"/>
          <w:szCs w:val="20"/>
        </w:rPr>
        <w:t>Table 1 displays the average data regarding the impact of different treatments on the number of days required for 50% curd initiation. The findings indicated that the foliar application of micronutrients significantly influenced the days to reach 50% curd initiation. For cauliflower, fewer days to 50% curd initiation are preferred. The number of days to 50% curd initiation showed significant statistical variation across different treatments, ranging from 63.57 to 74.58 days in the first year, 62.24 to 73.11 days in the second year, and 62.91 to 73.85 days in the pooled mean data. The shortest duration to 50% curd initiation, specifically 63.57 days (2018-19), 62.24 days (2019-20), and 62.91 days (pooled mean), was achieved with the application of (T16) Ammonium Molybdate at 0.40% + Boron at 0.100%, which was statistically comparable to (T13) Ammonium Molybdate at 0.30% + Boron at 0.100% and (T10) Ammonium Molybdate at 0.20% + Boron at 0.100% compared to the other treatments. Conversely, the longest duration to 50% curd initiation was recorded with the control treatment in both years and in the pooled mean data.</w:t>
      </w:r>
    </w:p>
    <w:p w14:paraId="49B68B65" w14:textId="0BEAFA77" w:rsidR="0006770F" w:rsidRPr="00AF72EF" w:rsidRDefault="000B691B">
      <w:pPr>
        <w:pBdr>
          <w:top w:val="nil"/>
          <w:left w:val="nil"/>
          <w:bottom w:val="nil"/>
          <w:right w:val="nil"/>
          <w:between w:val="nil"/>
        </w:pBdr>
        <w:spacing w:line="240" w:lineRule="auto"/>
        <w:jc w:val="both"/>
        <w:rPr>
          <w:rFonts w:ascii="Arial" w:eastAsia="Times New Roman" w:hAnsi="Arial" w:cs="Arial"/>
          <w:b/>
          <w:color w:val="000000"/>
        </w:rPr>
      </w:pPr>
      <w:r w:rsidRPr="00AF72EF">
        <w:rPr>
          <w:rFonts w:ascii="Arial" w:eastAsia="Times New Roman" w:hAnsi="Arial" w:cs="Arial"/>
          <w:b/>
          <w:color w:val="000000"/>
        </w:rPr>
        <w:t>3.2 DAYS TO 50% CURD MATURITY</w:t>
      </w:r>
    </w:p>
    <w:p w14:paraId="49B68B66" w14:textId="04ED5F95" w:rsidR="0006770F" w:rsidRPr="00AF72EF" w:rsidRDefault="00E3304A">
      <w:pPr>
        <w:pBdr>
          <w:top w:val="nil"/>
          <w:left w:val="nil"/>
          <w:bottom w:val="nil"/>
          <w:right w:val="nil"/>
          <w:between w:val="nil"/>
        </w:pBdr>
        <w:spacing w:line="240" w:lineRule="auto"/>
        <w:jc w:val="both"/>
        <w:rPr>
          <w:rFonts w:ascii="Arial" w:eastAsia="Times New Roman" w:hAnsi="Arial" w:cs="Arial"/>
          <w:color w:val="000000"/>
          <w:sz w:val="20"/>
          <w:szCs w:val="20"/>
        </w:rPr>
      </w:pPr>
      <w:r>
        <w:rPr>
          <w:rFonts w:ascii="Times New Roman" w:eastAsia="Times New Roman" w:hAnsi="Times New Roman" w:cs="Times New Roman"/>
          <w:b/>
          <w:color w:val="000000"/>
          <w:sz w:val="24"/>
          <w:szCs w:val="24"/>
        </w:rPr>
        <w:tab/>
      </w:r>
      <w:r w:rsidRPr="00AF72EF">
        <w:rPr>
          <w:rFonts w:ascii="Arial" w:eastAsia="Times New Roman" w:hAnsi="Arial" w:cs="Arial"/>
          <w:color w:val="000000"/>
          <w:sz w:val="20"/>
          <w:szCs w:val="20"/>
        </w:rPr>
        <w:t xml:space="preserve">Data on the number of days required for 50% curd maturity was collected and the average results are shown in Table 1. For cauliflower, fewer days to reach 50% curd maturity is preferred. The </w:t>
      </w:r>
      <w:r w:rsidR="002F6E06" w:rsidRPr="00AF72EF">
        <w:rPr>
          <w:rFonts w:ascii="Arial" w:eastAsia="Times New Roman" w:hAnsi="Arial" w:cs="Arial"/>
          <w:color w:val="000000"/>
          <w:sz w:val="20"/>
          <w:szCs w:val="20"/>
        </w:rPr>
        <w:t xml:space="preserve">analysis </w:t>
      </w:r>
      <w:r w:rsidR="002F6E06" w:rsidRPr="002F6E06">
        <w:rPr>
          <w:rFonts w:ascii="Arial" w:eastAsia="Times New Roman" w:hAnsi="Arial" w:cs="Arial"/>
          <w:color w:val="000000"/>
          <w:sz w:val="20"/>
          <w:szCs w:val="20"/>
          <w:highlight w:val="yellow"/>
        </w:rPr>
        <w:t>of</w:t>
      </w:r>
      <w:r w:rsidR="002F6E06">
        <w:rPr>
          <w:rFonts w:ascii="Arial" w:eastAsia="Times New Roman" w:hAnsi="Arial" w:cs="Arial"/>
          <w:color w:val="000000"/>
          <w:sz w:val="20"/>
          <w:szCs w:val="20"/>
        </w:rPr>
        <w:t xml:space="preserve"> </w:t>
      </w:r>
      <w:r w:rsidRPr="00AF72EF">
        <w:rPr>
          <w:rFonts w:ascii="Arial" w:eastAsia="Times New Roman" w:hAnsi="Arial" w:cs="Arial"/>
          <w:color w:val="000000"/>
          <w:sz w:val="20"/>
          <w:szCs w:val="20"/>
        </w:rPr>
        <w:t xml:space="preserve">variance indicated that the days to 50% curd maturity were significantly affected by the foliar application of different micronutrients over both years and on a pooled mean basis. The performance data and </w:t>
      </w:r>
      <w:r w:rsidR="002F6E06" w:rsidRPr="00AF72EF">
        <w:rPr>
          <w:rFonts w:ascii="Arial" w:eastAsia="Times New Roman" w:hAnsi="Arial" w:cs="Arial"/>
          <w:color w:val="000000"/>
          <w:sz w:val="20"/>
          <w:szCs w:val="20"/>
        </w:rPr>
        <w:t xml:space="preserve">analysis </w:t>
      </w:r>
      <w:r w:rsidR="002F6E06" w:rsidRPr="002F6E06">
        <w:rPr>
          <w:rFonts w:ascii="Arial" w:eastAsia="Times New Roman" w:hAnsi="Arial" w:cs="Arial"/>
          <w:color w:val="000000"/>
          <w:sz w:val="20"/>
          <w:szCs w:val="20"/>
          <w:highlight w:val="yellow"/>
        </w:rPr>
        <w:t>of</w:t>
      </w:r>
      <w:r w:rsidR="002F6E06">
        <w:rPr>
          <w:rFonts w:ascii="Arial" w:eastAsia="Times New Roman" w:hAnsi="Arial" w:cs="Arial"/>
          <w:color w:val="000000"/>
          <w:sz w:val="20"/>
          <w:szCs w:val="20"/>
        </w:rPr>
        <w:t xml:space="preserve"> </w:t>
      </w:r>
      <w:r w:rsidRPr="00AF72EF">
        <w:rPr>
          <w:rFonts w:ascii="Arial" w:eastAsia="Times New Roman" w:hAnsi="Arial" w:cs="Arial"/>
          <w:color w:val="000000"/>
          <w:sz w:val="20"/>
          <w:szCs w:val="20"/>
        </w:rPr>
        <w:t>variance demonstrated that the days to reach 50% curd maturity varied significantly, ranging from 73.92 to 84.93 days in the first year, 72.59 to 83.46 days in the second year, and 73.25 to 84.19 days in the pooled mean data. The shortest time to 50% curd maturity, specifically 73.92 days in the first year, 72.59 days in the second year, and 73.25 days in the pooled mean, was achieved with the application of (T16) Ammonium Molybdate @ 0.40% + Boron @ 0.100%, which was statistically similar to (T13) Ammonium Molybdate @ 0.30% + Boron @ 0.100% and (T10) Ammonium Molybdate @ 0.20% + Boron @ 0.100% compared to other treatments. Conversely, the longest time to 50% curd maturity, 84.93 days (year 2018-19), 83.46 days (year 2019-20), and 84.19 days (pooled mean), was observed under the control treatment during both years of the study.</w:t>
      </w:r>
    </w:p>
    <w:p w14:paraId="120EBED4" w14:textId="27B1D799" w:rsidR="000A7DB1" w:rsidRPr="00AF72EF" w:rsidRDefault="000A7DB1" w:rsidP="000A7DB1">
      <w:pPr>
        <w:widowControl w:val="0"/>
        <w:pBdr>
          <w:top w:val="nil"/>
          <w:left w:val="nil"/>
          <w:bottom w:val="nil"/>
          <w:right w:val="nil"/>
          <w:between w:val="nil"/>
        </w:pBdr>
        <w:spacing w:after="0" w:line="240" w:lineRule="auto"/>
        <w:rPr>
          <w:rFonts w:ascii="Arial" w:eastAsia="Times New Roman" w:hAnsi="Arial" w:cs="Arial"/>
          <w:color w:val="000000"/>
          <w:sz w:val="20"/>
          <w:szCs w:val="20"/>
        </w:rPr>
      </w:pPr>
      <w:r w:rsidRPr="00AF72EF">
        <w:rPr>
          <w:rFonts w:ascii="Arial" w:eastAsia="Times New Roman" w:hAnsi="Arial" w:cs="Arial"/>
          <w:b/>
          <w:bCs/>
          <w:color w:val="000000"/>
          <w:sz w:val="20"/>
          <w:szCs w:val="20"/>
        </w:rPr>
        <w:t>Table 1:</w:t>
      </w:r>
      <w:r w:rsidR="002F6E06">
        <w:rPr>
          <w:rFonts w:ascii="Arial" w:eastAsia="Times New Roman" w:hAnsi="Arial" w:cs="Arial"/>
          <w:color w:val="000000"/>
          <w:sz w:val="20"/>
          <w:szCs w:val="20"/>
        </w:rPr>
        <w:t xml:space="preserve"> Days to </w:t>
      </w:r>
      <w:r w:rsidR="002F6E06" w:rsidRPr="002F6E06">
        <w:rPr>
          <w:rFonts w:ascii="Arial" w:eastAsia="Times New Roman" w:hAnsi="Arial" w:cs="Arial"/>
          <w:color w:val="000000"/>
          <w:sz w:val="20"/>
          <w:szCs w:val="20"/>
          <w:highlight w:val="yellow"/>
        </w:rPr>
        <w:t>50 percent</w:t>
      </w:r>
      <w:r w:rsidR="002F6E06">
        <w:rPr>
          <w:rFonts w:ascii="Arial" w:eastAsia="Times New Roman" w:hAnsi="Arial" w:cs="Arial"/>
          <w:color w:val="000000"/>
          <w:sz w:val="20"/>
          <w:szCs w:val="20"/>
        </w:rPr>
        <w:t xml:space="preserve"> curd initiation and </w:t>
      </w:r>
      <w:r w:rsidR="002F6E06" w:rsidRPr="002F6E06">
        <w:rPr>
          <w:rFonts w:ascii="Arial" w:eastAsia="Times New Roman" w:hAnsi="Arial" w:cs="Arial"/>
          <w:color w:val="000000"/>
          <w:sz w:val="20"/>
          <w:szCs w:val="20"/>
          <w:highlight w:val="yellow"/>
        </w:rPr>
        <w:t>50 percent</w:t>
      </w:r>
      <w:r w:rsidR="002F6E06">
        <w:rPr>
          <w:rFonts w:ascii="Arial" w:eastAsia="Times New Roman" w:hAnsi="Arial" w:cs="Arial"/>
          <w:color w:val="000000"/>
          <w:sz w:val="20"/>
          <w:szCs w:val="20"/>
        </w:rPr>
        <w:t xml:space="preserve"> </w:t>
      </w:r>
      <w:r w:rsidRPr="00AF72EF">
        <w:rPr>
          <w:rFonts w:ascii="Arial" w:eastAsia="Times New Roman" w:hAnsi="Arial" w:cs="Arial"/>
          <w:color w:val="000000"/>
          <w:sz w:val="20"/>
          <w:szCs w:val="20"/>
        </w:rPr>
        <w:t>curd maturity of cauliflower as influenced by foliar application of micro nutrients</w:t>
      </w:r>
    </w:p>
    <w:p w14:paraId="5ABB7859" w14:textId="77777777" w:rsidR="000A7DB1" w:rsidRDefault="000A7DB1" w:rsidP="000A7DB1">
      <w:pPr>
        <w:widowControl w:val="0"/>
        <w:pBdr>
          <w:top w:val="nil"/>
          <w:left w:val="nil"/>
          <w:bottom w:val="nil"/>
          <w:right w:val="nil"/>
          <w:between w:val="nil"/>
        </w:pBdr>
        <w:spacing w:before="9" w:after="0" w:line="240" w:lineRule="auto"/>
        <w:rPr>
          <w:rFonts w:ascii="Times New Roman" w:eastAsia="Times New Roman" w:hAnsi="Times New Roman" w:cs="Times New Roman"/>
          <w:color w:val="000000"/>
          <w:sz w:val="11"/>
          <w:szCs w:val="11"/>
        </w:rPr>
      </w:pPr>
    </w:p>
    <w:tbl>
      <w:tblPr>
        <w:tblStyle w:val="a"/>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1063"/>
        <w:gridCol w:w="1063"/>
        <w:gridCol w:w="1277"/>
        <w:gridCol w:w="850"/>
        <w:gridCol w:w="851"/>
        <w:gridCol w:w="992"/>
      </w:tblGrid>
      <w:tr w:rsidR="000A7DB1" w:rsidRPr="00AF72EF" w14:paraId="6286494F" w14:textId="77777777" w:rsidTr="001228EA">
        <w:trPr>
          <w:trHeight w:val="318"/>
        </w:trPr>
        <w:tc>
          <w:tcPr>
            <w:tcW w:w="4678" w:type="dxa"/>
            <w:vMerge w:val="restart"/>
          </w:tcPr>
          <w:p w14:paraId="6504C40C" w14:textId="77777777" w:rsidR="000A7DB1" w:rsidRPr="00AF72EF" w:rsidRDefault="000A7DB1" w:rsidP="000A7DB1">
            <w:pPr>
              <w:widowControl w:val="0"/>
              <w:pBdr>
                <w:top w:val="nil"/>
                <w:left w:val="nil"/>
                <w:bottom w:val="nil"/>
                <w:right w:val="nil"/>
                <w:between w:val="nil"/>
              </w:pBdr>
              <w:spacing w:after="0" w:line="240" w:lineRule="auto"/>
              <w:rPr>
                <w:rFonts w:ascii="Arial" w:eastAsia="Times New Roman" w:hAnsi="Arial" w:cs="Arial"/>
                <w:b/>
                <w:color w:val="000000"/>
                <w:sz w:val="20"/>
                <w:szCs w:val="20"/>
                <w:highlight w:val="yellow"/>
              </w:rPr>
            </w:pPr>
            <w:r w:rsidRPr="00AF72EF">
              <w:rPr>
                <w:rFonts w:ascii="Arial" w:eastAsia="Times New Roman" w:hAnsi="Arial" w:cs="Arial"/>
                <w:b/>
                <w:color w:val="000000"/>
                <w:sz w:val="20"/>
                <w:szCs w:val="20"/>
                <w:highlight w:val="yellow"/>
              </w:rPr>
              <w:t>Treatments</w:t>
            </w:r>
          </w:p>
        </w:tc>
        <w:tc>
          <w:tcPr>
            <w:tcW w:w="3403" w:type="dxa"/>
            <w:gridSpan w:val="3"/>
          </w:tcPr>
          <w:p w14:paraId="02E1F8C6" w14:textId="77777777" w:rsidR="000A7DB1" w:rsidRPr="00AF72EF" w:rsidRDefault="000A7DB1" w:rsidP="000A7DB1">
            <w:pPr>
              <w:widowControl w:val="0"/>
              <w:pBdr>
                <w:top w:val="nil"/>
                <w:left w:val="nil"/>
                <w:bottom w:val="nil"/>
                <w:right w:val="nil"/>
                <w:between w:val="nil"/>
              </w:pBdr>
              <w:spacing w:after="0" w:line="240" w:lineRule="auto"/>
              <w:rPr>
                <w:rFonts w:ascii="Arial" w:eastAsia="Times New Roman" w:hAnsi="Arial" w:cs="Arial"/>
                <w:b/>
                <w:color w:val="000000"/>
                <w:sz w:val="20"/>
                <w:szCs w:val="20"/>
                <w:highlight w:val="yellow"/>
              </w:rPr>
            </w:pPr>
            <w:r w:rsidRPr="00AF72EF">
              <w:rPr>
                <w:rFonts w:ascii="Arial" w:eastAsia="Times New Roman" w:hAnsi="Arial" w:cs="Arial"/>
                <w:b/>
                <w:color w:val="000000"/>
                <w:sz w:val="20"/>
                <w:szCs w:val="20"/>
                <w:highlight w:val="yellow"/>
              </w:rPr>
              <w:t>Days to 50% curd initiation</w:t>
            </w:r>
          </w:p>
        </w:tc>
        <w:tc>
          <w:tcPr>
            <w:tcW w:w="2693" w:type="dxa"/>
            <w:gridSpan w:val="3"/>
          </w:tcPr>
          <w:p w14:paraId="3211736F" w14:textId="77777777" w:rsidR="000A7DB1" w:rsidRPr="00AF72EF" w:rsidRDefault="000A7DB1" w:rsidP="000A7DB1">
            <w:pPr>
              <w:widowControl w:val="0"/>
              <w:pBdr>
                <w:top w:val="nil"/>
                <w:left w:val="nil"/>
                <w:bottom w:val="nil"/>
                <w:right w:val="nil"/>
                <w:between w:val="nil"/>
              </w:pBdr>
              <w:spacing w:after="0" w:line="240" w:lineRule="auto"/>
              <w:rPr>
                <w:rFonts w:ascii="Arial" w:eastAsia="Times New Roman" w:hAnsi="Arial" w:cs="Arial"/>
                <w:b/>
                <w:color w:val="000000"/>
                <w:sz w:val="20"/>
                <w:szCs w:val="20"/>
                <w:highlight w:val="yellow"/>
              </w:rPr>
            </w:pPr>
            <w:r w:rsidRPr="00AF72EF">
              <w:rPr>
                <w:rFonts w:ascii="Arial" w:eastAsia="Times New Roman" w:hAnsi="Arial" w:cs="Arial"/>
                <w:b/>
                <w:color w:val="000000"/>
                <w:sz w:val="20"/>
                <w:szCs w:val="20"/>
                <w:highlight w:val="yellow"/>
              </w:rPr>
              <w:t xml:space="preserve"> Days to 50% curd maturity</w:t>
            </w:r>
          </w:p>
        </w:tc>
      </w:tr>
      <w:tr w:rsidR="000A7DB1" w:rsidRPr="00AF72EF" w14:paraId="6E4E6CBA" w14:textId="77777777" w:rsidTr="001228EA">
        <w:trPr>
          <w:trHeight w:val="318"/>
        </w:trPr>
        <w:tc>
          <w:tcPr>
            <w:tcW w:w="4678" w:type="dxa"/>
            <w:vMerge/>
          </w:tcPr>
          <w:p w14:paraId="54B74054" w14:textId="77777777" w:rsidR="000A7DB1" w:rsidRPr="00AF72EF" w:rsidRDefault="000A7DB1" w:rsidP="000A7DB1">
            <w:pPr>
              <w:widowControl w:val="0"/>
              <w:pBdr>
                <w:top w:val="nil"/>
                <w:left w:val="nil"/>
                <w:bottom w:val="nil"/>
                <w:right w:val="nil"/>
                <w:between w:val="nil"/>
              </w:pBdr>
              <w:spacing w:after="0" w:line="240" w:lineRule="auto"/>
              <w:rPr>
                <w:rFonts w:ascii="Arial" w:eastAsia="Times New Roman" w:hAnsi="Arial" w:cs="Arial"/>
                <w:b/>
                <w:color w:val="000000"/>
                <w:sz w:val="20"/>
                <w:szCs w:val="20"/>
                <w:highlight w:val="yellow"/>
              </w:rPr>
            </w:pPr>
          </w:p>
        </w:tc>
        <w:tc>
          <w:tcPr>
            <w:tcW w:w="1063" w:type="dxa"/>
          </w:tcPr>
          <w:p w14:paraId="152BAE2F" w14:textId="77777777" w:rsidR="000A7DB1" w:rsidRPr="00AF72EF" w:rsidRDefault="000A7DB1" w:rsidP="000A7DB1">
            <w:pPr>
              <w:widowControl w:val="0"/>
              <w:pBdr>
                <w:top w:val="nil"/>
                <w:left w:val="nil"/>
                <w:bottom w:val="nil"/>
                <w:right w:val="nil"/>
                <w:between w:val="nil"/>
              </w:pBdr>
              <w:spacing w:after="0" w:line="240" w:lineRule="auto"/>
              <w:ind w:left="1" w:right="14"/>
              <w:jc w:val="center"/>
              <w:rPr>
                <w:rFonts w:ascii="Arial" w:eastAsia="Times New Roman" w:hAnsi="Arial" w:cs="Arial"/>
                <w:b/>
                <w:color w:val="000000"/>
                <w:sz w:val="20"/>
                <w:szCs w:val="20"/>
                <w:highlight w:val="yellow"/>
              </w:rPr>
            </w:pPr>
            <w:r w:rsidRPr="00AF72EF">
              <w:rPr>
                <w:rFonts w:ascii="Arial" w:eastAsia="Times New Roman" w:hAnsi="Arial" w:cs="Arial"/>
                <w:b/>
                <w:color w:val="000000"/>
                <w:sz w:val="20"/>
                <w:szCs w:val="20"/>
                <w:highlight w:val="yellow"/>
              </w:rPr>
              <w:t>2018-19</w:t>
            </w:r>
          </w:p>
        </w:tc>
        <w:tc>
          <w:tcPr>
            <w:tcW w:w="1063" w:type="dxa"/>
          </w:tcPr>
          <w:p w14:paraId="47C6087B" w14:textId="77777777" w:rsidR="000A7DB1" w:rsidRPr="00AF72EF" w:rsidRDefault="000A7DB1" w:rsidP="000A7DB1">
            <w:pPr>
              <w:widowControl w:val="0"/>
              <w:pBdr>
                <w:top w:val="nil"/>
                <w:left w:val="nil"/>
                <w:bottom w:val="nil"/>
                <w:right w:val="nil"/>
                <w:between w:val="nil"/>
              </w:pBdr>
              <w:spacing w:after="0" w:line="240" w:lineRule="auto"/>
              <w:ind w:left="4" w:right="13"/>
              <w:jc w:val="center"/>
              <w:rPr>
                <w:rFonts w:ascii="Arial" w:eastAsia="Times New Roman" w:hAnsi="Arial" w:cs="Arial"/>
                <w:b/>
                <w:color w:val="000000"/>
                <w:sz w:val="20"/>
                <w:szCs w:val="20"/>
                <w:highlight w:val="yellow"/>
              </w:rPr>
            </w:pPr>
            <w:r w:rsidRPr="00AF72EF">
              <w:rPr>
                <w:rFonts w:ascii="Arial" w:eastAsia="Times New Roman" w:hAnsi="Arial" w:cs="Arial"/>
                <w:b/>
                <w:color w:val="000000"/>
                <w:sz w:val="20"/>
                <w:szCs w:val="20"/>
                <w:highlight w:val="yellow"/>
              </w:rPr>
              <w:t>2019-20</w:t>
            </w:r>
          </w:p>
        </w:tc>
        <w:tc>
          <w:tcPr>
            <w:tcW w:w="1277" w:type="dxa"/>
            <w:vAlign w:val="center"/>
          </w:tcPr>
          <w:p w14:paraId="1340347F" w14:textId="77777777" w:rsidR="000A7DB1" w:rsidRPr="00AF72EF" w:rsidRDefault="000A7DB1" w:rsidP="000A7DB1">
            <w:pPr>
              <w:widowControl w:val="0"/>
              <w:pBdr>
                <w:top w:val="nil"/>
                <w:left w:val="nil"/>
                <w:bottom w:val="nil"/>
                <w:right w:val="nil"/>
                <w:between w:val="nil"/>
              </w:pBdr>
              <w:spacing w:after="0" w:line="240" w:lineRule="auto"/>
              <w:ind w:right="510"/>
              <w:jc w:val="center"/>
              <w:rPr>
                <w:rFonts w:ascii="Arial" w:eastAsia="Times New Roman" w:hAnsi="Arial" w:cs="Arial"/>
                <w:b/>
                <w:color w:val="000000"/>
                <w:sz w:val="20"/>
                <w:szCs w:val="20"/>
                <w:highlight w:val="yellow"/>
              </w:rPr>
            </w:pPr>
            <w:r w:rsidRPr="00AF72EF">
              <w:rPr>
                <w:rFonts w:ascii="Arial" w:eastAsia="Times New Roman" w:hAnsi="Arial" w:cs="Arial"/>
                <w:b/>
                <w:color w:val="000000"/>
                <w:sz w:val="20"/>
                <w:szCs w:val="20"/>
                <w:highlight w:val="yellow"/>
              </w:rPr>
              <w:t>Pooled</w:t>
            </w:r>
          </w:p>
        </w:tc>
        <w:tc>
          <w:tcPr>
            <w:tcW w:w="850" w:type="dxa"/>
          </w:tcPr>
          <w:p w14:paraId="212AAF80" w14:textId="77777777" w:rsidR="000A7DB1" w:rsidRPr="00AF72EF" w:rsidRDefault="000A7DB1" w:rsidP="000A7DB1">
            <w:pPr>
              <w:widowControl w:val="0"/>
              <w:pBdr>
                <w:top w:val="nil"/>
                <w:left w:val="nil"/>
                <w:bottom w:val="nil"/>
                <w:right w:val="nil"/>
                <w:between w:val="nil"/>
              </w:pBdr>
              <w:spacing w:after="0" w:line="240" w:lineRule="auto"/>
              <w:ind w:left="4" w:right="11"/>
              <w:jc w:val="center"/>
              <w:rPr>
                <w:rFonts w:ascii="Arial" w:eastAsia="Times New Roman" w:hAnsi="Arial" w:cs="Arial"/>
                <w:b/>
                <w:color w:val="000000"/>
                <w:sz w:val="20"/>
                <w:szCs w:val="20"/>
                <w:highlight w:val="yellow"/>
              </w:rPr>
            </w:pPr>
            <w:r w:rsidRPr="00AF72EF">
              <w:rPr>
                <w:rFonts w:ascii="Arial" w:eastAsia="Times New Roman" w:hAnsi="Arial" w:cs="Arial"/>
                <w:b/>
                <w:color w:val="000000"/>
                <w:sz w:val="20"/>
                <w:szCs w:val="20"/>
                <w:highlight w:val="yellow"/>
              </w:rPr>
              <w:t>2018-19</w:t>
            </w:r>
          </w:p>
        </w:tc>
        <w:tc>
          <w:tcPr>
            <w:tcW w:w="851" w:type="dxa"/>
          </w:tcPr>
          <w:p w14:paraId="7D9B8049" w14:textId="77777777" w:rsidR="000A7DB1" w:rsidRPr="00AF72EF" w:rsidRDefault="000A7DB1" w:rsidP="000A7DB1">
            <w:pPr>
              <w:widowControl w:val="0"/>
              <w:pBdr>
                <w:top w:val="nil"/>
                <w:left w:val="nil"/>
                <w:bottom w:val="nil"/>
                <w:right w:val="nil"/>
                <w:between w:val="nil"/>
              </w:pBdr>
              <w:spacing w:after="0" w:line="240" w:lineRule="auto"/>
              <w:ind w:left="4" w:right="10"/>
              <w:jc w:val="center"/>
              <w:rPr>
                <w:rFonts w:ascii="Arial" w:eastAsia="Times New Roman" w:hAnsi="Arial" w:cs="Arial"/>
                <w:b/>
                <w:color w:val="000000"/>
                <w:sz w:val="20"/>
                <w:szCs w:val="20"/>
                <w:highlight w:val="yellow"/>
              </w:rPr>
            </w:pPr>
            <w:r w:rsidRPr="00AF72EF">
              <w:rPr>
                <w:rFonts w:ascii="Arial" w:eastAsia="Times New Roman" w:hAnsi="Arial" w:cs="Arial"/>
                <w:b/>
                <w:color w:val="000000"/>
                <w:sz w:val="20"/>
                <w:szCs w:val="20"/>
                <w:highlight w:val="yellow"/>
              </w:rPr>
              <w:t>2019-20</w:t>
            </w:r>
          </w:p>
        </w:tc>
        <w:tc>
          <w:tcPr>
            <w:tcW w:w="992" w:type="dxa"/>
            <w:tcBorders>
              <w:bottom w:val="single" w:sz="4" w:space="0" w:color="000000"/>
              <w:right w:val="single" w:sz="4" w:space="0" w:color="000000"/>
            </w:tcBorders>
          </w:tcPr>
          <w:p w14:paraId="519578F7" w14:textId="77777777" w:rsidR="000A7DB1" w:rsidRPr="00AF72EF" w:rsidRDefault="000A7DB1" w:rsidP="000A7DB1">
            <w:pPr>
              <w:widowControl w:val="0"/>
              <w:pBdr>
                <w:top w:val="nil"/>
                <w:left w:val="nil"/>
                <w:bottom w:val="nil"/>
                <w:right w:val="nil"/>
                <w:between w:val="nil"/>
              </w:pBdr>
              <w:spacing w:after="0" w:line="240" w:lineRule="auto"/>
              <w:ind w:right="11"/>
              <w:jc w:val="center"/>
              <w:rPr>
                <w:rFonts w:ascii="Arial" w:eastAsia="Cambria" w:hAnsi="Arial" w:cs="Arial"/>
                <w:color w:val="000000"/>
                <w:sz w:val="20"/>
                <w:szCs w:val="20"/>
                <w:highlight w:val="yellow"/>
              </w:rPr>
            </w:pPr>
            <w:r w:rsidRPr="00AF72EF">
              <w:rPr>
                <w:rFonts w:ascii="Arial" w:eastAsia="Cambria" w:hAnsi="Arial" w:cs="Arial"/>
                <w:color w:val="000000"/>
                <w:sz w:val="20"/>
                <w:szCs w:val="20"/>
                <w:highlight w:val="yellow"/>
              </w:rPr>
              <w:t>Pooled</w:t>
            </w:r>
          </w:p>
        </w:tc>
      </w:tr>
      <w:tr w:rsidR="000A7DB1" w:rsidRPr="00AF72EF" w14:paraId="5385F91A" w14:textId="77777777" w:rsidTr="001228EA">
        <w:trPr>
          <w:trHeight w:val="318"/>
        </w:trPr>
        <w:tc>
          <w:tcPr>
            <w:tcW w:w="4678" w:type="dxa"/>
          </w:tcPr>
          <w:p w14:paraId="51AE02F8" w14:textId="77777777" w:rsidR="000A7DB1" w:rsidRPr="00AF72EF" w:rsidRDefault="000A7DB1" w:rsidP="000A7DB1">
            <w:pPr>
              <w:widowControl w:val="0"/>
              <w:pBdr>
                <w:top w:val="nil"/>
                <w:left w:val="nil"/>
                <w:bottom w:val="nil"/>
                <w:right w:val="nil"/>
                <w:between w:val="nil"/>
              </w:pBdr>
              <w:spacing w:after="0" w:line="240" w:lineRule="auto"/>
              <w:ind w:left="107" w:right="127"/>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T1: Control</w:t>
            </w:r>
          </w:p>
        </w:tc>
        <w:tc>
          <w:tcPr>
            <w:tcW w:w="1063" w:type="dxa"/>
          </w:tcPr>
          <w:p w14:paraId="1BB4D769" w14:textId="77777777" w:rsidR="000A7DB1" w:rsidRPr="00AF72EF" w:rsidRDefault="000A7DB1" w:rsidP="000A7DB1">
            <w:pPr>
              <w:widowControl w:val="0"/>
              <w:pBdr>
                <w:top w:val="nil"/>
                <w:left w:val="nil"/>
                <w:bottom w:val="nil"/>
                <w:right w:val="nil"/>
                <w:between w:val="nil"/>
              </w:pBdr>
              <w:spacing w:after="0" w:line="240" w:lineRule="auto"/>
              <w:ind w:left="6"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74.58</w:t>
            </w:r>
          </w:p>
        </w:tc>
        <w:tc>
          <w:tcPr>
            <w:tcW w:w="1063" w:type="dxa"/>
          </w:tcPr>
          <w:p w14:paraId="03B89F87"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73.11</w:t>
            </w:r>
          </w:p>
        </w:tc>
        <w:tc>
          <w:tcPr>
            <w:tcW w:w="1277" w:type="dxa"/>
            <w:vAlign w:val="center"/>
          </w:tcPr>
          <w:p w14:paraId="5CCCC35A"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73.85</w:t>
            </w:r>
          </w:p>
        </w:tc>
        <w:tc>
          <w:tcPr>
            <w:tcW w:w="850" w:type="dxa"/>
          </w:tcPr>
          <w:p w14:paraId="366F2E36" w14:textId="77777777" w:rsidR="000A7DB1" w:rsidRPr="00AF72EF" w:rsidRDefault="000A7DB1" w:rsidP="000A7DB1">
            <w:pPr>
              <w:widowControl w:val="0"/>
              <w:pBdr>
                <w:top w:val="nil"/>
                <w:left w:val="nil"/>
                <w:bottom w:val="nil"/>
                <w:right w:val="nil"/>
                <w:between w:val="nil"/>
              </w:pBdr>
              <w:spacing w:after="0" w:line="240" w:lineRule="auto"/>
              <w:ind w:left="11"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84.93</w:t>
            </w:r>
          </w:p>
        </w:tc>
        <w:tc>
          <w:tcPr>
            <w:tcW w:w="851" w:type="dxa"/>
          </w:tcPr>
          <w:p w14:paraId="624C9147"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83.46</w:t>
            </w:r>
          </w:p>
        </w:tc>
        <w:tc>
          <w:tcPr>
            <w:tcW w:w="992" w:type="dxa"/>
            <w:tcBorders>
              <w:bottom w:val="single" w:sz="4" w:space="0" w:color="000000"/>
              <w:right w:val="single" w:sz="4" w:space="0" w:color="000000"/>
            </w:tcBorders>
          </w:tcPr>
          <w:p w14:paraId="2E6E2B75" w14:textId="77777777" w:rsidR="000A7DB1" w:rsidRPr="00AF72EF" w:rsidRDefault="000A7DB1" w:rsidP="000A7DB1">
            <w:pPr>
              <w:widowControl w:val="0"/>
              <w:pBdr>
                <w:top w:val="nil"/>
                <w:left w:val="nil"/>
                <w:bottom w:val="nil"/>
                <w:right w:val="nil"/>
                <w:between w:val="nil"/>
              </w:pBdr>
              <w:spacing w:after="0" w:line="240" w:lineRule="auto"/>
              <w:ind w:left="11"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84.19</w:t>
            </w:r>
          </w:p>
        </w:tc>
      </w:tr>
      <w:tr w:rsidR="000A7DB1" w:rsidRPr="00AF72EF" w14:paraId="1FB3D91A" w14:textId="77777777" w:rsidTr="001228EA">
        <w:trPr>
          <w:trHeight w:val="318"/>
        </w:trPr>
        <w:tc>
          <w:tcPr>
            <w:tcW w:w="4678" w:type="dxa"/>
          </w:tcPr>
          <w:p w14:paraId="55B22CDE" w14:textId="77777777" w:rsidR="000A7DB1" w:rsidRPr="00AF72EF" w:rsidRDefault="000A7DB1" w:rsidP="000A7DB1">
            <w:pPr>
              <w:widowControl w:val="0"/>
              <w:pBdr>
                <w:top w:val="nil"/>
                <w:left w:val="nil"/>
                <w:bottom w:val="nil"/>
                <w:right w:val="nil"/>
                <w:between w:val="nil"/>
              </w:pBdr>
              <w:spacing w:after="0" w:line="240" w:lineRule="auto"/>
              <w:ind w:left="107" w:right="61"/>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T2: Ammonium Molybdate (Mo) @ 0.20%</w:t>
            </w:r>
          </w:p>
        </w:tc>
        <w:tc>
          <w:tcPr>
            <w:tcW w:w="1063" w:type="dxa"/>
          </w:tcPr>
          <w:p w14:paraId="2F7012FF" w14:textId="77777777" w:rsidR="000A7DB1" w:rsidRPr="00AF72EF" w:rsidRDefault="000A7DB1" w:rsidP="000A7DB1">
            <w:pPr>
              <w:widowControl w:val="0"/>
              <w:pBdr>
                <w:top w:val="nil"/>
                <w:left w:val="nil"/>
                <w:bottom w:val="nil"/>
                <w:right w:val="nil"/>
                <w:between w:val="nil"/>
              </w:pBdr>
              <w:spacing w:after="0" w:line="240" w:lineRule="auto"/>
              <w:ind w:left="6"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70.46</w:t>
            </w:r>
          </w:p>
        </w:tc>
        <w:tc>
          <w:tcPr>
            <w:tcW w:w="1063" w:type="dxa"/>
          </w:tcPr>
          <w:p w14:paraId="79958C03" w14:textId="77777777" w:rsidR="000A7DB1" w:rsidRPr="00AF72EF" w:rsidRDefault="000A7DB1" w:rsidP="000A7DB1">
            <w:pPr>
              <w:widowControl w:val="0"/>
              <w:pBdr>
                <w:top w:val="nil"/>
                <w:left w:val="nil"/>
                <w:bottom w:val="nil"/>
                <w:right w:val="nil"/>
                <w:between w:val="nil"/>
              </w:pBdr>
              <w:spacing w:after="0" w:line="240" w:lineRule="auto"/>
              <w:ind w:left="5"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69.45</w:t>
            </w:r>
          </w:p>
        </w:tc>
        <w:tc>
          <w:tcPr>
            <w:tcW w:w="1277" w:type="dxa"/>
            <w:vAlign w:val="center"/>
          </w:tcPr>
          <w:p w14:paraId="792944F3"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69.96</w:t>
            </w:r>
          </w:p>
        </w:tc>
        <w:tc>
          <w:tcPr>
            <w:tcW w:w="850" w:type="dxa"/>
          </w:tcPr>
          <w:p w14:paraId="3F4713D7" w14:textId="77777777" w:rsidR="000A7DB1" w:rsidRPr="00AF72EF" w:rsidRDefault="000A7DB1" w:rsidP="000A7DB1">
            <w:pPr>
              <w:widowControl w:val="0"/>
              <w:pBdr>
                <w:top w:val="nil"/>
                <w:left w:val="nil"/>
                <w:bottom w:val="nil"/>
                <w:right w:val="nil"/>
                <w:between w:val="nil"/>
              </w:pBdr>
              <w:spacing w:after="0" w:line="240" w:lineRule="auto"/>
              <w:ind w:left="11"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80.81</w:t>
            </w:r>
          </w:p>
        </w:tc>
        <w:tc>
          <w:tcPr>
            <w:tcW w:w="851" w:type="dxa"/>
          </w:tcPr>
          <w:p w14:paraId="24D0F8CC"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79.80</w:t>
            </w:r>
          </w:p>
        </w:tc>
        <w:tc>
          <w:tcPr>
            <w:tcW w:w="992" w:type="dxa"/>
            <w:tcBorders>
              <w:bottom w:val="single" w:sz="4" w:space="0" w:color="000000"/>
              <w:right w:val="single" w:sz="4" w:space="0" w:color="000000"/>
            </w:tcBorders>
          </w:tcPr>
          <w:p w14:paraId="7FE56DD7" w14:textId="77777777" w:rsidR="000A7DB1" w:rsidRPr="00AF72EF" w:rsidRDefault="000A7DB1" w:rsidP="000A7DB1">
            <w:pPr>
              <w:widowControl w:val="0"/>
              <w:pBdr>
                <w:top w:val="nil"/>
                <w:left w:val="nil"/>
                <w:bottom w:val="nil"/>
                <w:right w:val="nil"/>
                <w:between w:val="nil"/>
              </w:pBdr>
              <w:spacing w:after="0" w:line="240" w:lineRule="auto"/>
              <w:ind w:left="7"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80.30</w:t>
            </w:r>
          </w:p>
        </w:tc>
      </w:tr>
      <w:tr w:rsidR="000A7DB1" w:rsidRPr="00AF72EF" w14:paraId="26ED3E94" w14:textId="77777777" w:rsidTr="001228EA">
        <w:trPr>
          <w:trHeight w:val="313"/>
        </w:trPr>
        <w:tc>
          <w:tcPr>
            <w:tcW w:w="4678" w:type="dxa"/>
          </w:tcPr>
          <w:p w14:paraId="519C87FF"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T3: Ammonium Molybdate (Mo) @ 0.30%</w:t>
            </w:r>
          </w:p>
        </w:tc>
        <w:tc>
          <w:tcPr>
            <w:tcW w:w="1063" w:type="dxa"/>
          </w:tcPr>
          <w:p w14:paraId="7D1A1B66" w14:textId="77777777" w:rsidR="000A7DB1" w:rsidRPr="00AF72EF" w:rsidRDefault="000A7DB1" w:rsidP="000A7DB1">
            <w:pPr>
              <w:widowControl w:val="0"/>
              <w:pBdr>
                <w:top w:val="nil"/>
                <w:left w:val="nil"/>
                <w:bottom w:val="nil"/>
                <w:right w:val="nil"/>
                <w:between w:val="nil"/>
              </w:pBdr>
              <w:spacing w:after="0" w:line="240" w:lineRule="auto"/>
              <w:ind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70.12</w:t>
            </w:r>
          </w:p>
        </w:tc>
        <w:tc>
          <w:tcPr>
            <w:tcW w:w="1063" w:type="dxa"/>
          </w:tcPr>
          <w:p w14:paraId="6D9A091E"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69.06</w:t>
            </w:r>
          </w:p>
        </w:tc>
        <w:tc>
          <w:tcPr>
            <w:tcW w:w="1277" w:type="dxa"/>
            <w:vAlign w:val="center"/>
          </w:tcPr>
          <w:p w14:paraId="495CC7D9"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69.59</w:t>
            </w:r>
          </w:p>
        </w:tc>
        <w:tc>
          <w:tcPr>
            <w:tcW w:w="850" w:type="dxa"/>
          </w:tcPr>
          <w:p w14:paraId="076BA4BB" w14:textId="77777777" w:rsidR="000A7DB1" w:rsidRPr="00AF72EF" w:rsidRDefault="000A7DB1" w:rsidP="000A7DB1">
            <w:pPr>
              <w:widowControl w:val="0"/>
              <w:pBdr>
                <w:top w:val="nil"/>
                <w:left w:val="nil"/>
                <w:bottom w:val="nil"/>
                <w:right w:val="nil"/>
                <w:between w:val="nil"/>
              </w:pBdr>
              <w:spacing w:after="0" w:line="240" w:lineRule="auto"/>
              <w:ind w:left="11"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80.47</w:t>
            </w:r>
          </w:p>
        </w:tc>
        <w:tc>
          <w:tcPr>
            <w:tcW w:w="851" w:type="dxa"/>
          </w:tcPr>
          <w:p w14:paraId="479B45B1"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79.41</w:t>
            </w:r>
          </w:p>
        </w:tc>
        <w:tc>
          <w:tcPr>
            <w:tcW w:w="992" w:type="dxa"/>
            <w:tcBorders>
              <w:bottom w:val="single" w:sz="4" w:space="0" w:color="000000"/>
              <w:right w:val="single" w:sz="4" w:space="0" w:color="000000"/>
            </w:tcBorders>
          </w:tcPr>
          <w:p w14:paraId="2ACD7423" w14:textId="77777777" w:rsidR="000A7DB1" w:rsidRPr="00AF72EF" w:rsidRDefault="000A7DB1" w:rsidP="000A7DB1">
            <w:pPr>
              <w:widowControl w:val="0"/>
              <w:pBdr>
                <w:top w:val="nil"/>
                <w:left w:val="nil"/>
                <w:bottom w:val="nil"/>
                <w:right w:val="nil"/>
                <w:between w:val="nil"/>
              </w:pBdr>
              <w:spacing w:after="0" w:line="240" w:lineRule="auto"/>
              <w:ind w:left="9"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79.94</w:t>
            </w:r>
          </w:p>
        </w:tc>
      </w:tr>
      <w:tr w:rsidR="000A7DB1" w:rsidRPr="00AF72EF" w14:paraId="657FE645" w14:textId="77777777" w:rsidTr="001228EA">
        <w:trPr>
          <w:trHeight w:val="321"/>
        </w:trPr>
        <w:tc>
          <w:tcPr>
            <w:tcW w:w="4678" w:type="dxa"/>
          </w:tcPr>
          <w:p w14:paraId="768681C3" w14:textId="77777777" w:rsidR="000A7DB1" w:rsidRPr="00AF72EF" w:rsidRDefault="000A7DB1" w:rsidP="000A7DB1">
            <w:pPr>
              <w:widowControl w:val="0"/>
              <w:pBdr>
                <w:top w:val="nil"/>
                <w:left w:val="nil"/>
                <w:bottom w:val="nil"/>
                <w:right w:val="nil"/>
                <w:between w:val="nil"/>
              </w:pBdr>
              <w:spacing w:after="0" w:line="240" w:lineRule="auto"/>
              <w:ind w:left="107" w:right="61"/>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T4: Ammonium Molybdate (Mo) @ 0.40%</w:t>
            </w:r>
          </w:p>
        </w:tc>
        <w:tc>
          <w:tcPr>
            <w:tcW w:w="1063" w:type="dxa"/>
          </w:tcPr>
          <w:p w14:paraId="212D196B" w14:textId="77777777" w:rsidR="000A7DB1" w:rsidRPr="00AF72EF" w:rsidRDefault="000A7DB1" w:rsidP="000A7DB1">
            <w:pPr>
              <w:widowControl w:val="0"/>
              <w:pBdr>
                <w:top w:val="nil"/>
                <w:left w:val="nil"/>
                <w:bottom w:val="nil"/>
                <w:right w:val="nil"/>
                <w:between w:val="nil"/>
              </w:pBdr>
              <w:spacing w:after="0" w:line="240" w:lineRule="auto"/>
              <w:ind w:left="3"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69.87</w:t>
            </w:r>
          </w:p>
        </w:tc>
        <w:tc>
          <w:tcPr>
            <w:tcW w:w="1063" w:type="dxa"/>
          </w:tcPr>
          <w:p w14:paraId="5A34CFD9"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68.59</w:t>
            </w:r>
          </w:p>
        </w:tc>
        <w:tc>
          <w:tcPr>
            <w:tcW w:w="1277" w:type="dxa"/>
            <w:vAlign w:val="center"/>
          </w:tcPr>
          <w:p w14:paraId="37169797"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69.23</w:t>
            </w:r>
          </w:p>
        </w:tc>
        <w:tc>
          <w:tcPr>
            <w:tcW w:w="850" w:type="dxa"/>
          </w:tcPr>
          <w:p w14:paraId="78C25AF0" w14:textId="77777777" w:rsidR="000A7DB1" w:rsidRPr="00AF72EF" w:rsidRDefault="000A7DB1" w:rsidP="000A7DB1">
            <w:pPr>
              <w:widowControl w:val="0"/>
              <w:pBdr>
                <w:top w:val="nil"/>
                <w:left w:val="nil"/>
                <w:bottom w:val="nil"/>
                <w:right w:val="nil"/>
                <w:between w:val="nil"/>
              </w:pBdr>
              <w:spacing w:after="0" w:line="240" w:lineRule="auto"/>
              <w:ind w:left="11"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80.22</w:t>
            </w:r>
          </w:p>
        </w:tc>
        <w:tc>
          <w:tcPr>
            <w:tcW w:w="851" w:type="dxa"/>
          </w:tcPr>
          <w:p w14:paraId="53279648"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78.94</w:t>
            </w:r>
          </w:p>
        </w:tc>
        <w:tc>
          <w:tcPr>
            <w:tcW w:w="992" w:type="dxa"/>
            <w:tcBorders>
              <w:bottom w:val="single" w:sz="4" w:space="0" w:color="000000"/>
              <w:right w:val="single" w:sz="4" w:space="0" w:color="000000"/>
            </w:tcBorders>
          </w:tcPr>
          <w:p w14:paraId="30BD33FB" w14:textId="77777777" w:rsidR="000A7DB1" w:rsidRPr="00AF72EF" w:rsidRDefault="000A7DB1" w:rsidP="000A7DB1">
            <w:pPr>
              <w:widowControl w:val="0"/>
              <w:pBdr>
                <w:top w:val="nil"/>
                <w:left w:val="nil"/>
                <w:bottom w:val="nil"/>
                <w:right w:val="nil"/>
                <w:between w:val="nil"/>
              </w:pBdr>
              <w:spacing w:after="0" w:line="240" w:lineRule="auto"/>
              <w:ind w:left="5"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79.58</w:t>
            </w:r>
          </w:p>
        </w:tc>
      </w:tr>
      <w:tr w:rsidR="000A7DB1" w:rsidRPr="00AF72EF" w14:paraId="20EC085D" w14:textId="77777777" w:rsidTr="001228EA">
        <w:trPr>
          <w:trHeight w:val="316"/>
        </w:trPr>
        <w:tc>
          <w:tcPr>
            <w:tcW w:w="4678" w:type="dxa"/>
          </w:tcPr>
          <w:p w14:paraId="76B1C6D8"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T5: Boron @ 0.060%</w:t>
            </w:r>
          </w:p>
        </w:tc>
        <w:tc>
          <w:tcPr>
            <w:tcW w:w="1063" w:type="dxa"/>
          </w:tcPr>
          <w:p w14:paraId="1D264E3F" w14:textId="77777777" w:rsidR="000A7DB1" w:rsidRPr="00AF72EF" w:rsidRDefault="000A7DB1" w:rsidP="000A7DB1">
            <w:pPr>
              <w:widowControl w:val="0"/>
              <w:pBdr>
                <w:top w:val="nil"/>
                <w:left w:val="nil"/>
                <w:bottom w:val="nil"/>
                <w:right w:val="nil"/>
                <w:between w:val="nil"/>
              </w:pBdr>
              <w:spacing w:after="0" w:line="240" w:lineRule="auto"/>
              <w:ind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71.59</w:t>
            </w:r>
          </w:p>
        </w:tc>
        <w:tc>
          <w:tcPr>
            <w:tcW w:w="1063" w:type="dxa"/>
          </w:tcPr>
          <w:p w14:paraId="61949170"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70.41</w:t>
            </w:r>
          </w:p>
        </w:tc>
        <w:tc>
          <w:tcPr>
            <w:tcW w:w="1277" w:type="dxa"/>
            <w:vAlign w:val="center"/>
          </w:tcPr>
          <w:p w14:paraId="1B9C6BA1"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71.00</w:t>
            </w:r>
          </w:p>
        </w:tc>
        <w:tc>
          <w:tcPr>
            <w:tcW w:w="850" w:type="dxa"/>
          </w:tcPr>
          <w:p w14:paraId="5AD9AF37"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81.94</w:t>
            </w:r>
          </w:p>
        </w:tc>
        <w:tc>
          <w:tcPr>
            <w:tcW w:w="851" w:type="dxa"/>
          </w:tcPr>
          <w:p w14:paraId="6C23C5DE"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80.76</w:t>
            </w:r>
          </w:p>
        </w:tc>
        <w:tc>
          <w:tcPr>
            <w:tcW w:w="992" w:type="dxa"/>
            <w:tcBorders>
              <w:bottom w:val="single" w:sz="4" w:space="0" w:color="000000"/>
              <w:right w:val="single" w:sz="4" w:space="0" w:color="000000"/>
            </w:tcBorders>
          </w:tcPr>
          <w:p w14:paraId="336ABD46" w14:textId="77777777" w:rsidR="000A7DB1" w:rsidRPr="00AF72EF" w:rsidRDefault="000A7DB1" w:rsidP="000A7DB1">
            <w:pPr>
              <w:widowControl w:val="0"/>
              <w:pBdr>
                <w:top w:val="nil"/>
                <w:left w:val="nil"/>
                <w:bottom w:val="nil"/>
                <w:right w:val="nil"/>
                <w:between w:val="nil"/>
              </w:pBdr>
              <w:spacing w:after="0" w:line="240" w:lineRule="auto"/>
              <w:ind w:left="7"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81.35</w:t>
            </w:r>
          </w:p>
        </w:tc>
      </w:tr>
      <w:tr w:rsidR="000A7DB1" w:rsidRPr="00AF72EF" w14:paraId="7CDF19FB" w14:textId="77777777" w:rsidTr="001228EA">
        <w:trPr>
          <w:trHeight w:val="321"/>
        </w:trPr>
        <w:tc>
          <w:tcPr>
            <w:tcW w:w="4678" w:type="dxa"/>
          </w:tcPr>
          <w:p w14:paraId="1A099AC6"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T6: Boron @ 0.080%</w:t>
            </w:r>
          </w:p>
        </w:tc>
        <w:tc>
          <w:tcPr>
            <w:tcW w:w="1063" w:type="dxa"/>
          </w:tcPr>
          <w:p w14:paraId="7D83603D" w14:textId="77777777" w:rsidR="000A7DB1" w:rsidRPr="00AF72EF" w:rsidRDefault="000A7DB1" w:rsidP="000A7DB1">
            <w:pPr>
              <w:widowControl w:val="0"/>
              <w:pBdr>
                <w:top w:val="nil"/>
                <w:left w:val="nil"/>
                <w:bottom w:val="nil"/>
                <w:right w:val="nil"/>
                <w:between w:val="nil"/>
              </w:pBdr>
              <w:spacing w:after="0" w:line="240" w:lineRule="auto"/>
              <w:ind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71.12</w:t>
            </w:r>
          </w:p>
        </w:tc>
        <w:tc>
          <w:tcPr>
            <w:tcW w:w="1063" w:type="dxa"/>
          </w:tcPr>
          <w:p w14:paraId="340FFAD9"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69.97</w:t>
            </w:r>
          </w:p>
        </w:tc>
        <w:tc>
          <w:tcPr>
            <w:tcW w:w="1277" w:type="dxa"/>
            <w:vAlign w:val="center"/>
          </w:tcPr>
          <w:p w14:paraId="641725E1"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70.55</w:t>
            </w:r>
          </w:p>
        </w:tc>
        <w:tc>
          <w:tcPr>
            <w:tcW w:w="850" w:type="dxa"/>
          </w:tcPr>
          <w:p w14:paraId="67151AC7" w14:textId="77777777" w:rsidR="000A7DB1" w:rsidRPr="00AF72EF" w:rsidRDefault="000A7DB1" w:rsidP="000A7DB1">
            <w:pPr>
              <w:widowControl w:val="0"/>
              <w:pBdr>
                <w:top w:val="nil"/>
                <w:left w:val="nil"/>
                <w:bottom w:val="nil"/>
                <w:right w:val="nil"/>
                <w:between w:val="nil"/>
              </w:pBdr>
              <w:spacing w:after="0" w:line="240" w:lineRule="auto"/>
              <w:ind w:left="11"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81.47</w:t>
            </w:r>
          </w:p>
        </w:tc>
        <w:tc>
          <w:tcPr>
            <w:tcW w:w="851" w:type="dxa"/>
          </w:tcPr>
          <w:p w14:paraId="2FB12FAB" w14:textId="77777777" w:rsidR="000A7DB1" w:rsidRPr="00AF72EF" w:rsidRDefault="000A7DB1" w:rsidP="000A7DB1">
            <w:pPr>
              <w:widowControl w:val="0"/>
              <w:pBdr>
                <w:top w:val="nil"/>
                <w:left w:val="nil"/>
                <w:bottom w:val="nil"/>
                <w:right w:val="nil"/>
                <w:between w:val="nil"/>
              </w:pBdr>
              <w:spacing w:after="0" w:line="240" w:lineRule="auto"/>
              <w:ind w:left="12"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80.32</w:t>
            </w:r>
          </w:p>
        </w:tc>
        <w:tc>
          <w:tcPr>
            <w:tcW w:w="992" w:type="dxa"/>
            <w:tcBorders>
              <w:bottom w:val="single" w:sz="4" w:space="0" w:color="000000"/>
              <w:right w:val="single" w:sz="4" w:space="0" w:color="000000"/>
            </w:tcBorders>
          </w:tcPr>
          <w:p w14:paraId="3B7E71C3" w14:textId="77777777" w:rsidR="000A7DB1" w:rsidRPr="00AF72EF" w:rsidRDefault="000A7DB1" w:rsidP="000A7DB1">
            <w:pPr>
              <w:widowControl w:val="0"/>
              <w:pBdr>
                <w:top w:val="nil"/>
                <w:left w:val="nil"/>
                <w:bottom w:val="nil"/>
                <w:right w:val="nil"/>
                <w:between w:val="nil"/>
              </w:pBdr>
              <w:spacing w:after="0" w:line="240" w:lineRule="auto"/>
              <w:ind w:left="11"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80.89</w:t>
            </w:r>
          </w:p>
        </w:tc>
      </w:tr>
      <w:tr w:rsidR="000A7DB1" w:rsidRPr="00AF72EF" w14:paraId="092BC888" w14:textId="77777777" w:rsidTr="001228EA">
        <w:trPr>
          <w:trHeight w:val="316"/>
        </w:trPr>
        <w:tc>
          <w:tcPr>
            <w:tcW w:w="4678" w:type="dxa"/>
          </w:tcPr>
          <w:p w14:paraId="15F4B1B7"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T7: Boron @ 0.100%</w:t>
            </w:r>
          </w:p>
        </w:tc>
        <w:tc>
          <w:tcPr>
            <w:tcW w:w="1063" w:type="dxa"/>
          </w:tcPr>
          <w:p w14:paraId="675272F3" w14:textId="77777777" w:rsidR="000A7DB1" w:rsidRPr="00AF72EF" w:rsidRDefault="000A7DB1" w:rsidP="000A7DB1">
            <w:pPr>
              <w:widowControl w:val="0"/>
              <w:pBdr>
                <w:top w:val="nil"/>
                <w:left w:val="nil"/>
                <w:bottom w:val="nil"/>
                <w:right w:val="nil"/>
                <w:between w:val="nil"/>
              </w:pBdr>
              <w:spacing w:after="0" w:line="240" w:lineRule="auto"/>
              <w:ind w:left="6"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70.84</w:t>
            </w:r>
          </w:p>
        </w:tc>
        <w:tc>
          <w:tcPr>
            <w:tcW w:w="1063" w:type="dxa"/>
          </w:tcPr>
          <w:p w14:paraId="6110BA54"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69.71</w:t>
            </w:r>
          </w:p>
        </w:tc>
        <w:tc>
          <w:tcPr>
            <w:tcW w:w="1277" w:type="dxa"/>
            <w:vAlign w:val="center"/>
          </w:tcPr>
          <w:p w14:paraId="59C9117D"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70.28</w:t>
            </w:r>
          </w:p>
        </w:tc>
        <w:tc>
          <w:tcPr>
            <w:tcW w:w="850" w:type="dxa"/>
          </w:tcPr>
          <w:p w14:paraId="11B0D49C" w14:textId="77777777" w:rsidR="000A7DB1" w:rsidRPr="00AF72EF" w:rsidRDefault="000A7DB1" w:rsidP="000A7DB1">
            <w:pPr>
              <w:widowControl w:val="0"/>
              <w:pBdr>
                <w:top w:val="nil"/>
                <w:left w:val="nil"/>
                <w:bottom w:val="nil"/>
                <w:right w:val="nil"/>
                <w:between w:val="nil"/>
              </w:pBdr>
              <w:spacing w:after="0" w:line="240" w:lineRule="auto"/>
              <w:ind w:left="11"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81.19</w:t>
            </w:r>
          </w:p>
        </w:tc>
        <w:tc>
          <w:tcPr>
            <w:tcW w:w="851" w:type="dxa"/>
          </w:tcPr>
          <w:p w14:paraId="47D9233D"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80.06</w:t>
            </w:r>
          </w:p>
        </w:tc>
        <w:tc>
          <w:tcPr>
            <w:tcW w:w="992" w:type="dxa"/>
            <w:tcBorders>
              <w:bottom w:val="single" w:sz="4" w:space="0" w:color="000000"/>
              <w:right w:val="single" w:sz="4" w:space="0" w:color="000000"/>
            </w:tcBorders>
          </w:tcPr>
          <w:p w14:paraId="7029A855" w14:textId="77777777" w:rsidR="000A7DB1" w:rsidRPr="00AF72EF" w:rsidRDefault="000A7DB1" w:rsidP="000A7DB1">
            <w:pPr>
              <w:widowControl w:val="0"/>
              <w:pBdr>
                <w:top w:val="nil"/>
                <w:left w:val="nil"/>
                <w:bottom w:val="nil"/>
                <w:right w:val="nil"/>
                <w:between w:val="nil"/>
              </w:pBdr>
              <w:spacing w:after="0" w:line="240" w:lineRule="auto"/>
              <w:ind w:left="7"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80.62</w:t>
            </w:r>
          </w:p>
        </w:tc>
      </w:tr>
      <w:tr w:rsidR="000A7DB1" w:rsidRPr="00AF72EF" w14:paraId="5BE96641" w14:textId="77777777" w:rsidTr="001228EA">
        <w:trPr>
          <w:trHeight w:val="321"/>
        </w:trPr>
        <w:tc>
          <w:tcPr>
            <w:tcW w:w="4678" w:type="dxa"/>
          </w:tcPr>
          <w:p w14:paraId="6FB8C26D"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T8: Ammonium Molybdate (Mo) @ 0.20% + Boron @ 0.060%</w:t>
            </w:r>
          </w:p>
        </w:tc>
        <w:tc>
          <w:tcPr>
            <w:tcW w:w="1063" w:type="dxa"/>
          </w:tcPr>
          <w:p w14:paraId="1E07B235" w14:textId="77777777" w:rsidR="000A7DB1" w:rsidRPr="00AF72EF" w:rsidRDefault="000A7DB1" w:rsidP="000A7DB1">
            <w:pPr>
              <w:widowControl w:val="0"/>
              <w:pBdr>
                <w:top w:val="nil"/>
                <w:left w:val="nil"/>
                <w:bottom w:val="nil"/>
                <w:right w:val="nil"/>
                <w:between w:val="nil"/>
              </w:pBdr>
              <w:spacing w:after="0" w:line="240" w:lineRule="auto"/>
              <w:ind w:left="3"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69.45</w:t>
            </w:r>
          </w:p>
        </w:tc>
        <w:tc>
          <w:tcPr>
            <w:tcW w:w="1063" w:type="dxa"/>
          </w:tcPr>
          <w:p w14:paraId="284C503B"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68.37</w:t>
            </w:r>
          </w:p>
        </w:tc>
        <w:tc>
          <w:tcPr>
            <w:tcW w:w="1277" w:type="dxa"/>
            <w:vAlign w:val="center"/>
          </w:tcPr>
          <w:p w14:paraId="12AEAB06"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68.91</w:t>
            </w:r>
          </w:p>
        </w:tc>
        <w:tc>
          <w:tcPr>
            <w:tcW w:w="850" w:type="dxa"/>
          </w:tcPr>
          <w:p w14:paraId="51E3B283"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79.80</w:t>
            </w:r>
          </w:p>
        </w:tc>
        <w:tc>
          <w:tcPr>
            <w:tcW w:w="851" w:type="dxa"/>
          </w:tcPr>
          <w:p w14:paraId="2744214F"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78.72</w:t>
            </w:r>
          </w:p>
        </w:tc>
        <w:tc>
          <w:tcPr>
            <w:tcW w:w="992" w:type="dxa"/>
            <w:tcBorders>
              <w:bottom w:val="single" w:sz="4" w:space="0" w:color="000000"/>
              <w:right w:val="single" w:sz="4" w:space="0" w:color="000000"/>
            </w:tcBorders>
          </w:tcPr>
          <w:p w14:paraId="7BBEA5BE" w14:textId="77777777" w:rsidR="000A7DB1" w:rsidRPr="00AF72EF" w:rsidRDefault="000A7DB1" w:rsidP="000A7DB1">
            <w:pPr>
              <w:widowControl w:val="0"/>
              <w:pBdr>
                <w:top w:val="nil"/>
                <w:left w:val="nil"/>
                <w:bottom w:val="nil"/>
                <w:right w:val="nil"/>
                <w:between w:val="nil"/>
              </w:pBdr>
              <w:spacing w:after="0" w:line="240" w:lineRule="auto"/>
              <w:ind w:left="5"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79.26</w:t>
            </w:r>
          </w:p>
        </w:tc>
      </w:tr>
      <w:tr w:rsidR="000A7DB1" w:rsidRPr="00AF72EF" w14:paraId="2C854977" w14:textId="77777777" w:rsidTr="001228EA">
        <w:trPr>
          <w:trHeight w:val="316"/>
        </w:trPr>
        <w:tc>
          <w:tcPr>
            <w:tcW w:w="4678" w:type="dxa"/>
          </w:tcPr>
          <w:p w14:paraId="2404ABC0"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lastRenderedPageBreak/>
              <w:t>T9: Ammonium Molybdate (Mo) @ 0.20% + Boron @ 0.080%</w:t>
            </w:r>
          </w:p>
        </w:tc>
        <w:tc>
          <w:tcPr>
            <w:tcW w:w="1063" w:type="dxa"/>
          </w:tcPr>
          <w:p w14:paraId="623D99F3" w14:textId="77777777" w:rsidR="000A7DB1" w:rsidRPr="00AF72EF" w:rsidRDefault="000A7DB1" w:rsidP="000A7DB1">
            <w:pPr>
              <w:widowControl w:val="0"/>
              <w:pBdr>
                <w:top w:val="nil"/>
                <w:left w:val="nil"/>
                <w:bottom w:val="nil"/>
                <w:right w:val="nil"/>
                <w:between w:val="nil"/>
              </w:pBdr>
              <w:spacing w:after="0" w:line="240" w:lineRule="auto"/>
              <w:ind w:left="3"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68.12</w:t>
            </w:r>
          </w:p>
        </w:tc>
        <w:tc>
          <w:tcPr>
            <w:tcW w:w="1063" w:type="dxa"/>
          </w:tcPr>
          <w:p w14:paraId="7047D7C4"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66.89</w:t>
            </w:r>
          </w:p>
        </w:tc>
        <w:tc>
          <w:tcPr>
            <w:tcW w:w="1277" w:type="dxa"/>
            <w:vAlign w:val="center"/>
          </w:tcPr>
          <w:p w14:paraId="0F2D67E7"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67.51</w:t>
            </w:r>
          </w:p>
        </w:tc>
        <w:tc>
          <w:tcPr>
            <w:tcW w:w="850" w:type="dxa"/>
          </w:tcPr>
          <w:p w14:paraId="5BF7B965" w14:textId="77777777" w:rsidR="000A7DB1" w:rsidRPr="00AF72EF" w:rsidRDefault="000A7DB1" w:rsidP="000A7DB1">
            <w:pPr>
              <w:widowControl w:val="0"/>
              <w:pBdr>
                <w:top w:val="nil"/>
                <w:left w:val="nil"/>
                <w:bottom w:val="nil"/>
                <w:right w:val="nil"/>
                <w:between w:val="nil"/>
              </w:pBdr>
              <w:spacing w:after="0" w:line="240" w:lineRule="auto"/>
              <w:ind w:left="13"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78.47</w:t>
            </w:r>
          </w:p>
        </w:tc>
        <w:tc>
          <w:tcPr>
            <w:tcW w:w="851" w:type="dxa"/>
          </w:tcPr>
          <w:p w14:paraId="49904589"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77.24</w:t>
            </w:r>
          </w:p>
        </w:tc>
        <w:tc>
          <w:tcPr>
            <w:tcW w:w="992" w:type="dxa"/>
            <w:tcBorders>
              <w:bottom w:val="single" w:sz="4" w:space="0" w:color="000000"/>
              <w:right w:val="single" w:sz="4" w:space="0" w:color="000000"/>
            </w:tcBorders>
          </w:tcPr>
          <w:p w14:paraId="3EC87D8C" w14:textId="77777777" w:rsidR="000A7DB1" w:rsidRPr="00AF72EF" w:rsidRDefault="000A7DB1" w:rsidP="000A7DB1">
            <w:pPr>
              <w:widowControl w:val="0"/>
              <w:pBdr>
                <w:top w:val="nil"/>
                <w:left w:val="nil"/>
                <w:bottom w:val="nil"/>
                <w:right w:val="nil"/>
                <w:between w:val="nil"/>
              </w:pBdr>
              <w:spacing w:after="0" w:line="240" w:lineRule="auto"/>
              <w:ind w:left="5"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77.85</w:t>
            </w:r>
          </w:p>
        </w:tc>
      </w:tr>
      <w:tr w:rsidR="000A7DB1" w:rsidRPr="00AF72EF" w14:paraId="595FF24C" w14:textId="77777777" w:rsidTr="001228EA">
        <w:trPr>
          <w:trHeight w:val="313"/>
        </w:trPr>
        <w:tc>
          <w:tcPr>
            <w:tcW w:w="4678" w:type="dxa"/>
          </w:tcPr>
          <w:p w14:paraId="10601966"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T10: Ammonium Molybdate (Mo) @ 0.20% + Boron @ 0.100%</w:t>
            </w:r>
          </w:p>
        </w:tc>
        <w:tc>
          <w:tcPr>
            <w:tcW w:w="1063" w:type="dxa"/>
          </w:tcPr>
          <w:p w14:paraId="51BB1640" w14:textId="77777777" w:rsidR="000A7DB1" w:rsidRPr="00AF72EF" w:rsidRDefault="000A7DB1" w:rsidP="000A7DB1">
            <w:pPr>
              <w:widowControl w:val="0"/>
              <w:pBdr>
                <w:top w:val="nil"/>
                <w:left w:val="nil"/>
                <w:bottom w:val="nil"/>
                <w:right w:val="nil"/>
                <w:between w:val="nil"/>
              </w:pBdr>
              <w:spacing w:after="0" w:line="240" w:lineRule="auto"/>
              <w:ind w:left="3"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66.42</w:t>
            </w:r>
          </w:p>
        </w:tc>
        <w:tc>
          <w:tcPr>
            <w:tcW w:w="1063" w:type="dxa"/>
          </w:tcPr>
          <w:p w14:paraId="115177EF" w14:textId="77777777" w:rsidR="000A7DB1" w:rsidRPr="00AF72EF" w:rsidRDefault="000A7DB1" w:rsidP="000A7DB1">
            <w:pPr>
              <w:widowControl w:val="0"/>
              <w:pBdr>
                <w:top w:val="nil"/>
                <w:left w:val="nil"/>
                <w:bottom w:val="nil"/>
                <w:right w:val="nil"/>
                <w:between w:val="nil"/>
              </w:pBdr>
              <w:spacing w:after="0" w:line="240" w:lineRule="auto"/>
              <w:ind w:left="5"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64.18</w:t>
            </w:r>
          </w:p>
        </w:tc>
        <w:tc>
          <w:tcPr>
            <w:tcW w:w="1277" w:type="dxa"/>
            <w:vAlign w:val="center"/>
          </w:tcPr>
          <w:p w14:paraId="7D72C7C3"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65.30</w:t>
            </w:r>
          </w:p>
        </w:tc>
        <w:tc>
          <w:tcPr>
            <w:tcW w:w="850" w:type="dxa"/>
          </w:tcPr>
          <w:p w14:paraId="37669008" w14:textId="77777777" w:rsidR="000A7DB1" w:rsidRPr="00AF72EF" w:rsidRDefault="000A7DB1" w:rsidP="000A7DB1">
            <w:pPr>
              <w:widowControl w:val="0"/>
              <w:pBdr>
                <w:top w:val="nil"/>
                <w:left w:val="nil"/>
                <w:bottom w:val="nil"/>
                <w:right w:val="nil"/>
                <w:between w:val="nil"/>
              </w:pBdr>
              <w:spacing w:after="0" w:line="240" w:lineRule="auto"/>
              <w:ind w:left="13"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76.77</w:t>
            </w:r>
          </w:p>
        </w:tc>
        <w:tc>
          <w:tcPr>
            <w:tcW w:w="851" w:type="dxa"/>
          </w:tcPr>
          <w:p w14:paraId="74B0570C"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74.53</w:t>
            </w:r>
          </w:p>
        </w:tc>
        <w:tc>
          <w:tcPr>
            <w:tcW w:w="992" w:type="dxa"/>
            <w:tcBorders>
              <w:bottom w:val="single" w:sz="4" w:space="0" w:color="000000"/>
              <w:right w:val="single" w:sz="4" w:space="0" w:color="000000"/>
            </w:tcBorders>
          </w:tcPr>
          <w:p w14:paraId="2C0866E4" w14:textId="77777777" w:rsidR="000A7DB1" w:rsidRPr="00AF72EF" w:rsidRDefault="000A7DB1" w:rsidP="000A7DB1">
            <w:pPr>
              <w:widowControl w:val="0"/>
              <w:pBdr>
                <w:top w:val="nil"/>
                <w:left w:val="nil"/>
                <w:bottom w:val="nil"/>
                <w:right w:val="nil"/>
                <w:between w:val="nil"/>
              </w:pBdr>
              <w:spacing w:after="0" w:line="240" w:lineRule="auto"/>
              <w:ind w:left="9"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75.65</w:t>
            </w:r>
          </w:p>
        </w:tc>
      </w:tr>
      <w:tr w:rsidR="000A7DB1" w:rsidRPr="00AF72EF" w14:paraId="4C325182" w14:textId="77777777" w:rsidTr="001228EA">
        <w:trPr>
          <w:trHeight w:val="321"/>
        </w:trPr>
        <w:tc>
          <w:tcPr>
            <w:tcW w:w="4678" w:type="dxa"/>
          </w:tcPr>
          <w:p w14:paraId="50DF33A9" w14:textId="77777777" w:rsidR="000A7DB1" w:rsidRPr="00AF72EF" w:rsidRDefault="000A7DB1" w:rsidP="000A7DB1">
            <w:pPr>
              <w:widowControl w:val="0"/>
              <w:pBdr>
                <w:top w:val="nil"/>
                <w:left w:val="nil"/>
                <w:bottom w:val="nil"/>
                <w:right w:val="nil"/>
                <w:between w:val="nil"/>
              </w:pBdr>
              <w:spacing w:after="0" w:line="240" w:lineRule="auto"/>
              <w:ind w:left="107" w:right="11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T11: Ammonium Molybdate (Mo) @ 0.30% + Boron @ 0.060%</w:t>
            </w:r>
          </w:p>
        </w:tc>
        <w:tc>
          <w:tcPr>
            <w:tcW w:w="1063" w:type="dxa"/>
          </w:tcPr>
          <w:p w14:paraId="1DCDC35F" w14:textId="77777777" w:rsidR="000A7DB1" w:rsidRPr="00AF72EF" w:rsidRDefault="000A7DB1" w:rsidP="000A7DB1">
            <w:pPr>
              <w:widowControl w:val="0"/>
              <w:pBdr>
                <w:top w:val="nil"/>
                <w:left w:val="nil"/>
                <w:bottom w:val="nil"/>
                <w:right w:val="nil"/>
                <w:between w:val="nil"/>
              </w:pBdr>
              <w:spacing w:after="0" w:line="240" w:lineRule="auto"/>
              <w:ind w:left="3"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68.79</w:t>
            </w:r>
          </w:p>
        </w:tc>
        <w:tc>
          <w:tcPr>
            <w:tcW w:w="1063" w:type="dxa"/>
          </w:tcPr>
          <w:p w14:paraId="79CCD957"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67.51</w:t>
            </w:r>
          </w:p>
        </w:tc>
        <w:tc>
          <w:tcPr>
            <w:tcW w:w="1277" w:type="dxa"/>
            <w:vAlign w:val="center"/>
          </w:tcPr>
          <w:p w14:paraId="42BAE9E6"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68.15</w:t>
            </w:r>
          </w:p>
        </w:tc>
        <w:tc>
          <w:tcPr>
            <w:tcW w:w="850" w:type="dxa"/>
          </w:tcPr>
          <w:p w14:paraId="17ABE9CF"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79.14</w:t>
            </w:r>
          </w:p>
        </w:tc>
        <w:tc>
          <w:tcPr>
            <w:tcW w:w="851" w:type="dxa"/>
          </w:tcPr>
          <w:p w14:paraId="39356817"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77.86</w:t>
            </w:r>
          </w:p>
        </w:tc>
        <w:tc>
          <w:tcPr>
            <w:tcW w:w="992" w:type="dxa"/>
            <w:tcBorders>
              <w:bottom w:val="single" w:sz="4" w:space="0" w:color="000000"/>
              <w:right w:val="single" w:sz="4" w:space="0" w:color="000000"/>
            </w:tcBorders>
          </w:tcPr>
          <w:p w14:paraId="50E7158B" w14:textId="77777777" w:rsidR="000A7DB1" w:rsidRPr="00AF72EF" w:rsidRDefault="000A7DB1" w:rsidP="000A7DB1">
            <w:pPr>
              <w:widowControl w:val="0"/>
              <w:pBdr>
                <w:top w:val="nil"/>
                <w:left w:val="nil"/>
                <w:bottom w:val="nil"/>
                <w:right w:val="nil"/>
                <w:between w:val="nil"/>
              </w:pBdr>
              <w:spacing w:after="0" w:line="240" w:lineRule="auto"/>
              <w:ind w:left="5"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78.50</w:t>
            </w:r>
          </w:p>
        </w:tc>
      </w:tr>
      <w:tr w:rsidR="000A7DB1" w:rsidRPr="00AF72EF" w14:paraId="7C51AB89" w14:textId="77777777" w:rsidTr="001228EA">
        <w:trPr>
          <w:trHeight w:val="316"/>
        </w:trPr>
        <w:tc>
          <w:tcPr>
            <w:tcW w:w="4678" w:type="dxa"/>
          </w:tcPr>
          <w:p w14:paraId="416DC42A" w14:textId="77777777" w:rsidR="000A7DB1" w:rsidRPr="00AF72EF" w:rsidRDefault="000A7DB1" w:rsidP="000A7DB1">
            <w:pPr>
              <w:widowControl w:val="0"/>
              <w:pBdr>
                <w:top w:val="nil"/>
                <w:left w:val="nil"/>
                <w:bottom w:val="nil"/>
                <w:right w:val="nil"/>
                <w:between w:val="nil"/>
              </w:pBdr>
              <w:spacing w:after="0" w:line="240" w:lineRule="auto"/>
              <w:ind w:left="127" w:right="20"/>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T12: Ammonium Molybdate (Mo) @ 0.30% + Boron @ 0.080%</w:t>
            </w:r>
          </w:p>
        </w:tc>
        <w:tc>
          <w:tcPr>
            <w:tcW w:w="1063" w:type="dxa"/>
          </w:tcPr>
          <w:p w14:paraId="2B0B543A" w14:textId="77777777" w:rsidR="000A7DB1" w:rsidRPr="00AF72EF" w:rsidRDefault="000A7DB1" w:rsidP="000A7DB1">
            <w:pPr>
              <w:widowControl w:val="0"/>
              <w:pBdr>
                <w:top w:val="nil"/>
                <w:left w:val="nil"/>
                <w:bottom w:val="nil"/>
                <w:right w:val="nil"/>
                <w:between w:val="nil"/>
              </w:pBdr>
              <w:spacing w:after="0" w:line="240" w:lineRule="auto"/>
              <w:ind w:left="3"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67.96</w:t>
            </w:r>
          </w:p>
        </w:tc>
        <w:tc>
          <w:tcPr>
            <w:tcW w:w="1063" w:type="dxa"/>
          </w:tcPr>
          <w:p w14:paraId="6CAB0E28"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66.45</w:t>
            </w:r>
          </w:p>
        </w:tc>
        <w:tc>
          <w:tcPr>
            <w:tcW w:w="1277" w:type="dxa"/>
            <w:vAlign w:val="center"/>
          </w:tcPr>
          <w:p w14:paraId="794B139B"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67.21</w:t>
            </w:r>
          </w:p>
        </w:tc>
        <w:tc>
          <w:tcPr>
            <w:tcW w:w="850" w:type="dxa"/>
          </w:tcPr>
          <w:p w14:paraId="503C23E8"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78.31</w:t>
            </w:r>
          </w:p>
        </w:tc>
        <w:tc>
          <w:tcPr>
            <w:tcW w:w="851" w:type="dxa"/>
          </w:tcPr>
          <w:p w14:paraId="2E3A6C33"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76.80</w:t>
            </w:r>
          </w:p>
        </w:tc>
        <w:tc>
          <w:tcPr>
            <w:tcW w:w="992" w:type="dxa"/>
            <w:tcBorders>
              <w:bottom w:val="single" w:sz="4" w:space="0" w:color="000000"/>
              <w:right w:val="single" w:sz="4" w:space="0" w:color="000000"/>
            </w:tcBorders>
          </w:tcPr>
          <w:p w14:paraId="1255B01B" w14:textId="77777777" w:rsidR="000A7DB1" w:rsidRPr="00AF72EF" w:rsidRDefault="000A7DB1" w:rsidP="000A7DB1">
            <w:pPr>
              <w:widowControl w:val="0"/>
              <w:pBdr>
                <w:top w:val="nil"/>
                <w:left w:val="nil"/>
                <w:bottom w:val="nil"/>
                <w:right w:val="nil"/>
                <w:between w:val="nil"/>
              </w:pBdr>
              <w:spacing w:after="0" w:line="240" w:lineRule="auto"/>
              <w:ind w:left="9"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77.55</w:t>
            </w:r>
          </w:p>
        </w:tc>
      </w:tr>
      <w:tr w:rsidR="000A7DB1" w:rsidRPr="00AF72EF" w14:paraId="1BD0460E" w14:textId="77777777" w:rsidTr="001228EA">
        <w:trPr>
          <w:trHeight w:val="321"/>
        </w:trPr>
        <w:tc>
          <w:tcPr>
            <w:tcW w:w="4678" w:type="dxa"/>
          </w:tcPr>
          <w:p w14:paraId="642E9BA8" w14:textId="77777777" w:rsidR="000A7DB1" w:rsidRPr="00AF72EF" w:rsidRDefault="000A7DB1" w:rsidP="000A7DB1">
            <w:pPr>
              <w:widowControl w:val="0"/>
              <w:pBdr>
                <w:top w:val="nil"/>
                <w:left w:val="nil"/>
                <w:bottom w:val="nil"/>
                <w:right w:val="nil"/>
                <w:between w:val="nil"/>
              </w:pBdr>
              <w:spacing w:after="0" w:line="240" w:lineRule="auto"/>
              <w:ind w:left="127" w:right="20"/>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T13: Ammonium Molybdate (Mo) @ 0.30% + Boron @ 0.100%</w:t>
            </w:r>
          </w:p>
        </w:tc>
        <w:tc>
          <w:tcPr>
            <w:tcW w:w="1063" w:type="dxa"/>
          </w:tcPr>
          <w:p w14:paraId="6B1663A8" w14:textId="77777777" w:rsidR="000A7DB1" w:rsidRPr="00AF72EF" w:rsidRDefault="000A7DB1" w:rsidP="000A7DB1">
            <w:pPr>
              <w:widowControl w:val="0"/>
              <w:pBdr>
                <w:top w:val="nil"/>
                <w:left w:val="nil"/>
                <w:bottom w:val="nil"/>
                <w:right w:val="nil"/>
                <w:between w:val="nil"/>
              </w:pBdr>
              <w:spacing w:after="0" w:line="240" w:lineRule="auto"/>
              <w:ind w:left="3"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64.47</w:t>
            </w:r>
          </w:p>
        </w:tc>
        <w:tc>
          <w:tcPr>
            <w:tcW w:w="1063" w:type="dxa"/>
          </w:tcPr>
          <w:p w14:paraId="54FA05E3"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63.36</w:t>
            </w:r>
          </w:p>
        </w:tc>
        <w:tc>
          <w:tcPr>
            <w:tcW w:w="1277" w:type="dxa"/>
            <w:vAlign w:val="center"/>
          </w:tcPr>
          <w:p w14:paraId="16C0B800"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63.92</w:t>
            </w:r>
          </w:p>
        </w:tc>
        <w:tc>
          <w:tcPr>
            <w:tcW w:w="850" w:type="dxa"/>
          </w:tcPr>
          <w:p w14:paraId="7A5F8601"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74.82</w:t>
            </w:r>
          </w:p>
        </w:tc>
        <w:tc>
          <w:tcPr>
            <w:tcW w:w="851" w:type="dxa"/>
          </w:tcPr>
          <w:p w14:paraId="3DA4C26F"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73.71</w:t>
            </w:r>
          </w:p>
        </w:tc>
        <w:tc>
          <w:tcPr>
            <w:tcW w:w="992" w:type="dxa"/>
            <w:tcBorders>
              <w:bottom w:val="single" w:sz="4" w:space="0" w:color="000000"/>
              <w:right w:val="single" w:sz="4" w:space="0" w:color="000000"/>
            </w:tcBorders>
          </w:tcPr>
          <w:p w14:paraId="74C3EFB7" w14:textId="77777777" w:rsidR="000A7DB1" w:rsidRPr="00AF72EF" w:rsidRDefault="000A7DB1" w:rsidP="000A7DB1">
            <w:pPr>
              <w:widowControl w:val="0"/>
              <w:pBdr>
                <w:top w:val="nil"/>
                <w:left w:val="nil"/>
                <w:bottom w:val="nil"/>
                <w:right w:val="nil"/>
                <w:between w:val="nil"/>
              </w:pBdr>
              <w:spacing w:after="0" w:line="240" w:lineRule="auto"/>
              <w:ind w:left="5"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74.26</w:t>
            </w:r>
          </w:p>
        </w:tc>
      </w:tr>
      <w:tr w:rsidR="000A7DB1" w:rsidRPr="00AF72EF" w14:paraId="140E9DD2" w14:textId="77777777" w:rsidTr="001228EA">
        <w:trPr>
          <w:trHeight w:val="318"/>
        </w:trPr>
        <w:tc>
          <w:tcPr>
            <w:tcW w:w="4678" w:type="dxa"/>
          </w:tcPr>
          <w:p w14:paraId="201C4341" w14:textId="77777777" w:rsidR="000A7DB1" w:rsidRPr="00AF72EF" w:rsidRDefault="000A7DB1" w:rsidP="000A7DB1">
            <w:pPr>
              <w:widowControl w:val="0"/>
              <w:pBdr>
                <w:top w:val="nil"/>
                <w:left w:val="nil"/>
                <w:bottom w:val="nil"/>
                <w:right w:val="nil"/>
                <w:between w:val="nil"/>
              </w:pBdr>
              <w:spacing w:after="0" w:line="240" w:lineRule="auto"/>
              <w:ind w:left="122" w:right="20"/>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T14: Ammonium Molybdate (Mo) @ 0.40% + Boron @ 0.060%</w:t>
            </w:r>
          </w:p>
        </w:tc>
        <w:tc>
          <w:tcPr>
            <w:tcW w:w="1063" w:type="dxa"/>
          </w:tcPr>
          <w:p w14:paraId="774CE8FB" w14:textId="77777777" w:rsidR="000A7DB1" w:rsidRPr="00AF72EF" w:rsidRDefault="000A7DB1" w:rsidP="000A7DB1">
            <w:pPr>
              <w:widowControl w:val="0"/>
              <w:pBdr>
                <w:top w:val="nil"/>
                <w:left w:val="nil"/>
                <w:bottom w:val="nil"/>
                <w:right w:val="nil"/>
                <w:between w:val="nil"/>
              </w:pBdr>
              <w:spacing w:after="0" w:line="240" w:lineRule="auto"/>
              <w:ind w:left="3"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68.49</w:t>
            </w:r>
          </w:p>
        </w:tc>
        <w:tc>
          <w:tcPr>
            <w:tcW w:w="1063" w:type="dxa"/>
          </w:tcPr>
          <w:p w14:paraId="5C92D340" w14:textId="77777777" w:rsidR="000A7DB1" w:rsidRPr="00AF72EF" w:rsidRDefault="000A7DB1" w:rsidP="000A7DB1">
            <w:pPr>
              <w:widowControl w:val="0"/>
              <w:pBdr>
                <w:top w:val="nil"/>
                <w:left w:val="nil"/>
                <w:bottom w:val="nil"/>
                <w:right w:val="nil"/>
                <w:between w:val="nil"/>
              </w:pBdr>
              <w:spacing w:after="0" w:line="240" w:lineRule="auto"/>
              <w:ind w:left="5"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67.34</w:t>
            </w:r>
          </w:p>
        </w:tc>
        <w:tc>
          <w:tcPr>
            <w:tcW w:w="1277" w:type="dxa"/>
            <w:vAlign w:val="center"/>
          </w:tcPr>
          <w:p w14:paraId="07BF3803"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67.92</w:t>
            </w:r>
          </w:p>
        </w:tc>
        <w:tc>
          <w:tcPr>
            <w:tcW w:w="850" w:type="dxa"/>
          </w:tcPr>
          <w:p w14:paraId="4DD484EF"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78.84</w:t>
            </w:r>
          </w:p>
        </w:tc>
        <w:tc>
          <w:tcPr>
            <w:tcW w:w="851" w:type="dxa"/>
          </w:tcPr>
          <w:p w14:paraId="6CFCA75A"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77.69</w:t>
            </w:r>
          </w:p>
        </w:tc>
        <w:tc>
          <w:tcPr>
            <w:tcW w:w="992" w:type="dxa"/>
            <w:tcBorders>
              <w:bottom w:val="single" w:sz="4" w:space="0" w:color="000000"/>
              <w:right w:val="single" w:sz="4" w:space="0" w:color="000000"/>
            </w:tcBorders>
          </w:tcPr>
          <w:p w14:paraId="33AD226E" w14:textId="77777777" w:rsidR="000A7DB1" w:rsidRPr="00AF72EF" w:rsidRDefault="000A7DB1" w:rsidP="000A7DB1">
            <w:pPr>
              <w:widowControl w:val="0"/>
              <w:pBdr>
                <w:top w:val="nil"/>
                <w:left w:val="nil"/>
                <w:bottom w:val="nil"/>
                <w:right w:val="nil"/>
                <w:between w:val="nil"/>
              </w:pBdr>
              <w:spacing w:after="0" w:line="240" w:lineRule="auto"/>
              <w:ind w:left="5"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78.26</w:t>
            </w:r>
          </w:p>
        </w:tc>
      </w:tr>
      <w:tr w:rsidR="000A7DB1" w:rsidRPr="00AF72EF" w14:paraId="09C9DCE0" w14:textId="77777777" w:rsidTr="001228EA">
        <w:trPr>
          <w:trHeight w:val="316"/>
        </w:trPr>
        <w:tc>
          <w:tcPr>
            <w:tcW w:w="4678" w:type="dxa"/>
          </w:tcPr>
          <w:p w14:paraId="0FC93C30"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T15: Ammonium Molybdate (Mo) @ 0.40% + Boron @ 0.080%</w:t>
            </w:r>
          </w:p>
        </w:tc>
        <w:tc>
          <w:tcPr>
            <w:tcW w:w="1063" w:type="dxa"/>
          </w:tcPr>
          <w:p w14:paraId="3616A813" w14:textId="77777777" w:rsidR="000A7DB1" w:rsidRPr="00AF72EF" w:rsidRDefault="000A7DB1" w:rsidP="000A7DB1">
            <w:pPr>
              <w:widowControl w:val="0"/>
              <w:pBdr>
                <w:top w:val="nil"/>
                <w:left w:val="nil"/>
                <w:bottom w:val="nil"/>
                <w:right w:val="nil"/>
                <w:between w:val="nil"/>
              </w:pBdr>
              <w:spacing w:after="0" w:line="240" w:lineRule="auto"/>
              <w:ind w:left="3"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67.12</w:t>
            </w:r>
          </w:p>
        </w:tc>
        <w:tc>
          <w:tcPr>
            <w:tcW w:w="1063" w:type="dxa"/>
          </w:tcPr>
          <w:p w14:paraId="1E3AA1F1" w14:textId="77777777" w:rsidR="000A7DB1" w:rsidRPr="00AF72EF" w:rsidRDefault="000A7DB1" w:rsidP="000A7DB1">
            <w:pPr>
              <w:widowControl w:val="0"/>
              <w:pBdr>
                <w:top w:val="nil"/>
                <w:left w:val="nil"/>
                <w:bottom w:val="nil"/>
                <w:right w:val="nil"/>
                <w:between w:val="nil"/>
              </w:pBdr>
              <w:spacing w:after="0" w:line="240" w:lineRule="auto"/>
              <w:ind w:left="5"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66.14</w:t>
            </w:r>
          </w:p>
        </w:tc>
        <w:tc>
          <w:tcPr>
            <w:tcW w:w="1277" w:type="dxa"/>
            <w:vAlign w:val="center"/>
          </w:tcPr>
          <w:p w14:paraId="4A636780"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66.63</w:t>
            </w:r>
          </w:p>
        </w:tc>
        <w:tc>
          <w:tcPr>
            <w:tcW w:w="850" w:type="dxa"/>
          </w:tcPr>
          <w:p w14:paraId="6286883E" w14:textId="77777777" w:rsidR="000A7DB1" w:rsidRPr="00AF72EF" w:rsidRDefault="000A7DB1" w:rsidP="000A7DB1">
            <w:pPr>
              <w:widowControl w:val="0"/>
              <w:pBdr>
                <w:top w:val="nil"/>
                <w:left w:val="nil"/>
                <w:bottom w:val="nil"/>
                <w:right w:val="nil"/>
                <w:between w:val="nil"/>
              </w:pBdr>
              <w:spacing w:after="0" w:line="240" w:lineRule="auto"/>
              <w:ind w:left="13"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77.47</w:t>
            </w:r>
          </w:p>
        </w:tc>
        <w:tc>
          <w:tcPr>
            <w:tcW w:w="851" w:type="dxa"/>
          </w:tcPr>
          <w:p w14:paraId="5E259E32"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76.49</w:t>
            </w:r>
          </w:p>
        </w:tc>
        <w:tc>
          <w:tcPr>
            <w:tcW w:w="992" w:type="dxa"/>
            <w:tcBorders>
              <w:bottom w:val="single" w:sz="4" w:space="0" w:color="000000"/>
              <w:right w:val="single" w:sz="4" w:space="0" w:color="000000"/>
            </w:tcBorders>
          </w:tcPr>
          <w:p w14:paraId="6432BEAD" w14:textId="77777777" w:rsidR="000A7DB1" w:rsidRPr="00AF72EF" w:rsidRDefault="000A7DB1" w:rsidP="000A7DB1">
            <w:pPr>
              <w:widowControl w:val="0"/>
              <w:pBdr>
                <w:top w:val="nil"/>
                <w:left w:val="nil"/>
                <w:bottom w:val="nil"/>
                <w:right w:val="nil"/>
                <w:between w:val="nil"/>
              </w:pBdr>
              <w:spacing w:after="0" w:line="240" w:lineRule="auto"/>
              <w:ind w:left="5"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76.98</w:t>
            </w:r>
          </w:p>
        </w:tc>
      </w:tr>
      <w:tr w:rsidR="000A7DB1" w:rsidRPr="00AF72EF" w14:paraId="658733A5" w14:textId="77777777" w:rsidTr="001228EA">
        <w:trPr>
          <w:trHeight w:val="316"/>
        </w:trPr>
        <w:tc>
          <w:tcPr>
            <w:tcW w:w="4678" w:type="dxa"/>
          </w:tcPr>
          <w:p w14:paraId="202B31AD" w14:textId="77777777" w:rsidR="000A7DB1" w:rsidRPr="00AF72EF" w:rsidRDefault="000A7DB1" w:rsidP="000A7DB1">
            <w:pPr>
              <w:widowControl w:val="0"/>
              <w:pBdr>
                <w:top w:val="nil"/>
                <w:left w:val="nil"/>
                <w:bottom w:val="nil"/>
                <w:right w:val="nil"/>
                <w:between w:val="nil"/>
              </w:pBdr>
              <w:spacing w:after="0" w:line="240" w:lineRule="auto"/>
              <w:ind w:left="122" w:right="20"/>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T16: Ammonium Molybdate (Mo) @ 0.40% + Boron @ 0.100%</w:t>
            </w:r>
          </w:p>
        </w:tc>
        <w:tc>
          <w:tcPr>
            <w:tcW w:w="1063" w:type="dxa"/>
          </w:tcPr>
          <w:p w14:paraId="341D8B72" w14:textId="77777777" w:rsidR="000A7DB1" w:rsidRPr="00AF72EF" w:rsidRDefault="000A7DB1" w:rsidP="000A7DB1">
            <w:pPr>
              <w:widowControl w:val="0"/>
              <w:pBdr>
                <w:top w:val="nil"/>
                <w:left w:val="nil"/>
                <w:bottom w:val="nil"/>
                <w:right w:val="nil"/>
                <w:between w:val="nil"/>
              </w:pBdr>
              <w:spacing w:after="0" w:line="240" w:lineRule="auto"/>
              <w:ind w:left="3"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63.57</w:t>
            </w:r>
          </w:p>
        </w:tc>
        <w:tc>
          <w:tcPr>
            <w:tcW w:w="1063" w:type="dxa"/>
          </w:tcPr>
          <w:p w14:paraId="6C7B66D5" w14:textId="77777777" w:rsidR="000A7DB1" w:rsidRPr="00AF72EF" w:rsidRDefault="000A7DB1" w:rsidP="000A7DB1">
            <w:pPr>
              <w:widowControl w:val="0"/>
              <w:pBdr>
                <w:top w:val="nil"/>
                <w:left w:val="nil"/>
                <w:bottom w:val="nil"/>
                <w:right w:val="nil"/>
                <w:between w:val="nil"/>
              </w:pBdr>
              <w:spacing w:after="0" w:line="240" w:lineRule="auto"/>
              <w:ind w:left="5"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62.24</w:t>
            </w:r>
          </w:p>
        </w:tc>
        <w:tc>
          <w:tcPr>
            <w:tcW w:w="1277" w:type="dxa"/>
            <w:vAlign w:val="center"/>
          </w:tcPr>
          <w:p w14:paraId="5524F216" w14:textId="77777777" w:rsidR="000A7DB1" w:rsidRPr="00AF72EF" w:rsidRDefault="000A7DB1" w:rsidP="000A7DB1">
            <w:pPr>
              <w:spacing w:after="0" w:line="240" w:lineRule="auto"/>
              <w:jc w:val="center"/>
              <w:rPr>
                <w:rFonts w:ascii="Arial" w:hAnsi="Arial" w:cs="Arial"/>
                <w:sz w:val="20"/>
                <w:szCs w:val="20"/>
                <w:highlight w:val="yellow"/>
              </w:rPr>
            </w:pPr>
            <w:r w:rsidRPr="00AF72EF">
              <w:rPr>
                <w:rFonts w:ascii="Arial" w:hAnsi="Arial" w:cs="Arial"/>
                <w:sz w:val="20"/>
                <w:szCs w:val="20"/>
                <w:highlight w:val="yellow"/>
              </w:rPr>
              <w:t>62.91</w:t>
            </w:r>
          </w:p>
        </w:tc>
        <w:tc>
          <w:tcPr>
            <w:tcW w:w="850" w:type="dxa"/>
          </w:tcPr>
          <w:p w14:paraId="056827D0"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73.92</w:t>
            </w:r>
          </w:p>
        </w:tc>
        <w:tc>
          <w:tcPr>
            <w:tcW w:w="851" w:type="dxa"/>
          </w:tcPr>
          <w:p w14:paraId="07CC06AC"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72.59</w:t>
            </w:r>
          </w:p>
        </w:tc>
        <w:tc>
          <w:tcPr>
            <w:tcW w:w="992" w:type="dxa"/>
            <w:tcBorders>
              <w:bottom w:val="single" w:sz="4" w:space="0" w:color="000000"/>
              <w:right w:val="single" w:sz="4" w:space="0" w:color="000000"/>
            </w:tcBorders>
          </w:tcPr>
          <w:p w14:paraId="39289920" w14:textId="77777777" w:rsidR="000A7DB1" w:rsidRPr="00AF72EF" w:rsidRDefault="000A7DB1" w:rsidP="000A7DB1">
            <w:pPr>
              <w:widowControl w:val="0"/>
              <w:pBdr>
                <w:top w:val="nil"/>
                <w:left w:val="nil"/>
                <w:bottom w:val="nil"/>
                <w:right w:val="nil"/>
                <w:between w:val="nil"/>
              </w:pBdr>
              <w:spacing w:after="0" w:line="240" w:lineRule="auto"/>
              <w:ind w:left="5"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73.25</w:t>
            </w:r>
          </w:p>
        </w:tc>
      </w:tr>
      <w:tr w:rsidR="000A7DB1" w:rsidRPr="00AF72EF" w14:paraId="74C441A9" w14:textId="77777777" w:rsidTr="001228EA">
        <w:trPr>
          <w:trHeight w:val="316"/>
        </w:trPr>
        <w:tc>
          <w:tcPr>
            <w:tcW w:w="4678" w:type="dxa"/>
          </w:tcPr>
          <w:p w14:paraId="0ED524AD" w14:textId="77777777" w:rsidR="000A7DB1" w:rsidRPr="00AF72EF" w:rsidRDefault="000A7DB1" w:rsidP="000A7DB1">
            <w:pPr>
              <w:widowControl w:val="0"/>
              <w:pBdr>
                <w:top w:val="nil"/>
                <w:left w:val="nil"/>
                <w:bottom w:val="nil"/>
                <w:right w:val="nil"/>
                <w:between w:val="nil"/>
              </w:pBdr>
              <w:spacing w:after="0" w:line="240" w:lineRule="auto"/>
              <w:ind w:left="107" w:right="1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Sem ±</w:t>
            </w:r>
          </w:p>
        </w:tc>
        <w:tc>
          <w:tcPr>
            <w:tcW w:w="1063" w:type="dxa"/>
          </w:tcPr>
          <w:p w14:paraId="21ECAB42" w14:textId="77777777" w:rsidR="000A7DB1" w:rsidRPr="00AF72EF" w:rsidRDefault="000A7DB1" w:rsidP="000A7DB1">
            <w:pPr>
              <w:widowControl w:val="0"/>
              <w:pBdr>
                <w:top w:val="nil"/>
                <w:left w:val="nil"/>
                <w:bottom w:val="nil"/>
                <w:right w:val="nil"/>
                <w:between w:val="nil"/>
              </w:pBdr>
              <w:spacing w:after="0" w:line="240" w:lineRule="auto"/>
              <w:ind w:left="7"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1.04</w:t>
            </w:r>
          </w:p>
        </w:tc>
        <w:tc>
          <w:tcPr>
            <w:tcW w:w="1063" w:type="dxa"/>
          </w:tcPr>
          <w:p w14:paraId="0F72D57A" w14:textId="77777777" w:rsidR="000A7DB1" w:rsidRPr="00AF72EF" w:rsidRDefault="000A7DB1" w:rsidP="000A7DB1">
            <w:pPr>
              <w:widowControl w:val="0"/>
              <w:pBdr>
                <w:top w:val="nil"/>
                <w:left w:val="nil"/>
                <w:bottom w:val="nil"/>
                <w:right w:val="nil"/>
                <w:between w:val="nil"/>
              </w:pBdr>
              <w:spacing w:after="0" w:line="240" w:lineRule="auto"/>
              <w:ind w:left="10"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1.01</w:t>
            </w:r>
          </w:p>
        </w:tc>
        <w:tc>
          <w:tcPr>
            <w:tcW w:w="1277" w:type="dxa"/>
            <w:vAlign w:val="center"/>
          </w:tcPr>
          <w:p w14:paraId="43745C46" w14:textId="77777777" w:rsidR="000A7DB1" w:rsidRPr="00AF72EF" w:rsidRDefault="000A7DB1" w:rsidP="000A7DB1">
            <w:pPr>
              <w:widowControl w:val="0"/>
              <w:pBdr>
                <w:top w:val="nil"/>
                <w:left w:val="nil"/>
                <w:bottom w:val="nil"/>
                <w:right w:val="nil"/>
                <w:between w:val="nil"/>
              </w:pBdr>
              <w:spacing w:after="0" w:line="240" w:lineRule="auto"/>
              <w:ind w:left="4" w:right="5"/>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1.03</w:t>
            </w:r>
          </w:p>
        </w:tc>
        <w:tc>
          <w:tcPr>
            <w:tcW w:w="850" w:type="dxa"/>
          </w:tcPr>
          <w:p w14:paraId="6204B0AF"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1.08</w:t>
            </w:r>
          </w:p>
        </w:tc>
        <w:tc>
          <w:tcPr>
            <w:tcW w:w="851" w:type="dxa"/>
          </w:tcPr>
          <w:p w14:paraId="68FB1FCF" w14:textId="77777777" w:rsidR="000A7DB1" w:rsidRPr="00AF72EF" w:rsidRDefault="000A7DB1" w:rsidP="000A7DB1">
            <w:pPr>
              <w:widowControl w:val="0"/>
              <w:pBdr>
                <w:top w:val="nil"/>
                <w:left w:val="nil"/>
                <w:bottom w:val="nil"/>
                <w:right w:val="nil"/>
                <w:between w:val="nil"/>
              </w:pBdr>
              <w:spacing w:after="0" w:line="240" w:lineRule="auto"/>
              <w:ind w:left="9"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1.04</w:t>
            </w:r>
          </w:p>
        </w:tc>
        <w:tc>
          <w:tcPr>
            <w:tcW w:w="992" w:type="dxa"/>
            <w:tcBorders>
              <w:bottom w:val="single" w:sz="4" w:space="0" w:color="000000"/>
              <w:right w:val="single" w:sz="4" w:space="0" w:color="000000"/>
            </w:tcBorders>
          </w:tcPr>
          <w:p w14:paraId="05003A2B" w14:textId="77777777" w:rsidR="000A7DB1" w:rsidRPr="00AF72EF" w:rsidRDefault="000A7DB1" w:rsidP="000A7DB1">
            <w:pPr>
              <w:widowControl w:val="0"/>
              <w:pBdr>
                <w:top w:val="nil"/>
                <w:left w:val="nil"/>
                <w:bottom w:val="nil"/>
                <w:right w:val="nil"/>
                <w:between w:val="nil"/>
              </w:pBdr>
              <w:spacing w:after="0" w:line="240" w:lineRule="auto"/>
              <w:ind w:left="10" w:right="11"/>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1.05</w:t>
            </w:r>
          </w:p>
        </w:tc>
      </w:tr>
      <w:tr w:rsidR="000A7DB1" w:rsidRPr="00AF72EF" w14:paraId="00DED4CD" w14:textId="77777777" w:rsidTr="001228EA">
        <w:trPr>
          <w:trHeight w:val="321"/>
        </w:trPr>
        <w:tc>
          <w:tcPr>
            <w:tcW w:w="4678" w:type="dxa"/>
          </w:tcPr>
          <w:p w14:paraId="2817D985" w14:textId="77777777" w:rsidR="000A7DB1" w:rsidRPr="00AF72EF" w:rsidRDefault="000A7DB1" w:rsidP="000A7DB1">
            <w:pPr>
              <w:widowControl w:val="0"/>
              <w:pBdr>
                <w:top w:val="nil"/>
                <w:left w:val="nil"/>
                <w:bottom w:val="nil"/>
                <w:right w:val="nil"/>
                <w:between w:val="nil"/>
              </w:pBdr>
              <w:spacing w:after="0" w:line="240" w:lineRule="auto"/>
              <w:ind w:left="107" w:right="12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LSD (p=0.05)</w:t>
            </w:r>
          </w:p>
        </w:tc>
        <w:tc>
          <w:tcPr>
            <w:tcW w:w="1063" w:type="dxa"/>
          </w:tcPr>
          <w:p w14:paraId="36009729" w14:textId="77777777" w:rsidR="000A7DB1" w:rsidRPr="00AF72EF" w:rsidRDefault="000A7DB1" w:rsidP="000A7DB1">
            <w:pPr>
              <w:widowControl w:val="0"/>
              <w:pBdr>
                <w:top w:val="nil"/>
                <w:left w:val="nil"/>
                <w:bottom w:val="nil"/>
                <w:right w:val="nil"/>
                <w:between w:val="nil"/>
              </w:pBdr>
              <w:spacing w:after="0" w:line="240" w:lineRule="auto"/>
              <w:ind w:left="11" w:right="1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3.12</w:t>
            </w:r>
          </w:p>
        </w:tc>
        <w:tc>
          <w:tcPr>
            <w:tcW w:w="1063" w:type="dxa"/>
          </w:tcPr>
          <w:p w14:paraId="4FB3E38C" w14:textId="77777777" w:rsidR="000A7DB1" w:rsidRPr="00AF72EF" w:rsidRDefault="000A7DB1" w:rsidP="000A7DB1">
            <w:pPr>
              <w:widowControl w:val="0"/>
              <w:pBdr>
                <w:top w:val="nil"/>
                <w:left w:val="nil"/>
                <w:bottom w:val="nil"/>
                <w:right w:val="nil"/>
                <w:between w:val="nil"/>
              </w:pBdr>
              <w:spacing w:after="0" w:line="240" w:lineRule="auto"/>
              <w:ind w:left="8"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3.05</w:t>
            </w:r>
          </w:p>
        </w:tc>
        <w:tc>
          <w:tcPr>
            <w:tcW w:w="1277" w:type="dxa"/>
            <w:vAlign w:val="center"/>
          </w:tcPr>
          <w:p w14:paraId="432D6207" w14:textId="77777777" w:rsidR="000A7DB1" w:rsidRPr="00AF72EF" w:rsidRDefault="000A7DB1" w:rsidP="000A7DB1">
            <w:pPr>
              <w:widowControl w:val="0"/>
              <w:pBdr>
                <w:top w:val="nil"/>
                <w:left w:val="nil"/>
                <w:bottom w:val="nil"/>
                <w:right w:val="nil"/>
                <w:between w:val="nil"/>
              </w:pBdr>
              <w:spacing w:after="0" w:line="240" w:lineRule="auto"/>
              <w:ind w:right="5"/>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3.09</w:t>
            </w:r>
          </w:p>
        </w:tc>
        <w:tc>
          <w:tcPr>
            <w:tcW w:w="850" w:type="dxa"/>
          </w:tcPr>
          <w:p w14:paraId="3F167D29" w14:textId="77777777" w:rsidR="000A7DB1" w:rsidRPr="00AF72EF" w:rsidRDefault="000A7DB1" w:rsidP="000A7DB1">
            <w:pPr>
              <w:widowControl w:val="0"/>
              <w:pBdr>
                <w:top w:val="nil"/>
                <w:left w:val="nil"/>
                <w:bottom w:val="nil"/>
                <w:right w:val="nil"/>
                <w:between w:val="nil"/>
              </w:pBdr>
              <w:spacing w:after="0" w:line="240" w:lineRule="auto"/>
              <w:ind w:left="13"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3.24</w:t>
            </w:r>
          </w:p>
        </w:tc>
        <w:tc>
          <w:tcPr>
            <w:tcW w:w="851" w:type="dxa"/>
          </w:tcPr>
          <w:p w14:paraId="5CCC66D5" w14:textId="77777777" w:rsidR="000A7DB1" w:rsidRPr="00AF72EF" w:rsidRDefault="000A7DB1" w:rsidP="000A7DB1">
            <w:pPr>
              <w:widowControl w:val="0"/>
              <w:pBdr>
                <w:top w:val="nil"/>
                <w:left w:val="nil"/>
                <w:bottom w:val="nil"/>
                <w:right w:val="nil"/>
                <w:between w:val="nil"/>
              </w:pBdr>
              <w:spacing w:after="0" w:line="240" w:lineRule="auto"/>
              <w:ind w:left="13" w:right="9"/>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3.13</w:t>
            </w:r>
          </w:p>
        </w:tc>
        <w:tc>
          <w:tcPr>
            <w:tcW w:w="992" w:type="dxa"/>
            <w:tcBorders>
              <w:right w:val="single" w:sz="4" w:space="0" w:color="000000"/>
            </w:tcBorders>
          </w:tcPr>
          <w:p w14:paraId="2891EA86" w14:textId="77777777" w:rsidR="000A7DB1" w:rsidRPr="00AF72EF" w:rsidRDefault="000A7DB1" w:rsidP="000A7DB1">
            <w:pPr>
              <w:widowControl w:val="0"/>
              <w:pBdr>
                <w:top w:val="nil"/>
                <w:left w:val="nil"/>
                <w:bottom w:val="nil"/>
                <w:right w:val="nil"/>
                <w:between w:val="nil"/>
              </w:pBdr>
              <w:spacing w:after="0" w:line="240" w:lineRule="auto"/>
              <w:ind w:left="10" w:right="11"/>
              <w:jc w:val="center"/>
              <w:rPr>
                <w:rFonts w:ascii="Arial" w:eastAsia="Times New Roman" w:hAnsi="Arial" w:cs="Arial"/>
                <w:color w:val="000000"/>
                <w:sz w:val="20"/>
                <w:szCs w:val="20"/>
              </w:rPr>
            </w:pPr>
            <w:r w:rsidRPr="00AF72EF">
              <w:rPr>
                <w:rFonts w:ascii="Arial" w:eastAsia="Times New Roman" w:hAnsi="Arial" w:cs="Arial"/>
                <w:color w:val="000000"/>
                <w:sz w:val="20"/>
                <w:szCs w:val="20"/>
                <w:highlight w:val="yellow"/>
              </w:rPr>
              <w:t>3.19</w:t>
            </w:r>
          </w:p>
        </w:tc>
      </w:tr>
    </w:tbl>
    <w:p w14:paraId="32661A61" w14:textId="77777777" w:rsidR="000A7DB1" w:rsidRDefault="000A7DB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9B68B67" w14:textId="492DF9E6" w:rsidR="0006770F" w:rsidRPr="00AF72EF" w:rsidRDefault="000B691B">
      <w:pPr>
        <w:pBdr>
          <w:top w:val="nil"/>
          <w:left w:val="nil"/>
          <w:bottom w:val="nil"/>
          <w:right w:val="nil"/>
          <w:between w:val="nil"/>
        </w:pBdr>
        <w:spacing w:line="240" w:lineRule="auto"/>
        <w:jc w:val="both"/>
        <w:rPr>
          <w:rFonts w:ascii="Arial" w:eastAsia="Times New Roman" w:hAnsi="Arial" w:cs="Arial"/>
          <w:b/>
          <w:color w:val="000000"/>
        </w:rPr>
      </w:pPr>
      <w:r w:rsidRPr="00AF72EF">
        <w:rPr>
          <w:rFonts w:ascii="Arial" w:eastAsia="Times New Roman" w:hAnsi="Arial" w:cs="Arial"/>
          <w:b/>
          <w:color w:val="000000"/>
        </w:rPr>
        <w:t>3.3 CURD VOLUME (CM</w:t>
      </w:r>
      <w:r w:rsidRPr="00AF72EF">
        <w:rPr>
          <w:rFonts w:ascii="Arial" w:eastAsia="Times New Roman" w:hAnsi="Arial" w:cs="Arial"/>
          <w:b/>
          <w:color w:val="000000"/>
          <w:vertAlign w:val="superscript"/>
        </w:rPr>
        <w:t>3</w:t>
      </w:r>
      <w:r w:rsidRPr="00AF72EF">
        <w:rPr>
          <w:rFonts w:ascii="Arial" w:eastAsia="Times New Roman" w:hAnsi="Arial" w:cs="Arial"/>
          <w:b/>
          <w:color w:val="000000"/>
        </w:rPr>
        <w:t>)</w:t>
      </w:r>
    </w:p>
    <w:p w14:paraId="49B68B68" w14:textId="4129ABF9" w:rsidR="0006770F" w:rsidRPr="00AF72EF" w:rsidRDefault="00E3304A">
      <w:pPr>
        <w:pBdr>
          <w:top w:val="nil"/>
          <w:left w:val="nil"/>
          <w:bottom w:val="nil"/>
          <w:right w:val="nil"/>
          <w:between w:val="nil"/>
        </w:pBdr>
        <w:spacing w:line="240" w:lineRule="auto"/>
        <w:ind w:firstLine="720"/>
        <w:jc w:val="both"/>
        <w:rPr>
          <w:rFonts w:ascii="Arial" w:eastAsia="Times New Roman" w:hAnsi="Arial" w:cs="Arial"/>
          <w:color w:val="000000"/>
          <w:sz w:val="20"/>
          <w:szCs w:val="20"/>
        </w:rPr>
      </w:pPr>
      <w:r w:rsidRPr="00AF72EF">
        <w:rPr>
          <w:rFonts w:ascii="Arial" w:eastAsia="Times New Roman" w:hAnsi="Arial" w:cs="Arial"/>
          <w:color w:val="000000"/>
          <w:sz w:val="20"/>
          <w:szCs w:val="20"/>
        </w:rPr>
        <w:t>The volume of each curd was measured for each treatment, with the av</w:t>
      </w:r>
      <w:r w:rsidR="000A7DB1" w:rsidRPr="00AF72EF">
        <w:rPr>
          <w:rFonts w:ascii="Arial" w:eastAsia="Times New Roman" w:hAnsi="Arial" w:cs="Arial"/>
          <w:color w:val="000000"/>
          <w:sz w:val="20"/>
          <w:szCs w:val="20"/>
        </w:rPr>
        <w:t>erage values presented in Table</w:t>
      </w:r>
      <w:r w:rsidRPr="00AF72EF">
        <w:rPr>
          <w:rFonts w:ascii="Arial" w:eastAsia="Times New Roman" w:hAnsi="Arial" w:cs="Arial"/>
          <w:color w:val="000000"/>
          <w:sz w:val="20"/>
          <w:szCs w:val="20"/>
        </w:rPr>
        <w:t xml:space="preserve">. The </w:t>
      </w:r>
      <w:r w:rsidR="002F6E06" w:rsidRPr="00AF72EF">
        <w:rPr>
          <w:rFonts w:ascii="Arial" w:eastAsia="Times New Roman" w:hAnsi="Arial" w:cs="Arial"/>
          <w:color w:val="000000"/>
          <w:sz w:val="20"/>
          <w:szCs w:val="20"/>
        </w:rPr>
        <w:t xml:space="preserve">analysis </w:t>
      </w:r>
      <w:r w:rsidR="002F6E06" w:rsidRPr="002F6E06">
        <w:rPr>
          <w:rFonts w:ascii="Arial" w:eastAsia="Times New Roman" w:hAnsi="Arial" w:cs="Arial"/>
          <w:color w:val="000000"/>
          <w:sz w:val="20"/>
          <w:szCs w:val="20"/>
          <w:highlight w:val="yellow"/>
        </w:rPr>
        <w:t>of</w:t>
      </w:r>
      <w:r w:rsidR="002F6E06">
        <w:rPr>
          <w:rFonts w:ascii="Arial" w:eastAsia="Times New Roman" w:hAnsi="Arial" w:cs="Arial"/>
          <w:color w:val="000000"/>
          <w:sz w:val="20"/>
          <w:szCs w:val="20"/>
        </w:rPr>
        <w:t xml:space="preserve"> variance </w:t>
      </w:r>
      <w:r w:rsidRPr="00AF72EF">
        <w:rPr>
          <w:rFonts w:ascii="Arial" w:eastAsia="Times New Roman" w:hAnsi="Arial" w:cs="Arial"/>
          <w:color w:val="000000"/>
          <w:sz w:val="20"/>
          <w:szCs w:val="20"/>
        </w:rPr>
        <w:t>reveals a significant impact on curd volume due to the foliar application of different micronutrients. The curd volume data showed statistically significant differences across treatments, ranging from 483.61 to 572.14 cm3 in the first year, 489.65 to 582.52 cm3 in the second year, and 486.63 to 577.33 cm3 in the pooled mean data. The highest curd volume, specifically 572.14 cm3 (2018-19), 582.52 cm3 (2019-20), and 577.33 cm3 (pooled mean), was achieved with the application of (T16) Ammonium Molybdate @ 0.40% + Boron @ 0.100%, which was statistically comparable to (T13) Ammonium Molybdate @ 0.30% + Boron @ 0.100% and (T10) Ammonium Molybdate @ 0.20% + Boron @ 0.100% compared to the other treatments. The smallest curd volume was recorded with the control treatment in both years and in the pooled mean data.</w:t>
      </w:r>
    </w:p>
    <w:p w14:paraId="077E598C" w14:textId="60561DC1" w:rsidR="000A7DB1" w:rsidRPr="00AF72EF" w:rsidRDefault="000A7DB1" w:rsidP="000A7DB1">
      <w:pPr>
        <w:pBdr>
          <w:top w:val="nil"/>
          <w:left w:val="nil"/>
          <w:bottom w:val="nil"/>
          <w:right w:val="nil"/>
          <w:between w:val="nil"/>
        </w:pBdr>
        <w:spacing w:line="240" w:lineRule="auto"/>
        <w:jc w:val="both"/>
        <w:rPr>
          <w:rFonts w:ascii="Arial" w:eastAsia="Times New Roman" w:hAnsi="Arial" w:cs="Arial"/>
          <w:color w:val="000000"/>
          <w:sz w:val="20"/>
          <w:szCs w:val="20"/>
        </w:rPr>
      </w:pPr>
      <w:r w:rsidRPr="00AF72EF">
        <w:rPr>
          <w:rFonts w:ascii="Arial" w:eastAsia="Times New Roman" w:hAnsi="Arial" w:cs="Arial"/>
          <w:b/>
          <w:bCs/>
          <w:color w:val="000000"/>
          <w:sz w:val="20"/>
          <w:szCs w:val="20"/>
        </w:rPr>
        <w:t>Table 2:</w:t>
      </w:r>
      <w:r w:rsidR="002F6E06">
        <w:rPr>
          <w:rFonts w:ascii="Arial" w:eastAsia="Times New Roman" w:hAnsi="Arial" w:cs="Arial"/>
          <w:color w:val="000000"/>
          <w:sz w:val="20"/>
          <w:szCs w:val="20"/>
        </w:rPr>
        <w:t xml:space="preserve"> Curd volume</w:t>
      </w:r>
      <w:r w:rsidRPr="00AF72EF">
        <w:rPr>
          <w:rFonts w:ascii="Arial" w:eastAsia="Times New Roman" w:hAnsi="Arial" w:cs="Arial"/>
          <w:color w:val="000000"/>
          <w:sz w:val="20"/>
          <w:szCs w:val="20"/>
        </w:rPr>
        <w:t xml:space="preserve"> of cauliflower as influenced by foliar application of micro nutrients</w:t>
      </w:r>
    </w:p>
    <w:p w14:paraId="153E0AE8" w14:textId="77777777" w:rsidR="000A7DB1" w:rsidRDefault="000A7DB1" w:rsidP="000A7DB1">
      <w:pPr>
        <w:widowControl w:val="0"/>
        <w:pBdr>
          <w:top w:val="nil"/>
          <w:left w:val="nil"/>
          <w:bottom w:val="nil"/>
          <w:right w:val="nil"/>
          <w:between w:val="nil"/>
        </w:pBdr>
        <w:spacing w:before="26" w:after="0" w:line="240" w:lineRule="auto"/>
        <w:rPr>
          <w:rFonts w:ascii="Times New Roman" w:eastAsia="Times New Roman" w:hAnsi="Times New Roman" w:cs="Times New Roman"/>
          <w:color w:val="000000"/>
          <w:sz w:val="20"/>
          <w:szCs w:val="20"/>
        </w:rPr>
      </w:pPr>
    </w:p>
    <w:tbl>
      <w:tblPr>
        <w:tblStyle w:val="a0"/>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3"/>
        <w:gridCol w:w="1701"/>
        <w:gridCol w:w="1559"/>
        <w:gridCol w:w="1559"/>
      </w:tblGrid>
      <w:tr w:rsidR="000A7DB1" w:rsidRPr="00AF72EF" w14:paraId="47FC20C2" w14:textId="77777777" w:rsidTr="001228EA">
        <w:trPr>
          <w:trHeight w:val="412"/>
        </w:trPr>
        <w:tc>
          <w:tcPr>
            <w:tcW w:w="5813" w:type="dxa"/>
            <w:vMerge w:val="restart"/>
          </w:tcPr>
          <w:p w14:paraId="08351EDB" w14:textId="77777777" w:rsidR="000A7DB1" w:rsidRPr="00AF72EF" w:rsidRDefault="000A7DB1" w:rsidP="000A7DB1">
            <w:pPr>
              <w:widowControl w:val="0"/>
              <w:pBdr>
                <w:top w:val="nil"/>
                <w:left w:val="nil"/>
                <w:bottom w:val="nil"/>
                <w:right w:val="nil"/>
                <w:between w:val="nil"/>
              </w:pBdr>
              <w:spacing w:after="0" w:line="240" w:lineRule="auto"/>
              <w:ind w:left="60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Treatments</w:t>
            </w:r>
          </w:p>
        </w:tc>
        <w:tc>
          <w:tcPr>
            <w:tcW w:w="4819" w:type="dxa"/>
            <w:gridSpan w:val="3"/>
          </w:tcPr>
          <w:p w14:paraId="78ED705A" w14:textId="77777777" w:rsidR="000A7DB1" w:rsidRPr="00AF72EF" w:rsidRDefault="000A7DB1" w:rsidP="000A7DB1">
            <w:pPr>
              <w:widowControl w:val="0"/>
              <w:pBdr>
                <w:top w:val="nil"/>
                <w:left w:val="nil"/>
                <w:bottom w:val="nil"/>
                <w:right w:val="nil"/>
                <w:between w:val="nil"/>
              </w:pBdr>
              <w:spacing w:after="0" w:line="240" w:lineRule="auto"/>
              <w:ind w:left="1920"/>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Curd volume (cm</w:t>
            </w:r>
            <w:r w:rsidRPr="00AF72EF">
              <w:rPr>
                <w:rFonts w:ascii="Arial" w:eastAsia="Times New Roman" w:hAnsi="Arial" w:cs="Arial"/>
                <w:color w:val="000000"/>
                <w:sz w:val="20"/>
                <w:szCs w:val="20"/>
                <w:highlight w:val="yellow"/>
                <w:vertAlign w:val="superscript"/>
              </w:rPr>
              <w:t>3</w:t>
            </w:r>
            <w:r w:rsidRPr="00AF72EF">
              <w:rPr>
                <w:rFonts w:ascii="Arial" w:eastAsia="Times New Roman" w:hAnsi="Arial" w:cs="Arial"/>
                <w:color w:val="000000"/>
                <w:sz w:val="20"/>
                <w:szCs w:val="20"/>
                <w:highlight w:val="yellow"/>
              </w:rPr>
              <w:t>)</w:t>
            </w:r>
          </w:p>
        </w:tc>
      </w:tr>
      <w:tr w:rsidR="000A7DB1" w:rsidRPr="00AF72EF" w14:paraId="5308EE76" w14:textId="77777777" w:rsidTr="001228EA">
        <w:trPr>
          <w:trHeight w:val="417"/>
        </w:trPr>
        <w:tc>
          <w:tcPr>
            <w:tcW w:w="5813" w:type="dxa"/>
            <w:vMerge/>
          </w:tcPr>
          <w:p w14:paraId="2E819A41" w14:textId="77777777" w:rsidR="000A7DB1" w:rsidRPr="00AF72EF" w:rsidRDefault="000A7DB1" w:rsidP="000A7DB1">
            <w:pPr>
              <w:widowControl w:val="0"/>
              <w:pBdr>
                <w:top w:val="nil"/>
                <w:left w:val="nil"/>
                <w:bottom w:val="nil"/>
                <w:right w:val="nil"/>
                <w:between w:val="nil"/>
              </w:pBdr>
              <w:spacing w:after="0" w:line="240" w:lineRule="auto"/>
              <w:rPr>
                <w:rFonts w:ascii="Arial" w:eastAsia="Times New Roman" w:hAnsi="Arial" w:cs="Arial"/>
                <w:color w:val="000000"/>
                <w:sz w:val="20"/>
                <w:szCs w:val="20"/>
                <w:highlight w:val="yellow"/>
              </w:rPr>
            </w:pPr>
          </w:p>
        </w:tc>
        <w:tc>
          <w:tcPr>
            <w:tcW w:w="1701" w:type="dxa"/>
          </w:tcPr>
          <w:p w14:paraId="3D07790B" w14:textId="77777777" w:rsidR="000A7DB1" w:rsidRPr="00AF72EF" w:rsidRDefault="000A7DB1" w:rsidP="000A7DB1">
            <w:pPr>
              <w:widowControl w:val="0"/>
              <w:pBdr>
                <w:top w:val="nil"/>
                <w:left w:val="nil"/>
                <w:bottom w:val="nil"/>
                <w:right w:val="nil"/>
                <w:between w:val="nil"/>
              </w:pBdr>
              <w:spacing w:after="0" w:line="240" w:lineRule="auto"/>
              <w:ind w:left="9"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2018-19</w:t>
            </w:r>
          </w:p>
        </w:tc>
        <w:tc>
          <w:tcPr>
            <w:tcW w:w="1559" w:type="dxa"/>
          </w:tcPr>
          <w:p w14:paraId="62BB7522" w14:textId="77777777" w:rsidR="000A7DB1" w:rsidRPr="00AF72EF" w:rsidRDefault="000A7DB1" w:rsidP="000A7DB1">
            <w:pPr>
              <w:widowControl w:val="0"/>
              <w:pBdr>
                <w:top w:val="nil"/>
                <w:left w:val="nil"/>
                <w:bottom w:val="nil"/>
                <w:right w:val="nil"/>
                <w:between w:val="nil"/>
              </w:pBdr>
              <w:spacing w:after="0" w:line="240" w:lineRule="auto"/>
              <w:ind w:left="9"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2019-20</w:t>
            </w:r>
          </w:p>
        </w:tc>
        <w:tc>
          <w:tcPr>
            <w:tcW w:w="1559" w:type="dxa"/>
            <w:tcBorders>
              <w:bottom w:val="single" w:sz="4" w:space="0" w:color="000000"/>
              <w:right w:val="single" w:sz="4" w:space="0" w:color="000000"/>
            </w:tcBorders>
          </w:tcPr>
          <w:p w14:paraId="4C8986E5" w14:textId="77777777" w:rsidR="000A7DB1" w:rsidRPr="00AF72EF" w:rsidRDefault="000A7DB1" w:rsidP="000A7DB1">
            <w:pPr>
              <w:widowControl w:val="0"/>
              <w:pBdr>
                <w:top w:val="nil"/>
                <w:left w:val="nil"/>
                <w:bottom w:val="nil"/>
                <w:right w:val="nil"/>
                <w:between w:val="nil"/>
              </w:pBdr>
              <w:spacing w:after="0" w:line="240" w:lineRule="auto"/>
              <w:ind w:left="2"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Pooled</w:t>
            </w:r>
          </w:p>
        </w:tc>
      </w:tr>
      <w:tr w:rsidR="000A7DB1" w:rsidRPr="00AF72EF" w14:paraId="299D80A8" w14:textId="77777777" w:rsidTr="001228EA">
        <w:trPr>
          <w:trHeight w:val="414"/>
        </w:trPr>
        <w:tc>
          <w:tcPr>
            <w:tcW w:w="5813" w:type="dxa"/>
          </w:tcPr>
          <w:p w14:paraId="18B0F498" w14:textId="77777777" w:rsidR="000A7DB1" w:rsidRPr="00AF72EF" w:rsidRDefault="000A7DB1" w:rsidP="000A7DB1">
            <w:pPr>
              <w:widowControl w:val="0"/>
              <w:pBdr>
                <w:top w:val="nil"/>
                <w:left w:val="nil"/>
                <w:bottom w:val="nil"/>
                <w:right w:val="nil"/>
                <w:between w:val="nil"/>
              </w:pBdr>
              <w:spacing w:after="0" w:line="240" w:lineRule="auto"/>
              <w:ind w:left="107" w:right="127"/>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T1: Control</w:t>
            </w:r>
          </w:p>
        </w:tc>
        <w:tc>
          <w:tcPr>
            <w:tcW w:w="1701" w:type="dxa"/>
          </w:tcPr>
          <w:p w14:paraId="57A428E2" w14:textId="77777777" w:rsidR="000A7DB1" w:rsidRPr="00AF72EF" w:rsidRDefault="000A7DB1" w:rsidP="000A7DB1">
            <w:pPr>
              <w:widowControl w:val="0"/>
              <w:pBdr>
                <w:top w:val="nil"/>
                <w:left w:val="nil"/>
                <w:bottom w:val="nil"/>
                <w:right w:val="nil"/>
                <w:between w:val="nil"/>
              </w:pBdr>
              <w:spacing w:after="0" w:line="240" w:lineRule="auto"/>
              <w:ind w:left="8"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483.61</w:t>
            </w:r>
          </w:p>
        </w:tc>
        <w:tc>
          <w:tcPr>
            <w:tcW w:w="1559" w:type="dxa"/>
          </w:tcPr>
          <w:p w14:paraId="4FC152BF" w14:textId="77777777" w:rsidR="000A7DB1" w:rsidRPr="00AF72EF" w:rsidRDefault="000A7DB1" w:rsidP="000A7DB1">
            <w:pPr>
              <w:widowControl w:val="0"/>
              <w:pBdr>
                <w:top w:val="nil"/>
                <w:left w:val="nil"/>
                <w:bottom w:val="nil"/>
                <w:right w:val="nil"/>
                <w:between w:val="nil"/>
              </w:pBdr>
              <w:spacing w:after="0" w:line="240" w:lineRule="auto"/>
              <w:ind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489.65</w:t>
            </w:r>
          </w:p>
        </w:tc>
        <w:tc>
          <w:tcPr>
            <w:tcW w:w="1559" w:type="dxa"/>
            <w:tcBorders>
              <w:bottom w:val="single" w:sz="4" w:space="0" w:color="000000"/>
              <w:right w:val="single" w:sz="4" w:space="0" w:color="000000"/>
            </w:tcBorders>
          </w:tcPr>
          <w:p w14:paraId="469051C3" w14:textId="77777777" w:rsidR="000A7DB1" w:rsidRPr="00AF72EF" w:rsidRDefault="000A7DB1" w:rsidP="000A7DB1">
            <w:pPr>
              <w:widowControl w:val="0"/>
              <w:pBdr>
                <w:top w:val="nil"/>
                <w:left w:val="nil"/>
                <w:bottom w:val="nil"/>
                <w:right w:val="nil"/>
                <w:between w:val="nil"/>
              </w:pBdr>
              <w:spacing w:after="0" w:line="240" w:lineRule="auto"/>
              <w:ind w:left="4"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486.63</w:t>
            </w:r>
          </w:p>
        </w:tc>
      </w:tr>
      <w:tr w:rsidR="000A7DB1" w:rsidRPr="00AF72EF" w14:paraId="316456E0" w14:textId="77777777" w:rsidTr="001228EA">
        <w:trPr>
          <w:trHeight w:val="414"/>
        </w:trPr>
        <w:tc>
          <w:tcPr>
            <w:tcW w:w="5813" w:type="dxa"/>
          </w:tcPr>
          <w:p w14:paraId="1A5D6634" w14:textId="77777777" w:rsidR="000A7DB1" w:rsidRPr="00AF72EF" w:rsidRDefault="000A7DB1" w:rsidP="000A7DB1">
            <w:pPr>
              <w:widowControl w:val="0"/>
              <w:pBdr>
                <w:top w:val="nil"/>
                <w:left w:val="nil"/>
                <w:bottom w:val="nil"/>
                <w:right w:val="nil"/>
                <w:between w:val="nil"/>
              </w:pBdr>
              <w:spacing w:after="0" w:line="240" w:lineRule="auto"/>
              <w:ind w:left="107" w:right="61"/>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T2: Ammonium Molybdate (Mo) @ 0.20%</w:t>
            </w:r>
          </w:p>
        </w:tc>
        <w:tc>
          <w:tcPr>
            <w:tcW w:w="1701" w:type="dxa"/>
          </w:tcPr>
          <w:p w14:paraId="0C26A313" w14:textId="77777777" w:rsidR="000A7DB1" w:rsidRPr="00AF72EF" w:rsidRDefault="000A7DB1" w:rsidP="000A7DB1">
            <w:pPr>
              <w:widowControl w:val="0"/>
              <w:pBdr>
                <w:top w:val="nil"/>
                <w:left w:val="nil"/>
                <w:bottom w:val="nil"/>
                <w:right w:val="nil"/>
                <w:between w:val="nil"/>
              </w:pBdr>
              <w:spacing w:after="0" w:line="240" w:lineRule="auto"/>
              <w:ind w:left="4"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508.74</w:t>
            </w:r>
          </w:p>
        </w:tc>
        <w:tc>
          <w:tcPr>
            <w:tcW w:w="1559" w:type="dxa"/>
          </w:tcPr>
          <w:p w14:paraId="414ABCA3" w14:textId="77777777" w:rsidR="000A7DB1" w:rsidRPr="00AF72EF" w:rsidRDefault="000A7DB1" w:rsidP="000A7DB1">
            <w:pPr>
              <w:widowControl w:val="0"/>
              <w:pBdr>
                <w:top w:val="nil"/>
                <w:left w:val="nil"/>
                <w:bottom w:val="nil"/>
                <w:right w:val="nil"/>
                <w:between w:val="nil"/>
              </w:pBdr>
              <w:spacing w:after="0" w:line="240" w:lineRule="auto"/>
              <w:ind w:left="10"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509.52</w:t>
            </w:r>
          </w:p>
        </w:tc>
        <w:tc>
          <w:tcPr>
            <w:tcW w:w="1559" w:type="dxa"/>
            <w:tcBorders>
              <w:bottom w:val="single" w:sz="4" w:space="0" w:color="000000"/>
              <w:right w:val="single" w:sz="4" w:space="0" w:color="000000"/>
            </w:tcBorders>
          </w:tcPr>
          <w:p w14:paraId="6B337D8C" w14:textId="77777777" w:rsidR="000A7DB1" w:rsidRPr="00AF72EF" w:rsidRDefault="000A7DB1" w:rsidP="000A7DB1">
            <w:pPr>
              <w:widowControl w:val="0"/>
              <w:pBdr>
                <w:top w:val="nil"/>
                <w:left w:val="nil"/>
                <w:bottom w:val="nil"/>
                <w:right w:val="nil"/>
                <w:between w:val="nil"/>
              </w:pBdr>
              <w:spacing w:after="0" w:line="240" w:lineRule="auto"/>
              <w:ind w:left="7"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509.13</w:t>
            </w:r>
          </w:p>
        </w:tc>
      </w:tr>
      <w:tr w:rsidR="000A7DB1" w:rsidRPr="00AF72EF" w14:paraId="00880370" w14:textId="77777777" w:rsidTr="001228EA">
        <w:trPr>
          <w:trHeight w:val="414"/>
        </w:trPr>
        <w:tc>
          <w:tcPr>
            <w:tcW w:w="5813" w:type="dxa"/>
          </w:tcPr>
          <w:p w14:paraId="7165A251"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T3: Ammonium Molybdate (Mo) @ 0.30%</w:t>
            </w:r>
          </w:p>
        </w:tc>
        <w:tc>
          <w:tcPr>
            <w:tcW w:w="1701" w:type="dxa"/>
          </w:tcPr>
          <w:p w14:paraId="6311008C" w14:textId="77777777" w:rsidR="000A7DB1" w:rsidRPr="00AF72EF" w:rsidRDefault="000A7DB1" w:rsidP="000A7DB1">
            <w:pPr>
              <w:widowControl w:val="0"/>
              <w:pBdr>
                <w:top w:val="nil"/>
                <w:left w:val="nil"/>
                <w:bottom w:val="nil"/>
                <w:right w:val="nil"/>
                <w:between w:val="nil"/>
              </w:pBdr>
              <w:spacing w:after="0" w:line="240" w:lineRule="auto"/>
              <w:ind w:left="4"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510.74</w:t>
            </w:r>
          </w:p>
        </w:tc>
        <w:tc>
          <w:tcPr>
            <w:tcW w:w="1559" w:type="dxa"/>
          </w:tcPr>
          <w:p w14:paraId="1E4EF645" w14:textId="77777777" w:rsidR="000A7DB1" w:rsidRPr="00AF72EF" w:rsidRDefault="000A7DB1" w:rsidP="000A7DB1">
            <w:pPr>
              <w:widowControl w:val="0"/>
              <w:pBdr>
                <w:top w:val="nil"/>
                <w:left w:val="nil"/>
                <w:bottom w:val="nil"/>
                <w:right w:val="nil"/>
                <w:between w:val="nil"/>
              </w:pBdr>
              <w:spacing w:after="0" w:line="240" w:lineRule="auto"/>
              <w:ind w:left="10"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511.51</w:t>
            </w:r>
          </w:p>
        </w:tc>
        <w:tc>
          <w:tcPr>
            <w:tcW w:w="1559" w:type="dxa"/>
            <w:tcBorders>
              <w:bottom w:val="single" w:sz="4" w:space="0" w:color="000000"/>
              <w:right w:val="single" w:sz="4" w:space="0" w:color="000000"/>
            </w:tcBorders>
          </w:tcPr>
          <w:p w14:paraId="564A6EC3" w14:textId="77777777" w:rsidR="000A7DB1" w:rsidRPr="00AF72EF" w:rsidRDefault="000A7DB1" w:rsidP="000A7DB1">
            <w:pPr>
              <w:widowControl w:val="0"/>
              <w:pBdr>
                <w:top w:val="nil"/>
                <w:left w:val="nil"/>
                <w:bottom w:val="nil"/>
                <w:right w:val="nil"/>
                <w:between w:val="nil"/>
              </w:pBdr>
              <w:spacing w:after="0" w:line="240" w:lineRule="auto"/>
              <w:ind w:left="7"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511.13</w:t>
            </w:r>
          </w:p>
        </w:tc>
      </w:tr>
      <w:tr w:rsidR="000A7DB1" w:rsidRPr="00AF72EF" w14:paraId="4E9B97B1" w14:textId="77777777" w:rsidTr="001228EA">
        <w:trPr>
          <w:trHeight w:val="412"/>
        </w:trPr>
        <w:tc>
          <w:tcPr>
            <w:tcW w:w="5813" w:type="dxa"/>
          </w:tcPr>
          <w:p w14:paraId="7CF895EF" w14:textId="77777777" w:rsidR="000A7DB1" w:rsidRPr="00AF72EF" w:rsidRDefault="000A7DB1" w:rsidP="000A7DB1">
            <w:pPr>
              <w:widowControl w:val="0"/>
              <w:pBdr>
                <w:top w:val="nil"/>
                <w:left w:val="nil"/>
                <w:bottom w:val="nil"/>
                <w:right w:val="nil"/>
                <w:between w:val="nil"/>
              </w:pBdr>
              <w:spacing w:after="0" w:line="240" w:lineRule="auto"/>
              <w:ind w:left="107" w:right="61"/>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T4: Ammonium Molybdate (Mo) @ 0.40%</w:t>
            </w:r>
          </w:p>
        </w:tc>
        <w:tc>
          <w:tcPr>
            <w:tcW w:w="1701" w:type="dxa"/>
          </w:tcPr>
          <w:p w14:paraId="679CDF25" w14:textId="77777777" w:rsidR="000A7DB1" w:rsidRPr="00AF72EF" w:rsidRDefault="000A7DB1" w:rsidP="000A7DB1">
            <w:pPr>
              <w:widowControl w:val="0"/>
              <w:pBdr>
                <w:top w:val="nil"/>
                <w:left w:val="nil"/>
                <w:bottom w:val="nil"/>
                <w:right w:val="nil"/>
                <w:between w:val="nil"/>
              </w:pBdr>
              <w:spacing w:after="0" w:line="240" w:lineRule="auto"/>
              <w:ind w:left="11"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511.11</w:t>
            </w:r>
          </w:p>
        </w:tc>
        <w:tc>
          <w:tcPr>
            <w:tcW w:w="1559" w:type="dxa"/>
          </w:tcPr>
          <w:p w14:paraId="0829746C" w14:textId="77777777" w:rsidR="000A7DB1" w:rsidRPr="00AF72EF" w:rsidRDefault="000A7DB1" w:rsidP="000A7DB1">
            <w:pPr>
              <w:widowControl w:val="0"/>
              <w:pBdr>
                <w:top w:val="nil"/>
                <w:left w:val="nil"/>
                <w:bottom w:val="nil"/>
                <w:right w:val="nil"/>
                <w:between w:val="nil"/>
              </w:pBdr>
              <w:spacing w:after="0" w:line="240" w:lineRule="auto"/>
              <w:ind w:left="10"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512.71</w:t>
            </w:r>
          </w:p>
        </w:tc>
        <w:tc>
          <w:tcPr>
            <w:tcW w:w="1559" w:type="dxa"/>
            <w:tcBorders>
              <w:bottom w:val="single" w:sz="4" w:space="0" w:color="000000"/>
              <w:right w:val="single" w:sz="4" w:space="0" w:color="000000"/>
            </w:tcBorders>
          </w:tcPr>
          <w:p w14:paraId="39640EE1" w14:textId="77777777" w:rsidR="000A7DB1" w:rsidRPr="00AF72EF" w:rsidRDefault="000A7DB1" w:rsidP="000A7DB1">
            <w:pPr>
              <w:widowControl w:val="0"/>
              <w:pBdr>
                <w:top w:val="nil"/>
                <w:left w:val="nil"/>
                <w:bottom w:val="nil"/>
                <w:right w:val="nil"/>
                <w:between w:val="nil"/>
              </w:pBdr>
              <w:spacing w:after="0" w:line="240" w:lineRule="auto"/>
              <w:ind w:left="7"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511.91</w:t>
            </w:r>
          </w:p>
        </w:tc>
      </w:tr>
      <w:tr w:rsidR="000A7DB1" w:rsidRPr="00AF72EF" w14:paraId="786F60DA" w14:textId="77777777" w:rsidTr="001228EA">
        <w:trPr>
          <w:trHeight w:val="417"/>
        </w:trPr>
        <w:tc>
          <w:tcPr>
            <w:tcW w:w="5813" w:type="dxa"/>
          </w:tcPr>
          <w:p w14:paraId="421745DB"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T5: Boron @ 0.060%</w:t>
            </w:r>
          </w:p>
        </w:tc>
        <w:tc>
          <w:tcPr>
            <w:tcW w:w="1701" w:type="dxa"/>
          </w:tcPr>
          <w:p w14:paraId="11DFB342" w14:textId="77777777" w:rsidR="000A7DB1" w:rsidRPr="00AF72EF" w:rsidRDefault="000A7DB1" w:rsidP="000A7DB1">
            <w:pPr>
              <w:widowControl w:val="0"/>
              <w:pBdr>
                <w:top w:val="nil"/>
                <w:left w:val="nil"/>
                <w:bottom w:val="nil"/>
                <w:right w:val="nil"/>
                <w:between w:val="nil"/>
              </w:pBdr>
              <w:spacing w:after="0" w:line="240" w:lineRule="auto"/>
              <w:ind w:left="4"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502.35</w:t>
            </w:r>
          </w:p>
        </w:tc>
        <w:tc>
          <w:tcPr>
            <w:tcW w:w="1559" w:type="dxa"/>
          </w:tcPr>
          <w:p w14:paraId="4DECB681" w14:textId="77777777" w:rsidR="000A7DB1" w:rsidRPr="00AF72EF" w:rsidRDefault="000A7DB1" w:rsidP="000A7DB1">
            <w:pPr>
              <w:widowControl w:val="0"/>
              <w:pBdr>
                <w:top w:val="nil"/>
                <w:left w:val="nil"/>
                <w:bottom w:val="nil"/>
                <w:right w:val="nil"/>
                <w:between w:val="nil"/>
              </w:pBdr>
              <w:spacing w:after="0" w:line="240" w:lineRule="auto"/>
              <w:ind w:left="3"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503.24</w:t>
            </w:r>
          </w:p>
        </w:tc>
        <w:tc>
          <w:tcPr>
            <w:tcW w:w="1559" w:type="dxa"/>
            <w:tcBorders>
              <w:bottom w:val="single" w:sz="4" w:space="0" w:color="000000"/>
              <w:right w:val="single" w:sz="4" w:space="0" w:color="000000"/>
            </w:tcBorders>
          </w:tcPr>
          <w:p w14:paraId="0D22504D" w14:textId="77777777" w:rsidR="000A7DB1" w:rsidRPr="00AF72EF" w:rsidRDefault="000A7DB1" w:rsidP="000A7DB1">
            <w:pPr>
              <w:widowControl w:val="0"/>
              <w:pBdr>
                <w:top w:val="nil"/>
                <w:left w:val="nil"/>
                <w:bottom w:val="nil"/>
                <w:right w:val="nil"/>
                <w:between w:val="nil"/>
              </w:pBdr>
              <w:spacing w:after="0" w:line="240" w:lineRule="auto"/>
              <w:ind w:left="7"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502.80</w:t>
            </w:r>
          </w:p>
        </w:tc>
      </w:tr>
      <w:tr w:rsidR="000A7DB1" w:rsidRPr="00AF72EF" w14:paraId="33331D71" w14:textId="77777777" w:rsidTr="001228EA">
        <w:trPr>
          <w:trHeight w:val="412"/>
        </w:trPr>
        <w:tc>
          <w:tcPr>
            <w:tcW w:w="5813" w:type="dxa"/>
          </w:tcPr>
          <w:p w14:paraId="63E384F4"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T6: Boron @ 0.080%</w:t>
            </w:r>
          </w:p>
        </w:tc>
        <w:tc>
          <w:tcPr>
            <w:tcW w:w="1701" w:type="dxa"/>
          </w:tcPr>
          <w:p w14:paraId="2A7064ED" w14:textId="77777777" w:rsidR="000A7DB1" w:rsidRPr="00AF72EF" w:rsidRDefault="000A7DB1" w:rsidP="000A7DB1">
            <w:pPr>
              <w:widowControl w:val="0"/>
              <w:pBdr>
                <w:top w:val="nil"/>
                <w:left w:val="nil"/>
                <w:bottom w:val="nil"/>
                <w:right w:val="nil"/>
                <w:between w:val="nil"/>
              </w:pBdr>
              <w:spacing w:after="0" w:line="240" w:lineRule="auto"/>
              <w:ind w:left="4"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504.64</w:t>
            </w:r>
          </w:p>
        </w:tc>
        <w:tc>
          <w:tcPr>
            <w:tcW w:w="1559" w:type="dxa"/>
          </w:tcPr>
          <w:p w14:paraId="34DC9B3C" w14:textId="77777777" w:rsidR="000A7DB1" w:rsidRPr="00AF72EF" w:rsidRDefault="000A7DB1" w:rsidP="000A7DB1">
            <w:pPr>
              <w:widowControl w:val="0"/>
              <w:pBdr>
                <w:top w:val="nil"/>
                <w:left w:val="nil"/>
                <w:bottom w:val="nil"/>
                <w:right w:val="nil"/>
                <w:between w:val="nil"/>
              </w:pBdr>
              <w:spacing w:after="0" w:line="240" w:lineRule="auto"/>
              <w:ind w:left="3"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505.54</w:t>
            </w:r>
          </w:p>
        </w:tc>
        <w:tc>
          <w:tcPr>
            <w:tcW w:w="1559" w:type="dxa"/>
            <w:tcBorders>
              <w:bottom w:val="single" w:sz="4" w:space="0" w:color="000000"/>
              <w:right w:val="single" w:sz="4" w:space="0" w:color="000000"/>
            </w:tcBorders>
          </w:tcPr>
          <w:p w14:paraId="0E3C1D0C" w14:textId="77777777" w:rsidR="000A7DB1" w:rsidRPr="00AF72EF" w:rsidRDefault="000A7DB1" w:rsidP="000A7DB1">
            <w:pPr>
              <w:widowControl w:val="0"/>
              <w:pBdr>
                <w:top w:val="nil"/>
                <w:left w:val="nil"/>
                <w:bottom w:val="nil"/>
                <w:right w:val="nil"/>
                <w:between w:val="nil"/>
              </w:pBdr>
              <w:spacing w:after="0" w:line="240" w:lineRule="auto"/>
              <w:ind w:left="7"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505.09</w:t>
            </w:r>
          </w:p>
        </w:tc>
      </w:tr>
      <w:tr w:rsidR="000A7DB1" w:rsidRPr="00AF72EF" w14:paraId="5B690A43" w14:textId="77777777" w:rsidTr="001228EA">
        <w:trPr>
          <w:trHeight w:val="417"/>
        </w:trPr>
        <w:tc>
          <w:tcPr>
            <w:tcW w:w="5813" w:type="dxa"/>
          </w:tcPr>
          <w:p w14:paraId="4AFD47D9"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T7: Boron @ 0.100%</w:t>
            </w:r>
          </w:p>
        </w:tc>
        <w:tc>
          <w:tcPr>
            <w:tcW w:w="1701" w:type="dxa"/>
          </w:tcPr>
          <w:p w14:paraId="71BA3AD4" w14:textId="77777777" w:rsidR="000A7DB1" w:rsidRPr="00AF72EF" w:rsidRDefault="000A7DB1" w:rsidP="000A7DB1">
            <w:pPr>
              <w:widowControl w:val="0"/>
              <w:pBdr>
                <w:top w:val="nil"/>
                <w:left w:val="nil"/>
                <w:bottom w:val="nil"/>
                <w:right w:val="nil"/>
                <w:between w:val="nil"/>
              </w:pBdr>
              <w:spacing w:after="0" w:line="240" w:lineRule="auto"/>
              <w:ind w:left="4"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506.35</w:t>
            </w:r>
          </w:p>
        </w:tc>
        <w:tc>
          <w:tcPr>
            <w:tcW w:w="1559" w:type="dxa"/>
          </w:tcPr>
          <w:p w14:paraId="106FBF8B" w14:textId="77777777" w:rsidR="000A7DB1" w:rsidRPr="00AF72EF" w:rsidRDefault="000A7DB1" w:rsidP="000A7DB1">
            <w:pPr>
              <w:widowControl w:val="0"/>
              <w:pBdr>
                <w:top w:val="nil"/>
                <w:left w:val="nil"/>
                <w:bottom w:val="nil"/>
                <w:right w:val="nil"/>
                <w:between w:val="nil"/>
              </w:pBdr>
              <w:spacing w:after="0" w:line="240" w:lineRule="auto"/>
              <w:ind w:left="10"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508.11</w:t>
            </w:r>
          </w:p>
        </w:tc>
        <w:tc>
          <w:tcPr>
            <w:tcW w:w="1559" w:type="dxa"/>
            <w:tcBorders>
              <w:bottom w:val="single" w:sz="4" w:space="0" w:color="000000"/>
              <w:right w:val="single" w:sz="4" w:space="0" w:color="000000"/>
            </w:tcBorders>
          </w:tcPr>
          <w:p w14:paraId="2A13F9F6" w14:textId="77777777" w:rsidR="000A7DB1" w:rsidRPr="00AF72EF" w:rsidRDefault="000A7DB1" w:rsidP="000A7DB1">
            <w:pPr>
              <w:widowControl w:val="0"/>
              <w:pBdr>
                <w:top w:val="nil"/>
                <w:left w:val="nil"/>
                <w:bottom w:val="nil"/>
                <w:right w:val="nil"/>
                <w:between w:val="nil"/>
              </w:pBdr>
              <w:spacing w:after="0" w:line="240" w:lineRule="auto"/>
              <w:ind w:left="7"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507.23</w:t>
            </w:r>
          </w:p>
        </w:tc>
      </w:tr>
      <w:tr w:rsidR="000A7DB1" w:rsidRPr="00AF72EF" w14:paraId="1E426975" w14:textId="77777777" w:rsidTr="001228EA">
        <w:trPr>
          <w:trHeight w:val="412"/>
        </w:trPr>
        <w:tc>
          <w:tcPr>
            <w:tcW w:w="5813" w:type="dxa"/>
          </w:tcPr>
          <w:p w14:paraId="67BB9982"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T8: Ammonium Molybdate (Mo) @ 0.20% + Boron @ 0.060%</w:t>
            </w:r>
          </w:p>
        </w:tc>
        <w:tc>
          <w:tcPr>
            <w:tcW w:w="1701" w:type="dxa"/>
          </w:tcPr>
          <w:p w14:paraId="22FD0305" w14:textId="77777777" w:rsidR="000A7DB1" w:rsidRPr="00AF72EF" w:rsidRDefault="000A7DB1" w:rsidP="000A7DB1">
            <w:pPr>
              <w:widowControl w:val="0"/>
              <w:pBdr>
                <w:top w:val="nil"/>
                <w:left w:val="nil"/>
                <w:bottom w:val="nil"/>
                <w:right w:val="nil"/>
                <w:between w:val="nil"/>
              </w:pBdr>
              <w:spacing w:after="0" w:line="240" w:lineRule="auto"/>
              <w:ind w:left="4"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511.95</w:t>
            </w:r>
          </w:p>
        </w:tc>
        <w:tc>
          <w:tcPr>
            <w:tcW w:w="1559" w:type="dxa"/>
          </w:tcPr>
          <w:p w14:paraId="5F6994C8" w14:textId="77777777" w:rsidR="000A7DB1" w:rsidRPr="00AF72EF" w:rsidRDefault="000A7DB1" w:rsidP="000A7DB1">
            <w:pPr>
              <w:widowControl w:val="0"/>
              <w:pBdr>
                <w:top w:val="nil"/>
                <w:left w:val="nil"/>
                <w:bottom w:val="nil"/>
                <w:right w:val="nil"/>
                <w:between w:val="nil"/>
              </w:pBdr>
              <w:spacing w:after="0" w:line="240" w:lineRule="auto"/>
              <w:ind w:left="10"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514.62</w:t>
            </w:r>
          </w:p>
        </w:tc>
        <w:tc>
          <w:tcPr>
            <w:tcW w:w="1559" w:type="dxa"/>
            <w:tcBorders>
              <w:bottom w:val="single" w:sz="4" w:space="0" w:color="000000"/>
              <w:right w:val="single" w:sz="4" w:space="0" w:color="000000"/>
            </w:tcBorders>
          </w:tcPr>
          <w:p w14:paraId="707D9ECF" w14:textId="77777777" w:rsidR="000A7DB1" w:rsidRPr="00AF72EF" w:rsidRDefault="000A7DB1" w:rsidP="000A7DB1">
            <w:pPr>
              <w:widowControl w:val="0"/>
              <w:pBdr>
                <w:top w:val="nil"/>
                <w:left w:val="nil"/>
                <w:bottom w:val="nil"/>
                <w:right w:val="nil"/>
                <w:between w:val="nil"/>
              </w:pBdr>
              <w:spacing w:after="0" w:line="240" w:lineRule="auto"/>
              <w:ind w:left="7"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513.29</w:t>
            </w:r>
          </w:p>
        </w:tc>
      </w:tr>
      <w:tr w:rsidR="000A7DB1" w:rsidRPr="00AF72EF" w14:paraId="7AF91329" w14:textId="77777777" w:rsidTr="001228EA">
        <w:trPr>
          <w:trHeight w:val="414"/>
        </w:trPr>
        <w:tc>
          <w:tcPr>
            <w:tcW w:w="5813" w:type="dxa"/>
          </w:tcPr>
          <w:p w14:paraId="74D46386"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T9: Ammonium Molybdate (Mo) @ 0.20% + Boron @ 0.080%</w:t>
            </w:r>
          </w:p>
        </w:tc>
        <w:tc>
          <w:tcPr>
            <w:tcW w:w="1701" w:type="dxa"/>
          </w:tcPr>
          <w:p w14:paraId="12FB0A76" w14:textId="77777777" w:rsidR="000A7DB1" w:rsidRPr="00AF72EF" w:rsidRDefault="000A7DB1" w:rsidP="000A7DB1">
            <w:pPr>
              <w:widowControl w:val="0"/>
              <w:pBdr>
                <w:top w:val="nil"/>
                <w:left w:val="nil"/>
                <w:bottom w:val="nil"/>
                <w:right w:val="nil"/>
                <w:between w:val="nil"/>
              </w:pBdr>
              <w:spacing w:after="0" w:line="240" w:lineRule="auto"/>
              <w:ind w:left="4"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520.34</w:t>
            </w:r>
          </w:p>
        </w:tc>
        <w:tc>
          <w:tcPr>
            <w:tcW w:w="1559" w:type="dxa"/>
          </w:tcPr>
          <w:p w14:paraId="43CD113B" w14:textId="77777777" w:rsidR="000A7DB1" w:rsidRPr="00AF72EF" w:rsidRDefault="000A7DB1" w:rsidP="000A7DB1">
            <w:pPr>
              <w:widowControl w:val="0"/>
              <w:pBdr>
                <w:top w:val="nil"/>
                <w:left w:val="nil"/>
                <w:bottom w:val="nil"/>
                <w:right w:val="nil"/>
                <w:between w:val="nil"/>
              </w:pBdr>
              <w:spacing w:after="0" w:line="240" w:lineRule="auto"/>
              <w:ind w:left="3"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521.65</w:t>
            </w:r>
          </w:p>
        </w:tc>
        <w:tc>
          <w:tcPr>
            <w:tcW w:w="1559" w:type="dxa"/>
            <w:tcBorders>
              <w:bottom w:val="single" w:sz="4" w:space="0" w:color="000000"/>
              <w:right w:val="single" w:sz="4" w:space="0" w:color="000000"/>
            </w:tcBorders>
          </w:tcPr>
          <w:p w14:paraId="2D1ADF66" w14:textId="77777777" w:rsidR="000A7DB1" w:rsidRPr="00AF72EF" w:rsidRDefault="000A7DB1" w:rsidP="000A7DB1">
            <w:pPr>
              <w:widowControl w:val="0"/>
              <w:pBdr>
                <w:top w:val="nil"/>
                <w:left w:val="nil"/>
                <w:bottom w:val="nil"/>
                <w:right w:val="nil"/>
                <w:between w:val="nil"/>
              </w:pBdr>
              <w:spacing w:after="0" w:line="240" w:lineRule="auto"/>
              <w:ind w:left="7"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521.00</w:t>
            </w:r>
          </w:p>
        </w:tc>
      </w:tr>
      <w:tr w:rsidR="000A7DB1" w:rsidRPr="00AF72EF" w14:paraId="60A0DF66" w14:textId="77777777" w:rsidTr="001228EA">
        <w:trPr>
          <w:trHeight w:val="414"/>
        </w:trPr>
        <w:tc>
          <w:tcPr>
            <w:tcW w:w="5813" w:type="dxa"/>
          </w:tcPr>
          <w:p w14:paraId="4060F432"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T10: Ammonium Molybdate (Mo) @ 0.20% + Boron @ 0.100%</w:t>
            </w:r>
          </w:p>
        </w:tc>
        <w:tc>
          <w:tcPr>
            <w:tcW w:w="1701" w:type="dxa"/>
          </w:tcPr>
          <w:p w14:paraId="6284F602" w14:textId="77777777" w:rsidR="000A7DB1" w:rsidRPr="00AF72EF" w:rsidRDefault="000A7DB1" w:rsidP="000A7DB1">
            <w:pPr>
              <w:widowControl w:val="0"/>
              <w:pBdr>
                <w:top w:val="nil"/>
                <w:left w:val="nil"/>
                <w:bottom w:val="nil"/>
                <w:right w:val="nil"/>
                <w:between w:val="nil"/>
              </w:pBdr>
              <w:spacing w:after="0" w:line="240" w:lineRule="auto"/>
              <w:ind w:left="4"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535.45</w:t>
            </w:r>
          </w:p>
        </w:tc>
        <w:tc>
          <w:tcPr>
            <w:tcW w:w="1559" w:type="dxa"/>
          </w:tcPr>
          <w:p w14:paraId="21DE8E62" w14:textId="77777777" w:rsidR="000A7DB1" w:rsidRPr="00AF72EF" w:rsidRDefault="000A7DB1" w:rsidP="000A7DB1">
            <w:pPr>
              <w:widowControl w:val="0"/>
              <w:pBdr>
                <w:top w:val="nil"/>
                <w:left w:val="nil"/>
                <w:bottom w:val="nil"/>
                <w:right w:val="nil"/>
                <w:between w:val="nil"/>
              </w:pBdr>
              <w:spacing w:after="0" w:line="240" w:lineRule="auto"/>
              <w:ind w:left="3"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541.64</w:t>
            </w:r>
          </w:p>
        </w:tc>
        <w:tc>
          <w:tcPr>
            <w:tcW w:w="1559" w:type="dxa"/>
            <w:tcBorders>
              <w:bottom w:val="single" w:sz="4" w:space="0" w:color="000000"/>
              <w:right w:val="single" w:sz="4" w:space="0" w:color="000000"/>
            </w:tcBorders>
          </w:tcPr>
          <w:p w14:paraId="72090F67" w14:textId="77777777" w:rsidR="000A7DB1" w:rsidRPr="00AF72EF" w:rsidRDefault="000A7DB1" w:rsidP="000A7DB1">
            <w:pPr>
              <w:widowControl w:val="0"/>
              <w:pBdr>
                <w:top w:val="nil"/>
                <w:left w:val="nil"/>
                <w:bottom w:val="nil"/>
                <w:right w:val="nil"/>
                <w:between w:val="nil"/>
              </w:pBdr>
              <w:spacing w:after="0" w:line="240" w:lineRule="auto"/>
              <w:ind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538.55</w:t>
            </w:r>
          </w:p>
        </w:tc>
      </w:tr>
      <w:tr w:rsidR="000A7DB1" w:rsidRPr="00AF72EF" w14:paraId="369F493A" w14:textId="77777777" w:rsidTr="001228EA">
        <w:trPr>
          <w:trHeight w:val="414"/>
        </w:trPr>
        <w:tc>
          <w:tcPr>
            <w:tcW w:w="5813" w:type="dxa"/>
          </w:tcPr>
          <w:p w14:paraId="16A724FF" w14:textId="77777777" w:rsidR="000A7DB1" w:rsidRPr="00AF72EF" w:rsidRDefault="000A7DB1" w:rsidP="000A7DB1">
            <w:pPr>
              <w:widowControl w:val="0"/>
              <w:pBdr>
                <w:top w:val="nil"/>
                <w:left w:val="nil"/>
                <w:bottom w:val="nil"/>
                <w:right w:val="nil"/>
                <w:between w:val="nil"/>
              </w:pBdr>
              <w:spacing w:after="0" w:line="240" w:lineRule="auto"/>
              <w:ind w:left="107" w:right="11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T11: Ammonium Molybdate (Mo) @ 0.30% + Boron @ 0.060%</w:t>
            </w:r>
          </w:p>
        </w:tc>
        <w:tc>
          <w:tcPr>
            <w:tcW w:w="1701" w:type="dxa"/>
          </w:tcPr>
          <w:p w14:paraId="2543156B" w14:textId="77777777" w:rsidR="000A7DB1" w:rsidRPr="00AF72EF" w:rsidRDefault="000A7DB1" w:rsidP="000A7DB1">
            <w:pPr>
              <w:widowControl w:val="0"/>
              <w:pBdr>
                <w:top w:val="nil"/>
                <w:left w:val="nil"/>
                <w:bottom w:val="nil"/>
                <w:right w:val="nil"/>
                <w:between w:val="nil"/>
              </w:pBdr>
              <w:spacing w:after="0" w:line="240" w:lineRule="auto"/>
              <w:ind w:left="4"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513.24</w:t>
            </w:r>
          </w:p>
        </w:tc>
        <w:tc>
          <w:tcPr>
            <w:tcW w:w="1559" w:type="dxa"/>
          </w:tcPr>
          <w:p w14:paraId="199967FD" w14:textId="77777777" w:rsidR="000A7DB1" w:rsidRPr="00AF72EF" w:rsidRDefault="000A7DB1" w:rsidP="000A7DB1">
            <w:pPr>
              <w:widowControl w:val="0"/>
              <w:pBdr>
                <w:top w:val="nil"/>
                <w:left w:val="nil"/>
                <w:bottom w:val="nil"/>
                <w:right w:val="nil"/>
                <w:between w:val="nil"/>
              </w:pBdr>
              <w:spacing w:after="0" w:line="240" w:lineRule="auto"/>
              <w:ind w:left="10"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515.71</w:t>
            </w:r>
          </w:p>
        </w:tc>
        <w:tc>
          <w:tcPr>
            <w:tcW w:w="1559" w:type="dxa"/>
            <w:tcBorders>
              <w:bottom w:val="single" w:sz="4" w:space="0" w:color="000000"/>
              <w:right w:val="single" w:sz="4" w:space="0" w:color="000000"/>
            </w:tcBorders>
          </w:tcPr>
          <w:p w14:paraId="2D371EA4" w14:textId="77777777" w:rsidR="000A7DB1" w:rsidRPr="00AF72EF" w:rsidRDefault="000A7DB1" w:rsidP="000A7DB1">
            <w:pPr>
              <w:widowControl w:val="0"/>
              <w:pBdr>
                <w:top w:val="nil"/>
                <w:left w:val="nil"/>
                <w:bottom w:val="nil"/>
                <w:right w:val="nil"/>
                <w:between w:val="nil"/>
              </w:pBdr>
              <w:spacing w:after="0" w:line="240" w:lineRule="auto"/>
              <w:ind w:left="7"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514.48</w:t>
            </w:r>
          </w:p>
        </w:tc>
      </w:tr>
      <w:tr w:rsidR="000A7DB1" w:rsidRPr="00AF72EF" w14:paraId="578537C9" w14:textId="77777777" w:rsidTr="001228EA">
        <w:trPr>
          <w:trHeight w:val="412"/>
        </w:trPr>
        <w:tc>
          <w:tcPr>
            <w:tcW w:w="5813" w:type="dxa"/>
          </w:tcPr>
          <w:p w14:paraId="17C91322" w14:textId="77777777" w:rsidR="000A7DB1" w:rsidRPr="00AF72EF" w:rsidRDefault="000A7DB1" w:rsidP="000A7DB1">
            <w:pPr>
              <w:widowControl w:val="0"/>
              <w:pBdr>
                <w:top w:val="nil"/>
                <w:left w:val="nil"/>
                <w:bottom w:val="nil"/>
                <w:right w:val="nil"/>
                <w:between w:val="nil"/>
              </w:pBdr>
              <w:spacing w:after="0" w:line="240" w:lineRule="auto"/>
              <w:ind w:left="127" w:right="20"/>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lastRenderedPageBreak/>
              <w:t>T12: Ammonium Molybdate (Mo) @ 0.30% + Boron @ 0.080%</w:t>
            </w:r>
          </w:p>
        </w:tc>
        <w:tc>
          <w:tcPr>
            <w:tcW w:w="1701" w:type="dxa"/>
          </w:tcPr>
          <w:p w14:paraId="17EFC9C2" w14:textId="77777777" w:rsidR="000A7DB1" w:rsidRPr="00AF72EF" w:rsidRDefault="000A7DB1" w:rsidP="000A7DB1">
            <w:pPr>
              <w:widowControl w:val="0"/>
              <w:pBdr>
                <w:top w:val="nil"/>
                <w:left w:val="nil"/>
                <w:bottom w:val="nil"/>
                <w:right w:val="nil"/>
                <w:between w:val="nil"/>
              </w:pBdr>
              <w:spacing w:after="0" w:line="240" w:lineRule="auto"/>
              <w:ind w:left="4"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524.74</w:t>
            </w:r>
          </w:p>
        </w:tc>
        <w:tc>
          <w:tcPr>
            <w:tcW w:w="1559" w:type="dxa"/>
          </w:tcPr>
          <w:p w14:paraId="651BD91D" w14:textId="77777777" w:rsidR="000A7DB1" w:rsidRPr="00AF72EF" w:rsidRDefault="000A7DB1" w:rsidP="000A7DB1">
            <w:pPr>
              <w:widowControl w:val="0"/>
              <w:pBdr>
                <w:top w:val="nil"/>
                <w:left w:val="nil"/>
                <w:bottom w:val="nil"/>
                <w:right w:val="nil"/>
                <w:between w:val="nil"/>
              </w:pBdr>
              <w:spacing w:after="0" w:line="240" w:lineRule="auto"/>
              <w:ind w:left="3"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526.55</w:t>
            </w:r>
          </w:p>
        </w:tc>
        <w:tc>
          <w:tcPr>
            <w:tcW w:w="1559" w:type="dxa"/>
            <w:tcBorders>
              <w:bottom w:val="single" w:sz="4" w:space="0" w:color="000000"/>
              <w:right w:val="single" w:sz="4" w:space="0" w:color="000000"/>
            </w:tcBorders>
          </w:tcPr>
          <w:p w14:paraId="78650BDE" w14:textId="77777777" w:rsidR="000A7DB1" w:rsidRPr="00AF72EF" w:rsidRDefault="000A7DB1" w:rsidP="000A7DB1">
            <w:pPr>
              <w:widowControl w:val="0"/>
              <w:pBdr>
                <w:top w:val="nil"/>
                <w:left w:val="nil"/>
                <w:bottom w:val="nil"/>
                <w:right w:val="nil"/>
                <w:between w:val="nil"/>
              </w:pBdr>
              <w:spacing w:after="0" w:line="240" w:lineRule="auto"/>
              <w:ind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525.65</w:t>
            </w:r>
          </w:p>
        </w:tc>
      </w:tr>
      <w:tr w:rsidR="000A7DB1" w:rsidRPr="00AF72EF" w14:paraId="3EB0587F" w14:textId="77777777" w:rsidTr="001228EA">
        <w:trPr>
          <w:trHeight w:val="417"/>
        </w:trPr>
        <w:tc>
          <w:tcPr>
            <w:tcW w:w="5813" w:type="dxa"/>
          </w:tcPr>
          <w:p w14:paraId="2CBA08D7" w14:textId="77777777" w:rsidR="000A7DB1" w:rsidRPr="00AF72EF" w:rsidRDefault="000A7DB1" w:rsidP="000A7DB1">
            <w:pPr>
              <w:widowControl w:val="0"/>
              <w:pBdr>
                <w:top w:val="nil"/>
                <w:left w:val="nil"/>
                <w:bottom w:val="nil"/>
                <w:right w:val="nil"/>
                <w:between w:val="nil"/>
              </w:pBdr>
              <w:spacing w:after="0" w:line="240" w:lineRule="auto"/>
              <w:ind w:left="127" w:right="20"/>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T13: Ammonium Molybdate (Mo) @ 0.30% + Boron @ 0.100%</w:t>
            </w:r>
          </w:p>
        </w:tc>
        <w:tc>
          <w:tcPr>
            <w:tcW w:w="1701" w:type="dxa"/>
          </w:tcPr>
          <w:p w14:paraId="77F1EC61" w14:textId="77777777" w:rsidR="000A7DB1" w:rsidRPr="00AF72EF" w:rsidRDefault="000A7DB1" w:rsidP="000A7DB1">
            <w:pPr>
              <w:widowControl w:val="0"/>
              <w:pBdr>
                <w:top w:val="nil"/>
                <w:left w:val="nil"/>
                <w:bottom w:val="nil"/>
                <w:right w:val="nil"/>
                <w:between w:val="nil"/>
              </w:pBdr>
              <w:spacing w:after="0" w:line="240" w:lineRule="auto"/>
              <w:ind w:left="4"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556.54</w:t>
            </w:r>
          </w:p>
        </w:tc>
        <w:tc>
          <w:tcPr>
            <w:tcW w:w="1559" w:type="dxa"/>
          </w:tcPr>
          <w:p w14:paraId="170641FF" w14:textId="77777777" w:rsidR="000A7DB1" w:rsidRPr="00AF72EF" w:rsidRDefault="000A7DB1" w:rsidP="000A7DB1">
            <w:pPr>
              <w:widowControl w:val="0"/>
              <w:pBdr>
                <w:top w:val="nil"/>
                <w:left w:val="nil"/>
                <w:bottom w:val="nil"/>
                <w:right w:val="nil"/>
                <w:between w:val="nil"/>
              </w:pBdr>
              <w:spacing w:after="0" w:line="240" w:lineRule="auto"/>
              <w:ind w:left="10"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564.12</w:t>
            </w:r>
          </w:p>
        </w:tc>
        <w:tc>
          <w:tcPr>
            <w:tcW w:w="1559" w:type="dxa"/>
            <w:tcBorders>
              <w:bottom w:val="single" w:sz="4" w:space="0" w:color="000000"/>
              <w:right w:val="single" w:sz="4" w:space="0" w:color="000000"/>
            </w:tcBorders>
          </w:tcPr>
          <w:p w14:paraId="661E97BF" w14:textId="77777777" w:rsidR="000A7DB1" w:rsidRPr="00AF72EF" w:rsidRDefault="000A7DB1" w:rsidP="000A7DB1">
            <w:pPr>
              <w:widowControl w:val="0"/>
              <w:pBdr>
                <w:top w:val="nil"/>
                <w:left w:val="nil"/>
                <w:bottom w:val="nil"/>
                <w:right w:val="nil"/>
                <w:between w:val="nil"/>
              </w:pBdr>
              <w:spacing w:after="0" w:line="240" w:lineRule="auto"/>
              <w:ind w:left="7"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560.33</w:t>
            </w:r>
          </w:p>
        </w:tc>
      </w:tr>
      <w:tr w:rsidR="000A7DB1" w:rsidRPr="00AF72EF" w14:paraId="7CA56C5D" w14:textId="77777777" w:rsidTr="001228EA">
        <w:trPr>
          <w:trHeight w:val="412"/>
        </w:trPr>
        <w:tc>
          <w:tcPr>
            <w:tcW w:w="5813" w:type="dxa"/>
          </w:tcPr>
          <w:p w14:paraId="0E3FDF60" w14:textId="77777777" w:rsidR="000A7DB1" w:rsidRPr="00AF72EF" w:rsidRDefault="000A7DB1" w:rsidP="000A7DB1">
            <w:pPr>
              <w:widowControl w:val="0"/>
              <w:pBdr>
                <w:top w:val="nil"/>
                <w:left w:val="nil"/>
                <w:bottom w:val="nil"/>
                <w:right w:val="nil"/>
                <w:between w:val="nil"/>
              </w:pBdr>
              <w:spacing w:after="0" w:line="240" w:lineRule="auto"/>
              <w:ind w:left="122" w:right="20"/>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T14: Ammonium Molybdate (Mo) @ 0.40% + Boron @ 0.060%</w:t>
            </w:r>
          </w:p>
        </w:tc>
        <w:tc>
          <w:tcPr>
            <w:tcW w:w="1701" w:type="dxa"/>
          </w:tcPr>
          <w:p w14:paraId="4369142E" w14:textId="77777777" w:rsidR="000A7DB1" w:rsidRPr="00AF72EF" w:rsidRDefault="000A7DB1" w:rsidP="000A7DB1">
            <w:pPr>
              <w:widowControl w:val="0"/>
              <w:pBdr>
                <w:top w:val="nil"/>
                <w:left w:val="nil"/>
                <w:bottom w:val="nil"/>
                <w:right w:val="nil"/>
                <w:between w:val="nil"/>
              </w:pBdr>
              <w:spacing w:after="0" w:line="240" w:lineRule="auto"/>
              <w:ind w:left="4"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516.55</w:t>
            </w:r>
          </w:p>
        </w:tc>
        <w:tc>
          <w:tcPr>
            <w:tcW w:w="1559" w:type="dxa"/>
          </w:tcPr>
          <w:p w14:paraId="31380C4B" w14:textId="77777777" w:rsidR="000A7DB1" w:rsidRPr="00AF72EF" w:rsidRDefault="000A7DB1" w:rsidP="000A7DB1">
            <w:pPr>
              <w:widowControl w:val="0"/>
              <w:pBdr>
                <w:top w:val="nil"/>
                <w:left w:val="nil"/>
                <w:bottom w:val="nil"/>
                <w:right w:val="nil"/>
                <w:between w:val="nil"/>
              </w:pBdr>
              <w:spacing w:after="0" w:line="240" w:lineRule="auto"/>
              <w:ind w:left="3"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518.74</w:t>
            </w:r>
          </w:p>
        </w:tc>
        <w:tc>
          <w:tcPr>
            <w:tcW w:w="1559" w:type="dxa"/>
            <w:tcBorders>
              <w:bottom w:val="single" w:sz="4" w:space="0" w:color="000000"/>
              <w:right w:val="single" w:sz="4" w:space="0" w:color="000000"/>
            </w:tcBorders>
          </w:tcPr>
          <w:p w14:paraId="4E3C5C15" w14:textId="77777777" w:rsidR="000A7DB1" w:rsidRPr="00AF72EF" w:rsidRDefault="000A7DB1" w:rsidP="000A7DB1">
            <w:pPr>
              <w:widowControl w:val="0"/>
              <w:pBdr>
                <w:top w:val="nil"/>
                <w:left w:val="nil"/>
                <w:bottom w:val="nil"/>
                <w:right w:val="nil"/>
                <w:between w:val="nil"/>
              </w:pBdr>
              <w:spacing w:after="0" w:line="240" w:lineRule="auto"/>
              <w:ind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517.65</w:t>
            </w:r>
          </w:p>
        </w:tc>
      </w:tr>
      <w:tr w:rsidR="000A7DB1" w:rsidRPr="00AF72EF" w14:paraId="1AA6C046" w14:textId="77777777" w:rsidTr="001228EA">
        <w:trPr>
          <w:trHeight w:val="417"/>
        </w:trPr>
        <w:tc>
          <w:tcPr>
            <w:tcW w:w="5813" w:type="dxa"/>
          </w:tcPr>
          <w:p w14:paraId="713B2AB6" w14:textId="77777777" w:rsidR="000A7DB1" w:rsidRPr="00AF72EF"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T15: Ammonium Molybdate (Mo) @ 0.40% + Boron @ 0.080%</w:t>
            </w:r>
          </w:p>
        </w:tc>
        <w:tc>
          <w:tcPr>
            <w:tcW w:w="1701" w:type="dxa"/>
          </w:tcPr>
          <w:p w14:paraId="05E27CEF" w14:textId="77777777" w:rsidR="000A7DB1" w:rsidRPr="00AF72EF" w:rsidRDefault="000A7DB1" w:rsidP="000A7DB1">
            <w:pPr>
              <w:widowControl w:val="0"/>
              <w:pBdr>
                <w:top w:val="nil"/>
                <w:left w:val="nil"/>
                <w:bottom w:val="nil"/>
                <w:right w:val="nil"/>
                <w:between w:val="nil"/>
              </w:pBdr>
              <w:spacing w:after="0" w:line="240" w:lineRule="auto"/>
              <w:ind w:left="4"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529.65</w:t>
            </w:r>
          </w:p>
        </w:tc>
        <w:tc>
          <w:tcPr>
            <w:tcW w:w="1559" w:type="dxa"/>
          </w:tcPr>
          <w:p w14:paraId="5CDF9731" w14:textId="77777777" w:rsidR="000A7DB1" w:rsidRPr="00AF72EF" w:rsidRDefault="000A7DB1" w:rsidP="000A7DB1">
            <w:pPr>
              <w:widowControl w:val="0"/>
              <w:pBdr>
                <w:top w:val="nil"/>
                <w:left w:val="nil"/>
                <w:bottom w:val="nil"/>
                <w:right w:val="nil"/>
                <w:between w:val="nil"/>
              </w:pBdr>
              <w:spacing w:after="0" w:line="240" w:lineRule="auto"/>
              <w:ind w:left="10"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535.41</w:t>
            </w:r>
          </w:p>
        </w:tc>
        <w:tc>
          <w:tcPr>
            <w:tcW w:w="1559" w:type="dxa"/>
            <w:tcBorders>
              <w:bottom w:val="single" w:sz="4" w:space="0" w:color="000000"/>
              <w:right w:val="single" w:sz="4" w:space="0" w:color="000000"/>
            </w:tcBorders>
          </w:tcPr>
          <w:p w14:paraId="08B81FC0" w14:textId="77777777" w:rsidR="000A7DB1" w:rsidRPr="00AF72EF" w:rsidRDefault="000A7DB1" w:rsidP="000A7DB1">
            <w:pPr>
              <w:widowControl w:val="0"/>
              <w:pBdr>
                <w:top w:val="nil"/>
                <w:left w:val="nil"/>
                <w:bottom w:val="nil"/>
                <w:right w:val="nil"/>
                <w:between w:val="nil"/>
              </w:pBdr>
              <w:spacing w:after="0" w:line="240" w:lineRule="auto"/>
              <w:ind w:left="7"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532.53</w:t>
            </w:r>
          </w:p>
        </w:tc>
      </w:tr>
      <w:tr w:rsidR="000A7DB1" w:rsidRPr="00AF72EF" w14:paraId="6AF0EBA5" w14:textId="77777777" w:rsidTr="001228EA">
        <w:trPr>
          <w:trHeight w:val="412"/>
        </w:trPr>
        <w:tc>
          <w:tcPr>
            <w:tcW w:w="5813" w:type="dxa"/>
          </w:tcPr>
          <w:p w14:paraId="0A2B07C3" w14:textId="77777777" w:rsidR="000A7DB1" w:rsidRPr="00AF72EF" w:rsidRDefault="000A7DB1" w:rsidP="000A7DB1">
            <w:pPr>
              <w:widowControl w:val="0"/>
              <w:pBdr>
                <w:top w:val="nil"/>
                <w:left w:val="nil"/>
                <w:bottom w:val="nil"/>
                <w:right w:val="nil"/>
                <w:between w:val="nil"/>
              </w:pBdr>
              <w:spacing w:after="0" w:line="240" w:lineRule="auto"/>
              <w:ind w:left="122" w:right="20"/>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T16: Ammonium Molybdate (Mo) @ 0.40% + Boron @ 0.100%</w:t>
            </w:r>
          </w:p>
        </w:tc>
        <w:tc>
          <w:tcPr>
            <w:tcW w:w="1701" w:type="dxa"/>
          </w:tcPr>
          <w:p w14:paraId="2FD57E83" w14:textId="77777777" w:rsidR="000A7DB1" w:rsidRPr="00AF72EF" w:rsidRDefault="000A7DB1" w:rsidP="000A7DB1">
            <w:pPr>
              <w:widowControl w:val="0"/>
              <w:pBdr>
                <w:top w:val="nil"/>
                <w:left w:val="nil"/>
                <w:bottom w:val="nil"/>
                <w:right w:val="nil"/>
                <w:between w:val="nil"/>
              </w:pBdr>
              <w:spacing w:after="0" w:line="240" w:lineRule="auto"/>
              <w:ind w:left="4"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572.14</w:t>
            </w:r>
          </w:p>
        </w:tc>
        <w:tc>
          <w:tcPr>
            <w:tcW w:w="1559" w:type="dxa"/>
          </w:tcPr>
          <w:p w14:paraId="2C6323AF" w14:textId="77777777" w:rsidR="000A7DB1" w:rsidRPr="00AF72EF" w:rsidRDefault="000A7DB1" w:rsidP="000A7DB1">
            <w:pPr>
              <w:widowControl w:val="0"/>
              <w:pBdr>
                <w:top w:val="nil"/>
                <w:left w:val="nil"/>
                <w:bottom w:val="nil"/>
                <w:right w:val="nil"/>
                <w:between w:val="nil"/>
              </w:pBdr>
              <w:spacing w:after="0" w:line="240" w:lineRule="auto"/>
              <w:ind w:left="10"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582.52</w:t>
            </w:r>
          </w:p>
        </w:tc>
        <w:tc>
          <w:tcPr>
            <w:tcW w:w="1559" w:type="dxa"/>
            <w:tcBorders>
              <w:bottom w:val="single" w:sz="4" w:space="0" w:color="000000"/>
              <w:right w:val="single" w:sz="4" w:space="0" w:color="000000"/>
            </w:tcBorders>
          </w:tcPr>
          <w:p w14:paraId="725CBDF9" w14:textId="77777777" w:rsidR="000A7DB1" w:rsidRPr="00AF72EF" w:rsidRDefault="000A7DB1" w:rsidP="000A7DB1">
            <w:pPr>
              <w:widowControl w:val="0"/>
              <w:pBdr>
                <w:top w:val="nil"/>
                <w:left w:val="nil"/>
                <w:bottom w:val="nil"/>
                <w:right w:val="nil"/>
                <w:between w:val="nil"/>
              </w:pBdr>
              <w:spacing w:after="0" w:line="240" w:lineRule="auto"/>
              <w:ind w:left="7"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577.33</w:t>
            </w:r>
          </w:p>
        </w:tc>
      </w:tr>
      <w:tr w:rsidR="000A7DB1" w:rsidRPr="00AF72EF" w14:paraId="1042A33D" w14:textId="77777777" w:rsidTr="001228EA">
        <w:trPr>
          <w:trHeight w:val="414"/>
        </w:trPr>
        <w:tc>
          <w:tcPr>
            <w:tcW w:w="5813" w:type="dxa"/>
          </w:tcPr>
          <w:p w14:paraId="378D1240" w14:textId="77777777" w:rsidR="000A7DB1" w:rsidRPr="00AF72EF" w:rsidRDefault="000A7DB1" w:rsidP="000A7DB1">
            <w:pPr>
              <w:widowControl w:val="0"/>
              <w:pBdr>
                <w:top w:val="nil"/>
                <w:left w:val="nil"/>
                <w:bottom w:val="nil"/>
                <w:right w:val="nil"/>
                <w:between w:val="nil"/>
              </w:pBdr>
              <w:spacing w:after="0" w:line="240" w:lineRule="auto"/>
              <w:ind w:left="109" w:right="1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SEmz</w:t>
            </w:r>
          </w:p>
        </w:tc>
        <w:tc>
          <w:tcPr>
            <w:tcW w:w="1701" w:type="dxa"/>
          </w:tcPr>
          <w:p w14:paraId="3A01FE16" w14:textId="77777777" w:rsidR="000A7DB1" w:rsidRPr="00AF72EF"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38.34</w:t>
            </w:r>
          </w:p>
        </w:tc>
        <w:tc>
          <w:tcPr>
            <w:tcW w:w="1559" w:type="dxa"/>
          </w:tcPr>
          <w:p w14:paraId="797D6DDA" w14:textId="77777777" w:rsidR="000A7DB1" w:rsidRPr="00AF72EF" w:rsidRDefault="000A7DB1" w:rsidP="000A7DB1">
            <w:pPr>
              <w:widowControl w:val="0"/>
              <w:pBdr>
                <w:top w:val="nil"/>
                <w:left w:val="nil"/>
                <w:bottom w:val="nil"/>
                <w:right w:val="nil"/>
                <w:between w:val="nil"/>
              </w:pBdr>
              <w:spacing w:after="0" w:line="240" w:lineRule="auto"/>
              <w:ind w:left="11"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15.07</w:t>
            </w:r>
          </w:p>
        </w:tc>
        <w:tc>
          <w:tcPr>
            <w:tcW w:w="1559" w:type="dxa"/>
            <w:tcBorders>
              <w:bottom w:val="single" w:sz="4" w:space="0" w:color="000000"/>
              <w:right w:val="single" w:sz="4" w:space="0" w:color="000000"/>
            </w:tcBorders>
          </w:tcPr>
          <w:p w14:paraId="5BEC388F" w14:textId="77777777" w:rsidR="000A7DB1" w:rsidRPr="00AF72EF" w:rsidRDefault="000A7DB1" w:rsidP="000A7DB1">
            <w:pPr>
              <w:widowControl w:val="0"/>
              <w:pBdr>
                <w:top w:val="nil"/>
                <w:left w:val="nil"/>
                <w:bottom w:val="nil"/>
                <w:right w:val="nil"/>
                <w:between w:val="nil"/>
              </w:pBdr>
              <w:spacing w:after="0" w:line="240" w:lineRule="auto"/>
              <w:ind w:left="2" w:right="22"/>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14.21</w:t>
            </w:r>
          </w:p>
        </w:tc>
      </w:tr>
      <w:tr w:rsidR="000A7DB1" w:rsidRPr="00AF72EF" w14:paraId="400E40C9" w14:textId="77777777" w:rsidTr="001228EA">
        <w:trPr>
          <w:trHeight w:val="412"/>
        </w:trPr>
        <w:tc>
          <w:tcPr>
            <w:tcW w:w="5813" w:type="dxa"/>
          </w:tcPr>
          <w:p w14:paraId="677D141B" w14:textId="77777777" w:rsidR="000A7DB1" w:rsidRPr="00AF72EF" w:rsidRDefault="000A7DB1" w:rsidP="000A7DB1">
            <w:pPr>
              <w:widowControl w:val="0"/>
              <w:pBdr>
                <w:top w:val="nil"/>
                <w:left w:val="nil"/>
                <w:bottom w:val="nil"/>
                <w:right w:val="nil"/>
                <w:between w:val="nil"/>
              </w:pBdr>
              <w:spacing w:after="0" w:line="240" w:lineRule="auto"/>
              <w:ind w:left="109" w:right="124"/>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LSD (p=0.05)</w:t>
            </w:r>
          </w:p>
        </w:tc>
        <w:tc>
          <w:tcPr>
            <w:tcW w:w="1701" w:type="dxa"/>
          </w:tcPr>
          <w:p w14:paraId="44792B72" w14:textId="77777777" w:rsidR="000A7DB1" w:rsidRPr="00AF72EF" w:rsidRDefault="000A7DB1" w:rsidP="000A7DB1">
            <w:pPr>
              <w:widowControl w:val="0"/>
              <w:pBdr>
                <w:top w:val="nil"/>
                <w:left w:val="nil"/>
                <w:bottom w:val="nil"/>
                <w:right w:val="nil"/>
                <w:between w:val="nil"/>
              </w:pBdr>
              <w:spacing w:after="0" w:line="240" w:lineRule="auto"/>
              <w:ind w:left="8"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41.36</w:t>
            </w:r>
          </w:p>
        </w:tc>
        <w:tc>
          <w:tcPr>
            <w:tcW w:w="1559" w:type="dxa"/>
          </w:tcPr>
          <w:p w14:paraId="778493DF" w14:textId="77777777" w:rsidR="000A7DB1" w:rsidRPr="00AF72EF" w:rsidRDefault="000A7DB1" w:rsidP="000A7DB1">
            <w:pPr>
              <w:widowControl w:val="0"/>
              <w:pBdr>
                <w:top w:val="nil"/>
                <w:left w:val="nil"/>
                <w:bottom w:val="nil"/>
                <w:right w:val="nil"/>
                <w:between w:val="nil"/>
              </w:pBdr>
              <w:spacing w:after="0" w:line="240" w:lineRule="auto"/>
              <w:ind w:left="8" w:right="20"/>
              <w:jc w:val="center"/>
              <w:rPr>
                <w:rFonts w:ascii="Arial" w:eastAsia="Times New Roman" w:hAnsi="Arial" w:cs="Arial"/>
                <w:color w:val="000000"/>
                <w:sz w:val="20"/>
                <w:szCs w:val="20"/>
                <w:highlight w:val="yellow"/>
              </w:rPr>
            </w:pPr>
            <w:r w:rsidRPr="00AF72EF">
              <w:rPr>
                <w:rFonts w:ascii="Arial" w:eastAsia="Times New Roman" w:hAnsi="Arial" w:cs="Arial"/>
                <w:color w:val="000000"/>
                <w:sz w:val="20"/>
                <w:szCs w:val="20"/>
                <w:highlight w:val="yellow"/>
              </w:rPr>
              <w:t>45.23</w:t>
            </w:r>
          </w:p>
        </w:tc>
        <w:tc>
          <w:tcPr>
            <w:tcW w:w="1559" w:type="dxa"/>
            <w:tcBorders>
              <w:right w:val="single" w:sz="4" w:space="0" w:color="000000"/>
            </w:tcBorders>
          </w:tcPr>
          <w:p w14:paraId="3429BB96" w14:textId="77777777" w:rsidR="000A7DB1" w:rsidRPr="00AF72EF" w:rsidRDefault="000A7DB1" w:rsidP="000A7DB1">
            <w:pPr>
              <w:widowControl w:val="0"/>
              <w:pBdr>
                <w:top w:val="nil"/>
                <w:left w:val="nil"/>
                <w:bottom w:val="nil"/>
                <w:right w:val="nil"/>
                <w:between w:val="nil"/>
              </w:pBdr>
              <w:spacing w:after="0" w:line="240" w:lineRule="auto"/>
              <w:ind w:left="10" w:right="22"/>
              <w:jc w:val="center"/>
              <w:rPr>
                <w:rFonts w:ascii="Arial" w:eastAsia="Times New Roman" w:hAnsi="Arial" w:cs="Arial"/>
                <w:color w:val="000000"/>
                <w:sz w:val="20"/>
                <w:szCs w:val="20"/>
              </w:rPr>
            </w:pPr>
            <w:r w:rsidRPr="00AF72EF">
              <w:rPr>
                <w:rFonts w:ascii="Arial" w:eastAsia="Times New Roman" w:hAnsi="Arial" w:cs="Arial"/>
                <w:color w:val="000000"/>
                <w:sz w:val="20"/>
                <w:szCs w:val="20"/>
                <w:highlight w:val="yellow"/>
              </w:rPr>
              <w:t>42.67</w:t>
            </w:r>
          </w:p>
        </w:tc>
      </w:tr>
    </w:tbl>
    <w:p w14:paraId="35793F4E" w14:textId="77777777" w:rsidR="000A7DB1" w:rsidRDefault="000A7DB1">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14:paraId="49B68B69" w14:textId="31565ECD" w:rsidR="0006770F" w:rsidRPr="00AF72EF" w:rsidRDefault="000B691B">
      <w:pPr>
        <w:pBdr>
          <w:top w:val="nil"/>
          <w:left w:val="nil"/>
          <w:bottom w:val="nil"/>
          <w:right w:val="nil"/>
          <w:between w:val="nil"/>
        </w:pBdr>
        <w:spacing w:line="240" w:lineRule="auto"/>
        <w:jc w:val="both"/>
        <w:rPr>
          <w:rFonts w:ascii="Arial" w:eastAsia="Times New Roman" w:hAnsi="Arial" w:cs="Arial"/>
          <w:b/>
          <w:color w:val="000000"/>
        </w:rPr>
      </w:pPr>
      <w:r w:rsidRPr="00AF72EF">
        <w:rPr>
          <w:rFonts w:ascii="Arial" w:eastAsia="Times New Roman" w:hAnsi="Arial" w:cs="Arial"/>
          <w:b/>
          <w:color w:val="000000"/>
        </w:rPr>
        <w:t>3.4 CURD DIAMETER (CM)</w:t>
      </w:r>
    </w:p>
    <w:p w14:paraId="49B68B6A" w14:textId="3BB0DD29" w:rsidR="0006770F" w:rsidRPr="00AF72EF" w:rsidRDefault="00E3304A">
      <w:pPr>
        <w:pBdr>
          <w:top w:val="nil"/>
          <w:left w:val="nil"/>
          <w:bottom w:val="nil"/>
          <w:right w:val="nil"/>
          <w:between w:val="nil"/>
        </w:pBdr>
        <w:spacing w:line="240" w:lineRule="auto"/>
        <w:jc w:val="both"/>
        <w:rPr>
          <w:rFonts w:ascii="Arial" w:eastAsia="Times New Roman" w:hAnsi="Arial" w:cs="Arial"/>
          <w:color w:val="000000"/>
          <w:sz w:val="20"/>
          <w:szCs w:val="20"/>
        </w:rPr>
      </w:pPr>
      <w:r w:rsidRPr="00AF72EF">
        <w:rPr>
          <w:rFonts w:ascii="Arial" w:eastAsia="Times New Roman" w:hAnsi="Arial" w:cs="Arial"/>
          <w:color w:val="000000"/>
          <w:sz w:val="20"/>
          <w:szCs w:val="20"/>
        </w:rPr>
        <w:t xml:space="preserve">Table </w:t>
      </w:r>
      <w:r w:rsidR="004714F8" w:rsidRPr="00AF72EF">
        <w:rPr>
          <w:rFonts w:ascii="Arial" w:eastAsia="Times New Roman" w:hAnsi="Arial" w:cs="Arial"/>
          <w:color w:val="000000"/>
          <w:sz w:val="20"/>
          <w:szCs w:val="20"/>
        </w:rPr>
        <w:t>3</w:t>
      </w:r>
      <w:r w:rsidR="000A7DB1" w:rsidRPr="00AF72EF">
        <w:rPr>
          <w:rFonts w:ascii="Arial" w:eastAsia="Times New Roman" w:hAnsi="Arial" w:cs="Arial"/>
          <w:color w:val="000000"/>
          <w:sz w:val="20"/>
          <w:szCs w:val="20"/>
        </w:rPr>
        <w:t xml:space="preserve"> </w:t>
      </w:r>
      <w:r w:rsidRPr="00AF72EF">
        <w:rPr>
          <w:rFonts w:ascii="Arial" w:eastAsia="Times New Roman" w:hAnsi="Arial" w:cs="Arial"/>
          <w:color w:val="000000"/>
          <w:sz w:val="20"/>
          <w:szCs w:val="20"/>
        </w:rPr>
        <w:t>display the average data on cauliflower curd diameter as affected by various treatments. The data reveal significant differences in curd diameter among the treatments. During the first year, the diameter ranged from 13.03 to 18.24 cm, in the second year from 13.21 to 18.41 cm, and on a pooled basis, it ranged from 13.12 to 18.33 cm, all due to the foliar application of different micronutrients. The largest curd diameter (18.24 cm in 2018-19, 18.41 cm in 2019-20, and 18.33 cm on a pooled basis) was achieved with the application of (T16) Ammonium Molybdate at 0.40% combined with Boron at 0.100%. This result was comparable to the treatments (T13) Ammonium Molybdate at 0.30% + Boron at 0.100% and (T10) Ammonium Molybdate at 0.20% + Boron at 0.100% during both years of the study. Conversely, the smallest curd diameter was recorded in the control treatment.</w:t>
      </w:r>
    </w:p>
    <w:p w14:paraId="3D66B5E8" w14:textId="07BB6BA4" w:rsidR="000A7DB1" w:rsidRPr="000B691B" w:rsidRDefault="000A7DB1" w:rsidP="000A7DB1">
      <w:pPr>
        <w:widowControl w:val="0"/>
        <w:pBdr>
          <w:top w:val="nil"/>
          <w:left w:val="nil"/>
          <w:bottom w:val="nil"/>
          <w:right w:val="nil"/>
          <w:between w:val="nil"/>
        </w:pBdr>
        <w:tabs>
          <w:tab w:val="left" w:pos="6171"/>
        </w:tabs>
        <w:spacing w:before="78" w:after="0" w:line="264" w:lineRule="auto"/>
        <w:ind w:right="152"/>
        <w:rPr>
          <w:rFonts w:ascii="Arial" w:eastAsia="Times New Roman" w:hAnsi="Arial" w:cs="Arial"/>
          <w:color w:val="000000"/>
          <w:sz w:val="20"/>
          <w:szCs w:val="20"/>
        </w:rPr>
      </w:pPr>
      <w:r w:rsidRPr="000B691B">
        <w:rPr>
          <w:rFonts w:ascii="Arial" w:eastAsia="Times New Roman" w:hAnsi="Arial" w:cs="Arial"/>
          <w:b/>
          <w:bCs/>
          <w:color w:val="000000"/>
          <w:sz w:val="20"/>
          <w:szCs w:val="20"/>
        </w:rPr>
        <w:t>Table 3:</w:t>
      </w:r>
      <w:r w:rsidR="002F6E06">
        <w:rPr>
          <w:rFonts w:ascii="Arial" w:eastAsia="Times New Roman" w:hAnsi="Arial" w:cs="Arial"/>
          <w:color w:val="000000"/>
          <w:sz w:val="20"/>
          <w:szCs w:val="20"/>
        </w:rPr>
        <w:t xml:space="preserve"> Curd diameter</w:t>
      </w:r>
      <w:r w:rsidRPr="000B691B">
        <w:rPr>
          <w:rFonts w:ascii="Arial" w:eastAsia="Times New Roman" w:hAnsi="Arial" w:cs="Arial"/>
          <w:color w:val="000000"/>
          <w:sz w:val="20"/>
          <w:szCs w:val="20"/>
        </w:rPr>
        <w:t xml:space="preserve"> of cauliflower as influenced by foliar application of micro nutrients</w:t>
      </w:r>
    </w:p>
    <w:p w14:paraId="285D6890" w14:textId="77777777" w:rsidR="000A7DB1" w:rsidRDefault="000A7DB1" w:rsidP="000A7DB1">
      <w:pPr>
        <w:widowControl w:val="0"/>
        <w:pBdr>
          <w:top w:val="nil"/>
          <w:left w:val="nil"/>
          <w:bottom w:val="nil"/>
          <w:right w:val="nil"/>
          <w:between w:val="nil"/>
        </w:pBdr>
        <w:spacing w:before="26" w:after="0" w:line="240" w:lineRule="auto"/>
        <w:rPr>
          <w:rFonts w:ascii="Times New Roman" w:eastAsia="Times New Roman" w:hAnsi="Times New Roman" w:cs="Times New Roman"/>
          <w:color w:val="000000"/>
          <w:sz w:val="20"/>
          <w:szCs w:val="20"/>
        </w:rPr>
      </w:pPr>
    </w:p>
    <w:tbl>
      <w:tblPr>
        <w:tblStyle w:val="a1"/>
        <w:tblW w:w="952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9"/>
        <w:gridCol w:w="1559"/>
        <w:gridCol w:w="1134"/>
        <w:gridCol w:w="1306"/>
      </w:tblGrid>
      <w:tr w:rsidR="000A7DB1" w:rsidRPr="000B691B" w14:paraId="0C6CC8C2" w14:textId="77777777" w:rsidTr="001228EA">
        <w:trPr>
          <w:trHeight w:val="412"/>
        </w:trPr>
        <w:tc>
          <w:tcPr>
            <w:tcW w:w="5529" w:type="dxa"/>
            <w:vMerge w:val="restart"/>
          </w:tcPr>
          <w:p w14:paraId="228129A4" w14:textId="77777777" w:rsidR="000A7DB1" w:rsidRPr="000B691B" w:rsidRDefault="000A7DB1" w:rsidP="000A7DB1">
            <w:pPr>
              <w:widowControl w:val="0"/>
              <w:pBdr>
                <w:top w:val="nil"/>
                <w:left w:val="nil"/>
                <w:bottom w:val="nil"/>
                <w:right w:val="nil"/>
                <w:between w:val="nil"/>
              </w:pBdr>
              <w:spacing w:after="0" w:line="240" w:lineRule="auto"/>
              <w:ind w:left="606"/>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Treatments</w:t>
            </w:r>
          </w:p>
        </w:tc>
        <w:tc>
          <w:tcPr>
            <w:tcW w:w="3999" w:type="dxa"/>
            <w:gridSpan w:val="3"/>
          </w:tcPr>
          <w:p w14:paraId="50273D70" w14:textId="77777777" w:rsidR="000A7DB1" w:rsidRPr="000B691B" w:rsidRDefault="000A7DB1" w:rsidP="000A7DB1">
            <w:pPr>
              <w:widowControl w:val="0"/>
              <w:pBdr>
                <w:top w:val="nil"/>
                <w:left w:val="nil"/>
                <w:bottom w:val="nil"/>
                <w:right w:val="nil"/>
                <w:between w:val="nil"/>
              </w:pBdr>
              <w:spacing w:after="0" w:line="240" w:lineRule="auto"/>
              <w:ind w:left="1873"/>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Curd diameter (cm)</w:t>
            </w:r>
          </w:p>
        </w:tc>
      </w:tr>
      <w:tr w:rsidR="000A7DB1" w:rsidRPr="000B691B" w14:paraId="6988B951" w14:textId="77777777" w:rsidTr="001228EA">
        <w:trPr>
          <w:trHeight w:val="417"/>
        </w:trPr>
        <w:tc>
          <w:tcPr>
            <w:tcW w:w="5529" w:type="dxa"/>
            <w:vMerge/>
          </w:tcPr>
          <w:p w14:paraId="445E7080" w14:textId="77777777" w:rsidR="000A7DB1" w:rsidRPr="000B691B" w:rsidRDefault="000A7DB1" w:rsidP="000A7DB1">
            <w:pPr>
              <w:widowControl w:val="0"/>
              <w:pBdr>
                <w:top w:val="nil"/>
                <w:left w:val="nil"/>
                <w:bottom w:val="nil"/>
                <w:right w:val="nil"/>
                <w:between w:val="nil"/>
              </w:pBdr>
              <w:spacing w:after="0" w:line="240" w:lineRule="auto"/>
              <w:rPr>
                <w:rFonts w:ascii="Arial" w:eastAsia="Times New Roman" w:hAnsi="Arial" w:cs="Arial"/>
                <w:color w:val="000000"/>
                <w:sz w:val="20"/>
                <w:szCs w:val="20"/>
                <w:highlight w:val="yellow"/>
              </w:rPr>
            </w:pPr>
          </w:p>
        </w:tc>
        <w:tc>
          <w:tcPr>
            <w:tcW w:w="1559" w:type="dxa"/>
          </w:tcPr>
          <w:p w14:paraId="760EB6EA" w14:textId="77777777" w:rsidR="000A7DB1" w:rsidRPr="000B691B" w:rsidRDefault="000A7DB1" w:rsidP="000A7DB1">
            <w:pPr>
              <w:widowControl w:val="0"/>
              <w:pBdr>
                <w:top w:val="nil"/>
                <w:left w:val="nil"/>
                <w:bottom w:val="nil"/>
                <w:right w:val="nil"/>
                <w:between w:val="nil"/>
              </w:pBdr>
              <w:spacing w:after="0" w:line="240" w:lineRule="auto"/>
              <w:ind w:left="9"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2018-19</w:t>
            </w:r>
          </w:p>
        </w:tc>
        <w:tc>
          <w:tcPr>
            <w:tcW w:w="1134" w:type="dxa"/>
          </w:tcPr>
          <w:p w14:paraId="2D8C15BC" w14:textId="77777777" w:rsidR="000A7DB1" w:rsidRPr="000B691B" w:rsidRDefault="000A7DB1" w:rsidP="000A7DB1">
            <w:pPr>
              <w:widowControl w:val="0"/>
              <w:pBdr>
                <w:top w:val="nil"/>
                <w:left w:val="nil"/>
                <w:bottom w:val="nil"/>
                <w:right w:val="nil"/>
                <w:between w:val="nil"/>
              </w:pBdr>
              <w:spacing w:after="0" w:line="240" w:lineRule="auto"/>
              <w:ind w:left="7" w:right="20"/>
              <w:jc w:val="center"/>
              <w:rPr>
                <w:rFonts w:ascii="Arial" w:eastAsia="Times New Roman" w:hAnsi="Arial" w:cs="Arial"/>
                <w:b/>
                <w:color w:val="000000"/>
                <w:sz w:val="20"/>
                <w:szCs w:val="20"/>
                <w:highlight w:val="yellow"/>
              </w:rPr>
            </w:pPr>
            <w:r w:rsidRPr="000B691B">
              <w:rPr>
                <w:rFonts w:ascii="Arial" w:eastAsia="Times New Roman" w:hAnsi="Arial" w:cs="Arial"/>
                <w:b/>
                <w:color w:val="000000"/>
                <w:sz w:val="20"/>
                <w:szCs w:val="20"/>
                <w:highlight w:val="yellow"/>
              </w:rPr>
              <w:t>2019-20</w:t>
            </w:r>
          </w:p>
        </w:tc>
        <w:tc>
          <w:tcPr>
            <w:tcW w:w="1306" w:type="dxa"/>
            <w:tcBorders>
              <w:bottom w:val="single" w:sz="4" w:space="0" w:color="000000"/>
              <w:right w:val="single" w:sz="4" w:space="0" w:color="000000"/>
            </w:tcBorders>
          </w:tcPr>
          <w:p w14:paraId="722AA855" w14:textId="77777777" w:rsidR="000A7DB1" w:rsidRPr="000B691B" w:rsidRDefault="000A7DB1" w:rsidP="000A7DB1">
            <w:pPr>
              <w:widowControl w:val="0"/>
              <w:pBdr>
                <w:top w:val="nil"/>
                <w:left w:val="nil"/>
                <w:bottom w:val="nil"/>
                <w:right w:val="nil"/>
                <w:between w:val="nil"/>
              </w:pBdr>
              <w:spacing w:after="0" w:line="240" w:lineRule="auto"/>
              <w:ind w:left="2"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Pooled</w:t>
            </w:r>
          </w:p>
        </w:tc>
      </w:tr>
      <w:tr w:rsidR="000A7DB1" w:rsidRPr="000B691B" w14:paraId="71895BBE" w14:textId="77777777" w:rsidTr="001228EA">
        <w:trPr>
          <w:trHeight w:val="414"/>
        </w:trPr>
        <w:tc>
          <w:tcPr>
            <w:tcW w:w="5529" w:type="dxa"/>
          </w:tcPr>
          <w:p w14:paraId="3D3A3CC1" w14:textId="77777777" w:rsidR="000A7DB1" w:rsidRPr="000B691B" w:rsidRDefault="000A7DB1" w:rsidP="000A7DB1">
            <w:pPr>
              <w:widowControl w:val="0"/>
              <w:pBdr>
                <w:top w:val="nil"/>
                <w:left w:val="nil"/>
                <w:bottom w:val="nil"/>
                <w:right w:val="nil"/>
                <w:between w:val="nil"/>
              </w:pBdr>
              <w:spacing w:after="0" w:line="240" w:lineRule="auto"/>
              <w:ind w:left="107" w:right="127"/>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T1: Control</w:t>
            </w:r>
          </w:p>
        </w:tc>
        <w:tc>
          <w:tcPr>
            <w:tcW w:w="1559" w:type="dxa"/>
          </w:tcPr>
          <w:p w14:paraId="7E399A44"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13.03</w:t>
            </w:r>
          </w:p>
        </w:tc>
        <w:tc>
          <w:tcPr>
            <w:tcW w:w="1134" w:type="dxa"/>
          </w:tcPr>
          <w:p w14:paraId="02E020F6"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13.21</w:t>
            </w:r>
          </w:p>
        </w:tc>
        <w:tc>
          <w:tcPr>
            <w:tcW w:w="1306" w:type="dxa"/>
            <w:tcBorders>
              <w:bottom w:val="single" w:sz="4" w:space="0" w:color="000000"/>
              <w:right w:val="single" w:sz="4" w:space="0" w:color="000000"/>
            </w:tcBorders>
          </w:tcPr>
          <w:p w14:paraId="6B5D3363" w14:textId="77777777" w:rsidR="000A7DB1" w:rsidRPr="000B691B" w:rsidRDefault="000A7DB1" w:rsidP="000A7DB1">
            <w:pPr>
              <w:widowControl w:val="0"/>
              <w:pBdr>
                <w:top w:val="nil"/>
                <w:left w:val="nil"/>
                <w:bottom w:val="nil"/>
                <w:right w:val="nil"/>
                <w:between w:val="nil"/>
              </w:pBdr>
              <w:spacing w:after="0" w:line="240" w:lineRule="auto"/>
              <w:ind w:left="5"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13.12</w:t>
            </w:r>
          </w:p>
        </w:tc>
      </w:tr>
      <w:tr w:rsidR="000A7DB1" w:rsidRPr="000B691B" w14:paraId="35654072" w14:textId="77777777" w:rsidTr="001228EA">
        <w:trPr>
          <w:trHeight w:val="412"/>
        </w:trPr>
        <w:tc>
          <w:tcPr>
            <w:tcW w:w="5529" w:type="dxa"/>
          </w:tcPr>
          <w:p w14:paraId="3D9185D4" w14:textId="77777777" w:rsidR="000A7DB1" w:rsidRPr="000B691B" w:rsidRDefault="000A7DB1" w:rsidP="000A7DB1">
            <w:pPr>
              <w:widowControl w:val="0"/>
              <w:pBdr>
                <w:top w:val="nil"/>
                <w:left w:val="nil"/>
                <w:bottom w:val="nil"/>
                <w:right w:val="nil"/>
                <w:between w:val="nil"/>
              </w:pBdr>
              <w:spacing w:after="0" w:line="240" w:lineRule="auto"/>
              <w:ind w:left="107" w:right="61"/>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T2: Ammonium Molybdate (Mo) @ 0.20%</w:t>
            </w:r>
          </w:p>
        </w:tc>
        <w:tc>
          <w:tcPr>
            <w:tcW w:w="1559" w:type="dxa"/>
          </w:tcPr>
          <w:p w14:paraId="12C7EEF5"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15.55</w:t>
            </w:r>
          </w:p>
        </w:tc>
        <w:tc>
          <w:tcPr>
            <w:tcW w:w="1134" w:type="dxa"/>
          </w:tcPr>
          <w:p w14:paraId="1B26F7C9"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15.73</w:t>
            </w:r>
          </w:p>
        </w:tc>
        <w:tc>
          <w:tcPr>
            <w:tcW w:w="1306" w:type="dxa"/>
            <w:tcBorders>
              <w:bottom w:val="single" w:sz="4" w:space="0" w:color="000000"/>
              <w:right w:val="single" w:sz="4" w:space="0" w:color="000000"/>
            </w:tcBorders>
          </w:tcPr>
          <w:p w14:paraId="40FC9823" w14:textId="77777777" w:rsidR="000A7DB1" w:rsidRPr="000B691B" w:rsidRDefault="000A7DB1" w:rsidP="000A7DB1">
            <w:pPr>
              <w:widowControl w:val="0"/>
              <w:pBdr>
                <w:top w:val="nil"/>
                <w:left w:val="nil"/>
                <w:bottom w:val="nil"/>
                <w:right w:val="nil"/>
                <w:between w:val="nil"/>
              </w:pBdr>
              <w:spacing w:after="0" w:line="240" w:lineRule="auto"/>
              <w:ind w:left="8"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15.64</w:t>
            </w:r>
          </w:p>
        </w:tc>
      </w:tr>
      <w:tr w:rsidR="000A7DB1" w:rsidRPr="000B691B" w14:paraId="33F19F95" w14:textId="77777777" w:rsidTr="001228EA">
        <w:trPr>
          <w:trHeight w:val="417"/>
        </w:trPr>
        <w:tc>
          <w:tcPr>
            <w:tcW w:w="5529" w:type="dxa"/>
          </w:tcPr>
          <w:p w14:paraId="08662511" w14:textId="77777777" w:rsidR="000A7DB1" w:rsidRPr="000B691B"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T3: Ammonium Molybdate (Mo) @ 0.30%</w:t>
            </w:r>
          </w:p>
        </w:tc>
        <w:tc>
          <w:tcPr>
            <w:tcW w:w="1559" w:type="dxa"/>
          </w:tcPr>
          <w:p w14:paraId="51A8B3DF"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15.71</w:t>
            </w:r>
          </w:p>
        </w:tc>
        <w:tc>
          <w:tcPr>
            <w:tcW w:w="1134" w:type="dxa"/>
          </w:tcPr>
          <w:p w14:paraId="500962C7" w14:textId="77777777" w:rsidR="000A7DB1" w:rsidRPr="000B691B" w:rsidRDefault="000A7DB1" w:rsidP="000A7DB1">
            <w:pPr>
              <w:widowControl w:val="0"/>
              <w:pBdr>
                <w:top w:val="nil"/>
                <w:left w:val="nil"/>
                <w:bottom w:val="nil"/>
                <w:right w:val="nil"/>
                <w:between w:val="nil"/>
              </w:pBdr>
              <w:spacing w:after="0" w:line="240" w:lineRule="auto"/>
              <w:ind w:left="11"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15.94</w:t>
            </w:r>
          </w:p>
        </w:tc>
        <w:tc>
          <w:tcPr>
            <w:tcW w:w="1306" w:type="dxa"/>
            <w:tcBorders>
              <w:bottom w:val="single" w:sz="4" w:space="0" w:color="000000"/>
              <w:right w:val="single" w:sz="4" w:space="0" w:color="000000"/>
            </w:tcBorders>
          </w:tcPr>
          <w:p w14:paraId="131F544C" w14:textId="77777777" w:rsidR="000A7DB1" w:rsidRPr="000B691B" w:rsidRDefault="000A7DB1" w:rsidP="000A7DB1">
            <w:pPr>
              <w:widowControl w:val="0"/>
              <w:pBdr>
                <w:top w:val="nil"/>
                <w:left w:val="nil"/>
                <w:bottom w:val="nil"/>
                <w:right w:val="nil"/>
                <w:between w:val="nil"/>
              </w:pBdr>
              <w:spacing w:after="0" w:line="240" w:lineRule="auto"/>
              <w:ind w:left="8"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15.83</w:t>
            </w:r>
          </w:p>
        </w:tc>
      </w:tr>
      <w:tr w:rsidR="000A7DB1" w:rsidRPr="000B691B" w14:paraId="58D85EC2" w14:textId="77777777" w:rsidTr="001228EA">
        <w:trPr>
          <w:trHeight w:val="412"/>
        </w:trPr>
        <w:tc>
          <w:tcPr>
            <w:tcW w:w="5529" w:type="dxa"/>
          </w:tcPr>
          <w:p w14:paraId="5783E4E7" w14:textId="77777777" w:rsidR="000A7DB1" w:rsidRPr="000B691B" w:rsidRDefault="000A7DB1" w:rsidP="000A7DB1">
            <w:pPr>
              <w:widowControl w:val="0"/>
              <w:pBdr>
                <w:top w:val="nil"/>
                <w:left w:val="nil"/>
                <w:bottom w:val="nil"/>
                <w:right w:val="nil"/>
                <w:between w:val="nil"/>
              </w:pBdr>
              <w:spacing w:after="0" w:line="240" w:lineRule="auto"/>
              <w:ind w:left="107" w:right="61"/>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T4: Ammonium Molybdate (Mo) @ 0.40%</w:t>
            </w:r>
          </w:p>
        </w:tc>
        <w:tc>
          <w:tcPr>
            <w:tcW w:w="1559" w:type="dxa"/>
          </w:tcPr>
          <w:p w14:paraId="79F16095"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15.85</w:t>
            </w:r>
          </w:p>
        </w:tc>
        <w:tc>
          <w:tcPr>
            <w:tcW w:w="1134" w:type="dxa"/>
          </w:tcPr>
          <w:p w14:paraId="3C133F32" w14:textId="77777777" w:rsidR="000A7DB1" w:rsidRPr="000B691B" w:rsidRDefault="000A7DB1" w:rsidP="000A7DB1">
            <w:pPr>
              <w:widowControl w:val="0"/>
              <w:pBdr>
                <w:top w:val="nil"/>
                <w:left w:val="nil"/>
                <w:bottom w:val="nil"/>
                <w:right w:val="nil"/>
                <w:between w:val="nil"/>
              </w:pBdr>
              <w:spacing w:after="0" w:line="240" w:lineRule="auto"/>
              <w:ind w:left="11"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16.04</w:t>
            </w:r>
          </w:p>
        </w:tc>
        <w:tc>
          <w:tcPr>
            <w:tcW w:w="1306" w:type="dxa"/>
            <w:tcBorders>
              <w:bottom w:val="single" w:sz="4" w:space="0" w:color="000000"/>
              <w:right w:val="single" w:sz="4" w:space="0" w:color="000000"/>
            </w:tcBorders>
          </w:tcPr>
          <w:p w14:paraId="496C3FCC" w14:textId="77777777" w:rsidR="000A7DB1" w:rsidRPr="000B691B" w:rsidRDefault="000A7DB1" w:rsidP="000A7DB1">
            <w:pPr>
              <w:widowControl w:val="0"/>
              <w:pBdr>
                <w:top w:val="nil"/>
                <w:left w:val="nil"/>
                <w:bottom w:val="nil"/>
                <w:right w:val="nil"/>
                <w:between w:val="nil"/>
              </w:pBdr>
              <w:spacing w:after="0" w:line="240" w:lineRule="auto"/>
              <w:ind w:left="8"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15.95</w:t>
            </w:r>
          </w:p>
        </w:tc>
      </w:tr>
      <w:tr w:rsidR="000A7DB1" w:rsidRPr="000B691B" w14:paraId="000AA53C" w14:textId="77777777" w:rsidTr="001228EA">
        <w:trPr>
          <w:trHeight w:val="417"/>
        </w:trPr>
        <w:tc>
          <w:tcPr>
            <w:tcW w:w="5529" w:type="dxa"/>
          </w:tcPr>
          <w:p w14:paraId="7FB816A8" w14:textId="77777777" w:rsidR="000A7DB1" w:rsidRPr="000B691B"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T5: Boron @ 0.060%</w:t>
            </w:r>
          </w:p>
        </w:tc>
        <w:tc>
          <w:tcPr>
            <w:tcW w:w="1559" w:type="dxa"/>
          </w:tcPr>
          <w:p w14:paraId="544A3799" w14:textId="77777777" w:rsidR="000A7DB1" w:rsidRPr="000B691B" w:rsidRDefault="000A7DB1" w:rsidP="000A7DB1">
            <w:pPr>
              <w:widowControl w:val="0"/>
              <w:pBdr>
                <w:top w:val="nil"/>
                <w:left w:val="nil"/>
                <w:bottom w:val="nil"/>
                <w:right w:val="nil"/>
                <w:between w:val="nil"/>
              </w:pBdr>
              <w:spacing w:after="0" w:line="240" w:lineRule="auto"/>
              <w:ind w:left="12"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14.67</w:t>
            </w:r>
          </w:p>
        </w:tc>
        <w:tc>
          <w:tcPr>
            <w:tcW w:w="1134" w:type="dxa"/>
          </w:tcPr>
          <w:p w14:paraId="3E43B921"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14.89</w:t>
            </w:r>
          </w:p>
        </w:tc>
        <w:tc>
          <w:tcPr>
            <w:tcW w:w="1306" w:type="dxa"/>
            <w:tcBorders>
              <w:bottom w:val="single" w:sz="4" w:space="0" w:color="000000"/>
              <w:right w:val="single" w:sz="4" w:space="0" w:color="000000"/>
            </w:tcBorders>
          </w:tcPr>
          <w:p w14:paraId="47220AF1" w14:textId="77777777" w:rsidR="000A7DB1" w:rsidRPr="000B691B" w:rsidRDefault="000A7DB1" w:rsidP="000A7DB1">
            <w:pPr>
              <w:widowControl w:val="0"/>
              <w:pBdr>
                <w:top w:val="nil"/>
                <w:left w:val="nil"/>
                <w:bottom w:val="nil"/>
                <w:right w:val="nil"/>
                <w:between w:val="nil"/>
              </w:pBdr>
              <w:spacing w:after="0" w:line="240" w:lineRule="auto"/>
              <w:ind w:left="8"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14.78</w:t>
            </w:r>
          </w:p>
        </w:tc>
      </w:tr>
      <w:tr w:rsidR="000A7DB1" w:rsidRPr="000B691B" w14:paraId="6AF5F9E6" w14:textId="77777777" w:rsidTr="001228EA">
        <w:trPr>
          <w:trHeight w:val="412"/>
        </w:trPr>
        <w:tc>
          <w:tcPr>
            <w:tcW w:w="5529" w:type="dxa"/>
          </w:tcPr>
          <w:p w14:paraId="33718E91" w14:textId="77777777" w:rsidR="000A7DB1" w:rsidRPr="000B691B"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T6: Boron @ 0.080%</w:t>
            </w:r>
          </w:p>
        </w:tc>
        <w:tc>
          <w:tcPr>
            <w:tcW w:w="1559" w:type="dxa"/>
          </w:tcPr>
          <w:p w14:paraId="26772B1E"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14.86</w:t>
            </w:r>
          </w:p>
        </w:tc>
        <w:tc>
          <w:tcPr>
            <w:tcW w:w="1134" w:type="dxa"/>
          </w:tcPr>
          <w:p w14:paraId="44BDE83A"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15.09</w:t>
            </w:r>
          </w:p>
        </w:tc>
        <w:tc>
          <w:tcPr>
            <w:tcW w:w="1306" w:type="dxa"/>
            <w:tcBorders>
              <w:bottom w:val="single" w:sz="4" w:space="0" w:color="000000"/>
              <w:right w:val="single" w:sz="4" w:space="0" w:color="000000"/>
            </w:tcBorders>
          </w:tcPr>
          <w:p w14:paraId="4482DA1A" w14:textId="77777777" w:rsidR="000A7DB1" w:rsidRPr="000B691B" w:rsidRDefault="000A7DB1" w:rsidP="000A7DB1">
            <w:pPr>
              <w:widowControl w:val="0"/>
              <w:pBdr>
                <w:top w:val="nil"/>
                <w:left w:val="nil"/>
                <w:bottom w:val="nil"/>
                <w:right w:val="nil"/>
                <w:between w:val="nil"/>
              </w:pBdr>
              <w:spacing w:after="0" w:line="240" w:lineRule="auto"/>
              <w:ind w:left="8"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14.98</w:t>
            </w:r>
          </w:p>
        </w:tc>
      </w:tr>
      <w:tr w:rsidR="000A7DB1" w:rsidRPr="000B691B" w14:paraId="005EB9ED" w14:textId="77777777" w:rsidTr="001228EA">
        <w:trPr>
          <w:trHeight w:val="414"/>
        </w:trPr>
        <w:tc>
          <w:tcPr>
            <w:tcW w:w="5529" w:type="dxa"/>
          </w:tcPr>
          <w:p w14:paraId="7980E051" w14:textId="77777777" w:rsidR="000A7DB1" w:rsidRPr="000B691B"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T7: Boron @ 0.100%</w:t>
            </w:r>
          </w:p>
        </w:tc>
        <w:tc>
          <w:tcPr>
            <w:tcW w:w="1559" w:type="dxa"/>
          </w:tcPr>
          <w:p w14:paraId="602A75B1"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15.19</w:t>
            </w:r>
          </w:p>
        </w:tc>
        <w:tc>
          <w:tcPr>
            <w:tcW w:w="1134" w:type="dxa"/>
          </w:tcPr>
          <w:p w14:paraId="57F1E14A"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15.41</w:t>
            </w:r>
          </w:p>
        </w:tc>
        <w:tc>
          <w:tcPr>
            <w:tcW w:w="1306" w:type="dxa"/>
            <w:tcBorders>
              <w:bottom w:val="single" w:sz="4" w:space="0" w:color="000000"/>
              <w:right w:val="single" w:sz="4" w:space="0" w:color="000000"/>
            </w:tcBorders>
          </w:tcPr>
          <w:p w14:paraId="755CB37D" w14:textId="77777777" w:rsidR="000A7DB1" w:rsidRPr="000B691B" w:rsidRDefault="000A7DB1" w:rsidP="000A7DB1">
            <w:pPr>
              <w:widowControl w:val="0"/>
              <w:pBdr>
                <w:top w:val="nil"/>
                <w:left w:val="nil"/>
                <w:bottom w:val="nil"/>
                <w:right w:val="nil"/>
                <w:between w:val="nil"/>
              </w:pBdr>
              <w:spacing w:after="0" w:line="240" w:lineRule="auto"/>
              <w:ind w:left="8"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15.30</w:t>
            </w:r>
          </w:p>
        </w:tc>
      </w:tr>
      <w:tr w:rsidR="000A7DB1" w:rsidRPr="000B691B" w14:paraId="5CD15D94" w14:textId="77777777" w:rsidTr="001228EA">
        <w:trPr>
          <w:trHeight w:val="414"/>
        </w:trPr>
        <w:tc>
          <w:tcPr>
            <w:tcW w:w="5529" w:type="dxa"/>
          </w:tcPr>
          <w:p w14:paraId="4D0F61C9" w14:textId="77777777" w:rsidR="000A7DB1" w:rsidRPr="000B691B"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T8: Ammonium Molybdate (Mo) @ 0.20% + Boron @ 0.060%</w:t>
            </w:r>
          </w:p>
        </w:tc>
        <w:tc>
          <w:tcPr>
            <w:tcW w:w="1559" w:type="dxa"/>
          </w:tcPr>
          <w:p w14:paraId="622727B2" w14:textId="77777777" w:rsidR="000A7DB1" w:rsidRPr="000B691B" w:rsidRDefault="000A7DB1" w:rsidP="000A7DB1">
            <w:pPr>
              <w:widowControl w:val="0"/>
              <w:pBdr>
                <w:top w:val="nil"/>
                <w:left w:val="nil"/>
                <w:bottom w:val="nil"/>
                <w:right w:val="nil"/>
                <w:between w:val="nil"/>
              </w:pBdr>
              <w:spacing w:after="0" w:line="240" w:lineRule="auto"/>
              <w:ind w:left="12"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15.97</w:t>
            </w:r>
          </w:p>
        </w:tc>
        <w:tc>
          <w:tcPr>
            <w:tcW w:w="1134" w:type="dxa"/>
          </w:tcPr>
          <w:p w14:paraId="132AD16D"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16.16</w:t>
            </w:r>
          </w:p>
        </w:tc>
        <w:tc>
          <w:tcPr>
            <w:tcW w:w="1306" w:type="dxa"/>
            <w:tcBorders>
              <w:bottom w:val="single" w:sz="4" w:space="0" w:color="000000"/>
              <w:right w:val="single" w:sz="4" w:space="0" w:color="000000"/>
            </w:tcBorders>
          </w:tcPr>
          <w:p w14:paraId="6CB0FC71" w14:textId="77777777" w:rsidR="000A7DB1" w:rsidRPr="000B691B" w:rsidRDefault="000A7DB1" w:rsidP="000A7DB1">
            <w:pPr>
              <w:widowControl w:val="0"/>
              <w:pBdr>
                <w:top w:val="nil"/>
                <w:left w:val="nil"/>
                <w:bottom w:val="nil"/>
                <w:right w:val="nil"/>
                <w:between w:val="nil"/>
              </w:pBdr>
              <w:spacing w:after="0" w:line="240" w:lineRule="auto"/>
              <w:ind w:left="8"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16.07</w:t>
            </w:r>
          </w:p>
        </w:tc>
      </w:tr>
      <w:tr w:rsidR="000A7DB1" w:rsidRPr="000B691B" w14:paraId="716E2499" w14:textId="77777777" w:rsidTr="001228EA">
        <w:trPr>
          <w:trHeight w:val="414"/>
        </w:trPr>
        <w:tc>
          <w:tcPr>
            <w:tcW w:w="5529" w:type="dxa"/>
          </w:tcPr>
          <w:p w14:paraId="66FFF192" w14:textId="77777777" w:rsidR="000A7DB1" w:rsidRPr="000B691B"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T9: Ammonium Molybdate (Mo) @ 0.20% + Boron @ 0.080%</w:t>
            </w:r>
          </w:p>
        </w:tc>
        <w:tc>
          <w:tcPr>
            <w:tcW w:w="1559" w:type="dxa"/>
          </w:tcPr>
          <w:p w14:paraId="03E36315"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16.56</w:t>
            </w:r>
          </w:p>
        </w:tc>
        <w:tc>
          <w:tcPr>
            <w:tcW w:w="1134" w:type="dxa"/>
          </w:tcPr>
          <w:p w14:paraId="455CC577" w14:textId="77777777" w:rsidR="000A7DB1" w:rsidRPr="000B691B" w:rsidRDefault="000A7DB1" w:rsidP="000A7DB1">
            <w:pPr>
              <w:widowControl w:val="0"/>
              <w:pBdr>
                <w:top w:val="nil"/>
                <w:left w:val="nil"/>
                <w:bottom w:val="nil"/>
                <w:right w:val="nil"/>
                <w:between w:val="nil"/>
              </w:pBdr>
              <w:spacing w:after="0" w:line="240" w:lineRule="auto"/>
              <w:ind w:left="11"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16.75</w:t>
            </w:r>
          </w:p>
        </w:tc>
        <w:tc>
          <w:tcPr>
            <w:tcW w:w="1306" w:type="dxa"/>
            <w:tcBorders>
              <w:bottom w:val="single" w:sz="4" w:space="0" w:color="000000"/>
              <w:right w:val="single" w:sz="4" w:space="0" w:color="000000"/>
            </w:tcBorders>
          </w:tcPr>
          <w:p w14:paraId="13103FD9" w14:textId="77777777" w:rsidR="000A7DB1" w:rsidRPr="000B691B" w:rsidRDefault="000A7DB1" w:rsidP="000A7DB1">
            <w:pPr>
              <w:widowControl w:val="0"/>
              <w:pBdr>
                <w:top w:val="nil"/>
                <w:left w:val="nil"/>
                <w:bottom w:val="nil"/>
                <w:right w:val="nil"/>
                <w:between w:val="nil"/>
              </w:pBdr>
              <w:spacing w:after="0" w:line="240" w:lineRule="auto"/>
              <w:ind w:left="10"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16.66</w:t>
            </w:r>
          </w:p>
        </w:tc>
      </w:tr>
      <w:tr w:rsidR="000A7DB1" w:rsidRPr="000B691B" w14:paraId="732C49F1" w14:textId="77777777" w:rsidTr="001228EA">
        <w:trPr>
          <w:trHeight w:val="414"/>
        </w:trPr>
        <w:tc>
          <w:tcPr>
            <w:tcW w:w="5529" w:type="dxa"/>
          </w:tcPr>
          <w:p w14:paraId="297EE756" w14:textId="77777777" w:rsidR="000A7DB1" w:rsidRPr="000B691B"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T10: Ammonium Molybdate (Mo) @ 0.20% + Boron @ 0.100%</w:t>
            </w:r>
          </w:p>
        </w:tc>
        <w:tc>
          <w:tcPr>
            <w:tcW w:w="1559" w:type="dxa"/>
          </w:tcPr>
          <w:p w14:paraId="047D9B7F"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17.34</w:t>
            </w:r>
          </w:p>
        </w:tc>
        <w:tc>
          <w:tcPr>
            <w:tcW w:w="1134" w:type="dxa"/>
          </w:tcPr>
          <w:p w14:paraId="61C31507"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17.59</w:t>
            </w:r>
          </w:p>
        </w:tc>
        <w:tc>
          <w:tcPr>
            <w:tcW w:w="1306" w:type="dxa"/>
            <w:tcBorders>
              <w:bottom w:val="single" w:sz="4" w:space="0" w:color="000000"/>
              <w:right w:val="single" w:sz="4" w:space="0" w:color="000000"/>
            </w:tcBorders>
          </w:tcPr>
          <w:p w14:paraId="140A88BC" w14:textId="77777777" w:rsidR="000A7DB1" w:rsidRPr="000B691B" w:rsidRDefault="000A7DB1" w:rsidP="000A7DB1">
            <w:pPr>
              <w:widowControl w:val="0"/>
              <w:pBdr>
                <w:top w:val="nil"/>
                <w:left w:val="nil"/>
                <w:bottom w:val="nil"/>
                <w:right w:val="nil"/>
                <w:between w:val="nil"/>
              </w:pBdr>
              <w:spacing w:after="0" w:line="240" w:lineRule="auto"/>
              <w:ind w:left="8"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17.47</w:t>
            </w:r>
          </w:p>
        </w:tc>
      </w:tr>
      <w:tr w:rsidR="000A7DB1" w:rsidRPr="000B691B" w14:paraId="4785B3E0" w14:textId="77777777" w:rsidTr="001228EA">
        <w:trPr>
          <w:trHeight w:val="414"/>
        </w:trPr>
        <w:tc>
          <w:tcPr>
            <w:tcW w:w="5529" w:type="dxa"/>
          </w:tcPr>
          <w:p w14:paraId="051DA4DB" w14:textId="77777777" w:rsidR="000A7DB1" w:rsidRPr="000B691B" w:rsidRDefault="000A7DB1" w:rsidP="000A7DB1">
            <w:pPr>
              <w:widowControl w:val="0"/>
              <w:pBdr>
                <w:top w:val="nil"/>
                <w:left w:val="nil"/>
                <w:bottom w:val="nil"/>
                <w:right w:val="nil"/>
                <w:between w:val="nil"/>
              </w:pBdr>
              <w:spacing w:after="0" w:line="240" w:lineRule="auto"/>
              <w:ind w:left="107" w:right="116"/>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T11: Ammonium Molybdate (Mo) @ 0.30% + Boron @ 0.060%</w:t>
            </w:r>
          </w:p>
        </w:tc>
        <w:tc>
          <w:tcPr>
            <w:tcW w:w="1559" w:type="dxa"/>
          </w:tcPr>
          <w:p w14:paraId="5D4A143D"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16.05</w:t>
            </w:r>
          </w:p>
        </w:tc>
        <w:tc>
          <w:tcPr>
            <w:tcW w:w="1134" w:type="dxa"/>
          </w:tcPr>
          <w:p w14:paraId="7DF74837" w14:textId="77777777" w:rsidR="000A7DB1" w:rsidRPr="000B691B" w:rsidRDefault="000A7DB1" w:rsidP="000A7DB1">
            <w:pPr>
              <w:widowControl w:val="0"/>
              <w:pBdr>
                <w:top w:val="nil"/>
                <w:left w:val="nil"/>
                <w:bottom w:val="nil"/>
                <w:right w:val="nil"/>
                <w:between w:val="nil"/>
              </w:pBdr>
              <w:spacing w:after="0" w:line="240" w:lineRule="auto"/>
              <w:ind w:left="11"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16.27</w:t>
            </w:r>
          </w:p>
        </w:tc>
        <w:tc>
          <w:tcPr>
            <w:tcW w:w="1306" w:type="dxa"/>
            <w:tcBorders>
              <w:bottom w:val="single" w:sz="4" w:space="0" w:color="000000"/>
              <w:right w:val="single" w:sz="4" w:space="0" w:color="000000"/>
            </w:tcBorders>
          </w:tcPr>
          <w:p w14:paraId="129A60F1" w14:textId="77777777" w:rsidR="000A7DB1" w:rsidRPr="000B691B" w:rsidRDefault="000A7DB1" w:rsidP="000A7DB1">
            <w:pPr>
              <w:widowControl w:val="0"/>
              <w:pBdr>
                <w:top w:val="nil"/>
                <w:left w:val="nil"/>
                <w:bottom w:val="nil"/>
                <w:right w:val="nil"/>
                <w:between w:val="nil"/>
              </w:pBdr>
              <w:spacing w:after="0" w:line="240" w:lineRule="auto"/>
              <w:ind w:left="8"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16.16</w:t>
            </w:r>
          </w:p>
        </w:tc>
      </w:tr>
      <w:tr w:rsidR="000A7DB1" w:rsidRPr="000B691B" w14:paraId="095854D3" w14:textId="77777777" w:rsidTr="001228EA">
        <w:trPr>
          <w:trHeight w:val="412"/>
        </w:trPr>
        <w:tc>
          <w:tcPr>
            <w:tcW w:w="5529" w:type="dxa"/>
          </w:tcPr>
          <w:p w14:paraId="6F52664C" w14:textId="77777777" w:rsidR="000A7DB1" w:rsidRPr="000B691B" w:rsidRDefault="000A7DB1" w:rsidP="000A7DB1">
            <w:pPr>
              <w:widowControl w:val="0"/>
              <w:pBdr>
                <w:top w:val="nil"/>
                <w:left w:val="nil"/>
                <w:bottom w:val="nil"/>
                <w:right w:val="nil"/>
                <w:between w:val="nil"/>
              </w:pBdr>
              <w:spacing w:after="0" w:line="240" w:lineRule="auto"/>
              <w:ind w:left="127" w:right="20"/>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T12: Ammonium Molybdate (Mo) @ 0.30% + Boron @ 0.080%</w:t>
            </w:r>
          </w:p>
        </w:tc>
        <w:tc>
          <w:tcPr>
            <w:tcW w:w="1559" w:type="dxa"/>
          </w:tcPr>
          <w:p w14:paraId="472B6E37"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16.72</w:t>
            </w:r>
          </w:p>
        </w:tc>
        <w:tc>
          <w:tcPr>
            <w:tcW w:w="1134" w:type="dxa"/>
          </w:tcPr>
          <w:p w14:paraId="68301084"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16.98</w:t>
            </w:r>
          </w:p>
        </w:tc>
        <w:tc>
          <w:tcPr>
            <w:tcW w:w="1306" w:type="dxa"/>
            <w:tcBorders>
              <w:bottom w:val="single" w:sz="4" w:space="0" w:color="000000"/>
              <w:right w:val="single" w:sz="4" w:space="0" w:color="000000"/>
            </w:tcBorders>
          </w:tcPr>
          <w:p w14:paraId="16F67E4F" w14:textId="77777777" w:rsidR="000A7DB1" w:rsidRPr="000B691B" w:rsidRDefault="000A7DB1" w:rsidP="000A7DB1">
            <w:pPr>
              <w:widowControl w:val="0"/>
              <w:pBdr>
                <w:top w:val="nil"/>
                <w:left w:val="nil"/>
                <w:bottom w:val="nil"/>
                <w:right w:val="nil"/>
                <w:between w:val="nil"/>
              </w:pBdr>
              <w:spacing w:after="0" w:line="240" w:lineRule="auto"/>
              <w:ind w:left="8"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16.85</w:t>
            </w:r>
          </w:p>
        </w:tc>
      </w:tr>
      <w:tr w:rsidR="000A7DB1" w:rsidRPr="000B691B" w14:paraId="53596EDD" w14:textId="77777777" w:rsidTr="001228EA">
        <w:trPr>
          <w:trHeight w:val="417"/>
        </w:trPr>
        <w:tc>
          <w:tcPr>
            <w:tcW w:w="5529" w:type="dxa"/>
          </w:tcPr>
          <w:p w14:paraId="1CBAD801" w14:textId="77777777" w:rsidR="000A7DB1" w:rsidRPr="000B691B" w:rsidRDefault="000A7DB1" w:rsidP="000A7DB1">
            <w:pPr>
              <w:widowControl w:val="0"/>
              <w:pBdr>
                <w:top w:val="nil"/>
                <w:left w:val="nil"/>
                <w:bottom w:val="nil"/>
                <w:right w:val="nil"/>
                <w:between w:val="nil"/>
              </w:pBdr>
              <w:spacing w:after="0" w:line="240" w:lineRule="auto"/>
              <w:ind w:left="127" w:right="20"/>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T13: Ammonium Molybdate (Mo) @ 0.30% + Boron @ 0.100%</w:t>
            </w:r>
          </w:p>
        </w:tc>
        <w:tc>
          <w:tcPr>
            <w:tcW w:w="1559" w:type="dxa"/>
          </w:tcPr>
          <w:p w14:paraId="46FD5E6D"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17.89</w:t>
            </w:r>
          </w:p>
        </w:tc>
        <w:tc>
          <w:tcPr>
            <w:tcW w:w="1134" w:type="dxa"/>
          </w:tcPr>
          <w:p w14:paraId="011C610E" w14:textId="77777777" w:rsidR="000A7DB1" w:rsidRPr="000B691B" w:rsidRDefault="000A7DB1" w:rsidP="000A7DB1">
            <w:pPr>
              <w:widowControl w:val="0"/>
              <w:pBdr>
                <w:top w:val="nil"/>
                <w:left w:val="nil"/>
                <w:bottom w:val="nil"/>
                <w:right w:val="nil"/>
                <w:between w:val="nil"/>
              </w:pBdr>
              <w:spacing w:after="0" w:line="240" w:lineRule="auto"/>
              <w:ind w:left="11"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18.05</w:t>
            </w:r>
          </w:p>
        </w:tc>
        <w:tc>
          <w:tcPr>
            <w:tcW w:w="1306" w:type="dxa"/>
            <w:tcBorders>
              <w:bottom w:val="single" w:sz="4" w:space="0" w:color="000000"/>
              <w:right w:val="single" w:sz="4" w:space="0" w:color="000000"/>
            </w:tcBorders>
          </w:tcPr>
          <w:p w14:paraId="38C40751" w14:textId="77777777" w:rsidR="000A7DB1" w:rsidRPr="000B691B" w:rsidRDefault="000A7DB1" w:rsidP="000A7DB1">
            <w:pPr>
              <w:widowControl w:val="0"/>
              <w:pBdr>
                <w:top w:val="nil"/>
                <w:left w:val="nil"/>
                <w:bottom w:val="nil"/>
                <w:right w:val="nil"/>
                <w:between w:val="nil"/>
              </w:pBdr>
              <w:spacing w:after="0" w:line="240" w:lineRule="auto"/>
              <w:ind w:left="8"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17.97</w:t>
            </w:r>
          </w:p>
        </w:tc>
      </w:tr>
      <w:tr w:rsidR="000A7DB1" w:rsidRPr="000B691B" w14:paraId="403F2A35" w14:textId="77777777" w:rsidTr="001228EA">
        <w:trPr>
          <w:trHeight w:val="412"/>
        </w:trPr>
        <w:tc>
          <w:tcPr>
            <w:tcW w:w="5529" w:type="dxa"/>
          </w:tcPr>
          <w:p w14:paraId="28FF01AF" w14:textId="77777777" w:rsidR="000A7DB1" w:rsidRPr="000B691B" w:rsidRDefault="000A7DB1" w:rsidP="000A7DB1">
            <w:pPr>
              <w:widowControl w:val="0"/>
              <w:pBdr>
                <w:top w:val="nil"/>
                <w:left w:val="nil"/>
                <w:bottom w:val="nil"/>
                <w:right w:val="nil"/>
                <w:between w:val="nil"/>
              </w:pBdr>
              <w:spacing w:after="0" w:line="240" w:lineRule="auto"/>
              <w:ind w:left="122" w:right="20"/>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T14: Ammonium Molybdate (Mo) @ 0.40% + Boron @ 0.060%</w:t>
            </w:r>
          </w:p>
        </w:tc>
        <w:tc>
          <w:tcPr>
            <w:tcW w:w="1559" w:type="dxa"/>
          </w:tcPr>
          <w:p w14:paraId="59F0518B"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16.23</w:t>
            </w:r>
          </w:p>
        </w:tc>
        <w:tc>
          <w:tcPr>
            <w:tcW w:w="1134" w:type="dxa"/>
          </w:tcPr>
          <w:p w14:paraId="73751976"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16.49</w:t>
            </w:r>
          </w:p>
        </w:tc>
        <w:tc>
          <w:tcPr>
            <w:tcW w:w="1306" w:type="dxa"/>
            <w:tcBorders>
              <w:bottom w:val="single" w:sz="4" w:space="0" w:color="000000"/>
              <w:right w:val="single" w:sz="4" w:space="0" w:color="000000"/>
            </w:tcBorders>
          </w:tcPr>
          <w:p w14:paraId="6E5EA725" w14:textId="77777777" w:rsidR="000A7DB1" w:rsidRPr="000B691B" w:rsidRDefault="000A7DB1" w:rsidP="000A7DB1">
            <w:pPr>
              <w:widowControl w:val="0"/>
              <w:pBdr>
                <w:top w:val="nil"/>
                <w:left w:val="nil"/>
                <w:bottom w:val="nil"/>
                <w:right w:val="nil"/>
                <w:between w:val="nil"/>
              </w:pBdr>
              <w:spacing w:after="0" w:line="240" w:lineRule="auto"/>
              <w:ind w:left="8"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16.36</w:t>
            </w:r>
          </w:p>
        </w:tc>
      </w:tr>
      <w:tr w:rsidR="000A7DB1" w:rsidRPr="000B691B" w14:paraId="617D0C87" w14:textId="77777777" w:rsidTr="001228EA">
        <w:trPr>
          <w:trHeight w:val="417"/>
        </w:trPr>
        <w:tc>
          <w:tcPr>
            <w:tcW w:w="5529" w:type="dxa"/>
          </w:tcPr>
          <w:p w14:paraId="5242FF28" w14:textId="77777777" w:rsidR="000A7DB1" w:rsidRPr="000B691B" w:rsidRDefault="000A7DB1" w:rsidP="000A7DB1">
            <w:pPr>
              <w:widowControl w:val="0"/>
              <w:pBdr>
                <w:top w:val="nil"/>
                <w:left w:val="nil"/>
                <w:bottom w:val="nil"/>
                <w:right w:val="nil"/>
                <w:between w:val="nil"/>
              </w:pBdr>
              <w:spacing w:after="0" w:line="240" w:lineRule="auto"/>
              <w:ind w:left="107" w:right="56"/>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lastRenderedPageBreak/>
              <w:t>T15: Ammonium Molybdate (Mo) @ 0.40% + Boron @ 0.080%</w:t>
            </w:r>
          </w:p>
        </w:tc>
        <w:tc>
          <w:tcPr>
            <w:tcW w:w="1559" w:type="dxa"/>
          </w:tcPr>
          <w:p w14:paraId="6F437B71"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17.02</w:t>
            </w:r>
          </w:p>
        </w:tc>
        <w:tc>
          <w:tcPr>
            <w:tcW w:w="1134" w:type="dxa"/>
          </w:tcPr>
          <w:p w14:paraId="0AE39D0F"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17.11</w:t>
            </w:r>
          </w:p>
        </w:tc>
        <w:tc>
          <w:tcPr>
            <w:tcW w:w="1306" w:type="dxa"/>
            <w:tcBorders>
              <w:bottom w:val="single" w:sz="4" w:space="0" w:color="000000"/>
              <w:right w:val="single" w:sz="4" w:space="0" w:color="000000"/>
            </w:tcBorders>
          </w:tcPr>
          <w:p w14:paraId="590CF76E" w14:textId="77777777" w:rsidR="000A7DB1" w:rsidRPr="000B691B" w:rsidRDefault="000A7DB1" w:rsidP="000A7DB1">
            <w:pPr>
              <w:widowControl w:val="0"/>
              <w:pBdr>
                <w:top w:val="nil"/>
                <w:left w:val="nil"/>
                <w:bottom w:val="nil"/>
                <w:right w:val="nil"/>
                <w:between w:val="nil"/>
              </w:pBdr>
              <w:spacing w:after="0" w:line="240" w:lineRule="auto"/>
              <w:ind w:left="8"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17.07</w:t>
            </w:r>
          </w:p>
        </w:tc>
      </w:tr>
      <w:tr w:rsidR="000A7DB1" w:rsidRPr="000B691B" w14:paraId="500C291F" w14:textId="77777777" w:rsidTr="001228EA">
        <w:trPr>
          <w:trHeight w:val="412"/>
        </w:trPr>
        <w:tc>
          <w:tcPr>
            <w:tcW w:w="5529" w:type="dxa"/>
          </w:tcPr>
          <w:p w14:paraId="15568185" w14:textId="77777777" w:rsidR="000A7DB1" w:rsidRPr="000B691B" w:rsidRDefault="000A7DB1" w:rsidP="000A7DB1">
            <w:pPr>
              <w:widowControl w:val="0"/>
              <w:pBdr>
                <w:top w:val="nil"/>
                <w:left w:val="nil"/>
                <w:bottom w:val="nil"/>
                <w:right w:val="nil"/>
                <w:between w:val="nil"/>
              </w:pBdr>
              <w:spacing w:after="0" w:line="240" w:lineRule="auto"/>
              <w:ind w:left="122" w:right="20"/>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T16: Ammonium Molybdate (Mo) @ 0.40% + Boron @ 0.100%</w:t>
            </w:r>
          </w:p>
        </w:tc>
        <w:tc>
          <w:tcPr>
            <w:tcW w:w="1559" w:type="dxa"/>
          </w:tcPr>
          <w:p w14:paraId="32B38310"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18.24</w:t>
            </w:r>
          </w:p>
        </w:tc>
        <w:tc>
          <w:tcPr>
            <w:tcW w:w="1134" w:type="dxa"/>
          </w:tcPr>
          <w:p w14:paraId="2BB7DC0C" w14:textId="77777777" w:rsidR="000A7DB1" w:rsidRPr="000B691B" w:rsidRDefault="000A7DB1" w:rsidP="000A7DB1">
            <w:pPr>
              <w:widowControl w:val="0"/>
              <w:pBdr>
                <w:top w:val="nil"/>
                <w:left w:val="nil"/>
                <w:bottom w:val="nil"/>
                <w:right w:val="nil"/>
                <w:between w:val="nil"/>
              </w:pBdr>
              <w:spacing w:after="0" w:line="240" w:lineRule="auto"/>
              <w:ind w:left="6"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18.41</w:t>
            </w:r>
          </w:p>
        </w:tc>
        <w:tc>
          <w:tcPr>
            <w:tcW w:w="1306" w:type="dxa"/>
            <w:tcBorders>
              <w:bottom w:val="single" w:sz="4" w:space="0" w:color="000000"/>
              <w:right w:val="single" w:sz="4" w:space="0" w:color="000000"/>
            </w:tcBorders>
          </w:tcPr>
          <w:p w14:paraId="47818D07" w14:textId="77777777" w:rsidR="000A7DB1" w:rsidRPr="000B691B" w:rsidRDefault="000A7DB1" w:rsidP="000A7DB1">
            <w:pPr>
              <w:widowControl w:val="0"/>
              <w:pBdr>
                <w:top w:val="nil"/>
                <w:left w:val="nil"/>
                <w:bottom w:val="nil"/>
                <w:right w:val="nil"/>
                <w:between w:val="nil"/>
              </w:pBdr>
              <w:spacing w:after="0" w:line="240" w:lineRule="auto"/>
              <w:ind w:left="10"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18.33</w:t>
            </w:r>
          </w:p>
        </w:tc>
      </w:tr>
      <w:tr w:rsidR="000A7DB1" w:rsidRPr="000B691B" w14:paraId="48743E55" w14:textId="77777777" w:rsidTr="001228EA">
        <w:trPr>
          <w:trHeight w:val="414"/>
        </w:trPr>
        <w:tc>
          <w:tcPr>
            <w:tcW w:w="5529" w:type="dxa"/>
          </w:tcPr>
          <w:p w14:paraId="7D927375" w14:textId="77777777" w:rsidR="000A7DB1" w:rsidRPr="000B691B" w:rsidRDefault="000A7DB1" w:rsidP="000A7DB1">
            <w:pPr>
              <w:widowControl w:val="0"/>
              <w:pBdr>
                <w:top w:val="nil"/>
                <w:left w:val="nil"/>
                <w:bottom w:val="nil"/>
                <w:right w:val="nil"/>
                <w:between w:val="nil"/>
              </w:pBdr>
              <w:spacing w:after="0" w:line="240" w:lineRule="auto"/>
              <w:ind w:left="109" w:right="1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SEmz</w:t>
            </w:r>
          </w:p>
        </w:tc>
        <w:tc>
          <w:tcPr>
            <w:tcW w:w="1559" w:type="dxa"/>
          </w:tcPr>
          <w:p w14:paraId="7664509A" w14:textId="77777777" w:rsidR="000A7DB1" w:rsidRPr="000B691B" w:rsidRDefault="000A7DB1" w:rsidP="000A7DB1">
            <w:pPr>
              <w:widowControl w:val="0"/>
              <w:pBdr>
                <w:top w:val="nil"/>
                <w:left w:val="nil"/>
                <w:bottom w:val="nil"/>
                <w:right w:val="nil"/>
                <w:between w:val="nil"/>
              </w:pBdr>
              <w:spacing w:after="0" w:line="240" w:lineRule="auto"/>
              <w:ind w:left="14"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0.39</w:t>
            </w:r>
          </w:p>
        </w:tc>
        <w:tc>
          <w:tcPr>
            <w:tcW w:w="1134" w:type="dxa"/>
          </w:tcPr>
          <w:p w14:paraId="017522F4" w14:textId="77777777" w:rsidR="000A7DB1" w:rsidRPr="000B691B" w:rsidRDefault="000A7DB1" w:rsidP="000A7DB1">
            <w:pPr>
              <w:widowControl w:val="0"/>
              <w:pBdr>
                <w:top w:val="nil"/>
                <w:left w:val="nil"/>
                <w:bottom w:val="nil"/>
                <w:right w:val="nil"/>
                <w:between w:val="nil"/>
              </w:pBdr>
              <w:spacing w:after="0" w:line="240" w:lineRule="auto"/>
              <w:ind w:left="14"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0.41</w:t>
            </w:r>
          </w:p>
        </w:tc>
        <w:tc>
          <w:tcPr>
            <w:tcW w:w="1306" w:type="dxa"/>
            <w:tcBorders>
              <w:bottom w:val="single" w:sz="4" w:space="0" w:color="000000"/>
              <w:right w:val="single" w:sz="4" w:space="0" w:color="000000"/>
            </w:tcBorders>
          </w:tcPr>
          <w:p w14:paraId="05CA99A0" w14:textId="77777777" w:rsidR="000A7DB1" w:rsidRPr="000B691B" w:rsidRDefault="000A7DB1" w:rsidP="000A7DB1">
            <w:pPr>
              <w:widowControl w:val="0"/>
              <w:pBdr>
                <w:top w:val="nil"/>
                <w:left w:val="nil"/>
                <w:bottom w:val="nil"/>
                <w:right w:val="nil"/>
                <w:between w:val="nil"/>
              </w:pBdr>
              <w:spacing w:after="0" w:line="240" w:lineRule="auto"/>
              <w:ind w:left="15" w:right="22"/>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0.40</w:t>
            </w:r>
          </w:p>
        </w:tc>
      </w:tr>
      <w:tr w:rsidR="000A7DB1" w:rsidRPr="000B691B" w14:paraId="63DCBEA6" w14:textId="77777777" w:rsidTr="001228EA">
        <w:trPr>
          <w:trHeight w:val="412"/>
        </w:trPr>
        <w:tc>
          <w:tcPr>
            <w:tcW w:w="5529" w:type="dxa"/>
          </w:tcPr>
          <w:p w14:paraId="2E88127D" w14:textId="77777777" w:rsidR="000A7DB1" w:rsidRPr="000B691B" w:rsidRDefault="000A7DB1" w:rsidP="000A7DB1">
            <w:pPr>
              <w:widowControl w:val="0"/>
              <w:pBdr>
                <w:top w:val="nil"/>
                <w:left w:val="nil"/>
                <w:bottom w:val="nil"/>
                <w:right w:val="nil"/>
                <w:between w:val="nil"/>
              </w:pBdr>
              <w:spacing w:after="0" w:line="240" w:lineRule="auto"/>
              <w:ind w:left="527"/>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LSD (p=0.05)</w:t>
            </w:r>
          </w:p>
        </w:tc>
        <w:tc>
          <w:tcPr>
            <w:tcW w:w="1559" w:type="dxa"/>
          </w:tcPr>
          <w:p w14:paraId="353A0433" w14:textId="77777777" w:rsidR="000A7DB1" w:rsidRPr="000B691B" w:rsidRDefault="000A7DB1" w:rsidP="000A7DB1">
            <w:pPr>
              <w:widowControl w:val="0"/>
              <w:pBdr>
                <w:top w:val="nil"/>
                <w:left w:val="nil"/>
                <w:bottom w:val="nil"/>
                <w:right w:val="nil"/>
                <w:between w:val="nil"/>
              </w:pBdr>
              <w:spacing w:after="0" w:line="240" w:lineRule="auto"/>
              <w:ind w:left="8"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1.18</w:t>
            </w:r>
          </w:p>
        </w:tc>
        <w:tc>
          <w:tcPr>
            <w:tcW w:w="1134" w:type="dxa"/>
          </w:tcPr>
          <w:p w14:paraId="0DBFFA9D" w14:textId="77777777" w:rsidR="000A7DB1" w:rsidRPr="000B691B" w:rsidRDefault="000A7DB1" w:rsidP="000A7DB1">
            <w:pPr>
              <w:widowControl w:val="0"/>
              <w:pBdr>
                <w:top w:val="nil"/>
                <w:left w:val="nil"/>
                <w:bottom w:val="nil"/>
                <w:right w:val="nil"/>
                <w:between w:val="nil"/>
              </w:pBdr>
              <w:spacing w:after="0" w:line="240" w:lineRule="auto"/>
              <w:ind w:left="13" w:right="20"/>
              <w:jc w:val="center"/>
              <w:rPr>
                <w:rFonts w:ascii="Arial" w:eastAsia="Times New Roman" w:hAnsi="Arial" w:cs="Arial"/>
                <w:color w:val="000000"/>
                <w:sz w:val="20"/>
                <w:szCs w:val="20"/>
                <w:highlight w:val="yellow"/>
              </w:rPr>
            </w:pPr>
            <w:r w:rsidRPr="000B691B">
              <w:rPr>
                <w:rFonts w:ascii="Arial" w:eastAsia="Times New Roman" w:hAnsi="Arial" w:cs="Arial"/>
                <w:color w:val="000000"/>
                <w:sz w:val="20"/>
                <w:szCs w:val="20"/>
                <w:highlight w:val="yellow"/>
              </w:rPr>
              <w:t>1.25</w:t>
            </w:r>
          </w:p>
        </w:tc>
        <w:tc>
          <w:tcPr>
            <w:tcW w:w="1306" w:type="dxa"/>
            <w:tcBorders>
              <w:right w:val="single" w:sz="4" w:space="0" w:color="000000"/>
            </w:tcBorders>
          </w:tcPr>
          <w:p w14:paraId="18FE0399" w14:textId="77777777" w:rsidR="000A7DB1" w:rsidRPr="000B691B" w:rsidRDefault="000A7DB1" w:rsidP="000A7DB1">
            <w:pPr>
              <w:widowControl w:val="0"/>
              <w:pBdr>
                <w:top w:val="nil"/>
                <w:left w:val="nil"/>
                <w:bottom w:val="nil"/>
                <w:right w:val="nil"/>
                <w:between w:val="nil"/>
              </w:pBdr>
              <w:spacing w:after="0" w:line="240" w:lineRule="auto"/>
              <w:ind w:left="14" w:right="22"/>
              <w:jc w:val="center"/>
              <w:rPr>
                <w:rFonts w:ascii="Arial" w:eastAsia="Times New Roman" w:hAnsi="Arial" w:cs="Arial"/>
                <w:color w:val="000000"/>
                <w:sz w:val="20"/>
                <w:szCs w:val="20"/>
              </w:rPr>
            </w:pPr>
            <w:r w:rsidRPr="000B691B">
              <w:rPr>
                <w:rFonts w:ascii="Arial" w:eastAsia="Times New Roman" w:hAnsi="Arial" w:cs="Arial"/>
                <w:color w:val="000000"/>
                <w:sz w:val="20"/>
                <w:szCs w:val="20"/>
                <w:highlight w:val="yellow"/>
              </w:rPr>
              <w:t>1.21</w:t>
            </w:r>
          </w:p>
        </w:tc>
      </w:tr>
    </w:tbl>
    <w:p w14:paraId="286B74A5" w14:textId="77777777" w:rsidR="000A7DB1" w:rsidRDefault="000A7DB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9B68B6B" w14:textId="707F0E0B" w:rsidR="0006770F" w:rsidRPr="000B691B" w:rsidRDefault="000B691B">
      <w:pPr>
        <w:pBdr>
          <w:top w:val="nil"/>
          <w:left w:val="nil"/>
          <w:bottom w:val="nil"/>
          <w:right w:val="nil"/>
          <w:between w:val="nil"/>
        </w:pBdr>
        <w:spacing w:line="240" w:lineRule="auto"/>
        <w:jc w:val="both"/>
        <w:rPr>
          <w:rFonts w:ascii="Arial" w:eastAsia="Times New Roman" w:hAnsi="Arial" w:cs="Arial"/>
          <w:b/>
          <w:color w:val="000000"/>
        </w:rPr>
      </w:pPr>
      <w:r w:rsidRPr="000B691B">
        <w:rPr>
          <w:rFonts w:ascii="Arial" w:eastAsia="Times New Roman" w:hAnsi="Arial" w:cs="Arial"/>
          <w:b/>
          <w:color w:val="000000"/>
        </w:rPr>
        <w:t>4. DISCUSSION</w:t>
      </w:r>
    </w:p>
    <w:p w14:paraId="49B68CDF" w14:textId="197CD46A" w:rsidR="0006770F" w:rsidRPr="000B691B" w:rsidRDefault="00E3304A" w:rsidP="00926847">
      <w:pPr>
        <w:pStyle w:val="NormalWeb"/>
        <w:jc w:val="both"/>
        <w:rPr>
          <w:rFonts w:ascii="Arial" w:hAnsi="Arial" w:cs="Arial"/>
          <w:sz w:val="20"/>
          <w:szCs w:val="20"/>
        </w:rPr>
      </w:pPr>
      <w:r w:rsidRPr="000B691B">
        <w:rPr>
          <w:rFonts w:ascii="Arial" w:hAnsi="Arial" w:cs="Arial"/>
          <w:color w:val="000000"/>
          <w:sz w:val="20"/>
          <w:szCs w:val="20"/>
        </w:rPr>
        <w:t xml:space="preserve">The research revealed that the shortest time for 50% curd initiation was achieved using (T16) Ammonium Molybdate at 0.40% in combination with boron at 0.100%. </w:t>
      </w:r>
      <w:r w:rsidR="005227C5" w:rsidRPr="000B691B">
        <w:rPr>
          <w:rFonts w:ascii="Arial" w:hAnsi="Arial" w:cs="Arial"/>
          <w:color w:val="000000"/>
          <w:sz w:val="20"/>
          <w:szCs w:val="20"/>
          <w:highlight w:val="yellow"/>
        </w:rPr>
        <w:t>Micronutrients play essential roles in plant development and can enhance crop nutritional quality, yield, biomass production, and resilience to environmental stresses (Dimkpa &amp; Bindraban, 2016).</w:t>
      </w:r>
      <w:r w:rsidR="005227C5" w:rsidRPr="000B691B">
        <w:rPr>
          <w:rFonts w:ascii="Arial" w:hAnsi="Arial" w:cs="Arial"/>
          <w:color w:val="000000"/>
          <w:sz w:val="20"/>
          <w:szCs w:val="20"/>
        </w:rPr>
        <w:t xml:space="preserve"> </w:t>
      </w:r>
      <w:r w:rsidR="005227C5" w:rsidRPr="000B691B">
        <w:rPr>
          <w:rFonts w:ascii="Arial" w:hAnsi="Arial" w:cs="Arial"/>
          <w:color w:val="000000"/>
          <w:sz w:val="20"/>
          <w:szCs w:val="20"/>
          <w:highlight w:val="yellow"/>
        </w:rPr>
        <w:t xml:space="preserve">Targeted application of micronutrients, potentially in combination with other agronomic practices like mulching or growth regulators, can significantly improve curd initiation and development in cauliflower </w:t>
      </w:r>
      <w:r w:rsidR="005227C5" w:rsidRPr="000B691B">
        <w:rPr>
          <w:rStyle w:val="highlight"/>
          <w:rFonts w:ascii="Arial" w:hAnsi="Arial" w:cs="Arial"/>
          <w:sz w:val="20"/>
          <w:szCs w:val="20"/>
          <w:highlight w:val="yellow"/>
          <w:shd w:val="clear" w:color="auto" w:fill="F8F9FD"/>
        </w:rPr>
        <w:t>(Kumar et al., 2016)</w:t>
      </w:r>
      <w:r w:rsidR="005227C5" w:rsidRPr="000B691B">
        <w:rPr>
          <w:rFonts w:ascii="Arial" w:hAnsi="Arial" w:cs="Arial"/>
          <w:color w:val="000000"/>
          <w:sz w:val="20"/>
          <w:szCs w:val="20"/>
          <w:highlight w:val="yellow"/>
        </w:rPr>
        <w:t>.</w:t>
      </w:r>
      <w:r w:rsidR="00CF0860" w:rsidRPr="000B691B">
        <w:rPr>
          <w:rFonts w:ascii="Arial" w:hAnsi="Arial" w:cs="Arial"/>
          <w:color w:val="000000"/>
          <w:sz w:val="20"/>
          <w:szCs w:val="20"/>
        </w:rPr>
        <w:t xml:space="preserve"> </w:t>
      </w:r>
      <w:r w:rsidRPr="000B691B">
        <w:rPr>
          <w:rFonts w:ascii="Arial" w:hAnsi="Arial" w:cs="Arial"/>
          <w:color w:val="000000"/>
          <w:sz w:val="20"/>
          <w:szCs w:val="20"/>
        </w:rPr>
        <w:t>As the application levels of micronutrients increased, the time needed for curd initiation in plants decreased. This phenomenon is likely due to the positive role of these micronutrients in promoting balanced nutrient uptake, which enhances physiological functions and leads to the production of endogenous growth hormones that trigger early curd formation in plants</w:t>
      </w:r>
      <w:r w:rsidR="00B8421B" w:rsidRPr="000B691B">
        <w:rPr>
          <w:rFonts w:ascii="Arial" w:hAnsi="Arial" w:cs="Arial"/>
          <w:color w:val="000000"/>
          <w:sz w:val="20"/>
          <w:szCs w:val="20"/>
        </w:rPr>
        <w:t xml:space="preserve"> </w:t>
      </w:r>
      <w:r w:rsidR="00B8421B" w:rsidRPr="000B691B">
        <w:rPr>
          <w:rStyle w:val="paperpal-inline-citation"/>
          <w:rFonts w:ascii="Arial" w:hAnsi="Arial" w:cs="Arial"/>
          <w:sz w:val="20"/>
          <w:szCs w:val="20"/>
          <w:highlight w:val="yellow"/>
        </w:rPr>
        <w:t>(Thapa et al., 2021)</w:t>
      </w:r>
      <w:r w:rsidRPr="000B691B">
        <w:rPr>
          <w:rFonts w:ascii="Arial" w:hAnsi="Arial" w:cs="Arial"/>
          <w:color w:val="000000"/>
          <w:sz w:val="20"/>
          <w:szCs w:val="20"/>
          <w:highlight w:val="yellow"/>
        </w:rPr>
        <w:t>.</w:t>
      </w:r>
      <w:r w:rsidRPr="000B691B">
        <w:rPr>
          <w:rFonts w:ascii="Arial" w:hAnsi="Arial" w:cs="Arial"/>
          <w:color w:val="000000"/>
          <w:sz w:val="20"/>
          <w:szCs w:val="20"/>
        </w:rPr>
        <w:t xml:space="preserve"> These findings are consistent with those of Kumar and Choudhary (2002) and Verma (2009) on cauliflowers. The shortest duration for 50% curd maturity was recorded under the same treatment with Ammonium Molybdate and Boron. Boron is essential for improving the transport of carbohydrates</w:t>
      </w:r>
      <w:r w:rsidR="00926847" w:rsidRPr="000B691B">
        <w:rPr>
          <w:rFonts w:ascii="Arial" w:hAnsi="Arial" w:cs="Arial"/>
          <w:color w:val="000000"/>
          <w:sz w:val="20"/>
          <w:szCs w:val="20"/>
        </w:rPr>
        <w:t xml:space="preserve"> </w:t>
      </w:r>
      <w:r w:rsidRPr="000B691B">
        <w:rPr>
          <w:rFonts w:ascii="Arial" w:hAnsi="Arial" w:cs="Arial"/>
          <w:color w:val="000000"/>
          <w:sz w:val="20"/>
          <w:szCs w:val="20"/>
        </w:rPr>
        <w:t xml:space="preserve"> from their production site to the reproductive tissues</w:t>
      </w:r>
      <w:r w:rsidR="00926847" w:rsidRPr="000B691B">
        <w:rPr>
          <w:rFonts w:ascii="Arial" w:hAnsi="Arial" w:cs="Arial"/>
          <w:color w:val="000000"/>
          <w:sz w:val="20"/>
          <w:szCs w:val="20"/>
        </w:rPr>
        <w:t xml:space="preserve"> </w:t>
      </w:r>
      <w:r w:rsidR="00926847" w:rsidRPr="000B691B">
        <w:rPr>
          <w:rStyle w:val="paperpal-inline-citation"/>
          <w:rFonts w:ascii="Arial" w:hAnsi="Arial" w:cs="Arial"/>
          <w:sz w:val="20"/>
          <w:szCs w:val="20"/>
          <w:highlight w:val="yellow"/>
        </w:rPr>
        <w:t>(Vera-Maldonado et al., 2024)</w:t>
      </w:r>
      <w:r w:rsidR="00926847" w:rsidRPr="000B691B">
        <w:rPr>
          <w:rFonts w:ascii="Arial" w:hAnsi="Arial" w:cs="Arial"/>
          <w:sz w:val="20"/>
          <w:szCs w:val="20"/>
        </w:rPr>
        <w:t xml:space="preserve"> </w:t>
      </w:r>
      <w:r w:rsidRPr="000B691B">
        <w:rPr>
          <w:rFonts w:ascii="Arial" w:hAnsi="Arial" w:cs="Arial"/>
          <w:color w:val="000000"/>
          <w:sz w:val="20"/>
          <w:szCs w:val="20"/>
        </w:rPr>
        <w:t>in the cauliflower curd, whereas molybdenum enhances photosynthetic activities and metabolic processes</w:t>
      </w:r>
      <w:r w:rsidR="00926847" w:rsidRPr="000B691B">
        <w:rPr>
          <w:rFonts w:ascii="Arial" w:hAnsi="Arial" w:cs="Arial"/>
          <w:color w:val="000000"/>
          <w:sz w:val="20"/>
          <w:szCs w:val="20"/>
        </w:rPr>
        <w:t xml:space="preserve"> </w:t>
      </w:r>
      <w:r w:rsidR="00926847" w:rsidRPr="000B691B">
        <w:rPr>
          <w:rStyle w:val="highlight"/>
          <w:rFonts w:ascii="Arial" w:hAnsi="Arial" w:cs="Arial"/>
          <w:sz w:val="20"/>
          <w:szCs w:val="20"/>
          <w:highlight w:val="yellow"/>
          <w:shd w:val="clear" w:color="auto" w:fill="F8F9FD"/>
        </w:rPr>
        <w:t>(Huang et al., 2021)</w:t>
      </w:r>
      <w:r w:rsidRPr="000B691B">
        <w:rPr>
          <w:rFonts w:ascii="Arial" w:hAnsi="Arial" w:cs="Arial"/>
          <w:color w:val="000000"/>
          <w:sz w:val="20"/>
          <w:szCs w:val="20"/>
        </w:rPr>
        <w:t xml:space="preserve">. Similar significant responses to micronutrients have been documented by Singh (2003) and Chattopadhyay and Mukhopadhyay (2003) in cauliflowers. The combined effect of micronutrients increases curd diameter and weight by promoting physiological activities such as photosynthesis, during which the plant produces food, and the translocation of assimilates from leaves to the curd, where they are stored, with zinc being a contributing factor as noted by Lashkari </w:t>
      </w:r>
      <w:r w:rsidRPr="000B691B">
        <w:rPr>
          <w:rFonts w:ascii="Arial" w:hAnsi="Arial" w:cs="Arial"/>
          <w:i/>
          <w:color w:val="000000"/>
          <w:sz w:val="20"/>
          <w:szCs w:val="20"/>
        </w:rPr>
        <w:t>et al</w:t>
      </w:r>
      <w:r w:rsidRPr="000B691B">
        <w:rPr>
          <w:rFonts w:ascii="Arial" w:hAnsi="Arial" w:cs="Arial"/>
          <w:color w:val="000000"/>
          <w:sz w:val="20"/>
          <w:szCs w:val="20"/>
        </w:rPr>
        <w:t xml:space="preserve">. (2008). The notable curd development due to micronutrients (B and Mo) can be attributed to their positive interaction with enzymes and active involvement in physiological processes, such as cell formation and protein and carbohydrate metabolism in plants. These observations are consistent with the findings of Upadhyay </w:t>
      </w:r>
      <w:r w:rsidRPr="000B691B">
        <w:rPr>
          <w:rFonts w:ascii="Arial" w:hAnsi="Arial" w:cs="Arial"/>
          <w:i/>
          <w:color w:val="000000"/>
          <w:sz w:val="20"/>
          <w:szCs w:val="20"/>
        </w:rPr>
        <w:t>et al</w:t>
      </w:r>
      <w:r w:rsidRPr="000B691B">
        <w:rPr>
          <w:rFonts w:ascii="Arial" w:hAnsi="Arial" w:cs="Arial"/>
          <w:color w:val="000000"/>
          <w:sz w:val="20"/>
          <w:szCs w:val="20"/>
        </w:rPr>
        <w:t xml:space="preserve">. (2012) for cabbage. The increase in curd volume may be due to the enhanced compactness of the curd resulting from the beneficial effects of these micronutrients (B and Mo). This could also be a result of the translocation of carbohydrates from their synthesis site to the storage tissues in the curd, as boron is known to facilitate carbohydrate translocation (Sisler </w:t>
      </w:r>
      <w:r w:rsidRPr="000B691B">
        <w:rPr>
          <w:rFonts w:ascii="Arial" w:hAnsi="Arial" w:cs="Arial"/>
          <w:i/>
          <w:color w:val="000000"/>
          <w:sz w:val="20"/>
          <w:szCs w:val="20"/>
        </w:rPr>
        <w:t>et al</w:t>
      </w:r>
      <w:r w:rsidRPr="000B691B">
        <w:rPr>
          <w:rFonts w:ascii="Arial" w:hAnsi="Arial" w:cs="Arial"/>
          <w:color w:val="000000"/>
          <w:sz w:val="20"/>
          <w:szCs w:val="20"/>
        </w:rPr>
        <w:t>., 1956), ultimately leading to an increase in both the curd weight and volume. Similar outcomes were reported by Prasad and Yadav (2003).</w:t>
      </w:r>
    </w:p>
    <w:p w14:paraId="49B68CE0" w14:textId="071AB995" w:rsidR="0006770F" w:rsidRPr="000B691B" w:rsidRDefault="000B691B">
      <w:pPr>
        <w:pBdr>
          <w:top w:val="nil"/>
          <w:left w:val="nil"/>
          <w:bottom w:val="nil"/>
          <w:right w:val="nil"/>
          <w:between w:val="nil"/>
        </w:pBdr>
        <w:spacing w:line="240" w:lineRule="auto"/>
        <w:jc w:val="both"/>
        <w:rPr>
          <w:rFonts w:ascii="Arial" w:eastAsia="Times New Roman" w:hAnsi="Arial" w:cs="Arial"/>
          <w:b/>
          <w:color w:val="000000"/>
        </w:rPr>
      </w:pPr>
      <w:r w:rsidRPr="000B691B">
        <w:rPr>
          <w:rFonts w:ascii="Arial" w:eastAsia="Times New Roman" w:hAnsi="Arial" w:cs="Arial"/>
          <w:b/>
          <w:color w:val="000000"/>
        </w:rPr>
        <w:t>CONCLUSION</w:t>
      </w:r>
    </w:p>
    <w:p w14:paraId="49B68CE1" w14:textId="612B6210" w:rsidR="0006770F" w:rsidRPr="000B691B" w:rsidRDefault="00E3304A">
      <w:pPr>
        <w:pBdr>
          <w:top w:val="nil"/>
          <w:left w:val="nil"/>
          <w:bottom w:val="nil"/>
          <w:right w:val="nil"/>
          <w:between w:val="nil"/>
        </w:pBdr>
        <w:spacing w:line="240" w:lineRule="auto"/>
        <w:ind w:firstLine="720"/>
        <w:jc w:val="both"/>
        <w:rPr>
          <w:rFonts w:ascii="Arial" w:eastAsia="Times New Roman" w:hAnsi="Arial" w:cs="Arial"/>
          <w:color w:val="000000"/>
          <w:sz w:val="20"/>
          <w:szCs w:val="20"/>
        </w:rPr>
      </w:pPr>
      <w:r w:rsidRPr="000B691B">
        <w:rPr>
          <w:rFonts w:ascii="Arial" w:eastAsia="Times New Roman" w:hAnsi="Arial" w:cs="Arial"/>
          <w:color w:val="000000"/>
          <w:sz w:val="20"/>
          <w:szCs w:val="20"/>
        </w:rPr>
        <w:t xml:space="preserve">Cauliflower is an </w:t>
      </w:r>
      <w:r w:rsidR="002F6E06">
        <w:rPr>
          <w:rFonts w:ascii="Arial" w:eastAsia="Times New Roman" w:hAnsi="Arial" w:cs="Arial"/>
          <w:color w:val="000000"/>
          <w:sz w:val="20"/>
          <w:szCs w:val="20"/>
        </w:rPr>
        <w:t xml:space="preserve">important vegetable crop </w:t>
      </w:r>
      <w:r w:rsidR="002F6E06" w:rsidRPr="002F6E06">
        <w:rPr>
          <w:rFonts w:ascii="Arial" w:eastAsia="Times New Roman" w:hAnsi="Arial" w:cs="Arial"/>
          <w:color w:val="000000"/>
          <w:sz w:val="20"/>
          <w:szCs w:val="20"/>
          <w:highlight w:val="yellow"/>
        </w:rPr>
        <w:t>in</w:t>
      </w:r>
      <w:r w:rsidRPr="002F6E06">
        <w:rPr>
          <w:rFonts w:ascii="Arial" w:eastAsia="Times New Roman" w:hAnsi="Arial" w:cs="Arial"/>
          <w:color w:val="000000"/>
          <w:sz w:val="20"/>
          <w:szCs w:val="20"/>
          <w:highlight w:val="yellow"/>
        </w:rPr>
        <w:t xml:space="preserve"> India and</w:t>
      </w:r>
      <w:r w:rsidR="002F6E06" w:rsidRPr="002F6E06">
        <w:rPr>
          <w:rFonts w:ascii="Arial" w:eastAsia="Times New Roman" w:hAnsi="Arial" w:cs="Arial"/>
          <w:color w:val="000000"/>
          <w:sz w:val="20"/>
          <w:szCs w:val="20"/>
          <w:highlight w:val="yellow"/>
        </w:rPr>
        <w:t xml:space="preserve"> particularly in</w:t>
      </w:r>
      <w:r w:rsidRPr="002F6E06">
        <w:rPr>
          <w:rFonts w:ascii="Arial" w:eastAsia="Times New Roman" w:hAnsi="Arial" w:cs="Arial"/>
          <w:color w:val="000000"/>
          <w:sz w:val="20"/>
          <w:szCs w:val="20"/>
          <w:highlight w:val="yellow"/>
        </w:rPr>
        <w:t xml:space="preserve"> Uttar Pradesh</w:t>
      </w:r>
      <w:r w:rsidRPr="000B691B">
        <w:rPr>
          <w:rFonts w:ascii="Arial" w:eastAsia="Times New Roman" w:hAnsi="Arial" w:cs="Arial"/>
          <w:color w:val="000000"/>
          <w:sz w:val="20"/>
          <w:szCs w:val="20"/>
        </w:rPr>
        <w:t>, and effective nutrient management is essential for its improved growth. The data showed that the time taken for 50% curd initiation and 50% curd maturity was shorter, while the curd volume (cm3) and curd diameter (cm) in cauliflower were significantly larger when Ammonium Molybdate at 0.40% was applied along with boron at 0.100% (T16). This outcome was statistically comparable to the application of Ammonium Molybdate at 0.30% with boron at 0.100% (T13) and Ammonium Molybdate at 0.20% with boron at 0.100% (T10), surpassing other treatments in both individual years and in the combined analysis. Thus, foliar application of the micronutrient Ammonium Molybdate at 0.40% and boron at 0.100% is beneficial for enhancing yield attributing characters of cauliflower in eastern Uttar Pradesh.</w:t>
      </w:r>
    </w:p>
    <w:p w14:paraId="7D50DB11" w14:textId="21F11323" w:rsidR="00272950" w:rsidRDefault="00272950">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14:paraId="4C4447D8" w14:textId="77777777" w:rsidR="004A0096" w:rsidRDefault="004A0096" w:rsidP="004A0096">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highlight w:val="yellow"/>
        </w:rPr>
      </w:pPr>
    </w:p>
    <w:p w14:paraId="728514EA" w14:textId="77777777" w:rsidR="004A0096" w:rsidRDefault="004A0096" w:rsidP="004A0096">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highlight w:val="yellow"/>
        </w:rPr>
      </w:pPr>
    </w:p>
    <w:p w14:paraId="768040FA" w14:textId="77777777" w:rsidR="004A0096" w:rsidRDefault="004A0096" w:rsidP="004A0096">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highlight w:val="yellow"/>
        </w:rPr>
      </w:pPr>
    </w:p>
    <w:p w14:paraId="72B5DCB0" w14:textId="47D4DD8D" w:rsidR="00272950" w:rsidRPr="00272950" w:rsidRDefault="00272950" w:rsidP="004A0096">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highlight w:val="yellow"/>
        </w:rPr>
      </w:pPr>
      <w:bookmarkStart w:id="1" w:name="_GoBack"/>
      <w:bookmarkEnd w:id="1"/>
      <w:r w:rsidRPr="00272950">
        <w:rPr>
          <w:rFonts w:ascii="Times New Roman" w:eastAsia="Times New Roman" w:hAnsi="Times New Roman" w:cs="Times New Roman"/>
          <w:color w:val="000000"/>
          <w:sz w:val="24"/>
          <w:szCs w:val="24"/>
          <w:highlight w:val="yellow"/>
        </w:rPr>
        <w:lastRenderedPageBreak/>
        <w:t>Disclaimer (Artificial intelligence)</w:t>
      </w:r>
    </w:p>
    <w:p w14:paraId="45E04B3E" w14:textId="77777777" w:rsidR="00272950" w:rsidRPr="00272950" w:rsidRDefault="00272950" w:rsidP="00272950">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highlight w:val="yellow"/>
        </w:rPr>
      </w:pPr>
      <w:r w:rsidRPr="00272950">
        <w:rPr>
          <w:rFonts w:ascii="Times New Roman" w:eastAsia="Times New Roman" w:hAnsi="Times New Roman" w:cs="Times New Roman"/>
          <w:color w:val="000000"/>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48B35460" w14:textId="77777777" w:rsidR="00272950" w:rsidRPr="00272950" w:rsidRDefault="00272950" w:rsidP="00272950">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highlight w:val="yellow"/>
        </w:rPr>
      </w:pPr>
    </w:p>
    <w:p w14:paraId="49B68CE2"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14:paraId="49B68CE3" w14:textId="77715EA7" w:rsidR="0006770F" w:rsidRPr="000B691B" w:rsidRDefault="000B691B">
      <w:pPr>
        <w:pBdr>
          <w:top w:val="nil"/>
          <w:left w:val="nil"/>
          <w:bottom w:val="nil"/>
          <w:right w:val="nil"/>
          <w:between w:val="nil"/>
        </w:pBdr>
        <w:spacing w:line="240" w:lineRule="auto"/>
        <w:jc w:val="both"/>
        <w:rPr>
          <w:rFonts w:ascii="Arial" w:eastAsia="Times New Roman" w:hAnsi="Arial" w:cs="Arial"/>
          <w:b/>
          <w:color w:val="000000"/>
        </w:rPr>
      </w:pPr>
      <w:r w:rsidRPr="000B691B">
        <w:rPr>
          <w:rFonts w:ascii="Arial" w:eastAsia="Times New Roman" w:hAnsi="Arial" w:cs="Arial"/>
          <w:b/>
          <w:color w:val="000000"/>
        </w:rPr>
        <w:t>REFERENCE:</w:t>
      </w:r>
    </w:p>
    <w:p w14:paraId="67613206" w14:textId="77777777" w:rsidR="00535B49" w:rsidRDefault="00535B49">
      <w:pPr>
        <w:jc w:val="both"/>
        <w:rPr>
          <w:rFonts w:ascii="Arial" w:hAnsi="Arial" w:cs="Arial"/>
          <w:color w:val="222222"/>
          <w:sz w:val="20"/>
          <w:szCs w:val="20"/>
          <w:shd w:val="clear" w:color="auto" w:fill="FFFFFF"/>
        </w:rPr>
      </w:pPr>
      <w:r w:rsidRPr="000B691B">
        <w:rPr>
          <w:rFonts w:ascii="Arial" w:hAnsi="Arial" w:cs="Arial"/>
          <w:color w:val="222222"/>
          <w:sz w:val="20"/>
          <w:szCs w:val="20"/>
          <w:highlight w:val="yellow"/>
          <w:shd w:val="clear" w:color="auto" w:fill="FFFFFF"/>
        </w:rPr>
        <w:t>Ali, S., Khan, A. R., Mairaj, G., Arif, M., Fida, M., &amp; Bibi, S. (2008). Assessment of different crop nutrient management practices for yield improvement. </w:t>
      </w:r>
      <w:r w:rsidRPr="00535B49">
        <w:rPr>
          <w:rFonts w:ascii="Arial" w:hAnsi="Arial" w:cs="Arial"/>
          <w:color w:val="222222"/>
          <w:sz w:val="20"/>
          <w:szCs w:val="20"/>
          <w:highlight w:val="yellow"/>
          <w:shd w:val="clear" w:color="auto" w:fill="FFFFFF"/>
        </w:rPr>
        <w:t>Australian Journal of Crop Science</w:t>
      </w:r>
      <w:r w:rsidRPr="000B691B">
        <w:rPr>
          <w:rFonts w:ascii="Arial" w:hAnsi="Arial" w:cs="Arial"/>
          <w:color w:val="222222"/>
          <w:sz w:val="20"/>
          <w:szCs w:val="20"/>
          <w:highlight w:val="yellow"/>
          <w:shd w:val="clear" w:color="auto" w:fill="FFFFFF"/>
        </w:rPr>
        <w:t>, </w:t>
      </w:r>
      <w:r w:rsidRPr="000B691B">
        <w:rPr>
          <w:rFonts w:ascii="Arial" w:hAnsi="Arial" w:cs="Arial"/>
          <w:i/>
          <w:iCs/>
          <w:color w:val="222222"/>
          <w:sz w:val="20"/>
          <w:szCs w:val="20"/>
          <w:highlight w:val="yellow"/>
          <w:shd w:val="clear" w:color="auto" w:fill="FFFFFF"/>
        </w:rPr>
        <w:t>2</w:t>
      </w:r>
      <w:r w:rsidRPr="000B691B">
        <w:rPr>
          <w:rFonts w:ascii="Arial" w:hAnsi="Arial" w:cs="Arial"/>
          <w:color w:val="222222"/>
          <w:sz w:val="20"/>
          <w:szCs w:val="20"/>
          <w:highlight w:val="yellow"/>
          <w:shd w:val="clear" w:color="auto" w:fill="FFFFFF"/>
        </w:rPr>
        <w:t>(3), 150-157.</w:t>
      </w:r>
    </w:p>
    <w:p w14:paraId="16C90452" w14:textId="77777777" w:rsidR="00535B49" w:rsidRPr="000B691B" w:rsidRDefault="00535B49">
      <w:pPr>
        <w:jc w:val="both"/>
        <w:rPr>
          <w:rFonts w:ascii="Arial" w:eastAsia="Times New Roman" w:hAnsi="Arial" w:cs="Arial"/>
          <w:sz w:val="20"/>
          <w:szCs w:val="20"/>
        </w:rPr>
      </w:pPr>
      <w:r w:rsidRPr="00531703">
        <w:rPr>
          <w:rFonts w:ascii="Arial" w:eastAsia="Times New Roman" w:hAnsi="Arial" w:cs="Arial"/>
          <w:sz w:val="20"/>
          <w:szCs w:val="20"/>
          <w:highlight w:val="yellow"/>
        </w:rPr>
        <w:t>Alloway, B. J. (2008). Micronutrients and crop production: An introduction. In Micronutrient deficiencies in global crop production (pp. 1-39). Dordrecht: Springer Netherlands.</w:t>
      </w:r>
    </w:p>
    <w:p w14:paraId="38B78618" w14:textId="77777777" w:rsidR="00535B49" w:rsidRDefault="00535B49">
      <w:pPr>
        <w:jc w:val="both"/>
        <w:rPr>
          <w:rFonts w:ascii="Arial" w:eastAsia="Times New Roman" w:hAnsi="Arial" w:cs="Arial"/>
          <w:sz w:val="20"/>
          <w:szCs w:val="20"/>
        </w:rPr>
      </w:pPr>
      <w:r w:rsidRPr="00531703">
        <w:rPr>
          <w:rFonts w:ascii="Arial" w:eastAsia="Times New Roman" w:hAnsi="Arial" w:cs="Arial"/>
          <w:sz w:val="20"/>
          <w:szCs w:val="20"/>
          <w:highlight w:val="yellow"/>
        </w:rPr>
        <w:t>Asad, A., Blamey, F. P. C., &amp; Edwards, D. G. (2003). Effects of boron foliar applications on vegetative and reproductive growth of sunflower. Annals of botany, 92(4), 565-570.</w:t>
      </w:r>
    </w:p>
    <w:p w14:paraId="2C42A92D" w14:textId="77777777" w:rsidR="001C251B" w:rsidRDefault="001C251B">
      <w:pPr>
        <w:jc w:val="both"/>
        <w:rPr>
          <w:rFonts w:ascii="Arial" w:eastAsia="Times New Roman" w:hAnsi="Arial" w:cs="Arial"/>
          <w:sz w:val="20"/>
          <w:szCs w:val="20"/>
        </w:rPr>
      </w:pPr>
      <w:r w:rsidRPr="001C251B">
        <w:rPr>
          <w:rFonts w:ascii="Arial" w:eastAsia="Times New Roman" w:hAnsi="Arial" w:cs="Arial"/>
          <w:sz w:val="20"/>
          <w:szCs w:val="20"/>
          <w:highlight w:val="yellow"/>
        </w:rPr>
        <w:t>Bhupenchandra, I., Basumatary, A., Datta, S., Kanta Singh, L., Bora, S. S., Helena Devi, S., ... &amp; Tamuli, B. (2020). Micronutrient content in plant, its uptake, and crop yield in cauliflower–cowpea-okra cropping sequence as impacted by graded level of boron fertilization. Communications in Soil Science and Plant Analysis, 51(14), 1870-1887.</w:t>
      </w:r>
    </w:p>
    <w:p w14:paraId="17A1F3F6" w14:textId="1460E0B8" w:rsidR="00023EEB" w:rsidRDefault="00023EEB">
      <w:pPr>
        <w:jc w:val="both"/>
        <w:rPr>
          <w:rFonts w:ascii="Arial" w:eastAsia="Times New Roman" w:hAnsi="Arial" w:cs="Arial"/>
          <w:sz w:val="20"/>
          <w:szCs w:val="20"/>
        </w:rPr>
      </w:pPr>
      <w:r w:rsidRPr="00023EEB">
        <w:rPr>
          <w:rFonts w:ascii="Arial" w:eastAsia="Times New Roman" w:hAnsi="Arial" w:cs="Arial"/>
          <w:sz w:val="20"/>
          <w:szCs w:val="20"/>
          <w:highlight w:val="yellow"/>
        </w:rPr>
        <w:t>Campanelli, G., &amp; Canali, S. (2012). Crop Production and Environmental Effects in Conventional and Organic Vegetable Farming Systems: The Case of a Long-Term Experiment in Mediterranean Conditions (Central Italy). Journal of Sustainable Agriculture, 36(6), 599–619. https://doi.org/10.1080/10440046.2011.646351</w:t>
      </w:r>
    </w:p>
    <w:p w14:paraId="73A02B6B" w14:textId="77777777" w:rsidR="00535B49" w:rsidRDefault="00535B49">
      <w:pPr>
        <w:jc w:val="both"/>
        <w:rPr>
          <w:rFonts w:ascii="Arial" w:eastAsia="Times New Roman" w:hAnsi="Arial" w:cs="Arial"/>
          <w:sz w:val="20"/>
          <w:szCs w:val="20"/>
        </w:rPr>
      </w:pPr>
      <w:r w:rsidRPr="00531703">
        <w:rPr>
          <w:rFonts w:ascii="Arial" w:eastAsia="Times New Roman" w:hAnsi="Arial" w:cs="Arial"/>
          <w:sz w:val="20"/>
          <w:szCs w:val="20"/>
          <w:highlight w:val="yellow"/>
        </w:rPr>
        <w:t>Chattopadhyay, S. B., &amp; Mukhopadhyay, T. P. (2003). Effect of foliar application of boron and molybdenum on growth and yield of cauliflower in Terai Zone of West Bengal, 955-959.</w:t>
      </w:r>
    </w:p>
    <w:p w14:paraId="62AEACDE" w14:textId="51A81085" w:rsidR="00535B49" w:rsidRDefault="00535B49">
      <w:pPr>
        <w:jc w:val="both"/>
        <w:rPr>
          <w:rFonts w:ascii="Arial" w:eastAsia="Times New Roman" w:hAnsi="Arial" w:cs="Arial"/>
          <w:sz w:val="20"/>
          <w:szCs w:val="20"/>
        </w:rPr>
      </w:pPr>
      <w:r w:rsidRPr="00531703">
        <w:rPr>
          <w:rFonts w:ascii="Arial" w:eastAsia="Times New Roman" w:hAnsi="Arial" w:cs="Arial"/>
          <w:sz w:val="20"/>
          <w:szCs w:val="20"/>
          <w:highlight w:val="yellow"/>
        </w:rPr>
        <w:t xml:space="preserve">Chaudhari, V. L., Patel, N. K., Patel, G. D., Chaudhari, V. J., &amp; Sheth, S. G. (2017). Impact of micronutrients spray on growth and yield of </w:t>
      </w:r>
      <w:r w:rsidRPr="00535B49">
        <w:rPr>
          <w:rFonts w:ascii="Arial" w:eastAsia="Times New Roman" w:hAnsi="Arial" w:cs="Arial"/>
          <w:i/>
          <w:iCs/>
          <w:sz w:val="20"/>
          <w:szCs w:val="20"/>
          <w:highlight w:val="yellow"/>
        </w:rPr>
        <w:t>Brassica oleracea</w:t>
      </w:r>
      <w:r w:rsidRPr="00531703">
        <w:rPr>
          <w:rFonts w:ascii="Arial" w:eastAsia="Times New Roman" w:hAnsi="Arial" w:cs="Arial"/>
          <w:sz w:val="20"/>
          <w:szCs w:val="20"/>
          <w:highlight w:val="yellow"/>
        </w:rPr>
        <w:t xml:space="preserve"> var. </w:t>
      </w:r>
      <w:r w:rsidRPr="00535B49">
        <w:rPr>
          <w:rFonts w:ascii="Arial" w:eastAsia="Times New Roman" w:hAnsi="Arial" w:cs="Arial"/>
          <w:i/>
          <w:iCs/>
          <w:sz w:val="20"/>
          <w:szCs w:val="20"/>
          <w:highlight w:val="yellow"/>
        </w:rPr>
        <w:t>capitata</w:t>
      </w:r>
      <w:r w:rsidRPr="00531703">
        <w:rPr>
          <w:rFonts w:ascii="Arial" w:eastAsia="Times New Roman" w:hAnsi="Arial" w:cs="Arial"/>
          <w:sz w:val="20"/>
          <w:szCs w:val="20"/>
          <w:highlight w:val="yellow"/>
        </w:rPr>
        <w:t>. International Journal of Chemical Studies, 5(4), 2113-2115.</w:t>
      </w:r>
    </w:p>
    <w:p w14:paraId="622AAA5F" w14:textId="77777777" w:rsidR="00535B49" w:rsidRDefault="00535B49">
      <w:pPr>
        <w:jc w:val="both"/>
        <w:rPr>
          <w:rFonts w:ascii="Arial" w:hAnsi="Arial" w:cs="Arial"/>
          <w:sz w:val="20"/>
          <w:szCs w:val="20"/>
          <w:highlight w:val="yellow"/>
          <w:shd w:val="clear" w:color="auto" w:fill="FFFFFF"/>
        </w:rPr>
      </w:pPr>
      <w:r w:rsidRPr="000B691B">
        <w:rPr>
          <w:rFonts w:ascii="Arial" w:hAnsi="Arial" w:cs="Arial"/>
          <w:sz w:val="20"/>
          <w:szCs w:val="20"/>
          <w:highlight w:val="yellow"/>
          <w:shd w:val="clear" w:color="auto" w:fill="FFFFFF"/>
        </w:rPr>
        <w:t>Dimkpa, C. O., &amp; Bindraban, P. S. (2016). Fortification of micronutrients for efficient agronomic production: a review. </w:t>
      </w:r>
      <w:r w:rsidRPr="000B691B">
        <w:rPr>
          <w:rFonts w:ascii="Arial" w:hAnsi="Arial" w:cs="Arial"/>
          <w:i/>
          <w:iCs/>
          <w:sz w:val="20"/>
          <w:szCs w:val="20"/>
          <w:highlight w:val="yellow"/>
          <w:shd w:val="clear" w:color="auto" w:fill="FFFFFF"/>
        </w:rPr>
        <w:t>Agronomy for Sustainable Development</w:t>
      </w:r>
      <w:r w:rsidRPr="000B691B">
        <w:rPr>
          <w:rFonts w:ascii="Arial" w:hAnsi="Arial" w:cs="Arial"/>
          <w:sz w:val="20"/>
          <w:szCs w:val="20"/>
          <w:highlight w:val="yellow"/>
          <w:shd w:val="clear" w:color="auto" w:fill="FFFFFF"/>
        </w:rPr>
        <w:t>, </w:t>
      </w:r>
      <w:r w:rsidRPr="000B691B">
        <w:rPr>
          <w:rFonts w:ascii="Arial" w:hAnsi="Arial" w:cs="Arial"/>
          <w:i/>
          <w:iCs/>
          <w:sz w:val="20"/>
          <w:szCs w:val="20"/>
          <w:highlight w:val="yellow"/>
          <w:shd w:val="clear" w:color="auto" w:fill="FFFFFF"/>
        </w:rPr>
        <w:t>36</w:t>
      </w:r>
      <w:r w:rsidRPr="000B691B">
        <w:rPr>
          <w:rFonts w:ascii="Arial" w:hAnsi="Arial" w:cs="Arial"/>
          <w:sz w:val="20"/>
          <w:szCs w:val="20"/>
          <w:highlight w:val="yellow"/>
          <w:shd w:val="clear" w:color="auto" w:fill="FFFFFF"/>
        </w:rPr>
        <w:t xml:space="preserve">(1). </w:t>
      </w:r>
      <w:hyperlink r:id="rId6" w:history="1">
        <w:r w:rsidRPr="000B691B">
          <w:rPr>
            <w:rStyle w:val="Hyperlink"/>
            <w:rFonts w:ascii="Arial" w:hAnsi="Arial" w:cs="Arial"/>
            <w:sz w:val="20"/>
            <w:szCs w:val="20"/>
            <w:highlight w:val="yellow"/>
            <w:shd w:val="clear" w:color="auto" w:fill="FFFFFF"/>
          </w:rPr>
          <w:t>https://doi.org/10.1007/s13593-015-0346-6</w:t>
        </w:r>
      </w:hyperlink>
    </w:p>
    <w:p w14:paraId="142895AF" w14:textId="01F4B77A" w:rsidR="00023EEB" w:rsidRPr="00023EEB" w:rsidRDefault="00023EEB">
      <w:pPr>
        <w:jc w:val="both"/>
        <w:rPr>
          <w:rFonts w:ascii="Arial" w:hAnsi="Arial" w:cs="Arial"/>
          <w:sz w:val="20"/>
          <w:szCs w:val="20"/>
          <w:highlight w:val="yellow"/>
          <w:shd w:val="clear" w:color="auto" w:fill="FFFFFF"/>
        </w:rPr>
      </w:pPr>
      <w:r w:rsidRPr="00023EEB">
        <w:rPr>
          <w:rFonts w:ascii="Arial" w:hAnsi="Arial" w:cs="Arial"/>
          <w:color w:val="222222"/>
          <w:sz w:val="20"/>
          <w:szCs w:val="20"/>
          <w:highlight w:val="yellow"/>
          <w:shd w:val="clear" w:color="auto" w:fill="FFFFFF"/>
        </w:rPr>
        <w:t>Gomez, K. A., &amp; Gomez, A. A. (1984). </w:t>
      </w:r>
      <w:r w:rsidRPr="00023EEB">
        <w:rPr>
          <w:rFonts w:ascii="Arial" w:hAnsi="Arial" w:cs="Arial"/>
          <w:i/>
          <w:iCs/>
          <w:color w:val="222222"/>
          <w:sz w:val="20"/>
          <w:szCs w:val="20"/>
          <w:highlight w:val="yellow"/>
          <w:shd w:val="clear" w:color="auto" w:fill="FFFFFF"/>
        </w:rPr>
        <w:t>Statistical procedures for agricultural research</w:t>
      </w:r>
      <w:r w:rsidRPr="00023EEB">
        <w:rPr>
          <w:rFonts w:ascii="Arial" w:hAnsi="Arial" w:cs="Arial"/>
          <w:color w:val="222222"/>
          <w:sz w:val="20"/>
          <w:szCs w:val="20"/>
          <w:highlight w:val="yellow"/>
          <w:shd w:val="clear" w:color="auto" w:fill="FFFFFF"/>
        </w:rPr>
        <w:t>. John wiley &amp; sons.</w:t>
      </w:r>
    </w:p>
    <w:p w14:paraId="19D6E3AB" w14:textId="77777777" w:rsidR="00535B49" w:rsidRDefault="00535B49">
      <w:pPr>
        <w:jc w:val="both"/>
        <w:rPr>
          <w:rFonts w:ascii="Arial" w:eastAsia="Times New Roman" w:hAnsi="Arial" w:cs="Arial"/>
          <w:sz w:val="20"/>
          <w:szCs w:val="20"/>
        </w:rPr>
      </w:pPr>
      <w:r w:rsidRPr="00531703">
        <w:rPr>
          <w:rFonts w:ascii="Arial" w:eastAsia="Times New Roman" w:hAnsi="Arial" w:cs="Arial"/>
          <w:sz w:val="20"/>
          <w:szCs w:val="20"/>
          <w:highlight w:val="yellow"/>
        </w:rPr>
        <w:t>Hall, J. Á. (2002). Cellular mechanisms for heavy metal detoxification and tolerance. Journal of experimental botany, 53(366), 1-11.</w:t>
      </w:r>
    </w:p>
    <w:p w14:paraId="63E8D2D6" w14:textId="77777777" w:rsidR="00535B49" w:rsidRDefault="00535B49">
      <w:pPr>
        <w:jc w:val="both"/>
        <w:rPr>
          <w:rFonts w:ascii="Arial" w:eastAsia="Times New Roman" w:hAnsi="Arial" w:cs="Arial"/>
          <w:sz w:val="20"/>
          <w:szCs w:val="20"/>
        </w:rPr>
      </w:pPr>
      <w:r w:rsidRPr="00531703">
        <w:rPr>
          <w:rFonts w:ascii="Arial" w:eastAsia="Times New Roman" w:hAnsi="Arial" w:cs="Arial"/>
          <w:sz w:val="20"/>
          <w:szCs w:val="20"/>
          <w:highlight w:val="yellow"/>
        </w:rPr>
        <w:t>Hemphill Jr, D. D., Weber, M. S., &amp; Jackson, T. L. (1982). Table beet yield and boron deficiency as influenced by lime, nitrogen, and boron. Soil Science Society of America Journal, 46(6), 1190-1192.</w:t>
      </w:r>
    </w:p>
    <w:p w14:paraId="75ED5306" w14:textId="77777777" w:rsidR="00535B49" w:rsidRPr="000B691B" w:rsidRDefault="00535B49">
      <w:pPr>
        <w:jc w:val="both"/>
        <w:rPr>
          <w:rFonts w:ascii="Arial" w:eastAsia="Times New Roman" w:hAnsi="Arial" w:cs="Arial"/>
          <w:sz w:val="20"/>
          <w:szCs w:val="20"/>
        </w:rPr>
      </w:pPr>
      <w:r w:rsidRPr="000B691B">
        <w:rPr>
          <w:rFonts w:ascii="Arial" w:eastAsia="Times New Roman" w:hAnsi="Arial" w:cs="Arial"/>
          <w:sz w:val="20"/>
          <w:szCs w:val="20"/>
        </w:rPr>
        <w:t>Horticultural Statistics at a Glance, Government of India. Ministry of Agriculture and Farmers Welfare, 2018.</w:t>
      </w:r>
    </w:p>
    <w:p w14:paraId="2C9713FA" w14:textId="77777777" w:rsidR="00535B49" w:rsidRPr="000B691B" w:rsidRDefault="00535B49">
      <w:pPr>
        <w:jc w:val="both"/>
        <w:rPr>
          <w:rFonts w:ascii="Arial" w:eastAsia="Times New Roman" w:hAnsi="Arial" w:cs="Arial"/>
          <w:sz w:val="20"/>
          <w:szCs w:val="20"/>
        </w:rPr>
      </w:pPr>
      <w:r w:rsidRPr="000B691B">
        <w:rPr>
          <w:rFonts w:ascii="Arial" w:eastAsia="Times New Roman" w:hAnsi="Arial" w:cs="Arial"/>
          <w:sz w:val="20"/>
          <w:szCs w:val="20"/>
          <w:highlight w:val="yellow"/>
        </w:rPr>
        <w:t>Huang, X.-Y., Zhao, F.-J., &amp; Hu, D.-W. (2021). Molybdenum: More than an essential element. Journal of Experimental Botany, 73(6), 1766–1774. https://doi.org/10.1093/jxb/erab534</w:t>
      </w:r>
    </w:p>
    <w:p w14:paraId="3AE62EF8" w14:textId="77777777" w:rsidR="00535B49" w:rsidRDefault="00535B49">
      <w:pPr>
        <w:jc w:val="both"/>
        <w:rPr>
          <w:rFonts w:ascii="Arial" w:eastAsia="Times New Roman" w:hAnsi="Arial" w:cs="Arial"/>
          <w:sz w:val="20"/>
          <w:szCs w:val="20"/>
        </w:rPr>
      </w:pPr>
      <w:r w:rsidRPr="00531703">
        <w:rPr>
          <w:rFonts w:ascii="Arial" w:eastAsia="Times New Roman" w:hAnsi="Arial" w:cs="Arial"/>
          <w:sz w:val="20"/>
          <w:szCs w:val="20"/>
          <w:highlight w:val="yellow"/>
        </w:rPr>
        <w:t>Kotecha, A. V., Dhruve, J. J., &amp; Vihol, N. J. (2011). Effect of foliar application of micronutrients and growth regulators on growth and yield of cabbage (</w:t>
      </w:r>
      <w:r w:rsidRPr="00531703">
        <w:rPr>
          <w:rFonts w:ascii="Arial" w:eastAsia="Times New Roman" w:hAnsi="Arial" w:cs="Arial"/>
          <w:i/>
          <w:iCs/>
          <w:sz w:val="20"/>
          <w:szCs w:val="20"/>
          <w:highlight w:val="yellow"/>
        </w:rPr>
        <w:t>Brasicca oleracea</w:t>
      </w:r>
      <w:r w:rsidRPr="00531703">
        <w:rPr>
          <w:rFonts w:ascii="Arial" w:eastAsia="Times New Roman" w:hAnsi="Arial" w:cs="Arial"/>
          <w:sz w:val="20"/>
          <w:szCs w:val="20"/>
          <w:highlight w:val="yellow"/>
        </w:rPr>
        <w:t xml:space="preserve"> L. Var. </w:t>
      </w:r>
      <w:r w:rsidRPr="00531703">
        <w:rPr>
          <w:rFonts w:ascii="Arial" w:eastAsia="Times New Roman" w:hAnsi="Arial" w:cs="Arial"/>
          <w:i/>
          <w:iCs/>
          <w:sz w:val="20"/>
          <w:szCs w:val="20"/>
          <w:highlight w:val="yellow"/>
        </w:rPr>
        <w:t>capitata</w:t>
      </w:r>
      <w:r w:rsidRPr="00531703">
        <w:rPr>
          <w:rFonts w:ascii="Arial" w:eastAsia="Times New Roman" w:hAnsi="Arial" w:cs="Arial"/>
          <w:sz w:val="20"/>
          <w:szCs w:val="20"/>
          <w:highlight w:val="yellow"/>
        </w:rPr>
        <w:t>) cv. GOLDEN ACRE, 381-384.</w:t>
      </w:r>
    </w:p>
    <w:p w14:paraId="2BA4AF12" w14:textId="77777777" w:rsidR="00535B49" w:rsidRDefault="00535B49">
      <w:pPr>
        <w:jc w:val="both"/>
        <w:rPr>
          <w:rFonts w:ascii="Arial" w:eastAsia="Times New Roman" w:hAnsi="Arial" w:cs="Arial"/>
          <w:sz w:val="20"/>
          <w:szCs w:val="20"/>
        </w:rPr>
      </w:pPr>
      <w:r w:rsidRPr="00531703">
        <w:rPr>
          <w:rFonts w:ascii="Arial" w:eastAsia="Times New Roman" w:hAnsi="Arial" w:cs="Arial"/>
          <w:sz w:val="20"/>
          <w:szCs w:val="20"/>
          <w:highlight w:val="yellow"/>
        </w:rPr>
        <w:lastRenderedPageBreak/>
        <w:t>Kumar, A., Parmar, D. K., &amp; Suri, V. K. (2012). Effect of boron fertilizers and organic manure on autumn cauliflower in western Himalayas. Annals of Horticulture, 5(1), 17-24.</w:t>
      </w:r>
    </w:p>
    <w:p w14:paraId="67DD0A3F" w14:textId="77777777" w:rsidR="00535B49" w:rsidRPr="000B691B" w:rsidRDefault="00535B49">
      <w:pPr>
        <w:jc w:val="both"/>
        <w:rPr>
          <w:rFonts w:ascii="Arial" w:eastAsia="Times New Roman" w:hAnsi="Arial" w:cs="Arial"/>
          <w:sz w:val="20"/>
          <w:szCs w:val="20"/>
        </w:rPr>
      </w:pPr>
      <w:r w:rsidRPr="000B691B">
        <w:rPr>
          <w:rFonts w:ascii="Arial" w:eastAsia="Times New Roman" w:hAnsi="Arial" w:cs="Arial"/>
          <w:sz w:val="20"/>
          <w:szCs w:val="20"/>
          <w:highlight w:val="yellow"/>
        </w:rPr>
        <w:t>Kumar, A., Singh, U., Choudhary, A. K., Suri, V. K., &amp; Pooniya, V. (2016). Soil Factors Associated with Micronutrient Acquisition in Crops- Biofortification Perspective (pp. 159–176). springer india. https://doi.org/10.1007/978-81-322-2716-8_13</w:t>
      </w:r>
      <w:r w:rsidRPr="000B691B">
        <w:rPr>
          <w:rFonts w:ascii="Arial" w:eastAsia="Times New Roman" w:hAnsi="Arial" w:cs="Arial"/>
          <w:sz w:val="20"/>
          <w:szCs w:val="20"/>
        </w:rPr>
        <w:t xml:space="preserve"> </w:t>
      </w:r>
    </w:p>
    <w:p w14:paraId="25DF0262" w14:textId="67A8A90B" w:rsidR="00535B49" w:rsidRDefault="00535B49">
      <w:pPr>
        <w:jc w:val="both"/>
        <w:rPr>
          <w:rFonts w:ascii="Arial" w:eastAsia="Times New Roman" w:hAnsi="Arial" w:cs="Arial"/>
          <w:sz w:val="20"/>
          <w:szCs w:val="20"/>
        </w:rPr>
      </w:pPr>
      <w:r w:rsidRPr="00531703">
        <w:rPr>
          <w:rFonts w:ascii="Arial" w:eastAsia="Times New Roman" w:hAnsi="Arial" w:cs="Arial"/>
          <w:sz w:val="20"/>
          <w:szCs w:val="20"/>
          <w:highlight w:val="yellow"/>
        </w:rPr>
        <w:t xml:space="preserve">Kumar, S., &amp; Chaudhary, D. R. (2002). Effect of FYM, molybdenum and boron application on yield attributes and yield of cauliflower. </w:t>
      </w:r>
      <w:r>
        <w:rPr>
          <w:rFonts w:ascii="Arial" w:eastAsia="Times New Roman" w:hAnsi="Arial" w:cs="Arial"/>
          <w:sz w:val="20"/>
          <w:szCs w:val="20"/>
          <w:highlight w:val="yellow"/>
        </w:rPr>
        <w:t>Crop research-H</w:t>
      </w:r>
      <w:r w:rsidRPr="00531703">
        <w:rPr>
          <w:rFonts w:ascii="Arial" w:eastAsia="Times New Roman" w:hAnsi="Arial" w:cs="Arial"/>
          <w:sz w:val="20"/>
          <w:szCs w:val="20"/>
          <w:highlight w:val="yellow"/>
        </w:rPr>
        <w:t>isar-, 24(3), 494-496.</w:t>
      </w:r>
    </w:p>
    <w:p w14:paraId="776B27DD" w14:textId="77777777" w:rsidR="00535B49" w:rsidRDefault="00535B49">
      <w:pPr>
        <w:jc w:val="both"/>
        <w:rPr>
          <w:rFonts w:ascii="Arial" w:eastAsia="Times New Roman" w:hAnsi="Arial" w:cs="Arial"/>
          <w:sz w:val="20"/>
          <w:szCs w:val="20"/>
        </w:rPr>
      </w:pPr>
      <w:r w:rsidRPr="00531703">
        <w:rPr>
          <w:rFonts w:ascii="Arial" w:eastAsia="Times New Roman" w:hAnsi="Arial" w:cs="Arial"/>
          <w:sz w:val="20"/>
          <w:szCs w:val="20"/>
          <w:highlight w:val="yellow"/>
        </w:rPr>
        <w:t>Lashkari, C. O., Parekh, H. B., Sharma, S. J., Karetha, K. M., &amp; Kakade, D. K. (2008). Beneficial effect of foliar spray of zinc and iron on economics of cauliflower cv. SNOWBALL-16, 422-424.</w:t>
      </w:r>
    </w:p>
    <w:p w14:paraId="64E54750" w14:textId="77777777" w:rsidR="00535B49" w:rsidRDefault="00535B49">
      <w:pPr>
        <w:jc w:val="both"/>
        <w:rPr>
          <w:rFonts w:ascii="Arial" w:eastAsia="Times New Roman" w:hAnsi="Arial" w:cs="Arial"/>
          <w:sz w:val="20"/>
          <w:szCs w:val="20"/>
        </w:rPr>
      </w:pPr>
      <w:r w:rsidRPr="00531703">
        <w:rPr>
          <w:rFonts w:ascii="Arial" w:eastAsia="Times New Roman" w:hAnsi="Arial" w:cs="Arial"/>
          <w:sz w:val="20"/>
          <w:szCs w:val="20"/>
          <w:highlight w:val="yellow"/>
        </w:rPr>
        <w:t>Prasad, V. M., &amp; Dashrath Yadav, D. Y. (2003). Effect of foliar application of boron and molybdenum on the growth and yield of cauliflower (</w:t>
      </w:r>
      <w:r w:rsidRPr="00535B49">
        <w:rPr>
          <w:rFonts w:ascii="Arial" w:eastAsia="Times New Roman" w:hAnsi="Arial" w:cs="Arial"/>
          <w:i/>
          <w:iCs/>
          <w:sz w:val="20"/>
          <w:szCs w:val="20"/>
          <w:highlight w:val="yellow"/>
        </w:rPr>
        <w:t>Brassica oleracea</w:t>
      </w:r>
      <w:r w:rsidRPr="00531703">
        <w:rPr>
          <w:rFonts w:ascii="Arial" w:eastAsia="Times New Roman" w:hAnsi="Arial" w:cs="Arial"/>
          <w:sz w:val="20"/>
          <w:szCs w:val="20"/>
          <w:highlight w:val="yellow"/>
        </w:rPr>
        <w:t xml:space="preserve"> var. </w:t>
      </w:r>
      <w:r w:rsidRPr="00535B49">
        <w:rPr>
          <w:rFonts w:ascii="Arial" w:eastAsia="Times New Roman" w:hAnsi="Arial" w:cs="Arial"/>
          <w:i/>
          <w:iCs/>
          <w:sz w:val="20"/>
          <w:szCs w:val="20"/>
          <w:highlight w:val="yellow"/>
        </w:rPr>
        <w:t>botrytis</w:t>
      </w:r>
      <w:r w:rsidRPr="00531703">
        <w:rPr>
          <w:rFonts w:ascii="Arial" w:eastAsia="Times New Roman" w:hAnsi="Arial" w:cs="Arial"/>
          <w:sz w:val="20"/>
          <w:szCs w:val="20"/>
          <w:highlight w:val="yellow"/>
        </w:rPr>
        <w:t>) cv. Snowball-16, 121-122.</w:t>
      </w:r>
    </w:p>
    <w:p w14:paraId="4AEDB5FB" w14:textId="77777777" w:rsidR="00535B49" w:rsidRDefault="00535B49">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535B49">
        <w:rPr>
          <w:rFonts w:ascii="Arial" w:eastAsia="Times New Roman" w:hAnsi="Arial" w:cs="Arial"/>
          <w:sz w:val="20"/>
          <w:szCs w:val="20"/>
          <w:highlight w:val="yellow"/>
        </w:rPr>
        <w:t>Punam, D. R. G., Sharma, P. K., &amp; Panigrahi, H. K. (2020). Effect of foliar feeding of micronutrients on growth and yield of cauliflower (</w:t>
      </w:r>
      <w:r w:rsidRPr="00535B49">
        <w:rPr>
          <w:rFonts w:ascii="Arial" w:eastAsia="Times New Roman" w:hAnsi="Arial" w:cs="Arial"/>
          <w:i/>
          <w:iCs/>
          <w:sz w:val="20"/>
          <w:szCs w:val="20"/>
          <w:highlight w:val="yellow"/>
        </w:rPr>
        <w:t>Brassica oleraceae</w:t>
      </w:r>
      <w:r w:rsidRPr="00535B49">
        <w:rPr>
          <w:rFonts w:ascii="Arial" w:eastAsia="Times New Roman" w:hAnsi="Arial" w:cs="Arial"/>
          <w:sz w:val="20"/>
          <w:szCs w:val="20"/>
          <w:highlight w:val="yellow"/>
        </w:rPr>
        <w:t xml:space="preserve"> var. </w:t>
      </w:r>
      <w:r w:rsidRPr="00535B49">
        <w:rPr>
          <w:rFonts w:ascii="Arial" w:eastAsia="Times New Roman" w:hAnsi="Arial" w:cs="Arial"/>
          <w:i/>
          <w:iCs/>
          <w:sz w:val="20"/>
          <w:szCs w:val="20"/>
          <w:highlight w:val="yellow"/>
        </w:rPr>
        <w:t>botrytis</w:t>
      </w:r>
      <w:r w:rsidRPr="00535B49">
        <w:rPr>
          <w:rFonts w:ascii="Arial" w:eastAsia="Times New Roman" w:hAnsi="Arial" w:cs="Arial"/>
          <w:sz w:val="20"/>
          <w:szCs w:val="20"/>
          <w:highlight w:val="yellow"/>
        </w:rPr>
        <w:t xml:space="preserve"> L.) cv. Ragini under net tunnel. IJCS, 8(3), 651-654.</w:t>
      </w:r>
    </w:p>
    <w:p w14:paraId="1C6B49EF" w14:textId="77777777" w:rsidR="00535B49" w:rsidRDefault="00535B49">
      <w:pPr>
        <w:jc w:val="both"/>
        <w:rPr>
          <w:rFonts w:ascii="Arial" w:eastAsia="Times New Roman" w:hAnsi="Arial" w:cs="Arial"/>
          <w:sz w:val="20"/>
          <w:szCs w:val="20"/>
        </w:rPr>
      </w:pPr>
      <w:r w:rsidRPr="00531703">
        <w:rPr>
          <w:rFonts w:ascii="Arial" w:eastAsia="Times New Roman" w:hAnsi="Arial" w:cs="Arial"/>
          <w:sz w:val="20"/>
          <w:szCs w:val="20"/>
          <w:highlight w:val="yellow"/>
        </w:rPr>
        <w:t>Singh, D. N. (2003). Effects of boron on the growth and yield of cauliflower in lateratic soil of western Orissa, 283-286.</w:t>
      </w:r>
    </w:p>
    <w:p w14:paraId="5B0010F1" w14:textId="77777777" w:rsidR="00535B49" w:rsidRDefault="00535B49">
      <w:pPr>
        <w:jc w:val="both"/>
        <w:rPr>
          <w:rFonts w:ascii="Arial" w:eastAsia="Times New Roman" w:hAnsi="Arial" w:cs="Arial"/>
          <w:sz w:val="20"/>
          <w:szCs w:val="20"/>
        </w:rPr>
      </w:pPr>
      <w:r w:rsidRPr="00535B49">
        <w:rPr>
          <w:rFonts w:ascii="Arial" w:eastAsia="Times New Roman" w:hAnsi="Arial" w:cs="Arial"/>
          <w:sz w:val="20"/>
          <w:szCs w:val="20"/>
          <w:highlight w:val="yellow"/>
        </w:rPr>
        <w:t>Sisler, E. C., Dugger Jr, W. M., &amp; Gauch, H. G. (1956). The role of boron in the translocation of organic compounds in plants. Plant Physiology, 31(1), 11.</w:t>
      </w:r>
    </w:p>
    <w:p w14:paraId="2C96D374" w14:textId="77777777" w:rsidR="00535B49" w:rsidRDefault="00535B49">
      <w:pPr>
        <w:jc w:val="both"/>
        <w:rPr>
          <w:rFonts w:ascii="Arial" w:eastAsia="Times New Roman" w:hAnsi="Arial" w:cs="Arial"/>
          <w:sz w:val="20"/>
          <w:szCs w:val="20"/>
        </w:rPr>
      </w:pPr>
      <w:r w:rsidRPr="00535B49">
        <w:rPr>
          <w:rFonts w:ascii="Arial" w:eastAsia="Times New Roman" w:hAnsi="Arial" w:cs="Arial"/>
          <w:sz w:val="20"/>
          <w:szCs w:val="20"/>
          <w:highlight w:val="yellow"/>
        </w:rPr>
        <w:t>Thamburaj, S., &amp; Singh, N. (2001). Textbook of vegetables, tubercrops and spices. Indian Council of Agricultural Research.</w:t>
      </w:r>
    </w:p>
    <w:p w14:paraId="313AE42E" w14:textId="77777777" w:rsidR="00535B49" w:rsidRPr="000B691B" w:rsidRDefault="00535B49">
      <w:pPr>
        <w:jc w:val="both"/>
        <w:rPr>
          <w:rFonts w:ascii="Arial" w:eastAsia="Times New Roman" w:hAnsi="Arial" w:cs="Arial"/>
          <w:sz w:val="20"/>
          <w:szCs w:val="20"/>
        </w:rPr>
      </w:pPr>
      <w:r w:rsidRPr="000B691B">
        <w:rPr>
          <w:rFonts w:ascii="Arial" w:eastAsia="Times New Roman" w:hAnsi="Arial" w:cs="Arial"/>
          <w:sz w:val="20"/>
          <w:szCs w:val="20"/>
          <w:highlight w:val="yellow"/>
        </w:rPr>
        <w:t xml:space="preserve">Thapa, S., Xue, Q., Ghatrehsamani, S., Kidwaro, F., Bhandari, A., Ghimire, R., Maharjan, B., &amp; Goodwin, M. (2021). Managing Micronutrients for Improving Soil Fertility, Health, and Soybean Yield. Sustainability, 13(21), 11766. </w:t>
      </w:r>
      <w:hyperlink r:id="rId7" w:history="1">
        <w:r w:rsidRPr="000B691B">
          <w:rPr>
            <w:rStyle w:val="Hyperlink"/>
            <w:rFonts w:ascii="Arial" w:eastAsia="Times New Roman" w:hAnsi="Arial" w:cs="Arial"/>
            <w:sz w:val="20"/>
            <w:szCs w:val="20"/>
            <w:highlight w:val="yellow"/>
          </w:rPr>
          <w:t>https://doi.org/10.3390/su132111766</w:t>
        </w:r>
      </w:hyperlink>
    </w:p>
    <w:p w14:paraId="3B5086C9" w14:textId="77777777" w:rsidR="00535B49" w:rsidRDefault="00535B49">
      <w:pPr>
        <w:jc w:val="both"/>
        <w:rPr>
          <w:rFonts w:ascii="Arial" w:eastAsia="Times New Roman" w:hAnsi="Arial" w:cs="Arial"/>
          <w:sz w:val="20"/>
          <w:szCs w:val="20"/>
        </w:rPr>
      </w:pPr>
      <w:r w:rsidRPr="00535B49">
        <w:rPr>
          <w:rFonts w:ascii="Arial" w:eastAsia="Times New Roman" w:hAnsi="Arial" w:cs="Arial"/>
          <w:sz w:val="20"/>
          <w:szCs w:val="20"/>
          <w:highlight w:val="yellow"/>
        </w:rPr>
        <w:t>Upadhyay, A. K., Bahadur, A., &amp; Singh, J. (2012). Effect of organic manures and biofertilizers on yield, dry matter partitioning and quality traits of cabbage (</w:t>
      </w:r>
      <w:r w:rsidRPr="00535B49">
        <w:rPr>
          <w:rFonts w:ascii="Arial" w:eastAsia="Times New Roman" w:hAnsi="Arial" w:cs="Arial"/>
          <w:i/>
          <w:iCs/>
          <w:sz w:val="20"/>
          <w:szCs w:val="20"/>
          <w:highlight w:val="yellow"/>
        </w:rPr>
        <w:t>Brassica oleracea</w:t>
      </w:r>
      <w:r w:rsidRPr="00535B49">
        <w:rPr>
          <w:rFonts w:ascii="Arial" w:eastAsia="Times New Roman" w:hAnsi="Arial" w:cs="Arial"/>
          <w:sz w:val="20"/>
          <w:szCs w:val="20"/>
          <w:highlight w:val="yellow"/>
        </w:rPr>
        <w:t xml:space="preserve"> var. </w:t>
      </w:r>
      <w:r w:rsidRPr="00535B49">
        <w:rPr>
          <w:rFonts w:ascii="Arial" w:eastAsia="Times New Roman" w:hAnsi="Arial" w:cs="Arial"/>
          <w:i/>
          <w:iCs/>
          <w:sz w:val="20"/>
          <w:szCs w:val="20"/>
          <w:highlight w:val="yellow"/>
        </w:rPr>
        <w:t>capitata</w:t>
      </w:r>
      <w:r w:rsidRPr="00535B49">
        <w:rPr>
          <w:rFonts w:ascii="Arial" w:eastAsia="Times New Roman" w:hAnsi="Arial" w:cs="Arial"/>
          <w:sz w:val="20"/>
          <w:szCs w:val="20"/>
          <w:highlight w:val="yellow"/>
        </w:rPr>
        <w:t>). Indian Journal of Agricultural Sciences, 82(1), 31.</w:t>
      </w:r>
    </w:p>
    <w:p w14:paraId="1B4FB134" w14:textId="77777777" w:rsidR="00535B49" w:rsidRPr="000B691B" w:rsidRDefault="00535B49">
      <w:pPr>
        <w:jc w:val="both"/>
        <w:rPr>
          <w:rFonts w:ascii="Arial" w:eastAsia="Times New Roman" w:hAnsi="Arial" w:cs="Arial"/>
          <w:sz w:val="20"/>
          <w:szCs w:val="20"/>
        </w:rPr>
      </w:pPr>
      <w:r w:rsidRPr="000B691B">
        <w:rPr>
          <w:rFonts w:ascii="Arial" w:eastAsia="Times New Roman" w:hAnsi="Arial" w:cs="Arial"/>
          <w:sz w:val="20"/>
          <w:szCs w:val="20"/>
          <w:highlight w:val="yellow"/>
        </w:rPr>
        <w:t xml:space="preserve">Vera-Maldonado, P., Aquea, F., Inostroza-Blancheteau, C., Soto-Cerda, B., Cárcamo-Fincheira, P., Reyes-Díaz, M., &amp; Nunes-Nesi, A. (2024). Role of boron and its interaction with other elements in plants. Frontiers in Plant Science, 15. </w:t>
      </w:r>
      <w:hyperlink r:id="rId8" w:history="1">
        <w:r w:rsidRPr="000B691B">
          <w:rPr>
            <w:rStyle w:val="Hyperlink"/>
            <w:rFonts w:ascii="Arial" w:eastAsia="Times New Roman" w:hAnsi="Arial" w:cs="Arial"/>
            <w:sz w:val="20"/>
            <w:szCs w:val="20"/>
            <w:highlight w:val="yellow"/>
          </w:rPr>
          <w:t>https://doi.org/10.3389/fpls.2024.1332459</w:t>
        </w:r>
      </w:hyperlink>
    </w:p>
    <w:p w14:paraId="49B68CF8" w14:textId="77777777" w:rsidR="0006770F" w:rsidRDefault="0006770F">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14:paraId="49B68CF9" w14:textId="77777777" w:rsidR="0006770F" w:rsidRDefault="0006770F">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9B68CFA" w14:textId="77777777" w:rsidR="0006770F" w:rsidRDefault="0006770F">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14:paraId="49B68CFB" w14:textId="77777777" w:rsidR="0006770F" w:rsidRDefault="0006770F">
      <w:pPr>
        <w:ind w:firstLine="720"/>
        <w:jc w:val="both"/>
        <w:rPr>
          <w:rFonts w:ascii="Times New Roman" w:eastAsia="Times New Roman" w:hAnsi="Times New Roman" w:cs="Times New Roman"/>
          <w:sz w:val="24"/>
          <w:szCs w:val="24"/>
        </w:rPr>
      </w:pPr>
    </w:p>
    <w:sectPr w:rsidR="0006770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867B7" w14:textId="77777777" w:rsidR="00844FC9" w:rsidRDefault="00844FC9" w:rsidP="00253208">
      <w:pPr>
        <w:spacing w:after="0" w:line="240" w:lineRule="auto"/>
      </w:pPr>
      <w:r>
        <w:separator/>
      </w:r>
    </w:p>
  </w:endnote>
  <w:endnote w:type="continuationSeparator" w:id="0">
    <w:p w14:paraId="599C982A" w14:textId="77777777" w:rsidR="00844FC9" w:rsidRDefault="00844FC9" w:rsidP="0025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BC91C" w14:textId="77777777" w:rsidR="001228EA" w:rsidRDefault="001228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76EDD" w14:textId="77777777" w:rsidR="001228EA" w:rsidRDefault="001228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96B2A" w14:textId="77777777" w:rsidR="001228EA" w:rsidRDefault="00122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576AA" w14:textId="77777777" w:rsidR="00844FC9" w:rsidRDefault="00844FC9" w:rsidP="00253208">
      <w:pPr>
        <w:spacing w:after="0" w:line="240" w:lineRule="auto"/>
      </w:pPr>
      <w:r>
        <w:separator/>
      </w:r>
    </w:p>
  </w:footnote>
  <w:footnote w:type="continuationSeparator" w:id="0">
    <w:p w14:paraId="66CCEA67" w14:textId="77777777" w:rsidR="00844FC9" w:rsidRDefault="00844FC9" w:rsidP="00253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D7A86" w14:textId="423633B0" w:rsidR="001228EA" w:rsidRDefault="00844FC9">
    <w:pPr>
      <w:pStyle w:val="Header"/>
    </w:pPr>
    <w:r>
      <w:rPr>
        <w:noProof/>
      </w:rPr>
      <w:pict w14:anchorId="78E69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137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3E2D" w14:textId="449A9050" w:rsidR="001228EA" w:rsidRDefault="00844FC9">
    <w:pPr>
      <w:pStyle w:val="Header"/>
    </w:pPr>
    <w:r>
      <w:rPr>
        <w:noProof/>
      </w:rPr>
      <w:pict w14:anchorId="679470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137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1A363" w14:textId="4C2D43EE" w:rsidR="001228EA" w:rsidRDefault="00844FC9">
    <w:pPr>
      <w:pStyle w:val="Header"/>
    </w:pPr>
    <w:r>
      <w:rPr>
        <w:noProof/>
      </w:rPr>
      <w:pict w14:anchorId="7612D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3137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0F"/>
    <w:rsid w:val="00011371"/>
    <w:rsid w:val="00023EEB"/>
    <w:rsid w:val="0006770F"/>
    <w:rsid w:val="000A7DB1"/>
    <w:rsid w:val="000B691B"/>
    <w:rsid w:val="001228EA"/>
    <w:rsid w:val="001852EF"/>
    <w:rsid w:val="001C251B"/>
    <w:rsid w:val="00253208"/>
    <w:rsid w:val="0025787E"/>
    <w:rsid w:val="00272950"/>
    <w:rsid w:val="002F6E06"/>
    <w:rsid w:val="00393EBB"/>
    <w:rsid w:val="004714F8"/>
    <w:rsid w:val="00474301"/>
    <w:rsid w:val="00476ED0"/>
    <w:rsid w:val="00490EA7"/>
    <w:rsid w:val="004A0096"/>
    <w:rsid w:val="004F3E86"/>
    <w:rsid w:val="005227C5"/>
    <w:rsid w:val="00531703"/>
    <w:rsid w:val="00535B49"/>
    <w:rsid w:val="00693E37"/>
    <w:rsid w:val="006A427C"/>
    <w:rsid w:val="006F2D96"/>
    <w:rsid w:val="007123B8"/>
    <w:rsid w:val="007A0760"/>
    <w:rsid w:val="00844FC9"/>
    <w:rsid w:val="0085389F"/>
    <w:rsid w:val="0089398F"/>
    <w:rsid w:val="008A0EAE"/>
    <w:rsid w:val="008C33F6"/>
    <w:rsid w:val="00900275"/>
    <w:rsid w:val="00926847"/>
    <w:rsid w:val="0095112E"/>
    <w:rsid w:val="009F7461"/>
    <w:rsid w:val="00AC4151"/>
    <w:rsid w:val="00AD1B0F"/>
    <w:rsid w:val="00AF72EF"/>
    <w:rsid w:val="00B8421B"/>
    <w:rsid w:val="00BC0E67"/>
    <w:rsid w:val="00CF0860"/>
    <w:rsid w:val="00D16F6A"/>
    <w:rsid w:val="00E22536"/>
    <w:rsid w:val="00E3304A"/>
    <w:rsid w:val="00E82D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B68B39"/>
  <w15:docId w15:val="{6C45ADBE-1677-4C1F-B288-D432006D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character" w:styleId="Hyperlink">
    <w:name w:val="Hyperlink"/>
    <w:basedOn w:val="DefaultParagraphFont"/>
    <w:uiPriority w:val="99"/>
    <w:unhideWhenUsed/>
    <w:rsid w:val="00474301"/>
    <w:rPr>
      <w:color w:val="0000FF" w:themeColor="hyperlink"/>
      <w:u w:val="single"/>
    </w:rPr>
  </w:style>
  <w:style w:type="character" w:customStyle="1" w:styleId="UnresolvedMention">
    <w:name w:val="Unresolved Mention"/>
    <w:basedOn w:val="DefaultParagraphFont"/>
    <w:uiPriority w:val="99"/>
    <w:semiHidden/>
    <w:unhideWhenUsed/>
    <w:rsid w:val="00474301"/>
    <w:rPr>
      <w:color w:val="605E5C"/>
      <w:shd w:val="clear" w:color="auto" w:fill="E1DFDD"/>
    </w:rPr>
  </w:style>
  <w:style w:type="paragraph" w:styleId="ListParagraph">
    <w:name w:val="List Paragraph"/>
    <w:basedOn w:val="Normal"/>
    <w:uiPriority w:val="34"/>
    <w:qFormat/>
    <w:rsid w:val="007123B8"/>
    <w:pPr>
      <w:ind w:left="720"/>
      <w:contextualSpacing/>
    </w:pPr>
    <w:rPr>
      <w:rFonts w:cs="Mangal"/>
      <w:szCs w:val="20"/>
    </w:rPr>
  </w:style>
  <w:style w:type="paragraph" w:styleId="Header">
    <w:name w:val="header"/>
    <w:basedOn w:val="Normal"/>
    <w:link w:val="HeaderChar"/>
    <w:uiPriority w:val="99"/>
    <w:unhideWhenUsed/>
    <w:rsid w:val="00253208"/>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253208"/>
    <w:rPr>
      <w:rFonts w:cs="Mangal"/>
      <w:szCs w:val="20"/>
    </w:rPr>
  </w:style>
  <w:style w:type="paragraph" w:styleId="Footer">
    <w:name w:val="footer"/>
    <w:basedOn w:val="Normal"/>
    <w:link w:val="FooterChar"/>
    <w:uiPriority w:val="99"/>
    <w:unhideWhenUsed/>
    <w:rsid w:val="00253208"/>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253208"/>
    <w:rPr>
      <w:rFonts w:cs="Mangal"/>
      <w:szCs w:val="20"/>
    </w:rPr>
  </w:style>
  <w:style w:type="character" w:customStyle="1" w:styleId="highlight">
    <w:name w:val="highlight"/>
    <w:basedOn w:val="DefaultParagraphFont"/>
    <w:rsid w:val="005227C5"/>
  </w:style>
  <w:style w:type="paragraph" w:styleId="NormalWeb">
    <w:name w:val="Normal (Web)"/>
    <w:basedOn w:val="Normal"/>
    <w:uiPriority w:val="99"/>
    <w:unhideWhenUsed/>
    <w:rsid w:val="00B842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perpal-inline-citation">
    <w:name w:val="paperpal-inline-citation"/>
    <w:basedOn w:val="DefaultParagraphFont"/>
    <w:rsid w:val="00B84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66528">
      <w:bodyDiv w:val="1"/>
      <w:marLeft w:val="0"/>
      <w:marRight w:val="0"/>
      <w:marTop w:val="0"/>
      <w:marBottom w:val="0"/>
      <w:divBdr>
        <w:top w:val="none" w:sz="0" w:space="0" w:color="auto"/>
        <w:left w:val="none" w:sz="0" w:space="0" w:color="auto"/>
        <w:bottom w:val="none" w:sz="0" w:space="0" w:color="auto"/>
        <w:right w:val="none" w:sz="0" w:space="0" w:color="auto"/>
      </w:divBdr>
    </w:div>
    <w:div w:id="1519274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ls.2024.1332459"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doi.org/10.3390/su132111766"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007/s13593-015-0346-6"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8</Pages>
  <Words>4106</Words>
  <Characters>23406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47</cp:revision>
  <dcterms:created xsi:type="dcterms:W3CDTF">2025-04-12T13:59:00Z</dcterms:created>
  <dcterms:modified xsi:type="dcterms:W3CDTF">2025-04-19T03:04:00Z</dcterms:modified>
</cp:coreProperties>
</file>