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B4013" w14:textId="5A8B42CD" w:rsidR="0061139A" w:rsidRDefault="003E41B9">
      <w:pPr>
        <w:spacing w:line="360" w:lineRule="auto"/>
        <w:jc w:val="center"/>
        <w:rPr>
          <w:rFonts w:ascii="Times New Roman" w:hAnsi="Times New Roman" w:cs="Times New Roman"/>
          <w:b/>
          <w:i/>
          <w:sz w:val="24"/>
          <w:szCs w:val="24"/>
        </w:rPr>
      </w:pPr>
      <w:r>
        <w:rPr>
          <w:rFonts w:ascii="Times New Roman" w:hAnsi="Times New Roman" w:cs="Times New Roman"/>
          <w:b/>
          <w:sz w:val="24"/>
          <w:szCs w:val="24"/>
        </w:rPr>
        <w:t xml:space="preserve">Multiple Biomarkers Variability in Lead Exposed Fresh Water Fish </w:t>
      </w:r>
      <w:r w:rsidR="006758B0">
        <w:rPr>
          <w:rFonts w:ascii="Times New Roman" w:hAnsi="Times New Roman" w:cs="Times New Roman"/>
          <w:b/>
          <w:sz w:val="24"/>
          <w:szCs w:val="24"/>
        </w:rPr>
        <w:t>(</w:t>
      </w:r>
      <w:r>
        <w:rPr>
          <w:rFonts w:ascii="Times New Roman" w:hAnsi="Times New Roman" w:cs="Times New Roman"/>
          <w:b/>
          <w:i/>
          <w:sz w:val="24"/>
          <w:szCs w:val="24"/>
        </w:rPr>
        <w:t>Clarias gariepinus</w:t>
      </w:r>
      <w:r w:rsidR="006758B0">
        <w:rPr>
          <w:rFonts w:ascii="Times New Roman" w:hAnsi="Times New Roman" w:cs="Times New Roman"/>
          <w:b/>
          <w:i/>
          <w:sz w:val="24"/>
          <w:szCs w:val="24"/>
        </w:rPr>
        <w:t>)</w:t>
      </w:r>
    </w:p>
    <w:p w14:paraId="3D25D465" w14:textId="77777777" w:rsidR="0061139A" w:rsidRDefault="003E41B9">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6F520912" w14:textId="77777777" w:rsidR="0061139A" w:rsidRDefault="003E41B9">
      <w:pPr>
        <w:spacing w:line="360" w:lineRule="auto"/>
        <w:jc w:val="both"/>
        <w:rPr>
          <w:rFonts w:ascii="Times New Roman" w:eastAsia="Times New Roman" w:hAnsi="Times New Roman" w:cs="Times New Roman"/>
          <w:sz w:val="24"/>
          <w:szCs w:val="24"/>
        </w:rPr>
      </w:pPr>
      <w:r>
        <w:rPr>
          <w:rFonts w:ascii="Times New Roman" w:hAnsi="Times New Roman" w:cs="Times New Roman"/>
          <w:b/>
          <w:sz w:val="24"/>
          <w:szCs w:val="24"/>
        </w:rPr>
        <w:t xml:space="preserve">Background </w:t>
      </w:r>
      <w:r>
        <w:rPr>
          <w:rFonts w:ascii="Times New Roman" w:hAnsi="Times New Roman" w:cs="Times New Roman"/>
          <w:sz w:val="24"/>
          <w:szCs w:val="24"/>
        </w:rPr>
        <w:t>Heavy metals are the most important pollutants of the aquatic ecosystems as they are present throughout the ecosystems.</w:t>
      </w:r>
      <w:r>
        <w:rPr>
          <w:rFonts w:ascii="Times New Roman" w:eastAsia="Times New Roman" w:hAnsi="Times New Roman" w:cs="Times New Roman"/>
          <w:sz w:val="24"/>
          <w:szCs w:val="24"/>
        </w:rPr>
        <w:t xml:space="preserve"> Freshwater environments are constantly being impacted by heavy metals mostly from untreated effluent discharged from industrial sites, some agricultural practices, and daily activities. Because it harms humans and aquatic biota, toxic heavy metal pollution of the water is a serious concern.</w:t>
      </w:r>
    </w:p>
    <w:p w14:paraId="3932E456" w14:textId="77777777" w:rsidR="003E41B9" w:rsidRDefault="00D150B4">
      <w:pPr>
        <w:spacing w:line="36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b/>
          <w:sz w:val="24"/>
          <w:szCs w:val="24"/>
        </w:rPr>
        <w:t xml:space="preserve">Method </w:t>
      </w:r>
      <w:r>
        <w:rPr>
          <w:rFonts w:ascii="Times New Roman" w:hAnsi="Times New Roman" w:cs="Times New Roman"/>
          <w:sz w:val="24"/>
          <w:szCs w:val="24"/>
          <w:shd w:val="clear" w:color="auto" w:fill="FFFFFF"/>
        </w:rPr>
        <w:t xml:space="preserve">The current study examined the effects of sublethal lead levels (0.0, 0.4, and 0.8 mg/l) on the African catfish's serum metabolites, enzyme activity, and other factors following a 21-day exposure period. The activities of Glutamic Oxaloactic Transaminase (GOT), Glutamic Pyruvate Transaminase (GPT), Alkaline Phosphatase (ALP), Creatinine, and Urea in the fish's serum were examined in subadults of the African catfish </w:t>
      </w:r>
      <w:r w:rsidRPr="003E41B9">
        <w:rPr>
          <w:rFonts w:ascii="Times New Roman" w:hAnsi="Times New Roman" w:cs="Times New Roman"/>
          <w:i/>
          <w:sz w:val="24"/>
          <w:szCs w:val="24"/>
          <w:shd w:val="clear" w:color="auto" w:fill="FFFFFF"/>
        </w:rPr>
        <w:t>Clarias gariepinus</w:t>
      </w:r>
      <w:r>
        <w:rPr>
          <w:rFonts w:ascii="Times New Roman" w:hAnsi="Times New Roman" w:cs="Times New Roman"/>
          <w:sz w:val="24"/>
          <w:szCs w:val="24"/>
          <w:shd w:val="clear" w:color="auto" w:fill="FFFFFF"/>
        </w:rPr>
        <w:t xml:space="preserve">. </w:t>
      </w:r>
    </w:p>
    <w:p w14:paraId="706E8730" w14:textId="77777777" w:rsidR="00D150B4" w:rsidRDefault="003E41B9">
      <w:pPr>
        <w:spacing w:line="36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b/>
          <w:sz w:val="24"/>
          <w:szCs w:val="24"/>
        </w:rPr>
        <w:t xml:space="preserve">Results </w:t>
      </w:r>
      <w:r>
        <w:rPr>
          <w:rFonts w:ascii="Times New Roman" w:hAnsi="Times New Roman" w:cs="Times New Roman"/>
          <w:sz w:val="24"/>
          <w:szCs w:val="24"/>
          <w:shd w:val="clear" w:color="auto" w:fill="FFFFFF"/>
        </w:rPr>
        <w:t xml:space="preserve">At the 0.05 probability level, statistical ANOVA results revealed a significant difference (P&lt;0.05) between the experimental groups and the control for all parameters analysed. </w:t>
      </w:r>
    </w:p>
    <w:p w14:paraId="5B45355F" w14:textId="77777777" w:rsidR="0061139A" w:rsidRPr="00D150B4" w:rsidRDefault="003E41B9">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Conclusion</w:t>
      </w:r>
      <w:r w:rsidR="00D150B4">
        <w:rPr>
          <w:rFonts w:ascii="Times New Roman" w:hAnsi="Times New Roman" w:cs="Times New Roman"/>
          <w:b/>
          <w:sz w:val="24"/>
          <w:szCs w:val="24"/>
          <w:shd w:val="clear" w:color="auto" w:fill="FFFFFF"/>
        </w:rPr>
        <w:t xml:space="preserve"> </w:t>
      </w:r>
      <w:r w:rsidR="00D150B4">
        <w:rPr>
          <w:rFonts w:ascii="Times New Roman" w:hAnsi="Times New Roman" w:cs="Times New Roman"/>
          <w:sz w:val="24"/>
          <w:szCs w:val="24"/>
          <w:shd w:val="clear" w:color="auto" w:fill="FFFFFF"/>
        </w:rPr>
        <w:t xml:space="preserve">Organ dysfunction, enzyme inhibition, metabolic impairment, and organ damage were all brought on by the toxicant (lead). </w:t>
      </w:r>
      <w:r>
        <w:rPr>
          <w:rFonts w:ascii="Times New Roman" w:hAnsi="Times New Roman" w:cs="Times New Roman"/>
          <w:sz w:val="24"/>
          <w:szCs w:val="24"/>
          <w:shd w:val="clear" w:color="auto" w:fill="FFFFFF"/>
        </w:rPr>
        <w:t>It is clear from the overall results that these biochemical parameters changed significantly on exposure to Lead. As a result, this study demonstrates that these biochemical measurements can be essential biomarkers for examining heavy metal pollution.</w:t>
      </w:r>
    </w:p>
    <w:p w14:paraId="091D5DF3" w14:textId="77777777" w:rsidR="0061139A" w:rsidRDefault="003E41B9">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w:t>
      </w:r>
      <w:r w:rsidR="00D150B4">
        <w:rPr>
          <w:rFonts w:ascii="Times New Roman" w:eastAsia="Times New Roman" w:hAnsi="Times New Roman" w:cs="Times New Roman"/>
          <w:b/>
          <w:color w:val="000000"/>
          <w:sz w:val="24"/>
          <w:szCs w:val="24"/>
        </w:rPr>
        <w:t>eyw</w:t>
      </w:r>
      <w:r>
        <w:rPr>
          <w:rFonts w:ascii="Times New Roman" w:eastAsia="Times New Roman" w:hAnsi="Times New Roman" w:cs="Times New Roman"/>
          <w:b/>
          <w:color w:val="000000"/>
          <w:sz w:val="24"/>
          <w:szCs w:val="24"/>
        </w:rPr>
        <w:t>ords</w:t>
      </w:r>
      <w:r>
        <w:rPr>
          <w:rFonts w:ascii="Times New Roman" w:eastAsia="Times New Roman" w:hAnsi="Times New Roman" w:cs="Times New Roman"/>
          <w:color w:val="000000"/>
          <w:sz w:val="24"/>
          <w:szCs w:val="24"/>
        </w:rPr>
        <w:t xml:space="preserve">: Heavy Metal, </w:t>
      </w:r>
      <w:r>
        <w:rPr>
          <w:rFonts w:ascii="Times New Roman" w:eastAsia="Times New Roman" w:hAnsi="Times New Roman" w:cs="Times New Roman"/>
          <w:i/>
          <w:iCs/>
          <w:color w:val="000000"/>
          <w:sz w:val="24"/>
          <w:szCs w:val="24"/>
        </w:rPr>
        <w:t>Clarias gariepinus</w:t>
      </w:r>
      <w:r>
        <w:rPr>
          <w:rFonts w:ascii="Times New Roman" w:eastAsia="Times New Roman" w:hAnsi="Times New Roman" w:cs="Times New Roman"/>
          <w:color w:val="000000"/>
          <w:sz w:val="24"/>
          <w:szCs w:val="24"/>
        </w:rPr>
        <w:t>, Glutamic Oxaloacetic Transaminase (GOT), Glutamic Pyruvate Transaminase (GPT), Acid Phosphatase (ACP), and Alkaline Phosphatase (ALP)</w:t>
      </w:r>
    </w:p>
    <w:p w14:paraId="46A9DDFD" w14:textId="62FF3C76" w:rsidR="0061139A" w:rsidRDefault="006758B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7DB5FAEA" w14:textId="77777777" w:rsidR="003E41B9" w:rsidRDefault="003E41B9">
      <w:pPr>
        <w:pStyle w:val="NormalWeb"/>
        <w:spacing w:before="240" w:beforeAutospacing="0" w:after="0" w:afterAutospacing="0" w:line="360" w:lineRule="auto"/>
        <w:jc w:val="both"/>
        <w:rPr>
          <w:color w:val="000000"/>
        </w:rPr>
      </w:pPr>
      <w:r>
        <w:rPr>
          <w:color w:val="000000"/>
        </w:rPr>
        <w:t>One of the most significant environmental issues of our time is heavy metal contamination</w:t>
      </w:r>
      <w:r w:rsidR="00D150B4">
        <w:rPr>
          <w:color w:val="000000"/>
        </w:rPr>
        <w:t xml:space="preserve"> (</w:t>
      </w:r>
      <w:r w:rsidR="000422E0">
        <w:rPr>
          <w:color w:val="000000"/>
        </w:rPr>
        <w:t>Elarabany &amp; Bahnasawy, 2019</w:t>
      </w:r>
      <w:r w:rsidR="00D150B4">
        <w:rPr>
          <w:color w:val="000000"/>
        </w:rPr>
        <w:t>)</w:t>
      </w:r>
      <w:r>
        <w:rPr>
          <w:color w:val="000000"/>
        </w:rPr>
        <w:t xml:space="preserve">. Fish may exhibit signs of stress if heavy metals infiltrate their aquatic environments (Ali et al., 2019). These metals are difficult for any biological degrading mechanism to remove from the environment because they are persistent. When released into the environment by industrial effluents, agricultural operations, and some life activities, they present </w:t>
      </w:r>
      <w:r>
        <w:rPr>
          <w:color w:val="000000"/>
        </w:rPr>
        <w:lastRenderedPageBreak/>
        <w:t>a number of health dangers to the surrounding population and living organisms (Prakash &amp; Verma 2020)</w:t>
      </w:r>
    </w:p>
    <w:p w14:paraId="4967D233" w14:textId="77777777" w:rsidR="0061139A" w:rsidRDefault="003E41B9">
      <w:pPr>
        <w:pStyle w:val="NormalWeb"/>
        <w:spacing w:before="240" w:beforeAutospacing="0" w:after="0" w:afterAutospacing="0" w:line="360" w:lineRule="auto"/>
        <w:jc w:val="both"/>
      </w:pPr>
      <w:r>
        <w:rPr>
          <w:color w:val="000000"/>
        </w:rPr>
        <w:t> The toxicity of these metals poses major threats to ecology, nutrition, and the environment. According to Authman et al. (2015), heavy metals can dissolve rapidly in water and then enter the bodies of aquatic creatures. As they ascend the food chain, these metals are subsequently absorbed by the bodies of larger animals.</w:t>
      </w:r>
    </w:p>
    <w:p w14:paraId="2EF7DDA6" w14:textId="77777777" w:rsidR="0061139A" w:rsidRDefault="003E41B9">
      <w:pPr>
        <w:pStyle w:val="NormalWeb"/>
        <w:spacing w:before="240" w:beforeAutospacing="0" w:after="0" w:afterAutospacing="0" w:line="360" w:lineRule="auto"/>
        <w:jc w:val="both"/>
      </w:pPr>
      <w:r>
        <w:rPr>
          <w:color w:val="000000"/>
        </w:rPr>
        <w:t> Lead (Pb), in contrast to other heavy metals, is one of the most dangerous pollutants in aquatic settings. The mining and smelting of lead ores, industrial effluents, fertilisers, pesticides, and municipal sewage wastes are the main sources of lead contamination (Needleman, 2006). Among other sites, a fish's skins, gills, and respiratory system can absorb lead. After ingestion, lead circulates throughout the fish's gonads, liver, kidney, heart, gills, and blood (ATSDR, 2005).</w:t>
      </w:r>
    </w:p>
    <w:p w14:paraId="75FEEB17" w14:textId="77777777" w:rsidR="0061139A" w:rsidRDefault="003E41B9">
      <w:pPr>
        <w:pStyle w:val="NormalWeb"/>
        <w:spacing w:before="240" w:beforeAutospacing="0" w:after="0" w:afterAutospacing="0" w:line="360" w:lineRule="auto"/>
        <w:jc w:val="both"/>
        <w:rPr>
          <w:i/>
        </w:rPr>
      </w:pPr>
      <w:r>
        <w:rPr>
          <w:color w:val="000000"/>
        </w:rPr>
        <w:t xml:space="preserve"> Lead produces oxidative damage at greater quantities, which may immediately impact the cell membrane. </w:t>
      </w:r>
      <w:r>
        <w:rPr>
          <w:i/>
          <w:color w:val="000000"/>
        </w:rPr>
        <w:t>Clarias gariepinus</w:t>
      </w:r>
      <w:r>
        <w:rPr>
          <w:color w:val="000000"/>
        </w:rPr>
        <w:t xml:space="preserve"> is now a frequently utilised test organism in fish research because of its extensive cultivation and availability in all freshwater settings. According to Jasmin et al. (2018), Onadje &amp; Akalusi (2024), and Gupta and Sharma (2023), serum biochemical parameter analysis is widely recommended to provide early indicators of notable changes in stressed organisms. It is particularly helpful in determining the general health status of animals as well as the target organs of poisoning. The objective of this present study is to investigate how lead exposure affects the serum biochemical parameters of African catfish, </w:t>
      </w:r>
      <w:r>
        <w:rPr>
          <w:i/>
          <w:color w:val="000000"/>
        </w:rPr>
        <w:t>Clarias gariepinus. </w:t>
      </w:r>
    </w:p>
    <w:p w14:paraId="4F8DBDA0" w14:textId="77777777" w:rsidR="0061139A" w:rsidRDefault="0061139A">
      <w:pPr>
        <w:autoSpaceDE w:val="0"/>
        <w:autoSpaceDN w:val="0"/>
        <w:adjustRightInd w:val="0"/>
        <w:spacing w:after="0" w:line="360" w:lineRule="auto"/>
        <w:jc w:val="both"/>
        <w:rPr>
          <w:rFonts w:ascii="Times New Roman" w:hAnsi="Times New Roman" w:cs="Times New Roman"/>
          <w:b/>
          <w:sz w:val="24"/>
          <w:szCs w:val="24"/>
          <w:shd w:val="clear" w:color="auto" w:fill="FFFFFF"/>
        </w:rPr>
      </w:pPr>
    </w:p>
    <w:p w14:paraId="0BB08F1A" w14:textId="77777777" w:rsidR="0061139A" w:rsidRDefault="003E41B9">
      <w:pPr>
        <w:autoSpaceDE w:val="0"/>
        <w:autoSpaceDN w:val="0"/>
        <w:adjustRightInd w:val="0"/>
        <w:spacing w:after="0"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Materials and Methods</w:t>
      </w:r>
    </w:p>
    <w:p w14:paraId="0F6E821C" w14:textId="77777777" w:rsidR="0061139A" w:rsidRDefault="003E41B9">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Exposure medium / toxicant</w:t>
      </w:r>
    </w:p>
    <w:p w14:paraId="1D821F5A" w14:textId="77777777" w:rsidR="0061139A" w:rsidRDefault="003E41B9">
      <w:pPr>
        <w:autoSpaceDE w:val="0"/>
        <w:autoSpaceDN w:val="0"/>
        <w:adjustRightInd w:val="0"/>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 this experiment, anhydrous lead chloride was used as the test material. The chloride form of the metal was selected because it is less toxic than other forms of lead.</w:t>
      </w:r>
      <w:r w:rsidR="000422E0">
        <w:rPr>
          <w:rFonts w:ascii="Times New Roman" w:hAnsi="Times New Roman" w:cs="Times New Roman"/>
          <w:sz w:val="24"/>
          <w:szCs w:val="24"/>
          <w:shd w:val="clear" w:color="auto" w:fill="FFFFFF"/>
        </w:rPr>
        <w:t xml:space="preserve"> T</w:t>
      </w:r>
      <w:r>
        <w:rPr>
          <w:rFonts w:ascii="Times New Roman" w:hAnsi="Times New Roman" w:cs="Times New Roman"/>
          <w:sz w:val="24"/>
          <w:szCs w:val="24"/>
          <w:shd w:val="clear" w:color="auto" w:fill="FFFFFF"/>
        </w:rPr>
        <w:t>he concentrations for the experiment were 0.40 mg/l and 0.80 mg/l. The following formula was used to determine the molecular atomic weight of the lead chloride containing 1.0 g of lead.</w:t>
      </w:r>
    </w:p>
    <w:p w14:paraId="23F9757F" w14:textId="77777777" w:rsidR="0061139A" w:rsidRDefault="0061139A">
      <w:pPr>
        <w:autoSpaceDE w:val="0"/>
        <w:autoSpaceDN w:val="0"/>
        <w:adjustRightInd w:val="0"/>
        <w:spacing w:after="0" w:line="360" w:lineRule="auto"/>
        <w:jc w:val="both"/>
        <w:rPr>
          <w:rFonts w:ascii="Times New Roman" w:hAnsi="Times New Roman" w:cs="Times New Roman"/>
          <w:sz w:val="24"/>
          <w:szCs w:val="24"/>
          <w:shd w:val="clear" w:color="auto" w:fill="FFFFFF"/>
        </w:rPr>
      </w:pPr>
    </w:p>
    <w:p w14:paraId="341D4CA6" w14:textId="77777777" w:rsidR="0061139A" w:rsidRDefault="00000000">
      <w:pPr>
        <w:spacing w:after="0" w:line="360" w:lineRule="auto"/>
        <w:jc w:val="both"/>
        <w:rPr>
          <w:rFonts w:ascii="Times New Roman" w:eastAsiaTheme="minorEastAsia" w:hAnsi="Times New Roman" w:cs="Times New Roman"/>
          <w:sz w:val="24"/>
          <w:szCs w:val="24"/>
        </w:rPr>
      </w:pPr>
      <m:oMath>
        <m:f>
          <m:fPr>
            <m:ctrlPr>
              <w:rPr>
                <w:rFonts w:ascii="Cambria Math" w:hAnsi="Times New Roman" w:cs="Times New Roman"/>
                <w:i/>
                <w:sz w:val="24"/>
                <w:szCs w:val="24"/>
              </w:rPr>
            </m:ctrlPr>
          </m:fPr>
          <m:num>
            <m:r>
              <m:rPr>
                <m:sty m:val="p"/>
              </m:rPr>
              <w:rPr>
                <w:rFonts w:ascii="Cambria Math" w:hAnsi="Times New Roman" w:cs="Times New Roman"/>
                <w:sz w:val="24"/>
                <w:szCs w:val="24"/>
              </w:rPr>
              <m:t>Molecular weight of Lead Chloride</m:t>
            </m:r>
          </m:num>
          <m:den>
            <m:r>
              <m:rPr>
                <m:sty m:val="p"/>
              </m:rPr>
              <w:rPr>
                <w:rFonts w:ascii="Cambria Math" w:hAnsi="Times New Roman" w:cs="Times New Roman"/>
                <w:sz w:val="24"/>
                <w:szCs w:val="24"/>
              </w:rPr>
              <m:t>Atomic weight of Lead (Pb)</m:t>
            </m:r>
          </m:den>
        </m:f>
      </m:oMath>
      <w:r w:rsidR="000422E0">
        <w:rPr>
          <w:rFonts w:ascii="Times New Roman" w:eastAsiaTheme="minorEastAsia" w:hAnsi="Times New Roman" w:cs="Times New Roman"/>
          <w:sz w:val="24"/>
          <w:szCs w:val="24"/>
        </w:rPr>
        <w:t xml:space="preserve">                     Equation 1</w:t>
      </w:r>
    </w:p>
    <w:p w14:paraId="63124908" w14:textId="77777777" w:rsidR="0061139A" w:rsidRDefault="0061139A">
      <w:pPr>
        <w:spacing w:after="0" w:line="360" w:lineRule="auto"/>
        <w:jc w:val="both"/>
        <w:rPr>
          <w:rFonts w:ascii="Times New Roman" w:eastAsiaTheme="minorEastAsia" w:hAnsi="Times New Roman" w:cs="Times New Roman"/>
          <w:sz w:val="24"/>
          <w:szCs w:val="24"/>
        </w:rPr>
      </w:pPr>
    </w:p>
    <w:p w14:paraId="4F8891BF"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While the required concentrations were calculated thus:</w:t>
      </w:r>
    </w:p>
    <w:p w14:paraId="454C1E0F" w14:textId="77777777" w:rsidR="0061139A" w:rsidRDefault="00000000">
      <w:pPr>
        <w:spacing w:line="360" w:lineRule="auto"/>
        <w:jc w:val="both"/>
        <w:rPr>
          <w:rFonts w:ascii="Times New Roman" w:eastAsiaTheme="minorEastAsia" w:hAnsi="Times New Roman" w:cs="Times New Roman"/>
          <w:sz w:val="24"/>
          <w:szCs w:val="24"/>
        </w:rPr>
      </w:pPr>
      <m:oMath>
        <m:f>
          <m:fPr>
            <m:ctrlPr>
              <w:rPr>
                <w:rFonts w:ascii="Cambria Math" w:hAnsi="Times New Roman" w:cs="Times New Roman"/>
                <w:i/>
                <w:sz w:val="24"/>
                <w:szCs w:val="24"/>
              </w:rPr>
            </m:ctrlPr>
          </m:fPr>
          <m:num>
            <m:r>
              <m:rPr>
                <m:sty m:val="p"/>
              </m:rPr>
              <w:rPr>
                <w:rFonts w:ascii="Cambria Math" w:hAnsi="Times New Roman" w:cs="Times New Roman"/>
                <w:sz w:val="24"/>
                <w:szCs w:val="24"/>
              </w:rPr>
              <m:t>Weight of lead needed X Molecular weight of Lead</m:t>
            </m:r>
          </m:num>
          <m:den>
            <m:r>
              <m:rPr>
                <m:sty m:val="p"/>
              </m:rPr>
              <w:rPr>
                <w:rFonts w:ascii="Cambria Math" w:hAnsi="Times New Roman" w:cs="Times New Roman"/>
                <w:sz w:val="24"/>
                <w:szCs w:val="24"/>
              </w:rPr>
              <m:t>Atomic weight of Lead (Pb)</m:t>
            </m:r>
          </m:den>
        </m:f>
      </m:oMath>
      <w:r w:rsidR="000422E0">
        <w:rPr>
          <w:rFonts w:ascii="Times New Roman" w:eastAsiaTheme="minorEastAsia" w:hAnsi="Times New Roman" w:cs="Times New Roman"/>
          <w:sz w:val="24"/>
          <w:szCs w:val="24"/>
        </w:rPr>
        <w:t xml:space="preserve">          Equation 2</w:t>
      </w:r>
    </w:p>
    <w:p w14:paraId="1429FED7" w14:textId="77777777" w:rsidR="0061139A" w:rsidRDefault="0061139A">
      <w:pPr>
        <w:autoSpaceDE w:val="0"/>
        <w:autoSpaceDN w:val="0"/>
        <w:adjustRightInd w:val="0"/>
        <w:spacing w:after="0" w:line="360" w:lineRule="auto"/>
        <w:jc w:val="both"/>
        <w:rPr>
          <w:rFonts w:ascii="Times New Roman" w:hAnsi="Times New Roman" w:cs="Times New Roman"/>
          <w:sz w:val="24"/>
          <w:szCs w:val="24"/>
          <w:shd w:val="clear" w:color="auto" w:fill="FFFFFF"/>
        </w:rPr>
      </w:pPr>
    </w:p>
    <w:p w14:paraId="2A224C55" w14:textId="77777777" w:rsidR="0061139A" w:rsidRDefault="003E41B9">
      <w:pPr>
        <w:spacing w:line="360" w:lineRule="auto"/>
        <w:jc w:val="both"/>
        <w:rPr>
          <w:rFonts w:ascii="Times New Roman" w:eastAsiaTheme="minorEastAsia" w:hAnsi="Times New Roman" w:cs="Times New Roman"/>
          <w:b/>
          <w:i/>
          <w:sz w:val="24"/>
          <w:szCs w:val="24"/>
        </w:rPr>
      </w:pPr>
      <w:r>
        <w:rPr>
          <w:rFonts w:ascii="Times New Roman" w:eastAsiaTheme="minorEastAsia" w:hAnsi="Times New Roman" w:cs="Times New Roman"/>
          <w:b/>
          <w:i/>
          <w:sz w:val="24"/>
          <w:szCs w:val="24"/>
        </w:rPr>
        <w:t>Experimental fish model</w:t>
      </w:r>
    </w:p>
    <w:p w14:paraId="00D724A3" w14:textId="77777777" w:rsidR="0061139A" w:rsidRDefault="003E41B9">
      <w:pPr>
        <w:pStyle w:val="NormalWeb"/>
        <w:spacing w:before="240" w:beforeAutospacing="0" w:after="240" w:afterAutospacing="0" w:line="360" w:lineRule="auto"/>
        <w:jc w:val="both"/>
      </w:pPr>
      <w:r>
        <w:rPr>
          <w:color w:val="000000"/>
        </w:rPr>
        <w:t xml:space="preserve">The African catfish </w:t>
      </w:r>
      <w:r>
        <w:rPr>
          <w:i/>
          <w:iCs/>
          <w:color w:val="000000"/>
        </w:rPr>
        <w:t>Clarias gariepinus</w:t>
      </w:r>
      <w:r>
        <w:rPr>
          <w:color w:val="000000"/>
        </w:rPr>
        <w:t xml:space="preserve"> sub-adults were obtained from a fish farm in Obiarukwu, Delta State, Nigeria. The fish were transported to the laboratory in an oxygen-filled bag. The fish were kept in bore-hole water-filled 60-litre polypropylene bowls. To prevent starvation and any impact on the fish's haematology, the fish were allowed to acclimatise to commercial fish pellets over 14 days. The health of the fish was carefully assessed for signs of disease and decline. The water was changed daily, and any dead fish was promptly removed to prevent ingestion. The fish were fed from 8:00 to 16:00 twice a day.</w:t>
      </w:r>
    </w:p>
    <w:p w14:paraId="58A526D4" w14:textId="77777777" w:rsidR="0061139A" w:rsidRDefault="003E41B9">
      <w:pPr>
        <w:pStyle w:val="NormalWeb"/>
        <w:spacing w:before="240" w:beforeAutospacing="0" w:after="240" w:afterAutospacing="0" w:line="360" w:lineRule="auto"/>
        <w:jc w:val="both"/>
      </w:pPr>
      <w:r>
        <w:rPr>
          <w:color w:val="000000"/>
        </w:rPr>
        <w:t>The fish's average weight was 127.02±89, and its average length was 17.54±0.62. A short-term static bioassay lasting 96 hours makes up the experimental setting. 50-litre plastic aquariums were utilised. Three 50-litre plastic aquariums with a capacity of 0.40 mg/l, 0.80 mg/l, and a control of 0.0 mg/l were used in a duplicated experiment. Six sub-adult fish were kept in each tank with bore-hole water, and the toxicant was replaced daily to preserve its efficacy and lessen the chance of the metal deteriorating. Feeding continued during the exposure time. During the exposure period, no fatalities were reported.</w:t>
      </w:r>
    </w:p>
    <w:p w14:paraId="52CF73E6" w14:textId="77777777" w:rsidR="0061139A" w:rsidRDefault="003E41B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Sampling and biochemical analyses</w:t>
      </w:r>
    </w:p>
    <w:p w14:paraId="7B9E1E89" w14:textId="77777777" w:rsidR="0061139A" w:rsidRDefault="003E41B9">
      <w:pPr>
        <w:pStyle w:val="NormalWeb"/>
        <w:spacing w:before="240" w:beforeAutospacing="0" w:after="0" w:afterAutospacing="0" w:line="360" w:lineRule="auto"/>
        <w:jc w:val="both"/>
      </w:pPr>
      <w:r>
        <w:rPr>
          <w:color w:val="000000"/>
          <w:shd w:val="clear" w:color="auto" w:fill="FFFFFF"/>
        </w:rPr>
        <w:t>To avoid stress, the experimental fish were anaesthetised with clove oil (4–4.5 mg/L) before blood collection and dissection. During days 7, 14, and 21 of the experiment, we used a 26-gauge hypodermic needle to caudally venipuncture. Approximately 2-3 mL of blood was collected in Ethylenediaminetetraacetic acid (EDTA) vacutainers for each of the five fish in each group. Additionally, the serum was separated from the obtained blood using centrifugation. The serum was created by centrifuging the blood for five minutes at 3000 rpm using a motor centrifuge. The serum was visible at the top and the plasma at the bottom. The serum obtained after the centrifugation was put in a plastic container containing anticoagulant properties. Biochemical parameters like Glutamate Pyruvate Transaminase(GPT), Glutamate Oxaloacetate Transaminase (GOT), Alkaline Phosphatase (ALP), Urea and Creatinine were evaluated using commercially prepared kits by the following methods:</w:t>
      </w:r>
    </w:p>
    <w:p w14:paraId="7C0661C1" w14:textId="77777777" w:rsidR="0061139A" w:rsidRDefault="003E41B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Table 1: Some Serum Parameters and Methods Used</w:t>
      </w:r>
    </w:p>
    <w:tbl>
      <w:tblPr>
        <w:tblStyle w:val="TableGrid"/>
        <w:tblW w:w="0" w:type="auto"/>
        <w:tblLook w:val="04A0" w:firstRow="1" w:lastRow="0" w:firstColumn="1" w:lastColumn="0" w:noHBand="0" w:noVBand="1"/>
      </w:tblPr>
      <w:tblGrid>
        <w:gridCol w:w="648"/>
        <w:gridCol w:w="3330"/>
        <w:gridCol w:w="5598"/>
      </w:tblGrid>
      <w:tr w:rsidR="0061139A" w14:paraId="41508EBA" w14:textId="77777777">
        <w:tc>
          <w:tcPr>
            <w:tcW w:w="648" w:type="dxa"/>
          </w:tcPr>
          <w:p w14:paraId="1BE13036" w14:textId="77777777" w:rsidR="0061139A" w:rsidRDefault="003E41B9">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S/N</w:t>
            </w:r>
          </w:p>
        </w:tc>
        <w:tc>
          <w:tcPr>
            <w:tcW w:w="3330" w:type="dxa"/>
          </w:tcPr>
          <w:p w14:paraId="29034E47" w14:textId="77777777" w:rsidR="0061139A" w:rsidRDefault="003E41B9">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Serum Parameters</w:t>
            </w:r>
          </w:p>
        </w:tc>
        <w:tc>
          <w:tcPr>
            <w:tcW w:w="5598" w:type="dxa"/>
          </w:tcPr>
          <w:p w14:paraId="7EDEB848" w14:textId="77777777" w:rsidR="0061139A" w:rsidRDefault="003E41B9">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w:t>
            </w:r>
          </w:p>
        </w:tc>
      </w:tr>
      <w:tr w:rsidR="0061139A" w14:paraId="38ABC555" w14:textId="77777777">
        <w:tc>
          <w:tcPr>
            <w:tcW w:w="648" w:type="dxa"/>
          </w:tcPr>
          <w:p w14:paraId="4A80570D" w14:textId="77777777" w:rsidR="0061139A" w:rsidRDefault="003E41B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330" w:type="dxa"/>
          </w:tcPr>
          <w:p w14:paraId="389873A0" w14:textId="77777777" w:rsidR="0061139A" w:rsidRDefault="003E41B9">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SGPT (U/L)</w:t>
            </w:r>
          </w:p>
        </w:tc>
        <w:tc>
          <w:tcPr>
            <w:tcW w:w="5598" w:type="dxa"/>
          </w:tcPr>
          <w:p w14:paraId="4B989C2A" w14:textId="77777777" w:rsidR="0061139A" w:rsidRDefault="003E41B9">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Bergmeyer (1974)</w:t>
            </w:r>
          </w:p>
        </w:tc>
      </w:tr>
      <w:tr w:rsidR="0061139A" w14:paraId="7CB6FE2C" w14:textId="77777777">
        <w:tc>
          <w:tcPr>
            <w:tcW w:w="648" w:type="dxa"/>
          </w:tcPr>
          <w:p w14:paraId="30BE320F" w14:textId="77777777" w:rsidR="0061139A" w:rsidRDefault="003E41B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30" w:type="dxa"/>
          </w:tcPr>
          <w:p w14:paraId="0B933DAC" w14:textId="77777777" w:rsidR="0061139A" w:rsidRDefault="003E41B9">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SGOT (U/L)</w:t>
            </w:r>
          </w:p>
        </w:tc>
        <w:tc>
          <w:tcPr>
            <w:tcW w:w="5598" w:type="dxa"/>
          </w:tcPr>
          <w:p w14:paraId="2AB1A941" w14:textId="77777777" w:rsidR="0061139A" w:rsidRDefault="003E41B9">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Bergmeyer (1974)</w:t>
            </w:r>
          </w:p>
        </w:tc>
      </w:tr>
      <w:tr w:rsidR="0061139A" w14:paraId="4084D8C7" w14:textId="77777777">
        <w:tc>
          <w:tcPr>
            <w:tcW w:w="648" w:type="dxa"/>
          </w:tcPr>
          <w:p w14:paraId="1341DCD7" w14:textId="77777777" w:rsidR="0061139A" w:rsidRDefault="003E41B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330" w:type="dxa"/>
          </w:tcPr>
          <w:p w14:paraId="60C1EB83" w14:textId="77777777" w:rsidR="0061139A" w:rsidRDefault="003E41B9">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Alkaline Phosphate (U/L)</w:t>
            </w:r>
          </w:p>
        </w:tc>
        <w:tc>
          <w:tcPr>
            <w:tcW w:w="5598" w:type="dxa"/>
          </w:tcPr>
          <w:p w14:paraId="0A74DE67" w14:textId="77777777" w:rsidR="0061139A" w:rsidRDefault="003E41B9">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hAnsi="Times New Roman" w:cs="Times New Roman"/>
                <w:sz w:val="24"/>
                <w:szCs w:val="24"/>
              </w:rPr>
              <w:t>King and Armstrong (1934)</w:t>
            </w:r>
          </w:p>
        </w:tc>
      </w:tr>
      <w:tr w:rsidR="0061139A" w14:paraId="3DE2CEE2" w14:textId="77777777">
        <w:tc>
          <w:tcPr>
            <w:tcW w:w="648" w:type="dxa"/>
          </w:tcPr>
          <w:p w14:paraId="437D2F72" w14:textId="77777777" w:rsidR="0061139A" w:rsidRDefault="003E41B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330" w:type="dxa"/>
          </w:tcPr>
          <w:p w14:paraId="34920A7F" w14:textId="77777777" w:rsidR="0061139A" w:rsidRDefault="003E41B9">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Creatinine (g/dl)</w:t>
            </w:r>
          </w:p>
        </w:tc>
        <w:tc>
          <w:tcPr>
            <w:tcW w:w="5598" w:type="dxa"/>
          </w:tcPr>
          <w:p w14:paraId="61A97B0F" w14:textId="77777777" w:rsidR="0061139A" w:rsidRDefault="003E41B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Tietz (1995)</w:t>
            </w:r>
          </w:p>
        </w:tc>
      </w:tr>
      <w:tr w:rsidR="0061139A" w14:paraId="4A99A195" w14:textId="77777777">
        <w:tc>
          <w:tcPr>
            <w:tcW w:w="648" w:type="dxa"/>
          </w:tcPr>
          <w:p w14:paraId="4127852D" w14:textId="77777777" w:rsidR="0061139A" w:rsidRDefault="003E41B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330" w:type="dxa"/>
          </w:tcPr>
          <w:p w14:paraId="242CD75B" w14:textId="77777777" w:rsidR="0061139A" w:rsidRDefault="003E41B9">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Urea (g/dl)</w:t>
            </w:r>
          </w:p>
        </w:tc>
        <w:tc>
          <w:tcPr>
            <w:tcW w:w="5598" w:type="dxa"/>
          </w:tcPr>
          <w:p w14:paraId="674E86E3" w14:textId="77777777" w:rsidR="0061139A" w:rsidRDefault="003E41B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Tietz (1990)</w:t>
            </w:r>
          </w:p>
        </w:tc>
      </w:tr>
    </w:tbl>
    <w:p w14:paraId="02D8B949" w14:textId="77777777" w:rsidR="0061139A" w:rsidRDefault="0061139A">
      <w:pPr>
        <w:spacing w:after="0" w:line="360" w:lineRule="auto"/>
        <w:jc w:val="both"/>
        <w:rPr>
          <w:rFonts w:ascii="Times New Roman" w:eastAsia="Times New Roman" w:hAnsi="Times New Roman" w:cs="Times New Roman"/>
          <w:sz w:val="24"/>
          <w:szCs w:val="24"/>
        </w:rPr>
      </w:pPr>
    </w:p>
    <w:p w14:paraId="4F48C510" w14:textId="77777777" w:rsidR="0061139A" w:rsidRDefault="003E41B9">
      <w:pPr>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Data Analysis</w:t>
      </w:r>
    </w:p>
    <w:p w14:paraId="35BCE2B6" w14:textId="77777777" w:rsidR="0061139A" w:rsidRDefault="003E41B9">
      <w:pPr>
        <w:pStyle w:val="NormalWeb"/>
        <w:spacing w:before="240" w:beforeAutospacing="0" w:after="0" w:afterAutospacing="0" w:line="360" w:lineRule="auto"/>
        <w:jc w:val="both"/>
        <w:rPr>
          <w:color w:val="000000"/>
        </w:rPr>
      </w:pPr>
      <w:r>
        <w:rPr>
          <w:color w:val="000000"/>
        </w:rPr>
        <w:t>A one-way Analysis of Variance (ANOVA) was performed on the gathered data using Microsoft Excel 2000. Statistical differences were computed at the 95% level of freedom, and the results' displayed in tables.</w:t>
      </w:r>
    </w:p>
    <w:p w14:paraId="2A52402D" w14:textId="77777777" w:rsidR="0061139A" w:rsidRDefault="003E41B9">
      <w:pPr>
        <w:pStyle w:val="NormalWeb"/>
        <w:spacing w:before="240" w:beforeAutospacing="0" w:after="0" w:afterAutospacing="0" w:line="360" w:lineRule="auto"/>
        <w:jc w:val="both"/>
      </w:pPr>
      <w:r>
        <w:rPr>
          <w:b/>
        </w:rPr>
        <w:t xml:space="preserve">RESULTS </w:t>
      </w:r>
    </w:p>
    <w:p w14:paraId="3074D2F1" w14:textId="77777777" w:rsidR="0061139A" w:rsidRDefault="003E41B9">
      <w:pPr>
        <w:pStyle w:val="NormalWeb"/>
        <w:spacing w:before="240" w:beforeAutospacing="0" w:after="240" w:afterAutospacing="0" w:line="360" w:lineRule="auto"/>
        <w:jc w:val="both"/>
      </w:pPr>
      <w:r>
        <w:rPr>
          <w:b/>
          <w:i/>
        </w:rPr>
        <w:t>Serum Glutamate-Pyruvate Transaminase SGPT (U/L)</w:t>
      </w:r>
      <w:r>
        <w:rPr>
          <w:b/>
        </w:rPr>
        <w:t xml:space="preserve">: </w:t>
      </w:r>
      <w:r>
        <w:rPr>
          <w:color w:val="000000"/>
        </w:rPr>
        <w:t>Table 2 illustrates how lead affects the African catfish's serum GPT activity. At day 7, the control (0.0 mg/l) had the lowest value of 28.29±0.21, while the highest concentration (0.8 mg/l) had the lowest mean value of 37.18±0.08. Throughout the 21-day exposure period, the data demonstrated a significant increase in SGPT values as concentrations increased.</w:t>
      </w:r>
    </w:p>
    <w:p w14:paraId="0CCD442A" w14:textId="77777777" w:rsidR="0061139A" w:rsidRDefault="003E41B9">
      <w:pPr>
        <w:autoSpaceDE w:val="0"/>
        <w:autoSpaceDN w:val="0"/>
        <w:adjustRightInd w:val="0"/>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Table 2: Mean Value of serum GPT activity in </w:t>
      </w:r>
      <w:r>
        <w:rPr>
          <w:rFonts w:ascii="Times New Roman" w:eastAsiaTheme="minorEastAsia" w:hAnsi="Times New Roman" w:cs="Times New Roman"/>
          <w:i/>
          <w:sz w:val="24"/>
          <w:szCs w:val="24"/>
        </w:rPr>
        <w:t xml:space="preserve">Clarias gariepinus </w:t>
      </w:r>
      <w:r>
        <w:rPr>
          <w:rFonts w:ascii="Times New Roman" w:eastAsiaTheme="minorEastAsia" w:hAnsi="Times New Roman" w:cs="Times New Roman"/>
          <w:sz w:val="24"/>
          <w:szCs w:val="24"/>
        </w:rPr>
        <w:t>exposed to sublethal concentrations of lead (Pb) for 21 days.</w:t>
      </w:r>
    </w:p>
    <w:tbl>
      <w:tblPr>
        <w:tblStyle w:val="TableGrid"/>
        <w:tblW w:w="0" w:type="auto"/>
        <w:tblLook w:val="04A0" w:firstRow="1" w:lastRow="0" w:firstColumn="1" w:lastColumn="0" w:noHBand="0" w:noVBand="1"/>
      </w:tblPr>
      <w:tblGrid>
        <w:gridCol w:w="2380"/>
        <w:gridCol w:w="2398"/>
        <w:gridCol w:w="2399"/>
        <w:gridCol w:w="2399"/>
      </w:tblGrid>
      <w:tr w:rsidR="0061139A" w14:paraId="00B93A0F" w14:textId="77777777">
        <w:tc>
          <w:tcPr>
            <w:tcW w:w="2506" w:type="dxa"/>
          </w:tcPr>
          <w:p w14:paraId="39BCC637" w14:textId="77777777" w:rsidR="0061139A" w:rsidRDefault="0061139A">
            <w:pPr>
              <w:spacing w:after="0" w:line="360" w:lineRule="auto"/>
              <w:jc w:val="center"/>
              <w:rPr>
                <w:rFonts w:ascii="Times New Roman" w:eastAsiaTheme="minorEastAsia" w:hAnsi="Times New Roman" w:cs="Times New Roman"/>
                <w:b/>
                <w:sz w:val="24"/>
                <w:szCs w:val="24"/>
              </w:rPr>
            </w:pPr>
          </w:p>
        </w:tc>
        <w:tc>
          <w:tcPr>
            <w:tcW w:w="7520" w:type="dxa"/>
            <w:gridSpan w:val="3"/>
          </w:tcPr>
          <w:p w14:paraId="1A0D0659" w14:textId="77777777" w:rsidR="0061139A" w:rsidRDefault="003E41B9">
            <w:pPr>
              <w:spacing w:after="0"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Days </w:t>
            </w:r>
          </w:p>
        </w:tc>
      </w:tr>
      <w:tr w:rsidR="0061139A" w14:paraId="6F93C41A" w14:textId="77777777">
        <w:tc>
          <w:tcPr>
            <w:tcW w:w="2506" w:type="dxa"/>
          </w:tcPr>
          <w:p w14:paraId="5CF50DFD"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Conc. (mgPb/l)</w:t>
            </w:r>
          </w:p>
        </w:tc>
        <w:tc>
          <w:tcPr>
            <w:tcW w:w="2506" w:type="dxa"/>
          </w:tcPr>
          <w:p w14:paraId="40269A1F" w14:textId="77777777" w:rsidR="0061139A" w:rsidRDefault="003E41B9">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2507" w:type="dxa"/>
          </w:tcPr>
          <w:p w14:paraId="23F37C31" w14:textId="77777777" w:rsidR="0061139A" w:rsidRDefault="003E41B9">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2507" w:type="dxa"/>
          </w:tcPr>
          <w:p w14:paraId="4EF030FA" w14:textId="77777777" w:rsidR="0061139A" w:rsidRDefault="003E41B9">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w:t>
            </w:r>
          </w:p>
        </w:tc>
      </w:tr>
      <w:tr w:rsidR="0061139A" w14:paraId="08DF7329" w14:textId="77777777">
        <w:tc>
          <w:tcPr>
            <w:tcW w:w="2506" w:type="dxa"/>
          </w:tcPr>
          <w:p w14:paraId="12D71F1F"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w:t>
            </w:r>
          </w:p>
        </w:tc>
        <w:tc>
          <w:tcPr>
            <w:tcW w:w="2506" w:type="dxa"/>
          </w:tcPr>
          <w:p w14:paraId="61D19D89" w14:textId="77777777" w:rsidR="0061139A" w:rsidRDefault="003E41B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28.29±0.21</w:t>
            </w:r>
          </w:p>
        </w:tc>
        <w:tc>
          <w:tcPr>
            <w:tcW w:w="2507" w:type="dxa"/>
          </w:tcPr>
          <w:p w14:paraId="4195703A" w14:textId="77777777" w:rsidR="0061139A" w:rsidRDefault="003E41B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29.22±0.40</w:t>
            </w:r>
          </w:p>
        </w:tc>
        <w:tc>
          <w:tcPr>
            <w:tcW w:w="2507" w:type="dxa"/>
          </w:tcPr>
          <w:p w14:paraId="1CFF4AA6"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29.05±0.01</w:t>
            </w:r>
          </w:p>
        </w:tc>
      </w:tr>
      <w:tr w:rsidR="0061139A" w14:paraId="7B3F6D16" w14:textId="77777777">
        <w:tc>
          <w:tcPr>
            <w:tcW w:w="2506" w:type="dxa"/>
          </w:tcPr>
          <w:p w14:paraId="7F51AFDA"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0.4</w:t>
            </w:r>
          </w:p>
        </w:tc>
        <w:tc>
          <w:tcPr>
            <w:tcW w:w="2506" w:type="dxa"/>
          </w:tcPr>
          <w:p w14:paraId="7BD434BB" w14:textId="77777777" w:rsidR="0061139A" w:rsidRDefault="003E41B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29.69±0.29</w:t>
            </w:r>
          </w:p>
        </w:tc>
        <w:tc>
          <w:tcPr>
            <w:tcW w:w="2507" w:type="dxa"/>
          </w:tcPr>
          <w:p w14:paraId="16F7D190" w14:textId="77777777" w:rsidR="0061139A" w:rsidRDefault="003E41B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29.93±0.01</w:t>
            </w:r>
          </w:p>
        </w:tc>
        <w:tc>
          <w:tcPr>
            <w:tcW w:w="2507" w:type="dxa"/>
          </w:tcPr>
          <w:p w14:paraId="3C2F3CE2"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29.99±0.58</w:t>
            </w:r>
          </w:p>
        </w:tc>
      </w:tr>
      <w:tr w:rsidR="0061139A" w14:paraId="3C52B0EF" w14:textId="77777777">
        <w:tc>
          <w:tcPr>
            <w:tcW w:w="2506" w:type="dxa"/>
          </w:tcPr>
          <w:p w14:paraId="4B48CDAB"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w:t>
            </w:r>
          </w:p>
        </w:tc>
        <w:tc>
          <w:tcPr>
            <w:tcW w:w="2506" w:type="dxa"/>
          </w:tcPr>
          <w:p w14:paraId="4306E985" w14:textId="77777777" w:rsidR="0061139A" w:rsidRDefault="003E41B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34.85±0.17</w:t>
            </w:r>
          </w:p>
        </w:tc>
        <w:tc>
          <w:tcPr>
            <w:tcW w:w="2507" w:type="dxa"/>
          </w:tcPr>
          <w:p w14:paraId="7B396955" w14:textId="77777777" w:rsidR="0061139A" w:rsidRDefault="003E41B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36.58±0.27</w:t>
            </w:r>
          </w:p>
        </w:tc>
        <w:tc>
          <w:tcPr>
            <w:tcW w:w="2507" w:type="dxa"/>
          </w:tcPr>
          <w:p w14:paraId="648ACFCC"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37.18±0.08</w:t>
            </w:r>
          </w:p>
        </w:tc>
      </w:tr>
    </w:tbl>
    <w:p w14:paraId="4B5A82E9" w14:textId="77777777" w:rsidR="0061139A" w:rsidRDefault="0061139A">
      <w:pPr>
        <w:autoSpaceDE w:val="0"/>
        <w:autoSpaceDN w:val="0"/>
        <w:adjustRightInd w:val="0"/>
        <w:spacing w:after="0" w:line="360" w:lineRule="auto"/>
        <w:jc w:val="both"/>
        <w:rPr>
          <w:rFonts w:ascii="Times New Roman" w:hAnsi="Times New Roman" w:cs="Times New Roman"/>
          <w:sz w:val="24"/>
          <w:szCs w:val="24"/>
        </w:rPr>
      </w:pPr>
    </w:p>
    <w:p w14:paraId="6A5D066C" w14:textId="77777777" w:rsidR="0061139A" w:rsidRDefault="003E41B9">
      <w:pPr>
        <w:pStyle w:val="NormalWeb"/>
        <w:spacing w:before="240" w:beforeAutospacing="0" w:after="240" w:afterAutospacing="0" w:line="360" w:lineRule="auto"/>
        <w:jc w:val="both"/>
      </w:pPr>
      <w:r>
        <w:rPr>
          <w:b/>
          <w:i/>
        </w:rPr>
        <w:t>Serum Glutamate-Oxaloacetate Transaminase SGOT (U/L)</w:t>
      </w:r>
      <w:r>
        <w:rPr>
          <w:b/>
        </w:rPr>
        <w:t xml:space="preserve">: </w:t>
      </w:r>
      <w:r>
        <w:rPr>
          <w:color w:val="000000"/>
        </w:rPr>
        <w:t xml:space="preserve">Table 3 documents the impact of lead on serum glutamate-oxaloacetate transaminase. According to the mean values, the concentration of 0–8 mg/l was the highest. At 0.8 mg/l, the highest and lowest concentrations </w:t>
      </w:r>
      <w:r>
        <w:rPr>
          <w:color w:val="000000"/>
        </w:rPr>
        <w:lastRenderedPageBreak/>
        <w:t>were 44.05±0.38 and 20.49±0.23. The values varied, though, with day 14 showing the highest value at 34.26±0.23 for a concentration of 0.4 mg/l. However, there was a significant difference between the obtained and control values.</w:t>
      </w:r>
    </w:p>
    <w:p w14:paraId="0DCC5F03" w14:textId="77777777" w:rsidR="0061139A" w:rsidRDefault="003E41B9">
      <w:pPr>
        <w:autoSpaceDE w:val="0"/>
        <w:autoSpaceDN w:val="0"/>
        <w:adjustRightInd w:val="0"/>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Table 3: Mean Value of serum GOT activity in </w:t>
      </w:r>
      <w:r>
        <w:rPr>
          <w:rFonts w:ascii="Times New Roman" w:eastAsiaTheme="minorEastAsia" w:hAnsi="Times New Roman" w:cs="Times New Roman"/>
          <w:i/>
          <w:sz w:val="24"/>
          <w:szCs w:val="24"/>
        </w:rPr>
        <w:t xml:space="preserve">Clarias gariepinus </w:t>
      </w:r>
      <w:r>
        <w:rPr>
          <w:rFonts w:ascii="Times New Roman" w:eastAsiaTheme="minorEastAsia" w:hAnsi="Times New Roman" w:cs="Times New Roman"/>
          <w:sz w:val="24"/>
          <w:szCs w:val="24"/>
        </w:rPr>
        <w:t>exposed to sublethal concentrations of lead (Pb) for 21 days.</w:t>
      </w:r>
    </w:p>
    <w:tbl>
      <w:tblPr>
        <w:tblStyle w:val="TableGrid"/>
        <w:tblW w:w="0" w:type="auto"/>
        <w:tblLook w:val="04A0" w:firstRow="1" w:lastRow="0" w:firstColumn="1" w:lastColumn="0" w:noHBand="0" w:noVBand="1"/>
      </w:tblPr>
      <w:tblGrid>
        <w:gridCol w:w="2380"/>
        <w:gridCol w:w="2398"/>
        <w:gridCol w:w="2399"/>
        <w:gridCol w:w="2399"/>
      </w:tblGrid>
      <w:tr w:rsidR="0061139A" w14:paraId="4CBD2332" w14:textId="77777777">
        <w:tc>
          <w:tcPr>
            <w:tcW w:w="2506" w:type="dxa"/>
          </w:tcPr>
          <w:p w14:paraId="7465C0A4" w14:textId="77777777" w:rsidR="0061139A" w:rsidRDefault="0061139A">
            <w:pPr>
              <w:spacing w:after="0" w:line="360" w:lineRule="auto"/>
              <w:jc w:val="center"/>
              <w:rPr>
                <w:rFonts w:ascii="Times New Roman" w:eastAsiaTheme="minorEastAsia" w:hAnsi="Times New Roman" w:cs="Times New Roman"/>
                <w:b/>
                <w:sz w:val="24"/>
                <w:szCs w:val="24"/>
              </w:rPr>
            </w:pPr>
          </w:p>
        </w:tc>
        <w:tc>
          <w:tcPr>
            <w:tcW w:w="7520" w:type="dxa"/>
            <w:gridSpan w:val="3"/>
          </w:tcPr>
          <w:p w14:paraId="7E9C4983" w14:textId="77777777" w:rsidR="0061139A" w:rsidRDefault="003E41B9">
            <w:pPr>
              <w:spacing w:after="0"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Days </w:t>
            </w:r>
          </w:p>
        </w:tc>
      </w:tr>
      <w:tr w:rsidR="0061139A" w14:paraId="2D671EAC" w14:textId="77777777">
        <w:tc>
          <w:tcPr>
            <w:tcW w:w="2506" w:type="dxa"/>
          </w:tcPr>
          <w:p w14:paraId="0EFC11B4"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Conc. (mgPb/l)</w:t>
            </w:r>
          </w:p>
        </w:tc>
        <w:tc>
          <w:tcPr>
            <w:tcW w:w="2506" w:type="dxa"/>
          </w:tcPr>
          <w:p w14:paraId="773FE660" w14:textId="77777777" w:rsidR="0061139A" w:rsidRDefault="003E41B9">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2507" w:type="dxa"/>
          </w:tcPr>
          <w:p w14:paraId="6975F5B8" w14:textId="77777777" w:rsidR="0061139A" w:rsidRDefault="003E41B9">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2507" w:type="dxa"/>
          </w:tcPr>
          <w:p w14:paraId="6D6095FE" w14:textId="77777777" w:rsidR="0061139A" w:rsidRDefault="003E41B9">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w:t>
            </w:r>
          </w:p>
        </w:tc>
      </w:tr>
      <w:tr w:rsidR="0061139A" w14:paraId="4CE2C16F" w14:textId="77777777">
        <w:tc>
          <w:tcPr>
            <w:tcW w:w="2506" w:type="dxa"/>
          </w:tcPr>
          <w:p w14:paraId="68106773"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w:t>
            </w:r>
          </w:p>
        </w:tc>
        <w:tc>
          <w:tcPr>
            <w:tcW w:w="2506" w:type="dxa"/>
          </w:tcPr>
          <w:p w14:paraId="585DA51B" w14:textId="77777777" w:rsidR="0061139A" w:rsidRDefault="003E41B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20.49±0.23</w:t>
            </w:r>
          </w:p>
        </w:tc>
        <w:tc>
          <w:tcPr>
            <w:tcW w:w="2507" w:type="dxa"/>
          </w:tcPr>
          <w:p w14:paraId="1B93E017" w14:textId="77777777" w:rsidR="0061139A" w:rsidRDefault="003E41B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21.59±0.23</w:t>
            </w:r>
          </w:p>
        </w:tc>
        <w:tc>
          <w:tcPr>
            <w:tcW w:w="2507" w:type="dxa"/>
          </w:tcPr>
          <w:p w14:paraId="13089FAF"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22.64±0.04</w:t>
            </w:r>
          </w:p>
        </w:tc>
      </w:tr>
      <w:tr w:rsidR="0061139A" w14:paraId="17051F56" w14:textId="77777777">
        <w:tc>
          <w:tcPr>
            <w:tcW w:w="2506" w:type="dxa"/>
          </w:tcPr>
          <w:p w14:paraId="32239664"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0.4</w:t>
            </w:r>
          </w:p>
        </w:tc>
        <w:tc>
          <w:tcPr>
            <w:tcW w:w="2506" w:type="dxa"/>
          </w:tcPr>
          <w:p w14:paraId="1A4D56B8" w14:textId="77777777" w:rsidR="0061139A" w:rsidRDefault="003E41B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21.34±0.21</w:t>
            </w:r>
          </w:p>
        </w:tc>
        <w:tc>
          <w:tcPr>
            <w:tcW w:w="2507" w:type="dxa"/>
          </w:tcPr>
          <w:p w14:paraId="240482E6" w14:textId="77777777" w:rsidR="0061139A" w:rsidRDefault="003E41B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34.26±0.23</w:t>
            </w:r>
          </w:p>
        </w:tc>
        <w:tc>
          <w:tcPr>
            <w:tcW w:w="2507" w:type="dxa"/>
          </w:tcPr>
          <w:p w14:paraId="5C1E71EB"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22.54±0.22</w:t>
            </w:r>
          </w:p>
        </w:tc>
      </w:tr>
      <w:tr w:rsidR="0061139A" w14:paraId="6BFA8097" w14:textId="77777777">
        <w:tc>
          <w:tcPr>
            <w:tcW w:w="2506" w:type="dxa"/>
          </w:tcPr>
          <w:p w14:paraId="3A8FED5A"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w:t>
            </w:r>
          </w:p>
        </w:tc>
        <w:tc>
          <w:tcPr>
            <w:tcW w:w="2506" w:type="dxa"/>
          </w:tcPr>
          <w:p w14:paraId="3E9157A2" w14:textId="77777777" w:rsidR="0061139A" w:rsidRDefault="003E41B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33.93±0.04</w:t>
            </w:r>
          </w:p>
        </w:tc>
        <w:tc>
          <w:tcPr>
            <w:tcW w:w="2507" w:type="dxa"/>
          </w:tcPr>
          <w:p w14:paraId="68DBB5B2" w14:textId="77777777" w:rsidR="0061139A" w:rsidRDefault="003E41B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40.02±0.05</w:t>
            </w:r>
          </w:p>
        </w:tc>
        <w:tc>
          <w:tcPr>
            <w:tcW w:w="2507" w:type="dxa"/>
          </w:tcPr>
          <w:p w14:paraId="4FD65151"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44.05±0.38</w:t>
            </w:r>
          </w:p>
        </w:tc>
      </w:tr>
    </w:tbl>
    <w:p w14:paraId="04241DD7" w14:textId="77777777" w:rsidR="0061139A" w:rsidRDefault="0061139A">
      <w:pPr>
        <w:autoSpaceDE w:val="0"/>
        <w:autoSpaceDN w:val="0"/>
        <w:adjustRightInd w:val="0"/>
        <w:spacing w:after="0" w:line="360" w:lineRule="auto"/>
        <w:jc w:val="both"/>
        <w:rPr>
          <w:rFonts w:ascii="Times New Roman" w:hAnsi="Times New Roman" w:cs="Times New Roman"/>
          <w:sz w:val="24"/>
          <w:szCs w:val="24"/>
        </w:rPr>
      </w:pPr>
    </w:p>
    <w:p w14:paraId="789973AE" w14:textId="77777777" w:rsidR="0061139A" w:rsidRDefault="003E41B9">
      <w:pPr>
        <w:pStyle w:val="NormalWeb"/>
        <w:spacing w:before="0" w:beforeAutospacing="0" w:after="0" w:afterAutospacing="0" w:line="360" w:lineRule="auto"/>
        <w:jc w:val="both"/>
      </w:pPr>
      <w:r>
        <w:rPr>
          <w:b/>
          <w:i/>
        </w:rPr>
        <w:t>Alkaline Phosphate (U/L)</w:t>
      </w:r>
      <w:r>
        <w:rPr>
          <w:b/>
        </w:rPr>
        <w:t xml:space="preserve">: </w:t>
      </w:r>
      <w:r>
        <w:rPr>
          <w:color w:val="000000"/>
        </w:rPr>
        <w:t>Table 4 reveals how lead affected the alkaline phosphate activity over 21 days. The alkaline phosphate values in the control showed a fluctuating effect (0.0 mg/l), with the 14th day yielding the lowest value of 34.32±0.22. However, the alkaline phosphate values rose for concentrations of 0.4mg/l and 0.8mg/l. On day 21, at a concentration of 0.8, the highest value recorded was 44.48±0.39.</w:t>
      </w:r>
    </w:p>
    <w:p w14:paraId="31F7CB5B" w14:textId="77777777" w:rsidR="0061139A" w:rsidRDefault="0061139A">
      <w:pPr>
        <w:autoSpaceDE w:val="0"/>
        <w:autoSpaceDN w:val="0"/>
        <w:adjustRightInd w:val="0"/>
        <w:spacing w:line="360" w:lineRule="auto"/>
        <w:jc w:val="both"/>
        <w:rPr>
          <w:rFonts w:ascii="Times New Roman" w:eastAsiaTheme="minorEastAsia" w:hAnsi="Times New Roman" w:cs="Times New Roman"/>
          <w:sz w:val="24"/>
          <w:szCs w:val="24"/>
        </w:rPr>
      </w:pPr>
    </w:p>
    <w:p w14:paraId="0A412054" w14:textId="77777777" w:rsidR="0061139A" w:rsidRDefault="003E41B9">
      <w:pPr>
        <w:autoSpaceDE w:val="0"/>
        <w:autoSpaceDN w:val="0"/>
        <w:adjustRightInd w:val="0"/>
        <w:spacing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Table 4: Mean Value of Alkaline Phosphate (u/l) activity in </w:t>
      </w:r>
      <w:r>
        <w:rPr>
          <w:rFonts w:ascii="Times New Roman" w:eastAsiaTheme="minorEastAsia" w:hAnsi="Times New Roman" w:cs="Times New Roman"/>
          <w:i/>
          <w:sz w:val="24"/>
          <w:szCs w:val="24"/>
        </w:rPr>
        <w:t xml:space="preserve">Clarias gariepinus </w:t>
      </w:r>
      <w:r>
        <w:rPr>
          <w:rFonts w:ascii="Times New Roman" w:eastAsiaTheme="minorEastAsia" w:hAnsi="Times New Roman" w:cs="Times New Roman"/>
          <w:sz w:val="24"/>
          <w:szCs w:val="24"/>
        </w:rPr>
        <w:t>exposed to sublethal concentrations of lead (Pb) for 21 days.</w:t>
      </w:r>
    </w:p>
    <w:tbl>
      <w:tblPr>
        <w:tblStyle w:val="TableGrid"/>
        <w:tblW w:w="0" w:type="auto"/>
        <w:tblLook w:val="04A0" w:firstRow="1" w:lastRow="0" w:firstColumn="1" w:lastColumn="0" w:noHBand="0" w:noVBand="1"/>
      </w:tblPr>
      <w:tblGrid>
        <w:gridCol w:w="2380"/>
        <w:gridCol w:w="2398"/>
        <w:gridCol w:w="2399"/>
        <w:gridCol w:w="2399"/>
      </w:tblGrid>
      <w:tr w:rsidR="0061139A" w14:paraId="691DCC8C" w14:textId="77777777">
        <w:tc>
          <w:tcPr>
            <w:tcW w:w="2506" w:type="dxa"/>
          </w:tcPr>
          <w:p w14:paraId="7F81E7D1" w14:textId="77777777" w:rsidR="0061139A" w:rsidRDefault="0061139A">
            <w:pPr>
              <w:spacing w:after="0" w:line="360" w:lineRule="auto"/>
              <w:jc w:val="center"/>
              <w:rPr>
                <w:rFonts w:ascii="Times New Roman" w:eastAsiaTheme="minorEastAsia" w:hAnsi="Times New Roman" w:cs="Times New Roman"/>
                <w:b/>
                <w:sz w:val="24"/>
                <w:szCs w:val="24"/>
              </w:rPr>
            </w:pPr>
          </w:p>
        </w:tc>
        <w:tc>
          <w:tcPr>
            <w:tcW w:w="7520" w:type="dxa"/>
            <w:gridSpan w:val="3"/>
          </w:tcPr>
          <w:p w14:paraId="35A72AB2" w14:textId="77777777" w:rsidR="0061139A" w:rsidRDefault="003E41B9">
            <w:pPr>
              <w:spacing w:after="0"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Days </w:t>
            </w:r>
          </w:p>
        </w:tc>
      </w:tr>
      <w:tr w:rsidR="0061139A" w14:paraId="5B6D6D60" w14:textId="77777777">
        <w:tc>
          <w:tcPr>
            <w:tcW w:w="2506" w:type="dxa"/>
          </w:tcPr>
          <w:p w14:paraId="373D078D"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Conc. (mgPb/l)</w:t>
            </w:r>
          </w:p>
        </w:tc>
        <w:tc>
          <w:tcPr>
            <w:tcW w:w="2506" w:type="dxa"/>
          </w:tcPr>
          <w:p w14:paraId="3B578D41" w14:textId="77777777" w:rsidR="0061139A" w:rsidRDefault="003E41B9">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2507" w:type="dxa"/>
          </w:tcPr>
          <w:p w14:paraId="28D2D912" w14:textId="77777777" w:rsidR="0061139A" w:rsidRDefault="003E41B9">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2507" w:type="dxa"/>
          </w:tcPr>
          <w:p w14:paraId="3BDE54F1" w14:textId="77777777" w:rsidR="0061139A" w:rsidRDefault="003E41B9">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w:t>
            </w:r>
          </w:p>
        </w:tc>
      </w:tr>
      <w:tr w:rsidR="0061139A" w14:paraId="4799C114" w14:textId="77777777">
        <w:tc>
          <w:tcPr>
            <w:tcW w:w="2506" w:type="dxa"/>
          </w:tcPr>
          <w:p w14:paraId="1009F530"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w:t>
            </w:r>
          </w:p>
        </w:tc>
        <w:tc>
          <w:tcPr>
            <w:tcW w:w="2506" w:type="dxa"/>
          </w:tcPr>
          <w:p w14:paraId="690FE8D5" w14:textId="77777777" w:rsidR="0061139A" w:rsidRDefault="003E41B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34.44±0.23</w:t>
            </w:r>
          </w:p>
        </w:tc>
        <w:tc>
          <w:tcPr>
            <w:tcW w:w="2507" w:type="dxa"/>
          </w:tcPr>
          <w:p w14:paraId="22642EA3" w14:textId="77777777" w:rsidR="0061139A" w:rsidRDefault="003E41B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34.32±0.22</w:t>
            </w:r>
          </w:p>
        </w:tc>
        <w:tc>
          <w:tcPr>
            <w:tcW w:w="2507" w:type="dxa"/>
          </w:tcPr>
          <w:p w14:paraId="785DF555"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34.59±0.18</w:t>
            </w:r>
          </w:p>
        </w:tc>
      </w:tr>
      <w:tr w:rsidR="0061139A" w14:paraId="48B67A01" w14:textId="77777777">
        <w:tc>
          <w:tcPr>
            <w:tcW w:w="2506" w:type="dxa"/>
          </w:tcPr>
          <w:p w14:paraId="7090F833"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0.4</w:t>
            </w:r>
          </w:p>
        </w:tc>
        <w:tc>
          <w:tcPr>
            <w:tcW w:w="2506" w:type="dxa"/>
          </w:tcPr>
          <w:p w14:paraId="048EB7DD" w14:textId="77777777" w:rsidR="0061139A" w:rsidRDefault="003E41B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34.73±0.13</w:t>
            </w:r>
          </w:p>
        </w:tc>
        <w:tc>
          <w:tcPr>
            <w:tcW w:w="2507" w:type="dxa"/>
          </w:tcPr>
          <w:p w14:paraId="72304C29" w14:textId="77777777" w:rsidR="0061139A" w:rsidRDefault="003E41B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34.67±0.03</w:t>
            </w:r>
          </w:p>
        </w:tc>
        <w:tc>
          <w:tcPr>
            <w:tcW w:w="2507" w:type="dxa"/>
          </w:tcPr>
          <w:p w14:paraId="41E6A78C"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35.79±0.29</w:t>
            </w:r>
          </w:p>
        </w:tc>
      </w:tr>
      <w:tr w:rsidR="0061139A" w14:paraId="7465C4E7" w14:textId="77777777">
        <w:tc>
          <w:tcPr>
            <w:tcW w:w="2506" w:type="dxa"/>
          </w:tcPr>
          <w:p w14:paraId="1B735188"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w:t>
            </w:r>
          </w:p>
        </w:tc>
        <w:tc>
          <w:tcPr>
            <w:tcW w:w="2506" w:type="dxa"/>
          </w:tcPr>
          <w:p w14:paraId="320B87BA" w14:textId="77777777" w:rsidR="0061139A" w:rsidRDefault="003E41B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31.12±0.37</w:t>
            </w:r>
          </w:p>
        </w:tc>
        <w:tc>
          <w:tcPr>
            <w:tcW w:w="2507" w:type="dxa"/>
          </w:tcPr>
          <w:p w14:paraId="7F62C2AF" w14:textId="77777777" w:rsidR="0061139A" w:rsidRDefault="003E41B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40.02±0.05</w:t>
            </w:r>
          </w:p>
        </w:tc>
        <w:tc>
          <w:tcPr>
            <w:tcW w:w="2507" w:type="dxa"/>
          </w:tcPr>
          <w:p w14:paraId="0AD3A4CB"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44.48±0.39</w:t>
            </w:r>
          </w:p>
        </w:tc>
      </w:tr>
    </w:tbl>
    <w:p w14:paraId="7F3FC4DB" w14:textId="77777777" w:rsidR="0061139A" w:rsidRDefault="0061139A">
      <w:pPr>
        <w:autoSpaceDE w:val="0"/>
        <w:autoSpaceDN w:val="0"/>
        <w:adjustRightInd w:val="0"/>
        <w:spacing w:after="0" w:line="360" w:lineRule="auto"/>
        <w:jc w:val="both"/>
        <w:rPr>
          <w:rFonts w:ascii="Times New Roman" w:hAnsi="Times New Roman" w:cs="Times New Roman"/>
          <w:sz w:val="24"/>
          <w:szCs w:val="24"/>
        </w:rPr>
      </w:pPr>
    </w:p>
    <w:p w14:paraId="4C6FF7F9" w14:textId="77777777" w:rsidR="0061139A" w:rsidRDefault="003E41B9">
      <w:pPr>
        <w:pStyle w:val="NormalWeb"/>
        <w:spacing w:before="240" w:beforeAutospacing="0" w:after="240" w:afterAutospacing="0" w:line="360" w:lineRule="auto"/>
        <w:jc w:val="both"/>
      </w:pPr>
      <w:r>
        <w:rPr>
          <w:b/>
          <w:i/>
        </w:rPr>
        <w:t>Creatinine (g/dl)</w:t>
      </w:r>
      <w:r>
        <w:rPr>
          <w:b/>
        </w:rPr>
        <w:t xml:space="preserve">: </w:t>
      </w:r>
      <w:r>
        <w:rPr>
          <w:color w:val="000000"/>
        </w:rPr>
        <w:t xml:space="preserve">The mean </w:t>
      </w:r>
      <w:r w:rsidR="000422E0">
        <w:rPr>
          <w:color w:val="000000"/>
        </w:rPr>
        <w:t>values found in Table 5 show</w:t>
      </w:r>
      <w:r>
        <w:rPr>
          <w:color w:val="000000"/>
        </w:rPr>
        <w:t xml:space="preserve"> how lead affects the creatinine levels of exposed fish. Concentration and days led to a significant increase in creatinine levels. On day 21, at 0.8 mg/l, the highest value recorded was 1.94±0.05; on day 7, the control had the lowest value, 1.53±0.01.</w:t>
      </w:r>
    </w:p>
    <w:p w14:paraId="7E88F361" w14:textId="77777777" w:rsidR="0061139A" w:rsidRDefault="003E41B9">
      <w:pPr>
        <w:autoSpaceDE w:val="0"/>
        <w:autoSpaceDN w:val="0"/>
        <w:adjustRightInd w:val="0"/>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Table 5: Mean Value of Creatinine (u/l) activity in </w:t>
      </w:r>
      <w:r>
        <w:rPr>
          <w:rFonts w:ascii="Times New Roman" w:eastAsiaTheme="minorEastAsia" w:hAnsi="Times New Roman" w:cs="Times New Roman"/>
          <w:i/>
          <w:sz w:val="24"/>
          <w:szCs w:val="24"/>
        </w:rPr>
        <w:t xml:space="preserve">Clarias gariepinus </w:t>
      </w:r>
      <w:r>
        <w:rPr>
          <w:rFonts w:ascii="Times New Roman" w:eastAsiaTheme="minorEastAsia" w:hAnsi="Times New Roman" w:cs="Times New Roman"/>
          <w:sz w:val="24"/>
          <w:szCs w:val="24"/>
        </w:rPr>
        <w:t>exposed to sublethal concentrations of lead (Pb) for 21 days.</w:t>
      </w:r>
    </w:p>
    <w:tbl>
      <w:tblPr>
        <w:tblStyle w:val="TableGrid"/>
        <w:tblW w:w="0" w:type="auto"/>
        <w:tblLook w:val="04A0" w:firstRow="1" w:lastRow="0" w:firstColumn="1" w:lastColumn="0" w:noHBand="0" w:noVBand="1"/>
      </w:tblPr>
      <w:tblGrid>
        <w:gridCol w:w="2389"/>
        <w:gridCol w:w="2395"/>
        <w:gridCol w:w="2396"/>
        <w:gridCol w:w="2396"/>
      </w:tblGrid>
      <w:tr w:rsidR="0061139A" w14:paraId="3BB1BBF2" w14:textId="77777777">
        <w:tc>
          <w:tcPr>
            <w:tcW w:w="2506" w:type="dxa"/>
          </w:tcPr>
          <w:p w14:paraId="66EDCDF7" w14:textId="77777777" w:rsidR="0061139A" w:rsidRDefault="0061139A">
            <w:pPr>
              <w:spacing w:after="0" w:line="360" w:lineRule="auto"/>
              <w:jc w:val="center"/>
              <w:rPr>
                <w:rFonts w:ascii="Times New Roman" w:eastAsiaTheme="minorEastAsia" w:hAnsi="Times New Roman" w:cs="Times New Roman"/>
                <w:b/>
                <w:sz w:val="24"/>
                <w:szCs w:val="24"/>
              </w:rPr>
            </w:pPr>
          </w:p>
        </w:tc>
        <w:tc>
          <w:tcPr>
            <w:tcW w:w="7520" w:type="dxa"/>
            <w:gridSpan w:val="3"/>
          </w:tcPr>
          <w:p w14:paraId="4C037524" w14:textId="77777777" w:rsidR="0061139A" w:rsidRDefault="003E41B9">
            <w:pPr>
              <w:spacing w:after="0"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Days </w:t>
            </w:r>
          </w:p>
        </w:tc>
      </w:tr>
      <w:tr w:rsidR="0061139A" w14:paraId="49695B86" w14:textId="77777777">
        <w:tc>
          <w:tcPr>
            <w:tcW w:w="2506" w:type="dxa"/>
          </w:tcPr>
          <w:p w14:paraId="2C8412E6"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Conc. (mgPb/l)</w:t>
            </w:r>
          </w:p>
        </w:tc>
        <w:tc>
          <w:tcPr>
            <w:tcW w:w="2506" w:type="dxa"/>
          </w:tcPr>
          <w:p w14:paraId="61D5CF2E" w14:textId="77777777" w:rsidR="0061139A" w:rsidRDefault="003E41B9">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2507" w:type="dxa"/>
          </w:tcPr>
          <w:p w14:paraId="6279F871" w14:textId="77777777" w:rsidR="0061139A" w:rsidRDefault="003E41B9">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2507" w:type="dxa"/>
          </w:tcPr>
          <w:p w14:paraId="7C3CF3FE" w14:textId="77777777" w:rsidR="0061139A" w:rsidRDefault="003E41B9">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w:t>
            </w:r>
          </w:p>
        </w:tc>
      </w:tr>
      <w:tr w:rsidR="0061139A" w14:paraId="6B3E7D44" w14:textId="77777777">
        <w:tc>
          <w:tcPr>
            <w:tcW w:w="2506" w:type="dxa"/>
          </w:tcPr>
          <w:p w14:paraId="69E8EE15"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w:t>
            </w:r>
          </w:p>
        </w:tc>
        <w:tc>
          <w:tcPr>
            <w:tcW w:w="2506" w:type="dxa"/>
          </w:tcPr>
          <w:p w14:paraId="280283A2" w14:textId="77777777" w:rsidR="0061139A" w:rsidRDefault="003E41B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1.53±0.01</w:t>
            </w:r>
          </w:p>
        </w:tc>
        <w:tc>
          <w:tcPr>
            <w:tcW w:w="2507" w:type="dxa"/>
          </w:tcPr>
          <w:p w14:paraId="038095D4" w14:textId="77777777" w:rsidR="0061139A" w:rsidRDefault="003E41B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1.56±0.01</w:t>
            </w:r>
          </w:p>
        </w:tc>
        <w:tc>
          <w:tcPr>
            <w:tcW w:w="2507" w:type="dxa"/>
          </w:tcPr>
          <w:p w14:paraId="77008D6D"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1.58±0.01</w:t>
            </w:r>
          </w:p>
        </w:tc>
      </w:tr>
      <w:tr w:rsidR="0061139A" w14:paraId="0FEEB442" w14:textId="77777777">
        <w:tc>
          <w:tcPr>
            <w:tcW w:w="2506" w:type="dxa"/>
          </w:tcPr>
          <w:p w14:paraId="57587E7B"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0.4</w:t>
            </w:r>
          </w:p>
        </w:tc>
        <w:tc>
          <w:tcPr>
            <w:tcW w:w="2506" w:type="dxa"/>
          </w:tcPr>
          <w:p w14:paraId="78F91A5C" w14:textId="77777777" w:rsidR="0061139A" w:rsidRDefault="003E41B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1.54±0.01</w:t>
            </w:r>
          </w:p>
        </w:tc>
        <w:tc>
          <w:tcPr>
            <w:tcW w:w="2507" w:type="dxa"/>
          </w:tcPr>
          <w:p w14:paraId="077527EC" w14:textId="77777777" w:rsidR="0061139A" w:rsidRDefault="003E41B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1.58±0.00</w:t>
            </w:r>
          </w:p>
        </w:tc>
        <w:tc>
          <w:tcPr>
            <w:tcW w:w="2507" w:type="dxa"/>
          </w:tcPr>
          <w:p w14:paraId="34893CD0"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1.68±0.12</w:t>
            </w:r>
          </w:p>
        </w:tc>
      </w:tr>
      <w:tr w:rsidR="0061139A" w14:paraId="76D9CAC0" w14:textId="77777777">
        <w:tc>
          <w:tcPr>
            <w:tcW w:w="2506" w:type="dxa"/>
          </w:tcPr>
          <w:p w14:paraId="53860066"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w:t>
            </w:r>
          </w:p>
        </w:tc>
        <w:tc>
          <w:tcPr>
            <w:tcW w:w="2506" w:type="dxa"/>
          </w:tcPr>
          <w:p w14:paraId="56CA1A47" w14:textId="77777777" w:rsidR="0061139A" w:rsidRDefault="003E41B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1.55±0.01</w:t>
            </w:r>
          </w:p>
        </w:tc>
        <w:tc>
          <w:tcPr>
            <w:tcW w:w="2507" w:type="dxa"/>
          </w:tcPr>
          <w:p w14:paraId="225EEBBD" w14:textId="77777777" w:rsidR="0061139A" w:rsidRDefault="003E41B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1.82±0.14</w:t>
            </w:r>
          </w:p>
        </w:tc>
        <w:tc>
          <w:tcPr>
            <w:tcW w:w="2507" w:type="dxa"/>
          </w:tcPr>
          <w:p w14:paraId="2E867240"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1.94±0.05</w:t>
            </w:r>
          </w:p>
        </w:tc>
      </w:tr>
    </w:tbl>
    <w:p w14:paraId="1C442F39" w14:textId="77777777" w:rsidR="0061139A" w:rsidRDefault="0061139A">
      <w:pPr>
        <w:autoSpaceDE w:val="0"/>
        <w:autoSpaceDN w:val="0"/>
        <w:adjustRightInd w:val="0"/>
        <w:spacing w:after="0" w:line="360" w:lineRule="auto"/>
        <w:jc w:val="both"/>
        <w:rPr>
          <w:rFonts w:ascii="Times New Roman" w:hAnsi="Times New Roman" w:cs="Times New Roman"/>
          <w:sz w:val="24"/>
          <w:szCs w:val="24"/>
        </w:rPr>
      </w:pPr>
    </w:p>
    <w:p w14:paraId="7ED460C4" w14:textId="77777777" w:rsidR="0061139A" w:rsidRDefault="003E41B9">
      <w:pPr>
        <w:pStyle w:val="NormalWeb"/>
        <w:spacing w:before="240" w:beforeAutospacing="0" w:after="240" w:afterAutospacing="0" w:line="360" w:lineRule="auto"/>
        <w:jc w:val="both"/>
      </w:pPr>
      <w:r>
        <w:rPr>
          <w:b/>
          <w:i/>
        </w:rPr>
        <w:t xml:space="preserve">Urea (g/dl): </w:t>
      </w:r>
      <w:r>
        <w:rPr>
          <w:color w:val="000000"/>
        </w:rPr>
        <w:t>The effect of lead on the urea levels of the exposed fish is displayed in Table 6. The findings demonstrated that there was a considerable variation in the mean values. As days and concentration grew, values climbed as well. The control value was 9.48±0.15 on day 7, and the maximum value, 16.28±0.13, was recorded on day 21 at a concentration of 0.8 mg/l.</w:t>
      </w:r>
    </w:p>
    <w:p w14:paraId="34912ED9" w14:textId="77777777" w:rsidR="0061139A" w:rsidRDefault="003E41B9">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Table 6: Mean Value of Urea (g/dl) activity in </w:t>
      </w:r>
      <w:r>
        <w:rPr>
          <w:rFonts w:ascii="Times New Roman" w:eastAsiaTheme="minorEastAsia" w:hAnsi="Times New Roman" w:cs="Times New Roman"/>
          <w:i/>
          <w:sz w:val="24"/>
          <w:szCs w:val="24"/>
        </w:rPr>
        <w:t xml:space="preserve">Clarias gariepinus </w:t>
      </w:r>
      <w:r>
        <w:rPr>
          <w:rFonts w:ascii="Times New Roman" w:eastAsiaTheme="minorEastAsia" w:hAnsi="Times New Roman" w:cs="Times New Roman"/>
          <w:sz w:val="24"/>
          <w:szCs w:val="24"/>
        </w:rPr>
        <w:t>exposed to sublethal concentrations of lead (Pb) for 21 days.</w:t>
      </w:r>
    </w:p>
    <w:tbl>
      <w:tblPr>
        <w:tblStyle w:val="TableGrid"/>
        <w:tblW w:w="0" w:type="auto"/>
        <w:tblLook w:val="04A0" w:firstRow="1" w:lastRow="0" w:firstColumn="1" w:lastColumn="0" w:noHBand="0" w:noVBand="1"/>
      </w:tblPr>
      <w:tblGrid>
        <w:gridCol w:w="2385"/>
        <w:gridCol w:w="2393"/>
        <w:gridCol w:w="2394"/>
        <w:gridCol w:w="2404"/>
      </w:tblGrid>
      <w:tr w:rsidR="0061139A" w14:paraId="7CF04F99" w14:textId="77777777">
        <w:tc>
          <w:tcPr>
            <w:tcW w:w="2506" w:type="dxa"/>
          </w:tcPr>
          <w:p w14:paraId="40BF072F" w14:textId="77777777" w:rsidR="0061139A" w:rsidRDefault="0061139A">
            <w:pPr>
              <w:spacing w:after="0" w:line="360" w:lineRule="auto"/>
              <w:jc w:val="center"/>
              <w:rPr>
                <w:rFonts w:ascii="Times New Roman" w:eastAsiaTheme="minorEastAsia" w:hAnsi="Times New Roman" w:cs="Times New Roman"/>
                <w:b/>
                <w:sz w:val="24"/>
                <w:szCs w:val="24"/>
              </w:rPr>
            </w:pPr>
          </w:p>
        </w:tc>
        <w:tc>
          <w:tcPr>
            <w:tcW w:w="7520" w:type="dxa"/>
            <w:gridSpan w:val="3"/>
          </w:tcPr>
          <w:p w14:paraId="7B83736E" w14:textId="77777777" w:rsidR="0061139A" w:rsidRDefault="003E41B9">
            <w:pPr>
              <w:spacing w:after="0" w:line="36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Days </w:t>
            </w:r>
          </w:p>
        </w:tc>
      </w:tr>
      <w:tr w:rsidR="0061139A" w14:paraId="45E584EE" w14:textId="77777777">
        <w:tc>
          <w:tcPr>
            <w:tcW w:w="2506" w:type="dxa"/>
          </w:tcPr>
          <w:p w14:paraId="2A2A9E8A"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Conc. (mgPb/l)</w:t>
            </w:r>
          </w:p>
        </w:tc>
        <w:tc>
          <w:tcPr>
            <w:tcW w:w="2506" w:type="dxa"/>
          </w:tcPr>
          <w:p w14:paraId="4010D4A5" w14:textId="77777777" w:rsidR="0061139A" w:rsidRDefault="003E41B9">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2507" w:type="dxa"/>
          </w:tcPr>
          <w:p w14:paraId="60BAA6D7" w14:textId="77777777" w:rsidR="0061139A" w:rsidRDefault="003E41B9">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2507" w:type="dxa"/>
          </w:tcPr>
          <w:p w14:paraId="739F6B55" w14:textId="77777777" w:rsidR="0061139A" w:rsidRDefault="003E41B9">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21</w:t>
            </w:r>
          </w:p>
        </w:tc>
      </w:tr>
      <w:tr w:rsidR="0061139A" w14:paraId="46A8ACF7" w14:textId="77777777">
        <w:tc>
          <w:tcPr>
            <w:tcW w:w="2506" w:type="dxa"/>
          </w:tcPr>
          <w:p w14:paraId="11296B6A"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0.0</w:t>
            </w:r>
          </w:p>
        </w:tc>
        <w:tc>
          <w:tcPr>
            <w:tcW w:w="2506" w:type="dxa"/>
          </w:tcPr>
          <w:p w14:paraId="7D0A89E3" w14:textId="77777777" w:rsidR="0061139A" w:rsidRDefault="003E41B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9.48±0.15</w:t>
            </w:r>
          </w:p>
        </w:tc>
        <w:tc>
          <w:tcPr>
            <w:tcW w:w="2507" w:type="dxa"/>
          </w:tcPr>
          <w:p w14:paraId="1858B524" w14:textId="77777777" w:rsidR="0061139A" w:rsidRDefault="003E41B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9.19±0.10</w:t>
            </w:r>
          </w:p>
        </w:tc>
        <w:tc>
          <w:tcPr>
            <w:tcW w:w="2507" w:type="dxa"/>
          </w:tcPr>
          <w:p w14:paraId="1E29DA4E" w14:textId="77777777" w:rsidR="0061139A" w:rsidRDefault="003E41B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12.67±0.33</w:t>
            </w:r>
          </w:p>
        </w:tc>
      </w:tr>
      <w:tr w:rsidR="0061139A" w14:paraId="1C4228A9" w14:textId="77777777">
        <w:tc>
          <w:tcPr>
            <w:tcW w:w="2506" w:type="dxa"/>
          </w:tcPr>
          <w:p w14:paraId="50005646"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0.4</w:t>
            </w:r>
          </w:p>
        </w:tc>
        <w:tc>
          <w:tcPr>
            <w:tcW w:w="2506" w:type="dxa"/>
          </w:tcPr>
          <w:p w14:paraId="37FA8D67" w14:textId="77777777" w:rsidR="0061139A" w:rsidRDefault="003E41B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9.60±0.22</w:t>
            </w:r>
          </w:p>
        </w:tc>
        <w:tc>
          <w:tcPr>
            <w:tcW w:w="2507" w:type="dxa"/>
          </w:tcPr>
          <w:p w14:paraId="220F7752" w14:textId="77777777" w:rsidR="0061139A" w:rsidRDefault="003E41B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9.50±0.09</w:t>
            </w:r>
          </w:p>
        </w:tc>
        <w:tc>
          <w:tcPr>
            <w:tcW w:w="2507" w:type="dxa"/>
          </w:tcPr>
          <w:p w14:paraId="46614288" w14:textId="77777777" w:rsidR="0061139A" w:rsidRDefault="003E41B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14.65±0.16</w:t>
            </w:r>
          </w:p>
        </w:tc>
      </w:tr>
      <w:tr w:rsidR="0061139A" w14:paraId="52779C0C" w14:textId="77777777">
        <w:tc>
          <w:tcPr>
            <w:tcW w:w="2506" w:type="dxa"/>
          </w:tcPr>
          <w:p w14:paraId="311E9949"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0.8</w:t>
            </w:r>
          </w:p>
        </w:tc>
        <w:tc>
          <w:tcPr>
            <w:tcW w:w="2506" w:type="dxa"/>
          </w:tcPr>
          <w:p w14:paraId="7DEB60B4" w14:textId="77777777" w:rsidR="0061139A" w:rsidRDefault="003E41B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9.45±0.09</w:t>
            </w:r>
          </w:p>
        </w:tc>
        <w:tc>
          <w:tcPr>
            <w:tcW w:w="2507" w:type="dxa"/>
          </w:tcPr>
          <w:p w14:paraId="49E9DBC4" w14:textId="77777777" w:rsidR="0061139A" w:rsidRDefault="003E41B9">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9.30±0.15</w:t>
            </w:r>
          </w:p>
        </w:tc>
        <w:tc>
          <w:tcPr>
            <w:tcW w:w="2507" w:type="dxa"/>
          </w:tcPr>
          <w:p w14:paraId="2BA0CA24" w14:textId="77777777" w:rsidR="0061139A" w:rsidRDefault="003E41B9">
            <w:pPr>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16.28±0.13</w:t>
            </w:r>
          </w:p>
        </w:tc>
      </w:tr>
    </w:tbl>
    <w:p w14:paraId="51AA5173" w14:textId="77777777" w:rsidR="0061139A" w:rsidRDefault="0061139A">
      <w:pPr>
        <w:autoSpaceDE w:val="0"/>
        <w:autoSpaceDN w:val="0"/>
        <w:adjustRightInd w:val="0"/>
        <w:spacing w:after="0" w:line="360" w:lineRule="auto"/>
        <w:jc w:val="both"/>
        <w:rPr>
          <w:rFonts w:ascii="Times New Roman" w:hAnsi="Times New Roman" w:cs="Times New Roman"/>
          <w:sz w:val="24"/>
          <w:szCs w:val="24"/>
        </w:rPr>
      </w:pPr>
    </w:p>
    <w:p w14:paraId="0E03817F" w14:textId="77777777" w:rsidR="0061139A" w:rsidRDefault="003E41B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378B9B03" w14:textId="77777777" w:rsidR="0061139A" w:rsidRDefault="003E41B9">
      <w:pPr>
        <w:pStyle w:val="NormalWeb"/>
        <w:spacing w:before="240" w:beforeAutospacing="0" w:after="240" w:afterAutospacing="0" w:line="360" w:lineRule="auto"/>
        <w:jc w:val="both"/>
      </w:pPr>
      <w:r>
        <w:rPr>
          <w:color w:val="000000"/>
        </w:rPr>
        <w:t>Variations in blood biochemical levels often indicate changes in the fish's physiological state. Although no death was seen in this investigation, we found physiological alterations in the fish after they were exposed to lead. In particular, there is a correlation between fish performance and the quality of their environment. Heavy metals like lead enter the aquatic ecosystem through various human activities, including industrial, agricultural, and others. Fish must adjust by altering their physiological and behavioural habits to deal with the oxidative stress they encounter due to the toxicity induced by heavy metals (Onadje &amp; Akalusi, 2024).</w:t>
      </w:r>
    </w:p>
    <w:p w14:paraId="01C68C93" w14:textId="77777777" w:rsidR="0061139A" w:rsidRDefault="003E41B9">
      <w:pPr>
        <w:pStyle w:val="NormalWeb"/>
        <w:spacing w:before="240" w:beforeAutospacing="0" w:after="0" w:afterAutospacing="0" w:line="360" w:lineRule="auto"/>
        <w:jc w:val="both"/>
      </w:pPr>
      <w:r>
        <w:rPr>
          <w:color w:val="000000"/>
        </w:rPr>
        <w:lastRenderedPageBreak/>
        <w:t>Numerous studies have employed changes in biochemical parameters to forecast possibly detrimental consequences in fish under stress (Prakash &amp; Verma 2020; Abdel-Warith et al. 2020). This work investigates the toxicological consequences of sub-lethal Pb exposure to African catfish (</w:t>
      </w:r>
      <w:r>
        <w:rPr>
          <w:i/>
          <w:iCs/>
          <w:color w:val="000000"/>
        </w:rPr>
        <w:t>Clarias gariepinus</w:t>
      </w:r>
      <w:r>
        <w:rPr>
          <w:color w:val="000000"/>
        </w:rPr>
        <w:t>).</w:t>
      </w:r>
    </w:p>
    <w:p w14:paraId="390B85A5" w14:textId="77777777" w:rsidR="0061139A" w:rsidRDefault="003E41B9">
      <w:pPr>
        <w:pStyle w:val="NormalWeb"/>
        <w:spacing w:before="240" w:beforeAutospacing="0" w:after="0" w:afterAutospacing="0" w:line="360" w:lineRule="auto"/>
        <w:jc w:val="both"/>
      </w:pPr>
      <w:r>
        <w:rPr>
          <w:color w:val="000000"/>
        </w:rPr>
        <w:t xml:space="preserve"> The metabolism of proteins and amino acids depends on transaminases like SGOT and SGPT, which can be released into the plasma after tissue damage or dysfunction. A higher amount of SGOT and SGPT indicates tissue damage and fish metabolism impairment. According to Onadje and Akalusi (2024), fish </w:t>
      </w:r>
      <w:r>
        <w:rPr>
          <w:i/>
          <w:iCs/>
          <w:color w:val="000000"/>
        </w:rPr>
        <w:t>Clarias gariepinus</w:t>
      </w:r>
      <w:r>
        <w:rPr>
          <w:color w:val="000000"/>
        </w:rPr>
        <w:t xml:space="preserve"> exposed to lead had higher levels of GOT and GPT. The authors suggested this could be because the liver, kidney, heart, and other tissues were damaged during the metal-induced stress. Protein and amino acid metabolism depends on the liver-produced serum glutamate pyruvate transaminases (SGOT) and SGPT. The result of this study is in tandem with those of Alshkarchy et al., 2021. Elevated SGOT and SGPT levels indicated liver dysfunctions in lead-induced </w:t>
      </w:r>
      <w:r>
        <w:rPr>
          <w:i/>
          <w:iCs/>
          <w:color w:val="000000"/>
        </w:rPr>
        <w:t>Clarias gariepinus</w:t>
      </w:r>
      <w:r>
        <w:rPr>
          <w:color w:val="000000"/>
        </w:rPr>
        <w:t xml:space="preserve"> (Table 2). Similar increases in transaminases were reported in response to arsenic (Prakash &amp; Verma, 2020), zinc (Srivastava &amp; Prakash, 2018), and fluoride (Srivastava et al., 2012). Therefore, any change in the concentration of these enzymes reflects the state of the fish's liver. Thus, when metal intoxication like lead destroys the hepatic tissue, phosphatases and transaminases are released into the bloodstream, potentially increasing their blood content.</w:t>
      </w:r>
    </w:p>
    <w:p w14:paraId="0A12E529" w14:textId="77777777" w:rsidR="0061139A" w:rsidRDefault="003E41B9">
      <w:pPr>
        <w:pStyle w:val="NormalWeb"/>
        <w:spacing w:before="240" w:beforeAutospacing="0" w:after="240" w:afterAutospacing="0" w:line="360" w:lineRule="auto"/>
        <w:jc w:val="both"/>
      </w:pPr>
      <w:r>
        <w:rPr>
          <w:color w:val="000000"/>
        </w:rPr>
        <w:t>The alkaline phosphatase (ALP) is a metalloenzyme that is bound to the cell membrane by a glycosylphosphatidylinositol (GPI) (Atkins et al., 2011). ALP is a glycoprotein with an exterior and catalytic domain based on serine. ALP cannot work until two Zn</w:t>
      </w:r>
      <w:r>
        <w:rPr>
          <w:color w:val="000000"/>
          <w:sz w:val="14"/>
          <w:szCs w:val="14"/>
          <w:vertAlign w:val="superscript"/>
        </w:rPr>
        <w:t>+2</w:t>
      </w:r>
      <w:r>
        <w:rPr>
          <w:color w:val="000000"/>
        </w:rPr>
        <w:t xml:space="preserve"> ions and one Mg</w:t>
      </w:r>
      <w:r>
        <w:rPr>
          <w:color w:val="000000"/>
          <w:sz w:val="14"/>
          <w:szCs w:val="14"/>
          <w:vertAlign w:val="superscript"/>
        </w:rPr>
        <w:t>+2</w:t>
      </w:r>
      <w:r>
        <w:rPr>
          <w:color w:val="000000"/>
        </w:rPr>
        <w:t xml:space="preserve"> ion bind to the enzyme's active site. The serine base may reduce the activity of the ALP enzyme (Banaee &amp; Taheri, 2019). Alkaline phosphatase is a non-specific indicator for diagnosing liver and bone injury. Additionally, ALP is a tremendous biological indication for detecting cellular stress, according to Banday et al. (2019). It plays a critical function in detoxifying xenobiotics by hepatocytes (Vaziryan et al. Hatami et al., 2017). </w:t>
      </w:r>
      <w:r>
        <w:rPr>
          <w:color w:val="000000"/>
          <w:shd w:val="clear" w:color="auto" w:fill="FFFFFF"/>
        </w:rPr>
        <w:t xml:space="preserve">Tumour formation in the liver and bone tissue, hyperthyroidism, bile duct obstruction, liver nodules, liver cysts, liver failure, increased ALP biosynthesis rates in hepatocytes, and intestinal dysfunction can lead to increased  ALP activity in the serum or plasma. The elevated levels of ALP in this study support an earlier study by Prakash Verma (2020). Thanga Malathi Anuradha (2020) reported higher levels of ALP in Lithium-induced </w:t>
      </w:r>
      <w:r>
        <w:rPr>
          <w:i/>
          <w:iCs/>
          <w:color w:val="000000"/>
          <w:shd w:val="clear" w:color="auto" w:fill="FFFFFF"/>
        </w:rPr>
        <w:t>Channa punctatus</w:t>
      </w:r>
      <w:r>
        <w:rPr>
          <w:color w:val="000000"/>
          <w:shd w:val="clear" w:color="auto" w:fill="FFFFFF"/>
        </w:rPr>
        <w:t xml:space="preserve"> and </w:t>
      </w:r>
      <w:r>
        <w:rPr>
          <w:i/>
          <w:iCs/>
          <w:color w:val="000000"/>
          <w:shd w:val="clear" w:color="auto" w:fill="FFFFFF"/>
        </w:rPr>
        <w:t>Oreochromis niloticus</w:t>
      </w:r>
      <w:r>
        <w:rPr>
          <w:color w:val="000000"/>
          <w:shd w:val="clear" w:color="auto" w:fill="FFFFFF"/>
        </w:rPr>
        <w:t xml:space="preserve">. </w:t>
      </w:r>
      <w:r>
        <w:rPr>
          <w:color w:val="000000"/>
        </w:rPr>
        <w:t xml:space="preserve">Similar outcomes have been </w:t>
      </w:r>
      <w:r>
        <w:rPr>
          <w:color w:val="000000"/>
        </w:rPr>
        <w:lastRenderedPageBreak/>
        <w:t xml:space="preserve">shown following exposure to diazinon (Abdelkhalek et al., 2017) and deltamethrin (Abdel-Daim et al., 2015; Abdelkhalek et al., 2015) in </w:t>
      </w:r>
      <w:r>
        <w:rPr>
          <w:i/>
          <w:iCs/>
          <w:color w:val="000000"/>
        </w:rPr>
        <w:t>Oreochromis niloticus</w:t>
      </w:r>
      <w:r>
        <w:rPr>
          <w:color w:val="000000"/>
        </w:rPr>
        <w:t xml:space="preserve">. Onadje &amp; Akalusi once reported increased levels of ALP in </w:t>
      </w:r>
      <w:r>
        <w:rPr>
          <w:i/>
          <w:iCs/>
          <w:color w:val="000000"/>
        </w:rPr>
        <w:t>Clarias gariepinus</w:t>
      </w:r>
      <w:r>
        <w:rPr>
          <w:color w:val="000000"/>
        </w:rPr>
        <w:t xml:space="preserve"> exposed to sublethal concentrations of lead chloride for 96 hours. However, the result of this study contradicts an earlier report by </w:t>
      </w:r>
      <w:r>
        <w:rPr>
          <w:color w:val="000000"/>
          <w:shd w:val="clear" w:color="auto" w:fill="FFFFFF"/>
        </w:rPr>
        <w:t xml:space="preserve">Alshkarchy </w:t>
      </w:r>
      <w:r>
        <w:rPr>
          <w:color w:val="000000"/>
        </w:rPr>
        <w:t>et al. (2021). These authors reported decreased ALT levels with increasing concentrations.</w:t>
      </w:r>
    </w:p>
    <w:p w14:paraId="11EE14B0" w14:textId="77777777" w:rsidR="0061139A" w:rsidRDefault="003E41B9">
      <w:pPr>
        <w:pStyle w:val="NormalWeb"/>
        <w:spacing w:before="240" w:beforeAutospacing="0" w:after="240" w:afterAutospacing="0" w:line="360" w:lineRule="auto"/>
        <w:jc w:val="both"/>
      </w:pPr>
      <w:r>
        <w:rPr>
          <w:color w:val="000000"/>
        </w:rPr>
        <w:t>Creatinine is a waste product from creatine phosphate that breaks down in muscular tissues. Fish mostly eliminate creatinine through their gills and kidneys. Fish kidney health and function can be inferred from creatinine levels. A higher creatinine level could indicate renal disease or injury</w:t>
      </w:r>
      <w:r w:rsidR="000422E0">
        <w:rPr>
          <w:color w:val="000000"/>
        </w:rPr>
        <w:t xml:space="preserve"> i</w:t>
      </w:r>
      <w:r>
        <w:rPr>
          <w:color w:val="000000"/>
        </w:rPr>
        <w:t>n fish, creatinine levels can be a good indicator of mus</w:t>
      </w:r>
      <w:r w:rsidR="000422E0">
        <w:rPr>
          <w:color w:val="000000"/>
        </w:rPr>
        <w:t>cle mass and protein metabolism (Hafez &amp; Hassan, 2019)</w:t>
      </w:r>
      <w:r>
        <w:rPr>
          <w:color w:val="000000"/>
        </w:rPr>
        <w:t xml:space="preserve"> The increased creatinine levels observed in this study support earlier works by Onadje &amp; Akalusi (2023), Zeyad et al. (2021) and Hafez &amp; Hassan (2019). This study's outcome aligns with those of Abdel-Moneium et al. (2008), who showed that after exposure to dyestuff and chemical effluent, </w:t>
      </w:r>
      <w:r w:rsidRPr="000422E0">
        <w:rPr>
          <w:i/>
          <w:color w:val="000000"/>
        </w:rPr>
        <w:t>Clarias gariepinus</w:t>
      </w:r>
      <w:r>
        <w:rPr>
          <w:color w:val="000000"/>
        </w:rPr>
        <w:t xml:space="preserve"> had higher serum creatinine, a symptom of renal failure. Thus, while Zaki et al. (2014) discovered that chronic exposure to metals led to a progressive rise in serum creatinine levels of </w:t>
      </w:r>
      <w:r>
        <w:rPr>
          <w:i/>
          <w:iCs/>
          <w:color w:val="000000"/>
        </w:rPr>
        <w:t>Clarias gariepinus</w:t>
      </w:r>
      <w:r>
        <w:rPr>
          <w:color w:val="000000"/>
        </w:rPr>
        <w:t xml:space="preserve">, which may have been brought on by glomerular insufficiency, increased muscle tissue catabolism, or impaired carbohydrate metabolism, Mahmoud et al. (2013) found that creatinine levels had risen in </w:t>
      </w:r>
      <w:r>
        <w:rPr>
          <w:i/>
          <w:iCs/>
          <w:color w:val="000000"/>
        </w:rPr>
        <w:t>Clarias gariepinus</w:t>
      </w:r>
      <w:r>
        <w:rPr>
          <w:color w:val="000000"/>
        </w:rPr>
        <w:t xml:space="preserve"> after lead exposure.</w:t>
      </w:r>
    </w:p>
    <w:p w14:paraId="759C5FA7" w14:textId="77777777" w:rsidR="0061139A" w:rsidRDefault="003E41B9">
      <w:pPr>
        <w:pStyle w:val="NormalWeb"/>
        <w:spacing w:before="240" w:beforeAutospacing="0" w:after="0" w:afterAutospacing="0" w:line="360" w:lineRule="auto"/>
        <w:jc w:val="both"/>
      </w:pPr>
      <w:r>
        <w:rPr>
          <w:color w:val="000000"/>
        </w:rPr>
        <w:t xml:space="preserve">The breakdown of fish protein and amino acids results in the waste product urea. Fish kidney health and function can be extrapolated from urea levels. Raised urea levels could indicate an infection or damage to the kidneys. Environmental variables like pollution, temperature, and water quality might affect fish urea levels. The data recorded in this study is contrary to the decreased urea levels reported by Hafez &amp; Hassan (2019) but supported by studies by </w:t>
      </w:r>
      <w:r>
        <w:rPr>
          <w:color w:val="000000"/>
          <w:shd w:val="clear" w:color="auto" w:fill="FFFFFF"/>
        </w:rPr>
        <w:t>Khalifa et al. (2024), El-Khadragy et al. (2019) and Elarabany et al. (2019).</w:t>
      </w:r>
    </w:p>
    <w:p w14:paraId="0B0E80F5" w14:textId="77777777" w:rsidR="0061139A" w:rsidRDefault="0061139A">
      <w:pPr>
        <w:spacing w:after="0" w:line="360" w:lineRule="auto"/>
        <w:jc w:val="both"/>
        <w:rPr>
          <w:rFonts w:ascii="Times New Roman" w:hAnsi="Times New Roman" w:cs="Times New Roman"/>
          <w:b/>
          <w:color w:val="000000"/>
          <w:sz w:val="24"/>
          <w:szCs w:val="24"/>
          <w:shd w:val="clear" w:color="auto" w:fill="FFFFFF"/>
        </w:rPr>
      </w:pPr>
    </w:p>
    <w:p w14:paraId="4675F113" w14:textId="77777777" w:rsidR="0061139A" w:rsidRDefault="003E41B9">
      <w:pPr>
        <w:spacing w:after="0" w:line="36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Conclusion</w:t>
      </w:r>
    </w:p>
    <w:p w14:paraId="35AE36FA" w14:textId="77777777" w:rsidR="0061139A" w:rsidRDefault="003E41B9">
      <w:pPr>
        <w:pStyle w:val="NormalWeb"/>
        <w:spacing w:before="240" w:beforeAutospacing="0" w:after="0" w:afterAutospacing="0" w:line="360" w:lineRule="auto"/>
        <w:jc w:val="both"/>
        <w:rPr>
          <w:color w:val="000000"/>
        </w:rPr>
      </w:pPr>
      <w:r>
        <w:rPr>
          <w:color w:val="000000"/>
        </w:rPr>
        <w:t xml:space="preserve">Significant concentrations of heavy metals in the aquatic environment due to anthropogenic, agricultural, and industrial activities are thought to threaten aquatic life. The current findings and discussion support the conclusion that lead, a heavy metal, caused noticeable changes in the </w:t>
      </w:r>
      <w:r>
        <w:rPr>
          <w:color w:val="000000"/>
        </w:rPr>
        <w:lastRenderedPageBreak/>
        <w:t xml:space="preserve">serum biochemistry of </w:t>
      </w:r>
      <w:r>
        <w:rPr>
          <w:i/>
          <w:color w:val="000000"/>
        </w:rPr>
        <w:t>Clarias gariepinus</w:t>
      </w:r>
      <w:r>
        <w:rPr>
          <w:color w:val="000000"/>
        </w:rPr>
        <w:t>. This study offers succinct proof that varying Pb concentrations caused stress in the physiological and metabolic processes of the fish, which in turn caused biochemical dysfunction in this species. Furthermore, the data demonstrate that both enzymatic and nonenzymatic oxidative stress biomarkers can be employed as sensitive indicators of aquatic pollution.</w:t>
      </w:r>
    </w:p>
    <w:p w14:paraId="777FDCD3" w14:textId="77777777" w:rsidR="0061139A" w:rsidRDefault="003E41B9">
      <w:pPr>
        <w:pStyle w:val="NormalWeb"/>
        <w:spacing w:before="240" w:beforeAutospacing="0" w:after="0" w:afterAutospacing="0" w:line="360" w:lineRule="auto"/>
        <w:jc w:val="both"/>
        <w:rPr>
          <w:b/>
          <w:color w:val="000000"/>
        </w:rPr>
      </w:pPr>
      <w:r>
        <w:rPr>
          <w:b/>
          <w:color w:val="000000"/>
        </w:rPr>
        <w:t>List of Abbreviations</w:t>
      </w:r>
    </w:p>
    <w:p w14:paraId="7F4779D8" w14:textId="77777777" w:rsidR="0061139A" w:rsidRDefault="003E41B9">
      <w:pPr>
        <w:pStyle w:val="NormalWeb"/>
        <w:spacing w:before="240" w:beforeAutospacing="0" w:after="0" w:afterAutospacing="0" w:line="360" w:lineRule="auto"/>
        <w:jc w:val="both"/>
        <w:rPr>
          <w:color w:val="172B4D"/>
          <w:shd w:val="clear" w:color="auto" w:fill="FFFFFF"/>
        </w:rPr>
      </w:pPr>
      <w:r>
        <w:rPr>
          <w:color w:val="172B4D"/>
          <w:shd w:val="clear" w:color="auto" w:fill="FFFFFF"/>
        </w:rPr>
        <w:t xml:space="preserve">ALP: Alkaline Phosphatase </w:t>
      </w:r>
    </w:p>
    <w:p w14:paraId="741A4296" w14:textId="77777777" w:rsidR="0061139A" w:rsidRDefault="003E41B9">
      <w:pPr>
        <w:pStyle w:val="NormalWeb"/>
        <w:spacing w:before="240" w:beforeAutospacing="0" w:after="0" w:afterAutospacing="0" w:line="360" w:lineRule="auto"/>
        <w:jc w:val="both"/>
        <w:rPr>
          <w:color w:val="000000"/>
        </w:rPr>
      </w:pPr>
      <w:r>
        <w:rPr>
          <w:color w:val="172B4D"/>
          <w:shd w:val="clear" w:color="auto" w:fill="FFFFFF"/>
        </w:rPr>
        <w:t xml:space="preserve">ANOVA: </w:t>
      </w:r>
      <w:r>
        <w:rPr>
          <w:color w:val="000000"/>
        </w:rPr>
        <w:t>Analysis of Variance</w:t>
      </w:r>
    </w:p>
    <w:p w14:paraId="2E795CB8" w14:textId="77777777" w:rsidR="0061139A" w:rsidRDefault="003E41B9">
      <w:pPr>
        <w:pStyle w:val="NormalWeb"/>
        <w:spacing w:before="240" w:beforeAutospacing="0" w:after="0" w:afterAutospacing="0" w:line="360" w:lineRule="auto"/>
        <w:jc w:val="both"/>
        <w:rPr>
          <w:color w:val="172B4D"/>
          <w:shd w:val="clear" w:color="auto" w:fill="FFFFFF"/>
        </w:rPr>
      </w:pPr>
      <w:r>
        <w:rPr>
          <w:color w:val="172B4D"/>
          <w:shd w:val="clear" w:color="auto" w:fill="FFFFFF"/>
        </w:rPr>
        <w:t xml:space="preserve">EDTA: </w:t>
      </w:r>
      <w:r>
        <w:rPr>
          <w:color w:val="000000"/>
          <w:shd w:val="clear" w:color="auto" w:fill="FFFFFF"/>
        </w:rPr>
        <w:t>Ethylenediaminetetraacetic acid</w:t>
      </w:r>
    </w:p>
    <w:p w14:paraId="00E6CBCD" w14:textId="77777777" w:rsidR="0061139A" w:rsidRDefault="003E41B9">
      <w:pPr>
        <w:pStyle w:val="NormalWeb"/>
        <w:spacing w:before="240" w:beforeAutospacing="0" w:after="0" w:afterAutospacing="0" w:line="360" w:lineRule="auto"/>
        <w:jc w:val="both"/>
        <w:rPr>
          <w:color w:val="172B4D"/>
          <w:shd w:val="clear" w:color="auto" w:fill="FFFFFF"/>
        </w:rPr>
      </w:pPr>
      <w:r>
        <w:rPr>
          <w:color w:val="172B4D"/>
          <w:shd w:val="clear" w:color="auto" w:fill="FFFFFF"/>
        </w:rPr>
        <w:t>GOT: Glutamic Oxaloactic Transaminase</w:t>
      </w:r>
    </w:p>
    <w:p w14:paraId="3125197E" w14:textId="77777777" w:rsidR="0061139A" w:rsidRDefault="003E41B9">
      <w:pPr>
        <w:pStyle w:val="NormalWeb"/>
        <w:spacing w:before="240" w:beforeAutospacing="0" w:after="0" w:afterAutospacing="0" w:line="360" w:lineRule="auto"/>
        <w:jc w:val="both"/>
        <w:rPr>
          <w:color w:val="172B4D"/>
          <w:shd w:val="clear" w:color="auto" w:fill="FFFFFF"/>
        </w:rPr>
      </w:pPr>
      <w:r>
        <w:rPr>
          <w:color w:val="172B4D"/>
          <w:shd w:val="clear" w:color="auto" w:fill="FFFFFF"/>
        </w:rPr>
        <w:t>GPT: Glutamic Pyruvate Transaminase</w:t>
      </w:r>
    </w:p>
    <w:p w14:paraId="774FBC15" w14:textId="77777777" w:rsidR="0061139A" w:rsidRDefault="003E41B9">
      <w:pPr>
        <w:pStyle w:val="NormalWeb"/>
        <w:spacing w:before="240" w:beforeAutospacing="0" w:after="0" w:afterAutospacing="0" w:line="360" w:lineRule="auto"/>
        <w:jc w:val="both"/>
        <w:rPr>
          <w:color w:val="172B4D"/>
          <w:shd w:val="clear" w:color="auto" w:fill="FFFFFF"/>
        </w:rPr>
      </w:pPr>
      <w:r>
        <w:rPr>
          <w:color w:val="172B4D"/>
          <w:shd w:val="clear" w:color="auto" w:fill="FFFFFF"/>
        </w:rPr>
        <w:t>SGPT: Serum Glutamic Pyruvate Transaminase</w:t>
      </w:r>
    </w:p>
    <w:p w14:paraId="48EF57A5" w14:textId="77777777" w:rsidR="0061139A" w:rsidRDefault="003E41B9">
      <w:pPr>
        <w:pStyle w:val="NormalWeb"/>
        <w:spacing w:before="240" w:beforeAutospacing="0" w:after="0" w:afterAutospacing="0" w:line="360" w:lineRule="auto"/>
        <w:jc w:val="both"/>
        <w:rPr>
          <w:color w:val="172B4D"/>
          <w:shd w:val="clear" w:color="auto" w:fill="FFFFFF"/>
        </w:rPr>
      </w:pPr>
      <w:r>
        <w:rPr>
          <w:color w:val="172B4D"/>
          <w:shd w:val="clear" w:color="auto" w:fill="FFFFFF"/>
        </w:rPr>
        <w:t>SGOT: Serum Glutamic Oxaloactic Transaminase</w:t>
      </w:r>
    </w:p>
    <w:p w14:paraId="2102274A" w14:textId="77777777" w:rsidR="0061139A" w:rsidRDefault="003E41B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Availability of data and materials </w:t>
      </w:r>
    </w:p>
    <w:p w14:paraId="6AAA0D42" w14:textId="77777777" w:rsidR="0061139A" w:rsidRDefault="003E41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data collected by us and analyzed during this study have been provided in this manuscript. </w:t>
      </w:r>
    </w:p>
    <w:p w14:paraId="44D90A55" w14:textId="77777777" w:rsidR="0061139A" w:rsidRDefault="003E41B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Competing interests </w:t>
      </w:r>
    </w:p>
    <w:p w14:paraId="556E2F80" w14:textId="77777777" w:rsidR="0061139A" w:rsidRDefault="003E41B9">
      <w:pPr>
        <w:spacing w:line="360" w:lineRule="auto"/>
        <w:jc w:val="both"/>
        <w:rPr>
          <w:rFonts w:ascii="Times New Roman" w:hAnsi="Times New Roman" w:cs="Times New Roman"/>
          <w:sz w:val="24"/>
          <w:szCs w:val="24"/>
        </w:rPr>
      </w:pPr>
      <w:r>
        <w:rPr>
          <w:rFonts w:ascii="Times New Roman" w:hAnsi="Times New Roman" w:cs="Times New Roman"/>
          <w:sz w:val="24"/>
          <w:szCs w:val="24"/>
        </w:rPr>
        <w:t>There is no conflict of interest among the authors neither financially nor non-financial</w:t>
      </w:r>
    </w:p>
    <w:p w14:paraId="67A18E67" w14:textId="0650B867" w:rsidR="0061139A" w:rsidRDefault="003E41B9">
      <w:pPr>
        <w:spacing w:line="360" w:lineRule="auto"/>
        <w:jc w:val="both"/>
        <w:rPr>
          <w:rFonts w:ascii="Times New Roman" w:hAnsi="Times New Roman" w:cs="Times New Roman"/>
          <w:b/>
          <w:sz w:val="24"/>
          <w:szCs w:val="24"/>
        </w:rPr>
      </w:pPr>
      <w:r>
        <w:rPr>
          <w:rFonts w:ascii="Times New Roman" w:hAnsi="Times New Roman" w:cs="Times New Roman"/>
          <w:b/>
          <w:sz w:val="24"/>
          <w:szCs w:val="24"/>
        </w:rPr>
        <w:t>Declaration</w:t>
      </w:r>
    </w:p>
    <w:p w14:paraId="3BE0EA46" w14:textId="77777777" w:rsidR="0061139A" w:rsidRDefault="003E41B9">
      <w:pPr>
        <w:spacing w:line="360" w:lineRule="auto"/>
        <w:jc w:val="both"/>
        <w:rPr>
          <w:rFonts w:ascii="Times New Roman" w:hAnsi="Times New Roman" w:cs="Times New Roman"/>
          <w:sz w:val="24"/>
          <w:szCs w:val="24"/>
        </w:rPr>
      </w:pPr>
      <w:r>
        <w:rPr>
          <w:rFonts w:ascii="Times New Roman" w:hAnsi="Times New Roman" w:cs="Times New Roman"/>
          <w:sz w:val="24"/>
          <w:szCs w:val="24"/>
        </w:rPr>
        <w:t>We declare that “Guidelines for Use of Fish in Field Research” were followed as outlined in the AFS Policy Statement #16 in conjunction with the specific laws of the land as it applies to this study</w:t>
      </w:r>
    </w:p>
    <w:p w14:paraId="68F2EA50" w14:textId="77777777" w:rsidR="006758B0" w:rsidRPr="006758B0" w:rsidRDefault="006758B0" w:rsidP="006758B0">
      <w:pPr>
        <w:rPr>
          <w:rFonts w:ascii="Calibri" w:eastAsia="Calibri" w:hAnsi="Calibri" w:cs="Times New Roman"/>
          <w:kern w:val="2"/>
        </w:rPr>
      </w:pPr>
      <w:r w:rsidRPr="006758B0">
        <w:rPr>
          <w:rFonts w:ascii="Calibri" w:eastAsia="Calibri" w:hAnsi="Calibri" w:cs="Times New Roman"/>
          <w:kern w:val="2"/>
        </w:rPr>
        <w:t>Disclaimer (Artificial intelligence)</w:t>
      </w:r>
    </w:p>
    <w:p w14:paraId="4A13E51D" w14:textId="77777777" w:rsidR="006758B0" w:rsidRPr="006758B0" w:rsidRDefault="006758B0" w:rsidP="006758B0">
      <w:pPr>
        <w:rPr>
          <w:rFonts w:ascii="Calibri" w:eastAsia="Calibri" w:hAnsi="Calibri" w:cs="Times New Roman"/>
          <w:kern w:val="2"/>
        </w:rPr>
      </w:pPr>
      <w:r w:rsidRPr="006758B0">
        <w:rPr>
          <w:rFonts w:ascii="Calibri" w:eastAsia="Calibri" w:hAnsi="Calibri" w:cs="Times New Roman"/>
          <w:kern w:val="2"/>
        </w:rPr>
        <w:t xml:space="preserve">Option 1: </w:t>
      </w:r>
    </w:p>
    <w:p w14:paraId="78497282" w14:textId="77777777" w:rsidR="006758B0" w:rsidRPr="006758B0" w:rsidRDefault="006758B0" w:rsidP="006758B0">
      <w:pPr>
        <w:rPr>
          <w:rFonts w:ascii="Calibri" w:eastAsia="Calibri" w:hAnsi="Calibri" w:cs="Times New Roman"/>
          <w:kern w:val="2"/>
        </w:rPr>
      </w:pPr>
      <w:r w:rsidRPr="006758B0">
        <w:rPr>
          <w:rFonts w:ascii="Calibri" w:eastAsia="Calibri" w:hAnsi="Calibri" w:cs="Times New Roman"/>
          <w:kern w:val="2"/>
        </w:rPr>
        <w:lastRenderedPageBreak/>
        <w:t xml:space="preserve">Author(s) hereby declare that NO generative AI technologies such as Large Language Models (ChatGPT, COPILOT, etc.) and text-to-image generators have been used during the writing or editing of this manuscript. </w:t>
      </w:r>
    </w:p>
    <w:p w14:paraId="34BAD16D" w14:textId="77777777" w:rsidR="006758B0" w:rsidRPr="006758B0" w:rsidRDefault="006758B0" w:rsidP="006758B0">
      <w:pPr>
        <w:rPr>
          <w:rFonts w:ascii="Calibri" w:eastAsia="Calibri" w:hAnsi="Calibri" w:cs="Times New Roman"/>
          <w:kern w:val="2"/>
        </w:rPr>
      </w:pPr>
      <w:r w:rsidRPr="006758B0">
        <w:rPr>
          <w:rFonts w:ascii="Calibri" w:eastAsia="Calibri" w:hAnsi="Calibri" w:cs="Times New Roman"/>
          <w:kern w:val="2"/>
        </w:rPr>
        <w:t xml:space="preserve">Option 2: </w:t>
      </w:r>
    </w:p>
    <w:p w14:paraId="7E010129" w14:textId="77777777" w:rsidR="006758B0" w:rsidRPr="006758B0" w:rsidRDefault="006758B0" w:rsidP="006758B0">
      <w:pPr>
        <w:rPr>
          <w:rFonts w:ascii="Calibri" w:eastAsia="Calibri" w:hAnsi="Calibri" w:cs="Times New Roman"/>
          <w:kern w:val="2"/>
        </w:rPr>
      </w:pPr>
      <w:r w:rsidRPr="006758B0">
        <w:rPr>
          <w:rFonts w:ascii="Calibri" w:eastAsia="Calibri" w:hAnsi="Calibri" w:cs="Times New Roman"/>
          <w:kern w:val="2"/>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7967570" w14:textId="77777777" w:rsidR="006758B0" w:rsidRPr="006758B0" w:rsidRDefault="006758B0" w:rsidP="006758B0">
      <w:pPr>
        <w:rPr>
          <w:rFonts w:ascii="Calibri" w:eastAsia="Calibri" w:hAnsi="Calibri" w:cs="Times New Roman"/>
          <w:kern w:val="2"/>
        </w:rPr>
      </w:pPr>
      <w:r w:rsidRPr="006758B0">
        <w:rPr>
          <w:rFonts w:ascii="Calibri" w:eastAsia="Calibri" w:hAnsi="Calibri" w:cs="Times New Roman"/>
          <w:kern w:val="2"/>
        </w:rPr>
        <w:t>Details of the AI usage are given below:</w:t>
      </w:r>
    </w:p>
    <w:p w14:paraId="322400C3" w14:textId="77777777" w:rsidR="006758B0" w:rsidRPr="006758B0" w:rsidRDefault="006758B0" w:rsidP="006758B0">
      <w:pPr>
        <w:rPr>
          <w:rFonts w:ascii="Calibri" w:eastAsia="Calibri" w:hAnsi="Calibri" w:cs="Times New Roman"/>
          <w:kern w:val="2"/>
        </w:rPr>
      </w:pPr>
      <w:r w:rsidRPr="006758B0">
        <w:rPr>
          <w:rFonts w:ascii="Calibri" w:eastAsia="Calibri" w:hAnsi="Calibri" w:cs="Times New Roman"/>
          <w:kern w:val="2"/>
        </w:rPr>
        <w:t>1.</w:t>
      </w:r>
    </w:p>
    <w:p w14:paraId="2A3DFFB9" w14:textId="77777777" w:rsidR="006758B0" w:rsidRPr="006758B0" w:rsidRDefault="006758B0" w:rsidP="006758B0">
      <w:pPr>
        <w:rPr>
          <w:rFonts w:ascii="Calibri" w:eastAsia="Calibri" w:hAnsi="Calibri" w:cs="Times New Roman"/>
          <w:kern w:val="2"/>
        </w:rPr>
      </w:pPr>
      <w:r w:rsidRPr="006758B0">
        <w:rPr>
          <w:rFonts w:ascii="Calibri" w:eastAsia="Calibri" w:hAnsi="Calibri" w:cs="Times New Roman"/>
          <w:kern w:val="2"/>
        </w:rPr>
        <w:t>2.</w:t>
      </w:r>
    </w:p>
    <w:p w14:paraId="27882F9B" w14:textId="77777777" w:rsidR="006758B0" w:rsidRPr="006758B0" w:rsidRDefault="006758B0" w:rsidP="006758B0">
      <w:pPr>
        <w:rPr>
          <w:rFonts w:ascii="Calibri" w:eastAsia="Calibri" w:hAnsi="Calibri" w:cs="Times New Roman"/>
          <w:kern w:val="2"/>
        </w:rPr>
      </w:pPr>
      <w:r w:rsidRPr="006758B0">
        <w:rPr>
          <w:rFonts w:ascii="Calibri" w:eastAsia="Calibri" w:hAnsi="Calibri" w:cs="Times New Roman"/>
          <w:kern w:val="2"/>
        </w:rPr>
        <w:t>3.</w:t>
      </w:r>
    </w:p>
    <w:p w14:paraId="4B24BD32" w14:textId="77777777" w:rsidR="006758B0" w:rsidRDefault="006758B0">
      <w:pPr>
        <w:spacing w:line="360" w:lineRule="auto"/>
        <w:jc w:val="both"/>
        <w:rPr>
          <w:rFonts w:ascii="Times New Roman" w:hAnsi="Times New Roman" w:cs="Times New Roman"/>
          <w:sz w:val="24"/>
          <w:szCs w:val="24"/>
        </w:rPr>
      </w:pPr>
    </w:p>
    <w:p w14:paraId="3E8845A3" w14:textId="77777777" w:rsidR="0061139A" w:rsidRDefault="003E41B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CE45FA0" w14:textId="77777777" w:rsidR="0061139A" w:rsidRDefault="003E41B9">
      <w:pPr>
        <w:autoSpaceDE w:val="0"/>
        <w:autoSpaceDN w:val="0"/>
        <w:adjustRightInd w:val="0"/>
        <w:spacing w:line="360" w:lineRule="auto"/>
        <w:ind w:left="1260" w:hanging="12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Abdel-Daim, M.M., Abdelkhalek, N.K., </w:t>
      </w:r>
      <w:r w:rsidR="00AD6531">
        <w:rPr>
          <w:rFonts w:ascii="Times New Roman" w:hAnsi="Times New Roman" w:cs="Times New Roman"/>
          <w:sz w:val="24"/>
          <w:szCs w:val="24"/>
          <w:shd w:val="clear" w:color="auto" w:fill="FFFFFF"/>
        </w:rPr>
        <w:t xml:space="preserve">&amp; </w:t>
      </w:r>
      <w:r>
        <w:rPr>
          <w:rFonts w:ascii="Times New Roman" w:hAnsi="Times New Roman" w:cs="Times New Roman"/>
          <w:sz w:val="24"/>
          <w:szCs w:val="24"/>
          <w:shd w:val="clear" w:color="auto" w:fill="FFFFFF"/>
        </w:rPr>
        <w:t xml:space="preserve">Hassan,  A.M. (2015).  Antagonistic  activity  of  dietary  allicin  against deltamethrin-induced  oxidative  damage  in  freshwater Nile tilapia; </w:t>
      </w:r>
      <w:r>
        <w:rPr>
          <w:rFonts w:ascii="Times New Roman" w:hAnsi="Times New Roman" w:cs="Times New Roman"/>
          <w:i/>
          <w:sz w:val="24"/>
          <w:szCs w:val="24"/>
          <w:shd w:val="clear" w:color="auto" w:fill="FFFFFF"/>
        </w:rPr>
        <w:t>Oreochromis niloticus</w:t>
      </w:r>
      <w:r>
        <w:rPr>
          <w:rFonts w:ascii="Times New Roman" w:hAnsi="Times New Roman" w:cs="Times New Roman"/>
          <w:sz w:val="24"/>
          <w:szCs w:val="24"/>
          <w:shd w:val="clear" w:color="auto" w:fill="FFFFFF"/>
        </w:rPr>
        <w:t xml:space="preserve">. </w:t>
      </w:r>
      <w:r>
        <w:rPr>
          <w:rFonts w:ascii="Times New Roman" w:hAnsi="Times New Roman" w:cs="Times New Roman"/>
          <w:i/>
          <w:sz w:val="24"/>
          <w:szCs w:val="24"/>
          <w:shd w:val="clear" w:color="auto" w:fill="FFFFFF"/>
        </w:rPr>
        <w:t>Ecotoxicology and Environmental Safety</w:t>
      </w:r>
      <w:r>
        <w:rPr>
          <w:rFonts w:ascii="Times New Roman" w:hAnsi="Times New Roman" w:cs="Times New Roman"/>
          <w:sz w:val="24"/>
          <w:szCs w:val="24"/>
          <w:shd w:val="clear" w:color="auto" w:fill="FFFFFF"/>
        </w:rPr>
        <w:t>, 111: 146-52.</w:t>
      </w:r>
    </w:p>
    <w:p w14:paraId="303535B2" w14:textId="77777777" w:rsidR="0061139A" w:rsidRDefault="003E41B9">
      <w:pPr>
        <w:autoSpaceDE w:val="0"/>
        <w:autoSpaceDN w:val="0"/>
        <w:adjustRightInd w:val="0"/>
        <w:spacing w:line="360" w:lineRule="auto"/>
        <w:ind w:left="1260" w:hanging="12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Abdelkhalek, N.K., Ghazy, E.W., </w:t>
      </w:r>
      <w:r w:rsidR="00AD6531">
        <w:rPr>
          <w:rFonts w:ascii="Times New Roman" w:hAnsi="Times New Roman" w:cs="Times New Roman"/>
          <w:sz w:val="24"/>
          <w:szCs w:val="24"/>
          <w:shd w:val="clear" w:color="auto" w:fill="FFFFFF"/>
        </w:rPr>
        <w:t xml:space="preserve">&amp; </w:t>
      </w:r>
      <w:r>
        <w:rPr>
          <w:rFonts w:ascii="Times New Roman" w:hAnsi="Times New Roman" w:cs="Times New Roman"/>
          <w:sz w:val="24"/>
          <w:szCs w:val="24"/>
          <w:shd w:val="clear" w:color="auto" w:fill="FFFFFF"/>
        </w:rPr>
        <w:t xml:space="preserve">Abdel-Daim , M.M. (2015).   Pharmacodynamic   interaction   of </w:t>
      </w:r>
      <w:r>
        <w:rPr>
          <w:rFonts w:ascii="Times New Roman" w:hAnsi="Times New Roman" w:cs="Times New Roman"/>
          <w:i/>
          <w:sz w:val="24"/>
          <w:szCs w:val="24"/>
          <w:shd w:val="clear" w:color="auto" w:fill="FFFFFF"/>
        </w:rPr>
        <w:t>Spirulina platensis</w:t>
      </w:r>
      <w:r>
        <w:rPr>
          <w:rFonts w:ascii="Times New Roman" w:hAnsi="Times New Roman" w:cs="Times New Roman"/>
          <w:sz w:val="24"/>
          <w:szCs w:val="24"/>
          <w:shd w:val="clear" w:color="auto" w:fill="FFFFFF"/>
        </w:rPr>
        <w:t xml:space="preserve"> and deltamethrin in freshwater fish Nile tilapia, </w:t>
      </w:r>
      <w:r>
        <w:rPr>
          <w:rFonts w:ascii="Times New Roman" w:hAnsi="Times New Roman" w:cs="Times New Roman"/>
          <w:i/>
          <w:sz w:val="24"/>
          <w:szCs w:val="24"/>
          <w:shd w:val="clear" w:color="auto" w:fill="FFFFFF"/>
        </w:rPr>
        <w:t>Oreochromis    niloticus</w:t>
      </w:r>
      <w:r>
        <w:rPr>
          <w:rFonts w:ascii="Times New Roman" w:hAnsi="Times New Roman" w:cs="Times New Roman"/>
          <w:sz w:val="24"/>
          <w:szCs w:val="24"/>
          <w:shd w:val="clear" w:color="auto" w:fill="FFFFFF"/>
        </w:rPr>
        <w:t xml:space="preserve">:    impact on lipid peroxidation and oxidative stress. </w:t>
      </w:r>
      <w:r>
        <w:rPr>
          <w:rFonts w:ascii="Times New Roman" w:hAnsi="Times New Roman" w:cs="Times New Roman"/>
          <w:i/>
          <w:sz w:val="24"/>
          <w:szCs w:val="24"/>
          <w:shd w:val="clear" w:color="auto" w:fill="FFFFFF"/>
        </w:rPr>
        <w:t>Environmental Science and Pollution Research  International,  24</w:t>
      </w:r>
      <w:r>
        <w:rPr>
          <w:rFonts w:ascii="Times New Roman" w:hAnsi="Times New Roman" w:cs="Times New Roman"/>
          <w:sz w:val="24"/>
          <w:szCs w:val="24"/>
          <w:shd w:val="clear" w:color="auto" w:fill="FFFFFF"/>
        </w:rPr>
        <w:t>(4):3023-3031</w:t>
      </w:r>
    </w:p>
    <w:p w14:paraId="0459CCD4" w14:textId="77777777" w:rsidR="0061139A" w:rsidRDefault="003E41B9">
      <w:pPr>
        <w:autoSpaceDE w:val="0"/>
        <w:autoSpaceDN w:val="0"/>
        <w:adjustRightInd w:val="0"/>
        <w:spacing w:line="360" w:lineRule="auto"/>
        <w:ind w:left="1260" w:hanging="1260"/>
        <w:jc w:val="both"/>
        <w:rPr>
          <w:rFonts w:ascii="Times New Roman" w:hAnsi="Times New Roman" w:cs="Times New Roman"/>
          <w:b/>
          <w:sz w:val="24"/>
          <w:szCs w:val="24"/>
        </w:rPr>
      </w:pPr>
      <w:r>
        <w:rPr>
          <w:rFonts w:ascii="Times New Roman" w:hAnsi="Times New Roman" w:cs="Times New Roman"/>
          <w:sz w:val="24"/>
          <w:szCs w:val="24"/>
          <w:shd w:val="clear" w:color="auto" w:fill="FFFFFF"/>
        </w:rPr>
        <w:t xml:space="preserve">Abdelkhalek, N.K.M., Eissa, I.A.M., Ahmed, E., Kilany, O.E., El-Adl  M.,  Dawood , M.A.O.,   Hassan, A.M., </w:t>
      </w:r>
      <w:r w:rsidR="00AD6531">
        <w:rPr>
          <w:rFonts w:ascii="Times New Roman" w:hAnsi="Times New Roman" w:cs="Times New Roman"/>
          <w:sz w:val="24"/>
          <w:szCs w:val="24"/>
          <w:shd w:val="clear" w:color="auto" w:fill="FFFFFF"/>
        </w:rPr>
        <w:t xml:space="preserve">&amp; </w:t>
      </w:r>
      <w:r>
        <w:rPr>
          <w:rFonts w:ascii="Times New Roman" w:hAnsi="Times New Roman" w:cs="Times New Roman"/>
          <w:sz w:val="24"/>
          <w:szCs w:val="24"/>
          <w:shd w:val="clear" w:color="auto" w:fill="FFFFFF"/>
        </w:rPr>
        <w:t xml:space="preserve">Abdel-Daim, M.M.  (2017). Protective role of dietary </w:t>
      </w:r>
      <w:r>
        <w:rPr>
          <w:rFonts w:ascii="Times New Roman" w:hAnsi="Times New Roman" w:cs="Times New Roman"/>
          <w:i/>
          <w:sz w:val="24"/>
          <w:szCs w:val="24"/>
          <w:shd w:val="clear" w:color="auto" w:fill="FFFFFF"/>
        </w:rPr>
        <w:t>Spirulina  platensis</w:t>
      </w:r>
      <w:r>
        <w:rPr>
          <w:rFonts w:ascii="Times New Roman" w:hAnsi="Times New Roman" w:cs="Times New Roman"/>
          <w:sz w:val="24"/>
          <w:szCs w:val="24"/>
          <w:shd w:val="clear" w:color="auto" w:fill="FFFFFF"/>
        </w:rPr>
        <w:t xml:space="preserve"> against diazinon-induced Oxidative damage in Nile tilapia; </w:t>
      </w:r>
      <w:r>
        <w:rPr>
          <w:rFonts w:ascii="Times New Roman" w:hAnsi="Times New Roman" w:cs="Times New Roman"/>
          <w:i/>
          <w:sz w:val="24"/>
          <w:szCs w:val="24"/>
          <w:shd w:val="clear" w:color="auto" w:fill="FFFFFF"/>
        </w:rPr>
        <w:t>Oreochromis niloticus</w:t>
      </w:r>
      <w:r>
        <w:rPr>
          <w:rFonts w:ascii="Times New Roman" w:hAnsi="Times New Roman" w:cs="Times New Roman"/>
          <w:sz w:val="24"/>
          <w:szCs w:val="24"/>
          <w:shd w:val="clear" w:color="auto" w:fill="FFFFFF"/>
        </w:rPr>
        <w:t xml:space="preserve">. </w:t>
      </w:r>
      <w:r>
        <w:rPr>
          <w:rFonts w:ascii="Times New Roman" w:hAnsi="Times New Roman" w:cs="Times New Roman"/>
          <w:i/>
          <w:sz w:val="24"/>
          <w:szCs w:val="24"/>
          <w:shd w:val="clear" w:color="auto" w:fill="FFFFFF"/>
        </w:rPr>
        <w:t>Environmental Toxicology and Pharmacology, 54:99</w:t>
      </w:r>
      <w:r>
        <w:rPr>
          <w:rFonts w:ascii="Times New Roman" w:hAnsi="Times New Roman" w:cs="Times New Roman"/>
          <w:sz w:val="24"/>
          <w:szCs w:val="24"/>
          <w:shd w:val="clear" w:color="auto" w:fill="FFFFFF"/>
        </w:rPr>
        <w:t>-104.</w:t>
      </w:r>
    </w:p>
    <w:p w14:paraId="0413885B" w14:textId="77777777" w:rsidR="0061139A" w:rsidRDefault="003E41B9">
      <w:pPr>
        <w:spacing w:after="0" w:line="360" w:lineRule="auto"/>
        <w:ind w:left="1260" w:hanging="1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Abdel-Mo</w:t>
      </w:r>
      <w:r w:rsidR="00AD6531">
        <w:rPr>
          <w:rFonts w:ascii="Times New Roman" w:eastAsia="Times New Roman" w:hAnsi="Times New Roman" w:cs="Times New Roman"/>
          <w:sz w:val="24"/>
          <w:szCs w:val="24"/>
        </w:rPr>
        <w:t>neim, A. M. &amp;</w:t>
      </w:r>
      <w:r>
        <w:rPr>
          <w:rFonts w:ascii="Times New Roman" w:eastAsia="Times New Roman" w:hAnsi="Times New Roman" w:cs="Times New Roman"/>
          <w:sz w:val="24"/>
          <w:szCs w:val="24"/>
        </w:rPr>
        <w:t xml:space="preserve"> Abdel-Mohsen, H.A. (2010). Ultrastructure changes in hepatocytes of catfish (</w:t>
      </w:r>
      <w:r>
        <w:rPr>
          <w:rFonts w:ascii="Times New Roman" w:eastAsia="Times New Roman" w:hAnsi="Times New Roman" w:cs="Times New Roman"/>
          <w:i/>
          <w:sz w:val="24"/>
          <w:szCs w:val="24"/>
        </w:rPr>
        <w:t>Clarias gariepinus</w:t>
      </w:r>
      <w:r>
        <w:rPr>
          <w:rFonts w:ascii="Times New Roman" w:eastAsia="Times New Roman" w:hAnsi="Times New Roman" w:cs="Times New Roman"/>
          <w:sz w:val="24"/>
          <w:szCs w:val="24"/>
        </w:rPr>
        <w:t xml:space="preserve">) from Lake Maryout. </w:t>
      </w:r>
      <w:r>
        <w:rPr>
          <w:rFonts w:ascii="Times New Roman" w:eastAsia="Times New Roman" w:hAnsi="Times New Roman" w:cs="Times New Roman"/>
          <w:i/>
          <w:sz w:val="24"/>
          <w:szCs w:val="24"/>
        </w:rPr>
        <w:t>Egyptian Journal Environmental Biology., 31</w:t>
      </w:r>
      <w:r>
        <w:rPr>
          <w:rFonts w:ascii="Times New Roman" w:eastAsia="Times New Roman" w:hAnsi="Times New Roman" w:cs="Times New Roman"/>
          <w:sz w:val="24"/>
          <w:szCs w:val="24"/>
        </w:rPr>
        <w:t>(5): 715-720.</w:t>
      </w:r>
    </w:p>
    <w:p w14:paraId="7C62CC65" w14:textId="77777777" w:rsidR="0061139A" w:rsidRDefault="0061139A">
      <w:pPr>
        <w:autoSpaceDE w:val="0"/>
        <w:autoSpaceDN w:val="0"/>
        <w:adjustRightInd w:val="0"/>
        <w:spacing w:after="0" w:line="360" w:lineRule="auto"/>
        <w:ind w:left="1260" w:hanging="1260"/>
        <w:jc w:val="both"/>
        <w:rPr>
          <w:rFonts w:ascii="Times New Roman" w:hAnsi="Times New Roman" w:cs="Times New Roman"/>
          <w:color w:val="000000"/>
          <w:sz w:val="24"/>
          <w:szCs w:val="24"/>
          <w:shd w:val="clear" w:color="auto" w:fill="FFFFFF"/>
        </w:rPr>
      </w:pPr>
    </w:p>
    <w:p w14:paraId="75482783" w14:textId="77777777" w:rsidR="0061139A" w:rsidRDefault="003E41B9">
      <w:pPr>
        <w:autoSpaceDE w:val="0"/>
        <w:autoSpaceDN w:val="0"/>
        <w:adjustRightInd w:val="0"/>
        <w:spacing w:after="0" w:line="360" w:lineRule="auto"/>
        <w:ind w:left="1260" w:hanging="126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Abdel-Warith, A. A., Younis, E. M., Al-Asgah, N. A., Rady, A. M., &amp; Allam, H. Y. (2020). Bioaccumulation of lead nitrate in tissues and its effects on hematological and biochemical parameters of </w:t>
      </w:r>
      <w:r>
        <w:rPr>
          <w:rFonts w:ascii="Times New Roman" w:hAnsi="Times New Roman" w:cs="Times New Roman"/>
          <w:i/>
          <w:color w:val="000000"/>
          <w:sz w:val="24"/>
          <w:szCs w:val="24"/>
          <w:shd w:val="clear" w:color="auto" w:fill="FFFFFF"/>
        </w:rPr>
        <w:t>Clarias gariepinus</w:t>
      </w:r>
      <w:r>
        <w:rPr>
          <w:rFonts w:ascii="Times New Roman" w:hAnsi="Times New Roman" w:cs="Times New Roman"/>
          <w:color w:val="000000"/>
          <w:sz w:val="24"/>
          <w:szCs w:val="24"/>
          <w:shd w:val="clear" w:color="auto" w:fill="FFFFFF"/>
        </w:rPr>
        <w:t>. </w:t>
      </w:r>
      <w:r>
        <w:rPr>
          <w:rStyle w:val="Emphasis"/>
          <w:rFonts w:ascii="Times New Roman" w:hAnsi="Times New Roman" w:cs="Times New Roman"/>
          <w:color w:val="000000"/>
          <w:sz w:val="24"/>
          <w:szCs w:val="24"/>
          <w:shd w:val="clear" w:color="auto" w:fill="FFFFFF"/>
        </w:rPr>
        <w:t>Saudi Journal of Biological Sciences</w:t>
      </w:r>
      <w:r>
        <w:rPr>
          <w:rFonts w:ascii="Times New Roman" w:hAnsi="Times New Roman" w:cs="Times New Roman"/>
          <w:color w:val="000000"/>
          <w:sz w:val="24"/>
          <w:szCs w:val="24"/>
          <w:shd w:val="clear" w:color="auto" w:fill="FFFFFF"/>
        </w:rPr>
        <w:t>, </w:t>
      </w:r>
      <w:r>
        <w:rPr>
          <w:rStyle w:val="Emphasis"/>
          <w:rFonts w:ascii="Times New Roman" w:hAnsi="Times New Roman" w:cs="Times New Roman"/>
          <w:color w:val="000000"/>
          <w:sz w:val="24"/>
          <w:szCs w:val="24"/>
          <w:shd w:val="clear" w:color="auto" w:fill="FFFFFF"/>
        </w:rPr>
        <w:t>27</w:t>
      </w:r>
      <w:r>
        <w:rPr>
          <w:rFonts w:ascii="Times New Roman" w:hAnsi="Times New Roman" w:cs="Times New Roman"/>
          <w:color w:val="000000"/>
          <w:sz w:val="24"/>
          <w:szCs w:val="24"/>
          <w:shd w:val="clear" w:color="auto" w:fill="FFFFFF"/>
        </w:rPr>
        <w:t>(3), 840-845. </w:t>
      </w:r>
      <w:hyperlink r:id="rId7" w:history="1">
        <w:r>
          <w:rPr>
            <w:rStyle w:val="Hyperlink"/>
            <w:rFonts w:ascii="Times New Roman" w:hAnsi="Times New Roman" w:cs="Times New Roman"/>
            <w:color w:val="000000"/>
            <w:sz w:val="24"/>
            <w:szCs w:val="24"/>
            <w:shd w:val="clear" w:color="auto" w:fill="FFFFFF"/>
          </w:rPr>
          <w:t>https://doi.org/10.1016/j.sjbs.2020.01.015</w:t>
        </w:r>
      </w:hyperlink>
    </w:p>
    <w:p w14:paraId="6C20D149" w14:textId="77777777" w:rsidR="0061139A" w:rsidRDefault="0061139A">
      <w:pPr>
        <w:pStyle w:val="NormalWeb"/>
        <w:shd w:val="clear" w:color="auto" w:fill="FFFFFF"/>
        <w:spacing w:before="0" w:beforeAutospacing="0" w:after="0" w:afterAutospacing="0" w:line="276" w:lineRule="auto"/>
        <w:ind w:left="1260" w:hanging="1260"/>
        <w:jc w:val="both"/>
        <w:rPr>
          <w:color w:val="000000"/>
        </w:rPr>
      </w:pPr>
    </w:p>
    <w:p w14:paraId="4209D1BC" w14:textId="77777777" w:rsidR="0061139A" w:rsidRDefault="003E41B9">
      <w:pPr>
        <w:pStyle w:val="NormalWeb"/>
        <w:shd w:val="clear" w:color="auto" w:fill="FFFFFF"/>
        <w:spacing w:before="0" w:beforeAutospacing="0" w:after="0" w:afterAutospacing="0" w:line="276" w:lineRule="auto"/>
        <w:ind w:left="1260" w:hanging="1260"/>
        <w:jc w:val="both"/>
      </w:pPr>
      <w:r>
        <w:rPr>
          <w:color w:val="000000"/>
        </w:rPr>
        <w:t xml:space="preserve">Ali, H., Khan, E., </w:t>
      </w:r>
      <w:r w:rsidR="00AD6531">
        <w:rPr>
          <w:color w:val="000000"/>
        </w:rPr>
        <w:t xml:space="preserve">&amp; </w:t>
      </w:r>
      <w:r>
        <w:rPr>
          <w:color w:val="000000"/>
        </w:rPr>
        <w:t xml:space="preserve">Ilahi, I. (2019). Environmental chemistry and ecotoxicology of hazardous heavy metals: Environmental persistence, toxicity, and bioaccumulation. </w:t>
      </w:r>
      <w:r>
        <w:rPr>
          <w:i/>
          <w:iCs/>
          <w:color w:val="000000"/>
        </w:rPr>
        <w:t>Journal of Chemistry</w:t>
      </w:r>
      <w:r>
        <w:rPr>
          <w:color w:val="000000"/>
        </w:rPr>
        <w:t xml:space="preserve">, </w:t>
      </w:r>
      <w:r>
        <w:rPr>
          <w:i/>
          <w:iCs/>
          <w:color w:val="000000"/>
        </w:rPr>
        <w:t>2019</w:t>
      </w:r>
      <w:r>
        <w:rPr>
          <w:color w:val="000000"/>
        </w:rPr>
        <w:t xml:space="preserve"> (2019), 1-14.</w:t>
      </w:r>
    </w:p>
    <w:p w14:paraId="0DBFE8A6" w14:textId="77777777" w:rsidR="0061139A" w:rsidRDefault="0061139A">
      <w:pPr>
        <w:autoSpaceDE w:val="0"/>
        <w:autoSpaceDN w:val="0"/>
        <w:adjustRightInd w:val="0"/>
        <w:spacing w:after="0" w:line="360" w:lineRule="auto"/>
        <w:ind w:left="1260" w:hanging="1260"/>
        <w:jc w:val="both"/>
        <w:rPr>
          <w:rFonts w:ascii="Times New Roman" w:hAnsi="Times New Roman" w:cs="Times New Roman"/>
          <w:color w:val="000000"/>
          <w:sz w:val="24"/>
          <w:szCs w:val="24"/>
          <w:shd w:val="clear" w:color="auto" w:fill="FFFFFF"/>
        </w:rPr>
      </w:pPr>
    </w:p>
    <w:p w14:paraId="164CE97F" w14:textId="77777777" w:rsidR="0061139A" w:rsidRDefault="003E41B9">
      <w:pPr>
        <w:autoSpaceDE w:val="0"/>
        <w:autoSpaceDN w:val="0"/>
        <w:adjustRightInd w:val="0"/>
        <w:spacing w:after="0" w:line="360" w:lineRule="auto"/>
        <w:ind w:left="1260" w:hanging="126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Alshkarchy, S. S., Raesen, A. K., &amp; Najim, S. M. (2021). Effect of heavy metals on physiological and histological status in liver of common carp cyprinus Carpio, reared in cages and wild in the Euphrates River, Babil / Iraq. </w:t>
      </w:r>
      <w:r>
        <w:rPr>
          <w:rStyle w:val="Emphasis"/>
          <w:rFonts w:ascii="Times New Roman" w:hAnsi="Times New Roman" w:cs="Times New Roman"/>
          <w:color w:val="000000"/>
          <w:sz w:val="24"/>
          <w:szCs w:val="24"/>
          <w:shd w:val="clear" w:color="auto" w:fill="FFFFFF"/>
        </w:rPr>
        <w:t>IOP Conference Series: Earth and Environmental Science</w:t>
      </w:r>
      <w:r>
        <w:rPr>
          <w:rFonts w:ascii="Times New Roman" w:hAnsi="Times New Roman" w:cs="Times New Roman"/>
          <w:color w:val="000000"/>
          <w:sz w:val="24"/>
          <w:szCs w:val="24"/>
          <w:shd w:val="clear" w:color="auto" w:fill="FFFFFF"/>
        </w:rPr>
        <w:t>, </w:t>
      </w:r>
      <w:r>
        <w:rPr>
          <w:rStyle w:val="Emphasis"/>
          <w:rFonts w:ascii="Times New Roman" w:hAnsi="Times New Roman" w:cs="Times New Roman"/>
          <w:color w:val="000000"/>
          <w:sz w:val="24"/>
          <w:szCs w:val="24"/>
          <w:shd w:val="clear" w:color="auto" w:fill="FFFFFF"/>
        </w:rPr>
        <w:t>779</w:t>
      </w:r>
      <w:r>
        <w:rPr>
          <w:rFonts w:ascii="Times New Roman" w:hAnsi="Times New Roman" w:cs="Times New Roman"/>
          <w:color w:val="000000"/>
          <w:sz w:val="24"/>
          <w:szCs w:val="24"/>
          <w:shd w:val="clear" w:color="auto" w:fill="FFFFFF"/>
        </w:rPr>
        <w:t>(1), 012066. </w:t>
      </w:r>
      <w:hyperlink r:id="rId8" w:history="1">
        <w:r>
          <w:rPr>
            <w:rStyle w:val="Hyperlink"/>
            <w:rFonts w:ascii="Times New Roman" w:hAnsi="Times New Roman" w:cs="Times New Roman"/>
            <w:color w:val="000000"/>
            <w:sz w:val="24"/>
            <w:szCs w:val="24"/>
            <w:shd w:val="clear" w:color="auto" w:fill="FFFFFF"/>
          </w:rPr>
          <w:t>https://doi.org/10.1088/1755-1315/779/1/012066</w:t>
        </w:r>
      </w:hyperlink>
    </w:p>
    <w:p w14:paraId="1FA661AA" w14:textId="77777777" w:rsidR="0061139A" w:rsidRDefault="0061139A">
      <w:pPr>
        <w:autoSpaceDE w:val="0"/>
        <w:autoSpaceDN w:val="0"/>
        <w:adjustRightInd w:val="0"/>
        <w:spacing w:line="360" w:lineRule="auto"/>
        <w:ind w:left="1260" w:hanging="1260"/>
        <w:jc w:val="both"/>
        <w:rPr>
          <w:rFonts w:ascii="Times New Roman" w:hAnsi="Times New Roman" w:cs="Times New Roman"/>
          <w:sz w:val="24"/>
          <w:szCs w:val="24"/>
          <w:shd w:val="clear" w:color="auto" w:fill="FFFFFF"/>
        </w:rPr>
      </w:pPr>
    </w:p>
    <w:p w14:paraId="4CFD76E5" w14:textId="77777777" w:rsidR="0061139A" w:rsidRDefault="003E41B9">
      <w:pPr>
        <w:autoSpaceDE w:val="0"/>
        <w:autoSpaceDN w:val="0"/>
        <w:adjustRightInd w:val="0"/>
        <w:spacing w:line="360" w:lineRule="auto"/>
        <w:ind w:left="1260" w:hanging="12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Atkins G.J., Findlay D.F., Anderson P.H., </w:t>
      </w:r>
      <w:r w:rsidR="00AD6531">
        <w:rPr>
          <w:rFonts w:ascii="Times New Roman" w:hAnsi="Times New Roman" w:cs="Times New Roman"/>
          <w:sz w:val="24"/>
          <w:szCs w:val="24"/>
          <w:shd w:val="clear" w:color="auto" w:fill="FFFFFF"/>
        </w:rPr>
        <w:t xml:space="preserve">&amp; </w:t>
      </w:r>
      <w:r>
        <w:rPr>
          <w:rFonts w:ascii="Times New Roman" w:hAnsi="Times New Roman" w:cs="Times New Roman"/>
          <w:sz w:val="24"/>
          <w:szCs w:val="24"/>
          <w:shd w:val="clear" w:color="auto" w:fill="FFFFFF"/>
        </w:rPr>
        <w:t>Morris H.A. (2011).  Target genes:  bone proteins.  In:D. Feldman, J.W. Pike, J.S. Adams (Eds).Vitamin D, 3rd edition, Academic Press.pp: 411-424.</w:t>
      </w:r>
    </w:p>
    <w:p w14:paraId="32C71B9D" w14:textId="77777777" w:rsidR="0061139A" w:rsidRDefault="003E41B9">
      <w:pPr>
        <w:pStyle w:val="NormalWeb"/>
        <w:spacing w:before="0" w:beforeAutospacing="0" w:after="240" w:afterAutospacing="0" w:line="276" w:lineRule="auto"/>
        <w:ind w:left="1260" w:hanging="1260"/>
        <w:jc w:val="both"/>
      </w:pPr>
      <w:r>
        <w:rPr>
          <w:color w:val="000000"/>
        </w:rPr>
        <w:t>ATSDR (2005). Draft toxicological profile for lead. Atlanta: US Department of Health and Human Services 54: 102-225.</w:t>
      </w:r>
    </w:p>
    <w:p w14:paraId="1B7B2982" w14:textId="77777777" w:rsidR="0061139A" w:rsidRDefault="003E41B9">
      <w:pPr>
        <w:pStyle w:val="NormalWeb"/>
        <w:spacing w:before="0" w:beforeAutospacing="0" w:after="240" w:afterAutospacing="0" w:line="276" w:lineRule="auto"/>
        <w:ind w:left="1260" w:hanging="1260"/>
        <w:jc w:val="both"/>
      </w:pPr>
      <w:r>
        <w:rPr>
          <w:color w:val="000000"/>
        </w:rPr>
        <w:t xml:space="preserve">Authman, M.M.N, Zaki, M.S, Khallaf, E.A, </w:t>
      </w:r>
      <w:r w:rsidR="00AD6531">
        <w:rPr>
          <w:color w:val="000000"/>
        </w:rPr>
        <w:t xml:space="preserve">&amp; </w:t>
      </w:r>
      <w:r>
        <w:rPr>
          <w:color w:val="000000"/>
        </w:rPr>
        <w:t xml:space="preserve">Abbas, H.H. (2015). Use of fish as Bio-indicator of the Effects of Heavy metals pollution. </w:t>
      </w:r>
      <w:r>
        <w:rPr>
          <w:i/>
          <w:color w:val="000000"/>
        </w:rPr>
        <w:t>Journal of Aquatic Research Development</w:t>
      </w:r>
      <w:r>
        <w:rPr>
          <w:color w:val="000000"/>
        </w:rPr>
        <w:t xml:space="preserve">, </w:t>
      </w:r>
      <w:r>
        <w:rPr>
          <w:i/>
          <w:color w:val="000000"/>
        </w:rPr>
        <w:t>6</w:t>
      </w:r>
      <w:r>
        <w:rPr>
          <w:color w:val="000000"/>
        </w:rPr>
        <w:t>:328</w:t>
      </w:r>
    </w:p>
    <w:p w14:paraId="5EF4210A" w14:textId="77777777" w:rsidR="0061139A" w:rsidRDefault="003E41B9">
      <w:pPr>
        <w:autoSpaceDE w:val="0"/>
        <w:autoSpaceDN w:val="0"/>
        <w:adjustRightInd w:val="0"/>
        <w:spacing w:line="360" w:lineRule="auto"/>
        <w:ind w:left="1260" w:hanging="126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Banaee, M., </w:t>
      </w:r>
      <w:r w:rsidR="00AD6531">
        <w:rPr>
          <w:rFonts w:ascii="Times New Roman" w:hAnsi="Times New Roman" w:cs="Times New Roman"/>
          <w:sz w:val="24"/>
          <w:szCs w:val="24"/>
          <w:shd w:val="clear" w:color="auto" w:fill="FFFFFF"/>
        </w:rPr>
        <w:t xml:space="preserve">&amp; </w:t>
      </w:r>
      <w:r>
        <w:rPr>
          <w:rFonts w:ascii="Times New Roman" w:hAnsi="Times New Roman" w:cs="Times New Roman"/>
          <w:sz w:val="24"/>
          <w:szCs w:val="24"/>
          <w:shd w:val="clear" w:color="auto" w:fill="FFFFFF"/>
        </w:rPr>
        <w:t>Taheri, S. (2019). Metal bioaccumulation, oxidative stress, and biochemical alterations in the freshwater snail (</w:t>
      </w:r>
      <w:r>
        <w:rPr>
          <w:rFonts w:ascii="Times New Roman" w:hAnsi="Times New Roman" w:cs="Times New Roman"/>
          <w:i/>
          <w:sz w:val="24"/>
          <w:szCs w:val="24"/>
          <w:shd w:val="clear" w:color="auto" w:fill="FFFFFF"/>
        </w:rPr>
        <w:t>Galba truncatula</w:t>
      </w:r>
      <w:r>
        <w:rPr>
          <w:rFonts w:ascii="Times New Roman" w:hAnsi="Times New Roman" w:cs="Times New Roman"/>
          <w:sz w:val="24"/>
          <w:szCs w:val="24"/>
          <w:shd w:val="clear" w:color="auto" w:fill="FFFFFF"/>
        </w:rPr>
        <w:t xml:space="preserve">) exposed to municipal sewage. </w:t>
      </w:r>
      <w:r>
        <w:rPr>
          <w:rFonts w:ascii="Times New Roman" w:hAnsi="Times New Roman" w:cs="Times New Roman"/>
          <w:i/>
          <w:sz w:val="24"/>
          <w:szCs w:val="24"/>
          <w:shd w:val="clear" w:color="auto" w:fill="FFFFFF"/>
        </w:rPr>
        <w:t>Journal of Advances in Environmental Health Research, 7</w:t>
      </w:r>
      <w:r>
        <w:rPr>
          <w:rFonts w:ascii="Times New Roman" w:hAnsi="Times New Roman" w:cs="Times New Roman"/>
          <w:sz w:val="24"/>
          <w:szCs w:val="24"/>
          <w:shd w:val="clear" w:color="auto" w:fill="FFFFFF"/>
        </w:rPr>
        <w:t>(1):  8-17.</w:t>
      </w:r>
    </w:p>
    <w:p w14:paraId="56A45B0B" w14:textId="77777777" w:rsidR="0061139A" w:rsidRDefault="003E41B9">
      <w:pPr>
        <w:autoSpaceDE w:val="0"/>
        <w:autoSpaceDN w:val="0"/>
        <w:adjustRightInd w:val="0"/>
        <w:spacing w:after="0" w:line="360" w:lineRule="auto"/>
        <w:ind w:left="1260" w:hanging="126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Banday, U. Z., Swaleh, S. B., &amp; Usmani, N. (2020). Heavy metal toxicity has an immunomodulatory effect on metallothionein and glutathione peroxidase gene expression in </w:t>
      </w:r>
      <w:r>
        <w:rPr>
          <w:rFonts w:ascii="Times New Roman" w:hAnsi="Times New Roman" w:cs="Times New Roman"/>
          <w:i/>
          <w:color w:val="000000"/>
          <w:sz w:val="24"/>
          <w:szCs w:val="24"/>
          <w:shd w:val="clear" w:color="auto" w:fill="FFFFFF"/>
        </w:rPr>
        <w:t>Cyprinus carpio</w:t>
      </w:r>
      <w:r>
        <w:rPr>
          <w:rFonts w:ascii="Times New Roman" w:hAnsi="Times New Roman" w:cs="Times New Roman"/>
          <w:color w:val="000000"/>
          <w:sz w:val="24"/>
          <w:szCs w:val="24"/>
          <w:shd w:val="clear" w:color="auto" w:fill="FFFFFF"/>
        </w:rPr>
        <w:t xml:space="preserve"> inhabiting a wetland lake and a culture pond. </w:t>
      </w:r>
      <w:r>
        <w:rPr>
          <w:rStyle w:val="Emphasis"/>
          <w:rFonts w:ascii="Times New Roman" w:hAnsi="Times New Roman" w:cs="Times New Roman"/>
          <w:color w:val="000000"/>
          <w:sz w:val="24"/>
          <w:szCs w:val="24"/>
          <w:shd w:val="clear" w:color="auto" w:fill="FFFFFF"/>
        </w:rPr>
        <w:t>Chemosphere</w:t>
      </w:r>
      <w:r>
        <w:rPr>
          <w:rFonts w:ascii="Times New Roman" w:hAnsi="Times New Roman" w:cs="Times New Roman"/>
          <w:color w:val="000000"/>
          <w:sz w:val="24"/>
          <w:szCs w:val="24"/>
          <w:shd w:val="clear" w:color="auto" w:fill="FFFFFF"/>
        </w:rPr>
        <w:t>, </w:t>
      </w:r>
      <w:r>
        <w:rPr>
          <w:rStyle w:val="Emphasis"/>
          <w:rFonts w:ascii="Times New Roman" w:hAnsi="Times New Roman" w:cs="Times New Roman"/>
          <w:color w:val="000000"/>
          <w:sz w:val="24"/>
          <w:szCs w:val="24"/>
          <w:shd w:val="clear" w:color="auto" w:fill="FFFFFF"/>
        </w:rPr>
        <w:t>251</w:t>
      </w:r>
      <w:r>
        <w:rPr>
          <w:rFonts w:ascii="Times New Roman" w:hAnsi="Times New Roman" w:cs="Times New Roman"/>
          <w:color w:val="000000"/>
          <w:sz w:val="24"/>
          <w:szCs w:val="24"/>
          <w:shd w:val="clear" w:color="auto" w:fill="FFFFFF"/>
        </w:rPr>
        <w:t>, 126311. </w:t>
      </w:r>
      <w:hyperlink r:id="rId9" w:history="1">
        <w:r>
          <w:rPr>
            <w:rStyle w:val="Hyperlink"/>
            <w:rFonts w:ascii="Times New Roman" w:hAnsi="Times New Roman" w:cs="Times New Roman"/>
            <w:color w:val="000000"/>
            <w:sz w:val="24"/>
            <w:szCs w:val="24"/>
            <w:shd w:val="clear" w:color="auto" w:fill="FFFFFF"/>
          </w:rPr>
          <w:t>https://doi.org/10.1016/j.chemosphere.2020.126311</w:t>
        </w:r>
      </w:hyperlink>
    </w:p>
    <w:p w14:paraId="7A4589BD" w14:textId="77777777" w:rsidR="0061139A" w:rsidRDefault="0061139A">
      <w:pPr>
        <w:autoSpaceDE w:val="0"/>
        <w:autoSpaceDN w:val="0"/>
        <w:adjustRightInd w:val="0"/>
        <w:spacing w:after="0" w:line="360" w:lineRule="auto"/>
        <w:ind w:left="1260" w:hanging="1260"/>
        <w:rPr>
          <w:rFonts w:ascii="Times New Roman" w:hAnsi="Times New Roman" w:cs="Times New Roman"/>
          <w:bCs/>
          <w:sz w:val="24"/>
          <w:szCs w:val="24"/>
        </w:rPr>
      </w:pPr>
    </w:p>
    <w:p w14:paraId="58C20235" w14:textId="77777777" w:rsidR="0061139A" w:rsidRDefault="003E41B9">
      <w:pPr>
        <w:autoSpaceDE w:val="0"/>
        <w:autoSpaceDN w:val="0"/>
        <w:adjustRightInd w:val="0"/>
        <w:spacing w:after="0" w:line="360" w:lineRule="auto"/>
        <w:ind w:left="1260" w:hanging="1260"/>
        <w:rPr>
          <w:rFonts w:ascii="Times New Roman" w:hAnsi="Times New Roman" w:cs="Times New Roman"/>
          <w:sz w:val="24"/>
          <w:szCs w:val="24"/>
        </w:rPr>
      </w:pPr>
      <w:r>
        <w:rPr>
          <w:rFonts w:ascii="Times New Roman" w:hAnsi="Times New Roman" w:cs="Times New Roman"/>
          <w:bCs/>
          <w:sz w:val="24"/>
          <w:szCs w:val="24"/>
        </w:rPr>
        <w:t>Bergmeyer H.U.</w:t>
      </w:r>
      <w:r>
        <w:rPr>
          <w:rFonts w:ascii="Times New Roman" w:hAnsi="Times New Roman" w:cs="Times New Roman"/>
          <w:sz w:val="24"/>
          <w:szCs w:val="24"/>
        </w:rPr>
        <w:t>(1974). Method of Enzymatic analysis vol.2. 2nd Ed. Academic press, New York. 682 p.</w:t>
      </w:r>
    </w:p>
    <w:p w14:paraId="25DB907C" w14:textId="77777777" w:rsidR="0061139A" w:rsidRDefault="0061139A">
      <w:pPr>
        <w:spacing w:line="360" w:lineRule="auto"/>
        <w:ind w:left="1260" w:hanging="1260"/>
        <w:jc w:val="both"/>
        <w:rPr>
          <w:rFonts w:ascii="Times New Roman" w:hAnsi="Times New Roman" w:cs="Times New Roman"/>
          <w:color w:val="000000"/>
          <w:sz w:val="24"/>
          <w:szCs w:val="24"/>
          <w:shd w:val="clear" w:color="auto" w:fill="FFFFFF"/>
        </w:rPr>
      </w:pPr>
    </w:p>
    <w:p w14:paraId="7342A7BB" w14:textId="77777777" w:rsidR="0061139A" w:rsidRDefault="003E41B9">
      <w:pPr>
        <w:spacing w:line="360" w:lineRule="auto"/>
        <w:ind w:left="1260" w:hanging="1260"/>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 xml:space="preserve">Elarabany, N., Bahnsawy, M., &amp; Alfakheri, M. (2019). Effects of Cadmium on some haematological and biochemical parameters of African catfish, </w:t>
      </w:r>
      <w:r>
        <w:rPr>
          <w:rFonts w:ascii="Times New Roman" w:hAnsi="Times New Roman" w:cs="Times New Roman"/>
          <w:i/>
          <w:color w:val="000000"/>
          <w:sz w:val="24"/>
          <w:szCs w:val="24"/>
          <w:shd w:val="clear" w:color="auto" w:fill="FFFFFF"/>
        </w:rPr>
        <w:t>Clarias graiepinus</w:t>
      </w:r>
      <w:r>
        <w:rPr>
          <w:rFonts w:ascii="Times New Roman" w:hAnsi="Times New Roman" w:cs="Times New Roman"/>
          <w:color w:val="000000"/>
          <w:sz w:val="24"/>
          <w:szCs w:val="24"/>
          <w:shd w:val="clear" w:color="auto" w:fill="FFFFFF"/>
        </w:rPr>
        <w:t>. </w:t>
      </w:r>
      <w:r>
        <w:rPr>
          <w:rStyle w:val="Emphasis"/>
          <w:rFonts w:ascii="Times New Roman" w:hAnsi="Times New Roman" w:cs="Times New Roman"/>
          <w:color w:val="000000"/>
          <w:sz w:val="24"/>
          <w:szCs w:val="24"/>
          <w:shd w:val="clear" w:color="auto" w:fill="FFFFFF"/>
        </w:rPr>
        <w:t>African Journal of Biological Sciences</w:t>
      </w:r>
      <w:r>
        <w:rPr>
          <w:rFonts w:ascii="Times New Roman" w:hAnsi="Times New Roman" w:cs="Times New Roman"/>
          <w:color w:val="000000"/>
          <w:sz w:val="24"/>
          <w:szCs w:val="24"/>
          <w:shd w:val="clear" w:color="auto" w:fill="FFFFFF"/>
        </w:rPr>
        <w:t>, </w:t>
      </w:r>
      <w:r>
        <w:rPr>
          <w:rStyle w:val="Emphasis"/>
          <w:rFonts w:ascii="Times New Roman" w:hAnsi="Times New Roman" w:cs="Times New Roman"/>
          <w:color w:val="000000"/>
          <w:sz w:val="24"/>
          <w:szCs w:val="24"/>
          <w:shd w:val="clear" w:color="auto" w:fill="FFFFFF"/>
        </w:rPr>
        <w:t>15</w:t>
      </w:r>
      <w:r>
        <w:rPr>
          <w:rFonts w:ascii="Times New Roman" w:hAnsi="Times New Roman" w:cs="Times New Roman"/>
          <w:color w:val="000000"/>
          <w:sz w:val="24"/>
          <w:szCs w:val="24"/>
          <w:shd w:val="clear" w:color="auto" w:fill="FFFFFF"/>
        </w:rPr>
        <w:t>(1), 43-52. </w:t>
      </w:r>
      <w:hyperlink r:id="rId10" w:history="1">
        <w:r>
          <w:rPr>
            <w:rStyle w:val="Hyperlink"/>
            <w:rFonts w:ascii="Times New Roman" w:hAnsi="Times New Roman" w:cs="Times New Roman"/>
            <w:color w:val="000000"/>
            <w:sz w:val="24"/>
            <w:szCs w:val="24"/>
            <w:shd w:val="clear" w:color="auto" w:fill="FFFFFF"/>
          </w:rPr>
          <w:t>https://doi.org/10.21608/ajbs.2019.63986</w:t>
        </w:r>
      </w:hyperlink>
    </w:p>
    <w:p w14:paraId="5F29A419" w14:textId="77777777" w:rsidR="0061139A" w:rsidRDefault="003E41B9">
      <w:pPr>
        <w:spacing w:after="0" w:line="360" w:lineRule="auto"/>
        <w:ind w:left="1260" w:hanging="1260"/>
        <w:rPr>
          <w:rFonts w:ascii="Times New Roman" w:hAnsi="Times New Roman" w:cs="Times New Roman"/>
          <w:sz w:val="24"/>
          <w:szCs w:val="24"/>
        </w:rPr>
      </w:pPr>
      <w:r>
        <w:rPr>
          <w:rFonts w:ascii="Times New Roman" w:hAnsi="Times New Roman" w:cs="Times New Roman"/>
          <w:color w:val="000000"/>
          <w:sz w:val="24"/>
          <w:szCs w:val="24"/>
          <w:shd w:val="clear" w:color="auto" w:fill="FFFFFF"/>
        </w:rPr>
        <w:t>El-Khadragy, M., Elwoa, S., Abou Donia, M., &amp; Abd-El Aziz, R. (2019). Effect of sub-lethal concentration of cadmium and lead on Oreochromis niloticous. </w:t>
      </w:r>
      <w:r>
        <w:rPr>
          <w:rStyle w:val="Emphasis"/>
          <w:rFonts w:ascii="Times New Roman" w:hAnsi="Times New Roman" w:cs="Times New Roman"/>
          <w:color w:val="000000"/>
          <w:sz w:val="24"/>
          <w:szCs w:val="24"/>
          <w:shd w:val="clear" w:color="auto" w:fill="FFFFFF"/>
        </w:rPr>
        <w:t>International Journal of Development</w:t>
      </w:r>
      <w:r>
        <w:rPr>
          <w:rFonts w:ascii="Times New Roman" w:hAnsi="Times New Roman" w:cs="Times New Roman"/>
          <w:color w:val="000000"/>
          <w:sz w:val="24"/>
          <w:szCs w:val="24"/>
          <w:shd w:val="clear" w:color="auto" w:fill="FFFFFF"/>
        </w:rPr>
        <w:t>, </w:t>
      </w:r>
      <w:r>
        <w:rPr>
          <w:rStyle w:val="Emphasis"/>
          <w:rFonts w:ascii="Times New Roman" w:hAnsi="Times New Roman" w:cs="Times New Roman"/>
          <w:color w:val="000000"/>
          <w:sz w:val="24"/>
          <w:szCs w:val="24"/>
          <w:shd w:val="clear" w:color="auto" w:fill="FFFFFF"/>
        </w:rPr>
        <w:t>8</w:t>
      </w:r>
      <w:r>
        <w:rPr>
          <w:rFonts w:ascii="Times New Roman" w:hAnsi="Times New Roman" w:cs="Times New Roman"/>
          <w:color w:val="000000"/>
          <w:sz w:val="24"/>
          <w:szCs w:val="24"/>
          <w:shd w:val="clear" w:color="auto" w:fill="FFFFFF"/>
        </w:rPr>
        <w:t>(1), 123-137. </w:t>
      </w:r>
      <w:hyperlink r:id="rId11" w:history="1">
        <w:r>
          <w:rPr>
            <w:rStyle w:val="Hyperlink"/>
            <w:rFonts w:ascii="Times New Roman" w:hAnsi="Times New Roman" w:cs="Times New Roman"/>
            <w:color w:val="000000"/>
            <w:sz w:val="24"/>
            <w:szCs w:val="24"/>
            <w:shd w:val="clear" w:color="auto" w:fill="FFFFFF"/>
          </w:rPr>
          <w:t>https://doi.org/10.21608/idj.2019.219877</w:t>
        </w:r>
      </w:hyperlink>
    </w:p>
    <w:p w14:paraId="5B8933F7" w14:textId="77777777" w:rsidR="0061139A" w:rsidRDefault="0061139A">
      <w:pPr>
        <w:spacing w:after="0" w:line="360" w:lineRule="auto"/>
        <w:ind w:left="1260" w:hanging="1260"/>
        <w:rPr>
          <w:rFonts w:ascii="Times New Roman" w:hAnsi="Times New Roman" w:cs="Times New Roman"/>
          <w:sz w:val="24"/>
          <w:szCs w:val="24"/>
        </w:rPr>
      </w:pPr>
    </w:p>
    <w:p w14:paraId="399B5F40" w14:textId="77777777" w:rsidR="0061139A" w:rsidRDefault="003E41B9">
      <w:pPr>
        <w:spacing w:after="0" w:line="360" w:lineRule="auto"/>
        <w:ind w:left="1260" w:hanging="1260"/>
        <w:rPr>
          <w:rFonts w:ascii="Times New Roman" w:hAnsi="Times New Roman" w:cs="Times New Roman"/>
          <w:sz w:val="24"/>
          <w:szCs w:val="24"/>
        </w:rPr>
      </w:pPr>
      <w:r>
        <w:rPr>
          <w:rFonts w:ascii="Times New Roman" w:hAnsi="Times New Roman" w:cs="Times New Roman"/>
          <w:sz w:val="24"/>
          <w:szCs w:val="24"/>
        </w:rPr>
        <w:t xml:space="preserve">Gupta, A. &amp; Sharma, B. (2023). Evaluation of Levels of Phosphatases in the Lindane Exposed Fish, </w:t>
      </w:r>
      <w:r>
        <w:rPr>
          <w:rFonts w:ascii="Times New Roman" w:hAnsi="Times New Roman" w:cs="Times New Roman"/>
          <w:i/>
          <w:sz w:val="24"/>
          <w:szCs w:val="24"/>
        </w:rPr>
        <w:t>Channa punctatu.Journal of Biochemical Research and Environmental Sciences</w:t>
      </w:r>
      <w:r>
        <w:rPr>
          <w:rFonts w:ascii="Times New Roman" w:hAnsi="Times New Roman" w:cs="Times New Roman"/>
          <w:sz w:val="24"/>
          <w:szCs w:val="24"/>
        </w:rPr>
        <w:t>. DOI: https://dx.doi.org/10.37871/jbres1710.</w:t>
      </w:r>
    </w:p>
    <w:p w14:paraId="18A1EFE5" w14:textId="77777777" w:rsidR="0061139A" w:rsidRDefault="0061139A">
      <w:pPr>
        <w:spacing w:line="360" w:lineRule="auto"/>
        <w:ind w:left="1260" w:hanging="1260"/>
        <w:jc w:val="both"/>
        <w:rPr>
          <w:rFonts w:ascii="Times New Roman" w:hAnsi="Times New Roman" w:cs="Times New Roman"/>
          <w:color w:val="000000"/>
          <w:sz w:val="24"/>
          <w:szCs w:val="24"/>
          <w:shd w:val="clear" w:color="auto" w:fill="FFFFFF"/>
        </w:rPr>
      </w:pPr>
    </w:p>
    <w:p w14:paraId="177CEF46" w14:textId="77777777" w:rsidR="0061139A" w:rsidRDefault="003E41B9">
      <w:pPr>
        <w:spacing w:line="360" w:lineRule="auto"/>
        <w:ind w:left="1260" w:hanging="1260"/>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 xml:space="preserve">Hafez Abdel-Kader, H., &amp; Hassan Mourad, M. (2019). Impact of heavy metals on physiological and histopathological parameters in the catfish </w:t>
      </w:r>
      <w:r>
        <w:rPr>
          <w:rFonts w:ascii="Times New Roman" w:hAnsi="Times New Roman" w:cs="Times New Roman"/>
          <w:i/>
          <w:color w:val="000000"/>
          <w:sz w:val="24"/>
          <w:szCs w:val="24"/>
          <w:shd w:val="clear" w:color="auto" w:fill="FFFFFF"/>
        </w:rPr>
        <w:t>Clarias gariepinus</w:t>
      </w:r>
      <w:r>
        <w:rPr>
          <w:rFonts w:ascii="Times New Roman" w:hAnsi="Times New Roman" w:cs="Times New Roman"/>
          <w:color w:val="000000"/>
          <w:sz w:val="24"/>
          <w:szCs w:val="24"/>
          <w:shd w:val="clear" w:color="auto" w:fill="FFFFFF"/>
        </w:rPr>
        <w:t xml:space="preserve"> from lake Maryout, Alexandria, Egypt. </w:t>
      </w:r>
      <w:r>
        <w:rPr>
          <w:rStyle w:val="Emphasis"/>
          <w:rFonts w:ascii="Times New Roman" w:hAnsi="Times New Roman" w:cs="Times New Roman"/>
          <w:color w:val="000000"/>
          <w:sz w:val="24"/>
          <w:szCs w:val="24"/>
          <w:shd w:val="clear" w:color="auto" w:fill="FFFFFF"/>
        </w:rPr>
        <w:t>Egyptian Journal of Aquatic Biology and Fisheries</w:t>
      </w:r>
      <w:r>
        <w:rPr>
          <w:rFonts w:ascii="Times New Roman" w:hAnsi="Times New Roman" w:cs="Times New Roman"/>
          <w:color w:val="000000"/>
          <w:sz w:val="24"/>
          <w:szCs w:val="24"/>
          <w:shd w:val="clear" w:color="auto" w:fill="FFFFFF"/>
        </w:rPr>
        <w:t>, </w:t>
      </w:r>
      <w:r>
        <w:rPr>
          <w:rStyle w:val="Emphasis"/>
          <w:rFonts w:ascii="Times New Roman" w:hAnsi="Times New Roman" w:cs="Times New Roman"/>
          <w:color w:val="000000"/>
          <w:sz w:val="24"/>
          <w:szCs w:val="24"/>
          <w:shd w:val="clear" w:color="auto" w:fill="FFFFFF"/>
        </w:rPr>
        <w:t>23</w:t>
      </w:r>
      <w:r>
        <w:rPr>
          <w:rFonts w:ascii="Times New Roman" w:hAnsi="Times New Roman" w:cs="Times New Roman"/>
          <w:color w:val="000000"/>
          <w:sz w:val="24"/>
          <w:szCs w:val="24"/>
          <w:shd w:val="clear" w:color="auto" w:fill="FFFFFF"/>
        </w:rPr>
        <w:t>(1), 285-298. </w:t>
      </w:r>
      <w:hyperlink r:id="rId12" w:history="1">
        <w:r>
          <w:rPr>
            <w:rStyle w:val="Hyperlink"/>
            <w:rFonts w:ascii="Times New Roman" w:hAnsi="Times New Roman" w:cs="Times New Roman"/>
            <w:color w:val="000000"/>
            <w:sz w:val="24"/>
            <w:szCs w:val="24"/>
            <w:shd w:val="clear" w:color="auto" w:fill="FFFFFF"/>
          </w:rPr>
          <w:t>https://doi.org/10.21608/ejabf.2019.28010</w:t>
        </w:r>
      </w:hyperlink>
    </w:p>
    <w:p w14:paraId="2EF4040F" w14:textId="77777777" w:rsidR="0061139A" w:rsidRDefault="003E41B9">
      <w:pPr>
        <w:autoSpaceDE w:val="0"/>
        <w:autoSpaceDN w:val="0"/>
        <w:adjustRightInd w:val="0"/>
        <w:spacing w:after="0" w:line="360" w:lineRule="auto"/>
        <w:ind w:left="1260" w:hanging="12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Hatami M., Banaee M.,</w:t>
      </w:r>
      <w:r w:rsidR="00AD6531">
        <w:rPr>
          <w:rFonts w:ascii="Times New Roman" w:hAnsi="Times New Roman" w:cs="Times New Roman"/>
          <w:sz w:val="24"/>
          <w:szCs w:val="24"/>
          <w:shd w:val="clear" w:color="auto" w:fill="FFFFFF"/>
        </w:rPr>
        <w:t>&amp; Nematdoost, H.</w:t>
      </w:r>
      <w:r>
        <w:rPr>
          <w:rFonts w:ascii="Times New Roman" w:hAnsi="Times New Roman" w:cs="Times New Roman"/>
          <w:sz w:val="24"/>
          <w:szCs w:val="24"/>
          <w:shd w:val="clear" w:color="auto" w:fill="FFFFFF"/>
        </w:rPr>
        <w:t xml:space="preserve"> B. (2019). Sub-lethal toxicity of chlorpyrifos alone and in combination with polyethylene glycol to common  carp  (</w:t>
      </w:r>
      <w:r>
        <w:rPr>
          <w:rFonts w:ascii="Times New Roman" w:hAnsi="Times New Roman" w:cs="Times New Roman"/>
          <w:i/>
          <w:sz w:val="24"/>
          <w:szCs w:val="24"/>
          <w:shd w:val="clear" w:color="auto" w:fill="FFFFFF"/>
        </w:rPr>
        <w:t>Cyprinus carpio</w:t>
      </w:r>
      <w:r>
        <w:rPr>
          <w:rFonts w:ascii="Times New Roman" w:hAnsi="Times New Roman" w:cs="Times New Roman"/>
          <w:sz w:val="24"/>
          <w:szCs w:val="24"/>
          <w:shd w:val="clear" w:color="auto" w:fill="FFFFFF"/>
        </w:rPr>
        <w:t xml:space="preserve">). </w:t>
      </w:r>
      <w:r>
        <w:rPr>
          <w:rFonts w:ascii="Times New Roman" w:hAnsi="Times New Roman" w:cs="Times New Roman"/>
          <w:i/>
          <w:sz w:val="24"/>
          <w:szCs w:val="24"/>
          <w:shd w:val="clear" w:color="auto" w:fill="FFFFFF"/>
        </w:rPr>
        <w:t>Chemosphere, 219</w:t>
      </w:r>
      <w:r>
        <w:rPr>
          <w:rFonts w:ascii="Times New Roman" w:hAnsi="Times New Roman" w:cs="Times New Roman"/>
          <w:sz w:val="24"/>
          <w:szCs w:val="24"/>
          <w:shd w:val="clear" w:color="auto" w:fill="FFFFFF"/>
        </w:rPr>
        <w:t>:981-988</w:t>
      </w:r>
    </w:p>
    <w:p w14:paraId="624C6CB1" w14:textId="77777777" w:rsidR="0061139A" w:rsidRDefault="0061139A">
      <w:pPr>
        <w:autoSpaceDE w:val="0"/>
        <w:autoSpaceDN w:val="0"/>
        <w:adjustRightInd w:val="0"/>
        <w:spacing w:after="0" w:line="360" w:lineRule="auto"/>
        <w:ind w:left="1260" w:hanging="1260"/>
        <w:jc w:val="both"/>
        <w:rPr>
          <w:rFonts w:ascii="Times New Roman" w:hAnsi="Times New Roman" w:cs="Times New Roman"/>
          <w:sz w:val="24"/>
          <w:szCs w:val="24"/>
        </w:rPr>
      </w:pPr>
    </w:p>
    <w:p w14:paraId="28F2B9D0" w14:textId="77777777" w:rsidR="0061139A" w:rsidRDefault="003E41B9">
      <w:pPr>
        <w:autoSpaceDE w:val="0"/>
        <w:autoSpaceDN w:val="0"/>
        <w:adjustRightInd w:val="0"/>
        <w:spacing w:after="0" w:line="360" w:lineRule="auto"/>
        <w:ind w:left="1260" w:hanging="126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Jasmin, J., Rahman, M. M., &amp; Rahman, M. M. (2018). Haematological changes in Labeo rohita (H.) due to exposure of pesticides, Difenoconazole and Thiamethoxam. </w:t>
      </w:r>
      <w:r>
        <w:rPr>
          <w:rStyle w:val="Emphasis"/>
          <w:rFonts w:ascii="Times New Roman" w:hAnsi="Times New Roman" w:cs="Times New Roman"/>
          <w:color w:val="000000"/>
          <w:sz w:val="24"/>
          <w:szCs w:val="24"/>
          <w:shd w:val="clear" w:color="auto" w:fill="FFFFFF"/>
        </w:rPr>
        <w:t>International Journal of Contemporary Research and Review</w:t>
      </w:r>
      <w:r>
        <w:rPr>
          <w:rFonts w:ascii="Times New Roman" w:hAnsi="Times New Roman" w:cs="Times New Roman"/>
          <w:color w:val="000000"/>
          <w:sz w:val="24"/>
          <w:szCs w:val="24"/>
          <w:shd w:val="clear" w:color="auto" w:fill="FFFFFF"/>
        </w:rPr>
        <w:t>. </w:t>
      </w:r>
      <w:hyperlink r:id="rId13" w:history="1">
        <w:r>
          <w:rPr>
            <w:rStyle w:val="Hyperlink"/>
            <w:rFonts w:ascii="Times New Roman" w:hAnsi="Times New Roman" w:cs="Times New Roman"/>
            <w:color w:val="000000"/>
            <w:sz w:val="24"/>
            <w:szCs w:val="24"/>
            <w:shd w:val="clear" w:color="auto" w:fill="FFFFFF"/>
          </w:rPr>
          <w:t>https://doi.org/10.15520/ijcrr/2018/9/01/390</w:t>
        </w:r>
      </w:hyperlink>
    </w:p>
    <w:p w14:paraId="02CF2F8A" w14:textId="77777777" w:rsidR="0061139A" w:rsidRDefault="0061139A">
      <w:pPr>
        <w:spacing w:line="360" w:lineRule="auto"/>
        <w:ind w:left="1260" w:hanging="1260"/>
        <w:jc w:val="both"/>
        <w:rPr>
          <w:rFonts w:ascii="Times New Roman" w:hAnsi="Times New Roman" w:cs="Times New Roman"/>
          <w:color w:val="000000"/>
          <w:sz w:val="24"/>
          <w:szCs w:val="24"/>
          <w:shd w:val="clear" w:color="auto" w:fill="FFFFFF"/>
        </w:rPr>
      </w:pPr>
    </w:p>
    <w:p w14:paraId="615F85D7" w14:textId="77777777" w:rsidR="0061139A" w:rsidRDefault="003E41B9">
      <w:pPr>
        <w:spacing w:line="360" w:lineRule="auto"/>
        <w:ind w:left="1260" w:hanging="1260"/>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 xml:space="preserve">Khalefa, H. S., AbuBakr, H. O., Aljuaydi, S. H., Kotp, Y. H., Al-Mokaddem, A. K., &amp; Abdel-moneam, D. A. (2024). Aquatic assessment of the chelating ability of silica-stabilized magnetite nanocomposite to lead nitrate toxicity with emphasis to their impact on hepatorenal, oxidative stress, genotoxicity, histopathological, and bioaccumulation parameters in </w:t>
      </w:r>
      <w:r>
        <w:rPr>
          <w:rFonts w:ascii="Times New Roman" w:hAnsi="Times New Roman" w:cs="Times New Roman"/>
          <w:i/>
          <w:color w:val="000000"/>
          <w:sz w:val="24"/>
          <w:szCs w:val="24"/>
          <w:shd w:val="clear" w:color="auto" w:fill="FFFFFF"/>
        </w:rPr>
        <w:t>Oreochromis niloticus</w:t>
      </w:r>
      <w:r>
        <w:rPr>
          <w:rFonts w:ascii="Times New Roman" w:hAnsi="Times New Roman" w:cs="Times New Roman"/>
          <w:color w:val="000000"/>
          <w:sz w:val="24"/>
          <w:szCs w:val="24"/>
          <w:shd w:val="clear" w:color="auto" w:fill="FFFFFF"/>
        </w:rPr>
        <w:t xml:space="preserve"> and </w:t>
      </w:r>
      <w:r>
        <w:rPr>
          <w:rFonts w:ascii="Times New Roman" w:hAnsi="Times New Roman" w:cs="Times New Roman"/>
          <w:i/>
          <w:color w:val="000000"/>
          <w:sz w:val="24"/>
          <w:szCs w:val="24"/>
          <w:shd w:val="clear" w:color="auto" w:fill="FFFFFF"/>
        </w:rPr>
        <w:t>Clarias gariepinus</w:t>
      </w:r>
      <w:r>
        <w:rPr>
          <w:rFonts w:ascii="Times New Roman" w:hAnsi="Times New Roman" w:cs="Times New Roman"/>
          <w:color w:val="000000"/>
          <w:sz w:val="24"/>
          <w:szCs w:val="24"/>
          <w:shd w:val="clear" w:color="auto" w:fill="FFFFFF"/>
        </w:rPr>
        <w:t>. </w:t>
      </w:r>
      <w:r>
        <w:rPr>
          <w:rStyle w:val="Emphasis"/>
          <w:rFonts w:ascii="Times New Roman" w:hAnsi="Times New Roman" w:cs="Times New Roman"/>
          <w:color w:val="000000"/>
          <w:sz w:val="24"/>
          <w:szCs w:val="24"/>
          <w:shd w:val="clear" w:color="auto" w:fill="FFFFFF"/>
        </w:rPr>
        <w:t>BMC Veterinary Research</w:t>
      </w:r>
      <w:r>
        <w:rPr>
          <w:rFonts w:ascii="Times New Roman" w:hAnsi="Times New Roman" w:cs="Times New Roman"/>
          <w:color w:val="000000"/>
          <w:sz w:val="24"/>
          <w:szCs w:val="24"/>
          <w:shd w:val="clear" w:color="auto" w:fill="FFFFFF"/>
        </w:rPr>
        <w:t>, </w:t>
      </w:r>
      <w:r>
        <w:rPr>
          <w:rStyle w:val="Emphasis"/>
          <w:rFonts w:ascii="Times New Roman" w:hAnsi="Times New Roman" w:cs="Times New Roman"/>
          <w:color w:val="000000"/>
          <w:sz w:val="24"/>
          <w:szCs w:val="24"/>
          <w:shd w:val="clear" w:color="auto" w:fill="FFFFFF"/>
        </w:rPr>
        <w:t>20</w:t>
      </w:r>
      <w:r>
        <w:rPr>
          <w:rFonts w:ascii="Times New Roman" w:hAnsi="Times New Roman" w:cs="Times New Roman"/>
          <w:color w:val="000000"/>
          <w:sz w:val="24"/>
          <w:szCs w:val="24"/>
          <w:shd w:val="clear" w:color="auto" w:fill="FFFFFF"/>
        </w:rPr>
        <w:t>(1). </w:t>
      </w:r>
      <w:hyperlink r:id="rId14" w:history="1">
        <w:r>
          <w:rPr>
            <w:rStyle w:val="Hyperlink"/>
            <w:rFonts w:ascii="Times New Roman" w:hAnsi="Times New Roman" w:cs="Times New Roman"/>
            <w:color w:val="000000"/>
            <w:sz w:val="24"/>
            <w:szCs w:val="24"/>
            <w:shd w:val="clear" w:color="auto" w:fill="FFFFFF"/>
          </w:rPr>
          <w:t>https://doi.org/10.1186/s12917-024-04094-9</w:t>
        </w:r>
      </w:hyperlink>
    </w:p>
    <w:p w14:paraId="289E789A" w14:textId="77777777" w:rsidR="0061139A" w:rsidRDefault="00AD6531">
      <w:pPr>
        <w:autoSpaceDE w:val="0"/>
        <w:autoSpaceDN w:val="0"/>
        <w:adjustRightInd w:val="0"/>
        <w:spacing w:after="0" w:line="360" w:lineRule="auto"/>
        <w:ind w:left="1260" w:hanging="1260"/>
        <w:rPr>
          <w:rFonts w:ascii="Times New Roman" w:hAnsi="Times New Roman" w:cs="Times New Roman"/>
          <w:sz w:val="24"/>
          <w:szCs w:val="24"/>
        </w:rPr>
      </w:pPr>
      <w:r>
        <w:rPr>
          <w:rFonts w:ascii="Times New Roman" w:hAnsi="Times New Roman" w:cs="Times New Roman"/>
          <w:bCs/>
          <w:sz w:val="24"/>
          <w:szCs w:val="24"/>
        </w:rPr>
        <w:t>King E.J. &amp;</w:t>
      </w:r>
      <w:r w:rsidR="003E41B9">
        <w:rPr>
          <w:rFonts w:ascii="Times New Roman" w:hAnsi="Times New Roman" w:cs="Times New Roman"/>
          <w:bCs/>
          <w:sz w:val="24"/>
          <w:szCs w:val="24"/>
        </w:rPr>
        <w:t xml:space="preserve"> Armstrong A.R</w:t>
      </w:r>
      <w:r w:rsidR="003E41B9">
        <w:rPr>
          <w:rFonts w:ascii="Times New Roman" w:hAnsi="Times New Roman" w:cs="Times New Roman"/>
          <w:b/>
          <w:bCs/>
          <w:sz w:val="24"/>
          <w:szCs w:val="24"/>
        </w:rPr>
        <w:t xml:space="preserve">. </w:t>
      </w:r>
      <w:r w:rsidR="003E41B9">
        <w:rPr>
          <w:rFonts w:ascii="Times New Roman" w:hAnsi="Times New Roman" w:cs="Times New Roman"/>
          <w:sz w:val="24"/>
          <w:szCs w:val="24"/>
        </w:rPr>
        <w:t xml:space="preserve">(1934). A Convenient method for determining serum and bile phosphatase activity. </w:t>
      </w:r>
      <w:r w:rsidR="003E41B9">
        <w:rPr>
          <w:rFonts w:ascii="Times New Roman" w:hAnsi="Times New Roman" w:cs="Times New Roman"/>
          <w:i/>
          <w:iCs/>
          <w:sz w:val="24"/>
          <w:szCs w:val="24"/>
        </w:rPr>
        <w:t>Canadian Medical Journal</w:t>
      </w:r>
      <w:r w:rsidR="003E41B9">
        <w:rPr>
          <w:rFonts w:ascii="Times New Roman" w:hAnsi="Times New Roman" w:cs="Times New Roman"/>
          <w:sz w:val="24"/>
          <w:szCs w:val="24"/>
        </w:rPr>
        <w:t>. 31(4):376-381.</w:t>
      </w:r>
    </w:p>
    <w:p w14:paraId="62858136" w14:textId="77777777" w:rsidR="0061139A" w:rsidRDefault="0061139A">
      <w:pPr>
        <w:spacing w:line="360" w:lineRule="auto"/>
        <w:ind w:left="1260" w:hanging="1260"/>
        <w:jc w:val="both"/>
        <w:rPr>
          <w:rFonts w:ascii="Times New Roman" w:hAnsi="Times New Roman" w:cs="Times New Roman"/>
          <w:color w:val="000000"/>
          <w:sz w:val="24"/>
          <w:szCs w:val="24"/>
          <w:shd w:val="clear" w:color="auto" w:fill="FFFFFF"/>
        </w:rPr>
      </w:pPr>
    </w:p>
    <w:p w14:paraId="36BAE995" w14:textId="77777777" w:rsidR="0061139A" w:rsidRDefault="003E41B9">
      <w:pPr>
        <w:spacing w:line="360" w:lineRule="auto"/>
        <w:ind w:left="1260" w:hanging="1260"/>
        <w:jc w:val="both"/>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 xml:space="preserve">Mahmoud, U., Ebied, A., &amp; Mohamed, S. (2013). Effect of lead on some haematological and biochemical characteristics of </w:t>
      </w:r>
      <w:r>
        <w:rPr>
          <w:rFonts w:ascii="Times New Roman" w:hAnsi="Times New Roman" w:cs="Times New Roman"/>
          <w:i/>
          <w:color w:val="000000"/>
          <w:sz w:val="24"/>
          <w:szCs w:val="24"/>
          <w:shd w:val="clear" w:color="auto" w:fill="FFFFFF"/>
        </w:rPr>
        <w:t>Clarias gariepinus</w:t>
      </w:r>
      <w:r>
        <w:rPr>
          <w:rFonts w:ascii="Times New Roman" w:hAnsi="Times New Roman" w:cs="Times New Roman"/>
          <w:color w:val="000000"/>
          <w:sz w:val="24"/>
          <w:szCs w:val="24"/>
          <w:shd w:val="clear" w:color="auto" w:fill="FFFFFF"/>
        </w:rPr>
        <w:t xml:space="preserve"> dietary supplemented with lycopene and vitamin E. </w:t>
      </w:r>
      <w:r>
        <w:rPr>
          <w:rStyle w:val="Emphasis"/>
          <w:rFonts w:ascii="Times New Roman" w:hAnsi="Times New Roman" w:cs="Times New Roman"/>
          <w:color w:val="000000"/>
          <w:sz w:val="24"/>
          <w:szCs w:val="24"/>
          <w:shd w:val="clear" w:color="auto" w:fill="FFFFFF"/>
        </w:rPr>
        <w:t>Egyptian Academic Journal of Biological Sciences. C, Physiology and Molecular Biology</w:t>
      </w:r>
      <w:r>
        <w:rPr>
          <w:rFonts w:ascii="Times New Roman" w:hAnsi="Times New Roman" w:cs="Times New Roman"/>
          <w:color w:val="000000"/>
          <w:sz w:val="24"/>
          <w:szCs w:val="24"/>
          <w:shd w:val="clear" w:color="auto" w:fill="FFFFFF"/>
        </w:rPr>
        <w:t>, </w:t>
      </w:r>
      <w:r>
        <w:rPr>
          <w:rStyle w:val="Emphasis"/>
          <w:rFonts w:ascii="Times New Roman" w:hAnsi="Times New Roman" w:cs="Times New Roman"/>
          <w:color w:val="000000"/>
          <w:sz w:val="24"/>
          <w:szCs w:val="24"/>
          <w:shd w:val="clear" w:color="auto" w:fill="FFFFFF"/>
        </w:rPr>
        <w:t>5</w:t>
      </w:r>
      <w:r>
        <w:rPr>
          <w:rFonts w:ascii="Times New Roman" w:hAnsi="Times New Roman" w:cs="Times New Roman"/>
          <w:color w:val="000000"/>
          <w:sz w:val="24"/>
          <w:szCs w:val="24"/>
          <w:shd w:val="clear" w:color="auto" w:fill="FFFFFF"/>
        </w:rPr>
        <w:t>(1), 67-89. </w:t>
      </w:r>
      <w:hyperlink r:id="rId15" w:history="1">
        <w:r>
          <w:rPr>
            <w:rStyle w:val="Hyperlink"/>
            <w:rFonts w:ascii="Times New Roman" w:hAnsi="Times New Roman" w:cs="Times New Roman"/>
            <w:color w:val="000000"/>
            <w:sz w:val="24"/>
            <w:szCs w:val="24"/>
            <w:shd w:val="clear" w:color="auto" w:fill="FFFFFF"/>
          </w:rPr>
          <w:t>https://doi.org/10.21608/eajbsc.2013.16112</w:t>
        </w:r>
      </w:hyperlink>
    </w:p>
    <w:p w14:paraId="3B9FC15C" w14:textId="77777777" w:rsidR="0061139A" w:rsidRDefault="003E41B9">
      <w:pPr>
        <w:ind w:left="1260" w:hanging="1260"/>
        <w:jc w:val="both"/>
        <w:rPr>
          <w:rFonts w:ascii="Times New Roman" w:hAnsi="Times New Roman" w:cs="Times New Roman"/>
          <w:sz w:val="24"/>
          <w:szCs w:val="24"/>
        </w:rPr>
      </w:pPr>
      <w:r>
        <w:rPr>
          <w:rFonts w:ascii="Times New Roman" w:hAnsi="Times New Roman" w:cs="Times New Roman"/>
          <w:sz w:val="24"/>
          <w:szCs w:val="24"/>
        </w:rPr>
        <w:t>Needleman</w:t>
      </w:r>
      <w:r w:rsidR="00AD6531">
        <w:rPr>
          <w:rFonts w:ascii="Times New Roman" w:hAnsi="Times New Roman" w:cs="Times New Roman"/>
          <w:sz w:val="24"/>
          <w:szCs w:val="24"/>
        </w:rPr>
        <w:t xml:space="preserve">, </w:t>
      </w:r>
      <w:r>
        <w:rPr>
          <w:rFonts w:ascii="Times New Roman" w:hAnsi="Times New Roman" w:cs="Times New Roman"/>
          <w:sz w:val="24"/>
          <w:szCs w:val="24"/>
        </w:rPr>
        <w:t>H</w:t>
      </w:r>
      <w:r w:rsidR="00AD6531">
        <w:rPr>
          <w:rFonts w:ascii="Times New Roman" w:hAnsi="Times New Roman" w:cs="Times New Roman"/>
          <w:sz w:val="24"/>
          <w:szCs w:val="24"/>
        </w:rPr>
        <w:t>.</w:t>
      </w:r>
      <w:r>
        <w:rPr>
          <w:rFonts w:ascii="Times New Roman" w:hAnsi="Times New Roman" w:cs="Times New Roman"/>
          <w:sz w:val="24"/>
          <w:szCs w:val="24"/>
        </w:rPr>
        <w:t xml:space="preserve"> (2006). Lead poisoning. </w:t>
      </w:r>
      <w:r>
        <w:rPr>
          <w:rFonts w:ascii="Times New Roman" w:hAnsi="Times New Roman" w:cs="Times New Roman"/>
          <w:i/>
          <w:sz w:val="24"/>
          <w:szCs w:val="24"/>
        </w:rPr>
        <w:t>Annual Review of Medicine</w:t>
      </w:r>
      <w:r>
        <w:rPr>
          <w:rFonts w:ascii="Times New Roman" w:hAnsi="Times New Roman" w:cs="Times New Roman"/>
          <w:sz w:val="24"/>
          <w:szCs w:val="24"/>
        </w:rPr>
        <w:t xml:space="preserve">, </w:t>
      </w:r>
      <w:r>
        <w:rPr>
          <w:rFonts w:ascii="Times New Roman" w:hAnsi="Times New Roman" w:cs="Times New Roman"/>
          <w:i/>
          <w:sz w:val="24"/>
          <w:szCs w:val="24"/>
        </w:rPr>
        <w:t>55</w:t>
      </w:r>
      <w:r>
        <w:rPr>
          <w:rFonts w:ascii="Times New Roman" w:hAnsi="Times New Roman" w:cs="Times New Roman"/>
          <w:sz w:val="24"/>
          <w:szCs w:val="24"/>
        </w:rPr>
        <w:t>, 209222.</w:t>
      </w:r>
    </w:p>
    <w:p w14:paraId="7AC9C427" w14:textId="77777777" w:rsidR="0061139A" w:rsidRDefault="003E41B9">
      <w:pPr>
        <w:autoSpaceDE w:val="0"/>
        <w:autoSpaceDN w:val="0"/>
        <w:adjustRightInd w:val="0"/>
        <w:spacing w:after="0" w:line="360" w:lineRule="auto"/>
        <w:ind w:left="1260" w:hanging="126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Onadje, F. O., &amp; Akalusi, K. E. (2024). Analysis of Transaminase and Phosphatase Levels in Lead (Pb)-Exposed Fish, </w:t>
      </w:r>
      <w:r>
        <w:rPr>
          <w:rFonts w:ascii="Times New Roman" w:hAnsi="Times New Roman" w:cs="Times New Roman"/>
          <w:i/>
          <w:sz w:val="24"/>
          <w:szCs w:val="24"/>
          <w:shd w:val="clear" w:color="auto" w:fill="FFFFFF"/>
        </w:rPr>
        <w:t>Clarias gariepinus</w:t>
      </w:r>
      <w:r>
        <w:rPr>
          <w:rFonts w:ascii="Times New Roman" w:hAnsi="Times New Roman" w:cs="Times New Roman"/>
          <w:sz w:val="24"/>
          <w:szCs w:val="24"/>
          <w:shd w:val="clear" w:color="auto" w:fill="FFFFFF"/>
        </w:rPr>
        <w:t>: Implications of Environmental Contamination. </w:t>
      </w:r>
      <w:r>
        <w:rPr>
          <w:rFonts w:ascii="Times New Roman" w:hAnsi="Times New Roman" w:cs="Times New Roman"/>
          <w:i/>
          <w:iCs/>
          <w:sz w:val="24"/>
          <w:szCs w:val="24"/>
          <w:shd w:val="clear" w:color="auto" w:fill="FFFFFF"/>
        </w:rPr>
        <w:t>Faculty of Natural and Applied Sciences Journal of Applied Biological Sciences</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w:t>
      </w:r>
      <w:r>
        <w:rPr>
          <w:rFonts w:ascii="Times New Roman" w:hAnsi="Times New Roman" w:cs="Times New Roman"/>
          <w:sz w:val="24"/>
          <w:szCs w:val="24"/>
          <w:shd w:val="clear" w:color="auto" w:fill="FFFFFF"/>
        </w:rPr>
        <w:t>(1), 79–89.</w:t>
      </w:r>
    </w:p>
    <w:p w14:paraId="2977154A" w14:textId="77777777" w:rsidR="0061139A" w:rsidRDefault="0061139A">
      <w:pPr>
        <w:spacing w:after="0" w:line="360" w:lineRule="auto"/>
        <w:ind w:left="1260" w:hanging="1260"/>
        <w:rPr>
          <w:rFonts w:ascii="Times New Roman" w:hAnsi="Times New Roman" w:cs="Times New Roman"/>
          <w:sz w:val="24"/>
          <w:szCs w:val="24"/>
        </w:rPr>
      </w:pPr>
    </w:p>
    <w:p w14:paraId="58787AF1" w14:textId="77777777" w:rsidR="0061139A" w:rsidRDefault="003E41B9">
      <w:pPr>
        <w:spacing w:after="0" w:line="360" w:lineRule="auto"/>
        <w:ind w:left="1260" w:hanging="1260"/>
        <w:rPr>
          <w:rFonts w:ascii="Times New Roman" w:hAnsi="Times New Roman" w:cs="Times New Roman"/>
          <w:sz w:val="24"/>
          <w:szCs w:val="24"/>
        </w:rPr>
      </w:pPr>
      <w:r>
        <w:rPr>
          <w:rFonts w:ascii="Times New Roman" w:hAnsi="Times New Roman" w:cs="Times New Roman"/>
          <w:sz w:val="24"/>
          <w:szCs w:val="24"/>
        </w:rPr>
        <w:t>Onadje, F.O &amp; Akalusi, K.E (2023). Sublethal Effects of Cadmium on Plasma and Tissue Levels of Some Nitrogenous Waste Products of African Catfish (</w:t>
      </w:r>
      <w:r>
        <w:rPr>
          <w:rFonts w:ascii="Times New Roman" w:hAnsi="Times New Roman" w:cs="Times New Roman"/>
          <w:i/>
          <w:sz w:val="24"/>
          <w:szCs w:val="24"/>
        </w:rPr>
        <w:t>Clarias gariepinus)</w:t>
      </w:r>
      <w:r>
        <w:rPr>
          <w:rFonts w:ascii="Times New Roman" w:hAnsi="Times New Roman" w:cs="Times New Roman"/>
          <w:sz w:val="24"/>
          <w:szCs w:val="24"/>
        </w:rPr>
        <w:t xml:space="preserve"> under Laboratory Conditions. </w:t>
      </w:r>
      <w:r>
        <w:rPr>
          <w:rFonts w:ascii="Times New Roman" w:hAnsi="Times New Roman" w:cs="Times New Roman"/>
          <w:i/>
          <w:sz w:val="24"/>
          <w:szCs w:val="24"/>
        </w:rPr>
        <w:t>DOU Journal of Scientometrics and Inventions 1</w:t>
      </w:r>
      <w:r>
        <w:rPr>
          <w:rFonts w:ascii="Times New Roman" w:hAnsi="Times New Roman" w:cs="Times New Roman"/>
          <w:sz w:val="24"/>
          <w:szCs w:val="24"/>
        </w:rPr>
        <w:t xml:space="preserve"> (1). 171-177</w:t>
      </w:r>
    </w:p>
    <w:p w14:paraId="21115F32" w14:textId="77777777" w:rsidR="0061139A" w:rsidRDefault="003E41B9">
      <w:pPr>
        <w:autoSpaceDE w:val="0"/>
        <w:autoSpaceDN w:val="0"/>
        <w:adjustRightInd w:val="0"/>
        <w:spacing w:after="0" w:line="360" w:lineRule="auto"/>
        <w:ind w:left="1260" w:hanging="126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Prakash, S., &amp; Verma, A. K. (2020). Effect of arsenic on serum biochemical parameters of a fresh water cat fish, </w:t>
      </w:r>
      <w:r>
        <w:rPr>
          <w:rFonts w:ascii="Times New Roman" w:hAnsi="Times New Roman" w:cs="Times New Roman"/>
          <w:i/>
          <w:color w:val="000000"/>
          <w:sz w:val="24"/>
          <w:szCs w:val="24"/>
          <w:shd w:val="clear" w:color="auto" w:fill="FFFFFF"/>
        </w:rPr>
        <w:t>Mystus vittatus</w:t>
      </w:r>
      <w:r>
        <w:rPr>
          <w:rFonts w:ascii="Times New Roman" w:hAnsi="Times New Roman" w:cs="Times New Roman"/>
          <w:color w:val="000000"/>
          <w:sz w:val="24"/>
          <w:szCs w:val="24"/>
          <w:shd w:val="clear" w:color="auto" w:fill="FFFFFF"/>
        </w:rPr>
        <w:t>. </w:t>
      </w:r>
      <w:r>
        <w:rPr>
          <w:rStyle w:val="Emphasis"/>
          <w:rFonts w:ascii="Times New Roman" w:hAnsi="Times New Roman" w:cs="Times New Roman"/>
          <w:color w:val="000000"/>
          <w:sz w:val="24"/>
          <w:szCs w:val="24"/>
          <w:shd w:val="clear" w:color="auto" w:fill="FFFFFF"/>
        </w:rPr>
        <w:t>International Journal of Biological Innovations</w:t>
      </w:r>
      <w:r>
        <w:rPr>
          <w:rFonts w:ascii="Times New Roman" w:hAnsi="Times New Roman" w:cs="Times New Roman"/>
          <w:color w:val="000000"/>
          <w:sz w:val="24"/>
          <w:szCs w:val="24"/>
          <w:shd w:val="clear" w:color="auto" w:fill="FFFFFF"/>
        </w:rPr>
        <w:t>, </w:t>
      </w:r>
      <w:r>
        <w:rPr>
          <w:rStyle w:val="Emphasis"/>
          <w:rFonts w:ascii="Times New Roman" w:hAnsi="Times New Roman" w:cs="Times New Roman"/>
          <w:color w:val="000000"/>
          <w:sz w:val="24"/>
          <w:szCs w:val="24"/>
          <w:shd w:val="clear" w:color="auto" w:fill="FFFFFF"/>
        </w:rPr>
        <w:t>02</w:t>
      </w:r>
      <w:r>
        <w:rPr>
          <w:rFonts w:ascii="Times New Roman" w:hAnsi="Times New Roman" w:cs="Times New Roman"/>
          <w:color w:val="000000"/>
          <w:sz w:val="24"/>
          <w:szCs w:val="24"/>
          <w:shd w:val="clear" w:color="auto" w:fill="FFFFFF"/>
        </w:rPr>
        <w:t>(01), 11-19. </w:t>
      </w:r>
      <w:hyperlink r:id="rId16" w:history="1">
        <w:r>
          <w:rPr>
            <w:rStyle w:val="Hyperlink"/>
            <w:rFonts w:ascii="Times New Roman" w:hAnsi="Times New Roman" w:cs="Times New Roman"/>
            <w:color w:val="000000"/>
            <w:sz w:val="24"/>
            <w:szCs w:val="24"/>
            <w:shd w:val="clear" w:color="auto" w:fill="FFFFFF"/>
          </w:rPr>
          <w:t>https://doi.org/10.46505/ijbi.2020.2102</w:t>
        </w:r>
      </w:hyperlink>
    </w:p>
    <w:p w14:paraId="327DCD5E" w14:textId="77777777" w:rsidR="0061139A" w:rsidRDefault="0061139A">
      <w:pPr>
        <w:autoSpaceDE w:val="0"/>
        <w:autoSpaceDN w:val="0"/>
        <w:adjustRightInd w:val="0"/>
        <w:spacing w:after="0" w:line="360" w:lineRule="auto"/>
        <w:ind w:left="1260" w:hanging="1260"/>
        <w:jc w:val="both"/>
        <w:rPr>
          <w:rFonts w:ascii="Times New Roman" w:hAnsi="Times New Roman" w:cs="Times New Roman"/>
          <w:sz w:val="24"/>
          <w:szCs w:val="24"/>
        </w:rPr>
      </w:pPr>
    </w:p>
    <w:p w14:paraId="1F3C5E93" w14:textId="77777777" w:rsidR="0061139A" w:rsidRDefault="003E41B9">
      <w:pPr>
        <w:autoSpaceDE w:val="0"/>
        <w:autoSpaceDN w:val="0"/>
        <w:adjustRightInd w:val="0"/>
        <w:spacing w:after="0"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 xml:space="preserve">Srivastava N. K. &amp; Prakash S. (2018). Effect  of sublethal concentration of zinc sulphate on the serum biochemical parameters of freshwater cat fish, </w:t>
      </w:r>
      <w:r>
        <w:rPr>
          <w:rFonts w:ascii="Times New Roman" w:hAnsi="Times New Roman" w:cs="Times New Roman"/>
          <w:i/>
          <w:sz w:val="24"/>
          <w:szCs w:val="24"/>
        </w:rPr>
        <w:t>Clarias batrachus</w:t>
      </w:r>
      <w:r>
        <w:rPr>
          <w:rFonts w:ascii="Times New Roman" w:hAnsi="Times New Roman" w:cs="Times New Roman"/>
          <w:sz w:val="24"/>
          <w:szCs w:val="24"/>
        </w:rPr>
        <w:t xml:space="preserve"> (Linn.). </w:t>
      </w:r>
      <w:r>
        <w:rPr>
          <w:rFonts w:ascii="Times New Roman" w:hAnsi="Times New Roman" w:cs="Times New Roman"/>
          <w:i/>
          <w:sz w:val="24"/>
          <w:szCs w:val="24"/>
        </w:rPr>
        <w:t>Indian Journal of Biology</w:t>
      </w:r>
      <w:r>
        <w:rPr>
          <w:rFonts w:ascii="Times New Roman" w:hAnsi="Times New Roman" w:cs="Times New Roman"/>
          <w:sz w:val="24"/>
          <w:szCs w:val="24"/>
        </w:rPr>
        <w:t xml:space="preserve">, </w:t>
      </w:r>
      <w:r>
        <w:rPr>
          <w:rFonts w:ascii="Times New Roman" w:hAnsi="Times New Roman" w:cs="Times New Roman"/>
          <w:i/>
          <w:sz w:val="24"/>
          <w:szCs w:val="24"/>
        </w:rPr>
        <w:t>5</w:t>
      </w:r>
      <w:r>
        <w:rPr>
          <w:rFonts w:ascii="Times New Roman" w:hAnsi="Times New Roman" w:cs="Times New Roman"/>
          <w:sz w:val="24"/>
          <w:szCs w:val="24"/>
        </w:rPr>
        <w:t>(2):113-119.</w:t>
      </w:r>
    </w:p>
    <w:p w14:paraId="6A04F58E" w14:textId="77777777" w:rsidR="0061139A" w:rsidRDefault="0061139A">
      <w:pPr>
        <w:autoSpaceDE w:val="0"/>
        <w:autoSpaceDN w:val="0"/>
        <w:adjustRightInd w:val="0"/>
        <w:spacing w:after="0" w:line="360" w:lineRule="auto"/>
        <w:ind w:left="1260" w:hanging="1260"/>
        <w:jc w:val="both"/>
        <w:rPr>
          <w:rFonts w:ascii="Times New Roman" w:hAnsi="Times New Roman" w:cs="Times New Roman"/>
          <w:sz w:val="24"/>
          <w:szCs w:val="24"/>
        </w:rPr>
      </w:pPr>
    </w:p>
    <w:p w14:paraId="5B4D45B7" w14:textId="77777777" w:rsidR="0061139A" w:rsidRDefault="003E41B9">
      <w:pPr>
        <w:autoSpaceDE w:val="0"/>
        <w:autoSpaceDN w:val="0"/>
        <w:adjustRightInd w:val="0"/>
        <w:spacing w:after="0" w:line="360" w:lineRule="auto"/>
        <w:ind w:left="1260" w:hanging="1260"/>
        <w:jc w:val="both"/>
        <w:rPr>
          <w:rFonts w:ascii="Times New Roman" w:hAnsi="Times New Roman" w:cs="Times New Roman"/>
          <w:sz w:val="24"/>
          <w:szCs w:val="24"/>
        </w:rPr>
      </w:pPr>
      <w:r>
        <w:rPr>
          <w:rFonts w:ascii="Times New Roman" w:hAnsi="Times New Roman" w:cs="Times New Roman"/>
          <w:sz w:val="24"/>
          <w:szCs w:val="24"/>
        </w:rPr>
        <w:t xml:space="preserve">Srivastava P ., Ruhela S.N., Prakash S. &amp; Ansari K.K. (2012). Effect of sodium fluride on organic reserves of some tissues of </w:t>
      </w:r>
      <w:r>
        <w:rPr>
          <w:rFonts w:ascii="Times New Roman" w:hAnsi="Times New Roman" w:cs="Times New Roman"/>
          <w:i/>
          <w:sz w:val="24"/>
          <w:szCs w:val="24"/>
        </w:rPr>
        <w:t>Heteropneustes fossilis</w:t>
      </w:r>
      <w:r>
        <w:rPr>
          <w:rFonts w:ascii="Times New Roman" w:hAnsi="Times New Roman" w:cs="Times New Roman"/>
          <w:sz w:val="24"/>
          <w:szCs w:val="24"/>
        </w:rPr>
        <w:t xml:space="preserve">. </w:t>
      </w:r>
      <w:r>
        <w:rPr>
          <w:rFonts w:ascii="Times New Roman" w:hAnsi="Times New Roman" w:cs="Times New Roman"/>
          <w:i/>
          <w:sz w:val="24"/>
          <w:szCs w:val="24"/>
        </w:rPr>
        <w:t>The Scientific Temper</w:t>
      </w:r>
      <w:r>
        <w:rPr>
          <w:rFonts w:ascii="Times New Roman" w:hAnsi="Times New Roman" w:cs="Times New Roman"/>
          <w:sz w:val="24"/>
          <w:szCs w:val="24"/>
        </w:rPr>
        <w:t xml:space="preserve">, </w:t>
      </w:r>
      <w:r>
        <w:rPr>
          <w:rFonts w:ascii="Times New Roman" w:hAnsi="Times New Roman" w:cs="Times New Roman"/>
          <w:i/>
          <w:sz w:val="24"/>
          <w:szCs w:val="24"/>
        </w:rPr>
        <w:t>2</w:t>
      </w:r>
      <w:r>
        <w:rPr>
          <w:rFonts w:ascii="Times New Roman" w:hAnsi="Times New Roman" w:cs="Times New Roman"/>
          <w:sz w:val="24"/>
          <w:szCs w:val="24"/>
        </w:rPr>
        <w:t>(1&amp;2), 45-48.</w:t>
      </w:r>
    </w:p>
    <w:p w14:paraId="3E78645C" w14:textId="77777777" w:rsidR="0061139A" w:rsidRDefault="0061139A">
      <w:pPr>
        <w:autoSpaceDE w:val="0"/>
        <w:autoSpaceDN w:val="0"/>
        <w:adjustRightInd w:val="0"/>
        <w:spacing w:line="360" w:lineRule="auto"/>
        <w:ind w:left="1260" w:hanging="1260"/>
        <w:jc w:val="both"/>
        <w:rPr>
          <w:rFonts w:ascii="Times New Roman" w:hAnsi="Times New Roman" w:cs="Times New Roman"/>
          <w:color w:val="000000"/>
          <w:sz w:val="24"/>
          <w:szCs w:val="24"/>
          <w:shd w:val="clear" w:color="auto" w:fill="FFFFFF"/>
        </w:rPr>
      </w:pPr>
    </w:p>
    <w:p w14:paraId="2BAEDFF6" w14:textId="77777777" w:rsidR="0061139A" w:rsidRDefault="003E41B9">
      <w:pPr>
        <w:autoSpaceDE w:val="0"/>
        <w:autoSpaceDN w:val="0"/>
        <w:adjustRightInd w:val="0"/>
        <w:spacing w:line="360" w:lineRule="auto"/>
        <w:ind w:left="1260" w:hanging="126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Thanga Malathi, S., &amp; Anuradha, V. (2020). Lithium induced toxicity profile of oxygen consumption, Haematological parameters and biochemical profiles of </w:t>
      </w:r>
      <w:r>
        <w:rPr>
          <w:rFonts w:ascii="Times New Roman" w:hAnsi="Times New Roman" w:cs="Times New Roman"/>
          <w:i/>
          <w:color w:val="000000"/>
          <w:sz w:val="24"/>
          <w:szCs w:val="24"/>
          <w:shd w:val="clear" w:color="auto" w:fill="FFFFFF"/>
        </w:rPr>
        <w:t>Channa punctatus</w:t>
      </w:r>
      <w:r>
        <w:rPr>
          <w:rFonts w:ascii="Times New Roman" w:hAnsi="Times New Roman" w:cs="Times New Roman"/>
          <w:color w:val="000000"/>
          <w:sz w:val="24"/>
          <w:szCs w:val="24"/>
          <w:shd w:val="clear" w:color="auto" w:fill="FFFFFF"/>
        </w:rPr>
        <w:t xml:space="preserve"> and </w:t>
      </w:r>
      <w:r>
        <w:rPr>
          <w:rFonts w:ascii="Times New Roman" w:hAnsi="Times New Roman" w:cs="Times New Roman"/>
          <w:i/>
          <w:color w:val="000000"/>
          <w:sz w:val="24"/>
          <w:szCs w:val="24"/>
          <w:shd w:val="clear" w:color="auto" w:fill="FFFFFF"/>
        </w:rPr>
        <w:t>Oreochromis niloticus</w:t>
      </w:r>
      <w:r>
        <w:rPr>
          <w:rFonts w:ascii="Times New Roman" w:hAnsi="Times New Roman" w:cs="Times New Roman"/>
          <w:color w:val="000000"/>
          <w:sz w:val="24"/>
          <w:szCs w:val="24"/>
          <w:shd w:val="clear" w:color="auto" w:fill="FFFFFF"/>
        </w:rPr>
        <w:t>. </w:t>
      </w:r>
      <w:r>
        <w:rPr>
          <w:rStyle w:val="Emphasis"/>
          <w:rFonts w:ascii="Times New Roman" w:hAnsi="Times New Roman" w:cs="Times New Roman"/>
          <w:color w:val="000000"/>
          <w:sz w:val="24"/>
          <w:szCs w:val="24"/>
          <w:shd w:val="clear" w:color="auto" w:fill="FFFFFF"/>
        </w:rPr>
        <w:t>Nature Environment and Pollution Technology</w:t>
      </w:r>
      <w:r>
        <w:rPr>
          <w:rFonts w:ascii="Times New Roman" w:hAnsi="Times New Roman" w:cs="Times New Roman"/>
          <w:color w:val="000000"/>
          <w:sz w:val="24"/>
          <w:szCs w:val="24"/>
          <w:shd w:val="clear" w:color="auto" w:fill="FFFFFF"/>
        </w:rPr>
        <w:t>, </w:t>
      </w:r>
      <w:r>
        <w:rPr>
          <w:rStyle w:val="Emphasis"/>
          <w:rFonts w:ascii="Times New Roman" w:hAnsi="Times New Roman" w:cs="Times New Roman"/>
          <w:color w:val="000000"/>
          <w:sz w:val="24"/>
          <w:szCs w:val="24"/>
          <w:shd w:val="clear" w:color="auto" w:fill="FFFFFF"/>
        </w:rPr>
        <w:t>19</w:t>
      </w:r>
      <w:r>
        <w:rPr>
          <w:rFonts w:ascii="Times New Roman" w:hAnsi="Times New Roman" w:cs="Times New Roman"/>
          <w:color w:val="000000"/>
          <w:sz w:val="24"/>
          <w:szCs w:val="24"/>
          <w:shd w:val="clear" w:color="auto" w:fill="FFFFFF"/>
        </w:rPr>
        <w:t>(02), 677-685. </w:t>
      </w:r>
      <w:hyperlink r:id="rId17" w:history="1">
        <w:r>
          <w:rPr>
            <w:rStyle w:val="Hyperlink"/>
            <w:rFonts w:ascii="Times New Roman" w:hAnsi="Times New Roman" w:cs="Times New Roman"/>
            <w:color w:val="000000"/>
            <w:sz w:val="24"/>
            <w:szCs w:val="24"/>
            <w:shd w:val="clear" w:color="auto" w:fill="FFFFFF"/>
          </w:rPr>
          <w:t>https://doi.org/10.46488/nept.2020.v19i02.022</w:t>
        </w:r>
      </w:hyperlink>
    </w:p>
    <w:p w14:paraId="6ED29F3B" w14:textId="77777777" w:rsidR="0061139A" w:rsidRDefault="003E41B9">
      <w:pPr>
        <w:autoSpaceDE w:val="0"/>
        <w:autoSpaceDN w:val="0"/>
        <w:adjustRightInd w:val="0"/>
        <w:spacing w:after="0" w:line="360" w:lineRule="auto"/>
        <w:ind w:left="1260" w:hanging="1260"/>
        <w:rPr>
          <w:rFonts w:ascii="Times New Roman" w:hAnsi="Times New Roman" w:cs="Times New Roman"/>
          <w:sz w:val="24"/>
          <w:szCs w:val="24"/>
        </w:rPr>
      </w:pPr>
      <w:r>
        <w:rPr>
          <w:rFonts w:ascii="Times New Roman" w:hAnsi="Times New Roman" w:cs="Times New Roman"/>
          <w:sz w:val="24"/>
          <w:szCs w:val="24"/>
        </w:rPr>
        <w:t>Tietz, N.W. (1990). Clinical guide to Laboratory Tests (2nd ed.). W.B. Saunders Company: Philadelphia, USA; 1990; 554- 556.</w:t>
      </w:r>
    </w:p>
    <w:p w14:paraId="2133837C" w14:textId="77777777" w:rsidR="0061139A" w:rsidRDefault="0061139A">
      <w:pPr>
        <w:spacing w:after="0" w:line="360" w:lineRule="auto"/>
        <w:ind w:left="1260" w:hanging="1260"/>
        <w:rPr>
          <w:rFonts w:ascii="Times New Roman" w:hAnsi="Times New Roman" w:cs="Times New Roman"/>
          <w:sz w:val="24"/>
          <w:szCs w:val="24"/>
        </w:rPr>
      </w:pPr>
    </w:p>
    <w:p w14:paraId="5047F8FF" w14:textId="77777777" w:rsidR="0061139A" w:rsidRDefault="003E41B9">
      <w:pPr>
        <w:spacing w:after="0" w:line="360" w:lineRule="auto"/>
        <w:ind w:left="1260" w:hanging="1260"/>
        <w:rPr>
          <w:rFonts w:ascii="Times New Roman" w:hAnsi="Times New Roman" w:cs="Times New Roman"/>
          <w:sz w:val="24"/>
          <w:szCs w:val="24"/>
        </w:rPr>
      </w:pPr>
      <w:r>
        <w:rPr>
          <w:rFonts w:ascii="Times New Roman" w:hAnsi="Times New Roman" w:cs="Times New Roman"/>
          <w:sz w:val="24"/>
          <w:szCs w:val="24"/>
        </w:rPr>
        <w:t>Tietz, N.W. (1995). Clinical Guide to Laboratory Tests. 3rd ed., Philadelphia, PA: WA Saunders Co. 622-626.</w:t>
      </w:r>
    </w:p>
    <w:p w14:paraId="74283D61" w14:textId="77777777" w:rsidR="0061139A" w:rsidRDefault="0061139A">
      <w:pPr>
        <w:autoSpaceDE w:val="0"/>
        <w:autoSpaceDN w:val="0"/>
        <w:adjustRightInd w:val="0"/>
        <w:spacing w:after="0" w:line="360" w:lineRule="auto"/>
        <w:ind w:left="1260" w:hanging="1260"/>
        <w:jc w:val="both"/>
        <w:rPr>
          <w:rFonts w:ascii="Times New Roman" w:hAnsi="Times New Roman" w:cs="Times New Roman"/>
          <w:sz w:val="24"/>
          <w:szCs w:val="24"/>
          <w:shd w:val="clear" w:color="auto" w:fill="FFFFFF"/>
        </w:rPr>
      </w:pPr>
    </w:p>
    <w:p w14:paraId="46C79DE9" w14:textId="77777777" w:rsidR="0061139A" w:rsidRDefault="003E41B9">
      <w:pPr>
        <w:autoSpaceDE w:val="0"/>
        <w:autoSpaceDN w:val="0"/>
        <w:adjustRightInd w:val="0"/>
        <w:spacing w:after="0" w:line="360" w:lineRule="auto"/>
        <w:ind w:left="1260" w:hanging="12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Vaziryan, M., Banaee  M.,  Nematdoost  Hagi  B.,  Mohiseni M. (2017). Effects of dietary exposure to aflatoxins on some plasma biochemical parameters of common carp (</w:t>
      </w:r>
      <w:r>
        <w:rPr>
          <w:rFonts w:ascii="Times New Roman" w:hAnsi="Times New Roman" w:cs="Times New Roman"/>
          <w:i/>
          <w:sz w:val="24"/>
          <w:szCs w:val="24"/>
          <w:shd w:val="clear" w:color="auto" w:fill="FFFFFF"/>
        </w:rPr>
        <w:t>Cyprinus carpio</w:t>
      </w:r>
      <w:r>
        <w:rPr>
          <w:rFonts w:ascii="Times New Roman" w:hAnsi="Times New Roman" w:cs="Times New Roman"/>
          <w:sz w:val="24"/>
          <w:szCs w:val="24"/>
          <w:shd w:val="clear" w:color="auto" w:fill="FFFFFF"/>
        </w:rPr>
        <w:t xml:space="preserve">). </w:t>
      </w:r>
      <w:r>
        <w:rPr>
          <w:rFonts w:ascii="Times New Roman" w:hAnsi="Times New Roman" w:cs="Times New Roman"/>
          <w:i/>
          <w:sz w:val="24"/>
          <w:szCs w:val="24"/>
          <w:shd w:val="clear" w:color="auto" w:fill="FFFFFF"/>
        </w:rPr>
        <w:t>Iranian Journal of Fisheries Sciences, 17</w:t>
      </w:r>
      <w:r>
        <w:rPr>
          <w:rFonts w:ascii="Times New Roman" w:hAnsi="Times New Roman" w:cs="Times New Roman"/>
          <w:sz w:val="24"/>
          <w:szCs w:val="24"/>
          <w:shd w:val="clear" w:color="auto" w:fill="FFFFFF"/>
        </w:rPr>
        <w:t>(3):487-502.</w:t>
      </w:r>
    </w:p>
    <w:p w14:paraId="7301CE3B" w14:textId="77777777" w:rsidR="0061139A" w:rsidRDefault="0061139A">
      <w:pPr>
        <w:spacing w:line="360" w:lineRule="auto"/>
        <w:ind w:left="1260" w:hanging="1260"/>
        <w:jc w:val="both"/>
        <w:rPr>
          <w:rFonts w:ascii="Times New Roman" w:eastAsia="Times New Roman" w:hAnsi="Times New Roman" w:cs="Times New Roman"/>
          <w:sz w:val="24"/>
          <w:szCs w:val="24"/>
        </w:rPr>
      </w:pPr>
    </w:p>
    <w:p w14:paraId="27519E6D" w14:textId="77777777" w:rsidR="0061139A" w:rsidRDefault="003E41B9">
      <w:pPr>
        <w:spacing w:line="360" w:lineRule="auto"/>
        <w:ind w:left="1260" w:hanging="1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Zaki, M.S., Attia, A., Zaid, A., Mostafa, F., Abdelzaher M.F &amp; Shalaby, S.I. (2014). Clinicopathological Changes in Fish Exposed To Pollutants. </w:t>
      </w:r>
      <w:r>
        <w:rPr>
          <w:rFonts w:ascii="Times New Roman" w:eastAsia="Times New Roman" w:hAnsi="Times New Roman" w:cs="Times New Roman"/>
          <w:i/>
          <w:sz w:val="24"/>
          <w:szCs w:val="24"/>
        </w:rPr>
        <w:t>Life Science Journal 11</w:t>
      </w:r>
      <w:r>
        <w:rPr>
          <w:rFonts w:ascii="Times New Roman" w:eastAsia="Times New Roman" w:hAnsi="Times New Roman" w:cs="Times New Roman"/>
          <w:sz w:val="24"/>
          <w:szCs w:val="24"/>
        </w:rPr>
        <w:t>(3).</w:t>
      </w:r>
    </w:p>
    <w:p w14:paraId="01379225" w14:textId="77777777" w:rsidR="0061139A" w:rsidRDefault="003E41B9">
      <w:pPr>
        <w:spacing w:line="360" w:lineRule="auto"/>
        <w:ind w:left="1260" w:hanging="1260"/>
        <w:jc w:val="both"/>
        <w:rPr>
          <w:rFonts w:ascii="Times New Roman" w:eastAsia="Times New Roman" w:hAnsi="Times New Roman" w:cs="Times New Roman"/>
          <w:b/>
          <w:sz w:val="24"/>
          <w:szCs w:val="24"/>
        </w:rPr>
      </w:pPr>
      <w:r>
        <w:rPr>
          <w:rFonts w:ascii="Times New Roman" w:hAnsi="Times New Roman" w:cs="Times New Roman"/>
          <w:color w:val="000000"/>
          <w:sz w:val="24"/>
          <w:szCs w:val="24"/>
          <w:shd w:val="clear" w:color="auto" w:fill="FFFFFF"/>
        </w:rPr>
        <w:t>Zeyad Gattea Koshan Al-Rikabi, Montaha Abulkareem Al-Saffar, Adnan H. Abbas (2021). The accumulative effect of heavy metals on liver and kidney functions. (2021). </w:t>
      </w:r>
      <w:r>
        <w:rPr>
          <w:rStyle w:val="Emphasis"/>
          <w:rFonts w:ascii="Times New Roman" w:hAnsi="Times New Roman" w:cs="Times New Roman"/>
          <w:color w:val="000000"/>
          <w:sz w:val="24"/>
          <w:szCs w:val="24"/>
          <w:shd w:val="clear" w:color="auto" w:fill="FFFFFF"/>
        </w:rPr>
        <w:t>Medico-Legal Update</w:t>
      </w:r>
      <w:r>
        <w:rPr>
          <w:rFonts w:ascii="Times New Roman" w:hAnsi="Times New Roman" w:cs="Times New Roman"/>
          <w:color w:val="000000"/>
          <w:sz w:val="24"/>
          <w:szCs w:val="24"/>
          <w:shd w:val="clear" w:color="auto" w:fill="FFFFFF"/>
        </w:rPr>
        <w:t>. </w:t>
      </w:r>
      <w:hyperlink r:id="rId18" w:history="1">
        <w:r>
          <w:rPr>
            <w:rStyle w:val="Hyperlink"/>
            <w:rFonts w:ascii="Times New Roman" w:hAnsi="Times New Roman" w:cs="Times New Roman"/>
            <w:color w:val="000000"/>
            <w:sz w:val="24"/>
            <w:szCs w:val="24"/>
            <w:shd w:val="clear" w:color="auto" w:fill="FFFFFF"/>
          </w:rPr>
          <w:t>https://doi.org/10.37506/mlu.v21i1.2466</w:t>
        </w:r>
      </w:hyperlink>
    </w:p>
    <w:p w14:paraId="4BEE410D" w14:textId="77777777" w:rsidR="0061139A" w:rsidRDefault="0061139A"/>
    <w:p w14:paraId="0E425EA0" w14:textId="77777777" w:rsidR="0061139A" w:rsidRDefault="0061139A"/>
    <w:sectPr w:rsidR="0061139A" w:rsidSect="0061139A">
      <w:headerReference w:type="even" r:id="rId19"/>
      <w:headerReference w:type="default" r:id="rId20"/>
      <w:footerReference w:type="even" r:id="rId21"/>
      <w:footerReference w:type="default" r:id="rId22"/>
      <w:headerReference w:type="first" r:id="rId23"/>
      <w:footerReference w:type="first" r:id="rId24"/>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3CD49" w14:textId="77777777" w:rsidR="00895677" w:rsidRDefault="00895677">
      <w:pPr>
        <w:spacing w:line="240" w:lineRule="auto"/>
      </w:pPr>
      <w:r>
        <w:separator/>
      </w:r>
    </w:p>
  </w:endnote>
  <w:endnote w:type="continuationSeparator" w:id="0">
    <w:p w14:paraId="42CD7E33" w14:textId="77777777" w:rsidR="00895677" w:rsidRDefault="008956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23C78" w14:textId="77777777" w:rsidR="003E41B9" w:rsidRDefault="003E41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4066154"/>
      <w:docPartObj>
        <w:docPartGallery w:val="AutoText"/>
      </w:docPartObj>
    </w:sdtPr>
    <w:sdtContent>
      <w:p w14:paraId="4DDF2610" w14:textId="77777777" w:rsidR="003E41B9" w:rsidRDefault="00BA03A2">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04C4087C" w14:textId="77777777" w:rsidR="003E41B9" w:rsidRDefault="003E41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79894" w14:textId="77777777" w:rsidR="003E41B9" w:rsidRDefault="003E4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4C3BE" w14:textId="77777777" w:rsidR="00895677" w:rsidRDefault="00895677">
      <w:pPr>
        <w:spacing w:after="0"/>
      </w:pPr>
      <w:r>
        <w:separator/>
      </w:r>
    </w:p>
  </w:footnote>
  <w:footnote w:type="continuationSeparator" w:id="0">
    <w:p w14:paraId="70C399DE" w14:textId="77777777" w:rsidR="00895677" w:rsidRDefault="008956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84C84" w14:textId="77777777" w:rsidR="003E41B9" w:rsidRDefault="00000000">
    <w:pPr>
      <w:pStyle w:val="Header"/>
    </w:pPr>
    <w:r>
      <w:pict w14:anchorId="158239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515141" o:spid="_x0000_s1026"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B4550" w14:textId="77777777" w:rsidR="003E41B9" w:rsidRDefault="00000000">
    <w:pPr>
      <w:pStyle w:val="Header"/>
    </w:pPr>
    <w:r>
      <w:pict w14:anchorId="3FE152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515142" o:spid="_x0000_s1027"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6058B" w14:textId="77777777" w:rsidR="003E41B9" w:rsidRDefault="00000000">
    <w:pPr>
      <w:pStyle w:val="Header"/>
    </w:pPr>
    <w:r>
      <w:pict w14:anchorId="4225EA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51514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fitpath="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7B92"/>
    <w:rsid w:val="000422E0"/>
    <w:rsid w:val="00070A9B"/>
    <w:rsid w:val="000D3B53"/>
    <w:rsid w:val="001823C6"/>
    <w:rsid w:val="001A14D6"/>
    <w:rsid w:val="00262E8B"/>
    <w:rsid w:val="003E41B9"/>
    <w:rsid w:val="0053625C"/>
    <w:rsid w:val="00581491"/>
    <w:rsid w:val="0061139A"/>
    <w:rsid w:val="006375A8"/>
    <w:rsid w:val="006758B0"/>
    <w:rsid w:val="00681DCE"/>
    <w:rsid w:val="00694FAB"/>
    <w:rsid w:val="006E1F9F"/>
    <w:rsid w:val="00707922"/>
    <w:rsid w:val="00735EDD"/>
    <w:rsid w:val="007F532C"/>
    <w:rsid w:val="00822619"/>
    <w:rsid w:val="00830A76"/>
    <w:rsid w:val="00895677"/>
    <w:rsid w:val="009476D5"/>
    <w:rsid w:val="00957EEF"/>
    <w:rsid w:val="009713E1"/>
    <w:rsid w:val="0098320A"/>
    <w:rsid w:val="00A11391"/>
    <w:rsid w:val="00A3123A"/>
    <w:rsid w:val="00A31F21"/>
    <w:rsid w:val="00AD6531"/>
    <w:rsid w:val="00B01C6B"/>
    <w:rsid w:val="00B56AA2"/>
    <w:rsid w:val="00BA03A2"/>
    <w:rsid w:val="00BA3B4E"/>
    <w:rsid w:val="00BD41A5"/>
    <w:rsid w:val="00D150B4"/>
    <w:rsid w:val="00D86B83"/>
    <w:rsid w:val="00DE14B5"/>
    <w:rsid w:val="00EC7B92"/>
    <w:rsid w:val="00EE01F7"/>
    <w:rsid w:val="00FA3013"/>
    <w:rsid w:val="00FF434D"/>
    <w:rsid w:val="3F4641F8"/>
    <w:rsid w:val="43874103"/>
    <w:rsid w:val="4C7442BF"/>
    <w:rsid w:val="768D37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BE6CC"/>
  <w15:docId w15:val="{A48680A5-C147-4737-B9AE-21159148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39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1139A"/>
    <w:pPr>
      <w:spacing w:after="0" w:line="240" w:lineRule="auto"/>
    </w:pPr>
    <w:rPr>
      <w:rFonts w:ascii="Tahoma" w:hAnsi="Tahoma" w:cs="Tahoma"/>
      <w:sz w:val="16"/>
      <w:szCs w:val="16"/>
    </w:rPr>
  </w:style>
  <w:style w:type="paragraph" w:styleId="CommentText">
    <w:name w:val="annotation text"/>
    <w:basedOn w:val="Normal"/>
    <w:uiPriority w:val="99"/>
    <w:semiHidden/>
    <w:unhideWhenUsed/>
    <w:rsid w:val="0061139A"/>
  </w:style>
  <w:style w:type="character" w:styleId="Emphasis">
    <w:name w:val="Emphasis"/>
    <w:basedOn w:val="DefaultParagraphFont"/>
    <w:uiPriority w:val="20"/>
    <w:qFormat/>
    <w:rsid w:val="0061139A"/>
    <w:rPr>
      <w:i/>
      <w:iCs/>
    </w:rPr>
  </w:style>
  <w:style w:type="paragraph" w:styleId="Footer">
    <w:name w:val="footer"/>
    <w:basedOn w:val="Normal"/>
    <w:link w:val="FooterChar"/>
    <w:uiPriority w:val="99"/>
    <w:unhideWhenUsed/>
    <w:qFormat/>
    <w:rsid w:val="0061139A"/>
    <w:pPr>
      <w:tabs>
        <w:tab w:val="center" w:pos="4680"/>
        <w:tab w:val="right" w:pos="9360"/>
      </w:tabs>
      <w:spacing w:after="0" w:line="240" w:lineRule="auto"/>
    </w:pPr>
  </w:style>
  <w:style w:type="paragraph" w:styleId="Header">
    <w:name w:val="header"/>
    <w:basedOn w:val="Normal"/>
    <w:link w:val="HeaderChar"/>
    <w:uiPriority w:val="99"/>
    <w:unhideWhenUsed/>
    <w:qFormat/>
    <w:rsid w:val="0061139A"/>
    <w:pPr>
      <w:tabs>
        <w:tab w:val="center" w:pos="4680"/>
        <w:tab w:val="right" w:pos="9360"/>
      </w:tabs>
      <w:spacing w:after="0" w:line="240" w:lineRule="auto"/>
    </w:pPr>
  </w:style>
  <w:style w:type="character" w:styleId="Hyperlink">
    <w:name w:val="Hyperlink"/>
    <w:basedOn w:val="DefaultParagraphFont"/>
    <w:uiPriority w:val="99"/>
    <w:unhideWhenUsed/>
    <w:rsid w:val="0061139A"/>
    <w:rPr>
      <w:color w:val="0000FF"/>
      <w:u w:val="single"/>
    </w:rPr>
  </w:style>
  <w:style w:type="paragraph" w:styleId="NormalWeb">
    <w:name w:val="Normal (Web)"/>
    <w:basedOn w:val="Normal"/>
    <w:uiPriority w:val="99"/>
    <w:unhideWhenUsed/>
    <w:qFormat/>
    <w:rsid w:val="0061139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113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loonTextChar">
    <w:name w:val="Balloon Text Char"/>
    <w:basedOn w:val="DefaultParagraphFont"/>
    <w:link w:val="BalloonText"/>
    <w:uiPriority w:val="99"/>
    <w:semiHidden/>
    <w:qFormat/>
    <w:rsid w:val="0061139A"/>
    <w:rPr>
      <w:rFonts w:ascii="Tahoma" w:hAnsi="Tahoma" w:cs="Tahoma"/>
      <w:sz w:val="16"/>
      <w:szCs w:val="16"/>
    </w:rPr>
  </w:style>
  <w:style w:type="character" w:customStyle="1" w:styleId="HeaderChar">
    <w:name w:val="Header Char"/>
    <w:basedOn w:val="DefaultParagraphFont"/>
    <w:link w:val="Header"/>
    <w:uiPriority w:val="99"/>
    <w:rsid w:val="0061139A"/>
  </w:style>
  <w:style w:type="character" w:customStyle="1" w:styleId="FooterChar">
    <w:name w:val="Footer Char"/>
    <w:basedOn w:val="DefaultParagraphFont"/>
    <w:link w:val="Footer"/>
    <w:uiPriority w:val="99"/>
    <w:rsid w:val="0061139A"/>
  </w:style>
  <w:style w:type="character" w:customStyle="1" w:styleId="UnresolvedMention1">
    <w:name w:val="Unresolved Mention1"/>
    <w:basedOn w:val="DefaultParagraphFont"/>
    <w:uiPriority w:val="99"/>
    <w:semiHidden/>
    <w:unhideWhenUsed/>
    <w:qFormat/>
    <w:rsid w:val="0061139A"/>
    <w:rPr>
      <w:color w:val="605E5C"/>
      <w:shd w:val="clear" w:color="auto" w:fill="E1DFDD"/>
    </w:rPr>
  </w:style>
  <w:style w:type="character" w:styleId="CommentReference">
    <w:name w:val="annotation reference"/>
    <w:basedOn w:val="DefaultParagraphFont"/>
    <w:uiPriority w:val="99"/>
    <w:semiHidden/>
    <w:unhideWhenUsed/>
    <w:rsid w:val="0061139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1088/1755-1315/779/1/012066" TargetMode="External"/><Relationship Id="rId13" Type="http://schemas.openxmlformats.org/officeDocument/2006/relationships/hyperlink" Target="https://doi.org/10.15520/ijcrr/2018/9/01/390" TargetMode="External"/><Relationship Id="rId18" Type="http://schemas.openxmlformats.org/officeDocument/2006/relationships/hyperlink" Target="https://doi.org/10.37506/mlu.v21i1.246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doi.org/10.1016/j.sjbs.2020.01.015" TargetMode="External"/><Relationship Id="rId12" Type="http://schemas.openxmlformats.org/officeDocument/2006/relationships/hyperlink" Target="https://doi.org/10.21608/ejabf.2019.28010" TargetMode="External"/><Relationship Id="rId17" Type="http://schemas.openxmlformats.org/officeDocument/2006/relationships/hyperlink" Target="https://doi.org/10.46488/nept.2020.v19i02.02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46505/ijbi.2020.210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21608/idj.2019.219877"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21608/eajbsc.2013.16112" TargetMode="External"/><Relationship Id="rId23" Type="http://schemas.openxmlformats.org/officeDocument/2006/relationships/header" Target="header3.xml"/><Relationship Id="rId10" Type="http://schemas.openxmlformats.org/officeDocument/2006/relationships/hyperlink" Target="https://doi.org/10.21608/ajbs.2019.63986"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16/j.chemosphere.2020.126311" TargetMode="External"/><Relationship Id="rId14" Type="http://schemas.openxmlformats.org/officeDocument/2006/relationships/hyperlink" Target="https://doi.org/10.1186/s12917-024-04094-9"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14</Pages>
  <Words>4035</Words>
  <Characters>23003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USCHIP</dc:creator>
  <cp:lastModifiedBy>Editor GP 005</cp:lastModifiedBy>
  <cp:revision>25</cp:revision>
  <dcterms:created xsi:type="dcterms:W3CDTF">2025-01-31T20:24:00Z</dcterms:created>
  <dcterms:modified xsi:type="dcterms:W3CDTF">2025-03-12T05:10:00Z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2A72F8CF15DB4022B7818477E148C04C_13</vt:lpwstr>
  </property>
</Properties>
</file>