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C5CE7" w14:textId="35463171" w:rsidR="000C311F" w:rsidRPr="00344929" w:rsidRDefault="0026378A" w:rsidP="0026378A">
      <w:pPr>
        <w:jc w:val="center"/>
        <w:rPr>
          <w:rFonts w:ascii="Arial" w:hAnsi="Arial" w:cs="Arial"/>
          <w:b/>
          <w:bCs/>
          <w:sz w:val="24"/>
          <w:szCs w:val="24"/>
        </w:rPr>
      </w:pPr>
      <w:r w:rsidRPr="00344929">
        <w:rPr>
          <w:rFonts w:ascii="Arial" w:hAnsi="Arial" w:cs="Arial"/>
          <w:b/>
          <w:bCs/>
          <w:sz w:val="24"/>
          <w:szCs w:val="24"/>
        </w:rPr>
        <w:t xml:space="preserve">Impact </w:t>
      </w:r>
      <w:r w:rsidR="00C318A0">
        <w:rPr>
          <w:rFonts w:ascii="Arial" w:hAnsi="Arial" w:cs="Arial"/>
          <w:b/>
          <w:bCs/>
          <w:sz w:val="24"/>
          <w:szCs w:val="24"/>
        </w:rPr>
        <w:t>o</w:t>
      </w:r>
      <w:r w:rsidRPr="00344929">
        <w:rPr>
          <w:rFonts w:ascii="Arial" w:hAnsi="Arial" w:cs="Arial"/>
          <w:b/>
          <w:bCs/>
          <w:sz w:val="24"/>
          <w:szCs w:val="24"/>
        </w:rPr>
        <w:t xml:space="preserve">f Long-Term Manuring and Fertilization on Micronutrient </w:t>
      </w:r>
      <w:r w:rsidR="001B2C11" w:rsidRPr="00344929">
        <w:rPr>
          <w:rFonts w:ascii="Arial" w:hAnsi="Arial" w:cs="Arial"/>
          <w:b/>
          <w:bCs/>
          <w:sz w:val="24"/>
          <w:szCs w:val="24"/>
        </w:rPr>
        <w:t xml:space="preserve">Status </w:t>
      </w:r>
      <w:r w:rsidRPr="00344929">
        <w:rPr>
          <w:rFonts w:ascii="Arial" w:hAnsi="Arial" w:cs="Arial"/>
          <w:b/>
          <w:bCs/>
          <w:sz w:val="24"/>
          <w:szCs w:val="24"/>
        </w:rPr>
        <w:t>Under Sorghum-Wheat Cropping Sequence</w:t>
      </w:r>
      <w:r w:rsidR="00BC6582">
        <w:rPr>
          <w:rFonts w:ascii="Arial" w:hAnsi="Arial" w:cs="Arial"/>
          <w:b/>
          <w:bCs/>
          <w:sz w:val="24"/>
          <w:szCs w:val="24"/>
        </w:rPr>
        <w:t xml:space="preserve"> in </w:t>
      </w:r>
      <w:proofErr w:type="spellStart"/>
      <w:r w:rsidR="00BC6582" w:rsidRPr="000063B8">
        <w:rPr>
          <w:rFonts w:ascii="Arial" w:hAnsi="Arial" w:cs="Arial"/>
          <w:b/>
          <w:bCs/>
          <w:sz w:val="24"/>
          <w:szCs w:val="24"/>
          <w:highlight w:val="green"/>
        </w:rPr>
        <w:t>Vertisol</w:t>
      </w:r>
      <w:r w:rsidR="000063B8" w:rsidRPr="000063B8">
        <w:rPr>
          <w:rFonts w:ascii="Arial" w:hAnsi="Arial" w:cs="Arial"/>
          <w:b/>
          <w:bCs/>
          <w:sz w:val="24"/>
          <w:szCs w:val="24"/>
          <w:highlight w:val="green"/>
        </w:rPr>
        <w:t>s</w:t>
      </w:r>
      <w:proofErr w:type="spellEnd"/>
    </w:p>
    <w:p w14:paraId="7D522F3E" w14:textId="660393BD" w:rsidR="00EB2388" w:rsidRDefault="00EB2388" w:rsidP="009E7083">
      <w:pPr>
        <w:jc w:val="center"/>
        <w:rPr>
          <w:rFonts w:ascii="Times New Roman" w:hAnsi="Times New Roman" w:cs="Times New Roman"/>
          <w:b/>
          <w:bCs/>
          <w:i/>
          <w:iCs/>
          <w:sz w:val="24"/>
          <w:szCs w:val="24"/>
        </w:rPr>
      </w:pPr>
    </w:p>
    <w:p w14:paraId="3247AE2D" w14:textId="77777777" w:rsidR="00443BFB" w:rsidRPr="009E7083" w:rsidRDefault="00443BFB" w:rsidP="009E7083">
      <w:pPr>
        <w:jc w:val="center"/>
        <w:rPr>
          <w:rFonts w:ascii="Times New Roman" w:hAnsi="Times New Roman" w:cs="Times New Roman"/>
          <w:b/>
          <w:bCs/>
          <w:i/>
          <w:iCs/>
          <w:sz w:val="24"/>
          <w:szCs w:val="24"/>
        </w:rPr>
      </w:pPr>
    </w:p>
    <w:p w14:paraId="70056667" w14:textId="77777777" w:rsidR="00C80CC8" w:rsidRPr="00AD741C" w:rsidRDefault="00C80CC8" w:rsidP="00C80CC8">
      <w:pPr>
        <w:jc w:val="center"/>
        <w:rPr>
          <w:rFonts w:ascii="Times New Roman" w:hAnsi="Times New Roman" w:cs="Times New Roman"/>
          <w:b/>
          <w:bCs/>
          <w:sz w:val="24"/>
          <w:szCs w:val="24"/>
        </w:rPr>
      </w:pPr>
      <w:r w:rsidRPr="00AD741C">
        <w:rPr>
          <w:rFonts w:ascii="Times New Roman" w:hAnsi="Times New Roman" w:cs="Times New Roman"/>
          <w:b/>
          <w:bCs/>
          <w:sz w:val="24"/>
          <w:szCs w:val="24"/>
        </w:rPr>
        <w:t>ABSTRACT</w:t>
      </w:r>
    </w:p>
    <w:p w14:paraId="3E9D935D" w14:textId="043EB447" w:rsidR="003E1964" w:rsidRPr="00C80CC8" w:rsidRDefault="00C80CC8" w:rsidP="00C80CC8">
      <w:pPr>
        <w:jc w:val="both"/>
        <w:rPr>
          <w:rFonts w:ascii="Times New Roman" w:hAnsi="Times New Roman" w:cs="Times New Roman"/>
          <w:sz w:val="24"/>
          <w:szCs w:val="24"/>
        </w:rPr>
      </w:pPr>
      <w:r w:rsidRPr="00AD741C">
        <w:rPr>
          <w:rFonts w:ascii="Times New Roman" w:hAnsi="Times New Roman" w:cs="Times New Roman"/>
          <w:sz w:val="24"/>
          <w:szCs w:val="24"/>
        </w:rPr>
        <w:t>A long-term fertilizer experiment has been under progress since 1988-89 at LTFE field department of soil science PGI, Dr. PDKV, Akola with sorghum wheat cropping sequence consisting of twelve treatments and replicated four times in a randomized block design. The present study was conducted to assess the influence of continuous fertilizer and manure application on micronutrient availability in long term fertilizer experiment during 2023-24. Long term application of organic and inorganic fertilizers in combination (</w:t>
      </w:r>
      <w:r w:rsidRPr="00AD741C">
        <w:rPr>
          <w:rFonts w:ascii="Times New Roman" w:hAnsi="Times New Roman" w:cs="Times New Roman"/>
          <w:color w:val="000000"/>
          <w:sz w:val="24"/>
          <w:szCs w:val="24"/>
        </w:rPr>
        <w:t xml:space="preserve">100 % NPK+ FYM @ 5 t ha </w:t>
      </w:r>
      <w:r w:rsidRPr="00AD741C">
        <w:rPr>
          <w:rFonts w:ascii="Times New Roman" w:hAnsi="Times New Roman" w:cs="Times New Roman"/>
          <w:color w:val="000000"/>
          <w:sz w:val="24"/>
          <w:szCs w:val="24"/>
          <w:vertAlign w:val="superscript"/>
        </w:rPr>
        <w:t>-1</w:t>
      </w:r>
      <w:r w:rsidRPr="00AD741C">
        <w:rPr>
          <w:rFonts w:ascii="Times New Roman" w:hAnsi="Times New Roman" w:cs="Times New Roman"/>
          <w:color w:val="000000"/>
          <w:sz w:val="24"/>
          <w:szCs w:val="24"/>
        </w:rPr>
        <w:t xml:space="preserve">, FYM @ 10 t ha </w:t>
      </w:r>
      <w:r w:rsidRPr="00AD741C">
        <w:rPr>
          <w:rFonts w:ascii="Times New Roman" w:hAnsi="Times New Roman" w:cs="Times New Roman"/>
          <w:color w:val="000000"/>
          <w:sz w:val="24"/>
          <w:szCs w:val="24"/>
          <w:vertAlign w:val="superscript"/>
        </w:rPr>
        <w:t xml:space="preserve">-1 </w:t>
      </w:r>
      <w:r w:rsidRPr="00AD741C">
        <w:rPr>
          <w:rFonts w:ascii="Times New Roman" w:hAnsi="Times New Roman" w:cs="Times New Roman"/>
          <w:color w:val="000000"/>
          <w:sz w:val="24"/>
          <w:szCs w:val="24"/>
        </w:rPr>
        <w:t>and 75% NPK + 25 % N through FYM</w:t>
      </w:r>
      <w:r w:rsidRPr="00AD741C">
        <w:rPr>
          <w:rFonts w:ascii="Times New Roman" w:hAnsi="Times New Roman" w:cs="Times New Roman"/>
          <w:sz w:val="24"/>
          <w:szCs w:val="24"/>
        </w:rPr>
        <w:t>) or balanced fertilization (</w:t>
      </w:r>
      <w:r w:rsidRPr="00AD741C">
        <w:rPr>
          <w:rFonts w:ascii="Times New Roman" w:hAnsi="Times New Roman" w:cs="Times New Roman"/>
          <w:color w:val="000000"/>
          <w:sz w:val="24"/>
          <w:szCs w:val="24"/>
        </w:rPr>
        <w:t>100% NPK, 150% NPK and 100 % NPK + Zn@ 2.5 kg ha</w:t>
      </w:r>
      <w:r w:rsidRPr="00AD741C">
        <w:rPr>
          <w:rFonts w:ascii="Times New Roman" w:hAnsi="Times New Roman" w:cs="Times New Roman"/>
          <w:color w:val="000000"/>
          <w:sz w:val="24"/>
          <w:szCs w:val="24"/>
          <w:vertAlign w:val="superscript"/>
        </w:rPr>
        <w:t xml:space="preserve"> -1</w:t>
      </w:r>
      <w:r w:rsidRPr="00AD741C">
        <w:rPr>
          <w:rFonts w:ascii="Times New Roman" w:hAnsi="Times New Roman" w:cs="Times New Roman"/>
          <w:sz w:val="24"/>
          <w:szCs w:val="24"/>
        </w:rPr>
        <w:t>) for about 36</w:t>
      </w:r>
      <w:r w:rsidRPr="00AD741C">
        <w:rPr>
          <w:rFonts w:ascii="Times New Roman" w:hAnsi="Times New Roman" w:cs="Times New Roman"/>
          <w:sz w:val="24"/>
          <w:szCs w:val="24"/>
          <w:vertAlign w:val="superscript"/>
        </w:rPr>
        <w:t>th</w:t>
      </w:r>
      <w:r w:rsidRPr="00AD741C">
        <w:rPr>
          <w:rFonts w:ascii="Times New Roman" w:hAnsi="Times New Roman" w:cs="Times New Roman"/>
          <w:sz w:val="24"/>
          <w:szCs w:val="24"/>
        </w:rPr>
        <w:t xml:space="preserve"> cropping cycles lead to marked increase in soil micronutrient availability.</w:t>
      </w:r>
      <w:r w:rsidR="006C624D">
        <w:rPr>
          <w:rFonts w:ascii="Times New Roman" w:hAnsi="Times New Roman" w:cs="Times New Roman"/>
          <w:sz w:val="24"/>
          <w:szCs w:val="24"/>
        </w:rPr>
        <w:t xml:space="preserve"> </w:t>
      </w:r>
      <w:r w:rsidR="006C624D">
        <w:rPr>
          <w:rFonts w:ascii="Times New Roman" w:hAnsi="Times New Roman" w:cs="Times New Roman"/>
          <w:sz w:val="24"/>
          <w:szCs w:val="24"/>
          <w:highlight w:val="green"/>
        </w:rPr>
        <w:t>A</w:t>
      </w:r>
      <w:r w:rsidR="006C624D" w:rsidRPr="006C624D">
        <w:rPr>
          <w:rFonts w:ascii="Times New Roman" w:hAnsi="Times New Roman" w:cs="Times New Roman"/>
          <w:sz w:val="24"/>
          <w:szCs w:val="24"/>
          <w:highlight w:val="green"/>
        </w:rPr>
        <w:t>ll four micronutrient cations were significantly higher under INM treatments. On an average, the INM treatments (T</w:t>
      </w:r>
      <w:r w:rsidR="006C624D" w:rsidRPr="006C624D">
        <w:rPr>
          <w:rFonts w:ascii="Times New Roman" w:hAnsi="Times New Roman" w:cs="Times New Roman"/>
          <w:sz w:val="24"/>
          <w:szCs w:val="24"/>
          <w:highlight w:val="green"/>
          <w:vertAlign w:val="subscript"/>
        </w:rPr>
        <w:t>8</w:t>
      </w:r>
      <w:r w:rsidR="006C624D" w:rsidRPr="006C624D">
        <w:rPr>
          <w:rFonts w:ascii="Times New Roman" w:hAnsi="Times New Roman" w:cs="Times New Roman"/>
          <w:sz w:val="24"/>
          <w:szCs w:val="24"/>
          <w:highlight w:val="green"/>
        </w:rPr>
        <w:t>) had 53.29, 22.86, 69.56</w:t>
      </w:r>
      <w:r w:rsidR="006C624D">
        <w:rPr>
          <w:rFonts w:ascii="Times New Roman" w:hAnsi="Times New Roman" w:cs="Times New Roman"/>
          <w:sz w:val="24"/>
          <w:szCs w:val="24"/>
          <w:highlight w:val="green"/>
        </w:rPr>
        <w:t xml:space="preserve"> </w:t>
      </w:r>
      <w:r w:rsidR="006C624D" w:rsidRPr="006C624D">
        <w:rPr>
          <w:rFonts w:ascii="Times New Roman" w:hAnsi="Times New Roman" w:cs="Times New Roman"/>
          <w:sz w:val="24"/>
          <w:szCs w:val="24"/>
          <w:highlight w:val="green"/>
        </w:rPr>
        <w:t xml:space="preserve">and 34.44 % higher content of available Fe, Mn, Zn and Cu respectively, over the </w:t>
      </w:r>
      <w:r w:rsidR="00E15E6D">
        <w:rPr>
          <w:rFonts w:ascii="Times New Roman" w:hAnsi="Times New Roman" w:cs="Times New Roman"/>
          <w:sz w:val="24"/>
          <w:szCs w:val="24"/>
          <w:highlight w:val="green"/>
        </w:rPr>
        <w:t xml:space="preserve">balance fertilizer </w:t>
      </w:r>
      <w:r w:rsidR="006C624D" w:rsidRPr="006C624D">
        <w:rPr>
          <w:rFonts w:ascii="Times New Roman" w:hAnsi="Times New Roman" w:cs="Times New Roman"/>
          <w:sz w:val="24"/>
          <w:szCs w:val="24"/>
          <w:highlight w:val="green"/>
        </w:rPr>
        <w:t>(T</w:t>
      </w:r>
      <w:r w:rsidR="006C624D" w:rsidRPr="006C624D">
        <w:rPr>
          <w:rFonts w:ascii="Times New Roman" w:hAnsi="Times New Roman" w:cs="Times New Roman"/>
          <w:sz w:val="24"/>
          <w:szCs w:val="24"/>
          <w:highlight w:val="green"/>
          <w:vertAlign w:val="subscript"/>
        </w:rPr>
        <w:t>2</w:t>
      </w:r>
      <w:r w:rsidR="006C624D" w:rsidRPr="006C624D">
        <w:rPr>
          <w:rFonts w:ascii="Times New Roman" w:hAnsi="Times New Roman" w:cs="Times New Roman"/>
          <w:sz w:val="24"/>
          <w:szCs w:val="24"/>
          <w:highlight w:val="green"/>
        </w:rPr>
        <w:t>).</w:t>
      </w:r>
      <w:r w:rsidRPr="00AD741C">
        <w:rPr>
          <w:rFonts w:ascii="Times New Roman" w:hAnsi="Times New Roman" w:cs="Times New Roman"/>
          <w:sz w:val="24"/>
          <w:szCs w:val="24"/>
        </w:rPr>
        <w:t xml:space="preserve"> However, continuous cultivation of crops without or imbalanced nutrient supply (</w:t>
      </w:r>
      <w:r w:rsidRPr="00AD741C">
        <w:rPr>
          <w:rFonts w:ascii="Times New Roman" w:hAnsi="Times New Roman" w:cs="Times New Roman"/>
          <w:color w:val="000000"/>
          <w:sz w:val="24"/>
          <w:szCs w:val="24"/>
        </w:rPr>
        <w:t xml:space="preserve">50% NPK, 100 %NPK (-S), 100 % NP, 100 % N and Control) lead to decline in soil micronutrient status. Balanced fertilization and organic matter addition has played an important role in improving micronutrient status in soil after </w:t>
      </w:r>
      <w:r w:rsidRPr="00AD741C">
        <w:rPr>
          <w:rFonts w:ascii="Times New Roman" w:hAnsi="Times New Roman" w:cs="Times New Roman"/>
          <w:sz w:val="24"/>
          <w:szCs w:val="24"/>
        </w:rPr>
        <w:t>36</w:t>
      </w:r>
      <w:r w:rsidRPr="00AD741C">
        <w:rPr>
          <w:rFonts w:ascii="Times New Roman" w:hAnsi="Times New Roman" w:cs="Times New Roman"/>
          <w:sz w:val="24"/>
          <w:szCs w:val="24"/>
          <w:vertAlign w:val="superscript"/>
        </w:rPr>
        <w:t xml:space="preserve"> </w:t>
      </w:r>
      <w:r w:rsidRPr="00AD741C">
        <w:rPr>
          <w:rFonts w:ascii="Times New Roman" w:hAnsi="Times New Roman" w:cs="Times New Roman"/>
          <w:sz w:val="24"/>
          <w:szCs w:val="24"/>
        </w:rPr>
        <w:t xml:space="preserve">years of cropping cycles. </w:t>
      </w:r>
    </w:p>
    <w:p w14:paraId="2BFDD335" w14:textId="1FEF7514" w:rsidR="003E1964" w:rsidRPr="00C80CC8" w:rsidRDefault="00C80CC8" w:rsidP="00C80CC8">
      <w:pPr>
        <w:jc w:val="both"/>
        <w:rPr>
          <w:rFonts w:ascii="Times New Roman" w:hAnsi="Times New Roman" w:cs="Times New Roman"/>
          <w:sz w:val="24"/>
          <w:szCs w:val="24"/>
        </w:rPr>
      </w:pPr>
      <w:r w:rsidRPr="00AD741C">
        <w:rPr>
          <w:rFonts w:ascii="Times New Roman" w:hAnsi="Times New Roman" w:cs="Times New Roman"/>
          <w:b/>
          <w:bCs/>
          <w:i/>
          <w:iCs/>
          <w:sz w:val="24"/>
          <w:szCs w:val="24"/>
        </w:rPr>
        <w:t>Keywords</w:t>
      </w:r>
      <w:r w:rsidRPr="00AD741C">
        <w:rPr>
          <w:rFonts w:ascii="Times New Roman" w:hAnsi="Times New Roman" w:cs="Times New Roman"/>
          <w:b/>
          <w:bCs/>
          <w:sz w:val="24"/>
          <w:szCs w:val="24"/>
        </w:rPr>
        <w:t>:</w:t>
      </w:r>
      <w:r w:rsidRPr="00AD741C">
        <w:rPr>
          <w:rFonts w:ascii="Times New Roman" w:hAnsi="Times New Roman" w:cs="Times New Roman"/>
          <w:sz w:val="24"/>
          <w:szCs w:val="24"/>
        </w:rPr>
        <w:t xml:space="preserve"> LTFE, organic and inorganic fertilizers, soil micronutrients</w:t>
      </w:r>
    </w:p>
    <w:p w14:paraId="6028BE8D" w14:textId="3583ED7A" w:rsidR="003E1964" w:rsidRPr="00F81B2F" w:rsidRDefault="00394AE4" w:rsidP="00F81B2F">
      <w:pPr>
        <w:pStyle w:val="ListParagraph"/>
        <w:numPr>
          <w:ilvl w:val="0"/>
          <w:numId w:val="1"/>
        </w:numPr>
        <w:rPr>
          <w:rFonts w:ascii="Arial" w:hAnsi="Arial" w:cs="Arial"/>
          <w:b/>
          <w:bCs/>
        </w:rPr>
      </w:pPr>
      <w:r w:rsidRPr="00F81B2F">
        <w:rPr>
          <w:rFonts w:ascii="Arial" w:hAnsi="Arial" w:cs="Arial"/>
          <w:b/>
          <w:bCs/>
        </w:rPr>
        <w:t>INTRODUCTION</w:t>
      </w:r>
    </w:p>
    <w:p w14:paraId="0967CE6D" w14:textId="2D064036" w:rsidR="00394AE4" w:rsidRPr="00344929" w:rsidRDefault="00394AE4" w:rsidP="00394AE4">
      <w:pPr>
        <w:tabs>
          <w:tab w:val="left" w:pos="270"/>
          <w:tab w:val="left" w:pos="1440"/>
        </w:tabs>
        <w:spacing w:after="100" w:line="360" w:lineRule="auto"/>
        <w:jc w:val="both"/>
        <w:rPr>
          <w:rFonts w:ascii="Arial" w:hAnsi="Arial" w:cs="Arial"/>
        </w:rPr>
      </w:pPr>
      <w:r w:rsidRPr="00344929">
        <w:rPr>
          <w:rFonts w:ascii="Arial" w:hAnsi="Arial" w:cs="Arial"/>
          <w:b/>
          <w:bCs/>
        </w:rPr>
        <w:tab/>
      </w:r>
      <w:r w:rsidRPr="00344929">
        <w:rPr>
          <w:rFonts w:ascii="Arial" w:eastAsia="Arial" w:hAnsi="Arial" w:cs="Arial"/>
          <w:bCs/>
          <w:color w:val="000000"/>
        </w:rPr>
        <w:t xml:space="preserve">           </w:t>
      </w:r>
      <w:r w:rsidR="00956FFA">
        <w:rPr>
          <w:rFonts w:ascii="Arial" w:eastAsia="Arial" w:hAnsi="Arial" w:cs="Arial"/>
          <w:bCs/>
          <w:color w:val="000000"/>
        </w:rPr>
        <w:t>“</w:t>
      </w:r>
      <w:r w:rsidRPr="00344929">
        <w:rPr>
          <w:rFonts w:ascii="Arial" w:hAnsi="Arial" w:cs="Arial"/>
        </w:rPr>
        <w:t xml:space="preserve">Long-term field experiments provide one of the means of measuring sustainable management systems in agriculture (Rasmussen </w:t>
      </w:r>
      <w:r w:rsidRPr="00344929">
        <w:rPr>
          <w:rFonts w:ascii="Arial" w:hAnsi="Arial" w:cs="Arial"/>
          <w:i/>
          <w:iCs/>
        </w:rPr>
        <w:t>et al</w:t>
      </w:r>
      <w:r w:rsidRPr="00344929">
        <w:rPr>
          <w:rFonts w:ascii="Arial" w:hAnsi="Arial" w:cs="Arial"/>
        </w:rPr>
        <w:t>., 1998) as they contribute to better understanding of the effects of soil fertilization on nutrient availability and crop yields. Long-term fertilization using either organic manure or mineral fertilizer has significant effects on improving crop yields</w:t>
      </w:r>
      <w:r w:rsidR="00956FFA">
        <w:rPr>
          <w:rFonts w:ascii="Arial" w:hAnsi="Arial" w:cs="Arial"/>
        </w:rPr>
        <w:t>”</w:t>
      </w:r>
      <w:r w:rsidRPr="00344929">
        <w:rPr>
          <w:rFonts w:ascii="Arial" w:hAnsi="Arial" w:cs="Arial"/>
        </w:rPr>
        <w:t xml:space="preserve"> (Lin </w:t>
      </w:r>
      <w:r w:rsidRPr="00344929">
        <w:rPr>
          <w:rFonts w:ascii="Arial" w:hAnsi="Arial" w:cs="Arial"/>
          <w:i/>
          <w:iCs/>
        </w:rPr>
        <w:t>et al</w:t>
      </w:r>
      <w:r w:rsidRPr="00344929">
        <w:rPr>
          <w:rFonts w:ascii="Arial" w:hAnsi="Arial" w:cs="Arial"/>
        </w:rPr>
        <w:t xml:space="preserve">., 2015).  Bischoff (1995) showed that </w:t>
      </w:r>
      <w:r w:rsidR="00956FFA">
        <w:rPr>
          <w:rFonts w:ascii="Arial" w:hAnsi="Arial" w:cs="Arial"/>
        </w:rPr>
        <w:t>“</w:t>
      </w:r>
      <w:r w:rsidRPr="00344929">
        <w:rPr>
          <w:rFonts w:ascii="Arial" w:hAnsi="Arial" w:cs="Arial"/>
        </w:rPr>
        <w:t>combined mineral and organic fertilization increased crop yields more than mineral treatments only.</w:t>
      </w:r>
      <w:r w:rsidR="00956FFA">
        <w:rPr>
          <w:rFonts w:ascii="Arial" w:hAnsi="Arial" w:cs="Arial"/>
        </w:rPr>
        <w:t xml:space="preserve"> </w:t>
      </w:r>
      <w:r w:rsidRPr="00344929">
        <w:rPr>
          <w:rFonts w:ascii="Arial" w:hAnsi="Arial" w:cs="Arial"/>
        </w:rPr>
        <w:t>Integrated nutrient management practice is seen as a viable option in restoring the soil physical structure and chemical fertility, improving soil organic C and therefore, sustaining the system productivity</w:t>
      </w:r>
      <w:r w:rsidR="00956FFA">
        <w:rPr>
          <w:rFonts w:ascii="Arial" w:hAnsi="Arial" w:cs="Arial"/>
        </w:rPr>
        <w:t>”</w:t>
      </w:r>
      <w:r w:rsidRPr="00344929">
        <w:rPr>
          <w:rFonts w:ascii="Arial" w:hAnsi="Arial" w:cs="Arial"/>
        </w:rPr>
        <w:t>.</w:t>
      </w:r>
    </w:p>
    <w:p w14:paraId="60F385B0" w14:textId="4F2F8EC8" w:rsidR="00AD741C" w:rsidRPr="00344929" w:rsidRDefault="00394AE4" w:rsidP="00394AE4">
      <w:pPr>
        <w:tabs>
          <w:tab w:val="left" w:pos="270"/>
          <w:tab w:val="left" w:pos="1440"/>
        </w:tabs>
        <w:spacing w:after="100" w:line="360" w:lineRule="auto"/>
        <w:jc w:val="both"/>
        <w:rPr>
          <w:rFonts w:ascii="Arial" w:hAnsi="Arial" w:cs="Arial"/>
        </w:rPr>
      </w:pPr>
      <w:r w:rsidRPr="00344929">
        <w:rPr>
          <w:rFonts w:ascii="Arial" w:hAnsi="Arial" w:cs="Arial"/>
        </w:rPr>
        <w:tab/>
      </w:r>
      <w:proofErr w:type="gramStart"/>
      <w:r w:rsidRPr="00344929">
        <w:rPr>
          <w:rFonts w:ascii="Arial" w:hAnsi="Arial" w:cs="Arial"/>
        </w:rPr>
        <w:t>Micro nutrient</w:t>
      </w:r>
      <w:proofErr w:type="gramEnd"/>
      <w:r w:rsidRPr="00344929">
        <w:rPr>
          <w:rFonts w:ascii="Arial" w:hAnsi="Arial" w:cs="Arial"/>
        </w:rPr>
        <w:t xml:space="preserve"> </w:t>
      </w:r>
      <w:r w:rsidR="00197D31" w:rsidRPr="00344929">
        <w:rPr>
          <w:rFonts w:ascii="Arial" w:hAnsi="Arial" w:cs="Arial"/>
        </w:rPr>
        <w:t>the availability plays</w:t>
      </w:r>
      <w:r w:rsidRPr="00344929">
        <w:rPr>
          <w:rFonts w:ascii="Arial" w:hAnsi="Arial" w:cs="Arial"/>
        </w:rPr>
        <w:t xml:space="preserve"> essential role in </w:t>
      </w:r>
      <w:r w:rsidR="00AD5EB1">
        <w:rPr>
          <w:rFonts w:ascii="Arial" w:hAnsi="Arial" w:cs="Arial"/>
        </w:rPr>
        <w:t>“</w:t>
      </w:r>
      <w:r w:rsidRPr="00344929">
        <w:rPr>
          <w:rFonts w:ascii="Arial" w:hAnsi="Arial" w:cs="Arial"/>
        </w:rPr>
        <w:t xml:space="preserve">plant growth and development, influencing various physiological and </w:t>
      </w:r>
      <w:r w:rsidR="000E0BBB" w:rsidRPr="00344929">
        <w:rPr>
          <w:rFonts w:ascii="Arial" w:hAnsi="Arial" w:cs="Arial"/>
        </w:rPr>
        <w:t>biochemical processes</w:t>
      </w:r>
      <w:r w:rsidR="00AD5EB1">
        <w:rPr>
          <w:rFonts w:ascii="Arial" w:hAnsi="Arial" w:cs="Arial"/>
        </w:rPr>
        <w:t>”</w:t>
      </w:r>
      <w:r w:rsidR="000E0BBB" w:rsidRPr="00344929">
        <w:rPr>
          <w:rFonts w:ascii="Arial" w:hAnsi="Arial" w:cs="Arial"/>
        </w:rPr>
        <w:t xml:space="preserve">. </w:t>
      </w:r>
      <w:r w:rsidR="00197D31" w:rsidRPr="00344929">
        <w:rPr>
          <w:rFonts w:ascii="Arial" w:hAnsi="Arial" w:cs="Arial"/>
        </w:rPr>
        <w:t xml:space="preserve">The availability of essential micronutrient such as </w:t>
      </w:r>
      <w:r w:rsidR="00D82932" w:rsidRPr="00D82932">
        <w:rPr>
          <w:rFonts w:ascii="Arial" w:hAnsi="Arial" w:cs="Arial"/>
        </w:rPr>
        <w:t>manganese (</w:t>
      </w:r>
      <w:proofErr w:type="spellStart"/>
      <w:r w:rsidR="00D82932" w:rsidRPr="00D82932">
        <w:rPr>
          <w:rFonts w:ascii="Arial" w:hAnsi="Arial" w:cs="Arial"/>
        </w:rPr>
        <w:t>Mn</w:t>
      </w:r>
      <w:proofErr w:type="spellEnd"/>
      <w:r w:rsidR="00D82932" w:rsidRPr="00D82932">
        <w:rPr>
          <w:rFonts w:ascii="Arial" w:hAnsi="Arial" w:cs="Arial"/>
        </w:rPr>
        <w:t>)</w:t>
      </w:r>
      <w:r w:rsidR="00D82932">
        <w:rPr>
          <w:rFonts w:ascii="Arial" w:hAnsi="Arial" w:cs="Arial"/>
        </w:rPr>
        <w:t xml:space="preserve">, </w:t>
      </w:r>
      <w:r w:rsidR="00BB1992">
        <w:rPr>
          <w:rFonts w:ascii="Arial" w:hAnsi="Arial" w:cs="Arial"/>
        </w:rPr>
        <w:t>iron (Fe),</w:t>
      </w:r>
      <w:bookmarkStart w:id="0" w:name="_GoBack"/>
      <w:bookmarkEnd w:id="0"/>
      <w:r w:rsidR="00197D31" w:rsidRPr="00344929">
        <w:rPr>
          <w:rFonts w:ascii="Arial" w:hAnsi="Arial" w:cs="Arial"/>
        </w:rPr>
        <w:t xml:space="preserve"> copper (Cu)</w:t>
      </w:r>
      <w:r w:rsidR="00BB1992">
        <w:rPr>
          <w:rFonts w:ascii="Arial" w:hAnsi="Arial" w:cs="Arial"/>
        </w:rPr>
        <w:t xml:space="preserve"> and zinc (Zn)</w:t>
      </w:r>
      <w:r w:rsidR="00AD741C" w:rsidRPr="00344929">
        <w:rPr>
          <w:rFonts w:ascii="Arial" w:hAnsi="Arial" w:cs="Arial"/>
        </w:rPr>
        <w:t xml:space="preserve"> is vital for optimizing crop yield and quality. These nutrients are often present in trace amount in soil, and their deficiency can lead to poor crop performance, reduce productivity, and imbalance nutrient cycling. </w:t>
      </w:r>
      <w:r w:rsidR="00F81B2F" w:rsidRPr="00344929">
        <w:rPr>
          <w:rFonts w:ascii="Arial" w:hAnsi="Arial" w:cs="Arial"/>
        </w:rPr>
        <w:t>Therefore</w:t>
      </w:r>
      <w:r w:rsidR="00AD741C" w:rsidRPr="00344929">
        <w:rPr>
          <w:rFonts w:ascii="Arial" w:hAnsi="Arial" w:cs="Arial"/>
        </w:rPr>
        <w:t xml:space="preserve">, managing the micronutrient status of soils is critical for sustainable crop </w:t>
      </w:r>
      <w:r w:rsidR="00AD741C" w:rsidRPr="00344929">
        <w:rPr>
          <w:rFonts w:ascii="Arial" w:hAnsi="Arial" w:cs="Arial"/>
        </w:rPr>
        <w:lastRenderedPageBreak/>
        <w:t xml:space="preserve">production, especially in soils like </w:t>
      </w:r>
      <w:proofErr w:type="spellStart"/>
      <w:r w:rsidR="00AD741C" w:rsidRPr="00344929">
        <w:rPr>
          <w:rFonts w:ascii="Arial" w:hAnsi="Arial" w:cs="Arial"/>
        </w:rPr>
        <w:t>vertisols</w:t>
      </w:r>
      <w:proofErr w:type="spellEnd"/>
      <w:r w:rsidR="00AD741C" w:rsidRPr="00344929">
        <w:rPr>
          <w:rFonts w:ascii="Arial" w:hAnsi="Arial" w:cs="Arial"/>
        </w:rPr>
        <w:t xml:space="preserve">, which are known for their unique properties and varying nutrient availability. </w:t>
      </w:r>
    </w:p>
    <w:p w14:paraId="16F2CFE7" w14:textId="1574D35A" w:rsidR="001B2C11" w:rsidRPr="00344929" w:rsidRDefault="00AD741C" w:rsidP="001B2C11">
      <w:pPr>
        <w:tabs>
          <w:tab w:val="left" w:pos="270"/>
          <w:tab w:val="left" w:pos="1440"/>
        </w:tabs>
        <w:spacing w:after="100" w:line="360" w:lineRule="auto"/>
        <w:jc w:val="both"/>
        <w:rPr>
          <w:rFonts w:ascii="Arial" w:hAnsi="Arial" w:cs="Arial"/>
        </w:rPr>
      </w:pPr>
      <w:r w:rsidRPr="00344929">
        <w:rPr>
          <w:rFonts w:ascii="Arial" w:hAnsi="Arial" w:cs="Arial"/>
        </w:rPr>
        <w:tab/>
      </w:r>
      <w:proofErr w:type="spellStart"/>
      <w:r w:rsidRPr="00344929">
        <w:rPr>
          <w:rFonts w:ascii="Arial" w:hAnsi="Arial" w:cs="Arial"/>
        </w:rPr>
        <w:t>Vertisols</w:t>
      </w:r>
      <w:proofErr w:type="spellEnd"/>
      <w:r w:rsidRPr="00344929">
        <w:rPr>
          <w:rFonts w:ascii="Arial" w:hAnsi="Arial" w:cs="Arial"/>
        </w:rPr>
        <w:t>, characterized by high clay content and swelling and shrinking behaviou</w:t>
      </w:r>
      <w:r w:rsidR="002C0714" w:rsidRPr="00344929">
        <w:rPr>
          <w:rFonts w:ascii="Arial" w:hAnsi="Arial" w:cs="Arial"/>
        </w:rPr>
        <w:t>r</w:t>
      </w:r>
      <w:r w:rsidRPr="00344929">
        <w:rPr>
          <w:rFonts w:ascii="Arial" w:hAnsi="Arial" w:cs="Arial"/>
        </w:rPr>
        <w:t xml:space="preserve">, present challenge in nutrient management. The fertility of this soil often depends on the balance of macro and micro nutrients, and their response </w:t>
      </w:r>
      <w:r w:rsidR="002C0714" w:rsidRPr="00344929">
        <w:rPr>
          <w:rFonts w:ascii="Arial" w:hAnsi="Arial" w:cs="Arial"/>
        </w:rPr>
        <w:t>to fertilization practices can vary over time. Understanding how different level of fertilization influence the availability of micronutrients is essential for optimizing nutrient management strategies.</w:t>
      </w:r>
      <w:r w:rsidR="001B2C11" w:rsidRPr="00344929">
        <w:rPr>
          <w:rFonts w:ascii="Arial" w:hAnsi="Arial" w:cs="Arial"/>
        </w:rPr>
        <w:t xml:space="preserve"> When used, the sorghum-wheat cropping method severely depletes nutrients and results in a negative nutritional balance. </w:t>
      </w:r>
      <w:r w:rsidR="001B2C11" w:rsidRPr="00344929">
        <w:rPr>
          <w:rFonts w:ascii="Arial" w:hAnsi="Arial" w:cs="Arial"/>
        </w:rPr>
        <w:br/>
        <w:t>through careless fertilization. Using a sorghum (</w:t>
      </w:r>
      <w:r w:rsidR="001B2C11" w:rsidRPr="00344929">
        <w:rPr>
          <w:rFonts w:ascii="Arial" w:hAnsi="Arial" w:cs="Arial"/>
          <w:i/>
          <w:iCs/>
        </w:rPr>
        <w:t xml:space="preserve">Sorghum </w:t>
      </w:r>
      <w:proofErr w:type="spellStart"/>
      <w:r w:rsidR="001B2C11" w:rsidRPr="00344929">
        <w:rPr>
          <w:rFonts w:ascii="Arial" w:hAnsi="Arial" w:cs="Arial"/>
          <w:i/>
          <w:iCs/>
        </w:rPr>
        <w:t>bicolor</w:t>
      </w:r>
      <w:proofErr w:type="spellEnd"/>
      <w:r w:rsidR="001B2C11" w:rsidRPr="00344929">
        <w:rPr>
          <w:rFonts w:ascii="Arial" w:hAnsi="Arial" w:cs="Arial"/>
        </w:rPr>
        <w:t xml:space="preserve"> L.)–wheat (</w:t>
      </w:r>
      <w:r w:rsidR="001B2C11" w:rsidRPr="00344929">
        <w:rPr>
          <w:rFonts w:ascii="Arial" w:hAnsi="Arial" w:cs="Arial"/>
          <w:i/>
          <w:iCs/>
        </w:rPr>
        <w:t>Triticum aestivum</w:t>
      </w:r>
      <w:r w:rsidR="001B2C11" w:rsidRPr="00344929">
        <w:rPr>
          <w:rFonts w:ascii="Arial" w:hAnsi="Arial" w:cs="Arial"/>
        </w:rPr>
        <w:t xml:space="preserve"> L.) sequence in a </w:t>
      </w:r>
      <w:proofErr w:type="spellStart"/>
      <w:r w:rsidR="001B2C11" w:rsidRPr="00344929">
        <w:rPr>
          <w:rFonts w:ascii="Arial" w:hAnsi="Arial" w:cs="Arial"/>
        </w:rPr>
        <w:t>Vertisol</w:t>
      </w:r>
      <w:proofErr w:type="spellEnd"/>
      <w:r w:rsidR="001B2C11" w:rsidRPr="00344929">
        <w:rPr>
          <w:rFonts w:ascii="Arial" w:hAnsi="Arial" w:cs="Arial"/>
        </w:rPr>
        <w:t>, the current experiment was started in 1988–1989 to investigate the impact of manures and fertilizers on micronutrient availability status.</w:t>
      </w:r>
    </w:p>
    <w:p w14:paraId="6B5BB983" w14:textId="5808744F" w:rsidR="00AD741C" w:rsidRPr="00F81B2F" w:rsidRDefault="00F81B2F" w:rsidP="00F81B2F">
      <w:pPr>
        <w:tabs>
          <w:tab w:val="left" w:pos="270"/>
          <w:tab w:val="left" w:pos="1440"/>
        </w:tabs>
        <w:spacing w:after="100" w:line="360" w:lineRule="auto"/>
        <w:rPr>
          <w:rFonts w:ascii="Arial" w:hAnsi="Arial" w:cs="Arial"/>
          <w:b/>
          <w:bCs/>
        </w:rPr>
      </w:pPr>
      <w:r>
        <w:rPr>
          <w:rFonts w:ascii="Arial" w:hAnsi="Arial" w:cs="Arial"/>
          <w:b/>
          <w:bCs/>
        </w:rPr>
        <w:t>2.</w:t>
      </w:r>
      <w:r w:rsidR="00920D9D" w:rsidRPr="00F81B2F">
        <w:rPr>
          <w:rFonts w:ascii="Arial" w:hAnsi="Arial" w:cs="Arial"/>
          <w:b/>
          <w:bCs/>
        </w:rPr>
        <w:t>MATERIAL AND METHOD</w:t>
      </w:r>
    </w:p>
    <w:p w14:paraId="13A5ECA8" w14:textId="77777777" w:rsidR="00F81B2F" w:rsidRDefault="00F81B2F" w:rsidP="00F81B2F">
      <w:pPr>
        <w:tabs>
          <w:tab w:val="left" w:pos="270"/>
          <w:tab w:val="left" w:pos="1440"/>
        </w:tabs>
        <w:spacing w:after="100" w:line="360" w:lineRule="auto"/>
        <w:jc w:val="both"/>
        <w:rPr>
          <w:rFonts w:ascii="Arial" w:hAnsi="Arial" w:cs="Arial"/>
        </w:rPr>
      </w:pPr>
      <w:r>
        <w:rPr>
          <w:rFonts w:ascii="Arial" w:hAnsi="Arial" w:cs="Arial"/>
        </w:rPr>
        <w:tab/>
      </w:r>
      <w:r>
        <w:rPr>
          <w:rFonts w:ascii="Arial" w:hAnsi="Arial" w:cs="Arial"/>
        </w:rPr>
        <w:tab/>
      </w:r>
      <w:r w:rsidRPr="00F81B2F">
        <w:rPr>
          <w:rFonts w:ascii="Arial" w:hAnsi="Arial" w:cs="Arial"/>
        </w:rPr>
        <w:t xml:space="preserve">A field experiment was conducted during rabi season of 2023-24 at the Research Farm, Department of Soil Science, Akola, Maharashtra </w:t>
      </w:r>
      <w:r w:rsidR="00920D9D" w:rsidRPr="00F81B2F">
        <w:rPr>
          <w:rFonts w:ascii="Arial" w:hAnsi="Arial" w:cs="Arial"/>
        </w:rPr>
        <w:t>Under the auspices of the All India Coordinated Research Project on Long-term Fertilizer Experiments (AICRP-LTFE), a long-term field experiment was started in 1988–1989</w:t>
      </w:r>
      <w:r w:rsidRPr="00F81B2F">
        <w:rPr>
          <w:rFonts w:ascii="Arial" w:hAnsi="Arial" w:cs="Arial"/>
        </w:rPr>
        <w:t xml:space="preserve">, </w:t>
      </w:r>
      <w:r w:rsidR="00920D9D" w:rsidRPr="00F81B2F">
        <w:rPr>
          <w:rFonts w:ascii="Arial" w:hAnsi="Arial" w:cs="Arial"/>
        </w:rPr>
        <w:t>with the goal of examining how integrated nutrient management affects changes in crop productivity, sustainability, and soil quality under the sorghum–wheat crop sequence.</w:t>
      </w:r>
      <w:r w:rsidRPr="00F81B2F">
        <w:rPr>
          <w:rFonts w:ascii="Arial" w:hAnsi="Arial" w:cs="Arial"/>
        </w:rPr>
        <w:t xml:space="preserve"> The soil of experimental field is black cotton soil. </w:t>
      </w:r>
    </w:p>
    <w:p w14:paraId="1693A386" w14:textId="66DCCBA5" w:rsidR="00920D9D" w:rsidRPr="00F81B2F" w:rsidRDefault="00F81B2F" w:rsidP="00F81B2F">
      <w:pPr>
        <w:tabs>
          <w:tab w:val="left" w:pos="270"/>
          <w:tab w:val="left" w:pos="1440"/>
        </w:tabs>
        <w:spacing w:after="100" w:line="360" w:lineRule="auto"/>
        <w:jc w:val="both"/>
        <w:rPr>
          <w:rFonts w:ascii="Arial" w:hAnsi="Arial" w:cs="Arial"/>
          <w:b/>
          <w:bCs/>
        </w:rPr>
      </w:pPr>
      <w:r>
        <w:rPr>
          <w:rFonts w:ascii="Arial" w:hAnsi="Arial" w:cs="Arial"/>
        </w:rPr>
        <w:tab/>
      </w:r>
      <w:r>
        <w:rPr>
          <w:rFonts w:ascii="Arial" w:hAnsi="Arial" w:cs="Arial"/>
        </w:rPr>
        <w:tab/>
      </w:r>
      <w:r w:rsidR="00920D9D" w:rsidRPr="00F81B2F">
        <w:rPr>
          <w:rFonts w:ascii="Arial" w:hAnsi="Arial" w:cs="Arial"/>
        </w:rPr>
        <w:t xml:space="preserve">The nutrients were applied using mineral fertilizers such as diammonium phosphate, muriate of potash, urea, and single super phosphate. </w:t>
      </w:r>
      <w:r w:rsidR="00920D9D" w:rsidRPr="00F81B2F">
        <w:rPr>
          <w:rFonts w:ascii="Arial" w:hAnsi="Arial" w:cs="Arial"/>
        </w:rPr>
        <w:br/>
        <w:t>T</w:t>
      </w:r>
      <w:r w:rsidR="00920D9D" w:rsidRPr="00F81B2F">
        <w:rPr>
          <w:rFonts w:ascii="Arial" w:hAnsi="Arial" w:cs="Arial"/>
          <w:vertAlign w:val="subscript"/>
        </w:rPr>
        <w:t>4</w:t>
      </w:r>
      <w:r w:rsidR="00920D9D" w:rsidRPr="00F81B2F">
        <w:rPr>
          <w:rFonts w:ascii="Arial" w:hAnsi="Arial" w:cs="Arial"/>
        </w:rPr>
        <w:t xml:space="preserve"> and T</w:t>
      </w:r>
      <w:r w:rsidR="00920D9D" w:rsidRPr="00F81B2F">
        <w:rPr>
          <w:rFonts w:ascii="Arial" w:hAnsi="Arial" w:cs="Arial"/>
          <w:vertAlign w:val="subscript"/>
        </w:rPr>
        <w:t>9</w:t>
      </w:r>
      <w:r w:rsidR="00920D9D" w:rsidRPr="00F81B2F">
        <w:rPr>
          <w:rFonts w:ascii="Arial" w:hAnsi="Arial" w:cs="Arial"/>
        </w:rPr>
        <w:t xml:space="preserve">. For sorghum, </w:t>
      </w:r>
      <w:r w:rsidR="00A20946" w:rsidRPr="00F81B2F">
        <w:rPr>
          <w:rFonts w:ascii="Arial" w:hAnsi="Arial" w:cs="Arial"/>
        </w:rPr>
        <w:t>sulphur</w:t>
      </w:r>
      <w:r w:rsidR="00920D9D" w:rsidRPr="00F81B2F">
        <w:rPr>
          <w:rFonts w:ascii="Arial" w:hAnsi="Arial" w:cs="Arial"/>
        </w:rPr>
        <w:t xml:space="preserve"> was applied annually using gypsum (T</w:t>
      </w:r>
      <w:r w:rsidR="00920D9D" w:rsidRPr="00F81B2F">
        <w:rPr>
          <w:rFonts w:ascii="Arial" w:hAnsi="Arial" w:cs="Arial"/>
          <w:vertAlign w:val="subscript"/>
        </w:rPr>
        <w:t>9</w:t>
      </w:r>
      <w:r w:rsidR="00920D9D" w:rsidRPr="00F81B2F">
        <w:rPr>
          <w:rFonts w:ascii="Arial" w:hAnsi="Arial" w:cs="Arial"/>
        </w:rPr>
        <w:t>), and for wheat exclusively (T</w:t>
      </w:r>
      <w:r w:rsidR="00920D9D" w:rsidRPr="00F81B2F">
        <w:rPr>
          <w:rFonts w:ascii="Arial" w:hAnsi="Arial" w:cs="Arial"/>
          <w:vertAlign w:val="subscript"/>
        </w:rPr>
        <w:t>5</w:t>
      </w:r>
      <w:r w:rsidR="00920D9D" w:rsidRPr="00F81B2F">
        <w:rPr>
          <w:rFonts w:ascii="Arial" w:hAnsi="Arial" w:cs="Arial"/>
        </w:rPr>
        <w:t xml:space="preserve">), zinc was applied every two years using zinc sulphate. </w:t>
      </w:r>
      <w:r w:rsidR="00920D9D" w:rsidRPr="00F81B2F">
        <w:rPr>
          <w:rFonts w:ascii="Arial" w:hAnsi="Arial" w:cs="Arial"/>
        </w:rPr>
        <w:br/>
        <w:t>An annual application of farmyard manure was made one month prior to the sorghum being sown. The suggested fertilizer dosages for wheat and sorghum were 120:60:60-kilogram N, P</w:t>
      </w:r>
      <w:r w:rsidR="00920D9D" w:rsidRPr="00F81B2F">
        <w:rPr>
          <w:rFonts w:ascii="Arial" w:hAnsi="Arial" w:cs="Arial"/>
          <w:vertAlign w:val="subscript"/>
        </w:rPr>
        <w:t>2</w:t>
      </w:r>
      <w:r w:rsidR="00920D9D" w:rsidRPr="00F81B2F">
        <w:rPr>
          <w:rFonts w:ascii="Arial" w:hAnsi="Arial" w:cs="Arial"/>
        </w:rPr>
        <w:t>O</w:t>
      </w:r>
      <w:r w:rsidR="00920D9D" w:rsidRPr="00F81B2F">
        <w:rPr>
          <w:rFonts w:ascii="Arial" w:hAnsi="Arial" w:cs="Arial"/>
          <w:vertAlign w:val="subscript"/>
        </w:rPr>
        <w:t>5</w:t>
      </w:r>
      <w:r w:rsidR="00920D9D" w:rsidRPr="00F81B2F">
        <w:rPr>
          <w:rFonts w:ascii="Arial" w:hAnsi="Arial" w:cs="Arial"/>
        </w:rPr>
        <w:t>, and K</w:t>
      </w:r>
      <w:r w:rsidR="00920D9D" w:rsidRPr="00F81B2F">
        <w:rPr>
          <w:rFonts w:ascii="Arial" w:hAnsi="Arial" w:cs="Arial"/>
          <w:vertAlign w:val="subscript"/>
        </w:rPr>
        <w:t>2</w:t>
      </w:r>
      <w:r w:rsidR="00920D9D" w:rsidRPr="00F81B2F">
        <w:rPr>
          <w:rFonts w:ascii="Arial" w:hAnsi="Arial" w:cs="Arial"/>
        </w:rPr>
        <w:t>O ha</w:t>
      </w:r>
      <w:r w:rsidR="00920D9D" w:rsidRPr="00F81B2F">
        <w:rPr>
          <w:rFonts w:ascii="Arial" w:hAnsi="Arial" w:cs="Arial"/>
          <w:vertAlign w:val="superscript"/>
        </w:rPr>
        <w:t>-1</w:t>
      </w:r>
      <w:r w:rsidR="00920D9D" w:rsidRPr="00F81B2F">
        <w:rPr>
          <w:rFonts w:ascii="Arial" w:hAnsi="Arial" w:cs="Arial"/>
        </w:rPr>
        <w:t xml:space="preserve">, and 100:50:40, respectively. </w:t>
      </w:r>
      <w:r w:rsidR="00FA553B" w:rsidRPr="00F81B2F">
        <w:rPr>
          <w:rFonts w:ascii="Arial" w:hAnsi="Arial" w:cs="Arial"/>
        </w:rPr>
        <w:t>The plot wise soil samples</w:t>
      </w:r>
      <w:r w:rsidR="0002391A">
        <w:rPr>
          <w:rFonts w:ascii="Arial" w:hAnsi="Arial" w:cs="Arial"/>
        </w:rPr>
        <w:t xml:space="preserve"> </w:t>
      </w:r>
      <w:r w:rsidR="00FA553B" w:rsidRPr="00F81B2F">
        <w:rPr>
          <w:rFonts w:ascii="Arial" w:hAnsi="Arial" w:cs="Arial"/>
        </w:rPr>
        <w:t xml:space="preserve">(0-20cm) were collected after harvest of wheat. These samples were </w:t>
      </w:r>
      <w:r w:rsidR="008E28F5" w:rsidRPr="00F81B2F">
        <w:rPr>
          <w:rFonts w:ascii="Arial" w:hAnsi="Arial" w:cs="Arial"/>
        </w:rPr>
        <w:t>analysed</w:t>
      </w:r>
      <w:r w:rsidR="00FA553B" w:rsidRPr="00F81B2F">
        <w:rPr>
          <w:rFonts w:ascii="Arial" w:hAnsi="Arial" w:cs="Arial"/>
        </w:rPr>
        <w:t xml:space="preserve"> for soil micronutrients by </w:t>
      </w:r>
      <w:r w:rsidR="00FA553B" w:rsidRPr="00F81B2F">
        <w:rPr>
          <w:rFonts w:ascii="Arial" w:eastAsia="Times New Roman" w:hAnsi="Arial" w:cs="Arial"/>
          <w:color w:val="000000" w:themeColor="text1"/>
        </w:rPr>
        <w:t>DTPA extract method using AAS (Atomic absorption Spectrophotometer) (Lindsay and Norvell 1978).</w:t>
      </w:r>
    </w:p>
    <w:p w14:paraId="3C726087" w14:textId="0D0901A0" w:rsidR="005843BA" w:rsidRPr="00344929" w:rsidRDefault="000F7FF5" w:rsidP="00920D9D">
      <w:pPr>
        <w:tabs>
          <w:tab w:val="left" w:pos="270"/>
          <w:tab w:val="left" w:pos="1440"/>
        </w:tabs>
        <w:spacing w:after="100"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3.</w:t>
      </w:r>
      <w:r w:rsidR="005843BA" w:rsidRPr="00344929">
        <w:rPr>
          <w:rFonts w:ascii="Arial" w:eastAsia="Times New Roman" w:hAnsi="Arial" w:cs="Arial"/>
          <w:b/>
          <w:bCs/>
          <w:color w:val="000000" w:themeColor="text1"/>
        </w:rPr>
        <w:t>RESULT AND DISCUSSION</w:t>
      </w:r>
    </w:p>
    <w:p w14:paraId="04AF5BC3" w14:textId="17A44710" w:rsidR="008E28F5" w:rsidRPr="00344929" w:rsidRDefault="000F7FF5" w:rsidP="008E28F5">
      <w:pPr>
        <w:tabs>
          <w:tab w:val="left" w:pos="1440"/>
        </w:tabs>
        <w:spacing w:before="240" w:line="360" w:lineRule="auto"/>
        <w:jc w:val="both"/>
        <w:rPr>
          <w:rFonts w:ascii="Arial" w:hAnsi="Arial" w:cs="Arial"/>
          <w:b/>
        </w:rPr>
      </w:pPr>
      <w:bookmarkStart w:id="1" w:name="_Hlk188872396"/>
      <w:r>
        <w:rPr>
          <w:rFonts w:ascii="Arial" w:hAnsi="Arial" w:cs="Arial"/>
          <w:b/>
          <w:bCs/>
        </w:rPr>
        <w:t xml:space="preserve">3.1 </w:t>
      </w:r>
      <w:r w:rsidR="008E28F5" w:rsidRPr="00344929">
        <w:rPr>
          <w:rFonts w:ascii="Arial" w:hAnsi="Arial" w:cs="Arial"/>
          <w:b/>
          <w:bCs/>
        </w:rPr>
        <w:t>DTPA-extractable Fe</w:t>
      </w:r>
    </w:p>
    <w:bookmarkEnd w:id="1"/>
    <w:p w14:paraId="565FF698" w14:textId="7C8A0379" w:rsidR="008E28F5" w:rsidRPr="00344929" w:rsidRDefault="008E28F5" w:rsidP="008E28F5">
      <w:pPr>
        <w:spacing w:line="360" w:lineRule="auto"/>
        <w:ind w:firstLine="720"/>
        <w:jc w:val="both"/>
        <w:rPr>
          <w:rFonts w:ascii="Arial" w:hAnsi="Arial" w:cs="Arial"/>
          <w:bCs/>
        </w:rPr>
      </w:pPr>
      <w:r w:rsidRPr="00344929">
        <w:rPr>
          <w:rFonts w:ascii="Arial" w:hAnsi="Arial" w:cs="Arial"/>
        </w:rPr>
        <w:t>The data presented in table</w:t>
      </w:r>
      <w:r w:rsidRPr="0002391A">
        <w:rPr>
          <w:rFonts w:ascii="Arial" w:hAnsi="Arial" w:cs="Arial"/>
          <w:color w:val="000000" w:themeColor="text1"/>
        </w:rPr>
        <w:t xml:space="preserve"> 1 </w:t>
      </w:r>
      <w:r w:rsidRPr="00344929">
        <w:rPr>
          <w:rFonts w:ascii="Arial" w:hAnsi="Arial" w:cs="Arial"/>
        </w:rPr>
        <w:t xml:space="preserve">demonstrate the DTPA-extractable Fe of soil, as influenced by long term manuring and fertilization under sorghum-wheat cropping sequence. </w:t>
      </w:r>
      <w:r w:rsidRPr="00344929">
        <w:rPr>
          <w:rFonts w:ascii="Arial" w:hAnsi="Arial" w:cs="Arial"/>
          <w:bCs/>
        </w:rPr>
        <w:t xml:space="preserve">The DTPA-extractable iron in soil was found significantly influenced due to the various </w:t>
      </w:r>
      <w:r w:rsidRPr="00344929">
        <w:rPr>
          <w:rFonts w:ascii="Arial" w:hAnsi="Arial" w:cs="Arial"/>
          <w:bCs/>
        </w:rPr>
        <w:lastRenderedPageBreak/>
        <w:t>treatments and it ranged from 5.17 to 11.39. Significantly highest DTPA-extractable iron was recorded with application of</w:t>
      </w:r>
      <w:r w:rsidRPr="00344929">
        <w:rPr>
          <w:rFonts w:ascii="Arial" w:hAnsi="Arial" w:cs="Arial"/>
          <w:color w:val="000000"/>
        </w:rPr>
        <w:t xml:space="preserve"> 100%NPK+ FYM @ 5</w:t>
      </w:r>
      <w:r w:rsidRPr="00344929">
        <w:rPr>
          <w:rFonts w:ascii="Arial" w:hAnsi="Arial" w:cs="Arial"/>
          <w:bCs/>
        </w:rPr>
        <w:t xml:space="preserve"> t ha</w:t>
      </w:r>
      <w:r w:rsidRPr="00344929">
        <w:rPr>
          <w:rFonts w:ascii="Arial" w:hAnsi="Arial" w:cs="Arial"/>
          <w:bCs/>
          <w:vertAlign w:val="superscript"/>
        </w:rPr>
        <w:t>-1</w:t>
      </w:r>
      <w:r w:rsidRPr="00344929">
        <w:rPr>
          <w:rFonts w:ascii="Arial" w:hAnsi="Arial" w:cs="Arial"/>
          <w:color w:val="000000"/>
        </w:rPr>
        <w:t xml:space="preserve"> </w:t>
      </w:r>
      <w:r w:rsidRPr="00344929">
        <w:rPr>
          <w:rFonts w:ascii="Arial" w:hAnsi="Arial" w:cs="Arial"/>
          <w:bCs/>
        </w:rPr>
        <w:t>(T</w:t>
      </w:r>
      <w:r w:rsidRPr="00344929">
        <w:rPr>
          <w:rFonts w:ascii="Arial" w:hAnsi="Arial" w:cs="Arial"/>
          <w:bCs/>
          <w:vertAlign w:val="subscript"/>
        </w:rPr>
        <w:t>8</w:t>
      </w:r>
      <w:r w:rsidRPr="00344929">
        <w:rPr>
          <w:rFonts w:ascii="Arial" w:hAnsi="Arial" w:cs="Arial"/>
          <w:bCs/>
        </w:rPr>
        <w:t>) and statically on par with FYM @ 10 t ha</w:t>
      </w:r>
      <w:r w:rsidRPr="00344929">
        <w:rPr>
          <w:rFonts w:ascii="Arial" w:hAnsi="Arial" w:cs="Arial"/>
          <w:bCs/>
          <w:vertAlign w:val="superscript"/>
        </w:rPr>
        <w:t>-1</w:t>
      </w:r>
      <w:r w:rsidRPr="00344929">
        <w:rPr>
          <w:rFonts w:ascii="Arial" w:hAnsi="Arial" w:cs="Arial"/>
          <w:bCs/>
        </w:rPr>
        <w:t>(T</w:t>
      </w:r>
      <w:r w:rsidRPr="00344929">
        <w:rPr>
          <w:rFonts w:ascii="Arial" w:hAnsi="Arial" w:cs="Arial"/>
          <w:bCs/>
          <w:vertAlign w:val="subscript"/>
        </w:rPr>
        <w:t>10</w:t>
      </w:r>
      <w:r w:rsidRPr="00344929">
        <w:rPr>
          <w:rFonts w:ascii="Arial" w:hAnsi="Arial" w:cs="Arial"/>
          <w:bCs/>
        </w:rPr>
        <w:t>) while, lowest was noted in control (T</w:t>
      </w:r>
      <w:r w:rsidRPr="00344929">
        <w:rPr>
          <w:rFonts w:ascii="Arial" w:hAnsi="Arial" w:cs="Arial"/>
          <w:bCs/>
          <w:vertAlign w:val="subscript"/>
        </w:rPr>
        <w:t>12</w:t>
      </w:r>
      <w:r w:rsidRPr="00344929">
        <w:rPr>
          <w:rFonts w:ascii="Arial" w:hAnsi="Arial" w:cs="Arial"/>
          <w:bCs/>
        </w:rPr>
        <w:t>).</w:t>
      </w:r>
    </w:p>
    <w:p w14:paraId="3A840C3F" w14:textId="525C9C49"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increases in </w:t>
      </w:r>
      <w:r w:rsidRPr="00344929">
        <w:rPr>
          <w:rFonts w:ascii="Arial" w:hAnsi="Arial" w:cs="Arial"/>
          <w:color w:val="000000"/>
        </w:rPr>
        <w:t>DTPA-Fe</w:t>
      </w:r>
      <w:r w:rsidRPr="00344929">
        <w:rPr>
          <w:rFonts w:ascii="Arial" w:hAnsi="Arial" w:cs="Arial"/>
        </w:rPr>
        <w:t xml:space="preserve"> under INM (T</w:t>
      </w:r>
      <w:r w:rsidRPr="00344929">
        <w:rPr>
          <w:rFonts w:ascii="Arial" w:hAnsi="Arial" w:cs="Arial"/>
          <w:vertAlign w:val="subscript"/>
        </w:rPr>
        <w:t>8</w:t>
      </w:r>
      <w:r w:rsidRPr="00344929">
        <w:rPr>
          <w:rFonts w:ascii="Arial" w:hAnsi="Arial" w:cs="Arial"/>
        </w:rPr>
        <w:t xml:space="preserve">) treatment was </w:t>
      </w:r>
      <w:r w:rsidRPr="00344929">
        <w:rPr>
          <w:rFonts w:ascii="Arial" w:hAnsi="Arial" w:cs="Arial"/>
          <w:color w:val="000000"/>
        </w:rPr>
        <w:t>53.</w:t>
      </w:r>
      <w:r w:rsidR="003E19B9">
        <w:rPr>
          <w:rFonts w:ascii="Arial" w:hAnsi="Arial" w:cs="Arial"/>
          <w:color w:val="000000"/>
        </w:rPr>
        <w:t>29</w:t>
      </w:r>
      <w:r w:rsidRPr="00344929">
        <w:rPr>
          <w:rFonts w:ascii="Arial" w:hAnsi="Arial" w:cs="Arial"/>
          <w:color w:val="000000"/>
        </w:rPr>
        <w:t>% of</w:t>
      </w:r>
      <w:r w:rsidRPr="00344929">
        <w:rPr>
          <w:rFonts w:ascii="Arial" w:hAnsi="Arial" w:cs="Arial"/>
        </w:rPr>
        <w:t xml:space="preserve"> higher compared to balanced fertilizer treatment (T</w:t>
      </w:r>
      <w:r w:rsidRPr="00344929">
        <w:rPr>
          <w:rFonts w:ascii="Arial" w:hAnsi="Arial" w:cs="Arial"/>
          <w:vertAlign w:val="subscript"/>
        </w:rPr>
        <w:t>2</w:t>
      </w:r>
      <w:r w:rsidRPr="00344929">
        <w:rPr>
          <w:rFonts w:ascii="Arial" w:hAnsi="Arial" w:cs="Arial"/>
        </w:rPr>
        <w:t xml:space="preserve">), again signifying the role of FYM in enhancing soil chemical properties.  The improvement in </w:t>
      </w:r>
      <w:r w:rsidRPr="00344929">
        <w:rPr>
          <w:rFonts w:ascii="Arial" w:hAnsi="Arial" w:cs="Arial"/>
          <w:color w:val="000000"/>
        </w:rPr>
        <w:t>DTPA-Fe</w:t>
      </w:r>
      <w:r w:rsidRPr="00344929">
        <w:rPr>
          <w:rFonts w:ascii="Arial" w:hAnsi="Arial" w:cs="Arial"/>
        </w:rPr>
        <w:t xml:space="preserve"> was consistent across the increments level of balanced nutrition. However, the higher </w:t>
      </w:r>
      <w:r w:rsidRPr="00344929">
        <w:rPr>
          <w:rFonts w:ascii="Arial" w:hAnsi="Arial" w:cs="Arial"/>
          <w:color w:val="000000"/>
        </w:rPr>
        <w:t>DTPA-Fe</w:t>
      </w:r>
      <w:r w:rsidRPr="00344929">
        <w:rPr>
          <w:rFonts w:ascii="Arial" w:hAnsi="Arial" w:cs="Arial"/>
        </w:rPr>
        <w:t xml:space="preserve"> was noted with the application of 100% NPK.</w:t>
      </w:r>
    </w:p>
    <w:p w14:paraId="102702FF"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DTPA-Fe</w:t>
      </w:r>
      <w:r w:rsidRPr="00344929">
        <w:rPr>
          <w:rFonts w:ascii="Arial" w:hAnsi="Arial" w:cs="Arial"/>
        </w:rPr>
        <w:t xml:space="preserve">, indicating significance of balanced nutrition and INM. Continuous sorghum-wheat cropping without manure and fertilizer drastically decreased the </w:t>
      </w:r>
      <w:r w:rsidRPr="00344929">
        <w:rPr>
          <w:rFonts w:ascii="Arial" w:hAnsi="Arial" w:cs="Arial"/>
          <w:color w:val="000000"/>
        </w:rPr>
        <w:t>DTPA-Fe</w:t>
      </w:r>
      <w:r w:rsidRPr="00344929">
        <w:rPr>
          <w:rFonts w:ascii="Arial" w:hAnsi="Arial" w:cs="Arial"/>
        </w:rPr>
        <w:t xml:space="preserve"> of soil. </w:t>
      </w:r>
    </w:p>
    <w:p w14:paraId="7276B25D" w14:textId="1EC86223" w:rsidR="008E28F5" w:rsidRPr="00344929" w:rsidRDefault="008E28F5" w:rsidP="00A70587">
      <w:pPr>
        <w:spacing w:line="360" w:lineRule="auto"/>
        <w:ind w:firstLine="720"/>
        <w:jc w:val="both"/>
        <w:rPr>
          <w:rFonts w:ascii="Arial" w:hAnsi="Arial" w:cs="Arial"/>
          <w:color w:val="000000"/>
        </w:rPr>
      </w:pPr>
      <w:proofErr w:type="gramStart"/>
      <w:r w:rsidRPr="00344929">
        <w:rPr>
          <w:rFonts w:ascii="Arial" w:hAnsi="Arial" w:cs="Arial"/>
        </w:rPr>
        <w:t xml:space="preserve">The improvement in </w:t>
      </w:r>
      <w:r w:rsidRPr="00344929">
        <w:rPr>
          <w:rFonts w:ascii="Arial" w:hAnsi="Arial" w:cs="Arial"/>
          <w:color w:val="000000"/>
        </w:rPr>
        <w:t>DTPA-Fe</w:t>
      </w:r>
      <w:r w:rsidRPr="00344929">
        <w:rPr>
          <w:rFonts w:ascii="Arial" w:hAnsi="Arial" w:cs="Arial"/>
        </w:rPr>
        <w:t xml:space="preserve"> with balanced fertilizer application along with FYM or organics was also reported by</w:t>
      </w:r>
      <w:r w:rsidRPr="00344929">
        <w:rPr>
          <w:rFonts w:ascii="Arial" w:hAnsi="Arial" w:cs="Arial"/>
          <w:color w:val="000000"/>
        </w:rPr>
        <w:t xml:space="preserve"> Hemalatha and Chellamuthu (2013), Reshmi </w:t>
      </w:r>
      <w:r w:rsidRPr="00344929">
        <w:rPr>
          <w:rFonts w:ascii="Arial" w:hAnsi="Arial" w:cs="Arial"/>
          <w:i/>
          <w:color w:val="000000"/>
        </w:rPr>
        <w:t>et al.</w:t>
      </w:r>
      <w:r w:rsidRPr="00344929">
        <w:rPr>
          <w:rFonts w:ascii="Arial" w:hAnsi="Arial" w:cs="Arial"/>
          <w:color w:val="000000"/>
        </w:rPr>
        <w:t xml:space="preserve"> (2014) have reported similar </w:t>
      </w:r>
      <w:proofErr w:type="spellStart"/>
      <w:r w:rsidRPr="00344929">
        <w:rPr>
          <w:rFonts w:ascii="Arial" w:hAnsi="Arial" w:cs="Arial"/>
          <w:color w:val="000000"/>
        </w:rPr>
        <w:t>findings.Additionally</w:t>
      </w:r>
      <w:proofErr w:type="spellEnd"/>
      <w:r w:rsidRPr="00344929">
        <w:rPr>
          <w:rFonts w:ascii="Arial" w:hAnsi="Arial" w:cs="Arial"/>
          <w:color w:val="000000"/>
        </w:rPr>
        <w:t xml:space="preserve">, studies by </w:t>
      </w:r>
      <w:bookmarkStart w:id="2" w:name="_Hlk138297724"/>
      <w:proofErr w:type="spellStart"/>
      <w:r w:rsidRPr="00344929">
        <w:rPr>
          <w:rFonts w:ascii="Arial" w:hAnsi="Arial" w:cs="Arial"/>
          <w:color w:val="000000"/>
        </w:rPr>
        <w:t>Jadhav</w:t>
      </w:r>
      <w:proofErr w:type="spellEnd"/>
      <w:r w:rsidRPr="00344929">
        <w:rPr>
          <w:rFonts w:ascii="Arial" w:hAnsi="Arial" w:cs="Arial"/>
          <w:color w:val="000000"/>
        </w:rPr>
        <w:t xml:space="preserve"> and </w:t>
      </w:r>
      <w:proofErr w:type="spellStart"/>
      <w:r w:rsidRPr="00344929">
        <w:rPr>
          <w:rFonts w:ascii="Arial" w:hAnsi="Arial" w:cs="Arial"/>
          <w:color w:val="000000"/>
        </w:rPr>
        <w:t>Bharambe</w:t>
      </w:r>
      <w:proofErr w:type="spellEnd"/>
      <w:r w:rsidRPr="00344929">
        <w:rPr>
          <w:rFonts w:ascii="Arial" w:hAnsi="Arial" w:cs="Arial"/>
          <w:color w:val="000000"/>
        </w:rPr>
        <w:t xml:space="preserve"> (2007) and Akbari </w:t>
      </w:r>
      <w:r w:rsidRPr="00344929">
        <w:rPr>
          <w:rFonts w:ascii="Arial" w:hAnsi="Arial" w:cs="Arial"/>
          <w:i/>
          <w:iCs/>
          <w:color w:val="000000"/>
        </w:rPr>
        <w:t>et al.</w:t>
      </w:r>
      <w:r w:rsidRPr="00344929">
        <w:rPr>
          <w:rFonts w:ascii="Arial" w:hAnsi="Arial" w:cs="Arial"/>
          <w:color w:val="000000"/>
        </w:rPr>
        <w:t xml:space="preserve"> (2011)</w:t>
      </w:r>
      <w:bookmarkEnd w:id="2"/>
      <w:r w:rsidRPr="00344929">
        <w:rPr>
          <w:rFonts w:ascii="Arial" w:hAnsi="Arial" w:cs="Arial"/>
          <w:color w:val="000000"/>
        </w:rPr>
        <w:t xml:space="preserve"> have also shown that the combined application of organic and inorganic fertilizers resulted in significantly higher DTPA-extractable Fe compared to using only inorganic fertilizers or no fertilizers at all.</w:t>
      </w:r>
      <w:proofErr w:type="gramEnd"/>
    </w:p>
    <w:p w14:paraId="5109D57D" w14:textId="0F4F75CE" w:rsidR="008E28F5" w:rsidRPr="00344929" w:rsidRDefault="000F7FF5" w:rsidP="008E28F5">
      <w:pPr>
        <w:tabs>
          <w:tab w:val="left" w:pos="1440"/>
        </w:tabs>
        <w:spacing w:before="60" w:after="60" w:line="360" w:lineRule="auto"/>
        <w:jc w:val="both"/>
        <w:rPr>
          <w:rFonts w:ascii="Arial" w:hAnsi="Arial" w:cs="Arial"/>
          <w:b/>
          <w:bCs/>
          <w:color w:val="000000"/>
        </w:rPr>
      </w:pPr>
      <w:r>
        <w:rPr>
          <w:rFonts w:ascii="Arial" w:hAnsi="Arial" w:cs="Arial"/>
          <w:b/>
          <w:bCs/>
          <w:color w:val="000000"/>
        </w:rPr>
        <w:t xml:space="preserve">3.2 </w:t>
      </w:r>
      <w:r w:rsidR="008E28F5" w:rsidRPr="00344929">
        <w:rPr>
          <w:rFonts w:ascii="Arial" w:hAnsi="Arial" w:cs="Arial"/>
          <w:b/>
          <w:bCs/>
          <w:color w:val="000000"/>
        </w:rPr>
        <w:t xml:space="preserve">DTPA- </w:t>
      </w:r>
      <w:r w:rsidR="008E28F5" w:rsidRPr="00344929">
        <w:rPr>
          <w:rFonts w:ascii="Arial" w:hAnsi="Arial" w:cs="Arial"/>
          <w:b/>
          <w:bCs/>
        </w:rPr>
        <w:t>extractable</w:t>
      </w:r>
      <w:r w:rsidR="008E28F5" w:rsidRPr="00344929">
        <w:rPr>
          <w:rFonts w:ascii="Arial" w:hAnsi="Arial" w:cs="Arial"/>
          <w:b/>
          <w:bCs/>
          <w:color w:val="000000"/>
        </w:rPr>
        <w:t xml:space="preserve"> Mn</w:t>
      </w:r>
    </w:p>
    <w:p w14:paraId="5BC6E589" w14:textId="5511E7E9" w:rsidR="008E28F5" w:rsidRPr="00344929" w:rsidRDefault="008E28F5" w:rsidP="008E28F5">
      <w:pPr>
        <w:tabs>
          <w:tab w:val="left" w:pos="1440"/>
        </w:tabs>
        <w:spacing w:before="60" w:after="60" w:line="360" w:lineRule="auto"/>
        <w:jc w:val="both"/>
        <w:rPr>
          <w:rFonts w:ascii="Arial" w:hAnsi="Arial" w:cs="Arial"/>
          <w:color w:val="000000"/>
        </w:rPr>
      </w:pPr>
      <w:r w:rsidRPr="00344929">
        <w:rPr>
          <w:rFonts w:ascii="Arial" w:hAnsi="Arial" w:cs="Arial"/>
          <w:b/>
          <w:bCs/>
          <w:color w:val="000000"/>
        </w:rPr>
        <w:tab/>
      </w:r>
      <w:r w:rsidRPr="00344929">
        <w:rPr>
          <w:rFonts w:ascii="Arial" w:hAnsi="Arial" w:cs="Arial"/>
          <w:color w:val="000000"/>
        </w:rPr>
        <w:t>The data reveals in table 1 that the application of different nutrient treatments significantly influenced the DTPA Mn levels in soil. The long-term application of manure and fertilizer, combined with different cropping systems, demonstrated a substantial impact on the DTPA Mn status of the soils. the DTPA Mn concentrations ranged from 8.8</w:t>
      </w:r>
      <w:r w:rsidR="0002391A">
        <w:rPr>
          <w:rFonts w:ascii="Arial" w:hAnsi="Arial" w:cs="Arial"/>
          <w:color w:val="000000"/>
        </w:rPr>
        <w:t>2</w:t>
      </w:r>
      <w:r w:rsidRPr="00344929">
        <w:rPr>
          <w:rFonts w:ascii="Arial" w:hAnsi="Arial" w:cs="Arial"/>
          <w:color w:val="000000"/>
        </w:rPr>
        <w:t xml:space="preserve"> to 13.</w:t>
      </w:r>
      <w:r w:rsidR="0002391A">
        <w:rPr>
          <w:rFonts w:ascii="Arial" w:hAnsi="Arial" w:cs="Arial"/>
          <w:color w:val="000000"/>
        </w:rPr>
        <w:t>11</w:t>
      </w:r>
      <w:r w:rsidRPr="00344929">
        <w:rPr>
          <w:rFonts w:ascii="Arial" w:hAnsi="Arial" w:cs="Arial"/>
          <w:color w:val="000000"/>
        </w:rPr>
        <w:t xml:space="preserve"> mg kg</w:t>
      </w:r>
      <w:r w:rsidRPr="00344929">
        <w:rPr>
          <w:rFonts w:ascii="Arial" w:hAnsi="Arial" w:cs="Arial"/>
          <w:color w:val="000000"/>
          <w:vertAlign w:val="superscript"/>
        </w:rPr>
        <w:t>-1</w:t>
      </w:r>
      <w:r w:rsidRPr="00344929">
        <w:rPr>
          <w:rFonts w:ascii="Arial" w:hAnsi="Arial" w:cs="Arial"/>
          <w:color w:val="000000"/>
        </w:rPr>
        <w:t xml:space="preserve"> in the sorghum wheat cropping systems.</w:t>
      </w:r>
    </w:p>
    <w:p w14:paraId="52BDFE0B" w14:textId="7860AD6E" w:rsidR="008E28F5" w:rsidRPr="00344929" w:rsidRDefault="008E28F5" w:rsidP="008E28F5">
      <w:pPr>
        <w:tabs>
          <w:tab w:val="left" w:pos="1440"/>
        </w:tabs>
        <w:spacing w:before="60" w:after="60" w:line="360" w:lineRule="auto"/>
        <w:jc w:val="both"/>
        <w:rPr>
          <w:rFonts w:ascii="Arial" w:hAnsi="Arial" w:cs="Arial"/>
          <w:b/>
          <w:bCs/>
          <w:color w:val="000000"/>
        </w:rPr>
      </w:pPr>
      <w:r w:rsidRPr="00344929">
        <w:rPr>
          <w:rFonts w:ascii="Arial" w:hAnsi="Arial" w:cs="Arial"/>
          <w:color w:val="000000"/>
        </w:rPr>
        <w:tab/>
        <w:t>The highest DTPA-Mn content was observed in the 100% NPK+FYM (T</w:t>
      </w:r>
      <w:r w:rsidRPr="00344929">
        <w:rPr>
          <w:rFonts w:ascii="Arial" w:hAnsi="Arial" w:cs="Arial"/>
          <w:color w:val="000000"/>
          <w:vertAlign w:val="subscript"/>
        </w:rPr>
        <w:t>8</w:t>
      </w:r>
      <w:r w:rsidRPr="00344929">
        <w:rPr>
          <w:rFonts w:ascii="Arial" w:hAnsi="Arial" w:cs="Arial"/>
          <w:color w:val="000000"/>
        </w:rPr>
        <w:t>) treatment, while the control treatment exhibited the lowest DTPA Mn content. the highest amount of DTPA Mn, the combination of inorganic fertilizers and organic manure (100% NPK+FYM) resulted in the followed by the 75% NPK + FYM (</w:t>
      </w:r>
      <w:r w:rsidRPr="00344929">
        <w:rPr>
          <w:rFonts w:ascii="Arial" w:hAnsi="Arial" w:cs="Arial"/>
        </w:rPr>
        <w:t>T</w:t>
      </w:r>
      <w:r w:rsidRPr="00344929">
        <w:rPr>
          <w:rFonts w:ascii="Arial" w:hAnsi="Arial" w:cs="Arial"/>
          <w:vertAlign w:val="subscript"/>
        </w:rPr>
        <w:t>11</w:t>
      </w:r>
      <w:r w:rsidRPr="00344929">
        <w:rPr>
          <w:rFonts w:ascii="Arial" w:hAnsi="Arial" w:cs="Arial"/>
        </w:rPr>
        <w:t>)</w:t>
      </w:r>
      <w:r w:rsidRPr="00344929">
        <w:rPr>
          <w:rFonts w:ascii="Arial" w:hAnsi="Arial" w:cs="Arial"/>
          <w:color w:val="000000"/>
        </w:rPr>
        <w:t>, FYM</w:t>
      </w:r>
      <w:r w:rsidRPr="00344929">
        <w:rPr>
          <w:rFonts w:ascii="Arial" w:hAnsi="Arial" w:cs="Arial"/>
        </w:rPr>
        <w:t xml:space="preserve"> (T</w:t>
      </w:r>
      <w:r w:rsidRPr="00344929">
        <w:rPr>
          <w:rFonts w:ascii="Arial" w:hAnsi="Arial" w:cs="Arial"/>
          <w:vertAlign w:val="subscript"/>
        </w:rPr>
        <w:t>10</w:t>
      </w:r>
      <w:r w:rsidRPr="00344929">
        <w:rPr>
          <w:rFonts w:ascii="Arial" w:hAnsi="Arial" w:cs="Arial"/>
        </w:rPr>
        <w:t>)</w:t>
      </w:r>
      <w:r w:rsidRPr="00344929">
        <w:rPr>
          <w:rFonts w:ascii="Arial" w:hAnsi="Arial" w:cs="Arial"/>
          <w:color w:val="000000"/>
        </w:rPr>
        <w:t xml:space="preserve"> treatments. </w:t>
      </w:r>
    </w:p>
    <w:p w14:paraId="014F958A" w14:textId="6D69489D"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increases in </w:t>
      </w:r>
      <w:r w:rsidRPr="00344929">
        <w:rPr>
          <w:rFonts w:ascii="Arial" w:hAnsi="Arial" w:cs="Arial"/>
          <w:color w:val="000000"/>
        </w:rPr>
        <w:t xml:space="preserve">DTPA-extractable Mn </w:t>
      </w:r>
      <w:r w:rsidRPr="00344929">
        <w:rPr>
          <w:rFonts w:ascii="Arial" w:hAnsi="Arial" w:cs="Arial"/>
        </w:rPr>
        <w:t>under INM (T</w:t>
      </w:r>
      <w:r w:rsidRPr="00344929">
        <w:rPr>
          <w:rFonts w:ascii="Arial" w:hAnsi="Arial" w:cs="Arial"/>
          <w:vertAlign w:val="subscript"/>
        </w:rPr>
        <w:t>8</w:t>
      </w:r>
      <w:r w:rsidRPr="00344929">
        <w:rPr>
          <w:rFonts w:ascii="Arial" w:hAnsi="Arial" w:cs="Arial"/>
        </w:rPr>
        <w:t xml:space="preserve">) </w:t>
      </w:r>
      <w:r w:rsidRPr="003E19B9">
        <w:rPr>
          <w:rFonts w:ascii="Arial" w:hAnsi="Arial" w:cs="Arial"/>
        </w:rPr>
        <w:t>treatment was 22.</w:t>
      </w:r>
      <w:r w:rsidR="003E19B9" w:rsidRPr="003E19B9">
        <w:rPr>
          <w:rFonts w:ascii="Arial" w:hAnsi="Arial" w:cs="Arial"/>
        </w:rPr>
        <w:t>86</w:t>
      </w:r>
      <w:r w:rsidRPr="003E19B9">
        <w:rPr>
          <w:rFonts w:ascii="Arial" w:hAnsi="Arial" w:cs="Arial"/>
        </w:rPr>
        <w:t xml:space="preserve">% of </w:t>
      </w:r>
      <w:r w:rsidRPr="00344929">
        <w:rPr>
          <w:rFonts w:ascii="Arial" w:hAnsi="Arial" w:cs="Arial"/>
        </w:rPr>
        <w:t>higher compared to balanced fertilizer treatment (T</w:t>
      </w:r>
      <w:r w:rsidRPr="00344929">
        <w:rPr>
          <w:rFonts w:ascii="Arial" w:hAnsi="Arial" w:cs="Arial"/>
          <w:vertAlign w:val="subscript"/>
        </w:rPr>
        <w:t>2</w:t>
      </w:r>
      <w:r w:rsidRPr="00344929">
        <w:rPr>
          <w:rFonts w:ascii="Arial" w:hAnsi="Arial" w:cs="Arial"/>
        </w:rPr>
        <w:t xml:space="preserve">), again signifying the role of FYM in enhancing soil chemical properties.  The improvement in </w:t>
      </w:r>
      <w:r w:rsidRPr="00344929">
        <w:rPr>
          <w:rFonts w:ascii="Arial" w:hAnsi="Arial" w:cs="Arial"/>
          <w:color w:val="000000"/>
        </w:rPr>
        <w:t xml:space="preserve">DTPA-extractable Mn </w:t>
      </w:r>
      <w:r w:rsidRPr="00344929">
        <w:rPr>
          <w:rFonts w:ascii="Arial" w:hAnsi="Arial" w:cs="Arial"/>
        </w:rPr>
        <w:t xml:space="preserve">was consistent across the increments level of balanced nutrition. However, the higher </w:t>
      </w:r>
      <w:r w:rsidRPr="00344929">
        <w:rPr>
          <w:rFonts w:ascii="Arial" w:hAnsi="Arial" w:cs="Arial"/>
          <w:color w:val="000000"/>
        </w:rPr>
        <w:t>DTPA-extractable Mn</w:t>
      </w:r>
      <w:r w:rsidRPr="00344929">
        <w:rPr>
          <w:rFonts w:ascii="Arial" w:hAnsi="Arial" w:cs="Arial"/>
        </w:rPr>
        <w:t xml:space="preserve"> was noted with the application of 100% NPK.</w:t>
      </w:r>
    </w:p>
    <w:p w14:paraId="65288142"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DTPA-extractable Mn</w:t>
      </w:r>
      <w:r w:rsidRPr="00344929">
        <w:rPr>
          <w:rFonts w:ascii="Arial" w:hAnsi="Arial" w:cs="Arial"/>
        </w:rPr>
        <w:t xml:space="preserve">, indicating significance of balanced nutrition and INM. Continuous </w:t>
      </w:r>
      <w:r w:rsidRPr="00344929">
        <w:rPr>
          <w:rFonts w:ascii="Arial" w:hAnsi="Arial" w:cs="Arial"/>
        </w:rPr>
        <w:lastRenderedPageBreak/>
        <w:t xml:space="preserve">sorghum-wheat cropping without manure and fertilizer drastically decreased the </w:t>
      </w:r>
      <w:r w:rsidRPr="00344929">
        <w:rPr>
          <w:rFonts w:ascii="Arial" w:hAnsi="Arial" w:cs="Arial"/>
          <w:color w:val="000000"/>
        </w:rPr>
        <w:t xml:space="preserve">DTPA-extractable Mn </w:t>
      </w:r>
      <w:r w:rsidRPr="00344929">
        <w:rPr>
          <w:rFonts w:ascii="Arial" w:hAnsi="Arial" w:cs="Arial"/>
        </w:rPr>
        <w:t xml:space="preserve">of soil. </w:t>
      </w:r>
    </w:p>
    <w:p w14:paraId="5DF3AEAC" w14:textId="7E244CFF"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improvement in </w:t>
      </w:r>
      <w:r w:rsidRPr="00344929">
        <w:rPr>
          <w:rFonts w:ascii="Arial" w:hAnsi="Arial" w:cs="Arial"/>
          <w:color w:val="000000"/>
        </w:rPr>
        <w:t xml:space="preserve">DTPA-extractable Mn </w:t>
      </w:r>
      <w:r w:rsidRPr="00344929">
        <w:rPr>
          <w:rFonts w:ascii="Arial" w:hAnsi="Arial" w:cs="Arial"/>
        </w:rPr>
        <w:t xml:space="preserve">with balanced fertilizer application along with FYM or organics was also reported </w:t>
      </w:r>
      <w:r w:rsidRPr="00344929">
        <w:rPr>
          <w:rFonts w:ascii="Arial" w:hAnsi="Arial" w:cs="Arial"/>
          <w:color w:val="000000"/>
        </w:rPr>
        <w:t xml:space="preserve">by </w:t>
      </w:r>
      <w:proofErr w:type="spellStart"/>
      <w:r w:rsidRPr="00344929">
        <w:rPr>
          <w:rFonts w:ascii="Arial" w:hAnsi="Arial" w:cs="Arial"/>
          <w:color w:val="000000"/>
        </w:rPr>
        <w:t>Jadhav</w:t>
      </w:r>
      <w:proofErr w:type="spellEnd"/>
      <w:r w:rsidRPr="00344929">
        <w:rPr>
          <w:rFonts w:ascii="Arial" w:hAnsi="Arial" w:cs="Arial"/>
          <w:color w:val="000000"/>
        </w:rPr>
        <w:t xml:space="preserve"> and </w:t>
      </w:r>
      <w:proofErr w:type="spellStart"/>
      <w:r w:rsidRPr="00344929">
        <w:rPr>
          <w:rFonts w:ascii="Arial" w:hAnsi="Arial" w:cs="Arial"/>
          <w:color w:val="000000"/>
        </w:rPr>
        <w:t>Bharambe</w:t>
      </w:r>
      <w:proofErr w:type="spellEnd"/>
      <w:r w:rsidRPr="00344929">
        <w:rPr>
          <w:rFonts w:ascii="Arial" w:hAnsi="Arial" w:cs="Arial"/>
          <w:color w:val="000000"/>
        </w:rPr>
        <w:t xml:space="preserve"> (2007), who found that the application of organic manure, iron (Fe), sulphur (S</w:t>
      </w:r>
      <w:r w:rsidRPr="00344929">
        <w:rPr>
          <w:rFonts w:ascii="Arial" w:hAnsi="Arial" w:cs="Arial"/>
          <w:color w:val="000000"/>
          <w:vertAlign w:val="subscript"/>
        </w:rPr>
        <w:t>2</w:t>
      </w:r>
      <w:r w:rsidRPr="00344929">
        <w:rPr>
          <w:rFonts w:ascii="Arial" w:hAnsi="Arial" w:cs="Arial"/>
          <w:color w:val="000000"/>
        </w:rPr>
        <w:t xml:space="preserve">), phosphomolybdate (PMC), and sulphur significantly increased the availability of Mn in saline-sodic swell shrink soil compared to the control. </w:t>
      </w:r>
      <w:r w:rsidR="00A70587" w:rsidRPr="00F00A97">
        <w:rPr>
          <w:rFonts w:ascii="Arial" w:hAnsi="Arial" w:cs="Arial"/>
          <w:color w:val="000000"/>
          <w:highlight w:val="green"/>
        </w:rPr>
        <w:t xml:space="preserve">Moreover, adding organic materials might have </w:t>
      </w:r>
      <w:r w:rsidR="00F00A97" w:rsidRPr="00F00A97">
        <w:rPr>
          <w:rFonts w:ascii="Arial" w:hAnsi="Arial" w:cs="Arial"/>
          <w:color w:val="000000"/>
          <w:highlight w:val="green"/>
        </w:rPr>
        <w:t>enhanced the</w:t>
      </w:r>
      <w:r w:rsidR="00A70587" w:rsidRPr="00F00A97">
        <w:rPr>
          <w:rFonts w:ascii="Arial" w:hAnsi="Arial" w:cs="Arial"/>
          <w:color w:val="000000"/>
          <w:highlight w:val="green"/>
        </w:rPr>
        <w:t xml:space="preserve"> soils microbial activity and consequently released complex organic substances like chelating agents that could have prevented micronutrients from precipitation, fixation, oxidation and leaching and thus increased the </w:t>
      </w:r>
      <w:r w:rsidR="00F00A97" w:rsidRPr="00F00A97">
        <w:rPr>
          <w:rFonts w:ascii="Arial" w:hAnsi="Arial" w:cs="Arial"/>
          <w:color w:val="000000"/>
          <w:highlight w:val="green"/>
        </w:rPr>
        <w:t xml:space="preserve">availability (Shahid </w:t>
      </w:r>
      <w:r w:rsidR="00F00A97" w:rsidRPr="00F00A97">
        <w:rPr>
          <w:rFonts w:ascii="Arial" w:hAnsi="Arial" w:cs="Arial"/>
          <w:i/>
          <w:iCs/>
          <w:color w:val="000000"/>
          <w:highlight w:val="green"/>
        </w:rPr>
        <w:t>et al</w:t>
      </w:r>
      <w:r w:rsidR="00F00A97" w:rsidRPr="00F00A97">
        <w:rPr>
          <w:rFonts w:ascii="Arial" w:hAnsi="Arial" w:cs="Arial"/>
          <w:color w:val="000000"/>
          <w:highlight w:val="green"/>
        </w:rPr>
        <w:t xml:space="preserve">. 2016). Similar result was also reported by Randhawa </w:t>
      </w:r>
      <w:r w:rsidR="00F00A97" w:rsidRPr="00F00A97">
        <w:rPr>
          <w:rFonts w:ascii="Arial" w:hAnsi="Arial" w:cs="Arial"/>
          <w:i/>
          <w:iCs/>
          <w:color w:val="000000"/>
          <w:highlight w:val="green"/>
        </w:rPr>
        <w:t>et al</w:t>
      </w:r>
      <w:r w:rsidR="00F00A97" w:rsidRPr="00F00A97">
        <w:rPr>
          <w:rFonts w:ascii="Arial" w:hAnsi="Arial" w:cs="Arial"/>
          <w:color w:val="000000"/>
          <w:highlight w:val="green"/>
        </w:rPr>
        <w:t>. (2021).</w:t>
      </w:r>
    </w:p>
    <w:p w14:paraId="68BC1484" w14:textId="6D08CCE9" w:rsidR="00487285" w:rsidRDefault="008E28F5" w:rsidP="00487285">
      <w:pPr>
        <w:spacing w:line="360" w:lineRule="auto"/>
        <w:ind w:firstLine="720"/>
        <w:jc w:val="both"/>
        <w:rPr>
          <w:rFonts w:ascii="Arial" w:hAnsi="Arial" w:cs="Arial"/>
        </w:rPr>
      </w:pPr>
      <w:r w:rsidRPr="00344929">
        <w:rPr>
          <w:rFonts w:ascii="Arial" w:hAnsi="Arial" w:cs="Arial"/>
          <w:color w:val="000000"/>
        </w:rPr>
        <w:t>Similar findings were reported by Jagadeesh (2000), further supporting the notion that the addition of organic materials can enhance the availability of DTPA-Mn in the soil. It is worth noting that the decrease in DTPA-Mn content observed in some cases could be attributed to the uptake and removal of Mn by the crops themselves.</w:t>
      </w:r>
    </w:p>
    <w:p w14:paraId="5E3AF079" w14:textId="70F9F889" w:rsidR="00684CD2" w:rsidRPr="00684CD2" w:rsidRDefault="00684CD2" w:rsidP="00684CD2">
      <w:pPr>
        <w:spacing w:line="360" w:lineRule="auto"/>
        <w:jc w:val="both"/>
        <w:rPr>
          <w:rFonts w:ascii="Arial" w:hAnsi="Arial" w:cs="Arial"/>
          <w:sz w:val="24"/>
          <w:szCs w:val="24"/>
        </w:rPr>
      </w:pPr>
      <w:bookmarkStart w:id="3" w:name="_Hlk188873812"/>
      <w:r>
        <w:rPr>
          <w:rFonts w:ascii="Arial" w:hAnsi="Arial" w:cs="Arial"/>
          <w:b/>
          <w:bCs/>
          <w:color w:val="000000"/>
        </w:rPr>
        <w:t xml:space="preserve">Table 1. </w:t>
      </w:r>
      <w:r>
        <w:rPr>
          <w:rFonts w:ascii="Arial" w:hAnsi="Arial" w:cs="Arial"/>
          <w:b/>
          <w:bCs/>
          <w:sz w:val="24"/>
          <w:szCs w:val="24"/>
        </w:rPr>
        <w:t xml:space="preserve">Effect of long-term manuring and fertilization on </w:t>
      </w:r>
      <w:r w:rsidRPr="002E2B46">
        <w:rPr>
          <w:rFonts w:ascii="Arial" w:hAnsi="Arial" w:cs="Arial"/>
          <w:b/>
          <w:bCs/>
          <w:color w:val="000000"/>
          <w:sz w:val="24"/>
          <w:szCs w:val="24"/>
        </w:rPr>
        <w:t>DTPA</w:t>
      </w:r>
      <w:r w:rsidR="001476E9">
        <w:rPr>
          <w:rFonts w:ascii="Arial" w:hAnsi="Arial" w:cs="Arial"/>
          <w:b/>
          <w:bCs/>
          <w:color w:val="000000"/>
          <w:sz w:val="24"/>
          <w:szCs w:val="24"/>
        </w:rPr>
        <w:t>-</w:t>
      </w:r>
      <w:r w:rsidR="0002391A">
        <w:rPr>
          <w:rFonts w:ascii="Arial" w:hAnsi="Arial" w:cs="Arial"/>
          <w:b/>
          <w:bCs/>
          <w:color w:val="000000"/>
          <w:sz w:val="24"/>
          <w:szCs w:val="24"/>
        </w:rPr>
        <w:t xml:space="preserve">micronutrients </w:t>
      </w:r>
      <w:r w:rsidR="0002391A">
        <w:rPr>
          <w:rFonts w:ascii="Arial" w:hAnsi="Arial" w:cs="Arial"/>
          <w:b/>
          <w:bCs/>
          <w:sz w:val="24"/>
          <w:szCs w:val="24"/>
        </w:rPr>
        <w:t>under</w:t>
      </w:r>
      <w:r>
        <w:rPr>
          <w:rFonts w:ascii="Arial" w:hAnsi="Arial" w:cs="Arial"/>
          <w:b/>
          <w:bCs/>
          <w:sz w:val="24"/>
          <w:szCs w:val="24"/>
        </w:rPr>
        <w:t xml:space="preserve"> sorghum wheat cropping sequence in </w:t>
      </w:r>
      <w:proofErr w:type="spellStart"/>
      <w:r>
        <w:rPr>
          <w:rFonts w:ascii="Arial" w:hAnsi="Arial" w:cs="Arial"/>
          <w:b/>
          <w:bCs/>
          <w:sz w:val="24"/>
          <w:szCs w:val="24"/>
        </w:rPr>
        <w:t>vertisol</w:t>
      </w:r>
      <w:proofErr w:type="spellEnd"/>
    </w:p>
    <w:tbl>
      <w:tblPr>
        <w:tblW w:w="9498" w:type="dxa"/>
        <w:tblBorders>
          <w:top w:val="single" w:sz="4" w:space="0" w:color="auto"/>
          <w:bottom w:val="single" w:sz="4" w:space="0" w:color="auto"/>
        </w:tblBorders>
        <w:tblLayout w:type="fixed"/>
        <w:tblLook w:val="04A0" w:firstRow="1" w:lastRow="0" w:firstColumn="1" w:lastColumn="0" w:noHBand="0" w:noVBand="1"/>
      </w:tblPr>
      <w:tblGrid>
        <w:gridCol w:w="561"/>
        <w:gridCol w:w="4112"/>
        <w:gridCol w:w="2273"/>
        <w:gridCol w:w="1276"/>
        <w:gridCol w:w="1276"/>
      </w:tblGrid>
      <w:tr w:rsidR="001476E9" w:rsidRPr="00C32F12" w14:paraId="41FAAC43" w14:textId="6028BCC5" w:rsidTr="0002391A">
        <w:trPr>
          <w:trHeight w:val="347"/>
        </w:trPr>
        <w:tc>
          <w:tcPr>
            <w:tcW w:w="561" w:type="dxa"/>
            <w:vMerge w:val="restart"/>
            <w:tcBorders>
              <w:top w:val="single" w:sz="4" w:space="0" w:color="auto"/>
              <w:bottom w:val="nil"/>
            </w:tcBorders>
            <w:shd w:val="clear" w:color="auto" w:fill="auto"/>
          </w:tcPr>
          <w:p w14:paraId="2E55B718" w14:textId="19EC2363" w:rsidR="001476E9" w:rsidRPr="00C32F12" w:rsidRDefault="001476E9" w:rsidP="0002391A">
            <w:pPr>
              <w:spacing w:after="0" w:line="360" w:lineRule="auto"/>
              <w:jc w:val="center"/>
              <w:rPr>
                <w:rFonts w:ascii="Arial" w:hAnsi="Arial" w:cs="Arial"/>
                <w:b/>
                <w:bCs/>
              </w:rPr>
            </w:pPr>
            <w:r w:rsidRPr="00C32F12">
              <w:rPr>
                <w:rFonts w:ascii="Arial" w:hAnsi="Arial" w:cs="Arial"/>
                <w:b/>
                <w:bCs/>
              </w:rPr>
              <w:t>Tr.</w:t>
            </w:r>
          </w:p>
        </w:tc>
        <w:tc>
          <w:tcPr>
            <w:tcW w:w="4112" w:type="dxa"/>
            <w:vMerge w:val="restart"/>
            <w:tcBorders>
              <w:top w:val="single" w:sz="4" w:space="0" w:color="auto"/>
              <w:bottom w:val="nil"/>
            </w:tcBorders>
            <w:shd w:val="clear" w:color="auto" w:fill="auto"/>
          </w:tcPr>
          <w:p w14:paraId="295DEC10" w14:textId="77777777" w:rsidR="001476E9" w:rsidRPr="00C32F12" w:rsidRDefault="001476E9" w:rsidP="0002391A">
            <w:pPr>
              <w:spacing w:after="0" w:line="360" w:lineRule="auto"/>
              <w:jc w:val="center"/>
              <w:rPr>
                <w:rFonts w:ascii="Arial" w:hAnsi="Arial" w:cs="Arial"/>
                <w:b/>
                <w:bCs/>
              </w:rPr>
            </w:pPr>
            <w:r w:rsidRPr="00C32F12">
              <w:rPr>
                <w:rFonts w:ascii="Arial" w:hAnsi="Arial" w:cs="Arial"/>
                <w:b/>
                <w:bCs/>
              </w:rPr>
              <w:t>Treatments</w:t>
            </w:r>
          </w:p>
        </w:tc>
        <w:tc>
          <w:tcPr>
            <w:tcW w:w="2273" w:type="dxa"/>
            <w:tcBorders>
              <w:top w:val="single" w:sz="4" w:space="0" w:color="auto"/>
              <w:bottom w:val="nil"/>
            </w:tcBorders>
            <w:shd w:val="clear" w:color="auto" w:fill="auto"/>
          </w:tcPr>
          <w:p w14:paraId="1335DB36" w14:textId="15EDB4EF" w:rsidR="001476E9" w:rsidRPr="00C32F12" w:rsidRDefault="001476E9" w:rsidP="0002391A">
            <w:pPr>
              <w:spacing w:after="0" w:line="240" w:lineRule="auto"/>
              <w:jc w:val="center"/>
              <w:rPr>
                <w:rFonts w:ascii="Arial" w:hAnsi="Arial" w:cs="Arial"/>
                <w:b/>
                <w:bCs/>
                <w:color w:val="000000"/>
                <w:lang w:eastAsia="en-IN" w:bidi="mr-IN"/>
              </w:rPr>
            </w:pPr>
            <w:r w:rsidRPr="00C32F12">
              <w:rPr>
                <w:rFonts w:ascii="Arial" w:hAnsi="Arial" w:cs="Arial"/>
                <w:b/>
                <w:bCs/>
                <w:color w:val="000000"/>
              </w:rPr>
              <w:t>DTPA Fe</w:t>
            </w:r>
          </w:p>
          <w:p w14:paraId="14275F57" w14:textId="77777777" w:rsidR="001476E9" w:rsidRPr="00C32F12" w:rsidRDefault="001476E9" w:rsidP="0002391A">
            <w:pPr>
              <w:spacing w:after="0" w:line="240" w:lineRule="auto"/>
              <w:jc w:val="center"/>
              <w:rPr>
                <w:rFonts w:ascii="Arial" w:hAnsi="Arial" w:cs="Arial"/>
                <w:b/>
                <w:bCs/>
                <w:color w:val="000000"/>
              </w:rPr>
            </w:pPr>
          </w:p>
        </w:tc>
        <w:tc>
          <w:tcPr>
            <w:tcW w:w="1276" w:type="dxa"/>
            <w:tcBorders>
              <w:top w:val="single" w:sz="4" w:space="0" w:color="auto"/>
              <w:bottom w:val="nil"/>
            </w:tcBorders>
            <w:shd w:val="clear" w:color="auto" w:fill="auto"/>
          </w:tcPr>
          <w:p w14:paraId="45815356" w14:textId="5B42E1B4" w:rsidR="001476E9" w:rsidRPr="00C32F12" w:rsidRDefault="001476E9" w:rsidP="0002391A">
            <w:pPr>
              <w:spacing w:after="0" w:line="240" w:lineRule="auto"/>
              <w:rPr>
                <w:rFonts w:ascii="Arial" w:hAnsi="Arial" w:cs="Arial"/>
                <w:b/>
                <w:bCs/>
                <w:color w:val="000000"/>
              </w:rPr>
            </w:pPr>
            <w:r w:rsidRPr="00C32F12">
              <w:rPr>
                <w:rFonts w:ascii="Arial" w:hAnsi="Arial" w:cs="Arial"/>
                <w:b/>
                <w:bCs/>
                <w:color w:val="000000"/>
              </w:rPr>
              <w:t>DTPA Mn</w:t>
            </w:r>
          </w:p>
          <w:p w14:paraId="0D66F611" w14:textId="77777777" w:rsidR="001476E9" w:rsidRPr="00C32F12" w:rsidRDefault="001476E9" w:rsidP="0002391A">
            <w:pPr>
              <w:spacing w:after="0" w:line="240" w:lineRule="auto"/>
              <w:jc w:val="center"/>
              <w:rPr>
                <w:rFonts w:ascii="Arial" w:hAnsi="Arial" w:cs="Arial"/>
                <w:b/>
                <w:bCs/>
                <w:color w:val="000000"/>
              </w:rPr>
            </w:pPr>
          </w:p>
        </w:tc>
        <w:tc>
          <w:tcPr>
            <w:tcW w:w="1276" w:type="dxa"/>
            <w:tcBorders>
              <w:top w:val="single" w:sz="4" w:space="0" w:color="auto"/>
              <w:bottom w:val="nil"/>
            </w:tcBorders>
          </w:tcPr>
          <w:p w14:paraId="15DEC615" w14:textId="7A29487D" w:rsidR="001476E9" w:rsidRPr="00C32F12" w:rsidRDefault="001476E9" w:rsidP="0002391A">
            <w:pPr>
              <w:spacing w:after="0" w:line="240" w:lineRule="auto"/>
              <w:jc w:val="center"/>
              <w:rPr>
                <w:rFonts w:ascii="Arial" w:hAnsi="Arial" w:cs="Arial"/>
                <w:b/>
                <w:bCs/>
                <w:color w:val="000000"/>
              </w:rPr>
            </w:pPr>
            <w:r w:rsidRPr="002E2B46">
              <w:rPr>
                <w:rFonts w:ascii="Arial" w:hAnsi="Arial" w:cs="Arial"/>
                <w:b/>
                <w:bCs/>
                <w:color w:val="000000"/>
                <w:sz w:val="24"/>
                <w:szCs w:val="24"/>
              </w:rPr>
              <w:t>DTPA</w:t>
            </w:r>
            <w:r w:rsidRPr="008F4EFE">
              <w:rPr>
                <w:rFonts w:ascii="Arial" w:hAnsi="Arial" w:cs="Arial"/>
                <w:b/>
                <w:bCs/>
                <w:color w:val="000000"/>
                <w:sz w:val="24"/>
                <w:szCs w:val="24"/>
              </w:rPr>
              <w:t xml:space="preserve"> </w:t>
            </w:r>
            <w:r>
              <w:rPr>
                <w:rFonts w:ascii="Arial" w:hAnsi="Arial" w:cs="Arial"/>
                <w:b/>
                <w:bCs/>
                <w:color w:val="000000"/>
                <w:sz w:val="24"/>
                <w:szCs w:val="24"/>
              </w:rPr>
              <w:t>Cu</w:t>
            </w:r>
          </w:p>
        </w:tc>
      </w:tr>
      <w:tr w:rsidR="001476E9" w:rsidRPr="00C32F12" w14:paraId="59965D1C" w14:textId="1E61D86A" w:rsidTr="0002391A">
        <w:trPr>
          <w:trHeight w:val="261"/>
        </w:trPr>
        <w:tc>
          <w:tcPr>
            <w:tcW w:w="561" w:type="dxa"/>
            <w:vMerge/>
            <w:tcBorders>
              <w:top w:val="nil"/>
              <w:bottom w:val="single" w:sz="4" w:space="0" w:color="auto"/>
            </w:tcBorders>
            <w:shd w:val="clear" w:color="auto" w:fill="auto"/>
          </w:tcPr>
          <w:p w14:paraId="48AF681F" w14:textId="77777777" w:rsidR="001476E9" w:rsidRPr="00C32F12" w:rsidRDefault="001476E9" w:rsidP="0002391A">
            <w:pPr>
              <w:spacing w:after="0" w:line="360" w:lineRule="auto"/>
              <w:jc w:val="center"/>
              <w:rPr>
                <w:rFonts w:ascii="Arial" w:hAnsi="Arial" w:cs="Arial"/>
                <w:b/>
                <w:bCs/>
              </w:rPr>
            </w:pPr>
          </w:p>
        </w:tc>
        <w:tc>
          <w:tcPr>
            <w:tcW w:w="4112" w:type="dxa"/>
            <w:vMerge/>
            <w:tcBorders>
              <w:top w:val="nil"/>
              <w:bottom w:val="single" w:sz="4" w:space="0" w:color="auto"/>
            </w:tcBorders>
            <w:shd w:val="clear" w:color="auto" w:fill="auto"/>
          </w:tcPr>
          <w:p w14:paraId="0C3A48AD" w14:textId="77777777" w:rsidR="001476E9" w:rsidRPr="00C32F12" w:rsidRDefault="001476E9" w:rsidP="0002391A">
            <w:pPr>
              <w:spacing w:after="0" w:line="360" w:lineRule="auto"/>
              <w:jc w:val="center"/>
              <w:rPr>
                <w:rFonts w:ascii="Arial" w:hAnsi="Arial" w:cs="Arial"/>
                <w:b/>
                <w:bCs/>
              </w:rPr>
            </w:pPr>
          </w:p>
        </w:tc>
        <w:tc>
          <w:tcPr>
            <w:tcW w:w="4825" w:type="dxa"/>
            <w:gridSpan w:val="3"/>
            <w:tcBorders>
              <w:top w:val="nil"/>
              <w:bottom w:val="single" w:sz="4" w:space="0" w:color="auto"/>
            </w:tcBorders>
            <w:shd w:val="clear" w:color="auto" w:fill="auto"/>
          </w:tcPr>
          <w:p w14:paraId="2AB82A9C" w14:textId="01A2E555" w:rsidR="001476E9" w:rsidRPr="00C32F12" w:rsidRDefault="001476E9" w:rsidP="0002391A">
            <w:pPr>
              <w:spacing w:after="0" w:line="360" w:lineRule="auto"/>
              <w:jc w:val="center"/>
              <w:rPr>
                <w:rFonts w:ascii="Arial" w:hAnsi="Arial" w:cs="Arial"/>
                <w:b/>
                <w:bCs/>
                <w:color w:val="000000"/>
              </w:rPr>
            </w:pPr>
            <w:r w:rsidRPr="00C32F12">
              <w:rPr>
                <w:rFonts w:ascii="Arial" w:hAnsi="Arial" w:cs="Arial"/>
                <w:b/>
                <w:bCs/>
                <w:color w:val="000000"/>
              </w:rPr>
              <w:t>(mg Kg</w:t>
            </w:r>
            <w:r w:rsidRPr="00C32F12">
              <w:rPr>
                <w:rFonts w:ascii="Arial" w:hAnsi="Arial" w:cs="Arial"/>
                <w:b/>
                <w:bCs/>
                <w:color w:val="000000"/>
                <w:vertAlign w:val="superscript"/>
              </w:rPr>
              <w:t>-1</w:t>
            </w:r>
            <w:r w:rsidRPr="00C32F12">
              <w:rPr>
                <w:rFonts w:ascii="Arial" w:hAnsi="Arial" w:cs="Arial"/>
                <w:b/>
                <w:bCs/>
                <w:color w:val="000000"/>
              </w:rPr>
              <w:t>)</w:t>
            </w:r>
          </w:p>
        </w:tc>
      </w:tr>
      <w:tr w:rsidR="001476E9" w:rsidRPr="00C32F12" w14:paraId="05DA04F6" w14:textId="76475CD0" w:rsidTr="001476E9">
        <w:trPr>
          <w:trHeight w:val="262"/>
        </w:trPr>
        <w:tc>
          <w:tcPr>
            <w:tcW w:w="561" w:type="dxa"/>
            <w:tcBorders>
              <w:top w:val="single" w:sz="4" w:space="0" w:color="auto"/>
            </w:tcBorders>
            <w:shd w:val="clear" w:color="auto" w:fill="auto"/>
          </w:tcPr>
          <w:p w14:paraId="787EDD1A"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w:t>
            </w:r>
          </w:p>
        </w:tc>
        <w:tc>
          <w:tcPr>
            <w:tcW w:w="4112" w:type="dxa"/>
            <w:tcBorders>
              <w:top w:val="single" w:sz="4" w:space="0" w:color="auto"/>
            </w:tcBorders>
            <w:vAlign w:val="center"/>
          </w:tcPr>
          <w:p w14:paraId="35F517CC"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50% NPK</w:t>
            </w:r>
          </w:p>
        </w:tc>
        <w:tc>
          <w:tcPr>
            <w:tcW w:w="2273" w:type="dxa"/>
            <w:tcBorders>
              <w:top w:val="single" w:sz="4" w:space="0" w:color="auto"/>
            </w:tcBorders>
            <w:shd w:val="clear" w:color="auto" w:fill="auto"/>
            <w:vAlign w:val="center"/>
          </w:tcPr>
          <w:p w14:paraId="60C2524C"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7.01</w:t>
            </w:r>
          </w:p>
        </w:tc>
        <w:tc>
          <w:tcPr>
            <w:tcW w:w="1276" w:type="dxa"/>
            <w:tcBorders>
              <w:top w:val="single" w:sz="4" w:space="0" w:color="auto"/>
            </w:tcBorders>
            <w:shd w:val="clear" w:color="auto" w:fill="auto"/>
            <w:vAlign w:val="center"/>
          </w:tcPr>
          <w:p w14:paraId="2BFC371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10.08</w:t>
            </w:r>
          </w:p>
        </w:tc>
        <w:tc>
          <w:tcPr>
            <w:tcW w:w="1276" w:type="dxa"/>
            <w:tcBorders>
              <w:top w:val="single" w:sz="4" w:space="0" w:color="auto"/>
            </w:tcBorders>
            <w:vAlign w:val="center"/>
          </w:tcPr>
          <w:p w14:paraId="2AC095F8" w14:textId="743E22B2" w:rsidR="001476E9" w:rsidRPr="00C32F12" w:rsidRDefault="001476E9" w:rsidP="001476E9">
            <w:pPr>
              <w:spacing w:after="0" w:line="360" w:lineRule="auto"/>
              <w:jc w:val="center"/>
              <w:rPr>
                <w:rFonts w:ascii="Arial" w:hAnsi="Arial" w:cs="Arial"/>
                <w:color w:val="000000"/>
              </w:rPr>
            </w:pPr>
            <w:r>
              <w:rPr>
                <w:rFonts w:cs="Calibri"/>
                <w:color w:val="000000"/>
              </w:rPr>
              <w:t>3.03</w:t>
            </w:r>
          </w:p>
        </w:tc>
      </w:tr>
      <w:tr w:rsidR="001476E9" w:rsidRPr="00C32F12" w14:paraId="19AF527D" w14:textId="39460F0E" w:rsidTr="001476E9">
        <w:trPr>
          <w:trHeight w:val="262"/>
        </w:trPr>
        <w:tc>
          <w:tcPr>
            <w:tcW w:w="561" w:type="dxa"/>
            <w:shd w:val="clear" w:color="auto" w:fill="auto"/>
          </w:tcPr>
          <w:p w14:paraId="17FD0D2A"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2</w:t>
            </w:r>
          </w:p>
        </w:tc>
        <w:tc>
          <w:tcPr>
            <w:tcW w:w="4112" w:type="dxa"/>
            <w:vAlign w:val="center"/>
          </w:tcPr>
          <w:p w14:paraId="61EEB5C9"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NPK</w:t>
            </w:r>
          </w:p>
        </w:tc>
        <w:tc>
          <w:tcPr>
            <w:tcW w:w="2273" w:type="dxa"/>
            <w:shd w:val="clear" w:color="auto" w:fill="auto"/>
            <w:vAlign w:val="center"/>
          </w:tcPr>
          <w:p w14:paraId="0605DA54"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7.43</w:t>
            </w:r>
          </w:p>
        </w:tc>
        <w:tc>
          <w:tcPr>
            <w:tcW w:w="1276" w:type="dxa"/>
            <w:shd w:val="clear" w:color="auto" w:fill="auto"/>
            <w:vAlign w:val="center"/>
          </w:tcPr>
          <w:p w14:paraId="694F139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10.67</w:t>
            </w:r>
          </w:p>
        </w:tc>
        <w:tc>
          <w:tcPr>
            <w:tcW w:w="1276" w:type="dxa"/>
            <w:vAlign w:val="center"/>
          </w:tcPr>
          <w:p w14:paraId="4FBC5C42" w14:textId="0EC6061F" w:rsidR="001476E9" w:rsidRPr="00C32F12" w:rsidRDefault="001476E9" w:rsidP="001476E9">
            <w:pPr>
              <w:spacing w:after="0" w:line="360" w:lineRule="auto"/>
              <w:jc w:val="center"/>
              <w:rPr>
                <w:rFonts w:ascii="Arial" w:hAnsi="Arial" w:cs="Arial"/>
                <w:color w:val="000000"/>
              </w:rPr>
            </w:pPr>
            <w:r>
              <w:rPr>
                <w:rFonts w:cs="Calibri"/>
                <w:color w:val="000000"/>
              </w:rPr>
              <w:t>3.60</w:t>
            </w:r>
          </w:p>
        </w:tc>
      </w:tr>
      <w:tr w:rsidR="001476E9" w:rsidRPr="00C32F12" w14:paraId="774CAE5A" w14:textId="082C3775" w:rsidTr="001476E9">
        <w:trPr>
          <w:trHeight w:val="262"/>
        </w:trPr>
        <w:tc>
          <w:tcPr>
            <w:tcW w:w="561" w:type="dxa"/>
            <w:shd w:val="clear" w:color="auto" w:fill="auto"/>
          </w:tcPr>
          <w:p w14:paraId="75FC3596"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3</w:t>
            </w:r>
          </w:p>
        </w:tc>
        <w:tc>
          <w:tcPr>
            <w:tcW w:w="4112" w:type="dxa"/>
            <w:vAlign w:val="center"/>
          </w:tcPr>
          <w:p w14:paraId="67A0B3D3"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150% NPK</w:t>
            </w:r>
          </w:p>
        </w:tc>
        <w:tc>
          <w:tcPr>
            <w:tcW w:w="2273" w:type="dxa"/>
            <w:shd w:val="clear" w:color="auto" w:fill="auto"/>
            <w:vAlign w:val="center"/>
          </w:tcPr>
          <w:p w14:paraId="268CA6D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9.78</w:t>
            </w:r>
          </w:p>
        </w:tc>
        <w:tc>
          <w:tcPr>
            <w:tcW w:w="1276" w:type="dxa"/>
            <w:shd w:val="clear" w:color="auto" w:fill="auto"/>
            <w:vAlign w:val="center"/>
          </w:tcPr>
          <w:p w14:paraId="33F273AE"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11.31</w:t>
            </w:r>
          </w:p>
        </w:tc>
        <w:tc>
          <w:tcPr>
            <w:tcW w:w="1276" w:type="dxa"/>
            <w:vAlign w:val="center"/>
          </w:tcPr>
          <w:p w14:paraId="23583110" w14:textId="5DE585B0" w:rsidR="001476E9" w:rsidRPr="00C32F12" w:rsidRDefault="001476E9" w:rsidP="001476E9">
            <w:pPr>
              <w:spacing w:after="0" w:line="360" w:lineRule="auto"/>
              <w:jc w:val="center"/>
              <w:rPr>
                <w:rFonts w:ascii="Arial" w:hAnsi="Arial" w:cs="Arial"/>
                <w:color w:val="000000"/>
              </w:rPr>
            </w:pPr>
            <w:r>
              <w:rPr>
                <w:rFonts w:cs="Calibri"/>
                <w:color w:val="000000"/>
              </w:rPr>
              <w:t>3.99</w:t>
            </w:r>
          </w:p>
        </w:tc>
      </w:tr>
      <w:tr w:rsidR="001476E9" w:rsidRPr="00C32F12" w14:paraId="3908C589" w14:textId="095EF713" w:rsidTr="001476E9">
        <w:trPr>
          <w:trHeight w:val="284"/>
        </w:trPr>
        <w:tc>
          <w:tcPr>
            <w:tcW w:w="561" w:type="dxa"/>
            <w:shd w:val="clear" w:color="auto" w:fill="auto"/>
          </w:tcPr>
          <w:p w14:paraId="53C9B239"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4</w:t>
            </w:r>
          </w:p>
        </w:tc>
        <w:tc>
          <w:tcPr>
            <w:tcW w:w="4112" w:type="dxa"/>
            <w:vAlign w:val="center"/>
          </w:tcPr>
          <w:p w14:paraId="7BC71489"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100 %NPK (-S)</w:t>
            </w:r>
          </w:p>
        </w:tc>
        <w:tc>
          <w:tcPr>
            <w:tcW w:w="2273" w:type="dxa"/>
            <w:shd w:val="clear" w:color="auto" w:fill="auto"/>
            <w:vAlign w:val="center"/>
          </w:tcPr>
          <w:p w14:paraId="07516C34"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7.31</w:t>
            </w:r>
          </w:p>
        </w:tc>
        <w:tc>
          <w:tcPr>
            <w:tcW w:w="1276" w:type="dxa"/>
            <w:shd w:val="clear" w:color="auto" w:fill="auto"/>
            <w:vAlign w:val="center"/>
          </w:tcPr>
          <w:p w14:paraId="6B01A44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10.55</w:t>
            </w:r>
          </w:p>
        </w:tc>
        <w:tc>
          <w:tcPr>
            <w:tcW w:w="1276" w:type="dxa"/>
            <w:vAlign w:val="center"/>
          </w:tcPr>
          <w:p w14:paraId="1B395997" w14:textId="49469424" w:rsidR="001476E9" w:rsidRPr="00C32F12" w:rsidRDefault="001476E9" w:rsidP="001476E9">
            <w:pPr>
              <w:spacing w:after="0" w:line="360" w:lineRule="auto"/>
              <w:jc w:val="center"/>
              <w:rPr>
                <w:rFonts w:ascii="Arial" w:hAnsi="Arial" w:cs="Arial"/>
                <w:color w:val="000000"/>
              </w:rPr>
            </w:pPr>
            <w:r>
              <w:rPr>
                <w:rFonts w:cs="Calibri"/>
                <w:color w:val="000000"/>
              </w:rPr>
              <w:t>3.38</w:t>
            </w:r>
          </w:p>
        </w:tc>
      </w:tr>
      <w:tr w:rsidR="001476E9" w:rsidRPr="00C32F12" w14:paraId="460F7211" w14:textId="022EA67D" w:rsidTr="001476E9">
        <w:trPr>
          <w:trHeight w:val="262"/>
        </w:trPr>
        <w:tc>
          <w:tcPr>
            <w:tcW w:w="561" w:type="dxa"/>
            <w:shd w:val="clear" w:color="auto" w:fill="auto"/>
          </w:tcPr>
          <w:p w14:paraId="208EEF04"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5</w:t>
            </w:r>
          </w:p>
        </w:tc>
        <w:tc>
          <w:tcPr>
            <w:tcW w:w="4112" w:type="dxa"/>
            <w:vAlign w:val="center"/>
          </w:tcPr>
          <w:p w14:paraId="2674228E"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NPK + Zn@ 2.5 kg ha</w:t>
            </w:r>
            <w:r w:rsidRPr="00C32F12">
              <w:rPr>
                <w:rFonts w:ascii="Arial" w:hAnsi="Arial" w:cs="Arial"/>
                <w:color w:val="000000"/>
                <w:vertAlign w:val="superscript"/>
              </w:rPr>
              <w:t xml:space="preserve"> -1</w:t>
            </w:r>
          </w:p>
        </w:tc>
        <w:tc>
          <w:tcPr>
            <w:tcW w:w="2273" w:type="dxa"/>
            <w:shd w:val="clear" w:color="auto" w:fill="auto"/>
            <w:vAlign w:val="center"/>
          </w:tcPr>
          <w:p w14:paraId="4EC6CE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7.42</w:t>
            </w:r>
          </w:p>
        </w:tc>
        <w:tc>
          <w:tcPr>
            <w:tcW w:w="1276" w:type="dxa"/>
            <w:shd w:val="clear" w:color="auto" w:fill="auto"/>
            <w:vAlign w:val="center"/>
          </w:tcPr>
          <w:p w14:paraId="6AB893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10.08</w:t>
            </w:r>
          </w:p>
        </w:tc>
        <w:tc>
          <w:tcPr>
            <w:tcW w:w="1276" w:type="dxa"/>
            <w:vAlign w:val="center"/>
          </w:tcPr>
          <w:p w14:paraId="52B5B877" w14:textId="33AE15CD" w:rsidR="001476E9" w:rsidRPr="00C32F12" w:rsidRDefault="001476E9" w:rsidP="001476E9">
            <w:pPr>
              <w:spacing w:after="0" w:line="360" w:lineRule="auto"/>
              <w:jc w:val="center"/>
              <w:rPr>
                <w:rFonts w:ascii="Arial" w:hAnsi="Arial" w:cs="Arial"/>
                <w:color w:val="000000"/>
              </w:rPr>
            </w:pPr>
            <w:r>
              <w:rPr>
                <w:rFonts w:cs="Calibri"/>
                <w:color w:val="000000"/>
              </w:rPr>
              <w:t>3.67</w:t>
            </w:r>
          </w:p>
        </w:tc>
      </w:tr>
      <w:tr w:rsidR="001476E9" w:rsidRPr="00C32F12" w14:paraId="15485025" w14:textId="207289C6" w:rsidTr="001476E9">
        <w:trPr>
          <w:trHeight w:val="262"/>
        </w:trPr>
        <w:tc>
          <w:tcPr>
            <w:tcW w:w="561" w:type="dxa"/>
            <w:shd w:val="clear" w:color="auto" w:fill="auto"/>
          </w:tcPr>
          <w:p w14:paraId="5997CBE4"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6</w:t>
            </w:r>
          </w:p>
        </w:tc>
        <w:tc>
          <w:tcPr>
            <w:tcW w:w="4112" w:type="dxa"/>
            <w:vAlign w:val="center"/>
          </w:tcPr>
          <w:p w14:paraId="2F75E23D"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NP</w:t>
            </w:r>
          </w:p>
        </w:tc>
        <w:tc>
          <w:tcPr>
            <w:tcW w:w="2273" w:type="dxa"/>
            <w:shd w:val="clear" w:color="auto" w:fill="auto"/>
            <w:vAlign w:val="center"/>
          </w:tcPr>
          <w:p w14:paraId="1E8E308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6.68</w:t>
            </w:r>
          </w:p>
        </w:tc>
        <w:tc>
          <w:tcPr>
            <w:tcW w:w="1276" w:type="dxa"/>
            <w:shd w:val="clear" w:color="auto" w:fill="auto"/>
            <w:vAlign w:val="center"/>
          </w:tcPr>
          <w:p w14:paraId="246A18D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9.68</w:t>
            </w:r>
          </w:p>
        </w:tc>
        <w:tc>
          <w:tcPr>
            <w:tcW w:w="1276" w:type="dxa"/>
            <w:vAlign w:val="center"/>
          </w:tcPr>
          <w:p w14:paraId="651C218E" w14:textId="38872274" w:rsidR="001476E9" w:rsidRPr="00C32F12" w:rsidRDefault="001476E9" w:rsidP="001476E9">
            <w:pPr>
              <w:spacing w:after="0" w:line="360" w:lineRule="auto"/>
              <w:jc w:val="center"/>
              <w:rPr>
                <w:rFonts w:ascii="Arial" w:hAnsi="Arial" w:cs="Arial"/>
                <w:color w:val="000000"/>
              </w:rPr>
            </w:pPr>
            <w:r>
              <w:rPr>
                <w:rFonts w:cs="Calibri"/>
                <w:color w:val="000000"/>
              </w:rPr>
              <w:t>3.19</w:t>
            </w:r>
          </w:p>
        </w:tc>
      </w:tr>
      <w:tr w:rsidR="001476E9" w:rsidRPr="00C32F12" w14:paraId="211C85BE" w14:textId="0340405F" w:rsidTr="001476E9">
        <w:trPr>
          <w:trHeight w:val="262"/>
        </w:trPr>
        <w:tc>
          <w:tcPr>
            <w:tcW w:w="561" w:type="dxa"/>
            <w:shd w:val="clear" w:color="auto" w:fill="auto"/>
          </w:tcPr>
          <w:p w14:paraId="123752F7"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7</w:t>
            </w:r>
          </w:p>
        </w:tc>
        <w:tc>
          <w:tcPr>
            <w:tcW w:w="4112" w:type="dxa"/>
            <w:vAlign w:val="center"/>
          </w:tcPr>
          <w:p w14:paraId="6F76980F"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w:t>
            </w:r>
          </w:p>
        </w:tc>
        <w:tc>
          <w:tcPr>
            <w:tcW w:w="2273" w:type="dxa"/>
            <w:shd w:val="clear" w:color="auto" w:fill="auto"/>
            <w:vAlign w:val="center"/>
          </w:tcPr>
          <w:p w14:paraId="28B3493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6.59</w:t>
            </w:r>
          </w:p>
        </w:tc>
        <w:tc>
          <w:tcPr>
            <w:tcW w:w="1276" w:type="dxa"/>
            <w:shd w:val="clear" w:color="auto" w:fill="auto"/>
            <w:vAlign w:val="center"/>
          </w:tcPr>
          <w:p w14:paraId="5B171F6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9.51</w:t>
            </w:r>
          </w:p>
        </w:tc>
        <w:tc>
          <w:tcPr>
            <w:tcW w:w="1276" w:type="dxa"/>
            <w:vAlign w:val="center"/>
          </w:tcPr>
          <w:p w14:paraId="52F232AF" w14:textId="334192D5" w:rsidR="001476E9" w:rsidRPr="00C32F12" w:rsidRDefault="001476E9" w:rsidP="001476E9">
            <w:pPr>
              <w:spacing w:after="0" w:line="360" w:lineRule="auto"/>
              <w:jc w:val="center"/>
              <w:rPr>
                <w:rFonts w:ascii="Arial" w:hAnsi="Arial" w:cs="Arial"/>
                <w:color w:val="000000"/>
              </w:rPr>
            </w:pPr>
            <w:r>
              <w:rPr>
                <w:rFonts w:cs="Calibri"/>
                <w:color w:val="000000"/>
              </w:rPr>
              <w:t>2.87</w:t>
            </w:r>
          </w:p>
        </w:tc>
      </w:tr>
      <w:tr w:rsidR="001476E9" w:rsidRPr="00C32F12" w14:paraId="20A32038" w14:textId="308F49EE" w:rsidTr="001476E9">
        <w:trPr>
          <w:trHeight w:val="262"/>
        </w:trPr>
        <w:tc>
          <w:tcPr>
            <w:tcW w:w="561" w:type="dxa"/>
            <w:shd w:val="clear" w:color="auto" w:fill="auto"/>
          </w:tcPr>
          <w:p w14:paraId="5E43885D"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8</w:t>
            </w:r>
          </w:p>
        </w:tc>
        <w:tc>
          <w:tcPr>
            <w:tcW w:w="4112" w:type="dxa"/>
            <w:vAlign w:val="center"/>
          </w:tcPr>
          <w:p w14:paraId="5FD3366B"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100 % NPK+ FYM @ 5 t ha </w:t>
            </w:r>
            <w:r w:rsidRPr="00C32F12">
              <w:rPr>
                <w:rFonts w:ascii="Arial" w:hAnsi="Arial" w:cs="Arial"/>
                <w:color w:val="000000"/>
                <w:vertAlign w:val="superscript"/>
              </w:rPr>
              <w:t>-1</w:t>
            </w:r>
          </w:p>
        </w:tc>
        <w:tc>
          <w:tcPr>
            <w:tcW w:w="2273" w:type="dxa"/>
            <w:shd w:val="clear" w:color="auto" w:fill="auto"/>
            <w:vAlign w:val="center"/>
          </w:tcPr>
          <w:p w14:paraId="36441C81"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11.39</w:t>
            </w:r>
          </w:p>
        </w:tc>
        <w:tc>
          <w:tcPr>
            <w:tcW w:w="1276" w:type="dxa"/>
            <w:shd w:val="clear" w:color="auto" w:fill="auto"/>
            <w:vAlign w:val="center"/>
          </w:tcPr>
          <w:p w14:paraId="00ED09F1"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13.11</w:t>
            </w:r>
          </w:p>
        </w:tc>
        <w:tc>
          <w:tcPr>
            <w:tcW w:w="1276" w:type="dxa"/>
            <w:vAlign w:val="center"/>
          </w:tcPr>
          <w:p w14:paraId="0413FE97" w14:textId="75AAD549" w:rsidR="001476E9" w:rsidRPr="00C32F12" w:rsidRDefault="001476E9" w:rsidP="001476E9">
            <w:pPr>
              <w:spacing w:after="0" w:line="360" w:lineRule="auto"/>
              <w:jc w:val="center"/>
              <w:rPr>
                <w:rFonts w:ascii="Arial" w:hAnsi="Arial" w:cs="Arial"/>
                <w:color w:val="000000"/>
              </w:rPr>
            </w:pPr>
            <w:r>
              <w:rPr>
                <w:rFonts w:cs="Calibri"/>
                <w:color w:val="000000"/>
              </w:rPr>
              <w:t>4.84</w:t>
            </w:r>
          </w:p>
        </w:tc>
      </w:tr>
      <w:tr w:rsidR="001476E9" w:rsidRPr="00C32F12" w14:paraId="47439099" w14:textId="0E1A9324" w:rsidTr="001476E9">
        <w:trPr>
          <w:trHeight w:val="262"/>
        </w:trPr>
        <w:tc>
          <w:tcPr>
            <w:tcW w:w="561" w:type="dxa"/>
            <w:shd w:val="clear" w:color="auto" w:fill="auto"/>
          </w:tcPr>
          <w:p w14:paraId="2D17CAA1"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9</w:t>
            </w:r>
          </w:p>
        </w:tc>
        <w:tc>
          <w:tcPr>
            <w:tcW w:w="4112" w:type="dxa"/>
            <w:vAlign w:val="center"/>
          </w:tcPr>
          <w:p w14:paraId="04C55001"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 100 % NPK + S @ 37.5 kg ha </w:t>
            </w:r>
            <w:r w:rsidRPr="00C32F12">
              <w:rPr>
                <w:rFonts w:ascii="Arial" w:hAnsi="Arial" w:cs="Arial"/>
                <w:color w:val="000000"/>
                <w:vertAlign w:val="superscript"/>
              </w:rPr>
              <w:t>-1</w:t>
            </w:r>
          </w:p>
        </w:tc>
        <w:tc>
          <w:tcPr>
            <w:tcW w:w="2273" w:type="dxa"/>
            <w:shd w:val="clear" w:color="auto" w:fill="auto"/>
            <w:vAlign w:val="center"/>
          </w:tcPr>
          <w:p w14:paraId="746103CF"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8.19</w:t>
            </w:r>
          </w:p>
        </w:tc>
        <w:tc>
          <w:tcPr>
            <w:tcW w:w="1276" w:type="dxa"/>
            <w:shd w:val="clear" w:color="auto" w:fill="auto"/>
            <w:vAlign w:val="center"/>
          </w:tcPr>
          <w:p w14:paraId="3FC0171D"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10.53</w:t>
            </w:r>
          </w:p>
        </w:tc>
        <w:tc>
          <w:tcPr>
            <w:tcW w:w="1276" w:type="dxa"/>
            <w:vAlign w:val="center"/>
          </w:tcPr>
          <w:p w14:paraId="2C8B8CF8" w14:textId="35C53E8B" w:rsidR="001476E9" w:rsidRPr="00C32F12" w:rsidRDefault="001476E9" w:rsidP="001476E9">
            <w:pPr>
              <w:spacing w:after="0" w:line="360" w:lineRule="auto"/>
              <w:jc w:val="center"/>
              <w:rPr>
                <w:rFonts w:ascii="Arial" w:hAnsi="Arial" w:cs="Arial"/>
                <w:color w:val="000000"/>
              </w:rPr>
            </w:pPr>
            <w:r>
              <w:rPr>
                <w:rFonts w:cs="Calibri"/>
                <w:color w:val="000000"/>
              </w:rPr>
              <w:t>3.69</w:t>
            </w:r>
          </w:p>
        </w:tc>
      </w:tr>
      <w:tr w:rsidR="001476E9" w:rsidRPr="00C32F12" w14:paraId="36C051D9" w14:textId="00ABC51D" w:rsidTr="001476E9">
        <w:trPr>
          <w:trHeight w:val="284"/>
        </w:trPr>
        <w:tc>
          <w:tcPr>
            <w:tcW w:w="561" w:type="dxa"/>
            <w:shd w:val="clear" w:color="auto" w:fill="auto"/>
          </w:tcPr>
          <w:p w14:paraId="060F07FD"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10</w:t>
            </w:r>
          </w:p>
        </w:tc>
        <w:tc>
          <w:tcPr>
            <w:tcW w:w="4112" w:type="dxa"/>
            <w:vAlign w:val="center"/>
          </w:tcPr>
          <w:p w14:paraId="09B2368D" w14:textId="77777777" w:rsidR="001476E9" w:rsidRPr="00C32F12" w:rsidRDefault="001476E9" w:rsidP="001476E9">
            <w:pPr>
              <w:spacing w:after="0" w:line="360" w:lineRule="auto"/>
              <w:rPr>
                <w:rFonts w:ascii="Arial" w:hAnsi="Arial" w:cs="Arial"/>
              </w:rPr>
            </w:pPr>
            <w:bookmarkStart w:id="4" w:name="_Hlk193706878"/>
            <w:r w:rsidRPr="00C32F12">
              <w:rPr>
                <w:rFonts w:ascii="Arial" w:hAnsi="Arial" w:cs="Arial"/>
                <w:color w:val="000000"/>
              </w:rPr>
              <w:t xml:space="preserve">FYM @ 10 t ha </w:t>
            </w:r>
            <w:r w:rsidRPr="00C32F12">
              <w:rPr>
                <w:rFonts w:ascii="Arial" w:hAnsi="Arial" w:cs="Arial"/>
                <w:color w:val="000000"/>
                <w:vertAlign w:val="superscript"/>
              </w:rPr>
              <w:t>-1</w:t>
            </w:r>
            <w:bookmarkEnd w:id="4"/>
          </w:p>
        </w:tc>
        <w:tc>
          <w:tcPr>
            <w:tcW w:w="2273" w:type="dxa"/>
            <w:shd w:val="clear" w:color="auto" w:fill="auto"/>
            <w:vAlign w:val="center"/>
          </w:tcPr>
          <w:p w14:paraId="756086F0"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10.35</w:t>
            </w:r>
          </w:p>
        </w:tc>
        <w:tc>
          <w:tcPr>
            <w:tcW w:w="1276" w:type="dxa"/>
            <w:shd w:val="clear" w:color="auto" w:fill="auto"/>
            <w:vAlign w:val="center"/>
          </w:tcPr>
          <w:p w14:paraId="23A61D5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12.58</w:t>
            </w:r>
          </w:p>
        </w:tc>
        <w:tc>
          <w:tcPr>
            <w:tcW w:w="1276" w:type="dxa"/>
            <w:vAlign w:val="center"/>
          </w:tcPr>
          <w:p w14:paraId="58B593CB" w14:textId="6AFD190F" w:rsidR="001476E9" w:rsidRPr="00C32F12" w:rsidRDefault="001476E9" w:rsidP="001476E9">
            <w:pPr>
              <w:spacing w:after="0" w:line="360" w:lineRule="auto"/>
              <w:jc w:val="center"/>
              <w:rPr>
                <w:rFonts w:ascii="Arial" w:hAnsi="Arial" w:cs="Arial"/>
                <w:color w:val="000000"/>
              </w:rPr>
            </w:pPr>
            <w:r>
              <w:rPr>
                <w:rFonts w:cs="Calibri"/>
                <w:color w:val="000000"/>
              </w:rPr>
              <w:t>3.93</w:t>
            </w:r>
          </w:p>
        </w:tc>
      </w:tr>
      <w:tr w:rsidR="001476E9" w:rsidRPr="00C32F12" w14:paraId="1D73750F" w14:textId="48F3BDAB" w:rsidTr="001476E9">
        <w:trPr>
          <w:trHeight w:val="262"/>
        </w:trPr>
        <w:tc>
          <w:tcPr>
            <w:tcW w:w="561" w:type="dxa"/>
            <w:shd w:val="clear" w:color="auto" w:fill="auto"/>
          </w:tcPr>
          <w:p w14:paraId="0B10B100"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11</w:t>
            </w:r>
          </w:p>
        </w:tc>
        <w:tc>
          <w:tcPr>
            <w:tcW w:w="4112" w:type="dxa"/>
            <w:vAlign w:val="center"/>
          </w:tcPr>
          <w:p w14:paraId="1A630533" w14:textId="77777777" w:rsidR="001476E9" w:rsidRPr="00C32F12" w:rsidRDefault="001476E9" w:rsidP="001476E9">
            <w:pPr>
              <w:spacing w:after="0" w:line="360" w:lineRule="auto"/>
              <w:rPr>
                <w:rFonts w:ascii="Arial" w:hAnsi="Arial" w:cs="Arial"/>
              </w:rPr>
            </w:pPr>
            <w:bookmarkStart w:id="5" w:name="_Hlk193706904"/>
            <w:r w:rsidRPr="00C32F12">
              <w:rPr>
                <w:rFonts w:ascii="Arial" w:hAnsi="Arial" w:cs="Arial"/>
                <w:color w:val="000000"/>
              </w:rPr>
              <w:t>75% NPK + 25 % N through FYM</w:t>
            </w:r>
            <w:bookmarkEnd w:id="5"/>
          </w:p>
        </w:tc>
        <w:tc>
          <w:tcPr>
            <w:tcW w:w="2273" w:type="dxa"/>
            <w:shd w:val="clear" w:color="auto" w:fill="auto"/>
            <w:vAlign w:val="center"/>
          </w:tcPr>
          <w:p w14:paraId="05440DC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10.12</w:t>
            </w:r>
          </w:p>
        </w:tc>
        <w:tc>
          <w:tcPr>
            <w:tcW w:w="1276" w:type="dxa"/>
            <w:shd w:val="clear" w:color="auto" w:fill="auto"/>
            <w:vAlign w:val="center"/>
          </w:tcPr>
          <w:p w14:paraId="5E2DC88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12.81</w:t>
            </w:r>
          </w:p>
        </w:tc>
        <w:tc>
          <w:tcPr>
            <w:tcW w:w="1276" w:type="dxa"/>
            <w:vAlign w:val="center"/>
          </w:tcPr>
          <w:p w14:paraId="49C03624" w14:textId="0AB747FE" w:rsidR="001476E9" w:rsidRPr="00C32F12" w:rsidRDefault="001476E9" w:rsidP="001476E9">
            <w:pPr>
              <w:spacing w:after="0" w:line="360" w:lineRule="auto"/>
              <w:jc w:val="center"/>
              <w:rPr>
                <w:rFonts w:ascii="Arial" w:hAnsi="Arial" w:cs="Arial"/>
                <w:color w:val="000000"/>
              </w:rPr>
            </w:pPr>
            <w:r>
              <w:rPr>
                <w:rFonts w:cs="Calibri"/>
                <w:color w:val="000000"/>
              </w:rPr>
              <w:t>4.05</w:t>
            </w:r>
          </w:p>
        </w:tc>
      </w:tr>
      <w:tr w:rsidR="001476E9" w:rsidRPr="00C32F12" w14:paraId="67536A15" w14:textId="6DE9E7EE" w:rsidTr="001476E9">
        <w:trPr>
          <w:trHeight w:val="262"/>
        </w:trPr>
        <w:tc>
          <w:tcPr>
            <w:tcW w:w="561" w:type="dxa"/>
            <w:shd w:val="clear" w:color="auto" w:fill="auto"/>
          </w:tcPr>
          <w:p w14:paraId="715E7DE3"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12</w:t>
            </w:r>
          </w:p>
        </w:tc>
        <w:tc>
          <w:tcPr>
            <w:tcW w:w="4112" w:type="dxa"/>
            <w:vAlign w:val="center"/>
          </w:tcPr>
          <w:p w14:paraId="51106B92"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Control </w:t>
            </w:r>
          </w:p>
        </w:tc>
        <w:tc>
          <w:tcPr>
            <w:tcW w:w="2273" w:type="dxa"/>
            <w:shd w:val="clear" w:color="auto" w:fill="auto"/>
            <w:vAlign w:val="center"/>
          </w:tcPr>
          <w:p w14:paraId="36963212"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5.17</w:t>
            </w:r>
          </w:p>
        </w:tc>
        <w:tc>
          <w:tcPr>
            <w:tcW w:w="1276" w:type="dxa"/>
            <w:shd w:val="clear" w:color="auto" w:fill="auto"/>
            <w:vAlign w:val="center"/>
          </w:tcPr>
          <w:p w14:paraId="477825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8.82</w:t>
            </w:r>
          </w:p>
        </w:tc>
        <w:tc>
          <w:tcPr>
            <w:tcW w:w="1276" w:type="dxa"/>
            <w:vAlign w:val="center"/>
          </w:tcPr>
          <w:p w14:paraId="41738208" w14:textId="34519259" w:rsidR="001476E9" w:rsidRPr="00C32F12" w:rsidRDefault="001476E9" w:rsidP="001476E9">
            <w:pPr>
              <w:spacing w:after="0" w:line="360" w:lineRule="auto"/>
              <w:jc w:val="center"/>
              <w:rPr>
                <w:rFonts w:ascii="Arial" w:hAnsi="Arial" w:cs="Arial"/>
                <w:color w:val="000000"/>
              </w:rPr>
            </w:pPr>
            <w:r>
              <w:rPr>
                <w:rFonts w:cs="Calibri"/>
                <w:color w:val="000000"/>
              </w:rPr>
              <w:t>1.96</w:t>
            </w:r>
          </w:p>
        </w:tc>
      </w:tr>
      <w:tr w:rsidR="001476E9" w:rsidRPr="00C32F12" w14:paraId="704104AB" w14:textId="38682737" w:rsidTr="001476E9">
        <w:trPr>
          <w:trHeight w:val="262"/>
        </w:trPr>
        <w:tc>
          <w:tcPr>
            <w:tcW w:w="4673" w:type="dxa"/>
            <w:gridSpan w:val="2"/>
            <w:shd w:val="clear" w:color="auto" w:fill="auto"/>
          </w:tcPr>
          <w:p w14:paraId="1D40767B" w14:textId="4E66AAC4" w:rsidR="001476E9" w:rsidRPr="00C32F12" w:rsidRDefault="001476E9" w:rsidP="001476E9">
            <w:pPr>
              <w:spacing w:after="0" w:line="360" w:lineRule="auto"/>
              <w:rPr>
                <w:rFonts w:ascii="Arial" w:hAnsi="Arial" w:cs="Arial"/>
                <w:color w:val="000000"/>
              </w:rPr>
            </w:pPr>
            <w:r w:rsidRPr="003F195C">
              <w:rPr>
                <w:rFonts w:ascii="Arial" w:hAnsi="Arial" w:cs="Arial"/>
                <w:bCs/>
                <w:color w:val="000000"/>
                <w:sz w:val="24"/>
                <w:szCs w:val="24"/>
              </w:rPr>
              <w:t xml:space="preserve">SE(m)  </w:t>
            </w:r>
            <w:r w:rsidRPr="003F195C">
              <w:rPr>
                <w:rFonts w:ascii="Arial" w:hAnsi="Arial" w:cs="Arial"/>
                <w:bCs/>
                <w:color w:val="000000"/>
                <w:sz w:val="24"/>
                <w:szCs w:val="24"/>
              </w:rPr>
              <w:sym w:font="Symbol" w:char="F0B1"/>
            </w:r>
          </w:p>
        </w:tc>
        <w:tc>
          <w:tcPr>
            <w:tcW w:w="2273" w:type="dxa"/>
            <w:shd w:val="clear" w:color="auto" w:fill="auto"/>
            <w:vAlign w:val="center"/>
          </w:tcPr>
          <w:p w14:paraId="305671F8"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0.009</w:t>
            </w:r>
          </w:p>
        </w:tc>
        <w:tc>
          <w:tcPr>
            <w:tcW w:w="1276" w:type="dxa"/>
            <w:shd w:val="clear" w:color="auto" w:fill="auto"/>
            <w:vAlign w:val="center"/>
          </w:tcPr>
          <w:p w14:paraId="7ABAEDC8"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0.08</w:t>
            </w:r>
          </w:p>
        </w:tc>
        <w:tc>
          <w:tcPr>
            <w:tcW w:w="1276" w:type="dxa"/>
            <w:vAlign w:val="center"/>
          </w:tcPr>
          <w:p w14:paraId="2EDC11DE" w14:textId="47C197B2" w:rsidR="001476E9" w:rsidRPr="00C32F12" w:rsidRDefault="001476E9" w:rsidP="001476E9">
            <w:pPr>
              <w:spacing w:after="0" w:line="360" w:lineRule="auto"/>
              <w:jc w:val="center"/>
              <w:rPr>
                <w:rFonts w:ascii="Arial" w:hAnsi="Arial" w:cs="Arial"/>
                <w:color w:val="000000"/>
              </w:rPr>
            </w:pPr>
            <w:r>
              <w:rPr>
                <w:rFonts w:cs="Calibri"/>
                <w:color w:val="000000"/>
              </w:rPr>
              <w:t>0.009</w:t>
            </w:r>
          </w:p>
        </w:tc>
      </w:tr>
      <w:tr w:rsidR="001476E9" w:rsidRPr="00C32F12" w14:paraId="767DA90B" w14:textId="1D817B29" w:rsidTr="001476E9">
        <w:trPr>
          <w:trHeight w:val="262"/>
        </w:trPr>
        <w:tc>
          <w:tcPr>
            <w:tcW w:w="4673" w:type="dxa"/>
            <w:gridSpan w:val="2"/>
            <w:shd w:val="clear" w:color="auto" w:fill="auto"/>
          </w:tcPr>
          <w:p w14:paraId="51D911CC" w14:textId="6DED272F" w:rsidR="001476E9" w:rsidRPr="00C32F12" w:rsidRDefault="001476E9" w:rsidP="001476E9">
            <w:pPr>
              <w:spacing w:after="0" w:line="360" w:lineRule="auto"/>
              <w:rPr>
                <w:rFonts w:ascii="Arial" w:hAnsi="Arial" w:cs="Arial"/>
                <w:color w:val="000000"/>
              </w:rPr>
            </w:pPr>
            <w:r w:rsidRPr="003F195C">
              <w:rPr>
                <w:rFonts w:ascii="Arial" w:hAnsi="Arial" w:cs="Arial"/>
                <w:bCs/>
                <w:color w:val="000000"/>
                <w:sz w:val="24"/>
                <w:szCs w:val="24"/>
              </w:rPr>
              <w:t>CD @ 5%</w:t>
            </w:r>
          </w:p>
        </w:tc>
        <w:tc>
          <w:tcPr>
            <w:tcW w:w="2273" w:type="dxa"/>
            <w:shd w:val="clear" w:color="auto" w:fill="auto"/>
            <w:vAlign w:val="center"/>
          </w:tcPr>
          <w:p w14:paraId="2022107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0.028</w:t>
            </w:r>
          </w:p>
        </w:tc>
        <w:tc>
          <w:tcPr>
            <w:tcW w:w="1276" w:type="dxa"/>
            <w:shd w:val="clear" w:color="auto" w:fill="auto"/>
            <w:vAlign w:val="center"/>
          </w:tcPr>
          <w:p w14:paraId="48BF85D2"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0.24</w:t>
            </w:r>
          </w:p>
        </w:tc>
        <w:tc>
          <w:tcPr>
            <w:tcW w:w="1276" w:type="dxa"/>
            <w:vAlign w:val="center"/>
          </w:tcPr>
          <w:p w14:paraId="45D8CA03" w14:textId="1E03785D" w:rsidR="001476E9" w:rsidRPr="00C32F12" w:rsidRDefault="001476E9" w:rsidP="001476E9">
            <w:pPr>
              <w:spacing w:after="0" w:line="360" w:lineRule="auto"/>
              <w:jc w:val="center"/>
              <w:rPr>
                <w:rFonts w:ascii="Arial" w:hAnsi="Arial" w:cs="Arial"/>
                <w:color w:val="000000"/>
              </w:rPr>
            </w:pPr>
            <w:r>
              <w:rPr>
                <w:rFonts w:cs="Calibri"/>
                <w:color w:val="000000"/>
              </w:rPr>
              <w:t>0.027</w:t>
            </w:r>
          </w:p>
        </w:tc>
      </w:tr>
    </w:tbl>
    <w:p w14:paraId="1E729F4B" w14:textId="77777777" w:rsidR="00684CD2" w:rsidRDefault="00684CD2" w:rsidP="008E28F5">
      <w:pPr>
        <w:tabs>
          <w:tab w:val="left" w:pos="1440"/>
        </w:tabs>
        <w:spacing w:before="60" w:after="60" w:line="360" w:lineRule="auto"/>
        <w:jc w:val="both"/>
        <w:rPr>
          <w:rFonts w:ascii="Arial" w:hAnsi="Arial" w:cs="Arial"/>
          <w:b/>
          <w:bCs/>
          <w:color w:val="000000"/>
        </w:rPr>
      </w:pPr>
    </w:p>
    <w:p w14:paraId="359841E4" w14:textId="2D4F81FF" w:rsidR="008E28F5" w:rsidRPr="00344929" w:rsidRDefault="000F7FF5" w:rsidP="008E28F5">
      <w:pPr>
        <w:tabs>
          <w:tab w:val="left" w:pos="1440"/>
        </w:tabs>
        <w:spacing w:before="60" w:after="60" w:line="360" w:lineRule="auto"/>
        <w:jc w:val="both"/>
        <w:rPr>
          <w:rFonts w:ascii="Arial" w:hAnsi="Arial" w:cs="Arial"/>
          <w:b/>
          <w:bCs/>
          <w:color w:val="000000"/>
        </w:rPr>
      </w:pPr>
      <w:r>
        <w:rPr>
          <w:rFonts w:ascii="Arial" w:hAnsi="Arial" w:cs="Arial"/>
          <w:b/>
          <w:bCs/>
          <w:color w:val="000000"/>
        </w:rPr>
        <w:t xml:space="preserve">3.3 </w:t>
      </w:r>
      <w:r w:rsidR="008E28F5" w:rsidRPr="00344929">
        <w:rPr>
          <w:rFonts w:ascii="Arial" w:hAnsi="Arial" w:cs="Arial"/>
          <w:b/>
          <w:bCs/>
          <w:color w:val="000000"/>
        </w:rPr>
        <w:t>DTPA -extractable Zn</w:t>
      </w:r>
    </w:p>
    <w:bookmarkEnd w:id="3"/>
    <w:p w14:paraId="6F33079F" w14:textId="5B68143C"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r>
      <w:r w:rsidR="00A70587">
        <w:rPr>
          <w:rFonts w:ascii="Arial" w:hAnsi="Arial" w:cs="Arial"/>
        </w:rPr>
        <w:t>T</w:t>
      </w:r>
      <w:r w:rsidRPr="00344929">
        <w:rPr>
          <w:rFonts w:ascii="Arial" w:hAnsi="Arial" w:cs="Arial"/>
        </w:rPr>
        <w:t xml:space="preserve">he DTPA -extractable Zn of soil, </w:t>
      </w:r>
      <w:r w:rsidR="00CF1ABB">
        <w:rPr>
          <w:rFonts w:ascii="Arial" w:hAnsi="Arial" w:cs="Arial"/>
          <w:color w:val="000000"/>
        </w:rPr>
        <w:t>t</w:t>
      </w:r>
      <w:r w:rsidRPr="00344929">
        <w:rPr>
          <w:rFonts w:ascii="Arial" w:hAnsi="Arial" w:cs="Arial"/>
          <w:color w:val="000000"/>
        </w:rPr>
        <w:t>he DTPA Zn levels ranged from 0.26 mg kg</w:t>
      </w:r>
      <w:r w:rsidRPr="00344929">
        <w:rPr>
          <w:rFonts w:ascii="Arial" w:hAnsi="Arial" w:cs="Arial"/>
          <w:color w:val="000000"/>
          <w:vertAlign w:val="superscript"/>
        </w:rPr>
        <w:t>-1</w:t>
      </w:r>
      <w:r w:rsidRPr="00344929">
        <w:rPr>
          <w:rFonts w:ascii="Arial" w:hAnsi="Arial" w:cs="Arial"/>
          <w:color w:val="000000"/>
        </w:rPr>
        <w:t xml:space="preserve"> to 0.83 mg kg</w:t>
      </w:r>
      <w:r w:rsidRPr="00344929">
        <w:rPr>
          <w:rFonts w:ascii="Arial" w:hAnsi="Arial" w:cs="Arial"/>
          <w:color w:val="000000"/>
          <w:vertAlign w:val="superscript"/>
        </w:rPr>
        <w:t>-1</w:t>
      </w:r>
      <w:r w:rsidRPr="00344929">
        <w:rPr>
          <w:rFonts w:ascii="Arial" w:hAnsi="Arial" w:cs="Arial"/>
          <w:color w:val="000000"/>
        </w:rPr>
        <w:t>. The highest DTPA Zn level was observed in 100 % NPK + Zn@ 2.5 kg ha</w:t>
      </w:r>
      <w:r w:rsidRPr="00344929">
        <w:rPr>
          <w:rFonts w:ascii="Arial" w:hAnsi="Arial" w:cs="Arial"/>
          <w:color w:val="000000"/>
          <w:vertAlign w:val="superscript"/>
        </w:rPr>
        <w:t xml:space="preserve"> -1 </w:t>
      </w:r>
      <w:r w:rsidRPr="00344929">
        <w:rPr>
          <w:rFonts w:ascii="Arial" w:hAnsi="Arial" w:cs="Arial"/>
          <w:color w:val="000000"/>
        </w:rPr>
        <w:t>(T</w:t>
      </w:r>
      <w:r w:rsidRPr="00344929">
        <w:rPr>
          <w:rFonts w:ascii="Arial" w:hAnsi="Arial" w:cs="Arial"/>
          <w:color w:val="000000"/>
          <w:vertAlign w:val="subscript"/>
        </w:rPr>
        <w:t>5</w:t>
      </w:r>
      <w:r w:rsidRPr="00344929">
        <w:rPr>
          <w:rFonts w:ascii="Arial" w:hAnsi="Arial" w:cs="Arial"/>
          <w:color w:val="000000"/>
        </w:rPr>
        <w:t>)</w:t>
      </w:r>
      <w:r w:rsidRPr="00344929">
        <w:rPr>
          <w:rFonts w:ascii="Arial" w:hAnsi="Arial" w:cs="Arial"/>
          <w:color w:val="000000"/>
          <w:vertAlign w:val="subscript"/>
        </w:rPr>
        <w:t xml:space="preserve"> </w:t>
      </w:r>
      <w:r w:rsidRPr="00344929">
        <w:rPr>
          <w:rFonts w:ascii="Arial" w:hAnsi="Arial" w:cs="Arial"/>
          <w:color w:val="000000"/>
        </w:rPr>
        <w:t>(0.81 mg kg</w:t>
      </w:r>
      <w:r w:rsidRPr="00344929">
        <w:rPr>
          <w:rFonts w:ascii="Arial" w:hAnsi="Arial" w:cs="Arial"/>
          <w:color w:val="000000"/>
          <w:vertAlign w:val="superscript"/>
        </w:rPr>
        <w:t>-1</w:t>
      </w:r>
      <w:r w:rsidRPr="00344929">
        <w:rPr>
          <w:rFonts w:ascii="Arial" w:hAnsi="Arial" w:cs="Arial"/>
          <w:color w:val="000000"/>
        </w:rPr>
        <w:t>), followed by (T</w:t>
      </w:r>
      <w:r w:rsidRPr="00344929">
        <w:rPr>
          <w:rFonts w:ascii="Arial" w:hAnsi="Arial" w:cs="Arial"/>
          <w:color w:val="000000"/>
          <w:vertAlign w:val="subscript"/>
        </w:rPr>
        <w:t>8</w:t>
      </w:r>
      <w:r w:rsidRPr="00344929">
        <w:rPr>
          <w:rFonts w:ascii="Arial" w:hAnsi="Arial" w:cs="Arial"/>
          <w:color w:val="000000"/>
        </w:rPr>
        <w:t>) and T</w:t>
      </w:r>
      <w:r w:rsidRPr="00344929">
        <w:rPr>
          <w:rFonts w:ascii="Arial" w:hAnsi="Arial" w:cs="Arial"/>
          <w:color w:val="000000"/>
          <w:vertAlign w:val="subscript"/>
        </w:rPr>
        <w:t>10</w:t>
      </w:r>
      <w:r w:rsidRPr="00344929">
        <w:rPr>
          <w:rFonts w:ascii="Arial" w:hAnsi="Arial" w:cs="Arial"/>
          <w:color w:val="000000"/>
        </w:rPr>
        <w:t>. The addition of FYM (Farm Yard Manure) to 100% NPK (T</w:t>
      </w:r>
      <w:r w:rsidRPr="00344929">
        <w:rPr>
          <w:rFonts w:ascii="Arial" w:hAnsi="Arial" w:cs="Arial"/>
          <w:color w:val="000000"/>
          <w:vertAlign w:val="subscript"/>
        </w:rPr>
        <w:t>8</w:t>
      </w:r>
      <w:r w:rsidRPr="00344929">
        <w:rPr>
          <w:rFonts w:ascii="Arial" w:hAnsi="Arial" w:cs="Arial"/>
          <w:color w:val="000000"/>
        </w:rPr>
        <w:t>) significantly increased the DTPA Zn level to 0.78 mg kg</w:t>
      </w:r>
      <w:r w:rsidRPr="00344929">
        <w:rPr>
          <w:rFonts w:ascii="Arial" w:hAnsi="Arial" w:cs="Arial"/>
          <w:color w:val="000000"/>
          <w:vertAlign w:val="superscript"/>
        </w:rPr>
        <w:t>-1</w:t>
      </w:r>
      <w:r w:rsidR="00A70587">
        <w:rPr>
          <w:rFonts w:ascii="Arial" w:hAnsi="Arial" w:cs="Arial"/>
          <w:color w:val="000000"/>
          <w:vertAlign w:val="superscript"/>
        </w:rPr>
        <w:t xml:space="preserve"> </w:t>
      </w:r>
      <w:r w:rsidR="00A70587">
        <w:rPr>
          <w:rFonts w:ascii="Arial" w:hAnsi="Arial" w:cs="Arial"/>
          <w:color w:val="000000"/>
        </w:rPr>
        <w:t>(Fig. 1)</w:t>
      </w:r>
      <w:r w:rsidRPr="00344929">
        <w:rPr>
          <w:rFonts w:ascii="Arial" w:hAnsi="Arial" w:cs="Arial"/>
          <w:color w:val="000000"/>
        </w:rPr>
        <w:t>.</w:t>
      </w:r>
    </w:p>
    <w:p w14:paraId="13B85022" w14:textId="42DD2108"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 xml:space="preserve">The study clearly demonstrates that long-term manuring and fertilization significantly affect the DTPA Zn levels in </w:t>
      </w:r>
      <w:proofErr w:type="spellStart"/>
      <w:r w:rsidRPr="00344929">
        <w:rPr>
          <w:rFonts w:ascii="Arial" w:hAnsi="Arial" w:cs="Arial"/>
          <w:color w:val="000000"/>
        </w:rPr>
        <w:t>vertisol</w:t>
      </w:r>
      <w:r w:rsidR="00A70587">
        <w:rPr>
          <w:rFonts w:ascii="Arial" w:hAnsi="Arial" w:cs="Arial"/>
          <w:color w:val="000000"/>
        </w:rPr>
        <w:t>s</w:t>
      </w:r>
      <w:proofErr w:type="spellEnd"/>
      <w:r w:rsidRPr="00344929">
        <w:rPr>
          <w:rFonts w:ascii="Arial" w:hAnsi="Arial" w:cs="Arial"/>
          <w:color w:val="000000"/>
        </w:rPr>
        <w:t xml:space="preserve"> under a sorghum-wheat cropping sequence. The highest DTPA Zn levels were achieved with the combination of NPK and Zn, as seen in T</w:t>
      </w:r>
      <w:r w:rsidRPr="00344929">
        <w:rPr>
          <w:rFonts w:ascii="Arial" w:hAnsi="Arial" w:cs="Arial"/>
          <w:color w:val="000000"/>
          <w:vertAlign w:val="subscript"/>
        </w:rPr>
        <w:t>5</w:t>
      </w:r>
      <w:r w:rsidRPr="00344929">
        <w:rPr>
          <w:rFonts w:ascii="Arial" w:hAnsi="Arial" w:cs="Arial"/>
          <w:color w:val="000000"/>
        </w:rPr>
        <w:t>, suggesting that Zn supplementation is important for maintaining adequate micronutrient levels in the soil.</w:t>
      </w:r>
    </w:p>
    <w:p w14:paraId="7DCD702A" w14:textId="37643649"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The application of FYM either alone or in combination with NPK also showed promising results, highlighting the role of organic matter in enhancing soil nutrient availability. Treatments T</w:t>
      </w:r>
      <w:r w:rsidRPr="00344929">
        <w:rPr>
          <w:rFonts w:ascii="Arial" w:hAnsi="Arial" w:cs="Arial"/>
          <w:color w:val="000000"/>
          <w:vertAlign w:val="subscript"/>
        </w:rPr>
        <w:t>8</w:t>
      </w:r>
      <w:r w:rsidRPr="00344929">
        <w:rPr>
          <w:rFonts w:ascii="Arial" w:hAnsi="Arial" w:cs="Arial"/>
          <w:color w:val="000000"/>
        </w:rPr>
        <w:t xml:space="preserve"> and T</w:t>
      </w:r>
      <w:r w:rsidRPr="00344929">
        <w:rPr>
          <w:rFonts w:ascii="Arial" w:hAnsi="Arial" w:cs="Arial"/>
          <w:color w:val="000000"/>
          <w:vertAlign w:val="subscript"/>
        </w:rPr>
        <w:t>10</w:t>
      </w:r>
      <w:r w:rsidRPr="00344929">
        <w:rPr>
          <w:rFonts w:ascii="Arial" w:hAnsi="Arial" w:cs="Arial"/>
          <w:color w:val="000000"/>
        </w:rPr>
        <w:t>, which included FYM, resulted in high DTPA Zn levels, indicating that organic amendment can effectively improve soil micronutrient status</w:t>
      </w:r>
      <w:r w:rsidR="00A70587">
        <w:rPr>
          <w:rFonts w:ascii="Arial" w:hAnsi="Arial" w:cs="Arial"/>
          <w:color w:val="000000"/>
        </w:rPr>
        <w:t xml:space="preserve">. </w:t>
      </w:r>
    </w:p>
    <w:p w14:paraId="18EA8476" w14:textId="4D6F63BE" w:rsidR="008E28F5" w:rsidRDefault="008E28F5" w:rsidP="008E28F5">
      <w:pPr>
        <w:tabs>
          <w:tab w:val="left" w:pos="1440"/>
        </w:tabs>
        <w:spacing w:after="100" w:line="360" w:lineRule="auto"/>
        <w:ind w:right="11"/>
        <w:jc w:val="both"/>
        <w:rPr>
          <w:rFonts w:ascii="Arial" w:hAnsi="Arial" w:cs="Arial"/>
          <w:color w:val="000000"/>
        </w:rPr>
      </w:pPr>
      <w:r w:rsidRPr="00344929">
        <w:rPr>
          <w:rFonts w:ascii="Arial" w:hAnsi="Arial" w:cs="Arial"/>
        </w:rPr>
        <w:tab/>
        <w:t xml:space="preserve">The improvement in </w:t>
      </w:r>
      <w:r w:rsidRPr="00344929">
        <w:rPr>
          <w:rFonts w:ascii="Arial" w:hAnsi="Arial" w:cs="Arial"/>
          <w:color w:val="000000"/>
        </w:rPr>
        <w:t xml:space="preserve">DTPA Zn </w:t>
      </w:r>
      <w:r w:rsidRPr="00344929">
        <w:rPr>
          <w:rFonts w:ascii="Arial" w:hAnsi="Arial" w:cs="Arial"/>
        </w:rPr>
        <w:t>with balanced fertilizer application along with FYM or organics was also reported by</w:t>
      </w:r>
      <w:r w:rsidRPr="00344929">
        <w:rPr>
          <w:rFonts w:ascii="Arial" w:hAnsi="Arial" w:cs="Arial"/>
          <w:color w:val="000000"/>
        </w:rPr>
        <w:t xml:space="preserve"> </w:t>
      </w:r>
      <w:r w:rsidRPr="00344929">
        <w:rPr>
          <w:rFonts w:ascii="Arial" w:hAnsi="Arial" w:cs="Arial"/>
        </w:rPr>
        <w:t xml:space="preserve">Biswas </w:t>
      </w:r>
      <w:r w:rsidRPr="00344929">
        <w:rPr>
          <w:rFonts w:ascii="Arial" w:hAnsi="Arial" w:cs="Arial"/>
          <w:i/>
          <w:iCs/>
        </w:rPr>
        <w:t>et al.,</w:t>
      </w:r>
      <w:r w:rsidRPr="00344929">
        <w:rPr>
          <w:rFonts w:ascii="Arial" w:hAnsi="Arial" w:cs="Arial"/>
        </w:rPr>
        <w:t xml:space="preserve"> (2023) found that the available zinc (Zn) content was significantly higher in the 50% NPK + FYM treatment</w:t>
      </w:r>
      <w:r w:rsidRPr="00344929">
        <w:rPr>
          <w:rFonts w:ascii="Arial" w:hAnsi="Arial" w:cs="Arial"/>
          <w:color w:val="000000"/>
        </w:rPr>
        <w:t>.</w:t>
      </w:r>
      <w:r w:rsidR="00A20946">
        <w:rPr>
          <w:rFonts w:ascii="Arial" w:hAnsi="Arial" w:cs="Arial"/>
          <w:color w:val="000000"/>
        </w:rPr>
        <w:t xml:space="preserve"> </w:t>
      </w:r>
      <w:r w:rsidR="00A20946" w:rsidRPr="00A20946">
        <w:rPr>
          <w:rFonts w:ascii="Arial" w:hAnsi="Arial" w:cs="Arial"/>
          <w:color w:val="000000"/>
          <w:highlight w:val="green"/>
        </w:rPr>
        <w:t xml:space="preserve">The increasing the content of available micronutrients with INM treatments was mainly attributed to the fact that organic nutrient sources inherently contain sufficient amounts of micronutrients, which enrich the micronutrient pools of soil on decomposition (Sekhon </w:t>
      </w:r>
      <w:r w:rsidR="00A20946" w:rsidRPr="00F00A97">
        <w:rPr>
          <w:rFonts w:ascii="Arial" w:hAnsi="Arial" w:cs="Arial"/>
          <w:i/>
          <w:iCs/>
          <w:color w:val="000000"/>
          <w:highlight w:val="green"/>
        </w:rPr>
        <w:t>et al.</w:t>
      </w:r>
      <w:r w:rsidR="00A20946" w:rsidRPr="00A20946">
        <w:rPr>
          <w:rFonts w:ascii="Arial" w:hAnsi="Arial" w:cs="Arial"/>
          <w:color w:val="000000"/>
          <w:highlight w:val="green"/>
        </w:rPr>
        <w:t xml:space="preserve"> 2007).</w:t>
      </w:r>
      <w:r w:rsidR="00A20946">
        <w:rPr>
          <w:rFonts w:ascii="Arial" w:hAnsi="Arial" w:cs="Arial"/>
          <w:color w:val="000000"/>
        </w:rPr>
        <w:t xml:space="preserve"> </w:t>
      </w:r>
      <w:proofErr w:type="spellStart"/>
      <w:r w:rsidRPr="00344929">
        <w:rPr>
          <w:rFonts w:ascii="Arial" w:hAnsi="Arial" w:cs="Arial"/>
          <w:color w:val="000000"/>
        </w:rPr>
        <w:t>Bharadwaj</w:t>
      </w:r>
      <w:proofErr w:type="spellEnd"/>
      <w:r w:rsidRPr="00344929">
        <w:rPr>
          <w:rFonts w:ascii="Arial" w:hAnsi="Arial" w:cs="Arial"/>
          <w:color w:val="000000"/>
        </w:rPr>
        <w:t xml:space="preserve"> and </w:t>
      </w:r>
      <w:proofErr w:type="spellStart"/>
      <w:r w:rsidRPr="00344929">
        <w:rPr>
          <w:rFonts w:ascii="Arial" w:hAnsi="Arial" w:cs="Arial"/>
          <w:color w:val="000000"/>
        </w:rPr>
        <w:t>Omanwar</w:t>
      </w:r>
      <w:proofErr w:type="spellEnd"/>
      <w:r w:rsidRPr="00344929">
        <w:rPr>
          <w:rFonts w:ascii="Arial" w:hAnsi="Arial" w:cs="Arial"/>
          <w:color w:val="000000"/>
        </w:rPr>
        <w:t xml:space="preserve"> (1994) studied the long-term effect of continuous rotational cropping and fertilization on the soil properties of an </w:t>
      </w:r>
      <w:proofErr w:type="spellStart"/>
      <w:r w:rsidRPr="00344929">
        <w:rPr>
          <w:rFonts w:ascii="Arial" w:hAnsi="Arial" w:cs="Arial"/>
          <w:color w:val="000000"/>
        </w:rPr>
        <w:t>Alfisol</w:t>
      </w:r>
      <w:proofErr w:type="spellEnd"/>
      <w:r w:rsidRPr="00344929">
        <w:rPr>
          <w:rFonts w:ascii="Arial" w:hAnsi="Arial" w:cs="Arial"/>
          <w:color w:val="000000"/>
        </w:rPr>
        <w:t>. They observed that FYM when applied along with 100 percent dosage of NPK increased the DTPA extractable micronutrients to a significant extent. Parashuram (1998) observed that the use of FYM with recommended doses of inorganic fertilizers increased the DTPA extractable Zn content of the soil</w:t>
      </w:r>
      <w:r w:rsidR="00F64CFC">
        <w:rPr>
          <w:rFonts w:ascii="Arial" w:hAnsi="Arial" w:cs="Arial"/>
          <w:color w:val="000000"/>
        </w:rPr>
        <w:t>.</w:t>
      </w:r>
    </w:p>
    <w:p w14:paraId="27EE0DEF" w14:textId="7AED6B46" w:rsidR="00F64CFC" w:rsidRDefault="00F64CFC" w:rsidP="008E28F5">
      <w:pPr>
        <w:tabs>
          <w:tab w:val="left" w:pos="1440"/>
        </w:tabs>
        <w:spacing w:after="100" w:line="360" w:lineRule="auto"/>
        <w:ind w:right="11"/>
        <w:jc w:val="both"/>
        <w:rPr>
          <w:rFonts w:ascii="Arial" w:hAnsi="Arial" w:cs="Arial"/>
          <w:color w:val="000000"/>
        </w:rPr>
      </w:pPr>
      <w:r>
        <w:rPr>
          <w:noProof/>
          <w:lang w:val="en-US"/>
        </w:rPr>
        <w:lastRenderedPageBreak/>
        <w:drawing>
          <wp:inline distT="0" distB="0" distL="0" distR="0" wp14:anchorId="01394C74" wp14:editId="0E36A089">
            <wp:extent cx="5591175" cy="3117850"/>
            <wp:effectExtent l="0" t="0" r="9525" b="6350"/>
            <wp:docPr id="1633890573" name="Chart 1">
              <a:extLst xmlns:a="http://schemas.openxmlformats.org/drawingml/2006/main">
                <a:ext uri="{FF2B5EF4-FFF2-40B4-BE49-F238E27FC236}">
                  <a16:creationId xmlns:a16="http://schemas.microsoft.com/office/drawing/2014/main" id="{54607604-23F5-DECB-A42B-3B50B0017E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54CB7" w14:textId="12083B35" w:rsidR="00F64CFC" w:rsidRPr="0044704A" w:rsidRDefault="00F64CFC" w:rsidP="0044704A">
      <w:pPr>
        <w:spacing w:line="360" w:lineRule="auto"/>
        <w:jc w:val="both"/>
        <w:rPr>
          <w:rFonts w:ascii="Arial" w:hAnsi="Arial" w:cs="Arial"/>
          <w:b/>
          <w:bCs/>
          <w:color w:val="000000"/>
        </w:rPr>
      </w:pPr>
      <w:r>
        <w:rPr>
          <w:rFonts w:ascii="Arial" w:hAnsi="Arial" w:cs="Arial"/>
          <w:b/>
          <w:bCs/>
          <w:color w:val="000000"/>
        </w:rPr>
        <w:t xml:space="preserve">Figure 1. effect of long-term manuring and </w:t>
      </w:r>
      <w:r w:rsidR="00CF1ABB">
        <w:rPr>
          <w:rFonts w:ascii="Arial" w:hAnsi="Arial" w:cs="Arial"/>
          <w:b/>
          <w:bCs/>
          <w:color w:val="000000"/>
        </w:rPr>
        <w:t>fertilization</w:t>
      </w:r>
      <w:r>
        <w:rPr>
          <w:rFonts w:ascii="Arial" w:hAnsi="Arial" w:cs="Arial"/>
          <w:b/>
          <w:bCs/>
          <w:color w:val="000000"/>
        </w:rPr>
        <w:t xml:space="preserve"> on DTPA-Zn under sorghum wheat cropping sequence in </w:t>
      </w:r>
      <w:proofErr w:type="spellStart"/>
      <w:r>
        <w:rPr>
          <w:rFonts w:ascii="Arial" w:hAnsi="Arial" w:cs="Arial"/>
          <w:b/>
          <w:bCs/>
          <w:color w:val="000000"/>
        </w:rPr>
        <w:t>vertisol</w:t>
      </w:r>
      <w:proofErr w:type="spellEnd"/>
    </w:p>
    <w:p w14:paraId="77E85404" w14:textId="6186967B" w:rsidR="008E28F5" w:rsidRPr="00344929" w:rsidRDefault="000F7FF5" w:rsidP="008E28F5">
      <w:pPr>
        <w:tabs>
          <w:tab w:val="left" w:pos="1440"/>
        </w:tabs>
        <w:spacing w:before="60" w:after="60" w:line="360" w:lineRule="auto"/>
        <w:jc w:val="both"/>
        <w:rPr>
          <w:rFonts w:ascii="Arial" w:hAnsi="Arial" w:cs="Arial"/>
          <w:color w:val="000000"/>
        </w:rPr>
      </w:pPr>
      <w:r>
        <w:rPr>
          <w:rFonts w:ascii="Arial" w:hAnsi="Arial" w:cs="Arial"/>
          <w:b/>
          <w:bCs/>
          <w:color w:val="000000"/>
        </w:rPr>
        <w:t xml:space="preserve">3.4 </w:t>
      </w:r>
      <w:r w:rsidR="008E28F5" w:rsidRPr="00344929">
        <w:rPr>
          <w:rFonts w:ascii="Arial" w:hAnsi="Arial" w:cs="Arial"/>
          <w:b/>
          <w:bCs/>
          <w:color w:val="000000"/>
        </w:rPr>
        <w:t>DTPA-extractable Cu</w:t>
      </w:r>
    </w:p>
    <w:p w14:paraId="22201308" w14:textId="290DCB5A" w:rsidR="003E19B9" w:rsidRPr="00A70587" w:rsidRDefault="00E15E6D" w:rsidP="00A70587">
      <w:pPr>
        <w:tabs>
          <w:tab w:val="left" w:pos="1440"/>
        </w:tabs>
        <w:spacing w:before="60" w:after="60" w:line="360" w:lineRule="auto"/>
        <w:jc w:val="both"/>
        <w:rPr>
          <w:rFonts w:ascii="Arial" w:hAnsi="Arial" w:cs="Arial"/>
          <w:b/>
          <w:bCs/>
          <w:color w:val="000000"/>
        </w:rPr>
      </w:pPr>
      <w:r>
        <w:rPr>
          <w:rFonts w:ascii="Arial" w:hAnsi="Arial" w:cs="Arial"/>
        </w:rPr>
        <w:tab/>
      </w:r>
      <w:r w:rsidRPr="00E15E6D">
        <w:rPr>
          <w:rFonts w:ascii="Arial" w:hAnsi="Arial" w:cs="Arial"/>
          <w:highlight w:val="green"/>
        </w:rPr>
        <w:t xml:space="preserve">The DTPA-extractable Cu in soil were significantly affected by </w:t>
      </w:r>
      <w:r w:rsidRPr="00E15E6D">
        <w:rPr>
          <w:rFonts w:ascii="Arial" w:hAnsi="Arial" w:cs="Arial"/>
          <w:color w:val="000000"/>
          <w:highlight w:val="green"/>
        </w:rPr>
        <w:t>long-term manuring and fertilization (Table 1). After the 36</w:t>
      </w:r>
      <w:r w:rsidRPr="00E15E6D">
        <w:rPr>
          <w:rFonts w:ascii="Arial" w:hAnsi="Arial" w:cs="Arial"/>
          <w:color w:val="000000"/>
          <w:highlight w:val="green"/>
          <w:vertAlign w:val="superscript"/>
        </w:rPr>
        <w:t>th</w:t>
      </w:r>
      <w:r w:rsidRPr="00E15E6D">
        <w:rPr>
          <w:rFonts w:ascii="Arial" w:hAnsi="Arial" w:cs="Arial"/>
          <w:color w:val="000000"/>
          <w:highlight w:val="green"/>
        </w:rPr>
        <w:t xml:space="preserve"> cropping cycle, the available Cu content ranged from 1.96 mg kg</w:t>
      </w:r>
      <w:r w:rsidRPr="00E15E6D">
        <w:rPr>
          <w:rFonts w:ascii="Arial" w:hAnsi="Arial" w:cs="Arial"/>
          <w:color w:val="000000"/>
          <w:highlight w:val="green"/>
          <w:vertAlign w:val="superscript"/>
        </w:rPr>
        <w:t>-1</w:t>
      </w:r>
      <w:r w:rsidRPr="00E15E6D">
        <w:rPr>
          <w:rFonts w:ascii="Arial" w:hAnsi="Arial" w:cs="Arial"/>
          <w:color w:val="000000"/>
          <w:highlight w:val="green"/>
        </w:rPr>
        <w:t xml:space="preserve"> to 4.84 mg kg</w:t>
      </w:r>
      <w:r w:rsidRPr="00E15E6D">
        <w:rPr>
          <w:rFonts w:ascii="Arial" w:hAnsi="Arial" w:cs="Arial"/>
          <w:color w:val="000000"/>
          <w:highlight w:val="green"/>
          <w:vertAlign w:val="superscript"/>
        </w:rPr>
        <w:t xml:space="preserve">-1 </w:t>
      </w:r>
      <w:r w:rsidRPr="00E15E6D">
        <w:rPr>
          <w:rFonts w:ascii="Arial" w:hAnsi="Arial" w:cs="Arial"/>
          <w:color w:val="000000"/>
          <w:highlight w:val="green"/>
        </w:rPr>
        <w:t>and being significantly lowest in control treatment (T</w:t>
      </w:r>
      <w:r w:rsidRPr="00E15E6D">
        <w:rPr>
          <w:rFonts w:ascii="Arial" w:hAnsi="Arial" w:cs="Arial"/>
          <w:color w:val="000000"/>
          <w:highlight w:val="green"/>
          <w:vertAlign w:val="subscript"/>
        </w:rPr>
        <w:t>12</w:t>
      </w:r>
      <w:r w:rsidRPr="00E15E6D">
        <w:rPr>
          <w:rFonts w:ascii="Arial" w:hAnsi="Arial" w:cs="Arial"/>
          <w:color w:val="000000"/>
          <w:highlight w:val="green"/>
        </w:rPr>
        <w:t>)</w:t>
      </w:r>
      <w:r w:rsidR="008E28F5" w:rsidRPr="00E15E6D">
        <w:rPr>
          <w:rFonts w:ascii="Arial" w:hAnsi="Arial" w:cs="Arial"/>
          <w:color w:val="000000"/>
          <w:highlight w:val="green"/>
        </w:rPr>
        <w:t>.</w:t>
      </w:r>
      <w:r w:rsidR="008E28F5" w:rsidRPr="00344929">
        <w:rPr>
          <w:rFonts w:ascii="Arial" w:hAnsi="Arial" w:cs="Arial"/>
          <w:color w:val="000000"/>
        </w:rPr>
        <w:t xml:space="preserve"> </w:t>
      </w:r>
      <w:r w:rsidR="008E28F5" w:rsidRPr="00344929">
        <w:rPr>
          <w:rFonts w:ascii="Arial" w:hAnsi="Arial" w:cs="Arial"/>
        </w:rPr>
        <w:t>The application of balanced fertilizer combined with organic manure i.e. 100% NPK + FYM @5 t ha</w:t>
      </w:r>
      <w:r w:rsidR="008E28F5" w:rsidRPr="00344929">
        <w:rPr>
          <w:rFonts w:ascii="Arial" w:hAnsi="Arial" w:cs="Arial"/>
          <w:vertAlign w:val="superscript"/>
        </w:rPr>
        <w:t xml:space="preserve">-1 </w:t>
      </w:r>
      <w:r w:rsidR="008E28F5" w:rsidRPr="00344929">
        <w:rPr>
          <w:rFonts w:ascii="Arial" w:hAnsi="Arial" w:cs="Arial"/>
        </w:rPr>
        <w:t>(T</w:t>
      </w:r>
      <w:r w:rsidR="008E28F5" w:rsidRPr="00344929">
        <w:rPr>
          <w:rFonts w:ascii="Arial" w:hAnsi="Arial" w:cs="Arial"/>
          <w:vertAlign w:val="subscript"/>
        </w:rPr>
        <w:t>8</w:t>
      </w:r>
      <w:r w:rsidR="008E28F5" w:rsidRPr="00344929">
        <w:rPr>
          <w:rFonts w:ascii="Arial" w:hAnsi="Arial" w:cs="Arial"/>
        </w:rPr>
        <w:t>), 75% NPK + 25% N though FYM (T</w:t>
      </w:r>
      <w:r w:rsidR="008E28F5" w:rsidRPr="00344929">
        <w:rPr>
          <w:rFonts w:ascii="Arial" w:hAnsi="Arial" w:cs="Arial"/>
          <w:vertAlign w:val="subscript"/>
        </w:rPr>
        <w:t>11</w:t>
      </w:r>
      <w:r w:rsidR="008E28F5" w:rsidRPr="00344929">
        <w:rPr>
          <w:rFonts w:ascii="Arial" w:hAnsi="Arial" w:cs="Arial"/>
        </w:rPr>
        <w:t>) and FYM @ 10 t ha</w:t>
      </w:r>
      <w:r w:rsidR="008E28F5" w:rsidRPr="00344929">
        <w:rPr>
          <w:rFonts w:ascii="Arial" w:hAnsi="Arial" w:cs="Arial"/>
          <w:vertAlign w:val="superscript"/>
        </w:rPr>
        <w:t xml:space="preserve">-1 </w:t>
      </w:r>
      <w:r w:rsidR="008E28F5" w:rsidRPr="00344929">
        <w:rPr>
          <w:rFonts w:ascii="Arial" w:hAnsi="Arial" w:cs="Arial"/>
        </w:rPr>
        <w:t>(T</w:t>
      </w:r>
      <w:r w:rsidR="008E28F5" w:rsidRPr="00344929">
        <w:rPr>
          <w:rFonts w:ascii="Arial" w:hAnsi="Arial" w:cs="Arial"/>
          <w:vertAlign w:val="subscript"/>
        </w:rPr>
        <w:t>10</w:t>
      </w:r>
      <w:r w:rsidR="008E28F5" w:rsidRPr="00344929">
        <w:rPr>
          <w:rFonts w:ascii="Arial" w:hAnsi="Arial" w:cs="Arial"/>
        </w:rPr>
        <w:t>) and 150% NPK (T</w:t>
      </w:r>
      <w:r w:rsidR="008E28F5" w:rsidRPr="00344929">
        <w:rPr>
          <w:rFonts w:ascii="Arial" w:hAnsi="Arial" w:cs="Arial"/>
          <w:vertAlign w:val="subscript"/>
        </w:rPr>
        <w:t>3</w:t>
      </w:r>
      <w:r w:rsidR="008E28F5" w:rsidRPr="00344929">
        <w:rPr>
          <w:rFonts w:ascii="Arial" w:hAnsi="Arial" w:cs="Arial"/>
        </w:rPr>
        <w:t xml:space="preserve">) resulted significant improvement in </w:t>
      </w:r>
      <w:r w:rsidR="008E28F5" w:rsidRPr="00344929">
        <w:rPr>
          <w:rFonts w:ascii="Arial" w:hAnsi="Arial" w:cs="Arial"/>
          <w:color w:val="000000"/>
        </w:rPr>
        <w:t xml:space="preserve">DTPA Cu </w:t>
      </w:r>
      <w:r w:rsidR="008E28F5" w:rsidRPr="00344929">
        <w:rPr>
          <w:rFonts w:ascii="Arial" w:hAnsi="Arial" w:cs="Arial"/>
        </w:rPr>
        <w:t>indicating role of organic manure in regulating soil chemical properties</w:t>
      </w:r>
      <w:r w:rsidR="008E28F5" w:rsidRPr="00E15E6D">
        <w:rPr>
          <w:rFonts w:ascii="Arial" w:hAnsi="Arial" w:cs="Arial"/>
          <w:highlight w:val="green"/>
        </w:rPr>
        <w:t>.</w:t>
      </w:r>
      <w:r w:rsidRPr="00E15E6D">
        <w:rPr>
          <w:rFonts w:ascii="Arial" w:hAnsi="Arial" w:cs="Arial"/>
          <w:highlight w:val="green"/>
        </w:rPr>
        <w:t xml:space="preserve"> On an average </w:t>
      </w:r>
      <w:r w:rsidR="003E19B9" w:rsidRPr="00E15E6D">
        <w:rPr>
          <w:rFonts w:ascii="Arial" w:hAnsi="Arial" w:cs="Arial"/>
          <w:highlight w:val="green"/>
        </w:rPr>
        <w:t>INM (T</w:t>
      </w:r>
      <w:r w:rsidR="003E19B9" w:rsidRPr="00E15E6D">
        <w:rPr>
          <w:rFonts w:ascii="Arial" w:hAnsi="Arial" w:cs="Arial"/>
          <w:highlight w:val="green"/>
          <w:vertAlign w:val="subscript"/>
        </w:rPr>
        <w:t>8</w:t>
      </w:r>
      <w:r w:rsidR="003E19B9" w:rsidRPr="00E15E6D">
        <w:rPr>
          <w:rFonts w:ascii="Arial" w:hAnsi="Arial" w:cs="Arial"/>
          <w:highlight w:val="green"/>
        </w:rPr>
        <w:t xml:space="preserve">) treatment </w:t>
      </w:r>
      <w:r w:rsidRPr="00E15E6D">
        <w:rPr>
          <w:rFonts w:ascii="Arial" w:hAnsi="Arial" w:cs="Arial"/>
          <w:highlight w:val="green"/>
        </w:rPr>
        <w:t xml:space="preserve">had </w:t>
      </w:r>
      <w:r w:rsidR="003E19B9" w:rsidRPr="00E15E6D">
        <w:rPr>
          <w:rFonts w:ascii="Arial" w:hAnsi="Arial" w:cs="Arial"/>
          <w:highlight w:val="green"/>
        </w:rPr>
        <w:t xml:space="preserve">34.44% of higher </w:t>
      </w:r>
      <w:r w:rsidRPr="00E15E6D">
        <w:rPr>
          <w:rFonts w:ascii="Arial" w:hAnsi="Arial" w:cs="Arial"/>
          <w:highlight w:val="green"/>
        </w:rPr>
        <w:t>Cu content over the</w:t>
      </w:r>
      <w:r w:rsidR="003E19B9" w:rsidRPr="00E15E6D">
        <w:rPr>
          <w:rFonts w:ascii="Arial" w:hAnsi="Arial" w:cs="Arial"/>
          <w:highlight w:val="green"/>
        </w:rPr>
        <w:t xml:space="preserve"> balanced fertilizer treatment (T</w:t>
      </w:r>
      <w:r w:rsidR="003E19B9" w:rsidRPr="00E15E6D">
        <w:rPr>
          <w:rFonts w:ascii="Arial" w:hAnsi="Arial" w:cs="Arial"/>
          <w:highlight w:val="green"/>
          <w:vertAlign w:val="subscript"/>
        </w:rPr>
        <w:t>2</w:t>
      </w:r>
      <w:r w:rsidR="003E19B9" w:rsidRPr="00E15E6D">
        <w:rPr>
          <w:rFonts w:ascii="Arial" w:hAnsi="Arial" w:cs="Arial"/>
          <w:highlight w:val="green"/>
        </w:rPr>
        <w:t>)</w:t>
      </w:r>
      <w:r w:rsidRPr="00E15E6D">
        <w:rPr>
          <w:rFonts w:ascii="Arial" w:hAnsi="Arial" w:cs="Arial"/>
          <w:highlight w:val="green"/>
        </w:rPr>
        <w:t>.</w:t>
      </w:r>
      <w:r w:rsidR="003E19B9" w:rsidRPr="00344929">
        <w:rPr>
          <w:rFonts w:ascii="Arial" w:hAnsi="Arial" w:cs="Arial"/>
        </w:rPr>
        <w:t xml:space="preserve"> </w:t>
      </w:r>
    </w:p>
    <w:p w14:paraId="4596BA94" w14:textId="2ADDEF13" w:rsidR="008E28F5" w:rsidRPr="00344929" w:rsidRDefault="008E28F5" w:rsidP="00A70587">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 Cu</w:t>
      </w:r>
      <w:r w:rsidRPr="00344929">
        <w:rPr>
          <w:rFonts w:ascii="Arial" w:hAnsi="Arial" w:cs="Arial"/>
        </w:rPr>
        <w:t xml:space="preserve">, indicating significance of balanced nutrition and INM. Continuous sorghum-wheat cropping without manure and fertilizer drastically decreased the </w:t>
      </w:r>
      <w:r w:rsidRPr="00344929">
        <w:rPr>
          <w:rFonts w:ascii="Arial" w:hAnsi="Arial" w:cs="Arial"/>
          <w:color w:val="000000"/>
        </w:rPr>
        <w:t xml:space="preserve">DTPA Cu </w:t>
      </w:r>
      <w:r w:rsidRPr="00344929">
        <w:rPr>
          <w:rFonts w:ascii="Arial" w:hAnsi="Arial" w:cs="Arial"/>
        </w:rPr>
        <w:t xml:space="preserve">of soil. </w:t>
      </w:r>
      <w:r w:rsidR="00A70587">
        <w:rPr>
          <w:rFonts w:ascii="Arial" w:hAnsi="Arial" w:cs="Arial"/>
        </w:rPr>
        <w:t xml:space="preserve">  </w:t>
      </w:r>
      <w:r w:rsidRPr="00344929">
        <w:rPr>
          <w:rFonts w:ascii="Arial" w:hAnsi="Arial" w:cs="Arial"/>
        </w:rPr>
        <w:t>Overall, the results emphasize the importance of comprehensive nutrient management strategies that combine chemical fertilizers with organic amendments to sustain soil health and ensure robust crop productivity in a sorghum-wheat cropping sequence.</w:t>
      </w:r>
    </w:p>
    <w:p w14:paraId="2D171918" w14:textId="2958C43C" w:rsidR="004654FA" w:rsidRDefault="008E28F5" w:rsidP="005F7173">
      <w:pPr>
        <w:spacing w:line="360" w:lineRule="auto"/>
        <w:ind w:firstLine="720"/>
        <w:jc w:val="both"/>
        <w:rPr>
          <w:rFonts w:ascii="Arial" w:hAnsi="Arial" w:cs="Arial"/>
          <w:color w:val="000000"/>
        </w:rPr>
      </w:pPr>
      <w:r w:rsidRPr="00344929">
        <w:rPr>
          <w:rFonts w:ascii="Arial" w:hAnsi="Arial" w:cs="Arial"/>
        </w:rPr>
        <w:t xml:space="preserve">The improvement in DTPA Cu with balanced fertilizer application along with FYM or organics was also reported by </w:t>
      </w:r>
      <w:r w:rsidRPr="00344929">
        <w:rPr>
          <w:rFonts w:ascii="Arial" w:hAnsi="Arial" w:cs="Arial"/>
          <w:color w:val="000000"/>
        </w:rPr>
        <w:t xml:space="preserve">Akbari </w:t>
      </w:r>
      <w:r w:rsidRPr="00344929">
        <w:rPr>
          <w:rFonts w:ascii="Arial" w:hAnsi="Arial" w:cs="Arial"/>
          <w:i/>
          <w:iCs/>
          <w:color w:val="000000"/>
        </w:rPr>
        <w:t>et al.</w:t>
      </w:r>
      <w:r w:rsidRPr="00344929">
        <w:rPr>
          <w:rFonts w:ascii="Arial" w:hAnsi="Arial" w:cs="Arial"/>
          <w:color w:val="000000"/>
        </w:rPr>
        <w:t xml:space="preserve">, (2011) found that the application of a combination of organic and inorganic fertilizers significantly increased the DTPA extractable copper compared to using inorganic fertilizers alone. This suggests that the use of organic manure, such as FYM, in conjunction with inorganic fertilizers plays an essential role in maintaining the </w:t>
      </w:r>
      <w:r w:rsidRPr="00344929">
        <w:rPr>
          <w:rFonts w:ascii="Arial" w:hAnsi="Arial" w:cs="Arial"/>
          <w:color w:val="000000"/>
        </w:rPr>
        <w:lastRenderedPageBreak/>
        <w:t xml:space="preserve">available micronutrient status of the soil over a long-term cropping period. Consistent with these findings, studies conducted by </w:t>
      </w:r>
      <w:proofErr w:type="spellStart"/>
      <w:r w:rsidRPr="00344929">
        <w:rPr>
          <w:rFonts w:ascii="Arial" w:hAnsi="Arial" w:cs="Arial"/>
          <w:color w:val="000000"/>
        </w:rPr>
        <w:t>Bellakki</w:t>
      </w:r>
      <w:proofErr w:type="spellEnd"/>
      <w:r w:rsidRPr="00344929">
        <w:rPr>
          <w:rFonts w:ascii="Arial" w:hAnsi="Arial" w:cs="Arial"/>
          <w:color w:val="000000"/>
        </w:rPr>
        <w:t xml:space="preserve"> and </w:t>
      </w:r>
      <w:proofErr w:type="spellStart"/>
      <w:r w:rsidRPr="00344929">
        <w:rPr>
          <w:rFonts w:ascii="Arial" w:hAnsi="Arial" w:cs="Arial"/>
          <w:color w:val="000000"/>
        </w:rPr>
        <w:t>Badanur</w:t>
      </w:r>
      <w:proofErr w:type="spellEnd"/>
      <w:r w:rsidRPr="00344929">
        <w:rPr>
          <w:rFonts w:ascii="Arial" w:hAnsi="Arial" w:cs="Arial"/>
          <w:color w:val="000000"/>
        </w:rPr>
        <w:t xml:space="preserve"> (1997) and </w:t>
      </w:r>
      <w:proofErr w:type="spellStart"/>
      <w:r w:rsidRPr="00344929">
        <w:rPr>
          <w:rFonts w:ascii="Arial" w:hAnsi="Arial" w:cs="Arial"/>
          <w:color w:val="000000"/>
        </w:rPr>
        <w:t>Kharche</w:t>
      </w:r>
      <w:proofErr w:type="spellEnd"/>
      <w:r w:rsidRPr="00344929">
        <w:rPr>
          <w:rFonts w:ascii="Arial" w:hAnsi="Arial" w:cs="Arial"/>
          <w:color w:val="000000"/>
        </w:rPr>
        <w:t xml:space="preserve"> </w:t>
      </w:r>
      <w:r w:rsidRPr="00344929">
        <w:rPr>
          <w:rFonts w:ascii="Arial" w:hAnsi="Arial" w:cs="Arial"/>
          <w:i/>
          <w:iCs/>
          <w:color w:val="000000"/>
        </w:rPr>
        <w:t>et al</w:t>
      </w:r>
      <w:r w:rsidRPr="00344929">
        <w:rPr>
          <w:rFonts w:ascii="Arial" w:hAnsi="Arial" w:cs="Arial"/>
          <w:color w:val="000000"/>
        </w:rPr>
        <w:t>. (2013) has also demonstrated the positive impact of organic-inorganic fertilizer combinations on soil micronutrient availability.</w:t>
      </w:r>
    </w:p>
    <w:p w14:paraId="38313A97" w14:textId="44E13185" w:rsidR="000F7FF5" w:rsidRDefault="000F7FF5" w:rsidP="000F7FF5">
      <w:pPr>
        <w:spacing w:line="360" w:lineRule="auto"/>
        <w:jc w:val="both"/>
        <w:rPr>
          <w:rFonts w:ascii="Arial" w:hAnsi="Arial" w:cs="Arial"/>
          <w:b/>
          <w:bCs/>
          <w:color w:val="000000"/>
        </w:rPr>
      </w:pPr>
      <w:r w:rsidRPr="000F7FF5">
        <w:rPr>
          <w:rFonts w:ascii="Arial" w:hAnsi="Arial" w:cs="Arial"/>
          <w:b/>
          <w:bCs/>
          <w:color w:val="000000"/>
        </w:rPr>
        <w:t>4.</w:t>
      </w:r>
      <w:r>
        <w:rPr>
          <w:rFonts w:ascii="Arial" w:hAnsi="Arial" w:cs="Arial"/>
          <w:b/>
          <w:bCs/>
          <w:color w:val="000000"/>
        </w:rPr>
        <w:t xml:space="preserve"> CONCLUSION</w:t>
      </w:r>
    </w:p>
    <w:p w14:paraId="698EE278" w14:textId="3C5F1356" w:rsidR="000F7FF5" w:rsidRDefault="000F7FF5" w:rsidP="000F7FF5">
      <w:pPr>
        <w:spacing w:line="360" w:lineRule="auto"/>
        <w:jc w:val="both"/>
        <w:rPr>
          <w:rFonts w:ascii="Arial" w:hAnsi="Arial" w:cs="Arial"/>
          <w:color w:val="000000"/>
        </w:rPr>
      </w:pPr>
      <w:r>
        <w:rPr>
          <w:rFonts w:ascii="Arial" w:hAnsi="Arial" w:cs="Arial"/>
          <w:b/>
          <w:bCs/>
          <w:color w:val="000000"/>
        </w:rPr>
        <w:tab/>
      </w:r>
      <w:r>
        <w:rPr>
          <w:rFonts w:ascii="Arial" w:hAnsi="Arial" w:cs="Arial"/>
          <w:color w:val="000000"/>
        </w:rPr>
        <w:t>It can be concluded that the significant improvement in DTPA- micronutrient status (</w:t>
      </w:r>
      <w:r w:rsidR="00953429">
        <w:rPr>
          <w:rFonts w:ascii="Arial" w:hAnsi="Arial" w:cs="Arial"/>
          <w:color w:val="000000"/>
        </w:rPr>
        <w:t>Fe, Mn</w:t>
      </w:r>
      <w:r>
        <w:rPr>
          <w:rFonts w:ascii="Arial" w:hAnsi="Arial" w:cs="Arial"/>
          <w:color w:val="000000"/>
        </w:rPr>
        <w:t>, Zn and Cu)</w:t>
      </w:r>
      <w:r w:rsidR="00953429">
        <w:rPr>
          <w:rFonts w:ascii="Arial" w:hAnsi="Arial" w:cs="Arial"/>
          <w:color w:val="000000"/>
        </w:rPr>
        <w:t xml:space="preserve"> </w:t>
      </w:r>
      <w:r w:rsidR="00BC6582">
        <w:rPr>
          <w:rFonts w:ascii="Arial" w:hAnsi="Arial" w:cs="Arial"/>
          <w:color w:val="000000"/>
        </w:rPr>
        <w:t xml:space="preserve">was observed </w:t>
      </w:r>
      <w:r w:rsidR="00953429">
        <w:rPr>
          <w:rFonts w:ascii="Arial" w:hAnsi="Arial" w:cs="Arial"/>
          <w:color w:val="000000"/>
        </w:rPr>
        <w:t>where the integration of inorganic and organic fertilizer application. These nutrient management practices ensure improved micronutrient status of soil and better productivity of crop while advocating for sustainable agricultural practices.</w:t>
      </w:r>
    </w:p>
    <w:p w14:paraId="7D57BA35" w14:textId="5B68A7DA" w:rsidR="00C37A6A" w:rsidRDefault="00C37A6A" w:rsidP="000F7FF5">
      <w:pPr>
        <w:spacing w:line="360" w:lineRule="auto"/>
        <w:jc w:val="both"/>
        <w:rPr>
          <w:rFonts w:ascii="Arial" w:hAnsi="Arial" w:cs="Arial"/>
          <w:b/>
          <w:bCs/>
          <w:color w:val="000000"/>
        </w:rPr>
      </w:pPr>
      <w:r w:rsidRPr="00D0790A">
        <w:rPr>
          <w:rFonts w:ascii="Arial" w:hAnsi="Arial" w:cs="Arial"/>
          <w:b/>
          <w:bCs/>
          <w:color w:val="000000"/>
          <w:highlight w:val="green"/>
        </w:rPr>
        <w:t>DISCLAIMER (ARTIFICIAL INTELLIGENCE)</w:t>
      </w:r>
    </w:p>
    <w:p w14:paraId="3577559F" w14:textId="1D326FB3" w:rsidR="00AD72B8" w:rsidRDefault="00C37A6A" w:rsidP="000F7FF5">
      <w:pPr>
        <w:spacing w:line="360" w:lineRule="auto"/>
        <w:jc w:val="both"/>
        <w:rPr>
          <w:rFonts w:ascii="Arial" w:hAnsi="Arial" w:cs="Arial"/>
          <w:color w:val="000000"/>
        </w:rPr>
      </w:pPr>
      <w:r>
        <w:rPr>
          <w:rFonts w:ascii="Arial" w:hAnsi="Arial" w:cs="Arial"/>
          <w:b/>
          <w:bCs/>
          <w:color w:val="000000"/>
        </w:rPr>
        <w:tab/>
      </w:r>
      <w:r w:rsidRPr="00D0790A">
        <w:rPr>
          <w:rFonts w:ascii="Arial" w:hAnsi="Arial" w:cs="Arial"/>
          <w:color w:val="000000"/>
          <w:highlight w:val="green"/>
        </w:rPr>
        <w:t xml:space="preserve">Author(s) hereby </w:t>
      </w:r>
      <w:r w:rsidR="00D0790A" w:rsidRPr="00D0790A">
        <w:rPr>
          <w:rFonts w:ascii="Arial" w:hAnsi="Arial" w:cs="Arial"/>
          <w:color w:val="000000"/>
          <w:highlight w:val="green"/>
        </w:rPr>
        <w:t>declares</w:t>
      </w:r>
      <w:r w:rsidRPr="00D0790A">
        <w:rPr>
          <w:rFonts w:ascii="Arial" w:hAnsi="Arial" w:cs="Arial"/>
          <w:color w:val="000000"/>
          <w:highlight w:val="green"/>
        </w:rPr>
        <w:t xml:space="preserve"> that NO generative AI technologies such as Large Language Models (ChatGPT, COPILOT, etc) test-to-image generators have been used during writing or editing of this </w:t>
      </w:r>
      <w:r w:rsidR="00D0790A" w:rsidRPr="00D0790A">
        <w:rPr>
          <w:rFonts w:ascii="Arial" w:hAnsi="Arial" w:cs="Arial"/>
          <w:color w:val="000000"/>
          <w:highlight w:val="green"/>
        </w:rPr>
        <w:t>manuscript.</w:t>
      </w:r>
    </w:p>
    <w:p w14:paraId="0FE96130" w14:textId="31986BAC" w:rsidR="00953429" w:rsidRDefault="00953429" w:rsidP="000F7FF5">
      <w:pPr>
        <w:spacing w:line="360" w:lineRule="auto"/>
        <w:jc w:val="both"/>
        <w:rPr>
          <w:rFonts w:ascii="Arial" w:hAnsi="Arial" w:cs="Arial"/>
          <w:b/>
          <w:bCs/>
          <w:color w:val="000000"/>
        </w:rPr>
      </w:pPr>
      <w:r w:rsidRPr="00953429">
        <w:rPr>
          <w:rFonts w:ascii="Arial" w:hAnsi="Arial" w:cs="Arial"/>
          <w:b/>
          <w:bCs/>
          <w:color w:val="000000"/>
        </w:rPr>
        <w:t>REFERENCES</w:t>
      </w:r>
    </w:p>
    <w:p w14:paraId="167AA71A" w14:textId="703F2163" w:rsidR="00B225B4" w:rsidRPr="00D24E30" w:rsidRDefault="00B225B4" w:rsidP="00B225B4">
      <w:pPr>
        <w:spacing w:line="240" w:lineRule="auto"/>
        <w:ind w:left="1080" w:hanging="1080"/>
        <w:jc w:val="both"/>
        <w:rPr>
          <w:rFonts w:ascii="Arial" w:hAnsi="Arial" w:cs="Arial"/>
          <w:color w:val="000000"/>
          <w:sz w:val="24"/>
          <w:szCs w:val="24"/>
        </w:rPr>
      </w:pPr>
      <w:r w:rsidRPr="002E2B46">
        <w:rPr>
          <w:rFonts w:ascii="Arial" w:hAnsi="Arial" w:cs="Arial"/>
          <w:color w:val="000000"/>
          <w:sz w:val="24"/>
          <w:szCs w:val="24"/>
        </w:rPr>
        <w:t xml:space="preserve">Nutrient </w:t>
      </w:r>
      <w:r w:rsidRPr="002E2B46">
        <w:rPr>
          <w:rFonts w:ascii="Arial" w:hAnsi="Arial" w:cs="Arial"/>
          <w:color w:val="000000"/>
          <w:sz w:val="24"/>
          <w:szCs w:val="24"/>
        </w:rPr>
        <w:tab/>
        <w:t>and residual effect of enriched composts, FYM, vermicompost</w:t>
      </w:r>
      <w:r w:rsidR="00BC6582">
        <w:rPr>
          <w:rFonts w:ascii="Arial" w:hAnsi="Arial" w:cs="Arial"/>
          <w:color w:val="000000"/>
          <w:sz w:val="24"/>
          <w:szCs w:val="24"/>
        </w:rPr>
        <w:t xml:space="preserve"> </w:t>
      </w:r>
      <w:r w:rsidRPr="002E2B46">
        <w:rPr>
          <w:rFonts w:ascii="Arial" w:hAnsi="Arial" w:cs="Arial"/>
          <w:color w:val="000000"/>
          <w:sz w:val="24"/>
          <w:szCs w:val="24"/>
        </w:rPr>
        <w:t xml:space="preserve">and fertilizers on properties of an </w:t>
      </w:r>
      <w:proofErr w:type="spellStart"/>
      <w:r w:rsidRPr="002E2B46">
        <w:rPr>
          <w:rFonts w:ascii="Arial" w:hAnsi="Arial" w:cs="Arial"/>
          <w:color w:val="000000"/>
          <w:sz w:val="24"/>
          <w:szCs w:val="24"/>
        </w:rPr>
        <w:t>Alfisol</w:t>
      </w:r>
      <w:proofErr w:type="spellEnd"/>
      <w:r w:rsidRPr="002E2B46">
        <w:rPr>
          <w:rFonts w:ascii="Arial" w:hAnsi="Arial" w:cs="Arial"/>
          <w:color w:val="000000"/>
          <w:sz w:val="24"/>
          <w:szCs w:val="24"/>
        </w:rPr>
        <w:t xml:space="preserve">. </w:t>
      </w:r>
      <w:r w:rsidRPr="002E2B46">
        <w:rPr>
          <w:rFonts w:ascii="Arial" w:hAnsi="Arial" w:cs="Arial"/>
          <w:i/>
          <w:iCs/>
          <w:color w:val="000000"/>
          <w:sz w:val="24"/>
          <w:szCs w:val="24"/>
          <w:shd w:val="clear" w:color="auto" w:fill="FFFFFF"/>
        </w:rPr>
        <w:t>J. Indian Soc. Soil Sci.</w:t>
      </w:r>
      <w:r w:rsidRPr="002E2B46">
        <w:rPr>
          <w:rFonts w:ascii="Arial" w:hAnsi="Arial" w:cs="Arial"/>
          <w:color w:val="000000"/>
          <w:sz w:val="24"/>
          <w:szCs w:val="24"/>
        </w:rPr>
        <w:t>48: 496-499.</w:t>
      </w:r>
    </w:p>
    <w:p w14:paraId="7A6955E7" w14:textId="77777777" w:rsidR="00B225B4" w:rsidRDefault="00B225B4" w:rsidP="00B225B4">
      <w:pPr>
        <w:spacing w:after="200" w:line="240" w:lineRule="auto"/>
        <w:ind w:left="1080" w:hanging="1080"/>
        <w:jc w:val="both"/>
        <w:rPr>
          <w:rFonts w:ascii="Arial" w:hAnsi="Arial" w:cs="Arial"/>
          <w:color w:val="000000"/>
          <w:sz w:val="24"/>
          <w:szCs w:val="24"/>
        </w:rPr>
      </w:pPr>
      <w:proofErr w:type="spellStart"/>
      <w:r w:rsidRPr="002E2B46">
        <w:rPr>
          <w:rFonts w:ascii="Arial" w:hAnsi="Arial" w:cs="Arial"/>
          <w:color w:val="000000"/>
          <w:sz w:val="24"/>
          <w:szCs w:val="24"/>
        </w:rPr>
        <w:t>Bellakki</w:t>
      </w:r>
      <w:proofErr w:type="spellEnd"/>
      <w:r w:rsidRPr="002E2B46">
        <w:rPr>
          <w:rFonts w:ascii="Arial" w:hAnsi="Arial" w:cs="Arial"/>
          <w:color w:val="000000"/>
          <w:sz w:val="24"/>
          <w:szCs w:val="24"/>
        </w:rPr>
        <w:t xml:space="preserve">, M.A and V.P. </w:t>
      </w:r>
      <w:proofErr w:type="spellStart"/>
      <w:r w:rsidRPr="002E2B46">
        <w:rPr>
          <w:rFonts w:ascii="Arial" w:hAnsi="Arial" w:cs="Arial"/>
          <w:color w:val="000000"/>
          <w:sz w:val="24"/>
          <w:szCs w:val="24"/>
        </w:rPr>
        <w:t>Badanur</w:t>
      </w:r>
      <w:proofErr w:type="spellEnd"/>
      <w:r w:rsidRPr="002E2B46">
        <w:rPr>
          <w:rFonts w:ascii="Arial" w:hAnsi="Arial" w:cs="Arial"/>
          <w:color w:val="000000"/>
          <w:sz w:val="24"/>
          <w:szCs w:val="24"/>
        </w:rPr>
        <w:t xml:space="preserve">, 1997. Long-term effect of integrated nutrient </w:t>
      </w:r>
      <w:r w:rsidRPr="002E2B46">
        <w:rPr>
          <w:rFonts w:ascii="Arial" w:hAnsi="Arial" w:cs="Arial"/>
          <w:color w:val="000000"/>
          <w:sz w:val="24"/>
          <w:szCs w:val="24"/>
        </w:rPr>
        <w:tab/>
        <w:t xml:space="preserve">management on properties of </w:t>
      </w:r>
      <w:proofErr w:type="spellStart"/>
      <w:r w:rsidRPr="002E2B46">
        <w:rPr>
          <w:rFonts w:ascii="Arial" w:hAnsi="Arial" w:cs="Arial"/>
          <w:color w:val="000000"/>
          <w:sz w:val="24"/>
          <w:szCs w:val="24"/>
        </w:rPr>
        <w:t>Vertisol</w:t>
      </w:r>
      <w:proofErr w:type="spellEnd"/>
      <w:r w:rsidRPr="002E2B46">
        <w:rPr>
          <w:rFonts w:ascii="Arial" w:hAnsi="Arial" w:cs="Arial"/>
          <w:color w:val="000000"/>
          <w:sz w:val="24"/>
          <w:szCs w:val="24"/>
        </w:rPr>
        <w:t xml:space="preserve"> under dryland agriculture. </w:t>
      </w:r>
      <w:r w:rsidRPr="002E2B46">
        <w:rPr>
          <w:rFonts w:ascii="Arial" w:hAnsi="Arial" w:cs="Arial"/>
          <w:i/>
          <w:iCs/>
          <w:color w:val="000000"/>
          <w:sz w:val="24"/>
          <w:szCs w:val="24"/>
          <w:shd w:val="clear" w:color="auto" w:fill="FFFFFF"/>
        </w:rPr>
        <w:t>J. Indian Soc. Soil Sci.</w:t>
      </w:r>
      <w:r w:rsidRPr="002E2B46">
        <w:rPr>
          <w:rFonts w:ascii="Arial" w:hAnsi="Arial" w:cs="Arial"/>
          <w:color w:val="000000"/>
          <w:sz w:val="24"/>
          <w:szCs w:val="24"/>
        </w:rPr>
        <w:t>45 (3): 438-442.</w:t>
      </w:r>
    </w:p>
    <w:p w14:paraId="3611675E"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0D4F13">
        <w:rPr>
          <w:rFonts w:ascii="Arial" w:hAnsi="Arial" w:cs="Arial"/>
          <w:color w:val="000000" w:themeColor="text1"/>
          <w:sz w:val="24"/>
          <w:szCs w:val="24"/>
        </w:rPr>
        <w:t xml:space="preserve">Bharadwaj, V. and P. K. </w:t>
      </w:r>
      <w:proofErr w:type="spellStart"/>
      <w:r w:rsidRPr="000D4F13">
        <w:rPr>
          <w:rFonts w:ascii="Arial" w:hAnsi="Arial" w:cs="Arial"/>
          <w:color w:val="000000" w:themeColor="text1"/>
          <w:sz w:val="24"/>
          <w:szCs w:val="24"/>
        </w:rPr>
        <w:t>Omanwar</w:t>
      </w:r>
      <w:proofErr w:type="spellEnd"/>
      <w:r w:rsidRPr="000D4F13">
        <w:rPr>
          <w:rFonts w:ascii="Arial" w:hAnsi="Arial" w:cs="Arial"/>
          <w:color w:val="000000" w:themeColor="text1"/>
          <w:sz w:val="24"/>
          <w:szCs w:val="24"/>
        </w:rPr>
        <w:t>, 1994. Long-term effect of continuous rotational cropping and fertilization on crop yields and soil properties-ll. Effect on EC, pH, organic matter and available nutrients of soil. J. Indian Soc. Soil Sci., 42:387-392.</w:t>
      </w:r>
    </w:p>
    <w:p w14:paraId="54B76314"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D30CFB">
        <w:rPr>
          <w:rFonts w:ascii="Arial" w:hAnsi="Arial" w:cs="Arial"/>
          <w:color w:val="000000" w:themeColor="text1"/>
          <w:sz w:val="24"/>
          <w:szCs w:val="24"/>
        </w:rPr>
        <w:t>Bischoff, R., 1995. International permanent organic nitrogen experiment (IOSDV) Speyer. Archives of Agronomy and Soil Science, 39: 461–471. (In German).</w:t>
      </w:r>
    </w:p>
    <w:p w14:paraId="1A60DF9E" w14:textId="53C49048"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D8775C">
        <w:rPr>
          <w:rFonts w:ascii="Arial" w:hAnsi="Arial" w:cs="Arial"/>
          <w:color w:val="000000" w:themeColor="text1"/>
          <w:sz w:val="24"/>
          <w:szCs w:val="24"/>
        </w:rPr>
        <w:t xml:space="preserve">Biswas S, Singh P, Rahaman R, Patil KV and De N (2023) Soil quality and crop productivity under 34 years old long-term rainfed </w:t>
      </w:r>
      <w:r w:rsidR="00CC170F" w:rsidRPr="00D8775C">
        <w:rPr>
          <w:rFonts w:ascii="Arial" w:hAnsi="Arial" w:cs="Arial"/>
          <w:color w:val="000000" w:themeColor="text1"/>
          <w:sz w:val="24"/>
          <w:szCs w:val="24"/>
        </w:rPr>
        <w:t>rice-based</w:t>
      </w:r>
      <w:r w:rsidRPr="00D8775C">
        <w:rPr>
          <w:rFonts w:ascii="Arial" w:hAnsi="Arial" w:cs="Arial"/>
          <w:color w:val="000000" w:themeColor="text1"/>
          <w:sz w:val="24"/>
          <w:szCs w:val="24"/>
        </w:rPr>
        <w:t xml:space="preserve"> cropping system in an </w:t>
      </w:r>
      <w:proofErr w:type="spellStart"/>
      <w:r w:rsidRPr="00D8775C">
        <w:rPr>
          <w:rFonts w:ascii="Arial" w:hAnsi="Arial" w:cs="Arial"/>
          <w:color w:val="000000" w:themeColor="text1"/>
          <w:sz w:val="24"/>
          <w:szCs w:val="24"/>
        </w:rPr>
        <w:t>Inceptisol</w:t>
      </w:r>
      <w:proofErr w:type="spellEnd"/>
      <w:r w:rsidRPr="00D8775C">
        <w:rPr>
          <w:rFonts w:ascii="Arial" w:hAnsi="Arial" w:cs="Arial"/>
          <w:color w:val="000000" w:themeColor="text1"/>
          <w:sz w:val="24"/>
          <w:szCs w:val="24"/>
        </w:rPr>
        <w:t xml:space="preserve"> of sub-tropical India. Front. Soil Sci. 3:1155712. </w:t>
      </w:r>
      <w:proofErr w:type="spellStart"/>
      <w:r w:rsidRPr="00D8775C">
        <w:rPr>
          <w:rFonts w:ascii="Arial" w:hAnsi="Arial" w:cs="Arial"/>
          <w:color w:val="000000" w:themeColor="text1"/>
          <w:sz w:val="24"/>
          <w:szCs w:val="24"/>
        </w:rPr>
        <w:t>doi</w:t>
      </w:r>
      <w:proofErr w:type="spellEnd"/>
      <w:r w:rsidRPr="00D8775C">
        <w:rPr>
          <w:rFonts w:ascii="Arial" w:hAnsi="Arial" w:cs="Arial"/>
          <w:color w:val="000000" w:themeColor="text1"/>
          <w:sz w:val="24"/>
          <w:szCs w:val="24"/>
        </w:rPr>
        <w:t>: 10.3389/fsoil.2023.1155712</w:t>
      </w:r>
    </w:p>
    <w:p w14:paraId="116F72B7"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E13C47">
        <w:rPr>
          <w:rFonts w:ascii="Arial" w:hAnsi="Arial" w:cs="Arial"/>
          <w:color w:val="000000" w:themeColor="text1"/>
          <w:sz w:val="24"/>
          <w:szCs w:val="24"/>
        </w:rPr>
        <w:t>Hemalatha, S., &amp; Chellamuthu, S. (2013). Impacts of long-term fertilization on soil nutritional quality under finger millet: maize cropping sequence. Journal of Environmental Research and Development, 7(4A), 1571-1576.</w:t>
      </w:r>
    </w:p>
    <w:p w14:paraId="7B908070"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272330">
        <w:rPr>
          <w:rFonts w:ascii="Arial" w:hAnsi="Arial" w:cs="Arial"/>
          <w:color w:val="000000" w:themeColor="text1"/>
          <w:sz w:val="24"/>
          <w:szCs w:val="24"/>
        </w:rPr>
        <w:lastRenderedPageBreak/>
        <w:t>Jagadeesh, B. R., 2000, Chemical and biochemical properties of soil subjected to permanent manurial and cropping schedule. J. Indian Soc. Soil Sci., 48 (2): 283 - 286.</w:t>
      </w:r>
    </w:p>
    <w:p w14:paraId="12073733" w14:textId="77777777" w:rsidR="00B225B4" w:rsidRPr="00CE416D" w:rsidRDefault="00B225B4" w:rsidP="00B225B4">
      <w:pPr>
        <w:tabs>
          <w:tab w:val="left" w:pos="900"/>
        </w:tabs>
        <w:spacing w:line="360" w:lineRule="auto"/>
        <w:ind w:left="900" w:hanging="900"/>
        <w:jc w:val="both"/>
        <w:rPr>
          <w:rFonts w:ascii="Arial" w:hAnsi="Arial" w:cs="Arial"/>
          <w:color w:val="000000" w:themeColor="text1"/>
          <w:sz w:val="24"/>
          <w:szCs w:val="24"/>
        </w:rPr>
      </w:pPr>
      <w:proofErr w:type="spellStart"/>
      <w:r w:rsidRPr="00542EFA">
        <w:rPr>
          <w:rFonts w:ascii="Arial" w:hAnsi="Arial" w:cs="Arial"/>
          <w:color w:val="000000" w:themeColor="text1"/>
          <w:sz w:val="24"/>
          <w:szCs w:val="24"/>
        </w:rPr>
        <w:t>Kharche</w:t>
      </w:r>
      <w:proofErr w:type="spellEnd"/>
      <w:r w:rsidRPr="00542EFA">
        <w:rPr>
          <w:rFonts w:ascii="Arial" w:hAnsi="Arial" w:cs="Arial"/>
          <w:color w:val="000000" w:themeColor="text1"/>
          <w:sz w:val="24"/>
          <w:szCs w:val="24"/>
        </w:rPr>
        <w:t xml:space="preserve">, V.K., S.R. </w:t>
      </w:r>
      <w:proofErr w:type="spellStart"/>
      <w:r w:rsidRPr="00542EFA">
        <w:rPr>
          <w:rFonts w:ascii="Arial" w:hAnsi="Arial" w:cs="Arial"/>
          <w:color w:val="000000" w:themeColor="text1"/>
          <w:sz w:val="24"/>
          <w:szCs w:val="24"/>
        </w:rPr>
        <w:t>Patil</w:t>
      </w:r>
      <w:proofErr w:type="spellEnd"/>
      <w:r w:rsidRPr="00542EFA">
        <w:rPr>
          <w:rFonts w:ascii="Arial" w:hAnsi="Arial" w:cs="Arial"/>
          <w:color w:val="000000" w:themeColor="text1"/>
          <w:sz w:val="24"/>
          <w:szCs w:val="24"/>
        </w:rPr>
        <w:t xml:space="preserve">, A.A. Kulkarni, V.S. </w:t>
      </w:r>
      <w:proofErr w:type="spellStart"/>
      <w:r w:rsidRPr="00542EFA">
        <w:rPr>
          <w:rFonts w:ascii="Arial" w:hAnsi="Arial" w:cs="Arial"/>
          <w:color w:val="000000" w:themeColor="text1"/>
          <w:sz w:val="24"/>
          <w:szCs w:val="24"/>
        </w:rPr>
        <w:t>Patil</w:t>
      </w:r>
      <w:proofErr w:type="spellEnd"/>
      <w:r w:rsidRPr="00542EFA">
        <w:rPr>
          <w:rFonts w:ascii="Arial" w:hAnsi="Arial" w:cs="Arial"/>
          <w:color w:val="000000" w:themeColor="text1"/>
          <w:sz w:val="24"/>
          <w:szCs w:val="24"/>
        </w:rPr>
        <w:t xml:space="preserve"> and R.N. </w:t>
      </w:r>
      <w:proofErr w:type="spellStart"/>
      <w:r w:rsidRPr="00542EFA">
        <w:rPr>
          <w:rFonts w:ascii="Arial" w:hAnsi="Arial" w:cs="Arial"/>
          <w:color w:val="000000" w:themeColor="text1"/>
          <w:sz w:val="24"/>
          <w:szCs w:val="24"/>
        </w:rPr>
        <w:t>Katkar</w:t>
      </w:r>
      <w:proofErr w:type="spellEnd"/>
      <w:r w:rsidRPr="00542EFA">
        <w:rPr>
          <w:rFonts w:ascii="Arial" w:hAnsi="Arial" w:cs="Arial"/>
          <w:color w:val="000000" w:themeColor="text1"/>
          <w:sz w:val="24"/>
          <w:szCs w:val="24"/>
        </w:rPr>
        <w:t xml:space="preserve">, 2013. Long-term integrated nutrient management for enhancing soil quality and crop productivity under intensive cropping system on </w:t>
      </w:r>
      <w:proofErr w:type="spellStart"/>
      <w:r w:rsidRPr="00542EFA">
        <w:rPr>
          <w:rFonts w:ascii="Arial" w:hAnsi="Arial" w:cs="Arial"/>
          <w:color w:val="000000" w:themeColor="text1"/>
          <w:sz w:val="24"/>
          <w:szCs w:val="24"/>
        </w:rPr>
        <w:t>vertisols</w:t>
      </w:r>
      <w:proofErr w:type="spellEnd"/>
      <w:r w:rsidRPr="00542EFA">
        <w:rPr>
          <w:rFonts w:ascii="Arial" w:hAnsi="Arial" w:cs="Arial"/>
          <w:color w:val="000000" w:themeColor="text1"/>
          <w:sz w:val="24"/>
          <w:szCs w:val="24"/>
        </w:rPr>
        <w:t>. J. Indian Soc. Soil Sci., 61(4): 323-332.</w:t>
      </w:r>
    </w:p>
    <w:p w14:paraId="39DD6B95" w14:textId="77777777" w:rsidR="00B225B4" w:rsidRPr="00831F66" w:rsidRDefault="00B225B4" w:rsidP="00B225B4">
      <w:pPr>
        <w:spacing w:line="240" w:lineRule="auto"/>
        <w:ind w:left="1080" w:hanging="1080"/>
        <w:jc w:val="both"/>
        <w:rPr>
          <w:rFonts w:ascii="Arial" w:hAnsi="Arial" w:cs="Arial"/>
          <w:bCs/>
          <w:color w:val="000000"/>
          <w:sz w:val="24"/>
          <w:szCs w:val="24"/>
        </w:rPr>
      </w:pPr>
      <w:r w:rsidRPr="002E2B46">
        <w:rPr>
          <w:rFonts w:ascii="Arial" w:hAnsi="Arial" w:cs="Arial"/>
          <w:bCs/>
          <w:color w:val="000000"/>
          <w:sz w:val="24"/>
          <w:szCs w:val="24"/>
        </w:rPr>
        <w:t xml:space="preserve">Lindsay, W.L. and W.A., Norvell, 1978. Development of DTPA soil test for zinc, Iron, Manganese and Copper. </w:t>
      </w:r>
      <w:r w:rsidRPr="002E2B46">
        <w:rPr>
          <w:rStyle w:val="Emphasis"/>
          <w:rFonts w:ascii="Arial" w:hAnsi="Arial" w:cs="Arial"/>
          <w:bCs/>
          <w:color w:val="000000"/>
          <w:sz w:val="24"/>
          <w:szCs w:val="24"/>
          <w:shd w:val="clear" w:color="auto" w:fill="FFFFFF"/>
        </w:rPr>
        <w:t>Soil Sci. Soc. Am. J</w:t>
      </w:r>
      <w:r w:rsidRPr="002E2B46">
        <w:rPr>
          <w:rFonts w:ascii="Arial" w:hAnsi="Arial" w:cs="Arial"/>
          <w:bCs/>
          <w:color w:val="000000"/>
          <w:sz w:val="24"/>
          <w:szCs w:val="24"/>
          <w:shd w:val="clear" w:color="auto" w:fill="FFFFFF"/>
        </w:rPr>
        <w:t>.</w:t>
      </w:r>
      <w:r w:rsidRPr="002E2B46">
        <w:rPr>
          <w:rFonts w:ascii="Arial" w:hAnsi="Arial" w:cs="Arial"/>
          <w:bCs/>
          <w:color w:val="000000"/>
          <w:sz w:val="24"/>
          <w:szCs w:val="24"/>
        </w:rPr>
        <w:t>, 42: 421-428.</w:t>
      </w:r>
    </w:p>
    <w:p w14:paraId="7E74F49D" w14:textId="77777777" w:rsidR="00B225B4" w:rsidRDefault="00B225B4" w:rsidP="00B225B4">
      <w:pPr>
        <w:tabs>
          <w:tab w:val="left" w:pos="900"/>
        </w:tabs>
        <w:spacing w:line="360" w:lineRule="auto"/>
        <w:ind w:left="900" w:hanging="900"/>
        <w:jc w:val="both"/>
        <w:rPr>
          <w:rFonts w:ascii="Arial" w:hAnsi="Arial" w:cs="Arial"/>
          <w:color w:val="000000"/>
          <w:sz w:val="24"/>
          <w:szCs w:val="24"/>
        </w:rPr>
      </w:pPr>
      <w:r w:rsidRPr="00FF42C2">
        <w:rPr>
          <w:rFonts w:ascii="Arial" w:hAnsi="Arial" w:cs="Arial"/>
          <w:color w:val="000000"/>
          <w:sz w:val="24"/>
          <w:szCs w:val="24"/>
        </w:rPr>
        <w:t>Lin Z., X.H. Chang, D.M. Wang, G.C. Zhao and B.Q. Zhao, 2015. Long-term fertilization effects on processing quality of wheat grain in the North China Plain. Field Crops Research, 174: 55–60.</w:t>
      </w:r>
    </w:p>
    <w:p w14:paraId="67D921CB" w14:textId="77777777" w:rsidR="00B225B4" w:rsidRPr="00D4715E" w:rsidRDefault="00B225B4" w:rsidP="00B225B4">
      <w:pPr>
        <w:spacing w:after="200" w:line="240" w:lineRule="auto"/>
        <w:ind w:left="1080" w:hanging="1080"/>
        <w:jc w:val="both"/>
        <w:rPr>
          <w:rFonts w:ascii="Arial" w:hAnsi="Arial" w:cs="Arial"/>
          <w:color w:val="000000"/>
          <w:sz w:val="24"/>
          <w:szCs w:val="24"/>
        </w:rPr>
      </w:pPr>
      <w:r w:rsidRPr="002E2B46">
        <w:rPr>
          <w:rFonts w:ascii="Arial" w:hAnsi="Arial" w:cs="Arial"/>
          <w:color w:val="000000"/>
          <w:sz w:val="24"/>
          <w:szCs w:val="24"/>
        </w:rPr>
        <w:t xml:space="preserve">Parashuram, C., 1998, Studies on physical, chemical and microbiological properties of </w:t>
      </w:r>
      <w:r w:rsidRPr="002E2B46">
        <w:rPr>
          <w:rFonts w:ascii="Arial" w:hAnsi="Arial" w:cs="Arial"/>
          <w:color w:val="000000"/>
          <w:sz w:val="24"/>
          <w:szCs w:val="24"/>
        </w:rPr>
        <w:tab/>
        <w:t xml:space="preserve">an </w:t>
      </w:r>
      <w:proofErr w:type="spellStart"/>
      <w:r w:rsidRPr="002E2B46">
        <w:rPr>
          <w:rFonts w:ascii="Arial" w:hAnsi="Arial" w:cs="Arial"/>
          <w:color w:val="000000"/>
          <w:sz w:val="24"/>
          <w:szCs w:val="24"/>
        </w:rPr>
        <w:t>Alfisol</w:t>
      </w:r>
      <w:proofErr w:type="spellEnd"/>
      <w:r w:rsidRPr="002E2B46">
        <w:rPr>
          <w:rFonts w:ascii="Arial" w:hAnsi="Arial" w:cs="Arial"/>
          <w:color w:val="000000"/>
          <w:sz w:val="24"/>
          <w:szCs w:val="24"/>
        </w:rPr>
        <w:t xml:space="preserve"> subjected to permanent manuring and cropping schedule. M. Sc. (Agri) </w:t>
      </w:r>
      <w:r w:rsidRPr="002E2B46">
        <w:rPr>
          <w:rFonts w:ascii="Arial" w:hAnsi="Arial" w:cs="Arial"/>
          <w:color w:val="000000"/>
          <w:sz w:val="24"/>
          <w:szCs w:val="24"/>
        </w:rPr>
        <w:tab/>
        <w:t xml:space="preserve">Thesis, UAS, </w:t>
      </w:r>
      <w:proofErr w:type="spellStart"/>
      <w:r w:rsidRPr="002E2B46">
        <w:rPr>
          <w:rFonts w:ascii="Arial" w:hAnsi="Arial" w:cs="Arial"/>
          <w:color w:val="000000"/>
          <w:sz w:val="24"/>
          <w:szCs w:val="24"/>
        </w:rPr>
        <w:t>Banglore</w:t>
      </w:r>
      <w:proofErr w:type="spellEnd"/>
    </w:p>
    <w:p w14:paraId="1E3418CA" w14:textId="4B116CD3" w:rsidR="00F00A97" w:rsidRDefault="00F00A97" w:rsidP="00B225B4">
      <w:pPr>
        <w:tabs>
          <w:tab w:val="left" w:pos="900"/>
        </w:tabs>
        <w:spacing w:line="360" w:lineRule="auto"/>
        <w:ind w:left="900" w:hanging="900"/>
        <w:jc w:val="both"/>
        <w:rPr>
          <w:rFonts w:ascii="Arial" w:hAnsi="Arial" w:cs="Arial"/>
          <w:color w:val="000000"/>
          <w:sz w:val="24"/>
          <w:szCs w:val="24"/>
        </w:rPr>
      </w:pPr>
      <w:r w:rsidRPr="00F00A97">
        <w:rPr>
          <w:rFonts w:ascii="Arial" w:hAnsi="Arial" w:cs="Arial"/>
          <w:color w:val="000000"/>
          <w:sz w:val="24"/>
          <w:szCs w:val="24"/>
          <w:highlight w:val="green"/>
        </w:rPr>
        <w:t xml:space="preserve">Randhawa, M.K., S.S. </w:t>
      </w:r>
      <w:proofErr w:type="spellStart"/>
      <w:r w:rsidRPr="00F00A97">
        <w:rPr>
          <w:rFonts w:ascii="Arial" w:hAnsi="Arial" w:cs="Arial"/>
          <w:color w:val="000000"/>
          <w:sz w:val="24"/>
          <w:szCs w:val="24"/>
          <w:highlight w:val="green"/>
        </w:rPr>
        <w:t>Dhaliwal</w:t>
      </w:r>
      <w:proofErr w:type="gramStart"/>
      <w:r w:rsidRPr="00F00A97">
        <w:rPr>
          <w:rFonts w:ascii="Arial" w:hAnsi="Arial" w:cs="Arial"/>
          <w:color w:val="000000"/>
          <w:sz w:val="24"/>
          <w:szCs w:val="24"/>
          <w:highlight w:val="green"/>
        </w:rPr>
        <w:t>,V</w:t>
      </w:r>
      <w:proofErr w:type="spellEnd"/>
      <w:proofErr w:type="gramEnd"/>
      <w:r w:rsidRPr="00F00A97">
        <w:rPr>
          <w:rFonts w:ascii="Arial" w:hAnsi="Arial" w:cs="Arial"/>
          <w:color w:val="000000"/>
          <w:sz w:val="24"/>
          <w:szCs w:val="24"/>
          <w:highlight w:val="green"/>
        </w:rPr>
        <w:t>. Sharma, A.S Toor, S. Sharama and M. Kaur, 2021. Impact on integrated nutrient management on transformations of micronutrients and uptake by wheat crop in North-Western India. Journal of soil science and plant nutrition, 21(4):2932-2945</w:t>
      </w:r>
    </w:p>
    <w:p w14:paraId="0FF26535" w14:textId="51AABD7C" w:rsidR="00B225B4" w:rsidRDefault="00B225B4" w:rsidP="00B225B4">
      <w:pPr>
        <w:tabs>
          <w:tab w:val="left" w:pos="900"/>
        </w:tabs>
        <w:spacing w:line="360" w:lineRule="auto"/>
        <w:ind w:left="900" w:hanging="900"/>
        <w:jc w:val="both"/>
        <w:rPr>
          <w:rFonts w:ascii="Arial" w:hAnsi="Arial" w:cs="Arial"/>
          <w:color w:val="000000"/>
          <w:sz w:val="24"/>
          <w:szCs w:val="24"/>
        </w:rPr>
      </w:pPr>
      <w:r w:rsidRPr="00FF42C2">
        <w:rPr>
          <w:rFonts w:ascii="Arial" w:hAnsi="Arial" w:cs="Arial"/>
          <w:color w:val="000000"/>
          <w:sz w:val="24"/>
          <w:szCs w:val="24"/>
        </w:rPr>
        <w:t>Rasmussen, P.E., C.L. Douglas, H.P. Collins and S.L. Albrecht, 1998. Long-term cropping system effects on mineralizable nitrogen in soil. Soil Biology and Biochemistry, 30: 1829–1837.</w:t>
      </w:r>
    </w:p>
    <w:p w14:paraId="61214A6A" w14:textId="77777777" w:rsidR="00B225B4" w:rsidRPr="00E544E0" w:rsidRDefault="00B225B4" w:rsidP="00B225B4">
      <w:pPr>
        <w:spacing w:after="200" w:line="240" w:lineRule="auto"/>
        <w:ind w:left="1080" w:hanging="1080"/>
        <w:jc w:val="both"/>
        <w:rPr>
          <w:rFonts w:ascii="Arial" w:hAnsi="Arial" w:cs="Arial"/>
          <w:color w:val="000000"/>
          <w:sz w:val="24"/>
          <w:szCs w:val="24"/>
        </w:rPr>
      </w:pPr>
      <w:r>
        <w:rPr>
          <w:rFonts w:ascii="Arial" w:hAnsi="Arial" w:cs="Arial"/>
          <w:color w:val="000000"/>
          <w:sz w:val="24"/>
          <w:szCs w:val="24"/>
        </w:rPr>
        <w:t>Reshmi</w:t>
      </w:r>
      <w:r w:rsidRPr="002E2B46">
        <w:rPr>
          <w:rFonts w:ascii="Arial" w:hAnsi="Arial" w:cs="Arial"/>
          <w:color w:val="000000"/>
          <w:sz w:val="24"/>
          <w:szCs w:val="24"/>
        </w:rPr>
        <w:t xml:space="preserve">, </w:t>
      </w:r>
      <w:r>
        <w:rPr>
          <w:rFonts w:ascii="Arial" w:hAnsi="Arial" w:cs="Arial"/>
          <w:color w:val="000000"/>
          <w:sz w:val="24"/>
          <w:szCs w:val="24"/>
        </w:rPr>
        <w:t xml:space="preserve">S., </w:t>
      </w:r>
      <w:r w:rsidRPr="002E2B46">
        <w:rPr>
          <w:rFonts w:ascii="Arial" w:hAnsi="Arial" w:cs="Arial"/>
          <w:color w:val="000000"/>
          <w:sz w:val="24"/>
          <w:szCs w:val="24"/>
        </w:rPr>
        <w:t xml:space="preserve">B. Basavaraj, and S. Kar, 2014. Influence of calcium on distribution of different forms of iron in </w:t>
      </w:r>
      <w:proofErr w:type="spellStart"/>
      <w:r w:rsidRPr="002E2B46">
        <w:rPr>
          <w:rFonts w:ascii="Arial" w:hAnsi="Arial" w:cs="Arial"/>
          <w:color w:val="000000"/>
          <w:sz w:val="24"/>
          <w:szCs w:val="24"/>
        </w:rPr>
        <w:t>Vertisols</w:t>
      </w:r>
      <w:proofErr w:type="spellEnd"/>
      <w:r w:rsidRPr="002E2B46">
        <w:rPr>
          <w:rFonts w:ascii="Arial" w:hAnsi="Arial" w:cs="Arial"/>
          <w:color w:val="000000"/>
          <w:sz w:val="24"/>
          <w:szCs w:val="24"/>
        </w:rPr>
        <w:t xml:space="preserve">. </w:t>
      </w:r>
      <w:proofErr w:type="spellStart"/>
      <w:r w:rsidRPr="002E2B46">
        <w:rPr>
          <w:rFonts w:ascii="Arial" w:hAnsi="Arial" w:cs="Arial"/>
          <w:color w:val="000000"/>
          <w:sz w:val="24"/>
          <w:szCs w:val="24"/>
        </w:rPr>
        <w:t>Agropedology</w:t>
      </w:r>
      <w:proofErr w:type="spellEnd"/>
      <w:r w:rsidRPr="002E2B46">
        <w:rPr>
          <w:rFonts w:ascii="Arial" w:hAnsi="Arial" w:cs="Arial"/>
          <w:color w:val="000000"/>
          <w:sz w:val="24"/>
          <w:szCs w:val="24"/>
        </w:rPr>
        <w:t xml:space="preserve"> 16(1): 32-36. </w:t>
      </w:r>
    </w:p>
    <w:p w14:paraId="2776DFF6" w14:textId="7CDA8E07" w:rsidR="00B225B4" w:rsidRPr="002F3A15" w:rsidRDefault="00F00A97" w:rsidP="002F3A15">
      <w:pPr>
        <w:spacing w:after="200" w:line="240" w:lineRule="auto"/>
        <w:ind w:left="1080" w:hanging="1080"/>
        <w:jc w:val="both"/>
        <w:rPr>
          <w:rFonts w:ascii="Arial" w:hAnsi="Arial" w:cs="Arial"/>
          <w:color w:val="000000"/>
          <w:sz w:val="24"/>
          <w:szCs w:val="24"/>
        </w:rPr>
      </w:pPr>
      <w:proofErr w:type="spellStart"/>
      <w:r w:rsidRPr="002F3A15">
        <w:rPr>
          <w:rFonts w:ascii="Arial" w:hAnsi="Arial" w:cs="Arial"/>
          <w:color w:val="000000"/>
          <w:sz w:val="24"/>
          <w:szCs w:val="24"/>
          <w:highlight w:val="green"/>
        </w:rPr>
        <w:t>Sekon</w:t>
      </w:r>
      <w:proofErr w:type="spellEnd"/>
      <w:r w:rsidRPr="002F3A15">
        <w:rPr>
          <w:rFonts w:ascii="Arial" w:hAnsi="Arial" w:cs="Arial"/>
          <w:color w:val="000000"/>
          <w:sz w:val="24"/>
          <w:szCs w:val="24"/>
          <w:highlight w:val="green"/>
        </w:rPr>
        <w:t xml:space="preserve">, K.S., </w:t>
      </w:r>
      <w:proofErr w:type="spellStart"/>
      <w:r w:rsidRPr="002F3A15">
        <w:rPr>
          <w:rFonts w:ascii="Arial" w:hAnsi="Arial" w:cs="Arial"/>
          <w:color w:val="000000"/>
          <w:sz w:val="24"/>
          <w:szCs w:val="24"/>
          <w:highlight w:val="green"/>
        </w:rPr>
        <w:t>J.P.Singh</w:t>
      </w:r>
      <w:proofErr w:type="spellEnd"/>
      <w:r w:rsidRPr="002F3A15">
        <w:rPr>
          <w:rFonts w:ascii="Arial" w:hAnsi="Arial" w:cs="Arial"/>
          <w:color w:val="000000"/>
          <w:sz w:val="24"/>
          <w:szCs w:val="24"/>
          <w:highlight w:val="green"/>
        </w:rPr>
        <w:t xml:space="preserve"> and D.S.</w:t>
      </w:r>
      <w:r w:rsidR="002F3A15" w:rsidRPr="002F3A15">
        <w:rPr>
          <w:rFonts w:ascii="Arial" w:hAnsi="Arial" w:cs="Arial"/>
          <w:color w:val="000000"/>
          <w:sz w:val="24"/>
          <w:szCs w:val="24"/>
          <w:highlight w:val="green"/>
        </w:rPr>
        <w:t xml:space="preserve"> </w:t>
      </w:r>
      <w:r w:rsidRPr="002F3A15">
        <w:rPr>
          <w:rFonts w:ascii="Arial" w:hAnsi="Arial" w:cs="Arial"/>
          <w:color w:val="000000"/>
          <w:sz w:val="24"/>
          <w:szCs w:val="24"/>
          <w:highlight w:val="green"/>
        </w:rPr>
        <w:t xml:space="preserve">Mehala, 2007. Long term effect of </w:t>
      </w:r>
      <w:r w:rsidR="002F3A15" w:rsidRPr="002F3A15">
        <w:rPr>
          <w:rFonts w:ascii="Arial" w:hAnsi="Arial" w:cs="Arial"/>
          <w:color w:val="000000"/>
          <w:sz w:val="24"/>
          <w:szCs w:val="24"/>
          <w:highlight w:val="green"/>
        </w:rPr>
        <w:t>varying</w:t>
      </w:r>
      <w:r w:rsidRPr="002F3A15">
        <w:rPr>
          <w:rFonts w:ascii="Arial" w:hAnsi="Arial" w:cs="Arial"/>
          <w:color w:val="000000"/>
          <w:sz w:val="24"/>
          <w:szCs w:val="24"/>
          <w:highlight w:val="green"/>
        </w:rPr>
        <w:t xml:space="preserve"> nutrient management practices on the distribution of native iron and</w:t>
      </w:r>
      <w:r w:rsidR="002F3A15" w:rsidRPr="002F3A15">
        <w:rPr>
          <w:rFonts w:ascii="Arial" w:hAnsi="Arial" w:cs="Arial"/>
          <w:color w:val="000000"/>
          <w:sz w:val="24"/>
          <w:szCs w:val="24"/>
          <w:highlight w:val="green"/>
        </w:rPr>
        <w:t xml:space="preserve"> manganese in various chemical pools under rice-wheat cropping. Archives of Agronomy and soil science, 53(3): 253-261</w:t>
      </w:r>
    </w:p>
    <w:p w14:paraId="1FBE142F" w14:textId="3CF469AB" w:rsidR="008E28F5" w:rsidRPr="005431B9" w:rsidRDefault="002F3A15" w:rsidP="005431B9">
      <w:pPr>
        <w:spacing w:after="200" w:line="240" w:lineRule="auto"/>
        <w:ind w:left="1080" w:hanging="1080"/>
        <w:jc w:val="both"/>
        <w:rPr>
          <w:rFonts w:ascii="Arial" w:hAnsi="Arial" w:cs="Arial"/>
          <w:color w:val="000000"/>
          <w:sz w:val="24"/>
          <w:szCs w:val="24"/>
          <w:highlight w:val="green"/>
        </w:rPr>
      </w:pPr>
      <w:r w:rsidRPr="002F3A15">
        <w:rPr>
          <w:rFonts w:ascii="Arial" w:hAnsi="Arial" w:cs="Arial"/>
          <w:color w:val="000000"/>
          <w:sz w:val="24"/>
          <w:szCs w:val="24"/>
          <w:highlight w:val="green"/>
        </w:rPr>
        <w:t xml:space="preserve">Shahid M., A.K. </w:t>
      </w:r>
      <w:proofErr w:type="spellStart"/>
      <w:r w:rsidRPr="002F3A15">
        <w:rPr>
          <w:rFonts w:ascii="Arial" w:hAnsi="Arial" w:cs="Arial"/>
          <w:color w:val="000000"/>
          <w:sz w:val="24"/>
          <w:szCs w:val="24"/>
          <w:highlight w:val="green"/>
        </w:rPr>
        <w:t>Shukala</w:t>
      </w:r>
      <w:proofErr w:type="spellEnd"/>
      <w:r w:rsidRPr="002F3A15">
        <w:rPr>
          <w:rFonts w:ascii="Arial" w:hAnsi="Arial" w:cs="Arial"/>
          <w:color w:val="000000"/>
          <w:sz w:val="24"/>
          <w:szCs w:val="24"/>
          <w:highlight w:val="green"/>
        </w:rPr>
        <w:t xml:space="preserve">, P. Bhattacharya, R. Tripathi., S. </w:t>
      </w:r>
      <w:proofErr w:type="spellStart"/>
      <w:r w:rsidRPr="002F3A15">
        <w:rPr>
          <w:rFonts w:ascii="Arial" w:hAnsi="Arial" w:cs="Arial"/>
          <w:color w:val="000000"/>
          <w:sz w:val="24"/>
          <w:szCs w:val="24"/>
          <w:highlight w:val="green"/>
        </w:rPr>
        <w:t>Mohanty</w:t>
      </w:r>
      <w:proofErr w:type="spellEnd"/>
      <w:r w:rsidRPr="002F3A15">
        <w:rPr>
          <w:rFonts w:ascii="Arial" w:hAnsi="Arial" w:cs="Arial"/>
          <w:color w:val="000000"/>
          <w:sz w:val="24"/>
          <w:szCs w:val="24"/>
          <w:highlight w:val="green"/>
        </w:rPr>
        <w:t xml:space="preserve">, </w:t>
      </w:r>
      <w:proofErr w:type="spellStart"/>
      <w:r w:rsidRPr="002F3A15">
        <w:rPr>
          <w:rFonts w:ascii="Arial" w:hAnsi="Arial" w:cs="Arial"/>
          <w:color w:val="000000"/>
          <w:sz w:val="24"/>
          <w:szCs w:val="24"/>
          <w:highlight w:val="green"/>
        </w:rPr>
        <w:t>A.Kumar</w:t>
      </w:r>
      <w:proofErr w:type="spellEnd"/>
      <w:r w:rsidRPr="002F3A15">
        <w:rPr>
          <w:rFonts w:ascii="Arial" w:hAnsi="Arial" w:cs="Arial"/>
          <w:color w:val="000000"/>
          <w:sz w:val="24"/>
          <w:szCs w:val="24"/>
          <w:highlight w:val="green"/>
        </w:rPr>
        <w:t>, B. Lal, P. Gautam, R. Raja, B.B. Panda</w:t>
      </w:r>
      <w:r>
        <w:rPr>
          <w:rFonts w:ascii="Arial" w:hAnsi="Arial" w:cs="Arial"/>
          <w:color w:val="000000"/>
          <w:sz w:val="24"/>
          <w:szCs w:val="24"/>
          <w:highlight w:val="green"/>
        </w:rPr>
        <w:t>, B. Das and A. K Nayak, 2016. Micronutrients balance under long term application of fertilizer and manure in a tropical rice-rice system. Journal of soil and sediments, 16:737-747</w:t>
      </w:r>
    </w:p>
    <w:p w14:paraId="14C27FD9" w14:textId="77777777" w:rsidR="008E28F5" w:rsidRPr="00344929" w:rsidRDefault="008E28F5" w:rsidP="00920D9D">
      <w:pPr>
        <w:tabs>
          <w:tab w:val="left" w:pos="270"/>
          <w:tab w:val="left" w:pos="1440"/>
        </w:tabs>
        <w:spacing w:after="100" w:line="360" w:lineRule="auto"/>
        <w:jc w:val="both"/>
        <w:rPr>
          <w:rFonts w:ascii="Arial" w:eastAsia="Times New Roman" w:hAnsi="Arial" w:cs="Arial"/>
          <w:b/>
          <w:bCs/>
          <w:color w:val="000000" w:themeColor="text1"/>
        </w:rPr>
      </w:pPr>
    </w:p>
    <w:p w14:paraId="134D7F9C" w14:textId="77777777" w:rsidR="005843BA" w:rsidRPr="00344929" w:rsidRDefault="005843BA" w:rsidP="00920D9D">
      <w:pPr>
        <w:tabs>
          <w:tab w:val="left" w:pos="270"/>
          <w:tab w:val="left" w:pos="1440"/>
        </w:tabs>
        <w:spacing w:after="100" w:line="360" w:lineRule="auto"/>
        <w:jc w:val="both"/>
        <w:rPr>
          <w:rFonts w:ascii="Arial" w:hAnsi="Arial" w:cs="Arial"/>
          <w:b/>
          <w:bCs/>
        </w:rPr>
      </w:pPr>
    </w:p>
    <w:p w14:paraId="071731AB" w14:textId="38F51B7B" w:rsidR="00920D9D" w:rsidRPr="00344929" w:rsidRDefault="00920D9D" w:rsidP="00920D9D">
      <w:pPr>
        <w:tabs>
          <w:tab w:val="left" w:pos="270"/>
          <w:tab w:val="left" w:pos="1440"/>
        </w:tabs>
        <w:spacing w:after="100" w:line="360" w:lineRule="auto"/>
        <w:jc w:val="both"/>
        <w:rPr>
          <w:rFonts w:ascii="Arial" w:hAnsi="Arial" w:cs="Arial"/>
        </w:rPr>
      </w:pPr>
    </w:p>
    <w:p w14:paraId="64F28A3E" w14:textId="1FD93248" w:rsidR="00394AE4" w:rsidRPr="00344929" w:rsidRDefault="00394AE4" w:rsidP="00394AE4">
      <w:pPr>
        <w:tabs>
          <w:tab w:val="left" w:pos="270"/>
          <w:tab w:val="left" w:pos="1440"/>
        </w:tabs>
        <w:spacing w:after="100" w:line="360" w:lineRule="auto"/>
        <w:jc w:val="both"/>
        <w:rPr>
          <w:rFonts w:ascii="Arial" w:hAnsi="Arial" w:cs="Arial"/>
        </w:rPr>
      </w:pPr>
    </w:p>
    <w:p w14:paraId="786CE488" w14:textId="6E66D04F" w:rsidR="00394AE4" w:rsidRPr="00344929" w:rsidRDefault="00394AE4" w:rsidP="00394AE4">
      <w:pPr>
        <w:rPr>
          <w:rFonts w:ascii="Arial" w:hAnsi="Arial" w:cs="Arial"/>
        </w:rPr>
      </w:pPr>
    </w:p>
    <w:p w14:paraId="7F4D343C" w14:textId="4DD5C6E6" w:rsidR="0026378A" w:rsidRPr="00344929" w:rsidRDefault="003E1964" w:rsidP="0026378A">
      <w:pPr>
        <w:jc w:val="center"/>
        <w:rPr>
          <w:rFonts w:ascii="Arial" w:hAnsi="Arial" w:cs="Arial"/>
        </w:rPr>
      </w:pPr>
      <w:r w:rsidRPr="00344929">
        <w:rPr>
          <w:rFonts w:ascii="Arial" w:hAnsi="Arial" w:cs="Arial"/>
        </w:rPr>
        <w:t xml:space="preserve">                                                                                                                                                                 </w:t>
      </w:r>
    </w:p>
    <w:sectPr w:rsidR="0026378A" w:rsidRPr="0034492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5134" w14:textId="77777777" w:rsidR="00DF4FCF" w:rsidRDefault="00DF4FCF" w:rsidP="00443BFB">
      <w:pPr>
        <w:spacing w:after="0" w:line="240" w:lineRule="auto"/>
      </w:pPr>
      <w:r>
        <w:separator/>
      </w:r>
    </w:p>
  </w:endnote>
  <w:endnote w:type="continuationSeparator" w:id="0">
    <w:p w14:paraId="72566B24" w14:textId="77777777" w:rsidR="00DF4FCF" w:rsidRDefault="00DF4FCF" w:rsidP="0044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33E5" w14:textId="77777777" w:rsidR="00443BFB" w:rsidRDefault="00443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8C53" w14:textId="77777777" w:rsidR="00443BFB" w:rsidRDefault="00443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9ED" w14:textId="77777777" w:rsidR="00443BFB" w:rsidRDefault="0044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86F5" w14:textId="77777777" w:rsidR="00DF4FCF" w:rsidRDefault="00DF4FCF" w:rsidP="00443BFB">
      <w:pPr>
        <w:spacing w:after="0" w:line="240" w:lineRule="auto"/>
      </w:pPr>
      <w:r>
        <w:separator/>
      </w:r>
    </w:p>
  </w:footnote>
  <w:footnote w:type="continuationSeparator" w:id="0">
    <w:p w14:paraId="7F3D729B" w14:textId="77777777" w:rsidR="00DF4FCF" w:rsidRDefault="00DF4FCF" w:rsidP="0044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E5EF" w14:textId="1EBB8FBA" w:rsidR="00443BFB" w:rsidRDefault="00DF4FCF">
    <w:pPr>
      <w:pStyle w:val="Header"/>
    </w:pPr>
    <w:r>
      <w:rPr>
        <w:noProof/>
      </w:rPr>
      <w:pict w14:anchorId="27526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1BBA" w14:textId="36A60240" w:rsidR="00443BFB" w:rsidRDefault="00DF4FCF">
    <w:pPr>
      <w:pStyle w:val="Header"/>
    </w:pPr>
    <w:r>
      <w:rPr>
        <w:noProof/>
      </w:rPr>
      <w:pict w14:anchorId="5DF26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1F" w14:textId="050C610A" w:rsidR="00443BFB" w:rsidRDefault="00DF4FCF">
    <w:pPr>
      <w:pStyle w:val="Header"/>
    </w:pPr>
    <w:r>
      <w:rPr>
        <w:noProof/>
      </w:rPr>
      <w:pict w14:anchorId="7617A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77C"/>
    <w:multiLevelType w:val="hybridMultilevel"/>
    <w:tmpl w:val="24064E34"/>
    <w:lvl w:ilvl="0" w:tplc="C5F00E2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DA5669"/>
    <w:multiLevelType w:val="multilevel"/>
    <w:tmpl w:val="0012192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1C"/>
    <w:rsid w:val="000063B8"/>
    <w:rsid w:val="000101B7"/>
    <w:rsid w:val="0002391A"/>
    <w:rsid w:val="000462A5"/>
    <w:rsid w:val="000612E2"/>
    <w:rsid w:val="000C311F"/>
    <w:rsid w:val="000E0BBB"/>
    <w:rsid w:val="000F415B"/>
    <w:rsid w:val="000F588C"/>
    <w:rsid w:val="000F7FF5"/>
    <w:rsid w:val="001476E9"/>
    <w:rsid w:val="00150515"/>
    <w:rsid w:val="001642F4"/>
    <w:rsid w:val="00197D31"/>
    <w:rsid w:val="001B2C11"/>
    <w:rsid w:val="00240BD4"/>
    <w:rsid w:val="0026378A"/>
    <w:rsid w:val="002C0714"/>
    <w:rsid w:val="002F3A15"/>
    <w:rsid w:val="00344929"/>
    <w:rsid w:val="00392406"/>
    <w:rsid w:val="00394AE4"/>
    <w:rsid w:val="003E1964"/>
    <w:rsid w:val="003E19B9"/>
    <w:rsid w:val="003F442F"/>
    <w:rsid w:val="0044204B"/>
    <w:rsid w:val="00443BFB"/>
    <w:rsid w:val="00445AED"/>
    <w:rsid w:val="0044704A"/>
    <w:rsid w:val="004654FA"/>
    <w:rsid w:val="00487285"/>
    <w:rsid w:val="004D1247"/>
    <w:rsid w:val="004E14CA"/>
    <w:rsid w:val="004F471A"/>
    <w:rsid w:val="00524017"/>
    <w:rsid w:val="005431B9"/>
    <w:rsid w:val="005576C4"/>
    <w:rsid w:val="005843BA"/>
    <w:rsid w:val="005D40D6"/>
    <w:rsid w:val="005E0DEB"/>
    <w:rsid w:val="005F7173"/>
    <w:rsid w:val="00616D92"/>
    <w:rsid w:val="00670310"/>
    <w:rsid w:val="00674C27"/>
    <w:rsid w:val="00681366"/>
    <w:rsid w:val="00684CD2"/>
    <w:rsid w:val="006868FC"/>
    <w:rsid w:val="006C624D"/>
    <w:rsid w:val="007858C6"/>
    <w:rsid w:val="007B2745"/>
    <w:rsid w:val="007B2FBD"/>
    <w:rsid w:val="007E5190"/>
    <w:rsid w:val="007E64C0"/>
    <w:rsid w:val="007F0BA6"/>
    <w:rsid w:val="00830D84"/>
    <w:rsid w:val="008621D2"/>
    <w:rsid w:val="008C7DD2"/>
    <w:rsid w:val="008E28F5"/>
    <w:rsid w:val="00920D9D"/>
    <w:rsid w:val="00953429"/>
    <w:rsid w:val="00956FFA"/>
    <w:rsid w:val="009E7083"/>
    <w:rsid w:val="00A20946"/>
    <w:rsid w:val="00A655CC"/>
    <w:rsid w:val="00A70587"/>
    <w:rsid w:val="00AB63D8"/>
    <w:rsid w:val="00AD5EB1"/>
    <w:rsid w:val="00AD72B8"/>
    <w:rsid w:val="00AD741C"/>
    <w:rsid w:val="00B225B4"/>
    <w:rsid w:val="00B3517C"/>
    <w:rsid w:val="00B4686A"/>
    <w:rsid w:val="00BB1992"/>
    <w:rsid w:val="00BC6582"/>
    <w:rsid w:val="00BD50BA"/>
    <w:rsid w:val="00C1378E"/>
    <w:rsid w:val="00C318A0"/>
    <w:rsid w:val="00C32F12"/>
    <w:rsid w:val="00C37A6A"/>
    <w:rsid w:val="00C80CC8"/>
    <w:rsid w:val="00CC170F"/>
    <w:rsid w:val="00CE7FE3"/>
    <w:rsid w:val="00CF1ABB"/>
    <w:rsid w:val="00CF2F2E"/>
    <w:rsid w:val="00CF5F8C"/>
    <w:rsid w:val="00CF672F"/>
    <w:rsid w:val="00D0790A"/>
    <w:rsid w:val="00D31A1A"/>
    <w:rsid w:val="00D82932"/>
    <w:rsid w:val="00D940F7"/>
    <w:rsid w:val="00DE4794"/>
    <w:rsid w:val="00DF4FCF"/>
    <w:rsid w:val="00E15E6D"/>
    <w:rsid w:val="00E62D31"/>
    <w:rsid w:val="00E9688C"/>
    <w:rsid w:val="00EB2388"/>
    <w:rsid w:val="00EC79C8"/>
    <w:rsid w:val="00F00A97"/>
    <w:rsid w:val="00F07A49"/>
    <w:rsid w:val="00F255AA"/>
    <w:rsid w:val="00F4121C"/>
    <w:rsid w:val="00F51372"/>
    <w:rsid w:val="00F64CFC"/>
    <w:rsid w:val="00F81B2F"/>
    <w:rsid w:val="00F82CE2"/>
    <w:rsid w:val="00F85710"/>
    <w:rsid w:val="00FA553B"/>
    <w:rsid w:val="00FB138C"/>
    <w:rsid w:val="00FF239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97EAB"/>
  <w15:chartTrackingRefBased/>
  <w15:docId w15:val="{A8517DA6-7163-4F46-8E95-F7FA8830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1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1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12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12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12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1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2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2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2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2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2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21C"/>
    <w:rPr>
      <w:rFonts w:eastAsiaTheme="majorEastAsia" w:cstheme="majorBidi"/>
      <w:color w:val="272727" w:themeColor="text1" w:themeTint="D8"/>
    </w:rPr>
  </w:style>
  <w:style w:type="paragraph" w:styleId="Title">
    <w:name w:val="Title"/>
    <w:basedOn w:val="Normal"/>
    <w:next w:val="Normal"/>
    <w:link w:val="TitleChar"/>
    <w:uiPriority w:val="10"/>
    <w:qFormat/>
    <w:rsid w:val="00F41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21C"/>
    <w:pPr>
      <w:spacing w:before="160"/>
      <w:jc w:val="center"/>
    </w:pPr>
    <w:rPr>
      <w:i/>
      <w:iCs/>
      <w:color w:val="404040" w:themeColor="text1" w:themeTint="BF"/>
    </w:rPr>
  </w:style>
  <w:style w:type="character" w:customStyle="1" w:styleId="QuoteChar">
    <w:name w:val="Quote Char"/>
    <w:basedOn w:val="DefaultParagraphFont"/>
    <w:link w:val="Quote"/>
    <w:uiPriority w:val="29"/>
    <w:rsid w:val="00F4121C"/>
    <w:rPr>
      <w:i/>
      <w:iCs/>
      <w:color w:val="404040" w:themeColor="text1" w:themeTint="BF"/>
    </w:rPr>
  </w:style>
  <w:style w:type="paragraph" w:styleId="ListParagraph">
    <w:name w:val="List Paragraph"/>
    <w:basedOn w:val="Normal"/>
    <w:uiPriority w:val="34"/>
    <w:qFormat/>
    <w:rsid w:val="00F4121C"/>
    <w:pPr>
      <w:ind w:left="720"/>
      <w:contextualSpacing/>
    </w:pPr>
  </w:style>
  <w:style w:type="character" w:styleId="IntenseEmphasis">
    <w:name w:val="Intense Emphasis"/>
    <w:basedOn w:val="DefaultParagraphFont"/>
    <w:uiPriority w:val="21"/>
    <w:qFormat/>
    <w:rsid w:val="00F4121C"/>
    <w:rPr>
      <w:i/>
      <w:iCs/>
      <w:color w:val="2F5496" w:themeColor="accent1" w:themeShade="BF"/>
    </w:rPr>
  </w:style>
  <w:style w:type="paragraph" w:styleId="IntenseQuote">
    <w:name w:val="Intense Quote"/>
    <w:basedOn w:val="Normal"/>
    <w:next w:val="Normal"/>
    <w:link w:val="IntenseQuoteChar"/>
    <w:uiPriority w:val="30"/>
    <w:qFormat/>
    <w:rsid w:val="00F41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121C"/>
    <w:rPr>
      <w:i/>
      <w:iCs/>
      <w:color w:val="2F5496" w:themeColor="accent1" w:themeShade="BF"/>
    </w:rPr>
  </w:style>
  <w:style w:type="character" w:styleId="IntenseReference">
    <w:name w:val="Intense Reference"/>
    <w:basedOn w:val="DefaultParagraphFont"/>
    <w:uiPriority w:val="32"/>
    <w:qFormat/>
    <w:rsid w:val="00F4121C"/>
    <w:rPr>
      <w:b/>
      <w:bCs/>
      <w:smallCaps/>
      <w:color w:val="2F5496" w:themeColor="accent1" w:themeShade="BF"/>
      <w:spacing w:val="5"/>
    </w:rPr>
  </w:style>
  <w:style w:type="character" w:styleId="Hyperlink">
    <w:name w:val="Hyperlink"/>
    <w:basedOn w:val="DefaultParagraphFont"/>
    <w:uiPriority w:val="99"/>
    <w:unhideWhenUsed/>
    <w:rsid w:val="0026378A"/>
    <w:rPr>
      <w:color w:val="0563C1" w:themeColor="hyperlink"/>
      <w:u w:val="single"/>
    </w:rPr>
  </w:style>
  <w:style w:type="character" w:customStyle="1" w:styleId="UnresolvedMention1">
    <w:name w:val="Unresolved Mention1"/>
    <w:basedOn w:val="DefaultParagraphFont"/>
    <w:uiPriority w:val="99"/>
    <w:semiHidden/>
    <w:unhideWhenUsed/>
    <w:rsid w:val="0026378A"/>
    <w:rPr>
      <w:color w:val="605E5C"/>
      <w:shd w:val="clear" w:color="auto" w:fill="E1DFDD"/>
    </w:rPr>
  </w:style>
  <w:style w:type="character" w:styleId="Emphasis">
    <w:name w:val="Emphasis"/>
    <w:uiPriority w:val="20"/>
    <w:qFormat/>
    <w:rsid w:val="00B225B4"/>
    <w:rPr>
      <w:i/>
      <w:iCs/>
    </w:rPr>
  </w:style>
  <w:style w:type="paragraph" w:styleId="Header">
    <w:name w:val="header"/>
    <w:basedOn w:val="Normal"/>
    <w:link w:val="HeaderChar"/>
    <w:uiPriority w:val="99"/>
    <w:unhideWhenUsed/>
    <w:rsid w:val="00443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FB"/>
  </w:style>
  <w:style w:type="paragraph" w:styleId="Footer">
    <w:name w:val="footer"/>
    <w:basedOn w:val="Normal"/>
    <w:link w:val="FooterChar"/>
    <w:uiPriority w:val="99"/>
    <w:unhideWhenUsed/>
    <w:rsid w:val="00443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815">
      <w:bodyDiv w:val="1"/>
      <w:marLeft w:val="0"/>
      <w:marRight w:val="0"/>
      <w:marTop w:val="0"/>
      <w:marBottom w:val="0"/>
      <w:divBdr>
        <w:top w:val="none" w:sz="0" w:space="0" w:color="auto"/>
        <w:left w:val="none" w:sz="0" w:space="0" w:color="auto"/>
        <w:bottom w:val="none" w:sz="0" w:space="0" w:color="auto"/>
        <w:right w:val="none" w:sz="0" w:space="0" w:color="auto"/>
      </w:divBdr>
    </w:div>
    <w:div w:id="397945648">
      <w:bodyDiv w:val="1"/>
      <w:marLeft w:val="0"/>
      <w:marRight w:val="0"/>
      <w:marTop w:val="0"/>
      <w:marBottom w:val="0"/>
      <w:divBdr>
        <w:top w:val="none" w:sz="0" w:space="0" w:color="auto"/>
        <w:left w:val="none" w:sz="0" w:space="0" w:color="auto"/>
        <w:bottom w:val="none" w:sz="0" w:space="0" w:color="auto"/>
        <w:right w:val="none" w:sz="0" w:space="0" w:color="auto"/>
      </w:divBdr>
    </w:div>
    <w:div w:id="1173031537">
      <w:bodyDiv w:val="1"/>
      <w:marLeft w:val="0"/>
      <w:marRight w:val="0"/>
      <w:marTop w:val="0"/>
      <w:marBottom w:val="0"/>
      <w:divBdr>
        <w:top w:val="none" w:sz="0" w:space="0" w:color="auto"/>
        <w:left w:val="none" w:sz="0" w:space="0" w:color="auto"/>
        <w:bottom w:val="none" w:sz="0" w:space="0" w:color="auto"/>
        <w:right w:val="none" w:sz="0" w:space="0" w:color="auto"/>
      </w:divBdr>
    </w:div>
    <w:div w:id="1963539195">
      <w:bodyDiv w:val="1"/>
      <w:marLeft w:val="0"/>
      <w:marRight w:val="0"/>
      <w:marTop w:val="0"/>
      <w:marBottom w:val="0"/>
      <w:divBdr>
        <w:top w:val="none" w:sz="0" w:space="0" w:color="auto"/>
        <w:left w:val="none" w:sz="0" w:space="0" w:color="auto"/>
        <w:bottom w:val="none" w:sz="0" w:space="0" w:color="auto"/>
        <w:right w:val="none" w:sz="0" w:space="0" w:color="auto"/>
      </w:divBdr>
    </w:div>
    <w:div w:id="1972787620">
      <w:bodyDiv w:val="1"/>
      <w:marLeft w:val="0"/>
      <w:marRight w:val="0"/>
      <w:marTop w:val="0"/>
      <w:marBottom w:val="0"/>
      <w:divBdr>
        <w:top w:val="none" w:sz="0" w:space="0" w:color="auto"/>
        <w:left w:val="none" w:sz="0" w:space="0" w:color="auto"/>
        <w:bottom w:val="none" w:sz="0" w:space="0" w:color="auto"/>
        <w:right w:val="none" w:sz="0" w:space="0" w:color="auto"/>
      </w:divBdr>
    </w:div>
    <w:div w:id="1986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Sheet1!$B$19</c:f>
              <c:strCache>
                <c:ptCount val="1"/>
                <c:pt idx="0">
                  <c:v>DTPA Zn (mg/ Kg)</c:v>
                </c:pt>
              </c:strCache>
            </c:strRef>
          </c:tx>
          <c:spPr>
            <a:solidFill>
              <a:schemeClr val="accent1"/>
            </a:solidFill>
            <a:ln>
              <a:noFill/>
            </a:ln>
            <a:effectLst/>
            <a:sp3d/>
          </c:spPr>
          <c:invertIfNegative val="0"/>
          <c:dPt>
            <c:idx val="0"/>
            <c:invertIfNegative val="0"/>
            <c:bubble3D val="0"/>
            <c:spPr>
              <a:solidFill>
                <a:srgbClr val="99FFCC"/>
              </a:solidFill>
              <a:ln>
                <a:noFill/>
              </a:ln>
              <a:effectLst/>
              <a:sp3d/>
            </c:spPr>
            <c:extLst>
              <c:ext xmlns:c16="http://schemas.microsoft.com/office/drawing/2014/chart" uri="{C3380CC4-5D6E-409C-BE32-E72D297353CC}">
                <c16:uniqueId val="{00000001-5E7A-46A4-AF40-5532A2E934D5}"/>
              </c:ext>
            </c:extLst>
          </c:dPt>
          <c:dPt>
            <c:idx val="1"/>
            <c:invertIfNegative val="0"/>
            <c:bubble3D val="0"/>
            <c:spPr>
              <a:solidFill>
                <a:schemeClr val="tx1"/>
              </a:solidFill>
              <a:ln>
                <a:noFill/>
              </a:ln>
              <a:effectLst/>
              <a:sp3d/>
            </c:spPr>
            <c:extLst>
              <c:ext xmlns:c16="http://schemas.microsoft.com/office/drawing/2014/chart" uri="{C3380CC4-5D6E-409C-BE32-E72D297353CC}">
                <c16:uniqueId val="{00000003-5E7A-46A4-AF40-5532A2E934D5}"/>
              </c:ext>
            </c:extLst>
          </c:dPt>
          <c:dPt>
            <c:idx val="2"/>
            <c:invertIfNegative val="0"/>
            <c:bubble3D val="0"/>
            <c:spPr>
              <a:solidFill>
                <a:srgbClr val="FFCC99"/>
              </a:solidFill>
              <a:ln>
                <a:noFill/>
              </a:ln>
              <a:effectLst/>
              <a:sp3d/>
            </c:spPr>
            <c:extLst>
              <c:ext xmlns:c16="http://schemas.microsoft.com/office/drawing/2014/chart" uri="{C3380CC4-5D6E-409C-BE32-E72D297353CC}">
                <c16:uniqueId val="{00000005-5E7A-46A4-AF40-5532A2E934D5}"/>
              </c:ext>
            </c:extLst>
          </c:dPt>
          <c:dPt>
            <c:idx val="3"/>
            <c:invertIfNegative val="0"/>
            <c:bubble3D val="0"/>
            <c:spPr>
              <a:solidFill>
                <a:srgbClr val="CCFF33"/>
              </a:solidFill>
              <a:ln>
                <a:noFill/>
              </a:ln>
              <a:effectLst/>
              <a:sp3d/>
            </c:spPr>
            <c:extLst>
              <c:ext xmlns:c16="http://schemas.microsoft.com/office/drawing/2014/chart" uri="{C3380CC4-5D6E-409C-BE32-E72D297353CC}">
                <c16:uniqueId val="{00000007-5E7A-46A4-AF40-5532A2E934D5}"/>
              </c:ext>
            </c:extLst>
          </c:dPt>
          <c:dPt>
            <c:idx val="4"/>
            <c:invertIfNegative val="0"/>
            <c:bubble3D val="0"/>
            <c:spPr>
              <a:solidFill>
                <a:schemeClr val="accent2"/>
              </a:solidFill>
              <a:ln>
                <a:noFill/>
              </a:ln>
              <a:effectLst/>
              <a:sp3d/>
            </c:spPr>
            <c:extLst>
              <c:ext xmlns:c16="http://schemas.microsoft.com/office/drawing/2014/chart" uri="{C3380CC4-5D6E-409C-BE32-E72D297353CC}">
                <c16:uniqueId val="{00000009-5E7A-46A4-AF40-5532A2E934D5}"/>
              </c:ext>
            </c:extLst>
          </c:dPt>
          <c:dPt>
            <c:idx val="5"/>
            <c:invertIfNegative val="0"/>
            <c:bubble3D val="0"/>
            <c:spPr>
              <a:solidFill>
                <a:srgbClr val="00B0F0"/>
              </a:solidFill>
              <a:ln>
                <a:noFill/>
              </a:ln>
              <a:effectLst/>
              <a:sp3d/>
            </c:spPr>
            <c:extLst>
              <c:ext xmlns:c16="http://schemas.microsoft.com/office/drawing/2014/chart" uri="{C3380CC4-5D6E-409C-BE32-E72D297353CC}">
                <c16:uniqueId val="{0000000B-5E7A-46A4-AF40-5532A2E934D5}"/>
              </c:ext>
            </c:extLst>
          </c:dPt>
          <c:dPt>
            <c:idx val="6"/>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D-5E7A-46A4-AF40-5532A2E934D5}"/>
              </c:ext>
            </c:extLst>
          </c:dPt>
          <c:dPt>
            <c:idx val="7"/>
            <c:invertIfNegative val="0"/>
            <c:bubble3D val="0"/>
            <c:spPr>
              <a:solidFill>
                <a:srgbClr val="002060"/>
              </a:solidFill>
              <a:ln>
                <a:noFill/>
              </a:ln>
              <a:effectLst/>
              <a:sp3d/>
            </c:spPr>
            <c:extLst>
              <c:ext xmlns:c16="http://schemas.microsoft.com/office/drawing/2014/chart" uri="{C3380CC4-5D6E-409C-BE32-E72D297353CC}">
                <c16:uniqueId val="{0000000F-5E7A-46A4-AF40-5532A2E934D5}"/>
              </c:ext>
            </c:extLst>
          </c:dPt>
          <c:dPt>
            <c:idx val="8"/>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11-5E7A-46A4-AF40-5532A2E934D5}"/>
              </c:ext>
            </c:extLst>
          </c:dPt>
          <c:dPt>
            <c:idx val="9"/>
            <c:invertIfNegative val="0"/>
            <c:bubble3D val="0"/>
            <c:spPr>
              <a:solidFill>
                <a:srgbClr val="C00000"/>
              </a:solidFill>
              <a:ln>
                <a:noFill/>
              </a:ln>
              <a:effectLst/>
              <a:sp3d/>
            </c:spPr>
            <c:extLst>
              <c:ext xmlns:c16="http://schemas.microsoft.com/office/drawing/2014/chart" uri="{C3380CC4-5D6E-409C-BE32-E72D297353CC}">
                <c16:uniqueId val="{00000013-5E7A-46A4-AF40-5532A2E934D5}"/>
              </c:ext>
            </c:extLst>
          </c:dPt>
          <c:dPt>
            <c:idx val="10"/>
            <c:invertIfNegative val="0"/>
            <c:bubble3D val="0"/>
            <c:spPr>
              <a:solidFill>
                <a:srgbClr val="FF99CC"/>
              </a:solidFill>
              <a:ln>
                <a:noFill/>
              </a:ln>
              <a:effectLst/>
              <a:sp3d/>
            </c:spPr>
            <c:extLst>
              <c:ext xmlns:c16="http://schemas.microsoft.com/office/drawing/2014/chart" uri="{C3380CC4-5D6E-409C-BE32-E72D297353CC}">
                <c16:uniqueId val="{00000015-5E7A-46A4-AF40-5532A2E934D5}"/>
              </c:ext>
            </c:extLst>
          </c:dPt>
          <c:dPt>
            <c:idx val="11"/>
            <c:invertIfNegative val="0"/>
            <c:bubble3D val="0"/>
            <c:spPr>
              <a:solidFill>
                <a:schemeClr val="bg2">
                  <a:lumMod val="75000"/>
                </a:schemeClr>
              </a:solidFill>
              <a:ln>
                <a:noFill/>
              </a:ln>
              <a:effectLst/>
              <a:sp3d/>
            </c:spPr>
            <c:extLst>
              <c:ext xmlns:c16="http://schemas.microsoft.com/office/drawing/2014/chart" uri="{C3380CC4-5D6E-409C-BE32-E72D297353CC}">
                <c16:uniqueId val="{00000017-5E7A-46A4-AF40-5532A2E934D5}"/>
              </c:ext>
            </c:extLst>
          </c:dPt>
          <c:cat>
            <c:strRef>
              <c:f>Sheet1!$A$20:$A$31</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Sheet1!$B$20:$B$31</c:f>
              <c:numCache>
                <c:formatCode>General</c:formatCode>
                <c:ptCount val="12"/>
                <c:pt idx="0">
                  <c:v>0.41</c:v>
                </c:pt>
                <c:pt idx="1">
                  <c:v>0.46</c:v>
                </c:pt>
                <c:pt idx="2">
                  <c:v>0.55000000000000004</c:v>
                </c:pt>
                <c:pt idx="3">
                  <c:v>0.44</c:v>
                </c:pt>
                <c:pt idx="4">
                  <c:v>0.83</c:v>
                </c:pt>
                <c:pt idx="5">
                  <c:v>0.38</c:v>
                </c:pt>
                <c:pt idx="6">
                  <c:v>0.31</c:v>
                </c:pt>
                <c:pt idx="7">
                  <c:v>0.78</c:v>
                </c:pt>
                <c:pt idx="8">
                  <c:v>0.47</c:v>
                </c:pt>
                <c:pt idx="9">
                  <c:v>0.76</c:v>
                </c:pt>
                <c:pt idx="10">
                  <c:v>0.75</c:v>
                </c:pt>
                <c:pt idx="11">
                  <c:v>0.26</c:v>
                </c:pt>
              </c:numCache>
            </c:numRef>
          </c:val>
          <c:shape val="pyramid"/>
          <c:extLst>
            <c:ext xmlns:c16="http://schemas.microsoft.com/office/drawing/2014/chart" uri="{C3380CC4-5D6E-409C-BE32-E72D297353CC}">
              <c16:uniqueId val="{00000018-5E7A-46A4-AF40-5532A2E934D5}"/>
            </c:ext>
          </c:extLst>
        </c:ser>
        <c:dLbls>
          <c:showLegendKey val="0"/>
          <c:showVal val="0"/>
          <c:showCatName val="0"/>
          <c:showSerName val="0"/>
          <c:showPercent val="0"/>
          <c:showBubbleSize val="0"/>
        </c:dLbls>
        <c:gapWidth val="150"/>
        <c:shape val="box"/>
        <c:axId val="1966200480"/>
        <c:axId val="1966216320"/>
        <c:axId val="1592552864"/>
      </c:bar3DChart>
      <c:catAx>
        <c:axId val="1966200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966216320"/>
        <c:crosses val="autoZero"/>
        <c:auto val="1"/>
        <c:lblAlgn val="ctr"/>
        <c:lblOffset val="100"/>
        <c:noMultiLvlLbl val="0"/>
      </c:catAx>
      <c:valAx>
        <c:axId val="196621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lumMod val="65000"/>
                        <a:lumOff val="35000"/>
                      </a:sysClr>
                    </a:solidFill>
                  </a:rPr>
                  <a:t>DTPA Zn (mg/ Kg)</a:t>
                </a:r>
              </a:p>
            </c:rich>
          </c:tx>
          <c:layout>
            <c:manualLayout>
              <c:xMode val="edge"/>
              <c:yMode val="edge"/>
              <c:x val="1.3014795637768448E-2"/>
              <c:y val="0.2757499558990971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966200480"/>
        <c:crosses val="autoZero"/>
        <c:crossBetween val="between"/>
      </c:valAx>
      <c:serAx>
        <c:axId val="1592552864"/>
        <c:scaling>
          <c:orientation val="minMax"/>
        </c:scaling>
        <c:delete val="1"/>
        <c:axPos val="b"/>
        <c:majorTickMark val="none"/>
        <c:minorTickMark val="none"/>
        <c:tickLblPos val="nextTo"/>
        <c:crossAx val="1966216320"/>
        <c:crosses val="autoZero"/>
      </c:serAx>
      <c:spPr>
        <a:solidFill>
          <a:schemeClr val="accent3">
            <a:lumMod val="20000"/>
            <a:lumOff val="80000"/>
          </a:schemeClr>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FD8A-D0E0-4DFD-84B3-56E6EA4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Chavan</dc:creator>
  <cp:keywords/>
  <dc:description/>
  <cp:lastModifiedBy>SDI CPU 1127</cp:lastModifiedBy>
  <cp:revision>17</cp:revision>
  <dcterms:created xsi:type="dcterms:W3CDTF">2025-04-12T14:55:00Z</dcterms:created>
  <dcterms:modified xsi:type="dcterms:W3CDTF">2025-04-15T06:52:00Z</dcterms:modified>
</cp:coreProperties>
</file>