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28A2A" w14:textId="06719A3E" w:rsidR="00754C9A" w:rsidRPr="0095283F" w:rsidRDefault="0095283F" w:rsidP="00441B6F">
      <w:pPr>
        <w:pStyle w:val="Title"/>
        <w:spacing w:after="0"/>
        <w:jc w:val="both"/>
        <w:rPr>
          <w:rFonts w:ascii="Arial" w:hAnsi="Arial" w:cs="Arial"/>
          <w:i/>
          <w:iCs/>
          <w:sz w:val="24"/>
          <w:szCs w:val="14"/>
          <w:u w:val="single"/>
        </w:rPr>
      </w:pPr>
      <w:r w:rsidRPr="0095283F">
        <w:rPr>
          <w:rFonts w:ascii="Arial" w:hAnsi="Arial" w:cs="Arial"/>
          <w:i/>
          <w:iCs/>
          <w:sz w:val="24"/>
          <w:szCs w:val="14"/>
          <w:u w:val="single"/>
        </w:rPr>
        <w:t>Original Research Article</w:t>
      </w:r>
    </w:p>
    <w:p w14:paraId="5A4DEF68" w14:textId="77777777" w:rsidR="001F1EE4" w:rsidRDefault="001F1EE4" w:rsidP="00441B6F">
      <w:pPr>
        <w:pStyle w:val="Author"/>
        <w:spacing w:line="240" w:lineRule="auto"/>
        <w:rPr>
          <w:rFonts w:ascii="Arial" w:hAnsi="Arial" w:cs="Arial"/>
          <w:bCs/>
          <w:iCs/>
          <w:kern w:val="28"/>
          <w:sz w:val="36"/>
        </w:rPr>
      </w:pPr>
    </w:p>
    <w:p w14:paraId="245A4EEA" w14:textId="77777777" w:rsidR="003F0612" w:rsidRDefault="003F0612" w:rsidP="00441B6F">
      <w:pPr>
        <w:pStyle w:val="Author"/>
        <w:spacing w:line="240" w:lineRule="auto"/>
        <w:rPr>
          <w:rFonts w:ascii="Arial" w:hAnsi="Arial" w:cs="Arial"/>
          <w:bCs/>
          <w:iCs/>
          <w:kern w:val="28"/>
          <w:sz w:val="36"/>
        </w:rPr>
      </w:pPr>
    </w:p>
    <w:p w14:paraId="32CBBA18" w14:textId="52044E0B" w:rsidR="001F1EE4" w:rsidRPr="00163BC4" w:rsidRDefault="001F1EE4" w:rsidP="00441B6F">
      <w:pPr>
        <w:pStyle w:val="Author"/>
        <w:spacing w:line="240" w:lineRule="auto"/>
        <w:rPr>
          <w:rFonts w:ascii="Arial" w:hAnsi="Arial" w:cs="Arial"/>
          <w:bCs/>
          <w:iCs/>
          <w:kern w:val="28"/>
          <w:sz w:val="36"/>
        </w:rPr>
      </w:pPr>
      <w:r w:rsidRPr="001F1EE4">
        <w:rPr>
          <w:rFonts w:ascii="Arial" w:hAnsi="Arial" w:cs="Arial"/>
          <w:bCs/>
          <w:iCs/>
          <w:kern w:val="28"/>
          <w:sz w:val="36"/>
          <w:highlight w:val="yellow"/>
        </w:rPr>
        <w:t>Isolation and antimicrobial profiling of Bacteria Isolated from African Salad Consumed in Port Harcourt, Nigeria</w:t>
      </w:r>
    </w:p>
    <w:p w14:paraId="636CEFA2" w14:textId="77777777" w:rsidR="004F68E7" w:rsidRDefault="004F68E7" w:rsidP="00441B6F">
      <w:pPr>
        <w:pStyle w:val="Author"/>
        <w:spacing w:line="240" w:lineRule="auto"/>
        <w:rPr>
          <w:rFonts w:ascii="Arial" w:hAnsi="Arial" w:cs="Arial"/>
        </w:rPr>
      </w:pPr>
    </w:p>
    <w:p w14:paraId="40CFA28B" w14:textId="4E83F220" w:rsidR="002C57D2" w:rsidRDefault="002C57D2" w:rsidP="00441B6F">
      <w:pPr>
        <w:pStyle w:val="Affiliation"/>
        <w:spacing w:after="0" w:line="240" w:lineRule="auto"/>
        <w:jc w:val="both"/>
        <w:rPr>
          <w:rFonts w:ascii="Arial" w:hAnsi="Arial" w:cs="Arial"/>
        </w:rPr>
      </w:pPr>
    </w:p>
    <w:p w14:paraId="36EC9E9A" w14:textId="77777777" w:rsidR="001A2219" w:rsidRPr="00FB3A86" w:rsidRDefault="001A2219" w:rsidP="00441B6F">
      <w:pPr>
        <w:pStyle w:val="Affiliation"/>
        <w:spacing w:after="0" w:line="240" w:lineRule="auto"/>
        <w:jc w:val="both"/>
        <w:rPr>
          <w:rFonts w:ascii="Arial" w:hAnsi="Arial" w:cs="Arial"/>
        </w:rPr>
      </w:pPr>
    </w:p>
    <w:p w14:paraId="66612E9A" w14:textId="63A21AF6" w:rsidR="00F771B1" w:rsidRDefault="00CE08A1" w:rsidP="00F771B1">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73D2B13" wp14:editId="22E26DFC">
                <wp:extent cx="5303520" cy="635"/>
                <wp:effectExtent l="13335" t="17780" r="17145" b="10795"/>
                <wp:docPr id="2142799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40F922C" id="_x0000_t32" coordsize="21600,21600" o:spt="32" o:oned="t" path="m,l21600,21600e" filled="f">
                <v:path arrowok="t" fillok="f" o:connecttype="none"/>
                <o:lock v:ext="edit" shapetype="t"/>
              </v:shapetype>
              <v:shape id="AutoShape 4"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274FF265" w14:textId="77777777" w:rsidR="00F771B1" w:rsidRDefault="00F771B1" w:rsidP="00F771B1">
      <w:pPr>
        <w:pStyle w:val="Copyright"/>
        <w:spacing w:after="0" w:line="240" w:lineRule="auto"/>
        <w:jc w:val="both"/>
        <w:rPr>
          <w:rFonts w:ascii="Arial" w:hAnsi="Arial" w:cs="Arial"/>
        </w:rPr>
      </w:pPr>
    </w:p>
    <w:p w14:paraId="00D0A45F" w14:textId="2430D350" w:rsidR="00790ADA" w:rsidRPr="00FB3A86" w:rsidRDefault="00B01FCD" w:rsidP="00F771B1">
      <w:pPr>
        <w:pStyle w:val="Copyright"/>
        <w:spacing w:after="0" w:line="240" w:lineRule="auto"/>
        <w:jc w:val="both"/>
        <w:rPr>
          <w:rFonts w:ascii="Arial" w:hAnsi="Arial" w:cs="Arial"/>
        </w:rPr>
      </w:pPr>
      <w:r w:rsidRPr="00F771B1">
        <w:rPr>
          <w:rFonts w:ascii="Arial" w:hAnsi="Arial" w:cs="Arial"/>
          <w:b/>
          <w:bCs/>
          <w:sz w:val="22"/>
          <w:szCs w:val="22"/>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99E66DD" w14:textId="77777777" w:rsidTr="001E44FE">
        <w:tc>
          <w:tcPr>
            <w:tcW w:w="9576" w:type="dxa"/>
            <w:shd w:val="clear" w:color="auto" w:fill="F2F2F2"/>
          </w:tcPr>
          <w:p w14:paraId="5FA3EA6F" w14:textId="4D342DD0" w:rsidR="00DC2FB3" w:rsidRPr="00DC2FB3" w:rsidRDefault="00807524" w:rsidP="00DC2FB3">
            <w:pPr>
              <w:pStyle w:val="Body"/>
              <w:spacing w:after="0"/>
              <w:rPr>
                <w:rFonts w:ascii="Arial" w:eastAsia="Calibri" w:hAnsi="Arial" w:cs="Arial"/>
                <w:szCs w:val="22"/>
              </w:rPr>
            </w:pPr>
            <w:r w:rsidRPr="006A586F">
              <w:rPr>
                <w:rFonts w:ascii="Arial" w:eastAsia="Calibri" w:hAnsi="Arial" w:cs="Arial"/>
                <w:b/>
                <w:szCs w:val="22"/>
                <w:highlight w:val="yellow"/>
              </w:rPr>
              <w:t xml:space="preserve">Aim: </w:t>
            </w:r>
            <w:r w:rsidRPr="006A586F">
              <w:rPr>
                <w:rFonts w:ascii="Arial" w:eastAsia="Calibri" w:hAnsi="Arial" w:cs="Arial"/>
                <w:bCs/>
                <w:szCs w:val="22"/>
                <w:highlight w:val="yellow"/>
              </w:rPr>
              <w:t>This study aim</w:t>
            </w:r>
            <w:r w:rsidR="00487C7E" w:rsidRPr="006A586F">
              <w:rPr>
                <w:rFonts w:ascii="Arial" w:eastAsia="Calibri" w:hAnsi="Arial" w:cs="Arial"/>
                <w:bCs/>
                <w:szCs w:val="22"/>
                <w:highlight w:val="yellow"/>
              </w:rPr>
              <w:t>s</w:t>
            </w:r>
            <w:r w:rsidRPr="006A586F">
              <w:rPr>
                <w:rFonts w:ascii="Arial" w:eastAsia="Calibri" w:hAnsi="Arial" w:cs="Arial"/>
                <w:bCs/>
                <w:szCs w:val="22"/>
                <w:highlight w:val="yellow"/>
              </w:rPr>
              <w:t xml:space="preserve"> to evaluate the prevalence of </w:t>
            </w:r>
            <w:r w:rsidR="00756B48" w:rsidRPr="006A586F">
              <w:rPr>
                <w:rFonts w:ascii="Arial" w:eastAsia="Calibri" w:hAnsi="Arial" w:cs="Arial"/>
                <w:bCs/>
                <w:szCs w:val="22"/>
                <w:highlight w:val="yellow"/>
              </w:rPr>
              <w:t>antimicrobial</w:t>
            </w:r>
            <w:r w:rsidR="00756B48">
              <w:rPr>
                <w:rFonts w:ascii="Arial" w:eastAsia="Calibri" w:hAnsi="Arial" w:cs="Arial"/>
                <w:bCs/>
                <w:szCs w:val="22"/>
                <w:highlight w:val="yellow"/>
              </w:rPr>
              <w:t>-</w:t>
            </w:r>
            <w:r w:rsidRPr="006A586F">
              <w:rPr>
                <w:rFonts w:ascii="Arial" w:eastAsia="Calibri" w:hAnsi="Arial" w:cs="Arial"/>
                <w:bCs/>
                <w:szCs w:val="22"/>
                <w:highlight w:val="yellow"/>
              </w:rPr>
              <w:t>resistant bacteria and their resistant genes in African salad commonly consumed in West Africa.</w:t>
            </w:r>
            <w:r w:rsidRPr="006A586F">
              <w:rPr>
                <w:rFonts w:ascii="Arial" w:eastAsia="Calibri" w:hAnsi="Arial" w:cs="Arial"/>
                <w:b/>
                <w:szCs w:val="22"/>
                <w:highlight w:val="yellow"/>
              </w:rPr>
              <w:t xml:space="preserve">  </w:t>
            </w:r>
            <w:r w:rsidR="00295731" w:rsidRPr="006A586F">
              <w:rPr>
                <w:rFonts w:ascii="Arial" w:eastAsia="Calibri" w:hAnsi="Arial" w:cs="Arial"/>
                <w:b/>
                <w:szCs w:val="22"/>
                <w:highlight w:val="yellow"/>
              </w:rPr>
              <w:t>Background</w:t>
            </w:r>
            <w:r w:rsidR="00295731" w:rsidRPr="006A586F">
              <w:rPr>
                <w:rFonts w:ascii="Arial" w:eastAsia="Calibri" w:hAnsi="Arial" w:cs="Arial"/>
                <w:bCs/>
                <w:szCs w:val="22"/>
                <w:highlight w:val="yellow"/>
              </w:rPr>
              <w:t xml:space="preserve">: </w:t>
            </w:r>
            <w:r w:rsidR="00DC2FB3" w:rsidRPr="006A586F">
              <w:rPr>
                <w:rFonts w:ascii="Arial" w:eastAsia="Calibri" w:hAnsi="Arial" w:cs="Arial"/>
                <w:bCs/>
                <w:szCs w:val="22"/>
                <w:highlight w:val="yellow"/>
              </w:rPr>
              <w:t>The</w:t>
            </w:r>
            <w:r w:rsidR="00DC2FB3" w:rsidRPr="00DC2FB3">
              <w:rPr>
                <w:rFonts w:ascii="Arial" w:eastAsia="Calibri" w:hAnsi="Arial" w:cs="Arial"/>
                <w:bCs/>
                <w:szCs w:val="22"/>
              </w:rPr>
              <w:t xml:space="preserve"> rising prevalence of foodborne infections poses </w:t>
            </w:r>
            <w:r w:rsidR="00756B48">
              <w:rPr>
                <w:rFonts w:ascii="Arial" w:eastAsia="Calibri" w:hAnsi="Arial" w:cs="Arial"/>
                <w:bCs/>
                <w:szCs w:val="22"/>
              </w:rPr>
              <w:t xml:space="preserve">a </w:t>
            </w:r>
            <w:r w:rsidR="00DC2FB3" w:rsidRPr="00DC2FB3">
              <w:rPr>
                <w:rFonts w:ascii="Arial" w:eastAsia="Calibri" w:hAnsi="Arial" w:cs="Arial"/>
                <w:bCs/>
                <w:szCs w:val="22"/>
              </w:rPr>
              <w:t xml:space="preserve">serious challenge due to the development of </w:t>
            </w:r>
            <w:r w:rsidR="00756B48" w:rsidRPr="00565D15">
              <w:rPr>
                <w:rFonts w:ascii="Arial" w:eastAsia="Calibri" w:hAnsi="Arial" w:cs="Arial"/>
                <w:bCs/>
                <w:szCs w:val="22"/>
                <w:highlight w:val="yellow"/>
              </w:rPr>
              <w:t>antimicrobial</w:t>
            </w:r>
            <w:r w:rsidR="00756B48" w:rsidRPr="00565D15">
              <w:rPr>
                <w:rFonts w:ascii="Arial" w:eastAsia="Calibri" w:hAnsi="Arial" w:cs="Arial"/>
                <w:bCs/>
                <w:szCs w:val="22"/>
                <w:highlight w:val="yellow"/>
              </w:rPr>
              <w:t>-</w:t>
            </w:r>
            <w:r w:rsidR="00DC2FB3" w:rsidRPr="00565D15">
              <w:rPr>
                <w:rFonts w:ascii="Arial" w:eastAsia="Calibri" w:hAnsi="Arial" w:cs="Arial"/>
                <w:bCs/>
                <w:szCs w:val="22"/>
                <w:highlight w:val="yellow"/>
              </w:rPr>
              <w:t xml:space="preserve">resistant strains. </w:t>
            </w:r>
            <w:r w:rsidR="00295731" w:rsidRPr="00565D15">
              <w:rPr>
                <w:rFonts w:ascii="Arial" w:eastAsia="Calibri" w:hAnsi="Arial" w:cs="Arial"/>
                <w:b/>
                <w:szCs w:val="22"/>
                <w:highlight w:val="yellow"/>
              </w:rPr>
              <w:t>M</w:t>
            </w:r>
            <w:r w:rsidR="00295731" w:rsidRPr="007F590C">
              <w:rPr>
                <w:rFonts w:ascii="Arial" w:eastAsia="Calibri" w:hAnsi="Arial" w:cs="Arial"/>
                <w:b/>
                <w:szCs w:val="22"/>
                <w:highlight w:val="yellow"/>
              </w:rPr>
              <w:t>ethod</w:t>
            </w:r>
            <w:r w:rsidR="00295731" w:rsidRPr="007F590C">
              <w:rPr>
                <w:rFonts w:ascii="Arial" w:eastAsia="Calibri" w:hAnsi="Arial" w:cs="Arial"/>
                <w:bCs/>
                <w:szCs w:val="22"/>
                <w:highlight w:val="yellow"/>
              </w:rPr>
              <w:t xml:space="preserve">: </w:t>
            </w:r>
            <w:r w:rsidR="00DC2FB3" w:rsidRPr="007F590C">
              <w:rPr>
                <w:rFonts w:ascii="Arial" w:eastAsia="Calibri" w:hAnsi="Arial" w:cs="Arial"/>
                <w:bCs/>
                <w:szCs w:val="22"/>
                <w:highlight w:val="yellow"/>
              </w:rPr>
              <w:t>The stud</w:t>
            </w:r>
            <w:r w:rsidR="00DC2FB3" w:rsidRPr="00DC2FB3">
              <w:rPr>
                <w:rFonts w:ascii="Arial" w:eastAsia="Calibri" w:hAnsi="Arial" w:cs="Arial"/>
                <w:bCs/>
                <w:szCs w:val="22"/>
              </w:rPr>
              <w:t xml:space="preserve">y used a cross-sectional approach to sample the food from different vendors across the two major local government areas (LGAs) in the Port Harcourt Metropolis: Obio/Akpor and Port Harcourt City. Conventional and molecular techniques were used to isolate pathogens and detect the resistance genes. </w:t>
            </w:r>
            <w:r w:rsidR="00295731" w:rsidRPr="00295731">
              <w:rPr>
                <w:rFonts w:ascii="Arial" w:eastAsia="Calibri" w:hAnsi="Arial" w:cs="Arial"/>
                <w:b/>
                <w:szCs w:val="22"/>
              </w:rPr>
              <w:t>Results</w:t>
            </w:r>
            <w:r w:rsidR="00295731">
              <w:rPr>
                <w:rFonts w:ascii="Arial" w:eastAsia="Calibri" w:hAnsi="Arial" w:cs="Arial"/>
                <w:bCs/>
                <w:szCs w:val="22"/>
              </w:rPr>
              <w:t xml:space="preserve">: </w:t>
            </w:r>
            <w:r w:rsidR="00DC2FB3" w:rsidRPr="00DC2FB3">
              <w:rPr>
                <w:rFonts w:ascii="Arial" w:eastAsia="Calibri" w:hAnsi="Arial" w:cs="Arial"/>
                <w:bCs/>
                <w:szCs w:val="22"/>
              </w:rPr>
              <w:t xml:space="preserve">The findings from this study showed the most prevalent bacteria was </w:t>
            </w:r>
            <w:r w:rsidR="00DC2FB3" w:rsidRPr="00DC2FB3">
              <w:rPr>
                <w:rFonts w:ascii="Arial" w:eastAsia="Calibri" w:hAnsi="Arial" w:cs="Arial"/>
                <w:bCs/>
                <w:i/>
                <w:iCs/>
                <w:szCs w:val="22"/>
              </w:rPr>
              <w:t xml:space="preserve">Proteus mirabilis </w:t>
            </w:r>
            <w:r w:rsidR="00DC2FB3" w:rsidRPr="00DC2FB3">
              <w:rPr>
                <w:rFonts w:ascii="Arial" w:eastAsia="Calibri" w:hAnsi="Arial" w:cs="Arial"/>
                <w:bCs/>
                <w:szCs w:val="22"/>
              </w:rPr>
              <w:t xml:space="preserve">3 (27.3%) with Peter Odili Road (98.6±62.5 </w:t>
            </w:r>
            <w:r w:rsidR="00853E6C" w:rsidRPr="00853E6C">
              <w:rPr>
                <w:rFonts w:ascii="Arial" w:eastAsia="Calibri" w:hAnsi="Arial" w:cs="Arial"/>
                <w:bCs/>
                <w:szCs w:val="22"/>
                <w:highlight w:val="yellow"/>
              </w:rPr>
              <w:t>colony forming unit (CFU)</w:t>
            </w:r>
            <w:r w:rsidR="00DC2FB3" w:rsidRPr="00853E6C">
              <w:rPr>
                <w:rFonts w:ascii="Arial" w:eastAsia="Calibri" w:hAnsi="Arial" w:cs="Arial"/>
                <w:bCs/>
                <w:szCs w:val="22"/>
                <w:highlight w:val="yellow"/>
              </w:rPr>
              <w:t>/ml)</w:t>
            </w:r>
            <w:r w:rsidR="00DC2FB3" w:rsidRPr="00DC2FB3">
              <w:rPr>
                <w:rFonts w:ascii="Arial" w:eastAsia="Calibri" w:hAnsi="Arial" w:cs="Arial"/>
                <w:bCs/>
                <w:szCs w:val="22"/>
              </w:rPr>
              <w:t xml:space="preserve"> as the location with the highest bacterial load while Borokiri (36.9±34.0 CFU/ml), had the lowest level of bacterial loads. The microbial load based on the </w:t>
            </w:r>
            <w:r w:rsidR="00D41B31" w:rsidRPr="00DC2FB3">
              <w:rPr>
                <w:rFonts w:ascii="Arial" w:eastAsia="Calibri" w:hAnsi="Arial" w:cs="Arial"/>
                <w:bCs/>
                <w:szCs w:val="22"/>
              </w:rPr>
              <w:t xml:space="preserve">local government area </w:t>
            </w:r>
            <w:r w:rsidR="00DC2FB3" w:rsidRPr="00DC2FB3">
              <w:rPr>
                <w:rFonts w:ascii="Arial" w:eastAsia="Calibri" w:hAnsi="Arial" w:cs="Arial"/>
                <w:bCs/>
                <w:szCs w:val="22"/>
              </w:rPr>
              <w:t>showed Obio/Akpor (65.6±51.7 CFU/ml</w:t>
            </w:r>
            <w:r w:rsidR="00DC2FB3" w:rsidRPr="00565D15">
              <w:rPr>
                <w:rFonts w:ascii="Arial" w:eastAsia="Calibri" w:hAnsi="Arial" w:cs="Arial"/>
                <w:bCs/>
                <w:szCs w:val="22"/>
                <w:highlight w:val="yellow"/>
              </w:rPr>
              <w:t xml:space="preserve">) has </w:t>
            </w:r>
            <w:r w:rsidR="00756B48" w:rsidRPr="00565D15">
              <w:rPr>
                <w:rFonts w:ascii="Arial" w:eastAsia="Calibri" w:hAnsi="Arial" w:cs="Arial"/>
                <w:bCs/>
                <w:szCs w:val="22"/>
                <w:highlight w:val="yellow"/>
              </w:rPr>
              <w:t>a</w:t>
            </w:r>
            <w:r w:rsidR="00756B48" w:rsidRPr="00DC2FB3">
              <w:rPr>
                <w:rFonts w:ascii="Arial" w:eastAsia="Calibri" w:hAnsi="Arial" w:cs="Arial"/>
                <w:bCs/>
                <w:szCs w:val="22"/>
              </w:rPr>
              <w:t xml:space="preserve"> </w:t>
            </w:r>
            <w:r w:rsidR="00DC2FB3" w:rsidRPr="00DC2FB3">
              <w:rPr>
                <w:rFonts w:ascii="Arial" w:eastAsia="Calibri" w:hAnsi="Arial" w:cs="Arial"/>
                <w:bCs/>
                <w:szCs w:val="22"/>
              </w:rPr>
              <w:t xml:space="preserve">higher microbial load than Port Harcourt City (63.1±47.7 CFU/ml). </w:t>
            </w:r>
            <w:r w:rsidR="00DC2FB3" w:rsidRPr="00565D15">
              <w:rPr>
                <w:rFonts w:ascii="Arial" w:eastAsia="Calibri" w:hAnsi="Arial" w:cs="Arial"/>
                <w:bCs/>
                <w:szCs w:val="22"/>
                <w:highlight w:val="yellow"/>
              </w:rPr>
              <w:t>The bacteria isolated</w:t>
            </w:r>
            <w:r w:rsidR="00DC2FB3" w:rsidRPr="00DC2FB3">
              <w:rPr>
                <w:rFonts w:ascii="Arial" w:eastAsia="Calibri" w:hAnsi="Arial" w:cs="Arial"/>
                <w:bCs/>
                <w:szCs w:val="22"/>
              </w:rPr>
              <w:t xml:space="preserve"> showed the highest MAR indices in Woji (0.65±0.20) and the lowest indices in Ikoku (0.39±0.17). The average MAR indices of bacteria in Obio/Akpor (0.56±0.16) were marginally higher than those bacteria in Port Harcourt City Local Government (0.54±0.19). </w:t>
            </w:r>
            <w:r w:rsidR="00DC2FB3" w:rsidRPr="00DC2FB3">
              <w:rPr>
                <w:rFonts w:ascii="Arial" w:eastAsia="Calibri" w:hAnsi="Arial" w:cs="Arial"/>
                <w:bCs/>
                <w:i/>
                <w:iCs/>
                <w:szCs w:val="22"/>
              </w:rPr>
              <w:t>Proteus</w:t>
            </w:r>
            <w:r w:rsidR="00DC2FB3" w:rsidRPr="00DC2FB3">
              <w:rPr>
                <w:rFonts w:ascii="Arial" w:eastAsia="Calibri" w:hAnsi="Arial" w:cs="Arial"/>
                <w:bCs/>
                <w:szCs w:val="22"/>
              </w:rPr>
              <w:t xml:space="preserve"> species and </w:t>
            </w:r>
            <w:r w:rsidR="00DC2FB3" w:rsidRPr="00DC2FB3">
              <w:rPr>
                <w:rFonts w:ascii="Arial" w:eastAsia="Calibri" w:hAnsi="Arial" w:cs="Arial"/>
                <w:bCs/>
                <w:i/>
                <w:iCs/>
                <w:szCs w:val="22"/>
              </w:rPr>
              <w:t>Providentia</w:t>
            </w:r>
            <w:r w:rsidR="00DC2FB3" w:rsidRPr="00DC2FB3">
              <w:rPr>
                <w:rFonts w:ascii="Arial" w:eastAsia="Calibri" w:hAnsi="Arial" w:cs="Arial"/>
                <w:bCs/>
                <w:szCs w:val="22"/>
              </w:rPr>
              <w:t xml:space="preserve"> </w:t>
            </w:r>
            <w:r w:rsidR="00DC2FB3" w:rsidRPr="00DC2FB3">
              <w:rPr>
                <w:rFonts w:ascii="Arial" w:eastAsia="Calibri" w:hAnsi="Arial" w:cs="Arial"/>
                <w:i/>
                <w:iCs/>
                <w:szCs w:val="22"/>
              </w:rPr>
              <w:t>huaxiensis</w:t>
            </w:r>
            <w:r w:rsidR="00DC2FB3" w:rsidRPr="00DC2FB3">
              <w:rPr>
                <w:rFonts w:ascii="Arial" w:eastAsia="Calibri" w:hAnsi="Arial" w:cs="Arial"/>
                <w:bCs/>
                <w:szCs w:val="22"/>
              </w:rPr>
              <w:t xml:space="preserve"> had the highest level of MAR indices ranging from 0.73 to 0.80 for </w:t>
            </w:r>
            <w:r w:rsidR="00DC2FB3" w:rsidRPr="00DC2FB3">
              <w:rPr>
                <w:rFonts w:ascii="Arial" w:eastAsia="Calibri" w:hAnsi="Arial" w:cs="Arial"/>
                <w:bCs/>
                <w:i/>
                <w:iCs/>
                <w:szCs w:val="22"/>
              </w:rPr>
              <w:t>Proteus</w:t>
            </w:r>
            <w:r w:rsidR="00DC2FB3" w:rsidRPr="00DC2FB3">
              <w:rPr>
                <w:rFonts w:ascii="Arial" w:eastAsia="Calibri" w:hAnsi="Arial" w:cs="Arial"/>
                <w:bCs/>
                <w:szCs w:val="22"/>
              </w:rPr>
              <w:t xml:space="preserve"> species and 0.8 for </w:t>
            </w:r>
            <w:r w:rsidR="00DC2FB3" w:rsidRPr="00DC2FB3">
              <w:rPr>
                <w:rFonts w:ascii="Arial" w:eastAsia="Calibri" w:hAnsi="Arial" w:cs="Arial"/>
                <w:bCs/>
                <w:i/>
                <w:iCs/>
                <w:szCs w:val="22"/>
              </w:rPr>
              <w:t>Providentia</w:t>
            </w:r>
            <w:r w:rsidR="00DC2FB3" w:rsidRPr="00DC2FB3">
              <w:rPr>
                <w:rFonts w:ascii="Arial" w:eastAsia="Calibri" w:hAnsi="Arial" w:cs="Arial"/>
                <w:bCs/>
                <w:szCs w:val="22"/>
              </w:rPr>
              <w:t xml:space="preserve"> </w:t>
            </w:r>
            <w:r w:rsidR="00DC2FB3" w:rsidRPr="00DC2FB3">
              <w:rPr>
                <w:rFonts w:ascii="Arial" w:eastAsia="Calibri" w:hAnsi="Arial" w:cs="Arial"/>
                <w:i/>
                <w:iCs/>
                <w:szCs w:val="22"/>
              </w:rPr>
              <w:t>huaxiensis</w:t>
            </w:r>
            <w:r w:rsidR="00DC2FB3" w:rsidRPr="00DC2FB3">
              <w:rPr>
                <w:rFonts w:ascii="Arial" w:eastAsia="Calibri" w:hAnsi="Arial" w:cs="Arial"/>
                <w:bCs/>
                <w:szCs w:val="22"/>
              </w:rPr>
              <w:t xml:space="preserve">. </w:t>
            </w:r>
            <w:r w:rsidR="00DC2FB3" w:rsidRPr="00DC2FB3">
              <w:rPr>
                <w:rFonts w:ascii="Arial" w:eastAsia="Calibri" w:hAnsi="Arial" w:cs="Arial"/>
                <w:szCs w:val="22"/>
              </w:rPr>
              <w:t xml:space="preserve">The prevalence of betalactamase genes that were detected. There was a significant burden (p=0.0002) of the </w:t>
            </w:r>
            <w:r w:rsidR="00DC2FB3" w:rsidRPr="00295731">
              <w:rPr>
                <w:rFonts w:ascii="Arial" w:eastAsia="Calibri" w:hAnsi="Arial" w:cs="Arial"/>
                <w:i/>
                <w:iCs/>
                <w:szCs w:val="22"/>
              </w:rPr>
              <w:t>bla</w:t>
            </w:r>
            <w:r w:rsidR="00DC2FB3" w:rsidRPr="00295731">
              <w:rPr>
                <w:rFonts w:ascii="Arial" w:eastAsia="Calibri" w:hAnsi="Arial" w:cs="Arial"/>
                <w:i/>
                <w:iCs/>
                <w:szCs w:val="22"/>
                <w:vertAlign w:val="subscript"/>
              </w:rPr>
              <w:t>TEM</w:t>
            </w:r>
            <w:r w:rsidR="00DC2FB3" w:rsidRPr="00DC2FB3">
              <w:rPr>
                <w:rFonts w:ascii="Arial" w:eastAsia="Calibri" w:hAnsi="Arial" w:cs="Arial"/>
                <w:szCs w:val="22"/>
              </w:rPr>
              <w:t xml:space="preserve"> gene observed in the Obio/Akpor LGA 7 (63.4%) than the PHC LGA 4 (36.6%). </w:t>
            </w:r>
            <w:r w:rsidR="00295731" w:rsidRPr="00295731">
              <w:rPr>
                <w:rFonts w:ascii="Arial" w:eastAsia="Calibri" w:hAnsi="Arial" w:cs="Arial"/>
                <w:b/>
                <w:bCs/>
                <w:szCs w:val="22"/>
              </w:rPr>
              <w:t>Conclusion</w:t>
            </w:r>
            <w:r w:rsidR="00295731">
              <w:rPr>
                <w:rFonts w:ascii="Arial" w:eastAsia="Calibri" w:hAnsi="Arial" w:cs="Arial"/>
                <w:szCs w:val="22"/>
              </w:rPr>
              <w:t xml:space="preserve">: </w:t>
            </w:r>
            <w:r w:rsidR="00DC2FB3" w:rsidRPr="00DC2FB3">
              <w:rPr>
                <w:rFonts w:ascii="Arial" w:eastAsia="Calibri" w:hAnsi="Arial" w:cs="Arial"/>
                <w:szCs w:val="22"/>
              </w:rPr>
              <w:t xml:space="preserve">Overall, </w:t>
            </w:r>
            <w:r w:rsidR="00DC2FB3" w:rsidRPr="00565D15">
              <w:rPr>
                <w:rFonts w:ascii="Arial" w:eastAsia="Calibri" w:hAnsi="Arial" w:cs="Arial"/>
                <w:szCs w:val="22"/>
                <w:highlight w:val="yellow"/>
              </w:rPr>
              <w:t>antibiotic</w:t>
            </w:r>
            <w:r w:rsidR="00756B48" w:rsidRPr="00565D15">
              <w:rPr>
                <w:rFonts w:ascii="Arial" w:eastAsia="Calibri" w:hAnsi="Arial" w:cs="Arial"/>
                <w:szCs w:val="22"/>
                <w:highlight w:val="yellow"/>
              </w:rPr>
              <w:t>-resistant</w:t>
            </w:r>
            <w:r w:rsidR="00DC2FB3" w:rsidRPr="00565D15">
              <w:rPr>
                <w:rFonts w:ascii="Arial" w:eastAsia="Calibri" w:hAnsi="Arial" w:cs="Arial"/>
                <w:szCs w:val="22"/>
                <w:highlight w:val="yellow"/>
              </w:rPr>
              <w:t xml:space="preserve"> b</w:t>
            </w:r>
            <w:r w:rsidR="00DC2FB3" w:rsidRPr="00DC2FB3">
              <w:rPr>
                <w:rFonts w:ascii="Arial" w:eastAsia="Calibri" w:hAnsi="Arial" w:cs="Arial"/>
                <w:szCs w:val="22"/>
              </w:rPr>
              <w:t>acteria in Abacha tend to be present in remote towns with high human activities.</w:t>
            </w:r>
          </w:p>
          <w:p w14:paraId="1DEF1FA9" w14:textId="3CD841F5" w:rsidR="00505F06" w:rsidRPr="00BA1B01" w:rsidRDefault="00505F06" w:rsidP="00441B6F">
            <w:pPr>
              <w:pStyle w:val="Body"/>
              <w:spacing w:after="0"/>
              <w:rPr>
                <w:rFonts w:ascii="Arial" w:eastAsia="Calibri" w:hAnsi="Arial" w:cs="Arial"/>
                <w:szCs w:val="22"/>
              </w:rPr>
            </w:pPr>
          </w:p>
        </w:tc>
      </w:tr>
    </w:tbl>
    <w:p w14:paraId="4CDD2FA2" w14:textId="77777777" w:rsidR="00636EB2" w:rsidRDefault="00636EB2" w:rsidP="00441B6F">
      <w:pPr>
        <w:pStyle w:val="Body"/>
        <w:spacing w:after="0"/>
        <w:rPr>
          <w:rFonts w:ascii="Arial" w:hAnsi="Arial" w:cs="Arial"/>
          <w:i/>
        </w:rPr>
      </w:pPr>
    </w:p>
    <w:p w14:paraId="5C7943B9" w14:textId="030CE71C" w:rsidR="00A24E7E" w:rsidRDefault="00A24E7E" w:rsidP="00441B6F">
      <w:pPr>
        <w:pStyle w:val="Body"/>
        <w:spacing w:after="0"/>
        <w:rPr>
          <w:rFonts w:ascii="Arial" w:hAnsi="Arial" w:cs="Arial"/>
          <w:i/>
        </w:rPr>
      </w:pPr>
      <w:r>
        <w:rPr>
          <w:rFonts w:ascii="Arial" w:hAnsi="Arial" w:cs="Arial"/>
          <w:i/>
        </w:rPr>
        <w:t xml:space="preserve">Keywords: </w:t>
      </w:r>
      <w:r w:rsidR="00DC2FB3">
        <w:rPr>
          <w:rFonts w:ascii="Arial" w:hAnsi="Arial" w:cs="Arial"/>
          <w:i/>
        </w:rPr>
        <w:t>Foodborne pathogens, antibiotic resistance, African salad</w:t>
      </w:r>
    </w:p>
    <w:p w14:paraId="3328034C" w14:textId="77777777" w:rsidR="00790ADA" w:rsidRDefault="00790ADA" w:rsidP="00441B6F">
      <w:pPr>
        <w:pStyle w:val="Body"/>
        <w:spacing w:after="0"/>
        <w:rPr>
          <w:rFonts w:ascii="Arial" w:hAnsi="Arial" w:cs="Arial"/>
          <w:i/>
        </w:rPr>
      </w:pPr>
    </w:p>
    <w:p w14:paraId="35B6015C" w14:textId="0210BF9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25F07C2" w14:textId="77777777" w:rsidR="00790ADA" w:rsidRPr="00FB3A86" w:rsidRDefault="00790ADA" w:rsidP="00441B6F">
      <w:pPr>
        <w:pStyle w:val="AbstHead"/>
        <w:spacing w:after="0"/>
        <w:jc w:val="both"/>
        <w:rPr>
          <w:rFonts w:ascii="Arial" w:hAnsi="Arial" w:cs="Arial"/>
        </w:rPr>
      </w:pPr>
    </w:p>
    <w:p w14:paraId="5A12C176" w14:textId="65CE6C43" w:rsidR="001B50DC" w:rsidRPr="001B50DC" w:rsidRDefault="0032705A" w:rsidP="001B50DC">
      <w:pPr>
        <w:pStyle w:val="Body"/>
        <w:rPr>
          <w:rFonts w:ascii="Arial" w:hAnsi="Arial" w:cs="Arial"/>
        </w:rPr>
      </w:pPr>
      <w:r w:rsidRPr="0012250E">
        <w:rPr>
          <w:rFonts w:ascii="Arial" w:hAnsi="Arial" w:cs="Arial"/>
          <w:highlight w:val="yellow"/>
        </w:rPr>
        <w:t>Food is considered as a substance in its raw or processed  form,  consumed  by  living  organisms for nutritional support. Despite the fact that many foods   are   often   contaminated   with   naturally occurring  pathogenic  microbes,  safe  eating  is  a basic human right.</w:t>
      </w:r>
      <w:r w:rsidR="005F2291" w:rsidRPr="0012250E">
        <w:rPr>
          <w:rFonts w:ascii="Arial" w:hAnsi="Arial" w:cs="Arial"/>
          <w:highlight w:val="yellow"/>
        </w:rPr>
        <w:t xml:space="preserve"> </w:t>
      </w:r>
      <w:r w:rsidRPr="0012250E">
        <w:rPr>
          <w:rFonts w:ascii="Arial" w:hAnsi="Arial" w:cs="Arial"/>
          <w:highlight w:val="yellow"/>
        </w:rPr>
        <w:t xml:space="preserve">Ready-to-eat (RTE) foods are foods    intended    by    the    producer    or    the manufacturer   for   direct   human   consumption without the need for cooking or other processing effective  to  eliminate  or  reduce  to  an  acceptable level,   any   micro-organisms  of  concern [1]. </w:t>
      </w:r>
      <w:r w:rsidR="00F31A5A" w:rsidRPr="0012250E">
        <w:rPr>
          <w:rFonts w:ascii="Arial" w:hAnsi="Arial" w:cs="Arial"/>
          <w:highlight w:val="yellow"/>
        </w:rPr>
        <w:t>(Olajugbagbe et al. 2024</w:t>
      </w:r>
      <w:r w:rsidR="007C042E" w:rsidRPr="0012250E">
        <w:rPr>
          <w:rFonts w:ascii="Arial" w:hAnsi="Arial" w:cs="Arial"/>
          <w:highlight w:val="yellow"/>
        </w:rPr>
        <w:t>; Makinde</w:t>
      </w:r>
      <w:r w:rsidR="007C042E">
        <w:rPr>
          <w:rFonts w:ascii="Arial" w:hAnsi="Arial" w:cs="Arial"/>
        </w:rPr>
        <w:t xml:space="preserve"> et al. </w:t>
      </w:r>
      <w:r w:rsidR="007C042E" w:rsidRPr="007C042E">
        <w:rPr>
          <w:rFonts w:ascii="Arial" w:hAnsi="Arial" w:cs="Arial"/>
        </w:rPr>
        <w:t>2020</w:t>
      </w:r>
      <w:r w:rsidR="00F31A5A" w:rsidRPr="00F31A5A">
        <w:rPr>
          <w:rFonts w:ascii="Arial" w:hAnsi="Arial" w:cs="Arial"/>
          <w:highlight w:val="yellow"/>
        </w:rPr>
        <w:t>).</w:t>
      </w:r>
      <w:r w:rsidR="00F31A5A">
        <w:rPr>
          <w:rFonts w:ascii="Arial" w:hAnsi="Arial" w:cs="Arial"/>
        </w:rPr>
        <w:t xml:space="preserve"> </w:t>
      </w:r>
      <w:r w:rsidR="001B50DC" w:rsidRPr="001B50DC">
        <w:rPr>
          <w:rFonts w:ascii="Arial" w:hAnsi="Arial" w:cs="Arial"/>
        </w:rPr>
        <w:t>African salad is a</w:t>
      </w:r>
      <w:r w:rsidR="00756B48">
        <w:rPr>
          <w:rFonts w:ascii="Arial" w:hAnsi="Arial" w:cs="Arial"/>
        </w:rPr>
        <w:t>n</w:t>
      </w:r>
      <w:r w:rsidR="001B50DC" w:rsidRPr="001B50DC">
        <w:rPr>
          <w:rFonts w:ascii="Arial" w:hAnsi="Arial" w:cs="Arial"/>
        </w:rPr>
        <w:t xml:space="preserve"> RTE meal that is popularly known as Abacha (Eluu </w:t>
      </w:r>
      <w:r w:rsidR="001B50DC" w:rsidRPr="001B50DC">
        <w:rPr>
          <w:rFonts w:ascii="Arial" w:hAnsi="Arial" w:cs="Arial"/>
          <w:i/>
          <w:iCs/>
        </w:rPr>
        <w:t>et al.</w:t>
      </w:r>
      <w:r w:rsidR="001B50DC" w:rsidRPr="001B50DC">
        <w:rPr>
          <w:rFonts w:ascii="Arial" w:hAnsi="Arial" w:cs="Arial"/>
          <w:i/>
        </w:rPr>
        <w:t>,</w:t>
      </w:r>
      <w:r w:rsidR="001B50DC" w:rsidRPr="001B50DC">
        <w:rPr>
          <w:rFonts w:ascii="Arial" w:hAnsi="Arial" w:cs="Arial"/>
        </w:rPr>
        <w:t xml:space="preserve"> 2018). African salad is loved and enjoyed by many especially by the Igbo tribes in Nigeria as it constitutes part of their traditional meal </w:t>
      </w:r>
      <w:r w:rsidR="001B50DC" w:rsidRPr="0017264C">
        <w:rPr>
          <w:rFonts w:ascii="Arial" w:hAnsi="Arial" w:cs="Arial"/>
          <w:highlight w:val="yellow"/>
        </w:rPr>
        <w:t xml:space="preserve">during </w:t>
      </w:r>
      <w:r w:rsidR="00756B48" w:rsidRPr="0017264C">
        <w:rPr>
          <w:rFonts w:ascii="Arial" w:hAnsi="Arial" w:cs="Arial"/>
          <w:highlight w:val="yellow"/>
        </w:rPr>
        <w:t xml:space="preserve">the </w:t>
      </w:r>
      <w:r w:rsidR="001B50DC" w:rsidRPr="0017264C">
        <w:rPr>
          <w:rFonts w:ascii="Arial" w:hAnsi="Arial" w:cs="Arial"/>
          <w:highlight w:val="yellow"/>
        </w:rPr>
        <w:t>festive</w:t>
      </w:r>
      <w:r w:rsidR="001B50DC" w:rsidRPr="001B50DC">
        <w:rPr>
          <w:rFonts w:ascii="Arial" w:hAnsi="Arial" w:cs="Arial"/>
        </w:rPr>
        <w:t xml:space="preserve"> season. It is made up of shredded cassava, ugba (ukpaka), crayfish, dry pepper, salt, maggi </w:t>
      </w:r>
      <w:r w:rsidR="001B50DC" w:rsidRPr="001B50DC">
        <w:rPr>
          <w:rFonts w:ascii="Arial" w:hAnsi="Arial" w:cs="Arial"/>
        </w:rPr>
        <w:lastRenderedPageBreak/>
        <w:t xml:space="preserve">(seasoning cubes), palm oil, African nutmeg, potash, garnished with some freshly sliced pepper, onion, garden eggs, utazi or garden egg leaves. It can be served with any protein of your choice such as fried / dried fish, stock fish, kpomo (cow skin), goat meat etc.  Traditionally, it </w:t>
      </w:r>
      <w:r w:rsidR="001925DB">
        <w:rPr>
          <w:rFonts w:ascii="Arial" w:hAnsi="Arial" w:cs="Arial"/>
        </w:rPr>
        <w:t>is</w:t>
      </w:r>
      <w:r w:rsidR="001B50DC" w:rsidRPr="001B50DC">
        <w:rPr>
          <w:rFonts w:ascii="Arial" w:hAnsi="Arial" w:cs="Arial"/>
        </w:rPr>
        <w:t xml:space="preserve"> </w:t>
      </w:r>
      <w:r w:rsidR="001B50DC" w:rsidRPr="00421355">
        <w:rPr>
          <w:rFonts w:ascii="Arial" w:hAnsi="Arial" w:cs="Arial"/>
          <w:highlight w:val="yellow"/>
        </w:rPr>
        <w:t xml:space="preserve">served </w:t>
      </w:r>
      <w:r w:rsidR="00756B48" w:rsidRPr="00421355">
        <w:rPr>
          <w:rFonts w:ascii="Arial" w:hAnsi="Arial" w:cs="Arial"/>
          <w:highlight w:val="yellow"/>
        </w:rPr>
        <w:t xml:space="preserve">as </w:t>
      </w:r>
      <w:r w:rsidR="001B50DC" w:rsidRPr="00421355">
        <w:rPr>
          <w:rFonts w:ascii="Arial" w:hAnsi="Arial" w:cs="Arial"/>
          <w:highlight w:val="yellow"/>
        </w:rPr>
        <w:t>palm wine</w:t>
      </w:r>
      <w:r w:rsidR="00756B48" w:rsidRPr="00421355">
        <w:rPr>
          <w:rFonts w:ascii="Arial" w:hAnsi="Arial" w:cs="Arial"/>
          <w:highlight w:val="yellow"/>
        </w:rPr>
        <w:t>,</w:t>
      </w:r>
      <w:r w:rsidR="001B50DC" w:rsidRPr="00421355">
        <w:rPr>
          <w:rFonts w:ascii="Arial" w:hAnsi="Arial" w:cs="Arial"/>
          <w:highlight w:val="yellow"/>
        </w:rPr>
        <w:t xml:space="preserve"> especially in Eastern Nigeria</w:t>
      </w:r>
      <w:r w:rsidR="001B50DC" w:rsidRPr="001B50DC">
        <w:rPr>
          <w:rFonts w:ascii="Arial" w:hAnsi="Arial" w:cs="Arial"/>
        </w:rPr>
        <w:t xml:space="preserve"> (Oranusi </w:t>
      </w:r>
      <w:r w:rsidR="001B50DC" w:rsidRPr="001B50DC">
        <w:rPr>
          <w:rFonts w:ascii="Arial" w:hAnsi="Arial" w:cs="Arial"/>
          <w:i/>
          <w:iCs/>
        </w:rPr>
        <w:t>et al.</w:t>
      </w:r>
      <w:r w:rsidR="001B50DC" w:rsidRPr="001B50DC">
        <w:rPr>
          <w:rFonts w:ascii="Arial" w:hAnsi="Arial" w:cs="Arial"/>
          <w:i/>
        </w:rPr>
        <w:t>,</w:t>
      </w:r>
      <w:r w:rsidR="001B50DC" w:rsidRPr="001B50DC">
        <w:rPr>
          <w:rFonts w:ascii="Arial" w:hAnsi="Arial" w:cs="Arial"/>
        </w:rPr>
        <w:t xml:space="preserve"> 2013</w:t>
      </w:r>
      <w:r w:rsidR="00CE08A1">
        <w:rPr>
          <w:rFonts w:ascii="Arial" w:hAnsi="Arial" w:cs="Arial"/>
        </w:rPr>
        <w:t>;</w:t>
      </w:r>
      <w:r w:rsidR="001B50DC" w:rsidRPr="001B50DC">
        <w:rPr>
          <w:rFonts w:ascii="Arial" w:hAnsi="Arial" w:cs="Arial"/>
        </w:rPr>
        <w:t> </w:t>
      </w:r>
      <w:bookmarkStart w:id="0" w:name="bbib27"/>
      <w:r w:rsidR="001B50DC" w:rsidRPr="001B50DC">
        <w:rPr>
          <w:rFonts w:ascii="Arial" w:hAnsi="Arial" w:cs="Arial"/>
        </w:rPr>
        <w:t>Osewa, 2013</w:t>
      </w:r>
      <w:bookmarkEnd w:id="0"/>
      <w:r w:rsidR="001B50DC" w:rsidRPr="001B50DC">
        <w:rPr>
          <w:rFonts w:ascii="Arial" w:hAnsi="Arial" w:cs="Arial"/>
        </w:rPr>
        <w:t>).</w:t>
      </w:r>
    </w:p>
    <w:p w14:paraId="1C94C33B" w14:textId="12008120" w:rsidR="001B50DC" w:rsidRPr="001B50DC" w:rsidRDefault="003557CF" w:rsidP="001B50DC">
      <w:pPr>
        <w:pStyle w:val="Body"/>
        <w:rPr>
          <w:rFonts w:ascii="Arial" w:hAnsi="Arial" w:cs="Arial"/>
          <w:u w:val="single"/>
        </w:rPr>
      </w:pPr>
      <w:r w:rsidRPr="003557CF">
        <w:rPr>
          <w:rFonts w:ascii="Arial" w:hAnsi="Arial" w:cs="Arial"/>
          <w:highlight w:val="yellow"/>
        </w:rPr>
        <w:t xml:space="preserve">African salad contains lots of raw and fresh vegetables attached to some other ingredients that are eaten without further processing, which makes it a salad of African </w:t>
      </w:r>
      <w:r w:rsidRPr="00364688">
        <w:rPr>
          <w:rFonts w:ascii="Arial" w:hAnsi="Arial" w:cs="Arial"/>
          <w:highlight w:val="yellow"/>
        </w:rPr>
        <w:t>origin</w:t>
      </w:r>
      <w:r w:rsidR="00364688" w:rsidRPr="00364688">
        <w:rPr>
          <w:rFonts w:ascii="Arial" w:hAnsi="Arial" w:cs="Arial"/>
          <w:highlight w:val="yellow"/>
        </w:rPr>
        <w:t xml:space="preserve"> (Igbinosa et al., 2021)</w:t>
      </w:r>
      <w:r w:rsidRPr="00364688">
        <w:rPr>
          <w:rFonts w:ascii="Arial" w:hAnsi="Arial" w:cs="Arial"/>
          <w:highlight w:val="yellow"/>
        </w:rPr>
        <w:t xml:space="preserve">. </w:t>
      </w:r>
      <w:r w:rsidR="001B50DC" w:rsidRPr="00364688">
        <w:rPr>
          <w:rFonts w:ascii="Arial" w:hAnsi="Arial" w:cs="Arial"/>
          <w:highlight w:val="yellow"/>
        </w:rPr>
        <w:t>A</w:t>
      </w:r>
      <w:r w:rsidR="001B50DC" w:rsidRPr="001B50DC">
        <w:rPr>
          <w:rFonts w:ascii="Arial" w:hAnsi="Arial" w:cs="Arial"/>
        </w:rPr>
        <w:t>frican salad when consumed in large amount</w:t>
      </w:r>
      <w:r w:rsidR="00756B48">
        <w:rPr>
          <w:rFonts w:ascii="Arial" w:hAnsi="Arial" w:cs="Arial"/>
        </w:rPr>
        <w:t>s</w:t>
      </w:r>
      <w:r w:rsidR="001B50DC" w:rsidRPr="001B50DC">
        <w:rPr>
          <w:rFonts w:ascii="Arial" w:hAnsi="Arial" w:cs="Arial"/>
        </w:rPr>
        <w:t>, serves as a great source of energy as it is rich in carbohydrate</w:t>
      </w:r>
      <w:r w:rsidR="00756B48">
        <w:rPr>
          <w:rFonts w:ascii="Arial" w:hAnsi="Arial" w:cs="Arial"/>
        </w:rPr>
        <w:t>s</w:t>
      </w:r>
      <w:r w:rsidR="001B50DC" w:rsidRPr="001B50DC">
        <w:rPr>
          <w:rFonts w:ascii="Arial" w:hAnsi="Arial" w:cs="Arial"/>
        </w:rPr>
        <w:t>, protein, minerals, and vitamins. Most of its nutrient</w:t>
      </w:r>
      <w:r w:rsidR="00756B48">
        <w:rPr>
          <w:rFonts w:ascii="Arial" w:hAnsi="Arial" w:cs="Arial"/>
        </w:rPr>
        <w:t>s</w:t>
      </w:r>
      <w:r w:rsidR="001B50DC" w:rsidRPr="001B50DC">
        <w:rPr>
          <w:rFonts w:ascii="Arial" w:hAnsi="Arial" w:cs="Arial"/>
        </w:rPr>
        <w:t xml:space="preserve"> is intact as it is prepared with little or no heat, thus, making it a high-risk food if not hygienically prepared as it could be easily contaminated by coliforms and other </w:t>
      </w:r>
      <w:r w:rsidR="00756B48" w:rsidRPr="00565D15">
        <w:rPr>
          <w:rFonts w:ascii="Arial" w:hAnsi="Arial" w:cs="Arial"/>
          <w:highlight w:val="yellow"/>
        </w:rPr>
        <w:t>food</w:t>
      </w:r>
      <w:r w:rsidR="00756B48" w:rsidRPr="00565D15">
        <w:rPr>
          <w:rFonts w:ascii="Arial" w:hAnsi="Arial" w:cs="Arial"/>
          <w:highlight w:val="yellow"/>
        </w:rPr>
        <w:t>-</w:t>
      </w:r>
      <w:r w:rsidR="001B50DC" w:rsidRPr="00565D15">
        <w:rPr>
          <w:rFonts w:ascii="Arial" w:hAnsi="Arial" w:cs="Arial"/>
          <w:highlight w:val="yellow"/>
        </w:rPr>
        <w:t>borne p</w:t>
      </w:r>
      <w:r w:rsidR="001B50DC" w:rsidRPr="001B50DC">
        <w:rPr>
          <w:rFonts w:ascii="Arial" w:hAnsi="Arial" w:cs="Arial"/>
        </w:rPr>
        <w:t xml:space="preserve">athogens. Microbial contamination of African salad is via poor hygiene, improper </w:t>
      </w:r>
      <w:r w:rsidR="001B50DC" w:rsidRPr="00565D15">
        <w:rPr>
          <w:rFonts w:ascii="Arial" w:hAnsi="Arial" w:cs="Arial"/>
          <w:highlight w:val="yellow"/>
        </w:rPr>
        <w:t>washing of ingredient</w:t>
      </w:r>
      <w:r w:rsidR="00756B48" w:rsidRPr="00565D15">
        <w:rPr>
          <w:rFonts w:ascii="Arial" w:hAnsi="Arial" w:cs="Arial"/>
          <w:highlight w:val="yellow"/>
        </w:rPr>
        <w:t>s</w:t>
      </w:r>
      <w:r w:rsidR="001B50DC" w:rsidRPr="00565D15">
        <w:rPr>
          <w:rFonts w:ascii="Arial" w:hAnsi="Arial" w:cs="Arial"/>
          <w:highlight w:val="yellow"/>
        </w:rPr>
        <w:t xml:space="preserve"> or utensils and or the use of </w:t>
      </w:r>
      <w:r w:rsidR="00756B48" w:rsidRPr="00565D15">
        <w:rPr>
          <w:rFonts w:ascii="Arial" w:hAnsi="Arial" w:cs="Arial"/>
          <w:highlight w:val="yellow"/>
        </w:rPr>
        <w:t xml:space="preserve">a </w:t>
      </w:r>
      <w:r w:rsidR="001B50DC" w:rsidRPr="00565D15">
        <w:rPr>
          <w:rFonts w:ascii="Arial" w:hAnsi="Arial" w:cs="Arial"/>
          <w:highlight w:val="yellow"/>
        </w:rPr>
        <w:t>contaminated water supply. Some studies show that</w:t>
      </w:r>
      <w:r w:rsidR="001B50DC" w:rsidRPr="001B50DC">
        <w:rPr>
          <w:rFonts w:ascii="Arial" w:hAnsi="Arial" w:cs="Arial"/>
        </w:rPr>
        <w:t xml:space="preserve"> Ugba (a fermented oil bean) is one great source by which African salad is been contaminated as the fermenting microbes </w:t>
      </w:r>
      <w:r w:rsidR="00756B48" w:rsidRPr="001B50DC">
        <w:rPr>
          <w:rFonts w:ascii="Arial" w:hAnsi="Arial" w:cs="Arial"/>
        </w:rPr>
        <w:t>w</w:t>
      </w:r>
      <w:r w:rsidR="00756B48">
        <w:rPr>
          <w:rFonts w:ascii="Arial" w:hAnsi="Arial" w:cs="Arial"/>
        </w:rPr>
        <w:t>ere</w:t>
      </w:r>
      <w:r w:rsidR="00756B48" w:rsidRPr="001B50DC">
        <w:rPr>
          <w:rFonts w:ascii="Arial" w:hAnsi="Arial" w:cs="Arial"/>
        </w:rPr>
        <w:t xml:space="preserve"> </w:t>
      </w:r>
      <w:r w:rsidR="001B50DC" w:rsidRPr="001B50DC">
        <w:rPr>
          <w:rFonts w:ascii="Arial" w:hAnsi="Arial" w:cs="Arial"/>
        </w:rPr>
        <w:t>n</w:t>
      </w:r>
      <w:r w:rsidR="001B50DC" w:rsidRPr="00565D15">
        <w:rPr>
          <w:rFonts w:ascii="Arial" w:hAnsi="Arial" w:cs="Arial"/>
          <w:highlight w:val="yellow"/>
        </w:rPr>
        <w:t>ot destroyed with heat after fermentation of the bean (subjected to heat).</w:t>
      </w:r>
      <w:r w:rsidR="001B50DC" w:rsidRPr="001B50DC">
        <w:rPr>
          <w:rFonts w:ascii="Arial" w:hAnsi="Arial" w:cs="Arial"/>
        </w:rPr>
        <w:t xml:space="preserve"> When one eats such unhygienically prepared salad, it results in foodborne diseases (foodborne illness or food poisoning (Issa-Zacharia and Said Seif, 2023; Oranusi </w:t>
      </w:r>
      <w:r w:rsidR="001B50DC" w:rsidRPr="001B50DC">
        <w:rPr>
          <w:rFonts w:ascii="Arial" w:hAnsi="Arial" w:cs="Arial"/>
          <w:i/>
          <w:iCs/>
        </w:rPr>
        <w:t>et al.</w:t>
      </w:r>
      <w:r w:rsidR="001B50DC" w:rsidRPr="001B50DC">
        <w:rPr>
          <w:rFonts w:ascii="Arial" w:hAnsi="Arial" w:cs="Arial"/>
          <w:i/>
        </w:rPr>
        <w:t>,</w:t>
      </w:r>
      <w:r w:rsidR="001B50DC" w:rsidRPr="001B50DC">
        <w:rPr>
          <w:rFonts w:ascii="Arial" w:hAnsi="Arial" w:cs="Arial"/>
        </w:rPr>
        <w:t xml:space="preserve"> 2013).</w:t>
      </w:r>
    </w:p>
    <w:p w14:paraId="12126F79" w14:textId="3866750D" w:rsidR="001B50DC" w:rsidRPr="001B50DC" w:rsidRDefault="001B50DC" w:rsidP="001B50DC">
      <w:pPr>
        <w:pStyle w:val="Body"/>
        <w:rPr>
          <w:rFonts w:ascii="Arial" w:hAnsi="Arial" w:cs="Arial"/>
        </w:rPr>
      </w:pPr>
      <w:r w:rsidRPr="001B50DC">
        <w:rPr>
          <w:rFonts w:ascii="Arial" w:hAnsi="Arial" w:cs="Arial"/>
        </w:rPr>
        <w:t>Foodborne disease (FBD) is any illness resulting from the ingestion of contaminated food. Such contaminants can be of bacteria, viral, or parasitic origin. Food pathogen when ingested usually establishes itself and multiplies in the human host</w:t>
      </w:r>
      <w:r w:rsidR="003A093D">
        <w:rPr>
          <w:rFonts w:ascii="Arial" w:hAnsi="Arial" w:cs="Arial"/>
        </w:rPr>
        <w:t xml:space="preserve"> </w:t>
      </w:r>
      <w:r w:rsidR="003A093D" w:rsidRPr="003A093D">
        <w:rPr>
          <w:rFonts w:ascii="Arial" w:hAnsi="Arial" w:cs="Arial"/>
          <w:highlight w:val="yellow"/>
        </w:rPr>
        <w:t>(Owusu-Apenten, &amp; Vieira(2022)</w:t>
      </w:r>
      <w:r w:rsidRPr="003A093D">
        <w:rPr>
          <w:rFonts w:ascii="Arial" w:hAnsi="Arial" w:cs="Arial"/>
          <w:highlight w:val="yellow"/>
        </w:rPr>
        <w:t>.</w:t>
      </w:r>
      <w:r w:rsidRPr="001B50DC">
        <w:rPr>
          <w:rFonts w:ascii="Arial" w:hAnsi="Arial" w:cs="Arial"/>
        </w:rPr>
        <w:t xml:space="preserve"> </w:t>
      </w:r>
      <w:r w:rsidR="00756B48" w:rsidRPr="00565D15">
        <w:rPr>
          <w:rFonts w:ascii="Arial" w:hAnsi="Arial" w:cs="Arial"/>
          <w:highlight w:val="yellow"/>
        </w:rPr>
        <w:t>F</w:t>
      </w:r>
      <w:r w:rsidRPr="00565D15">
        <w:rPr>
          <w:rFonts w:ascii="Arial" w:hAnsi="Arial" w:cs="Arial"/>
          <w:highlight w:val="yellow"/>
        </w:rPr>
        <w:t>ood poisoning occurs when a toxigenic pathogen establishes itself in food or food</w:t>
      </w:r>
      <w:r w:rsidRPr="001B50DC">
        <w:rPr>
          <w:rFonts w:ascii="Arial" w:hAnsi="Arial" w:cs="Arial"/>
        </w:rPr>
        <w:t xml:space="preserve"> product and produces a toxin, which is then ingested by the human host. Categorically, foodborne illness can be categorized as (a) foodborne infection and (b) foodborne intoxication. Foodborne infections have an incubation time for symptoms to appear</w:t>
      </w:r>
      <w:r w:rsidR="00756B48">
        <w:rPr>
          <w:rFonts w:ascii="Arial" w:hAnsi="Arial" w:cs="Arial"/>
        </w:rPr>
        <w:t>,</w:t>
      </w:r>
      <w:r w:rsidRPr="001B50DC">
        <w:rPr>
          <w:rFonts w:ascii="Arial" w:hAnsi="Arial" w:cs="Arial"/>
        </w:rPr>
        <w:t xml:space="preserve"> unlike foodborne intoxication. Generally, foodborne diseases worldwide are still a problem, and outbreaks can cause health and economic losses (Bintsis, 2017; Ifeadike </w:t>
      </w:r>
      <w:r w:rsidRPr="001B50DC">
        <w:rPr>
          <w:rFonts w:ascii="Arial" w:hAnsi="Arial" w:cs="Arial"/>
          <w:i/>
          <w:iCs/>
        </w:rPr>
        <w:t>et al.</w:t>
      </w:r>
      <w:r w:rsidRPr="001B50DC">
        <w:rPr>
          <w:rFonts w:ascii="Arial" w:hAnsi="Arial" w:cs="Arial"/>
        </w:rPr>
        <w:t>, 2014).</w:t>
      </w:r>
    </w:p>
    <w:p w14:paraId="684B41E8" w14:textId="5B2FCCE1" w:rsidR="001B50DC" w:rsidRPr="001B50DC" w:rsidRDefault="001B50DC" w:rsidP="001B50DC">
      <w:pPr>
        <w:pStyle w:val="Body"/>
        <w:rPr>
          <w:rFonts w:ascii="Arial" w:hAnsi="Arial" w:cs="Arial"/>
        </w:rPr>
      </w:pPr>
      <w:r w:rsidRPr="001B50DC">
        <w:rPr>
          <w:rFonts w:ascii="Arial" w:hAnsi="Arial" w:cs="Arial"/>
        </w:rPr>
        <w:t xml:space="preserve">Globally, over 200 different foodborne diseases have been identified. However, a certain population is at high risk of becoming ill. These populations include children, the elderly, pregnant women, </w:t>
      </w:r>
      <w:r w:rsidRPr="00565D15">
        <w:rPr>
          <w:rFonts w:ascii="Arial" w:hAnsi="Arial" w:cs="Arial"/>
          <w:highlight w:val="yellow"/>
        </w:rPr>
        <w:t>people taking certain medications or immune suppressed (e.g., cancer patients, diabetics) or healthy people exposed to a very high dose of an organism. Common symptoms include diarrh</w:t>
      </w:r>
      <w:r w:rsidR="00756B48" w:rsidRPr="00565D15">
        <w:rPr>
          <w:rFonts w:ascii="Arial" w:hAnsi="Arial" w:cs="Arial"/>
          <w:highlight w:val="yellow"/>
        </w:rPr>
        <w:t>o</w:t>
      </w:r>
      <w:r w:rsidRPr="00565D15">
        <w:rPr>
          <w:rFonts w:ascii="Arial" w:hAnsi="Arial" w:cs="Arial"/>
          <w:highlight w:val="yellow"/>
        </w:rPr>
        <w:t>ea and</w:t>
      </w:r>
      <w:r w:rsidR="00756B48" w:rsidRPr="00565D15">
        <w:rPr>
          <w:rFonts w:ascii="Arial" w:hAnsi="Arial" w:cs="Arial"/>
          <w:highlight w:val="yellow"/>
        </w:rPr>
        <w:t>/</w:t>
      </w:r>
      <w:r w:rsidRPr="00565D15">
        <w:rPr>
          <w:rFonts w:ascii="Arial" w:hAnsi="Arial" w:cs="Arial"/>
          <w:highlight w:val="yellow"/>
        </w:rPr>
        <w:t>or</w:t>
      </w:r>
      <w:r w:rsidRPr="001B50DC">
        <w:rPr>
          <w:rFonts w:ascii="Arial" w:hAnsi="Arial" w:cs="Arial"/>
        </w:rPr>
        <w:t xml:space="preserve"> vomiting typically lasting 1 to 7 days. Other symptoms are abdominal cramps, nausea, fever, joint / back aches and fatigue (Bintsis, 2017; Adley and Ryan, 2016).</w:t>
      </w:r>
    </w:p>
    <w:p w14:paraId="2A2C5007" w14:textId="7A6C1BCC" w:rsidR="001B50DC" w:rsidRPr="001B50DC" w:rsidRDefault="001B50DC" w:rsidP="001B50DC">
      <w:pPr>
        <w:pStyle w:val="Body"/>
        <w:rPr>
          <w:rFonts w:ascii="Arial" w:hAnsi="Arial" w:cs="Arial"/>
        </w:rPr>
      </w:pPr>
      <w:r w:rsidRPr="00565D15">
        <w:rPr>
          <w:rFonts w:ascii="Arial" w:hAnsi="Arial" w:cs="Arial"/>
          <w:highlight w:val="yellow"/>
        </w:rPr>
        <w:t xml:space="preserve">According to a report made by </w:t>
      </w:r>
      <w:r w:rsidR="00756B48" w:rsidRPr="00565D15">
        <w:rPr>
          <w:rFonts w:ascii="Arial" w:hAnsi="Arial" w:cs="Arial"/>
          <w:highlight w:val="yellow"/>
        </w:rPr>
        <w:t xml:space="preserve">the </w:t>
      </w:r>
      <w:r w:rsidRPr="00565D15">
        <w:rPr>
          <w:rFonts w:ascii="Arial" w:hAnsi="Arial" w:cs="Arial"/>
          <w:highlight w:val="yellow"/>
        </w:rPr>
        <w:t>World He</w:t>
      </w:r>
      <w:r w:rsidRPr="001B50DC">
        <w:rPr>
          <w:rFonts w:ascii="Arial" w:hAnsi="Arial" w:cs="Arial"/>
        </w:rPr>
        <w:t>alth Organization (WHO)</w:t>
      </w:r>
      <w:r w:rsidR="00756B48">
        <w:rPr>
          <w:rFonts w:ascii="Arial" w:hAnsi="Arial" w:cs="Arial"/>
        </w:rPr>
        <w:t>,</w:t>
      </w:r>
      <w:r w:rsidRPr="001B50DC">
        <w:rPr>
          <w:rFonts w:ascii="Arial" w:hAnsi="Arial" w:cs="Arial"/>
        </w:rPr>
        <w:t xml:space="preserve"> more than 5000 children die every day from the ingestion of contaminated food and water (Oguwike </w:t>
      </w:r>
      <w:r w:rsidRPr="001B50DC">
        <w:rPr>
          <w:rFonts w:ascii="Arial" w:hAnsi="Arial" w:cs="Arial"/>
          <w:i/>
          <w:iCs/>
        </w:rPr>
        <w:t>et al.</w:t>
      </w:r>
      <w:r w:rsidRPr="001B50DC">
        <w:rPr>
          <w:rFonts w:ascii="Arial" w:hAnsi="Arial" w:cs="Arial"/>
          <w:i/>
        </w:rPr>
        <w:t>,</w:t>
      </w:r>
      <w:r w:rsidRPr="001B50DC">
        <w:rPr>
          <w:rFonts w:ascii="Arial" w:hAnsi="Arial" w:cs="Arial"/>
        </w:rPr>
        <w:t xml:space="preserve"> 2014). Studies </w:t>
      </w:r>
      <w:r w:rsidR="00756B48" w:rsidRPr="00565D15">
        <w:rPr>
          <w:rFonts w:ascii="Arial" w:hAnsi="Arial" w:cs="Arial"/>
          <w:highlight w:val="yellow"/>
        </w:rPr>
        <w:t>ha</w:t>
      </w:r>
      <w:r w:rsidR="00756B48" w:rsidRPr="00565D15">
        <w:rPr>
          <w:rFonts w:ascii="Arial" w:hAnsi="Arial" w:cs="Arial"/>
          <w:highlight w:val="yellow"/>
        </w:rPr>
        <w:t>ve</w:t>
      </w:r>
      <w:r w:rsidR="00756B48" w:rsidRPr="00565D15">
        <w:rPr>
          <w:rFonts w:ascii="Arial" w:hAnsi="Arial" w:cs="Arial"/>
          <w:highlight w:val="yellow"/>
        </w:rPr>
        <w:t xml:space="preserve"> </w:t>
      </w:r>
      <w:r w:rsidRPr="00565D15">
        <w:rPr>
          <w:rFonts w:ascii="Arial" w:hAnsi="Arial" w:cs="Arial"/>
          <w:highlight w:val="yellow"/>
        </w:rPr>
        <w:t>identi</w:t>
      </w:r>
      <w:r w:rsidRPr="001B50DC">
        <w:rPr>
          <w:rFonts w:ascii="Arial" w:hAnsi="Arial" w:cs="Arial"/>
        </w:rPr>
        <w:t xml:space="preserve">fied some Pathogens associated with the contamination of African salads they are </w:t>
      </w:r>
      <w:r w:rsidRPr="001B50DC">
        <w:rPr>
          <w:rFonts w:ascii="Arial" w:hAnsi="Arial" w:cs="Arial"/>
          <w:i/>
        </w:rPr>
        <w:t xml:space="preserve">Salmonella spp., Shigella spp., </w:t>
      </w:r>
      <w:r w:rsidRPr="00565D15">
        <w:rPr>
          <w:rFonts w:ascii="Arial" w:hAnsi="Arial" w:cs="Arial"/>
          <w:i/>
          <w:highlight w:val="yellow"/>
        </w:rPr>
        <w:t>Staphylococcus aure</w:t>
      </w:r>
      <w:r w:rsidR="00756B48" w:rsidRPr="00565D15">
        <w:rPr>
          <w:rFonts w:ascii="Arial" w:hAnsi="Arial" w:cs="Arial"/>
          <w:i/>
          <w:highlight w:val="yellow"/>
        </w:rPr>
        <w:t>u</w:t>
      </w:r>
      <w:r w:rsidRPr="00565D15">
        <w:rPr>
          <w:rFonts w:ascii="Arial" w:hAnsi="Arial" w:cs="Arial"/>
          <w:i/>
          <w:highlight w:val="yellow"/>
        </w:rPr>
        <w:t>s</w:t>
      </w:r>
      <w:r w:rsidRPr="00565D15">
        <w:rPr>
          <w:rFonts w:ascii="Arial" w:hAnsi="Arial" w:cs="Arial"/>
          <w:highlight w:val="yellow"/>
        </w:rPr>
        <w:t>,</w:t>
      </w:r>
      <w:r w:rsidRPr="001B50DC">
        <w:rPr>
          <w:rFonts w:ascii="Arial" w:hAnsi="Arial" w:cs="Arial"/>
        </w:rPr>
        <w:t xml:space="preserve"> </w:t>
      </w:r>
      <w:r w:rsidRPr="001B50DC">
        <w:rPr>
          <w:rFonts w:ascii="Arial" w:hAnsi="Arial" w:cs="Arial"/>
          <w:i/>
        </w:rPr>
        <w:t>Bacillus spp., Escherichia coli, Enterococci and Serracia</w:t>
      </w:r>
      <w:r w:rsidRPr="001B50DC">
        <w:rPr>
          <w:rFonts w:ascii="Arial" w:hAnsi="Arial" w:cs="Arial"/>
        </w:rPr>
        <w:t xml:space="preserve"> (Oranusi</w:t>
      </w:r>
      <w:r w:rsidRPr="001B50DC">
        <w:rPr>
          <w:rFonts w:ascii="Arial" w:hAnsi="Arial" w:cs="Arial"/>
          <w:i/>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2013). </w:t>
      </w:r>
      <w:r w:rsidRPr="00565D15">
        <w:rPr>
          <w:rFonts w:ascii="Arial" w:hAnsi="Arial" w:cs="Arial"/>
          <w:highlight w:val="yellow"/>
        </w:rPr>
        <w:t xml:space="preserve">Another study reveals the presence of </w:t>
      </w:r>
      <w:r w:rsidRPr="00565D15">
        <w:rPr>
          <w:rFonts w:ascii="Arial" w:hAnsi="Arial" w:cs="Arial"/>
          <w:i/>
          <w:highlight w:val="yellow"/>
        </w:rPr>
        <w:t xml:space="preserve">Salmonella spp, Bacillus spp, Enterococci, </w:t>
      </w:r>
      <w:r w:rsidR="00756B48" w:rsidRPr="00565D15">
        <w:rPr>
          <w:rFonts w:ascii="Arial" w:hAnsi="Arial" w:cs="Arial"/>
          <w:i/>
          <w:highlight w:val="yellow"/>
        </w:rPr>
        <w:t xml:space="preserve">and </w:t>
      </w:r>
      <w:r w:rsidRPr="00565D15">
        <w:rPr>
          <w:rFonts w:ascii="Arial" w:hAnsi="Arial" w:cs="Arial"/>
          <w:i/>
          <w:highlight w:val="yellow"/>
        </w:rPr>
        <w:t>Serracia</w:t>
      </w:r>
      <w:r w:rsidRPr="00565D15">
        <w:rPr>
          <w:rFonts w:ascii="Arial" w:hAnsi="Arial" w:cs="Arial"/>
          <w:highlight w:val="yellow"/>
        </w:rPr>
        <w:t xml:space="preserve">. According to Oranusi </w:t>
      </w:r>
      <w:r w:rsidRPr="00565D15">
        <w:rPr>
          <w:rFonts w:ascii="Arial" w:hAnsi="Arial" w:cs="Arial"/>
          <w:i/>
          <w:iCs/>
          <w:highlight w:val="yellow"/>
        </w:rPr>
        <w:t>et al.</w:t>
      </w:r>
      <w:r w:rsidRPr="00565D15">
        <w:rPr>
          <w:rFonts w:ascii="Arial" w:hAnsi="Arial" w:cs="Arial"/>
          <w:i/>
          <w:highlight w:val="yellow"/>
        </w:rPr>
        <w:t>,</w:t>
      </w:r>
      <w:r w:rsidRPr="00565D15">
        <w:rPr>
          <w:rFonts w:ascii="Arial" w:hAnsi="Arial" w:cs="Arial"/>
          <w:highlight w:val="yellow"/>
        </w:rPr>
        <w:t xml:space="preserve"> (2013), reveals that the predominant bacteria</w:t>
      </w:r>
      <w:r w:rsidRPr="001B50DC">
        <w:rPr>
          <w:rFonts w:ascii="Arial" w:hAnsi="Arial" w:cs="Arial"/>
        </w:rPr>
        <w:t xml:space="preserve"> isolated from African salad are </w:t>
      </w:r>
      <w:r w:rsidRPr="001B50DC">
        <w:rPr>
          <w:rFonts w:ascii="Arial" w:hAnsi="Arial" w:cs="Arial"/>
          <w:i/>
          <w:iCs/>
        </w:rPr>
        <w:t>Bacillus</w:t>
      </w:r>
      <w:r w:rsidRPr="001B50DC">
        <w:rPr>
          <w:rFonts w:ascii="Arial" w:hAnsi="Arial" w:cs="Arial"/>
        </w:rPr>
        <w:t xml:space="preserve"> spp., </w:t>
      </w:r>
      <w:r w:rsidRPr="001B50DC">
        <w:rPr>
          <w:rFonts w:ascii="Arial" w:hAnsi="Arial" w:cs="Arial"/>
          <w:i/>
          <w:iCs/>
        </w:rPr>
        <w:t>Staphylococcus</w:t>
      </w:r>
      <w:r w:rsidRPr="001B50DC">
        <w:rPr>
          <w:rFonts w:ascii="Arial" w:hAnsi="Arial" w:cs="Arial"/>
        </w:rPr>
        <w:t xml:space="preserve"> spp., </w:t>
      </w:r>
      <w:r w:rsidRPr="001B50DC">
        <w:rPr>
          <w:rFonts w:ascii="Arial" w:hAnsi="Arial" w:cs="Arial"/>
          <w:i/>
          <w:iCs/>
        </w:rPr>
        <w:t>Escherichia coli</w:t>
      </w:r>
      <w:r w:rsidRPr="001B50DC">
        <w:rPr>
          <w:rFonts w:ascii="Arial" w:hAnsi="Arial" w:cs="Arial"/>
        </w:rPr>
        <w:t xml:space="preserve">, </w:t>
      </w:r>
      <w:r w:rsidRPr="001B50DC">
        <w:rPr>
          <w:rFonts w:ascii="Arial" w:hAnsi="Arial" w:cs="Arial"/>
          <w:i/>
          <w:iCs/>
        </w:rPr>
        <w:t>Enterococci</w:t>
      </w:r>
      <w:r w:rsidRPr="001B50DC">
        <w:rPr>
          <w:rFonts w:ascii="Arial" w:hAnsi="Arial" w:cs="Arial"/>
        </w:rPr>
        <w:t xml:space="preserve"> and </w:t>
      </w:r>
      <w:r w:rsidRPr="001B50DC">
        <w:rPr>
          <w:rFonts w:ascii="Arial" w:hAnsi="Arial" w:cs="Arial"/>
          <w:i/>
          <w:iCs/>
        </w:rPr>
        <w:t>Serracia</w:t>
      </w:r>
      <w:r w:rsidRPr="001B50DC">
        <w:rPr>
          <w:rFonts w:ascii="Arial" w:hAnsi="Arial" w:cs="Arial"/>
        </w:rPr>
        <w:t xml:space="preserve"> spp.  (</w:t>
      </w:r>
      <w:r w:rsidR="00AF4EA5">
        <w:rPr>
          <w:rFonts w:ascii="Arial" w:hAnsi="Arial" w:cs="Arial"/>
        </w:rPr>
        <w:t>Ire</w:t>
      </w:r>
      <w:r w:rsidRPr="001B50DC">
        <w:rPr>
          <w:rFonts w:ascii="Arial" w:hAnsi="Arial" w:cs="Arial"/>
        </w:rPr>
        <w:t>, 202</w:t>
      </w:r>
      <w:r w:rsidR="00AF4EA5">
        <w:rPr>
          <w:rFonts w:ascii="Arial" w:hAnsi="Arial" w:cs="Arial"/>
        </w:rPr>
        <w:t>4</w:t>
      </w:r>
      <w:r w:rsidRPr="001B50DC">
        <w:rPr>
          <w:rFonts w:ascii="Arial" w:hAnsi="Arial" w:cs="Arial"/>
        </w:rPr>
        <w:t>; Bintsis, 2017; Oguwike, 2014; Oranusi</w:t>
      </w:r>
      <w:r w:rsidRPr="001B50DC">
        <w:rPr>
          <w:rFonts w:ascii="Arial" w:hAnsi="Arial" w:cs="Arial"/>
          <w:i/>
        </w:rPr>
        <w:t xml:space="preserve"> </w:t>
      </w:r>
      <w:r w:rsidRPr="001B50DC">
        <w:rPr>
          <w:rFonts w:ascii="Arial" w:hAnsi="Arial" w:cs="Arial"/>
          <w:i/>
          <w:iCs/>
        </w:rPr>
        <w:t>et al.</w:t>
      </w:r>
      <w:r w:rsidRPr="001B50DC">
        <w:rPr>
          <w:rFonts w:ascii="Arial" w:hAnsi="Arial" w:cs="Arial"/>
          <w:i/>
        </w:rPr>
        <w:t>,</w:t>
      </w:r>
      <w:r w:rsidRPr="001B50DC">
        <w:rPr>
          <w:rFonts w:ascii="Arial" w:hAnsi="Arial" w:cs="Arial"/>
        </w:rPr>
        <w:t xml:space="preserve"> 2013). </w:t>
      </w:r>
    </w:p>
    <w:p w14:paraId="0106E1DB" w14:textId="207358EC" w:rsidR="001B50DC" w:rsidRPr="001B50DC" w:rsidRDefault="001B50DC" w:rsidP="001B50DC">
      <w:pPr>
        <w:pStyle w:val="Body"/>
        <w:rPr>
          <w:rFonts w:ascii="Arial" w:hAnsi="Arial" w:cs="Arial"/>
          <w:b/>
        </w:rPr>
      </w:pPr>
      <w:r w:rsidRPr="001B50DC">
        <w:rPr>
          <w:rFonts w:ascii="Arial" w:hAnsi="Arial" w:cs="Arial"/>
        </w:rPr>
        <w:t xml:space="preserve">Previous research has shown that RTE salad is a haven for a host of microorganisms which may carry </w:t>
      </w:r>
      <w:r w:rsidR="00756B48" w:rsidRPr="00565D15">
        <w:rPr>
          <w:rFonts w:ascii="Arial" w:hAnsi="Arial" w:cs="Arial"/>
          <w:highlight w:val="yellow"/>
        </w:rPr>
        <w:t>antibiotic</w:t>
      </w:r>
      <w:r w:rsidR="00756B48" w:rsidRPr="00565D15">
        <w:rPr>
          <w:rFonts w:ascii="Arial" w:hAnsi="Arial" w:cs="Arial"/>
          <w:highlight w:val="yellow"/>
        </w:rPr>
        <w:t>-</w:t>
      </w:r>
      <w:r w:rsidRPr="00565D15">
        <w:rPr>
          <w:rFonts w:ascii="Arial" w:hAnsi="Arial" w:cs="Arial"/>
          <w:highlight w:val="yellow"/>
        </w:rPr>
        <w:t>res</w:t>
      </w:r>
      <w:r w:rsidRPr="001B50DC">
        <w:rPr>
          <w:rFonts w:ascii="Arial" w:hAnsi="Arial" w:cs="Arial"/>
        </w:rPr>
        <w:t xml:space="preserve">istance genes (ARGs) (Zhou </w:t>
      </w:r>
      <w:r w:rsidRPr="001B50DC">
        <w:rPr>
          <w:rFonts w:ascii="Arial" w:hAnsi="Arial" w:cs="Arial"/>
          <w:i/>
          <w:iCs/>
        </w:rPr>
        <w:t>et al.</w:t>
      </w:r>
      <w:r w:rsidRPr="001B50DC">
        <w:rPr>
          <w:rFonts w:ascii="Arial" w:hAnsi="Arial" w:cs="Arial"/>
        </w:rPr>
        <w:t xml:space="preserve">, 2020; </w:t>
      </w:r>
      <w:r w:rsidR="004022E3">
        <w:rPr>
          <w:rFonts w:ascii="Arial" w:hAnsi="Arial" w:cs="Arial"/>
        </w:rPr>
        <w:t xml:space="preserve">Monsi </w:t>
      </w:r>
      <w:r w:rsidR="004022E3" w:rsidRPr="004022E3">
        <w:rPr>
          <w:rFonts w:ascii="Arial" w:hAnsi="Arial" w:cs="Arial"/>
          <w:i/>
          <w:iCs/>
        </w:rPr>
        <w:t>et al.,</w:t>
      </w:r>
      <w:r w:rsidR="004022E3">
        <w:rPr>
          <w:rFonts w:ascii="Arial" w:hAnsi="Arial" w:cs="Arial"/>
        </w:rPr>
        <w:t xml:space="preserve"> 2025</w:t>
      </w:r>
      <w:r w:rsidRPr="001B50DC">
        <w:rPr>
          <w:rFonts w:ascii="Arial" w:hAnsi="Arial" w:cs="Arial"/>
        </w:rPr>
        <w:t>). Food contaminated with antibiotic-resistant pathogenic bacteria is an important threat to public health and bacteria that have developed resistance to commonly used antimicrobial agents, can cause serious illnesses and even death. Apart from causing human infection, they also serve as host for antimicrobial resistance genes and these pathogens easily transfer antibiotic-</w:t>
      </w:r>
      <w:r w:rsidRPr="001B50DC">
        <w:rPr>
          <w:rFonts w:ascii="Arial" w:hAnsi="Arial" w:cs="Arial"/>
        </w:rPr>
        <w:lastRenderedPageBreak/>
        <w:t xml:space="preserve">resistant elements to unrelated and related bacterial species via horizontal gene transfer (Laxminarayan </w:t>
      </w:r>
      <w:r w:rsidRPr="001B50DC">
        <w:rPr>
          <w:rFonts w:ascii="Arial" w:hAnsi="Arial" w:cs="Arial"/>
          <w:i/>
          <w:iCs/>
        </w:rPr>
        <w:t>et al.</w:t>
      </w:r>
      <w:r w:rsidRPr="001B50DC">
        <w:rPr>
          <w:rFonts w:ascii="Arial" w:hAnsi="Arial" w:cs="Arial"/>
        </w:rPr>
        <w:t xml:space="preserve">, 2013). </w:t>
      </w:r>
    </w:p>
    <w:p w14:paraId="30327B12" w14:textId="6B2890CD" w:rsidR="001B50DC" w:rsidRDefault="001B50DC" w:rsidP="001B50DC">
      <w:pPr>
        <w:pStyle w:val="Body"/>
        <w:rPr>
          <w:rFonts w:ascii="Arial" w:hAnsi="Arial" w:cs="Arial"/>
        </w:rPr>
      </w:pPr>
      <w:r w:rsidRPr="001B50DC">
        <w:rPr>
          <w:rFonts w:ascii="Arial" w:hAnsi="Arial" w:cs="Arial"/>
        </w:rPr>
        <w:t xml:space="preserve">Foodborne diseases are still a global health problem, and outbreaks can cause health and economic losses (Bintsis, 2017). Globally, over 200 different foodborne diseases have been identified (Bintsis, 2017). African salad being prepared with little or no heat makes it a high-risk food if not hygienically prepared, as it could be easily contaminated (Ifeadike </w:t>
      </w:r>
      <w:r w:rsidRPr="001B50DC">
        <w:rPr>
          <w:rFonts w:ascii="Arial" w:hAnsi="Arial" w:cs="Arial"/>
          <w:i/>
          <w:iCs/>
        </w:rPr>
        <w:t>et al.,</w:t>
      </w:r>
      <w:r w:rsidRPr="001B50DC">
        <w:rPr>
          <w:rFonts w:ascii="Arial" w:hAnsi="Arial" w:cs="Arial"/>
        </w:rPr>
        <w:t xml:space="preserve"> 2014).  Microorganisms pose the threat of having resistant genes that may be difficult to treat giving rise to public health concerns (Oguwike </w:t>
      </w:r>
      <w:r w:rsidRPr="001B50DC">
        <w:rPr>
          <w:rFonts w:ascii="Arial" w:hAnsi="Arial" w:cs="Arial"/>
          <w:i/>
          <w:iCs/>
        </w:rPr>
        <w:t>et al.,</w:t>
      </w:r>
      <w:r w:rsidRPr="001B50DC">
        <w:rPr>
          <w:rFonts w:ascii="Arial" w:hAnsi="Arial" w:cs="Arial"/>
        </w:rPr>
        <w:t xml:space="preserve"> 2014; Bintsis, 2017). There is an alarming increase in antimicrobial resistance in every region of the world mostly in developing countries </w:t>
      </w:r>
      <w:r w:rsidR="00756B48" w:rsidRPr="00BD7689">
        <w:rPr>
          <w:rFonts w:ascii="Arial" w:hAnsi="Arial" w:cs="Arial"/>
          <w:highlight w:val="yellow"/>
        </w:rPr>
        <w:t>and</w:t>
      </w:r>
      <w:r w:rsidR="00756B48" w:rsidRPr="00BD7689">
        <w:rPr>
          <w:rFonts w:ascii="Arial" w:hAnsi="Arial" w:cs="Arial"/>
          <w:highlight w:val="yellow"/>
        </w:rPr>
        <w:t xml:space="preserve"> </w:t>
      </w:r>
      <w:r w:rsidRPr="00BD7689">
        <w:rPr>
          <w:rFonts w:ascii="Arial" w:hAnsi="Arial" w:cs="Arial"/>
          <w:highlight w:val="yellow"/>
        </w:rPr>
        <w:t>Niger</w:t>
      </w:r>
      <w:r w:rsidRPr="001B50DC">
        <w:rPr>
          <w:rFonts w:ascii="Arial" w:hAnsi="Arial" w:cs="Arial"/>
        </w:rPr>
        <w:t>ia is on</w:t>
      </w:r>
      <w:r w:rsidRPr="00BD7689">
        <w:rPr>
          <w:rFonts w:ascii="Arial" w:hAnsi="Arial" w:cs="Arial"/>
          <w:highlight w:val="yellow"/>
        </w:rPr>
        <w:t xml:space="preserve">e of them (Laxminarayan </w:t>
      </w:r>
      <w:r w:rsidRPr="00BD7689">
        <w:rPr>
          <w:rFonts w:ascii="Arial" w:hAnsi="Arial" w:cs="Arial"/>
          <w:i/>
          <w:iCs/>
          <w:highlight w:val="yellow"/>
        </w:rPr>
        <w:t>et al.</w:t>
      </w:r>
      <w:r w:rsidRPr="00BD7689">
        <w:rPr>
          <w:rFonts w:ascii="Arial" w:hAnsi="Arial" w:cs="Arial"/>
          <w:highlight w:val="yellow"/>
        </w:rPr>
        <w:t>, 2013). According to the World Health Organization</w:t>
      </w:r>
      <w:r w:rsidRPr="001B50DC">
        <w:rPr>
          <w:rFonts w:ascii="Arial" w:hAnsi="Arial" w:cs="Arial"/>
        </w:rPr>
        <w:t xml:space="preserve"> (WHO)</w:t>
      </w:r>
      <w:r w:rsidR="00756B48">
        <w:rPr>
          <w:rFonts w:ascii="Arial" w:hAnsi="Arial" w:cs="Arial"/>
        </w:rPr>
        <w:t>,</w:t>
      </w:r>
      <w:r w:rsidRPr="001B50DC">
        <w:rPr>
          <w:rFonts w:ascii="Arial" w:hAnsi="Arial" w:cs="Arial"/>
        </w:rPr>
        <w:t xml:space="preserve"> more than 5000 children die every day from the ingestion of contaminated food (Oguwike </w:t>
      </w:r>
      <w:r w:rsidRPr="001B50DC">
        <w:rPr>
          <w:rFonts w:ascii="Arial" w:hAnsi="Arial" w:cs="Arial"/>
          <w:i/>
          <w:iCs/>
        </w:rPr>
        <w:t>et al.,</w:t>
      </w:r>
      <w:r w:rsidRPr="001B50DC">
        <w:rPr>
          <w:rFonts w:ascii="Arial" w:hAnsi="Arial" w:cs="Arial"/>
        </w:rPr>
        <w:t xml:space="preserve"> 2014).</w:t>
      </w:r>
    </w:p>
    <w:p w14:paraId="5AF786F5" w14:textId="5B0AD0D2" w:rsidR="001B50DC" w:rsidRPr="001B50DC" w:rsidRDefault="001B50DC" w:rsidP="001B50DC">
      <w:pPr>
        <w:pStyle w:val="Body"/>
        <w:rPr>
          <w:rFonts w:ascii="Arial" w:hAnsi="Arial" w:cs="Arial"/>
        </w:rPr>
      </w:pPr>
      <w:r w:rsidRPr="001B50DC">
        <w:rPr>
          <w:rFonts w:ascii="Arial" w:hAnsi="Arial" w:cs="Arial"/>
        </w:rPr>
        <w:t>Estimations of the burden of food</w:t>
      </w:r>
      <w:r>
        <w:rPr>
          <w:rFonts w:ascii="Arial" w:hAnsi="Arial" w:cs="Arial"/>
        </w:rPr>
        <w:t>-</w:t>
      </w:r>
      <w:r w:rsidRPr="001B50DC">
        <w:rPr>
          <w:rFonts w:ascii="Arial" w:hAnsi="Arial" w:cs="Arial"/>
        </w:rPr>
        <w:t>borne disease are complicated by the fact that very few illnesses can be definitively linked to food. Often these links are only made during outbreak situations. Studies determining the burden of acute gastroenteritis provide the basis for estimating the burdens due to food and specific pathogens commonly transmitted by food. Analysis of foodborne outbreak data is one approach to estimate (Bhaskar, 2017).</w:t>
      </w:r>
    </w:p>
    <w:p w14:paraId="36422948" w14:textId="0E47F559" w:rsidR="001B50DC" w:rsidRPr="001B50DC" w:rsidRDefault="001B50DC" w:rsidP="001B50DC">
      <w:pPr>
        <w:pStyle w:val="Body"/>
        <w:rPr>
          <w:rFonts w:ascii="Arial" w:hAnsi="Arial" w:cs="Arial"/>
        </w:rPr>
      </w:pPr>
      <w:r w:rsidRPr="001B50DC">
        <w:rPr>
          <w:rFonts w:ascii="Arial" w:hAnsi="Arial" w:cs="Arial"/>
        </w:rPr>
        <w:t xml:space="preserve">Everyone is at high risk of foodborne diseases including the elderly, pregnant women, people taking certain medications or immune suppressed (e.g., cancer patients, diabetics) or healthy people exposed to a very high dose of an organism. There is a paucity of data on the microbial pathogens associated with African salad sold especially within Port Harcourt. Educating the public on the microbial contamination/hygienic level of African salad and promoting safe consumption and production of food is in line with the sustainable development goals. </w:t>
      </w:r>
      <w:r w:rsidRPr="00835614">
        <w:rPr>
          <w:rFonts w:ascii="Arial" w:hAnsi="Arial" w:cs="Arial"/>
          <w:highlight w:val="yellow"/>
        </w:rPr>
        <w:t xml:space="preserve">To identify </w:t>
      </w:r>
      <w:r w:rsidR="00756B48" w:rsidRPr="00835614">
        <w:rPr>
          <w:rFonts w:ascii="Arial" w:hAnsi="Arial" w:cs="Arial"/>
          <w:highlight w:val="yellow"/>
        </w:rPr>
        <w:t>antimicrobial</w:t>
      </w:r>
      <w:r w:rsidR="00756B48">
        <w:rPr>
          <w:rFonts w:ascii="Arial" w:hAnsi="Arial" w:cs="Arial"/>
          <w:highlight w:val="yellow"/>
        </w:rPr>
        <w:t>-</w:t>
      </w:r>
      <w:r w:rsidRPr="00835614">
        <w:rPr>
          <w:rFonts w:ascii="Arial" w:hAnsi="Arial" w:cs="Arial"/>
          <w:highlight w:val="yellow"/>
        </w:rPr>
        <w:t>resistant bacteria genes found in African salad consumed in Port Harcourt, Nigeria.</w:t>
      </w:r>
    </w:p>
    <w:p w14:paraId="71B29B4B" w14:textId="77777777" w:rsidR="00790ADA" w:rsidRPr="00FB3A86" w:rsidRDefault="00790ADA" w:rsidP="00441B6F">
      <w:pPr>
        <w:pStyle w:val="Body"/>
        <w:spacing w:after="0"/>
        <w:rPr>
          <w:rFonts w:ascii="Arial" w:hAnsi="Arial" w:cs="Arial"/>
        </w:rPr>
      </w:pPr>
    </w:p>
    <w:p w14:paraId="6BFC89AC" w14:textId="7D305096"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23A8E62" w14:textId="77777777" w:rsidR="00790ADA" w:rsidRPr="00FB3A86" w:rsidRDefault="00790ADA" w:rsidP="00441B6F">
      <w:pPr>
        <w:pStyle w:val="AbstHead"/>
        <w:spacing w:after="0"/>
        <w:jc w:val="both"/>
        <w:rPr>
          <w:rFonts w:ascii="Arial" w:hAnsi="Arial" w:cs="Arial"/>
        </w:rPr>
      </w:pPr>
    </w:p>
    <w:p w14:paraId="26BE9E79" w14:textId="31137875" w:rsidR="00560F4A" w:rsidRDefault="00AA74E0" w:rsidP="00560F4A">
      <w:pPr>
        <w:pStyle w:val="Body"/>
        <w:rPr>
          <w:rFonts w:ascii="Arial" w:hAnsi="Arial" w:cs="Arial"/>
          <w:b/>
          <w:caps/>
          <w:sz w:val="22"/>
        </w:rPr>
      </w:pPr>
      <w:r w:rsidRPr="00C30A0F">
        <w:rPr>
          <w:rFonts w:ascii="Arial" w:hAnsi="Arial" w:cs="Arial"/>
          <w:b/>
          <w:caps/>
          <w:sz w:val="22"/>
        </w:rPr>
        <w:t xml:space="preserve">2.1 </w:t>
      </w:r>
      <w:r w:rsidR="00560F4A" w:rsidRPr="00560F4A">
        <w:rPr>
          <w:rFonts w:ascii="Arial" w:hAnsi="Arial" w:cs="Arial"/>
          <w:b/>
          <w:sz w:val="22"/>
        </w:rPr>
        <w:t>Study Area</w:t>
      </w:r>
    </w:p>
    <w:p w14:paraId="6F2788C2" w14:textId="2890A550" w:rsidR="00560F4A" w:rsidRPr="00560F4A" w:rsidRDefault="00560F4A" w:rsidP="00560F4A">
      <w:pPr>
        <w:pStyle w:val="Body"/>
        <w:rPr>
          <w:rFonts w:ascii="Arial" w:hAnsi="Arial" w:cs="Arial"/>
        </w:rPr>
      </w:pPr>
      <w:r w:rsidRPr="00560F4A">
        <w:rPr>
          <w:rFonts w:ascii="Arial" w:hAnsi="Arial" w:cs="Arial"/>
        </w:rPr>
        <w:t xml:space="preserve">This study was carried </w:t>
      </w:r>
      <w:r w:rsidRPr="00BD7689">
        <w:rPr>
          <w:rFonts w:ascii="Arial" w:hAnsi="Arial" w:cs="Arial"/>
          <w:highlight w:val="yellow"/>
        </w:rPr>
        <w:t xml:space="preserve">out in </w:t>
      </w:r>
      <w:r w:rsidR="00756B48" w:rsidRPr="00BD7689">
        <w:rPr>
          <w:rFonts w:ascii="Arial" w:hAnsi="Arial" w:cs="Arial"/>
          <w:highlight w:val="yellow"/>
        </w:rPr>
        <w:t xml:space="preserve">the </w:t>
      </w:r>
      <w:r w:rsidRPr="00BD7689">
        <w:rPr>
          <w:rFonts w:ascii="Arial" w:hAnsi="Arial" w:cs="Arial"/>
          <w:highlight w:val="yellow"/>
        </w:rPr>
        <w:t>Port Harcourt m</w:t>
      </w:r>
      <w:r w:rsidRPr="00560F4A">
        <w:rPr>
          <w:rFonts w:ascii="Arial" w:hAnsi="Arial" w:cs="Arial"/>
        </w:rPr>
        <w:t>etropolis, the capital of Rivers State, southern Nigeria. It has a Latitude of 4.75</w:t>
      </w:r>
      <w:r w:rsidRPr="00560F4A">
        <w:rPr>
          <w:rFonts w:ascii="Arial" w:hAnsi="Arial" w:cs="Arial"/>
          <w:vertAlign w:val="superscript"/>
        </w:rPr>
        <w:t>o</w:t>
      </w:r>
      <w:r w:rsidRPr="00560F4A">
        <w:rPr>
          <w:rFonts w:ascii="Arial" w:hAnsi="Arial" w:cs="Arial"/>
        </w:rPr>
        <w:t>N and a longitude of 7</w:t>
      </w:r>
      <w:r w:rsidRPr="00560F4A">
        <w:rPr>
          <w:rFonts w:ascii="Arial" w:hAnsi="Arial" w:cs="Arial"/>
          <w:vertAlign w:val="superscript"/>
        </w:rPr>
        <w:t>o</w:t>
      </w:r>
      <w:r w:rsidRPr="00560F4A">
        <w:rPr>
          <w:rFonts w:ascii="Arial" w:hAnsi="Arial" w:cs="Arial"/>
        </w:rPr>
        <w:t>E. It lies along the Bony Rivers and is located in Niger Delta (Britannica, 2019)</w:t>
      </w:r>
      <w:r w:rsidR="00295731">
        <w:rPr>
          <w:rFonts w:ascii="Arial" w:hAnsi="Arial" w:cs="Arial"/>
        </w:rPr>
        <w:t xml:space="preserve"> as shown in </w:t>
      </w:r>
      <w:r w:rsidR="00295731" w:rsidRPr="00295731">
        <w:rPr>
          <w:rFonts w:ascii="Arial" w:hAnsi="Arial" w:cs="Arial"/>
          <w:b/>
          <w:bCs/>
        </w:rPr>
        <w:t>Fig. 1</w:t>
      </w:r>
      <w:r w:rsidRPr="00560F4A">
        <w:rPr>
          <w:rFonts w:ascii="Arial" w:hAnsi="Arial" w:cs="Arial"/>
        </w:rPr>
        <w:t>.</w:t>
      </w:r>
    </w:p>
    <w:p w14:paraId="4F8847C4" w14:textId="77777777" w:rsidR="007B5482" w:rsidRDefault="007B5482" w:rsidP="007B5482">
      <w:pPr>
        <w:pStyle w:val="Body"/>
        <w:rPr>
          <w:rFonts w:ascii="Arial" w:hAnsi="Arial" w:cs="Arial"/>
        </w:rPr>
      </w:pPr>
      <w:r w:rsidRPr="00D67BBC">
        <w:rPr>
          <w:rFonts w:ascii="Arial" w:hAnsi="Arial" w:cs="Arial"/>
          <w:noProof/>
        </w:rPr>
        <w:lastRenderedPageBreak/>
        <w:drawing>
          <wp:inline distT="0" distB="0" distL="0" distR="0" wp14:anchorId="47C6EED4" wp14:editId="35C51621">
            <wp:extent cx="5212080" cy="3131820"/>
            <wp:effectExtent l="0" t="0" r="0" b="0"/>
            <wp:docPr id="424695134" name="Picture 1" descr="Map of Port Harcourt metropolis (Abio/Akpor and Port Harcourt L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Port Harcourt metropolis (Abio/Akpor and Port Harcourt LG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3131820"/>
                    </a:xfrm>
                    <a:prstGeom prst="rect">
                      <a:avLst/>
                    </a:prstGeom>
                    <a:noFill/>
                    <a:ln>
                      <a:noFill/>
                    </a:ln>
                  </pic:spPr>
                </pic:pic>
              </a:graphicData>
            </a:graphic>
          </wp:inline>
        </w:drawing>
      </w:r>
    </w:p>
    <w:p w14:paraId="3A3614C0" w14:textId="41B83DFD" w:rsidR="007B5482" w:rsidRPr="00560F4A" w:rsidRDefault="007B5482" w:rsidP="007B5482">
      <w:pPr>
        <w:pStyle w:val="Body"/>
        <w:rPr>
          <w:rFonts w:ascii="Arial" w:hAnsi="Arial" w:cs="Arial"/>
        </w:rPr>
      </w:pPr>
      <w:r w:rsidRPr="00295731">
        <w:rPr>
          <w:rFonts w:ascii="Arial" w:hAnsi="Arial" w:cs="Arial"/>
          <w:b/>
          <w:bCs/>
        </w:rPr>
        <w:t>Fig</w:t>
      </w:r>
      <w:r w:rsidR="00295731">
        <w:rPr>
          <w:rFonts w:ascii="Arial" w:hAnsi="Arial" w:cs="Arial"/>
          <w:b/>
          <w:bCs/>
        </w:rPr>
        <w:t>.</w:t>
      </w:r>
      <w:r w:rsidRPr="00295731">
        <w:rPr>
          <w:rFonts w:ascii="Arial" w:hAnsi="Arial" w:cs="Arial"/>
          <w:b/>
          <w:bCs/>
        </w:rPr>
        <w:t xml:space="preserve"> 1. Map of study location</w:t>
      </w:r>
      <w:r>
        <w:rPr>
          <w:rFonts w:ascii="Arial" w:hAnsi="Arial" w:cs="Arial"/>
        </w:rPr>
        <w:t>. Adapted from Toko et al. 2020.</w:t>
      </w:r>
    </w:p>
    <w:p w14:paraId="6E5FFB56" w14:textId="2A7E2407" w:rsidR="00560F4A" w:rsidRDefault="00560F4A" w:rsidP="00560F4A">
      <w:pPr>
        <w:pStyle w:val="Body"/>
        <w:rPr>
          <w:rFonts w:ascii="Arial" w:hAnsi="Arial" w:cs="Arial"/>
          <w:b/>
          <w:caps/>
          <w:sz w:val="22"/>
        </w:rPr>
      </w:pPr>
      <w:r w:rsidRPr="00C30A0F">
        <w:rPr>
          <w:rFonts w:ascii="Arial" w:hAnsi="Arial" w:cs="Arial"/>
          <w:b/>
          <w:caps/>
          <w:sz w:val="22"/>
        </w:rPr>
        <w:t>2.</w:t>
      </w:r>
      <w:r w:rsidR="007B5482">
        <w:rPr>
          <w:rFonts w:ascii="Arial" w:hAnsi="Arial" w:cs="Arial"/>
          <w:b/>
          <w:caps/>
          <w:sz w:val="22"/>
        </w:rPr>
        <w:t>2</w:t>
      </w:r>
      <w:r w:rsidRPr="00C30A0F">
        <w:rPr>
          <w:rFonts w:ascii="Arial" w:hAnsi="Arial" w:cs="Arial"/>
          <w:b/>
          <w:caps/>
          <w:sz w:val="22"/>
        </w:rPr>
        <w:t xml:space="preserve"> </w:t>
      </w:r>
      <w:r w:rsidR="00295731">
        <w:rPr>
          <w:rFonts w:ascii="Arial" w:hAnsi="Arial" w:cs="Arial"/>
          <w:b/>
          <w:sz w:val="22"/>
        </w:rPr>
        <w:t>Experimental Design</w:t>
      </w:r>
    </w:p>
    <w:p w14:paraId="4FA2C3A9" w14:textId="6CBF132E" w:rsidR="00295731" w:rsidRPr="00295731" w:rsidRDefault="00295731" w:rsidP="00295731">
      <w:pPr>
        <w:pStyle w:val="Body"/>
        <w:rPr>
          <w:rFonts w:ascii="Arial" w:hAnsi="Arial" w:cs="Arial"/>
        </w:rPr>
      </w:pPr>
      <w:r w:rsidRPr="00295731">
        <w:rPr>
          <w:rFonts w:ascii="Arial" w:hAnsi="Arial" w:cs="Arial"/>
        </w:rPr>
        <w:t xml:space="preserve">A cross-sectional study design was adopted for this study as samples were </w:t>
      </w:r>
      <w:r w:rsidRPr="00241756">
        <w:rPr>
          <w:rFonts w:ascii="Arial" w:hAnsi="Arial" w:cs="Arial"/>
          <w:highlight w:val="yellow"/>
        </w:rPr>
        <w:t xml:space="preserve">taken </w:t>
      </w:r>
      <w:r w:rsidR="00756B48" w:rsidRPr="00241756">
        <w:rPr>
          <w:rFonts w:ascii="Arial" w:hAnsi="Arial" w:cs="Arial"/>
          <w:highlight w:val="yellow"/>
        </w:rPr>
        <w:t xml:space="preserve">at </w:t>
      </w:r>
      <w:r w:rsidRPr="00241756">
        <w:rPr>
          <w:rFonts w:ascii="Arial" w:hAnsi="Arial" w:cs="Arial"/>
          <w:highlight w:val="yellow"/>
        </w:rPr>
        <w:t xml:space="preserve">a </w:t>
      </w:r>
      <w:r w:rsidRPr="00295731">
        <w:rPr>
          <w:rFonts w:ascii="Arial" w:hAnsi="Arial" w:cs="Arial"/>
        </w:rPr>
        <w:t>particular point in time.</w:t>
      </w:r>
    </w:p>
    <w:p w14:paraId="6D458C3A" w14:textId="45C713AB" w:rsidR="00560F4A" w:rsidRDefault="00560F4A" w:rsidP="00560F4A">
      <w:pPr>
        <w:pStyle w:val="Body"/>
        <w:rPr>
          <w:rFonts w:ascii="Arial" w:hAnsi="Arial" w:cs="Arial"/>
          <w:b/>
          <w:caps/>
          <w:sz w:val="22"/>
        </w:rPr>
      </w:pPr>
      <w:r w:rsidRPr="00C30A0F">
        <w:rPr>
          <w:rFonts w:ascii="Arial" w:hAnsi="Arial" w:cs="Arial"/>
          <w:b/>
          <w:caps/>
          <w:sz w:val="22"/>
        </w:rPr>
        <w:t>2.</w:t>
      </w:r>
      <w:r w:rsidR="00235B61">
        <w:rPr>
          <w:rFonts w:ascii="Arial" w:hAnsi="Arial" w:cs="Arial"/>
          <w:b/>
          <w:caps/>
          <w:sz w:val="22"/>
        </w:rPr>
        <w:t>3</w:t>
      </w:r>
      <w:r w:rsidRPr="00C30A0F">
        <w:rPr>
          <w:rFonts w:ascii="Arial" w:hAnsi="Arial" w:cs="Arial"/>
          <w:b/>
          <w:caps/>
          <w:sz w:val="22"/>
        </w:rPr>
        <w:t xml:space="preserve"> </w:t>
      </w:r>
      <w:r w:rsidRPr="00560F4A">
        <w:rPr>
          <w:rFonts w:ascii="Arial" w:hAnsi="Arial" w:cs="Arial"/>
          <w:b/>
          <w:sz w:val="22"/>
        </w:rPr>
        <w:t>S</w:t>
      </w:r>
      <w:r w:rsidR="00235B61">
        <w:rPr>
          <w:rFonts w:ascii="Arial" w:hAnsi="Arial" w:cs="Arial"/>
          <w:b/>
          <w:sz w:val="22"/>
        </w:rPr>
        <w:t>ample Collection</w:t>
      </w:r>
    </w:p>
    <w:p w14:paraId="42E18FE6" w14:textId="799C07F5" w:rsidR="00235B61" w:rsidRPr="00235B61" w:rsidRDefault="00235B61" w:rsidP="00235B61">
      <w:pPr>
        <w:pStyle w:val="Body"/>
        <w:rPr>
          <w:rFonts w:ascii="Arial" w:hAnsi="Arial" w:cs="Arial"/>
        </w:rPr>
      </w:pPr>
      <w:r w:rsidRPr="00235B61">
        <w:rPr>
          <w:rFonts w:ascii="Arial" w:hAnsi="Arial" w:cs="Arial"/>
        </w:rPr>
        <w:t>A total of 40 ready</w:t>
      </w:r>
      <w:r w:rsidR="0047006F">
        <w:rPr>
          <w:rFonts w:ascii="Arial" w:hAnsi="Arial" w:cs="Arial"/>
        </w:rPr>
        <w:t>-</w:t>
      </w:r>
      <w:r w:rsidRPr="00235B61">
        <w:rPr>
          <w:rFonts w:ascii="Arial" w:hAnsi="Arial" w:cs="Arial"/>
        </w:rPr>
        <w:t>to</w:t>
      </w:r>
      <w:r w:rsidR="0047006F">
        <w:rPr>
          <w:rFonts w:ascii="Arial" w:hAnsi="Arial" w:cs="Arial"/>
        </w:rPr>
        <w:t>-</w:t>
      </w:r>
      <w:r w:rsidRPr="00235B61">
        <w:rPr>
          <w:rFonts w:ascii="Arial" w:hAnsi="Arial" w:cs="Arial"/>
        </w:rPr>
        <w:t xml:space="preserve">eat African </w:t>
      </w:r>
      <w:r w:rsidRPr="00241756">
        <w:rPr>
          <w:rFonts w:ascii="Arial" w:hAnsi="Arial" w:cs="Arial"/>
          <w:highlight w:val="yellow"/>
        </w:rPr>
        <w:t>salad</w:t>
      </w:r>
      <w:r w:rsidR="00756B48" w:rsidRPr="00241756">
        <w:rPr>
          <w:rFonts w:ascii="Arial" w:hAnsi="Arial" w:cs="Arial"/>
          <w:highlight w:val="yellow"/>
        </w:rPr>
        <w:t>s</w:t>
      </w:r>
      <w:r w:rsidRPr="00241756">
        <w:rPr>
          <w:rFonts w:ascii="Arial" w:hAnsi="Arial" w:cs="Arial"/>
          <w:highlight w:val="yellow"/>
        </w:rPr>
        <w:t xml:space="preserve"> were purchased from different vendors</w:t>
      </w:r>
      <w:r w:rsidRPr="00235B61">
        <w:rPr>
          <w:rFonts w:ascii="Arial" w:hAnsi="Arial" w:cs="Arial"/>
        </w:rPr>
        <w:t xml:space="preserve">. </w:t>
      </w:r>
      <w:r w:rsidR="005A5618">
        <w:rPr>
          <w:rFonts w:ascii="Arial" w:hAnsi="Arial" w:cs="Arial"/>
        </w:rPr>
        <w:t>Two s</w:t>
      </w:r>
      <w:r w:rsidRPr="00235B61">
        <w:rPr>
          <w:rFonts w:ascii="Arial" w:hAnsi="Arial" w:cs="Arial"/>
        </w:rPr>
        <w:t xml:space="preserve">amples were collected from each location. For each vendor, the samples were collected into two containers; A </w:t>
      </w:r>
      <w:r w:rsidRPr="00241756">
        <w:rPr>
          <w:rFonts w:ascii="Arial" w:hAnsi="Arial" w:cs="Arial"/>
          <w:highlight w:val="yellow"/>
        </w:rPr>
        <w:t xml:space="preserve">sterile </w:t>
      </w:r>
      <w:r w:rsidR="00756B48" w:rsidRPr="00241756">
        <w:rPr>
          <w:rFonts w:ascii="Arial" w:hAnsi="Arial" w:cs="Arial"/>
          <w:highlight w:val="yellow"/>
        </w:rPr>
        <w:t>wide</w:t>
      </w:r>
      <w:r w:rsidR="00756B48" w:rsidRPr="00241756">
        <w:rPr>
          <w:rFonts w:ascii="Arial" w:hAnsi="Arial" w:cs="Arial"/>
          <w:highlight w:val="yellow"/>
        </w:rPr>
        <w:t>-</w:t>
      </w:r>
      <w:r w:rsidRPr="00241756">
        <w:rPr>
          <w:rFonts w:ascii="Arial" w:hAnsi="Arial" w:cs="Arial"/>
          <w:highlight w:val="yellow"/>
        </w:rPr>
        <w:t xml:space="preserve">mouth container and </w:t>
      </w:r>
      <w:r w:rsidR="00756B48" w:rsidRPr="00241756">
        <w:rPr>
          <w:rFonts w:ascii="Arial" w:hAnsi="Arial" w:cs="Arial"/>
          <w:highlight w:val="yellow"/>
        </w:rPr>
        <w:t xml:space="preserve">a </w:t>
      </w:r>
      <w:r w:rsidRPr="00241756">
        <w:rPr>
          <w:rFonts w:ascii="Arial" w:hAnsi="Arial" w:cs="Arial"/>
          <w:highlight w:val="yellow"/>
        </w:rPr>
        <w:t>Styrofoam</w:t>
      </w:r>
      <w:r w:rsidRPr="00235B61">
        <w:rPr>
          <w:rFonts w:ascii="Arial" w:hAnsi="Arial" w:cs="Arial"/>
        </w:rPr>
        <w:t xml:space="preserve"> plate popularly called foil plate. They were properly labelled and transported in an ice box to the Microbiology Laboratory of the Rivers State University, Health Services Department for immediate microbial analyses. The sampled locations were UST Maingate, Azikiwe, Mile 1 Diobu, Ikoku, Ada-George, Iwofe, Agip, Amadi-Ama, Choba, Rumuokoro, Rumuola, Rumuokwuta, Garrison, Waterlines, Marine Base, Borokiri, Trans-Amadi, Woji, Peter Odili Road, </w:t>
      </w:r>
      <w:r w:rsidR="005A5618">
        <w:rPr>
          <w:rFonts w:ascii="Arial" w:hAnsi="Arial" w:cs="Arial"/>
        </w:rPr>
        <w:t xml:space="preserve">and </w:t>
      </w:r>
      <w:r w:rsidRPr="00235B61">
        <w:rPr>
          <w:rFonts w:ascii="Arial" w:hAnsi="Arial" w:cs="Arial"/>
        </w:rPr>
        <w:t xml:space="preserve">Elelenwo. </w:t>
      </w:r>
    </w:p>
    <w:p w14:paraId="3835BA6D" w14:textId="264BC1B1" w:rsidR="00560F4A" w:rsidRDefault="00560F4A" w:rsidP="00560F4A">
      <w:pPr>
        <w:pStyle w:val="Body"/>
        <w:rPr>
          <w:rFonts w:ascii="Arial" w:hAnsi="Arial" w:cs="Arial"/>
          <w:b/>
          <w:caps/>
          <w:sz w:val="22"/>
        </w:rPr>
      </w:pPr>
      <w:r w:rsidRPr="00C30A0F">
        <w:rPr>
          <w:rFonts w:ascii="Arial" w:hAnsi="Arial" w:cs="Arial"/>
          <w:b/>
          <w:caps/>
          <w:sz w:val="22"/>
        </w:rPr>
        <w:t>2.</w:t>
      </w:r>
      <w:r w:rsidR="00235B61">
        <w:rPr>
          <w:rFonts w:ascii="Arial" w:hAnsi="Arial" w:cs="Arial"/>
          <w:b/>
          <w:caps/>
          <w:sz w:val="22"/>
        </w:rPr>
        <w:t>4</w:t>
      </w:r>
      <w:r w:rsidRPr="00C30A0F">
        <w:rPr>
          <w:rFonts w:ascii="Arial" w:hAnsi="Arial" w:cs="Arial"/>
          <w:b/>
          <w:caps/>
          <w:sz w:val="22"/>
        </w:rPr>
        <w:t xml:space="preserve"> </w:t>
      </w:r>
      <w:r w:rsidR="00235B61">
        <w:rPr>
          <w:rFonts w:ascii="Arial" w:hAnsi="Arial" w:cs="Arial"/>
          <w:b/>
          <w:sz w:val="22"/>
        </w:rPr>
        <w:t>Microbial Analyses of Samples</w:t>
      </w:r>
    </w:p>
    <w:p w14:paraId="01EBAD1D" w14:textId="4251248E" w:rsidR="00235B61" w:rsidRDefault="00235B61" w:rsidP="00235B61">
      <w:pPr>
        <w:pStyle w:val="Body"/>
        <w:rPr>
          <w:rFonts w:ascii="Arial" w:hAnsi="Arial" w:cs="Arial"/>
        </w:rPr>
      </w:pPr>
      <w:r w:rsidRPr="00235B61">
        <w:rPr>
          <w:rFonts w:ascii="Arial" w:hAnsi="Arial" w:cs="Arial"/>
        </w:rPr>
        <w:t xml:space="preserve">One gram (1 g) of </w:t>
      </w:r>
      <w:r w:rsidRPr="00241756">
        <w:rPr>
          <w:rFonts w:ascii="Arial" w:hAnsi="Arial" w:cs="Arial"/>
          <w:highlight w:val="yellow"/>
        </w:rPr>
        <w:t xml:space="preserve">purchased African salad </w:t>
      </w:r>
      <w:r w:rsidR="00756B48" w:rsidRPr="00241756">
        <w:rPr>
          <w:rFonts w:ascii="Arial" w:hAnsi="Arial" w:cs="Arial"/>
          <w:highlight w:val="yellow"/>
        </w:rPr>
        <w:t>w</w:t>
      </w:r>
      <w:r w:rsidR="00756B48" w:rsidRPr="00241756">
        <w:rPr>
          <w:rFonts w:ascii="Arial" w:hAnsi="Arial" w:cs="Arial"/>
          <w:highlight w:val="yellow"/>
        </w:rPr>
        <w:t>as</w:t>
      </w:r>
      <w:r w:rsidR="00756B48" w:rsidRPr="00241756">
        <w:rPr>
          <w:rFonts w:ascii="Arial" w:hAnsi="Arial" w:cs="Arial"/>
          <w:highlight w:val="yellow"/>
        </w:rPr>
        <w:t xml:space="preserve"> </w:t>
      </w:r>
      <w:r w:rsidRPr="00241756">
        <w:rPr>
          <w:rFonts w:ascii="Arial" w:hAnsi="Arial" w:cs="Arial"/>
          <w:highlight w:val="yellow"/>
        </w:rPr>
        <w:t>serially diluted 10</w:t>
      </w:r>
      <w:r w:rsidRPr="00241756">
        <w:rPr>
          <w:rFonts w:ascii="Arial" w:hAnsi="Arial" w:cs="Arial"/>
          <w:highlight w:val="yellow"/>
          <w:vertAlign w:val="superscript"/>
        </w:rPr>
        <w:t xml:space="preserve">1 </w:t>
      </w:r>
      <w:r w:rsidRPr="00241756">
        <w:rPr>
          <w:rFonts w:ascii="Arial" w:hAnsi="Arial" w:cs="Arial"/>
          <w:highlight w:val="yellow"/>
        </w:rPr>
        <w:t>to 10</w:t>
      </w:r>
      <w:r w:rsidRPr="00241756">
        <w:rPr>
          <w:rFonts w:ascii="Arial" w:hAnsi="Arial" w:cs="Arial"/>
          <w:highlight w:val="yellow"/>
          <w:vertAlign w:val="superscript"/>
        </w:rPr>
        <w:t>5</w:t>
      </w:r>
      <w:r w:rsidRPr="00241756">
        <w:rPr>
          <w:rFonts w:ascii="Arial" w:hAnsi="Arial" w:cs="Arial"/>
          <w:highlight w:val="yellow"/>
        </w:rPr>
        <w:t xml:space="preserve"> in steril</w:t>
      </w:r>
      <w:r w:rsidRPr="00235B61">
        <w:rPr>
          <w:rFonts w:ascii="Arial" w:hAnsi="Arial" w:cs="Arial"/>
        </w:rPr>
        <w:t xml:space="preserve">e normal saline and an </w:t>
      </w:r>
      <w:r w:rsidRPr="00241756">
        <w:rPr>
          <w:rFonts w:ascii="Arial" w:hAnsi="Arial" w:cs="Arial"/>
          <w:highlight w:val="yellow"/>
        </w:rPr>
        <w:t xml:space="preserve">aliquot </w:t>
      </w:r>
      <w:r w:rsidR="00756B48" w:rsidRPr="00241756">
        <w:rPr>
          <w:rFonts w:ascii="Arial" w:hAnsi="Arial" w:cs="Arial"/>
          <w:highlight w:val="yellow"/>
        </w:rPr>
        <w:t xml:space="preserve">of </w:t>
      </w:r>
      <w:r w:rsidRPr="00241756">
        <w:rPr>
          <w:rFonts w:ascii="Arial" w:hAnsi="Arial" w:cs="Arial"/>
          <w:highlight w:val="yellow"/>
        </w:rPr>
        <w:t>0.1 ml v</w:t>
      </w:r>
      <w:r w:rsidRPr="00235B61">
        <w:rPr>
          <w:rFonts w:ascii="Arial" w:hAnsi="Arial" w:cs="Arial"/>
        </w:rPr>
        <w:t>olumes of each sample homogenate were inoculated by spread plate method onto a freshly prepared nutrient agar, MacConkey agar, mannitol salt agar, Salmonella shigella agar, and blood agar plates for total aerobic count respectively. All media were reconstructed and sterilized according to the manufacturer’s instructions. The plates were incubated at 37</w:t>
      </w:r>
      <w:r w:rsidRPr="00235B61">
        <w:rPr>
          <w:rFonts w:ascii="Arial" w:hAnsi="Arial" w:cs="Arial"/>
          <w:vertAlign w:val="superscript"/>
        </w:rPr>
        <w:t>0</w:t>
      </w:r>
      <w:r w:rsidRPr="00235B61">
        <w:rPr>
          <w:rFonts w:ascii="Arial" w:hAnsi="Arial" w:cs="Arial"/>
        </w:rPr>
        <w:t>C for 18-24 hours and examined for growth. After incubation, the colonies on the nutrient agar plates were carefully examined and counted. The total heterotrophic count was calculated by multiplying the number of colonies counted with the dilution factor.</w:t>
      </w:r>
    </w:p>
    <w:p w14:paraId="0BF15F8A" w14:textId="45687C08" w:rsidR="00235B61" w:rsidRPr="00235B61" w:rsidRDefault="00235B61" w:rsidP="00235B61">
      <w:pPr>
        <w:pStyle w:val="Body"/>
        <w:rPr>
          <w:rFonts w:ascii="Arial" w:hAnsi="Arial" w:cs="Arial"/>
          <w:bCs/>
        </w:rPr>
      </w:pPr>
      <w:r w:rsidRPr="00235B61">
        <w:rPr>
          <w:rFonts w:ascii="Arial" w:hAnsi="Arial" w:cs="Arial"/>
          <w:bCs/>
        </w:rPr>
        <w:lastRenderedPageBreak/>
        <w:t>Bacterial identification was done using pour cultures from the isolates. Pure cultures were obtained by streaking representative colonies of different isolates on Nutrient agar plates and incubated at 37</w:t>
      </w:r>
      <w:r w:rsidRPr="00235B61">
        <w:rPr>
          <w:rFonts w:ascii="Arial" w:hAnsi="Arial" w:cs="Arial"/>
          <w:bCs/>
          <w:vertAlign w:val="superscript"/>
        </w:rPr>
        <w:t>0</w:t>
      </w:r>
      <w:r w:rsidRPr="00235B61">
        <w:rPr>
          <w:rFonts w:ascii="Arial" w:hAnsi="Arial" w:cs="Arial"/>
          <w:bCs/>
        </w:rPr>
        <w:t xml:space="preserve">C for 24 hours. </w:t>
      </w:r>
      <w:r w:rsidRPr="00235B61">
        <w:rPr>
          <w:rFonts w:ascii="Arial" w:hAnsi="Arial" w:cs="Arial"/>
        </w:rPr>
        <w:t xml:space="preserve">When pure cultures were obtained, further identification with Gram staining and biochemical tests were carried out. </w:t>
      </w:r>
      <w:r w:rsidRPr="00235B61">
        <w:rPr>
          <w:rFonts w:ascii="Arial" w:hAnsi="Arial" w:cs="Arial"/>
          <w:bCs/>
        </w:rPr>
        <w:t xml:space="preserve">The biochemical analysis carried out includes motility test, catalase test, coagulase test, indole test, citrate utilization test, oxidase test, sugar fermentation test, methyl red test, Voges-Proskauer test, </w:t>
      </w:r>
      <w:r w:rsidR="005A5618">
        <w:rPr>
          <w:rFonts w:ascii="Arial" w:hAnsi="Arial" w:cs="Arial"/>
          <w:bCs/>
        </w:rPr>
        <w:t>and s</w:t>
      </w:r>
      <w:r w:rsidRPr="00235B61">
        <w:rPr>
          <w:rFonts w:ascii="Arial" w:hAnsi="Arial" w:cs="Arial"/>
          <w:bCs/>
        </w:rPr>
        <w:t>tarch hydrolysis test (Cheesbrough, 2000).</w:t>
      </w:r>
    </w:p>
    <w:p w14:paraId="0B037235" w14:textId="77777777" w:rsidR="00235B61" w:rsidRDefault="00235B61" w:rsidP="00560F4A">
      <w:pPr>
        <w:pStyle w:val="Body"/>
        <w:rPr>
          <w:rFonts w:ascii="Arial" w:hAnsi="Arial" w:cs="Arial"/>
        </w:rPr>
      </w:pPr>
    </w:p>
    <w:p w14:paraId="15C03AA0" w14:textId="17404D50" w:rsidR="00560F4A" w:rsidRDefault="00560F4A" w:rsidP="00560F4A">
      <w:pPr>
        <w:pStyle w:val="Body"/>
        <w:rPr>
          <w:rFonts w:ascii="Arial" w:hAnsi="Arial" w:cs="Arial"/>
          <w:b/>
          <w:caps/>
          <w:sz w:val="22"/>
        </w:rPr>
      </w:pPr>
      <w:r w:rsidRPr="00C30A0F">
        <w:rPr>
          <w:rFonts w:ascii="Arial" w:hAnsi="Arial" w:cs="Arial"/>
          <w:b/>
          <w:caps/>
          <w:sz w:val="22"/>
        </w:rPr>
        <w:t>2.</w:t>
      </w:r>
      <w:r w:rsidR="00235B61">
        <w:rPr>
          <w:rFonts w:ascii="Arial" w:hAnsi="Arial" w:cs="Arial"/>
          <w:b/>
          <w:caps/>
          <w:sz w:val="22"/>
        </w:rPr>
        <w:t>5</w:t>
      </w:r>
      <w:r w:rsidRPr="00C30A0F">
        <w:rPr>
          <w:rFonts w:ascii="Arial" w:hAnsi="Arial" w:cs="Arial"/>
          <w:b/>
          <w:caps/>
          <w:sz w:val="22"/>
        </w:rPr>
        <w:t xml:space="preserve"> </w:t>
      </w:r>
      <w:r w:rsidR="00235B61">
        <w:rPr>
          <w:rFonts w:ascii="Arial" w:hAnsi="Arial" w:cs="Arial"/>
          <w:b/>
          <w:sz w:val="22"/>
        </w:rPr>
        <w:t>Antibiotic Susceptibility Testing of Bacterial Isolates</w:t>
      </w:r>
    </w:p>
    <w:p w14:paraId="5A78988F" w14:textId="3DF44203" w:rsidR="00235B61" w:rsidRPr="00235B61" w:rsidRDefault="00235B61" w:rsidP="00235B61">
      <w:pPr>
        <w:pStyle w:val="Body"/>
        <w:rPr>
          <w:rFonts w:ascii="Arial" w:hAnsi="Arial" w:cs="Arial"/>
          <w:lang w:val="en-GB"/>
        </w:rPr>
      </w:pPr>
      <w:r w:rsidRPr="00235B61">
        <w:rPr>
          <w:rFonts w:ascii="Arial" w:hAnsi="Arial" w:cs="Arial"/>
        </w:rPr>
        <w:t>The bacteria inoculum was prepared by culturing the bacterial strain on Mueller Hinton agar plates to form visible colonies. The colonies were suspended in sterile saline to create bacterial suspension, which was then adjusted to match the 0.5 McFarland standard (ensures a uniform bacterial concentration of approximately 1-2 x 10</w:t>
      </w:r>
      <w:r w:rsidRPr="00235B61">
        <w:rPr>
          <w:rFonts w:ascii="Arial" w:hAnsi="Arial" w:cs="Arial"/>
          <w:vertAlign w:val="superscript"/>
        </w:rPr>
        <w:t>8</w:t>
      </w:r>
      <w:r w:rsidRPr="00235B61">
        <w:rPr>
          <w:rFonts w:ascii="Arial" w:hAnsi="Arial" w:cs="Arial"/>
        </w:rPr>
        <w:t xml:space="preserve"> CFU/m</w:t>
      </w:r>
      <w:r w:rsidR="005A5618">
        <w:rPr>
          <w:rFonts w:ascii="Arial" w:hAnsi="Arial" w:cs="Arial"/>
        </w:rPr>
        <w:t>l</w:t>
      </w:r>
      <w:r w:rsidRPr="00235B61">
        <w:rPr>
          <w:rFonts w:ascii="Arial" w:hAnsi="Arial" w:cs="Arial"/>
        </w:rPr>
        <w:t xml:space="preserve">). The bacterial suspension was spread across the entire agar surface using a sterile swab stick. The plate was streaked in multiple directions to </w:t>
      </w:r>
      <w:r w:rsidRPr="00241756">
        <w:rPr>
          <w:rFonts w:ascii="Arial" w:hAnsi="Arial" w:cs="Arial"/>
          <w:highlight w:val="yellow"/>
        </w:rPr>
        <w:t xml:space="preserve">ensure </w:t>
      </w:r>
      <w:r w:rsidR="00A65992" w:rsidRPr="00241756">
        <w:rPr>
          <w:rFonts w:ascii="Arial" w:hAnsi="Arial" w:cs="Arial"/>
          <w:highlight w:val="yellow"/>
        </w:rPr>
        <w:t xml:space="preserve">the </w:t>
      </w:r>
      <w:r w:rsidRPr="00241756">
        <w:rPr>
          <w:rFonts w:ascii="Arial" w:hAnsi="Arial" w:cs="Arial"/>
          <w:highlight w:val="yellow"/>
        </w:rPr>
        <w:t>even distribution</w:t>
      </w:r>
      <w:r w:rsidRPr="00235B61">
        <w:rPr>
          <w:rFonts w:ascii="Arial" w:hAnsi="Arial" w:cs="Arial"/>
        </w:rPr>
        <w:t xml:space="preserve"> of the bacteria. Within 15 minutes of inoculation, antibiotic disks were placed onto the agar surface using sterile forceps. The Disk was lightly pressed to ensure full contact with the agar. The inoculated plates were incubated at 37</w:t>
      </w:r>
      <w:r w:rsidRPr="00235B61">
        <w:rPr>
          <w:rFonts w:ascii="Arial" w:hAnsi="Arial" w:cs="Arial"/>
          <w:vertAlign w:val="superscript"/>
        </w:rPr>
        <w:t>0</w:t>
      </w:r>
      <w:r w:rsidRPr="00235B61">
        <w:rPr>
          <w:rFonts w:ascii="Arial" w:hAnsi="Arial" w:cs="Arial"/>
        </w:rPr>
        <w:t xml:space="preserve">C for 16 – 24 hours. Immediately after incubation, the zone of inhibition was measured by measuring the clear zone around the antibiotic disks. The diameter of each zone, including the disk, was recorded </w:t>
      </w:r>
      <w:r w:rsidRPr="00241756">
        <w:rPr>
          <w:rFonts w:ascii="Arial" w:hAnsi="Arial" w:cs="Arial"/>
          <w:highlight w:val="yellow"/>
        </w:rPr>
        <w:t xml:space="preserve">in </w:t>
      </w:r>
      <w:r w:rsidR="00A65992" w:rsidRPr="00241756">
        <w:rPr>
          <w:rFonts w:ascii="Arial" w:hAnsi="Arial" w:cs="Arial"/>
          <w:highlight w:val="yellow"/>
        </w:rPr>
        <w:t>millimet</w:t>
      </w:r>
      <w:r w:rsidR="00A65992" w:rsidRPr="00241756">
        <w:rPr>
          <w:rFonts w:ascii="Arial" w:hAnsi="Arial" w:cs="Arial"/>
          <w:highlight w:val="yellow"/>
        </w:rPr>
        <w:t>re</w:t>
      </w:r>
      <w:r w:rsidR="00A65992" w:rsidRPr="00241756">
        <w:rPr>
          <w:rFonts w:ascii="Arial" w:hAnsi="Arial" w:cs="Arial"/>
          <w:highlight w:val="yellow"/>
        </w:rPr>
        <w:t>s</w:t>
      </w:r>
      <w:r w:rsidRPr="00241756">
        <w:rPr>
          <w:rFonts w:ascii="Arial" w:hAnsi="Arial" w:cs="Arial"/>
          <w:highlight w:val="yellow"/>
        </w:rPr>
        <w:t>. These measurements were compared against established interpretive criteria to determine susc</w:t>
      </w:r>
      <w:r w:rsidRPr="00235B61">
        <w:rPr>
          <w:rFonts w:ascii="Arial" w:hAnsi="Arial" w:cs="Arial"/>
        </w:rPr>
        <w:t>eptibility (Clinical and Laboratory Standard Institute (CLSI), 2021. The antibiotics used were Cefotaxime 25 µg, Ceftriaxone sulbactam 45 µg, Cefuroxime 30 µg, Cefexime 5 µg, Imipenem/Cilastatin 10/10 µg, Amoxicillin clavulanate 30 µg, Ampiclox 10 µg, Gentamicin 10 µg, Ofloxacin 5 µg, Levofloxacin 5 µg, Ciprofloxacin 5 µg, Azithromycin 15 µg, Erythromycin 15 µg, Nalidixic Acid 30 µg, Nitrofurantoin 30 µg.</w:t>
      </w:r>
      <w:r w:rsidR="0047006F">
        <w:rPr>
          <w:rFonts w:ascii="Arial" w:hAnsi="Arial" w:cs="Arial"/>
        </w:rPr>
        <w:t xml:space="preserve"> </w:t>
      </w:r>
      <w:r w:rsidRPr="00235B61">
        <w:rPr>
          <w:rFonts w:ascii="Arial" w:hAnsi="Arial" w:cs="Arial"/>
          <w:lang w:val="en-GB"/>
        </w:rPr>
        <w:t>The MAR index was calculated and interpreted using the formula: </w:t>
      </w:r>
      <w:r w:rsidRPr="00235B61">
        <w:rPr>
          <w:rFonts w:ascii="Arial" w:hAnsi="Arial" w:cs="Arial"/>
          <w:i/>
          <w:iCs/>
          <w:lang w:val="en-GB"/>
        </w:rPr>
        <w:t>a</w:t>
      </w:r>
      <w:r w:rsidRPr="00235B61">
        <w:rPr>
          <w:rFonts w:ascii="Arial" w:hAnsi="Arial" w:cs="Arial"/>
          <w:lang w:val="en-GB"/>
        </w:rPr>
        <w:t>/</w:t>
      </w:r>
      <w:r w:rsidRPr="00235B61">
        <w:rPr>
          <w:rFonts w:ascii="Arial" w:hAnsi="Arial" w:cs="Arial"/>
          <w:i/>
          <w:iCs/>
          <w:lang w:val="en-GB"/>
        </w:rPr>
        <w:t>b</w:t>
      </w:r>
      <w:r w:rsidRPr="00235B61">
        <w:rPr>
          <w:rFonts w:ascii="Arial" w:hAnsi="Arial" w:cs="Arial"/>
          <w:lang w:val="en-GB"/>
        </w:rPr>
        <w:t>, where ‘</w:t>
      </w:r>
      <w:r w:rsidRPr="00235B61">
        <w:rPr>
          <w:rFonts w:ascii="Arial" w:hAnsi="Arial" w:cs="Arial"/>
          <w:i/>
          <w:iCs/>
          <w:lang w:val="en-GB"/>
        </w:rPr>
        <w:t>a</w:t>
      </w:r>
      <w:r w:rsidRPr="00235B61">
        <w:rPr>
          <w:rFonts w:ascii="Arial" w:hAnsi="Arial" w:cs="Arial"/>
          <w:lang w:val="en-GB"/>
        </w:rPr>
        <w:t>’ represents the number of antibiotics to which an isolate was resistant, and </w:t>
      </w:r>
      <w:r w:rsidRPr="00235B61">
        <w:rPr>
          <w:rFonts w:ascii="Arial" w:hAnsi="Arial" w:cs="Arial"/>
          <w:i/>
          <w:iCs/>
          <w:lang w:val="en-GB"/>
        </w:rPr>
        <w:t>‘b</w:t>
      </w:r>
      <w:r w:rsidRPr="00235B61">
        <w:rPr>
          <w:rFonts w:ascii="Arial" w:hAnsi="Arial" w:cs="Arial"/>
          <w:lang w:val="en-GB"/>
        </w:rPr>
        <w:t>’ represents the total number of antibiotics tested.</w:t>
      </w:r>
    </w:p>
    <w:p w14:paraId="2F8536EB" w14:textId="0346E0A9" w:rsidR="00560F4A" w:rsidRDefault="00560F4A" w:rsidP="00560F4A">
      <w:pPr>
        <w:pStyle w:val="Body"/>
        <w:rPr>
          <w:rFonts w:ascii="Arial" w:hAnsi="Arial" w:cs="Arial"/>
          <w:b/>
          <w:caps/>
          <w:sz w:val="22"/>
        </w:rPr>
      </w:pPr>
      <w:r w:rsidRPr="00C30A0F">
        <w:rPr>
          <w:rFonts w:ascii="Arial" w:hAnsi="Arial" w:cs="Arial"/>
          <w:b/>
          <w:caps/>
          <w:sz w:val="22"/>
        </w:rPr>
        <w:t>2.</w:t>
      </w:r>
      <w:r w:rsidR="00235B61">
        <w:rPr>
          <w:rFonts w:ascii="Arial" w:hAnsi="Arial" w:cs="Arial"/>
          <w:b/>
          <w:caps/>
          <w:sz w:val="22"/>
        </w:rPr>
        <w:t>6</w:t>
      </w:r>
      <w:r w:rsidRPr="00C30A0F">
        <w:rPr>
          <w:rFonts w:ascii="Arial" w:hAnsi="Arial" w:cs="Arial"/>
          <w:b/>
          <w:caps/>
          <w:sz w:val="22"/>
        </w:rPr>
        <w:t xml:space="preserve"> </w:t>
      </w:r>
      <w:r w:rsidR="00235B61" w:rsidRPr="00235B61">
        <w:rPr>
          <w:rFonts w:ascii="Arial" w:hAnsi="Arial" w:cs="Arial"/>
          <w:b/>
          <w:sz w:val="22"/>
        </w:rPr>
        <w:t>Molecular Identification of</w:t>
      </w:r>
      <w:r w:rsidR="00FC7B8D">
        <w:rPr>
          <w:rFonts w:ascii="Arial" w:hAnsi="Arial" w:cs="Arial"/>
          <w:b/>
          <w:sz w:val="22"/>
        </w:rPr>
        <w:t xml:space="preserve"> Bacterial Isolates and </w:t>
      </w:r>
      <w:r w:rsidR="00235B61" w:rsidRPr="00235B61">
        <w:rPr>
          <w:rFonts w:ascii="Arial" w:hAnsi="Arial" w:cs="Arial"/>
          <w:b/>
          <w:sz w:val="22"/>
        </w:rPr>
        <w:t>Resistant Genes</w:t>
      </w:r>
    </w:p>
    <w:p w14:paraId="35F5F68B" w14:textId="218C7617" w:rsidR="00D6400F" w:rsidRPr="00D6400F" w:rsidRDefault="0047006F" w:rsidP="00D6400F">
      <w:pPr>
        <w:pStyle w:val="Body"/>
        <w:rPr>
          <w:rFonts w:ascii="Arial" w:hAnsi="Arial" w:cs="Arial"/>
        </w:rPr>
      </w:pPr>
      <w:r>
        <w:rPr>
          <w:rFonts w:ascii="Arial" w:hAnsi="Arial" w:cs="Arial"/>
        </w:rPr>
        <w:t>The bacterial DNA w</w:t>
      </w:r>
      <w:r w:rsidR="00FC7B8D">
        <w:rPr>
          <w:rFonts w:ascii="Arial" w:hAnsi="Arial" w:cs="Arial"/>
        </w:rPr>
        <w:t>as</w:t>
      </w:r>
      <w:r>
        <w:rPr>
          <w:rFonts w:ascii="Arial" w:hAnsi="Arial" w:cs="Arial"/>
        </w:rPr>
        <w:t xml:space="preserve"> extracted </w:t>
      </w:r>
      <w:r w:rsidRPr="00241756">
        <w:rPr>
          <w:rFonts w:ascii="Arial" w:hAnsi="Arial" w:cs="Arial"/>
          <w:highlight w:val="yellow"/>
        </w:rPr>
        <w:t xml:space="preserve">according to </w:t>
      </w:r>
      <w:r w:rsidR="00A65992" w:rsidRPr="00241756">
        <w:rPr>
          <w:rFonts w:ascii="Arial" w:hAnsi="Arial" w:cs="Arial"/>
          <w:highlight w:val="yellow"/>
        </w:rPr>
        <w:t xml:space="preserve">the </w:t>
      </w:r>
      <w:r w:rsidRPr="00241756">
        <w:rPr>
          <w:rFonts w:ascii="Arial" w:hAnsi="Arial" w:cs="Arial"/>
          <w:highlight w:val="yellow"/>
        </w:rPr>
        <w:t>manufacturer’s us</w:t>
      </w:r>
      <w:r>
        <w:rPr>
          <w:rFonts w:ascii="Arial" w:hAnsi="Arial" w:cs="Arial"/>
        </w:rPr>
        <w:t>ing t</w:t>
      </w:r>
      <w:r w:rsidR="00D6400F" w:rsidRPr="00D6400F">
        <w:rPr>
          <w:rFonts w:ascii="Arial" w:hAnsi="Arial" w:cs="Arial"/>
        </w:rPr>
        <w:t xml:space="preserve">he </w:t>
      </w:r>
      <w:bookmarkStart w:id="1" w:name="_Hlk180767877"/>
      <w:r w:rsidR="00D6400F" w:rsidRPr="00D6400F">
        <w:rPr>
          <w:rFonts w:ascii="Arial" w:hAnsi="Arial" w:cs="Arial"/>
        </w:rPr>
        <w:t>ZymoBIOMICS DNA Microprep Kit</w:t>
      </w:r>
      <w:r>
        <w:rPr>
          <w:rFonts w:ascii="Arial" w:hAnsi="Arial" w:cs="Arial"/>
        </w:rPr>
        <w:t xml:space="preserve"> </w:t>
      </w:r>
      <w:r w:rsidR="00D6400F" w:rsidRPr="00D6400F">
        <w:rPr>
          <w:rFonts w:ascii="Arial" w:hAnsi="Arial" w:cs="Arial"/>
        </w:rPr>
        <w:t>(Zymo Research, USA)</w:t>
      </w:r>
      <w:bookmarkEnd w:id="1"/>
      <w:r w:rsidR="00D6400F" w:rsidRPr="00D6400F">
        <w:rPr>
          <w:rFonts w:ascii="Arial" w:hAnsi="Arial" w:cs="Arial"/>
        </w:rPr>
        <w:t>.</w:t>
      </w:r>
      <w:r>
        <w:rPr>
          <w:rFonts w:ascii="Arial" w:hAnsi="Arial" w:cs="Arial"/>
        </w:rPr>
        <w:t xml:space="preserve"> The bacterial DNA was </w:t>
      </w:r>
      <w:r w:rsidR="00FC7B8D">
        <w:rPr>
          <w:rFonts w:ascii="Arial" w:hAnsi="Arial" w:cs="Arial"/>
        </w:rPr>
        <w:t>quantified using the NanoDrop spectrophotometer</w:t>
      </w:r>
      <w:r w:rsidR="00D6400F" w:rsidRPr="00D6400F">
        <w:rPr>
          <w:rFonts w:ascii="Arial" w:hAnsi="Arial" w:cs="Arial"/>
        </w:rPr>
        <w:t xml:space="preserve"> (Thermo Fisher Scientific, USA).</w:t>
      </w:r>
      <w:bookmarkStart w:id="2" w:name="_Hlk184823319"/>
      <w:r w:rsidR="00FC7B8D">
        <w:rPr>
          <w:rFonts w:ascii="Arial" w:hAnsi="Arial" w:cs="Arial"/>
        </w:rPr>
        <w:t xml:space="preserve"> Primers designed to amplify t</w:t>
      </w:r>
      <w:r w:rsidR="00D6400F" w:rsidRPr="00D6400F">
        <w:rPr>
          <w:rFonts w:ascii="Arial" w:hAnsi="Arial" w:cs="Arial"/>
        </w:rPr>
        <w:t xml:space="preserve">he conserved region (16S ribosomal RNA (rRNA) gene) </w:t>
      </w:r>
      <w:r w:rsidR="00FC7B8D">
        <w:rPr>
          <w:rFonts w:ascii="Arial" w:hAnsi="Arial" w:cs="Arial"/>
        </w:rPr>
        <w:t xml:space="preserve">were used </w:t>
      </w:r>
      <w:r w:rsidR="00D6400F" w:rsidRPr="00D6400F">
        <w:rPr>
          <w:rFonts w:ascii="Arial" w:hAnsi="Arial" w:cs="Arial"/>
        </w:rPr>
        <w:t>to amplify bacteria DNA present in a sample</w:t>
      </w:r>
      <w:r w:rsidR="00FC7B8D">
        <w:rPr>
          <w:rFonts w:ascii="Arial" w:hAnsi="Arial" w:cs="Arial"/>
        </w:rPr>
        <w:t xml:space="preserve"> (</w:t>
      </w:r>
      <w:r w:rsidR="00FC7B8D" w:rsidRPr="00FC7B8D">
        <w:rPr>
          <w:rFonts w:ascii="Arial" w:hAnsi="Arial" w:cs="Arial"/>
          <w:b/>
          <w:bCs/>
        </w:rPr>
        <w:t>Table 1</w:t>
      </w:r>
      <w:r w:rsidR="00FC7B8D">
        <w:rPr>
          <w:rFonts w:ascii="Arial" w:hAnsi="Arial" w:cs="Arial"/>
        </w:rPr>
        <w:t>)</w:t>
      </w:r>
      <w:r w:rsidR="00D6400F" w:rsidRPr="00D6400F">
        <w:rPr>
          <w:rFonts w:ascii="Arial" w:hAnsi="Arial" w:cs="Arial"/>
        </w:rPr>
        <w:t xml:space="preserve">. The Applied Biosystems PCR Thermal Cycler 9700 was used for this analysis. PCR amplification was carried out under the following conditions: Initial denaturation at 94°C for 5 minutes, followed by 35 cycles of denaturation </w:t>
      </w:r>
      <w:r w:rsidR="00A65992">
        <w:rPr>
          <w:rFonts w:ascii="Arial" w:hAnsi="Arial" w:cs="Arial"/>
        </w:rPr>
        <w:t xml:space="preserve">at </w:t>
      </w:r>
      <w:r w:rsidR="00D6400F" w:rsidRPr="00D6400F">
        <w:rPr>
          <w:rFonts w:ascii="Arial" w:hAnsi="Arial" w:cs="Arial"/>
        </w:rPr>
        <w:t>94°C at 40 seconds, annealing at 58°C 40 seconds, and Elongation at 72°C for 1 minute and 30 seconds. A final denaturation was done at 72°C for 5 minutes.  The PCR amplicons were immediately utilized for Gel Electrophoresis and stored at -20°C for further analysis.</w:t>
      </w:r>
      <w:r w:rsidR="00FC7B8D">
        <w:rPr>
          <w:rFonts w:ascii="Arial" w:hAnsi="Arial" w:cs="Arial"/>
        </w:rPr>
        <w:t xml:space="preserve"> </w:t>
      </w:r>
      <w:bookmarkStart w:id="3" w:name="_Hlk184823278"/>
      <w:bookmarkEnd w:id="2"/>
      <w:r w:rsidR="00FC7B8D">
        <w:rPr>
          <w:rFonts w:ascii="Arial" w:hAnsi="Arial" w:cs="Arial"/>
        </w:rPr>
        <w:t>The gel electrophoresis was</w:t>
      </w:r>
      <w:r w:rsidR="00D6400F" w:rsidRPr="00D6400F">
        <w:rPr>
          <w:rFonts w:ascii="Arial" w:hAnsi="Arial" w:cs="Arial"/>
        </w:rPr>
        <w:t xml:space="preserve"> used to analyze and visualize</w:t>
      </w:r>
      <w:r w:rsidR="00FC7B8D">
        <w:rPr>
          <w:rFonts w:ascii="Arial" w:hAnsi="Arial" w:cs="Arial"/>
        </w:rPr>
        <w:t xml:space="preserve"> the</w:t>
      </w:r>
      <w:r w:rsidR="00D6400F" w:rsidRPr="00D6400F">
        <w:rPr>
          <w:rFonts w:ascii="Arial" w:hAnsi="Arial" w:cs="Arial"/>
        </w:rPr>
        <w:t xml:space="preserve"> DNA fragments based on their size/lengths</w:t>
      </w:r>
      <w:r w:rsidR="00FC7B8D">
        <w:rPr>
          <w:rFonts w:ascii="Arial" w:hAnsi="Arial" w:cs="Arial"/>
        </w:rPr>
        <w:t xml:space="preserve"> on a</w:t>
      </w:r>
      <w:r w:rsidR="00D6400F" w:rsidRPr="00D6400F">
        <w:rPr>
          <w:rFonts w:ascii="Arial" w:hAnsi="Arial" w:cs="Arial"/>
        </w:rPr>
        <w:t xml:space="preserve"> 2% agarose gel w</w:t>
      </w:r>
      <w:r w:rsidR="00FC7B8D">
        <w:rPr>
          <w:rFonts w:ascii="Arial" w:hAnsi="Arial" w:cs="Arial"/>
        </w:rPr>
        <w:t>ith</w:t>
      </w:r>
      <w:r w:rsidR="00D6400F" w:rsidRPr="00D6400F">
        <w:rPr>
          <w:rFonts w:ascii="Arial" w:hAnsi="Arial" w:cs="Arial"/>
        </w:rPr>
        <w:t xml:space="preserve"> Safe Green dye (30 µl) added for visibility. </w:t>
      </w:r>
    </w:p>
    <w:bookmarkEnd w:id="3"/>
    <w:p w14:paraId="7AF81F4C" w14:textId="7E52E655" w:rsidR="00723D35" w:rsidRPr="00723D35" w:rsidRDefault="00723D35" w:rsidP="00560F4A">
      <w:pPr>
        <w:pStyle w:val="Body"/>
        <w:rPr>
          <w:rFonts w:ascii="Arial" w:hAnsi="Arial" w:cs="Arial"/>
          <w:b/>
          <w:bCs/>
        </w:rPr>
      </w:pPr>
      <w:r w:rsidRPr="00723D35">
        <w:rPr>
          <w:rFonts w:ascii="Arial" w:hAnsi="Arial" w:cs="Arial"/>
          <w:b/>
          <w:bCs/>
        </w:rPr>
        <w:t xml:space="preserve">Table 1. Primers sequences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103"/>
      </w:tblGrid>
      <w:tr w:rsidR="00723D35" w:rsidRPr="005A5618" w14:paraId="49502BF0" w14:textId="77777777" w:rsidTr="005A5618">
        <w:tc>
          <w:tcPr>
            <w:tcW w:w="1384" w:type="dxa"/>
            <w:tcBorders>
              <w:bottom w:val="single" w:sz="4" w:space="0" w:color="auto"/>
            </w:tcBorders>
          </w:tcPr>
          <w:p w14:paraId="55CCDF14" w14:textId="697FF1AE" w:rsidR="00723D35" w:rsidRPr="005A5618" w:rsidRDefault="00723D35" w:rsidP="005A5618">
            <w:pPr>
              <w:pStyle w:val="Body"/>
              <w:spacing w:after="0"/>
              <w:jc w:val="center"/>
              <w:rPr>
                <w:rFonts w:ascii="Arial" w:hAnsi="Arial" w:cs="Arial"/>
                <w:b/>
                <w:bCs/>
                <w:sz w:val="20"/>
                <w:szCs w:val="20"/>
              </w:rPr>
            </w:pPr>
            <w:r w:rsidRPr="005A5618">
              <w:rPr>
                <w:rFonts w:ascii="Arial" w:hAnsi="Arial" w:cs="Arial"/>
                <w:b/>
                <w:bCs/>
                <w:sz w:val="20"/>
                <w:szCs w:val="20"/>
              </w:rPr>
              <w:t>Gene</w:t>
            </w:r>
          </w:p>
        </w:tc>
        <w:tc>
          <w:tcPr>
            <w:tcW w:w="5103" w:type="dxa"/>
            <w:tcBorders>
              <w:bottom w:val="single" w:sz="4" w:space="0" w:color="auto"/>
            </w:tcBorders>
          </w:tcPr>
          <w:p w14:paraId="2F96DAAF" w14:textId="0307348C" w:rsidR="00723D35" w:rsidRPr="005A5618" w:rsidRDefault="00723D35" w:rsidP="005A5618">
            <w:pPr>
              <w:pStyle w:val="Body"/>
              <w:spacing w:after="0"/>
              <w:jc w:val="center"/>
              <w:rPr>
                <w:rFonts w:ascii="Arial" w:hAnsi="Arial" w:cs="Arial"/>
                <w:b/>
                <w:bCs/>
                <w:sz w:val="20"/>
                <w:szCs w:val="20"/>
              </w:rPr>
            </w:pPr>
            <w:r w:rsidRPr="005A5618">
              <w:rPr>
                <w:rFonts w:ascii="Arial" w:hAnsi="Arial" w:cs="Arial"/>
                <w:b/>
                <w:bCs/>
                <w:sz w:val="20"/>
                <w:szCs w:val="20"/>
              </w:rPr>
              <w:t>Primers</w:t>
            </w:r>
          </w:p>
        </w:tc>
      </w:tr>
      <w:tr w:rsidR="00723D35" w:rsidRPr="005A5618" w14:paraId="47FCE1BB" w14:textId="77777777" w:rsidTr="005A5618">
        <w:tc>
          <w:tcPr>
            <w:tcW w:w="1384" w:type="dxa"/>
            <w:tcBorders>
              <w:top w:val="single" w:sz="4" w:space="0" w:color="auto"/>
              <w:bottom w:val="nil"/>
            </w:tcBorders>
          </w:tcPr>
          <w:p w14:paraId="23B27127" w14:textId="55822858" w:rsidR="00723D35" w:rsidRPr="005A5618" w:rsidRDefault="00723D35" w:rsidP="00723D35">
            <w:pPr>
              <w:pStyle w:val="Body"/>
              <w:spacing w:after="0"/>
              <w:rPr>
                <w:rFonts w:ascii="Arial" w:hAnsi="Arial" w:cs="Arial"/>
                <w:sz w:val="20"/>
                <w:szCs w:val="20"/>
              </w:rPr>
            </w:pPr>
            <w:r w:rsidRPr="005A5618">
              <w:rPr>
                <w:rFonts w:ascii="Arial" w:hAnsi="Arial" w:cs="Arial"/>
                <w:sz w:val="20"/>
                <w:szCs w:val="20"/>
              </w:rPr>
              <w:t>16S rRNA</w:t>
            </w:r>
          </w:p>
        </w:tc>
        <w:tc>
          <w:tcPr>
            <w:tcW w:w="5103" w:type="dxa"/>
            <w:tcBorders>
              <w:top w:val="single" w:sz="4" w:space="0" w:color="auto"/>
              <w:bottom w:val="nil"/>
            </w:tcBorders>
          </w:tcPr>
          <w:p w14:paraId="3F088315" w14:textId="7AFBA3C1" w:rsidR="00723D35" w:rsidRPr="005A5618" w:rsidRDefault="00723D35" w:rsidP="00723D35">
            <w:pPr>
              <w:pStyle w:val="Body"/>
              <w:spacing w:after="0"/>
              <w:rPr>
                <w:rFonts w:ascii="Arial" w:hAnsi="Arial" w:cs="Arial"/>
                <w:sz w:val="20"/>
                <w:szCs w:val="20"/>
              </w:rPr>
            </w:pPr>
            <w:r w:rsidRPr="005A5618">
              <w:rPr>
                <w:rFonts w:ascii="Arial" w:hAnsi="Arial" w:cs="Arial"/>
                <w:sz w:val="20"/>
                <w:szCs w:val="20"/>
              </w:rPr>
              <w:t xml:space="preserve">Forward: 5’-GTGYCAGCMGCCGCGGTAA-3’ </w:t>
            </w:r>
          </w:p>
          <w:p w14:paraId="0FABAC47" w14:textId="568983ED" w:rsidR="00723D35" w:rsidRPr="005A5618" w:rsidRDefault="00723D35" w:rsidP="00723D35">
            <w:pPr>
              <w:pStyle w:val="Body"/>
              <w:spacing w:after="0"/>
              <w:rPr>
                <w:rFonts w:ascii="Arial" w:hAnsi="Arial" w:cs="Arial"/>
                <w:sz w:val="20"/>
                <w:szCs w:val="20"/>
              </w:rPr>
            </w:pPr>
            <w:r w:rsidRPr="005A5618">
              <w:rPr>
                <w:rFonts w:ascii="Arial" w:hAnsi="Arial" w:cs="Arial"/>
                <w:sz w:val="20"/>
                <w:szCs w:val="20"/>
              </w:rPr>
              <w:t>Reverse: 5’-GGACTACNVGGGTWTCTAAT-3’</w:t>
            </w:r>
          </w:p>
        </w:tc>
      </w:tr>
      <w:tr w:rsidR="00723D35" w:rsidRPr="005A5618" w14:paraId="1D92BB16" w14:textId="77777777" w:rsidTr="005A5618">
        <w:tc>
          <w:tcPr>
            <w:tcW w:w="1384" w:type="dxa"/>
            <w:tcBorders>
              <w:top w:val="nil"/>
            </w:tcBorders>
          </w:tcPr>
          <w:p w14:paraId="4B6C96C7" w14:textId="2E483D28" w:rsidR="00723D35" w:rsidRPr="005A5618" w:rsidRDefault="00723D35" w:rsidP="00723D35">
            <w:pPr>
              <w:pStyle w:val="Body"/>
              <w:spacing w:after="0"/>
              <w:rPr>
                <w:rFonts w:ascii="Arial" w:hAnsi="Arial" w:cs="Arial"/>
                <w:sz w:val="20"/>
                <w:szCs w:val="20"/>
              </w:rPr>
            </w:pPr>
            <w:r w:rsidRPr="005A5618">
              <w:rPr>
                <w:rFonts w:ascii="Arial" w:hAnsi="Arial" w:cs="Arial"/>
                <w:i/>
                <w:iCs/>
                <w:sz w:val="20"/>
                <w:szCs w:val="20"/>
              </w:rPr>
              <w:t>bla</w:t>
            </w:r>
            <w:r w:rsidRPr="005A5618">
              <w:rPr>
                <w:rFonts w:ascii="Arial" w:hAnsi="Arial" w:cs="Arial"/>
                <w:i/>
                <w:iCs/>
                <w:sz w:val="20"/>
                <w:szCs w:val="20"/>
                <w:vertAlign w:val="subscript"/>
              </w:rPr>
              <w:t>SHV</w:t>
            </w:r>
            <w:r w:rsidRPr="005A5618">
              <w:rPr>
                <w:rFonts w:ascii="Arial" w:hAnsi="Arial" w:cs="Arial"/>
                <w:sz w:val="20"/>
                <w:szCs w:val="20"/>
              </w:rPr>
              <w:t xml:space="preserve"> </w:t>
            </w:r>
          </w:p>
        </w:tc>
        <w:tc>
          <w:tcPr>
            <w:tcW w:w="5103" w:type="dxa"/>
            <w:tcBorders>
              <w:top w:val="nil"/>
            </w:tcBorders>
          </w:tcPr>
          <w:p w14:paraId="0E8788ED" w14:textId="7CB937AE" w:rsidR="00D6400F" w:rsidRPr="005A5618" w:rsidRDefault="00723D35" w:rsidP="00723D35">
            <w:pPr>
              <w:pStyle w:val="Body"/>
              <w:spacing w:after="0"/>
              <w:rPr>
                <w:rFonts w:ascii="Arial" w:hAnsi="Arial" w:cs="Arial"/>
                <w:sz w:val="20"/>
                <w:szCs w:val="20"/>
              </w:rPr>
            </w:pPr>
            <w:r w:rsidRPr="005A5618">
              <w:rPr>
                <w:rFonts w:ascii="Arial" w:hAnsi="Arial" w:cs="Arial"/>
                <w:sz w:val="20"/>
                <w:szCs w:val="20"/>
              </w:rPr>
              <w:t>Forward: 5`- AGGATTGACTGCCTTTTTG-3`</w:t>
            </w:r>
          </w:p>
          <w:p w14:paraId="1FE133F3" w14:textId="3A37ECE3" w:rsidR="00723D35" w:rsidRPr="005A5618" w:rsidRDefault="00723D35" w:rsidP="00723D35">
            <w:pPr>
              <w:pStyle w:val="Body"/>
              <w:spacing w:after="0"/>
              <w:rPr>
                <w:rFonts w:ascii="Arial" w:hAnsi="Arial" w:cs="Arial"/>
                <w:sz w:val="20"/>
                <w:szCs w:val="20"/>
              </w:rPr>
            </w:pPr>
            <w:r w:rsidRPr="005A5618">
              <w:rPr>
                <w:rFonts w:ascii="Arial" w:hAnsi="Arial" w:cs="Arial"/>
                <w:sz w:val="20"/>
                <w:szCs w:val="20"/>
              </w:rPr>
              <w:lastRenderedPageBreak/>
              <w:t>Reverse: 5`-ATTTGCTGATTTCGCTCG-3`</w:t>
            </w:r>
          </w:p>
        </w:tc>
      </w:tr>
      <w:tr w:rsidR="00723D35" w:rsidRPr="005A5618" w14:paraId="28A997CC" w14:textId="77777777" w:rsidTr="005A5618">
        <w:tc>
          <w:tcPr>
            <w:tcW w:w="1384" w:type="dxa"/>
          </w:tcPr>
          <w:p w14:paraId="211FEB40" w14:textId="256D0DF2" w:rsidR="00723D35" w:rsidRPr="005A5618" w:rsidRDefault="00D6400F" w:rsidP="00723D35">
            <w:pPr>
              <w:pStyle w:val="Body"/>
              <w:spacing w:after="0"/>
              <w:rPr>
                <w:rFonts w:ascii="Arial" w:hAnsi="Arial" w:cs="Arial"/>
                <w:sz w:val="20"/>
                <w:szCs w:val="20"/>
              </w:rPr>
            </w:pPr>
            <w:r w:rsidRPr="005A5618">
              <w:rPr>
                <w:rFonts w:ascii="Arial" w:hAnsi="Arial" w:cs="Arial"/>
                <w:i/>
                <w:iCs/>
                <w:sz w:val="20"/>
                <w:szCs w:val="20"/>
              </w:rPr>
              <w:lastRenderedPageBreak/>
              <w:t>bla</w:t>
            </w:r>
            <w:r w:rsidRPr="005A5618">
              <w:rPr>
                <w:rFonts w:ascii="Arial" w:hAnsi="Arial" w:cs="Arial"/>
                <w:i/>
                <w:iCs/>
                <w:sz w:val="20"/>
                <w:szCs w:val="20"/>
                <w:vertAlign w:val="subscript"/>
              </w:rPr>
              <w:t>TEM</w:t>
            </w:r>
          </w:p>
        </w:tc>
        <w:tc>
          <w:tcPr>
            <w:tcW w:w="5103" w:type="dxa"/>
          </w:tcPr>
          <w:p w14:paraId="1C3EE5B1" w14:textId="77777777" w:rsidR="00D6400F" w:rsidRPr="005A5618" w:rsidRDefault="00D6400F" w:rsidP="00723D35">
            <w:pPr>
              <w:pStyle w:val="Body"/>
              <w:spacing w:after="0"/>
              <w:rPr>
                <w:rFonts w:ascii="Arial" w:hAnsi="Arial" w:cs="Arial"/>
                <w:sz w:val="20"/>
                <w:szCs w:val="20"/>
              </w:rPr>
            </w:pPr>
            <w:r w:rsidRPr="005A5618">
              <w:rPr>
                <w:rFonts w:ascii="Arial" w:hAnsi="Arial" w:cs="Arial"/>
                <w:sz w:val="20"/>
                <w:szCs w:val="20"/>
              </w:rPr>
              <w:t>Forward: 5`-TTGGGTGCACGAGTGGGTTA-3`</w:t>
            </w:r>
          </w:p>
          <w:p w14:paraId="6090A8D3" w14:textId="59B4CFBC" w:rsidR="00723D35" w:rsidRPr="005A5618" w:rsidRDefault="00D6400F" w:rsidP="00723D35">
            <w:pPr>
              <w:pStyle w:val="Body"/>
              <w:spacing w:after="0"/>
              <w:rPr>
                <w:rFonts w:ascii="Arial" w:hAnsi="Arial" w:cs="Arial"/>
                <w:sz w:val="20"/>
                <w:szCs w:val="20"/>
              </w:rPr>
            </w:pPr>
            <w:r w:rsidRPr="005A5618">
              <w:rPr>
                <w:rFonts w:ascii="Arial" w:hAnsi="Arial" w:cs="Arial"/>
                <w:sz w:val="20"/>
                <w:szCs w:val="20"/>
              </w:rPr>
              <w:t>Reverse: 5`-TAATTGTTGCCGGGAAGCTA-3`</w:t>
            </w:r>
          </w:p>
        </w:tc>
      </w:tr>
      <w:tr w:rsidR="00723D35" w:rsidRPr="005A5618" w14:paraId="5F6E9D1F" w14:textId="77777777" w:rsidTr="005A5618">
        <w:trPr>
          <w:trHeight w:val="48"/>
        </w:trPr>
        <w:tc>
          <w:tcPr>
            <w:tcW w:w="1384" w:type="dxa"/>
          </w:tcPr>
          <w:p w14:paraId="0D312B3A" w14:textId="77777777" w:rsidR="00723D35" w:rsidRPr="005A5618" w:rsidRDefault="00723D35" w:rsidP="00723D35">
            <w:pPr>
              <w:pStyle w:val="Body"/>
              <w:spacing w:after="0"/>
              <w:rPr>
                <w:rFonts w:ascii="Arial" w:hAnsi="Arial" w:cs="Arial"/>
                <w:sz w:val="20"/>
                <w:szCs w:val="20"/>
              </w:rPr>
            </w:pPr>
          </w:p>
        </w:tc>
        <w:tc>
          <w:tcPr>
            <w:tcW w:w="5103" w:type="dxa"/>
          </w:tcPr>
          <w:p w14:paraId="325419CD" w14:textId="77777777" w:rsidR="00723D35" w:rsidRPr="005A5618" w:rsidRDefault="00723D35" w:rsidP="00723D35">
            <w:pPr>
              <w:pStyle w:val="Body"/>
              <w:spacing w:after="0"/>
              <w:rPr>
                <w:rFonts w:ascii="Arial" w:hAnsi="Arial" w:cs="Arial"/>
                <w:sz w:val="20"/>
                <w:szCs w:val="20"/>
              </w:rPr>
            </w:pPr>
          </w:p>
        </w:tc>
      </w:tr>
    </w:tbl>
    <w:p w14:paraId="2629B6F2" w14:textId="77777777" w:rsidR="00FC7B8D" w:rsidRDefault="00FC7B8D" w:rsidP="00723D35">
      <w:pPr>
        <w:pStyle w:val="Body"/>
        <w:rPr>
          <w:rFonts w:ascii="Arial" w:hAnsi="Arial" w:cs="Arial"/>
          <w:b/>
          <w:caps/>
          <w:sz w:val="22"/>
        </w:rPr>
      </w:pPr>
    </w:p>
    <w:p w14:paraId="2D7CD515" w14:textId="7ABC5585" w:rsidR="00723D35" w:rsidRDefault="00723D35" w:rsidP="00723D35">
      <w:pPr>
        <w:pStyle w:val="Body"/>
        <w:rPr>
          <w:rFonts w:ascii="Arial" w:hAnsi="Arial" w:cs="Arial"/>
          <w:b/>
          <w:caps/>
          <w:sz w:val="22"/>
        </w:rPr>
      </w:pPr>
      <w:r w:rsidRPr="00C30A0F">
        <w:rPr>
          <w:rFonts w:ascii="Arial" w:hAnsi="Arial" w:cs="Arial"/>
          <w:b/>
          <w:caps/>
          <w:sz w:val="22"/>
        </w:rPr>
        <w:t>2.</w:t>
      </w:r>
      <w:r>
        <w:rPr>
          <w:rFonts w:ascii="Arial" w:hAnsi="Arial" w:cs="Arial"/>
          <w:b/>
          <w:caps/>
          <w:sz w:val="22"/>
        </w:rPr>
        <w:t>7</w:t>
      </w:r>
      <w:r w:rsidRPr="00C30A0F">
        <w:rPr>
          <w:rFonts w:ascii="Arial" w:hAnsi="Arial" w:cs="Arial"/>
          <w:b/>
          <w:caps/>
          <w:sz w:val="22"/>
        </w:rPr>
        <w:t xml:space="preserve"> </w:t>
      </w:r>
      <w:r>
        <w:rPr>
          <w:rFonts w:ascii="Arial" w:hAnsi="Arial" w:cs="Arial"/>
          <w:b/>
          <w:sz w:val="22"/>
        </w:rPr>
        <w:t xml:space="preserve">Gene Sequencing </w:t>
      </w:r>
    </w:p>
    <w:p w14:paraId="10E1AD05" w14:textId="39446D2C" w:rsidR="00723D35" w:rsidRDefault="00723D35" w:rsidP="00560F4A">
      <w:pPr>
        <w:pStyle w:val="Body"/>
        <w:rPr>
          <w:rFonts w:ascii="Arial" w:hAnsi="Arial" w:cs="Arial"/>
        </w:rPr>
      </w:pPr>
      <w:r w:rsidRPr="00723D35">
        <w:rPr>
          <w:rFonts w:ascii="Arial" w:hAnsi="Arial" w:cs="Arial"/>
        </w:rPr>
        <w:t xml:space="preserve">Sanger sequencing of the PCR products was done to confirm bacteria species. The following </w:t>
      </w:r>
      <w:r w:rsidRPr="00241756">
        <w:rPr>
          <w:rFonts w:ascii="Arial" w:hAnsi="Arial" w:cs="Arial"/>
          <w:highlight w:val="yellow"/>
        </w:rPr>
        <w:t xml:space="preserve">procedure </w:t>
      </w:r>
      <w:r w:rsidR="00A65992" w:rsidRPr="00241756">
        <w:rPr>
          <w:rFonts w:ascii="Arial" w:hAnsi="Arial" w:cs="Arial"/>
          <w:highlight w:val="yellow"/>
        </w:rPr>
        <w:t>w</w:t>
      </w:r>
      <w:r w:rsidR="00A65992" w:rsidRPr="00241756">
        <w:rPr>
          <w:rFonts w:ascii="Arial" w:hAnsi="Arial" w:cs="Arial"/>
          <w:highlight w:val="yellow"/>
        </w:rPr>
        <w:t>as</w:t>
      </w:r>
      <w:r w:rsidR="00A65992" w:rsidRPr="00241756">
        <w:rPr>
          <w:rFonts w:ascii="Arial" w:hAnsi="Arial" w:cs="Arial"/>
          <w:highlight w:val="yellow"/>
        </w:rPr>
        <w:t xml:space="preserve"> </w:t>
      </w:r>
      <w:r w:rsidRPr="00241756">
        <w:rPr>
          <w:rFonts w:ascii="Arial" w:hAnsi="Arial" w:cs="Arial"/>
          <w:highlight w:val="yellow"/>
        </w:rPr>
        <w:t xml:space="preserve">followed to ascertain </w:t>
      </w:r>
      <w:r w:rsidR="00A65992" w:rsidRPr="00241756">
        <w:rPr>
          <w:rFonts w:ascii="Arial" w:hAnsi="Arial" w:cs="Arial"/>
          <w:highlight w:val="yellow"/>
        </w:rPr>
        <w:t xml:space="preserve">the </w:t>
      </w:r>
      <w:r w:rsidRPr="00241756">
        <w:rPr>
          <w:rFonts w:ascii="Arial" w:hAnsi="Arial" w:cs="Arial"/>
          <w:highlight w:val="yellow"/>
        </w:rPr>
        <w:t>exact nucleotide sequence</w:t>
      </w:r>
      <w:r w:rsidRPr="00723D35">
        <w:rPr>
          <w:rFonts w:ascii="Arial" w:hAnsi="Arial" w:cs="Arial"/>
        </w:rPr>
        <w:t xml:space="preserve"> in a DNA fragment: PCR products were purified, and sequencing reactions were set up using the BigDye™ Direct Cycle Sequencing Kit. The primers, tagged with M13 sequencing primers, were utilized for sequencing. Sequencing reactions were purified and loaded onto a genetic analyzer for capillary electrophoresis. The obtained sequencing data were then analyzed to confirm and identify the bacteria species.</w:t>
      </w:r>
    </w:p>
    <w:p w14:paraId="717F9C26" w14:textId="32A423F1" w:rsidR="00235B61" w:rsidRDefault="00235B61" w:rsidP="00235B61">
      <w:pPr>
        <w:pStyle w:val="Body"/>
        <w:rPr>
          <w:rFonts w:ascii="Arial" w:hAnsi="Arial" w:cs="Arial"/>
          <w:b/>
          <w:caps/>
          <w:sz w:val="22"/>
        </w:rPr>
      </w:pPr>
      <w:r w:rsidRPr="00C30A0F">
        <w:rPr>
          <w:rFonts w:ascii="Arial" w:hAnsi="Arial" w:cs="Arial"/>
          <w:b/>
          <w:caps/>
          <w:sz w:val="22"/>
        </w:rPr>
        <w:t>2.</w:t>
      </w:r>
      <w:r>
        <w:rPr>
          <w:rFonts w:ascii="Arial" w:hAnsi="Arial" w:cs="Arial"/>
          <w:b/>
          <w:caps/>
          <w:sz w:val="22"/>
        </w:rPr>
        <w:t>8</w:t>
      </w:r>
      <w:r w:rsidRPr="00C30A0F">
        <w:rPr>
          <w:rFonts w:ascii="Arial" w:hAnsi="Arial" w:cs="Arial"/>
          <w:b/>
          <w:caps/>
          <w:sz w:val="22"/>
        </w:rPr>
        <w:t xml:space="preserve"> </w:t>
      </w:r>
      <w:r>
        <w:rPr>
          <w:rFonts w:ascii="Arial" w:hAnsi="Arial" w:cs="Arial"/>
          <w:b/>
          <w:sz w:val="22"/>
        </w:rPr>
        <w:t>Data Analysis</w:t>
      </w:r>
    </w:p>
    <w:p w14:paraId="09675492" w14:textId="48EEB146" w:rsidR="00235B61" w:rsidRPr="00235B61" w:rsidRDefault="00235B61" w:rsidP="00235B61">
      <w:pPr>
        <w:pStyle w:val="Body"/>
        <w:rPr>
          <w:rFonts w:ascii="Arial" w:hAnsi="Arial" w:cs="Arial"/>
          <w:bCs/>
        </w:rPr>
      </w:pPr>
      <w:r w:rsidRPr="00235B61">
        <w:rPr>
          <w:rFonts w:ascii="Arial" w:hAnsi="Arial" w:cs="Arial"/>
          <w:bCs/>
        </w:rPr>
        <w:t xml:space="preserve">Data were presented as percentages as well as mean standard deviation. Bar charts were generated using GraphPad Prism. Statistical comparison was done using </w:t>
      </w:r>
      <w:r w:rsidRPr="00FD4547">
        <w:rPr>
          <w:rFonts w:ascii="Arial" w:hAnsi="Arial" w:cs="Arial"/>
          <w:bCs/>
          <w:highlight w:val="yellow"/>
        </w:rPr>
        <w:t xml:space="preserve">student </w:t>
      </w:r>
      <w:r w:rsidR="00FD4547" w:rsidRPr="00FD4547">
        <w:rPr>
          <w:rFonts w:ascii="Arial" w:hAnsi="Arial" w:cs="Arial"/>
          <w:bCs/>
          <w:highlight w:val="yellow"/>
        </w:rPr>
        <w:t xml:space="preserve">t-test </w:t>
      </w:r>
      <w:r w:rsidRPr="00FD4547">
        <w:rPr>
          <w:rFonts w:ascii="Arial" w:hAnsi="Arial" w:cs="Arial"/>
          <w:bCs/>
          <w:highlight w:val="yellow"/>
        </w:rPr>
        <w:t>and</w:t>
      </w:r>
      <w:r w:rsidRPr="00235B61">
        <w:rPr>
          <w:rFonts w:ascii="Arial" w:hAnsi="Arial" w:cs="Arial"/>
          <w:bCs/>
        </w:rPr>
        <w:t xml:space="preserve"> statistical significance was considered at a confidence interval of 95%. </w:t>
      </w:r>
    </w:p>
    <w:p w14:paraId="78B43F4D" w14:textId="77777777" w:rsidR="00235B61" w:rsidRDefault="00235B61" w:rsidP="00441B6F">
      <w:pPr>
        <w:pStyle w:val="Head1"/>
        <w:spacing w:after="0"/>
        <w:jc w:val="both"/>
        <w:rPr>
          <w:rFonts w:ascii="Arial" w:hAnsi="Arial" w:cs="Arial"/>
        </w:rPr>
      </w:pPr>
    </w:p>
    <w:p w14:paraId="021C3774" w14:textId="513BA84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0F881E8E" w14:textId="77777777" w:rsidR="00790ADA" w:rsidRPr="00FB3A86" w:rsidRDefault="00790ADA" w:rsidP="00441B6F">
      <w:pPr>
        <w:pStyle w:val="Head1"/>
        <w:spacing w:after="0"/>
        <w:jc w:val="both"/>
        <w:rPr>
          <w:rFonts w:ascii="Arial" w:hAnsi="Arial" w:cs="Arial"/>
        </w:rPr>
      </w:pPr>
    </w:p>
    <w:p w14:paraId="2B7FF874" w14:textId="66B4743B" w:rsidR="00332D4D" w:rsidRDefault="00332D4D" w:rsidP="00332D4D">
      <w:pPr>
        <w:pStyle w:val="Body"/>
        <w:rPr>
          <w:rFonts w:ascii="Arial" w:hAnsi="Arial" w:cs="Arial"/>
          <w:b/>
          <w:caps/>
          <w:sz w:val="22"/>
        </w:rPr>
      </w:pPr>
      <w:r>
        <w:rPr>
          <w:rFonts w:ascii="Arial" w:hAnsi="Arial" w:cs="Arial"/>
          <w:b/>
          <w:caps/>
          <w:sz w:val="22"/>
        </w:rPr>
        <w:t>3.1</w:t>
      </w:r>
      <w:r w:rsidRPr="00C30A0F">
        <w:rPr>
          <w:rFonts w:ascii="Arial" w:hAnsi="Arial" w:cs="Arial"/>
          <w:b/>
          <w:caps/>
          <w:sz w:val="22"/>
        </w:rPr>
        <w:t xml:space="preserve"> </w:t>
      </w:r>
      <w:r w:rsidRPr="00332D4D">
        <w:rPr>
          <w:rFonts w:ascii="Arial" w:hAnsi="Arial" w:cs="Arial"/>
          <w:b/>
          <w:sz w:val="22"/>
        </w:rPr>
        <w:t>Conventional and Species Detection of Bacterial Isolates Associated with Abacha</w:t>
      </w:r>
    </w:p>
    <w:p w14:paraId="37009348" w14:textId="7BEBB0EE" w:rsidR="00332D4D" w:rsidRDefault="00332D4D" w:rsidP="00332D4D">
      <w:pPr>
        <w:pStyle w:val="Body"/>
        <w:rPr>
          <w:rFonts w:ascii="Arial" w:hAnsi="Arial" w:cs="Arial"/>
          <w:bCs/>
        </w:rPr>
      </w:pPr>
      <w:r w:rsidRPr="00332D4D">
        <w:rPr>
          <w:rFonts w:ascii="Arial" w:hAnsi="Arial" w:cs="Arial"/>
          <w:bCs/>
        </w:rPr>
        <w:t>Conventional PCR successfully detected the 16S rRNA gene region specific to bacteria species in all 10 samples (</w:t>
      </w:r>
      <w:r w:rsidRPr="00332D4D">
        <w:rPr>
          <w:rFonts w:ascii="Arial" w:hAnsi="Arial" w:cs="Arial"/>
          <w:b/>
        </w:rPr>
        <w:t>Fig. 2</w:t>
      </w:r>
      <w:r w:rsidRPr="00332D4D">
        <w:rPr>
          <w:rFonts w:ascii="Arial" w:hAnsi="Arial" w:cs="Arial"/>
          <w:bCs/>
        </w:rPr>
        <w:t xml:space="preserve">). The amplification of the targeted DNA region confirmed the presence of bacterial DNA in the samples, validating the specificity of the PCR assay for bacterial species identification. As shown in the image below, the expected band size [300-350 bp] was detected in bacteria samples. Sanger sequencing of the PCR products yielded high-quality chromatograms with clear peaks. Sequencing data were analysed using bioinformatics tools. BLAST searches against reference databases identified the species isolated from each sample. The dominant bacteria species identified included </w:t>
      </w:r>
      <w:r w:rsidRPr="00332D4D">
        <w:rPr>
          <w:rFonts w:ascii="Arial" w:hAnsi="Arial" w:cs="Arial"/>
          <w:bCs/>
          <w:i/>
          <w:iCs/>
        </w:rPr>
        <w:t xml:space="preserve">Proteus mirabilis </w:t>
      </w:r>
      <w:r w:rsidRPr="00332D4D">
        <w:rPr>
          <w:rFonts w:ascii="Arial" w:hAnsi="Arial" w:cs="Arial"/>
          <w:bCs/>
        </w:rPr>
        <w:t>(samples 3A, 4 and 12)</w:t>
      </w:r>
      <w:r w:rsidRPr="00332D4D">
        <w:rPr>
          <w:rFonts w:ascii="Arial" w:hAnsi="Arial" w:cs="Arial"/>
          <w:bCs/>
          <w:i/>
          <w:iCs/>
        </w:rPr>
        <w:t xml:space="preserve">, Myroides odoratimimus </w:t>
      </w:r>
      <w:r w:rsidRPr="00332D4D">
        <w:rPr>
          <w:rFonts w:ascii="Arial" w:hAnsi="Arial" w:cs="Arial"/>
          <w:bCs/>
        </w:rPr>
        <w:t>(samples 7 and 9)</w:t>
      </w:r>
      <w:r w:rsidRPr="00332D4D">
        <w:rPr>
          <w:rFonts w:ascii="Arial" w:hAnsi="Arial" w:cs="Arial"/>
          <w:bCs/>
          <w:i/>
          <w:iCs/>
        </w:rPr>
        <w:t xml:space="preserve">, Flavobacterium tibetense </w:t>
      </w:r>
      <w:r w:rsidRPr="00332D4D">
        <w:rPr>
          <w:rFonts w:ascii="Arial" w:hAnsi="Arial" w:cs="Arial"/>
          <w:bCs/>
        </w:rPr>
        <w:t>(sample 11)</w:t>
      </w:r>
      <w:r w:rsidRPr="00332D4D">
        <w:rPr>
          <w:rFonts w:ascii="Arial" w:hAnsi="Arial" w:cs="Arial"/>
          <w:bCs/>
          <w:i/>
          <w:iCs/>
        </w:rPr>
        <w:t xml:space="preserve">, Proteus alimentorum </w:t>
      </w:r>
      <w:r w:rsidRPr="00332D4D">
        <w:rPr>
          <w:rFonts w:ascii="Arial" w:hAnsi="Arial" w:cs="Arial"/>
          <w:bCs/>
        </w:rPr>
        <w:t>(sample 15)</w:t>
      </w:r>
      <w:r w:rsidRPr="00332D4D">
        <w:rPr>
          <w:rFonts w:ascii="Arial" w:hAnsi="Arial" w:cs="Arial"/>
          <w:bCs/>
          <w:i/>
          <w:iCs/>
        </w:rPr>
        <w:t xml:space="preserve">, Citrobacter cronae </w:t>
      </w:r>
      <w:r w:rsidRPr="00332D4D">
        <w:rPr>
          <w:rFonts w:ascii="Arial" w:hAnsi="Arial" w:cs="Arial"/>
          <w:bCs/>
        </w:rPr>
        <w:t>(sample 16)</w:t>
      </w:r>
      <w:r w:rsidRPr="00332D4D">
        <w:rPr>
          <w:rFonts w:ascii="Arial" w:hAnsi="Arial" w:cs="Arial"/>
          <w:bCs/>
          <w:i/>
          <w:iCs/>
        </w:rPr>
        <w:t xml:space="preserve">, Kosakonia quasisacchari </w:t>
      </w:r>
      <w:r w:rsidRPr="00332D4D">
        <w:rPr>
          <w:rFonts w:ascii="Arial" w:hAnsi="Arial" w:cs="Arial"/>
          <w:bCs/>
        </w:rPr>
        <w:t xml:space="preserve">(samples 18 and 24), and </w:t>
      </w:r>
      <w:r w:rsidRPr="00332D4D">
        <w:rPr>
          <w:rFonts w:ascii="Arial" w:hAnsi="Arial" w:cs="Arial"/>
          <w:bCs/>
          <w:i/>
          <w:iCs/>
        </w:rPr>
        <w:t xml:space="preserve">Providencia huaxiensis </w:t>
      </w:r>
      <w:r w:rsidRPr="00332D4D">
        <w:rPr>
          <w:rFonts w:ascii="Arial" w:hAnsi="Arial" w:cs="Arial"/>
          <w:bCs/>
        </w:rPr>
        <w:t xml:space="preserve">(sample 19). The bacteria with the top hit searches were used and are available in </w:t>
      </w:r>
      <w:r w:rsidRPr="00332D4D">
        <w:rPr>
          <w:rFonts w:ascii="Arial" w:hAnsi="Arial" w:cs="Arial"/>
          <w:b/>
        </w:rPr>
        <w:t xml:space="preserve">Table </w:t>
      </w:r>
      <w:r w:rsidR="00E719A1">
        <w:rPr>
          <w:rFonts w:ascii="Arial" w:hAnsi="Arial" w:cs="Arial"/>
          <w:b/>
        </w:rPr>
        <w:t>2</w:t>
      </w:r>
      <w:r w:rsidRPr="00332D4D">
        <w:rPr>
          <w:rFonts w:ascii="Arial" w:hAnsi="Arial" w:cs="Arial"/>
          <w:bCs/>
        </w:rPr>
        <w:t xml:space="preserve">. The prevalence of the bacteria isolated from the Abacha are </w:t>
      </w:r>
      <w:r w:rsidRPr="00332D4D">
        <w:rPr>
          <w:rFonts w:ascii="Arial" w:hAnsi="Arial" w:cs="Arial"/>
          <w:bCs/>
          <w:i/>
          <w:iCs/>
        </w:rPr>
        <w:t xml:space="preserve">Proteus mirabilis </w:t>
      </w:r>
      <w:r w:rsidRPr="00332D4D">
        <w:rPr>
          <w:rFonts w:ascii="Arial" w:hAnsi="Arial" w:cs="Arial"/>
          <w:bCs/>
        </w:rPr>
        <w:t>2 (20.0%)</w:t>
      </w:r>
      <w:r w:rsidRPr="00332D4D">
        <w:rPr>
          <w:rFonts w:ascii="Arial" w:hAnsi="Arial" w:cs="Arial"/>
          <w:bCs/>
          <w:i/>
          <w:iCs/>
        </w:rPr>
        <w:t xml:space="preserve">, Myroides odoratimimus </w:t>
      </w:r>
      <w:r w:rsidRPr="00332D4D">
        <w:rPr>
          <w:rFonts w:ascii="Arial" w:hAnsi="Arial" w:cs="Arial"/>
          <w:bCs/>
        </w:rPr>
        <w:t>2 (20.0%)</w:t>
      </w:r>
      <w:r w:rsidRPr="00332D4D">
        <w:rPr>
          <w:rFonts w:ascii="Arial" w:hAnsi="Arial" w:cs="Arial"/>
          <w:bCs/>
          <w:i/>
          <w:iCs/>
        </w:rPr>
        <w:t xml:space="preserve">, Proteus alimentorum </w:t>
      </w:r>
      <w:r w:rsidRPr="00332D4D">
        <w:rPr>
          <w:rFonts w:ascii="Arial" w:hAnsi="Arial" w:cs="Arial"/>
          <w:bCs/>
        </w:rPr>
        <w:t>1 (10.0%)</w:t>
      </w:r>
      <w:r w:rsidRPr="00332D4D">
        <w:rPr>
          <w:rFonts w:ascii="Arial" w:hAnsi="Arial" w:cs="Arial"/>
          <w:bCs/>
          <w:i/>
          <w:iCs/>
        </w:rPr>
        <w:t xml:space="preserve">, Citrobacter cronae </w:t>
      </w:r>
      <w:r w:rsidRPr="00332D4D">
        <w:rPr>
          <w:rFonts w:ascii="Arial" w:hAnsi="Arial" w:cs="Arial"/>
          <w:bCs/>
        </w:rPr>
        <w:t>1 (10.0%)</w:t>
      </w:r>
      <w:r w:rsidRPr="00332D4D">
        <w:rPr>
          <w:rFonts w:ascii="Arial" w:hAnsi="Arial" w:cs="Arial"/>
          <w:bCs/>
          <w:i/>
          <w:iCs/>
        </w:rPr>
        <w:t xml:space="preserve">, Kosakonia quasisacchari </w:t>
      </w:r>
      <w:r w:rsidRPr="00332D4D">
        <w:rPr>
          <w:rFonts w:ascii="Arial" w:hAnsi="Arial" w:cs="Arial"/>
          <w:bCs/>
        </w:rPr>
        <w:t>2 (20.0%)</w:t>
      </w:r>
      <w:r w:rsidRPr="00332D4D">
        <w:rPr>
          <w:rFonts w:ascii="Arial" w:hAnsi="Arial" w:cs="Arial"/>
          <w:bCs/>
          <w:i/>
          <w:iCs/>
        </w:rPr>
        <w:t xml:space="preserve">, Providencia huaxiensis </w:t>
      </w:r>
      <w:r w:rsidRPr="00332D4D">
        <w:rPr>
          <w:rFonts w:ascii="Arial" w:hAnsi="Arial" w:cs="Arial"/>
          <w:bCs/>
        </w:rPr>
        <w:t xml:space="preserve">1 (10.0%) and </w:t>
      </w:r>
      <w:r w:rsidRPr="00332D4D">
        <w:rPr>
          <w:rFonts w:ascii="Arial" w:hAnsi="Arial" w:cs="Arial"/>
          <w:bCs/>
          <w:i/>
          <w:iCs/>
        </w:rPr>
        <w:t xml:space="preserve">Flavobacterium tibetense </w:t>
      </w:r>
      <w:r w:rsidRPr="00332D4D">
        <w:rPr>
          <w:rFonts w:ascii="Arial" w:hAnsi="Arial" w:cs="Arial"/>
          <w:bCs/>
        </w:rPr>
        <w:t>1 (10.0%)</w:t>
      </w:r>
      <w:r w:rsidRPr="00332D4D">
        <w:rPr>
          <w:rFonts w:ascii="Arial" w:hAnsi="Arial" w:cs="Arial"/>
          <w:bCs/>
          <w:i/>
          <w:iCs/>
        </w:rPr>
        <w:t xml:space="preserve"> </w:t>
      </w:r>
      <w:r w:rsidRPr="00332D4D">
        <w:rPr>
          <w:rFonts w:ascii="Arial" w:hAnsi="Arial" w:cs="Arial"/>
          <w:bCs/>
        </w:rPr>
        <w:t xml:space="preserve">as shown in </w:t>
      </w:r>
      <w:r w:rsidRPr="00332D4D">
        <w:rPr>
          <w:rFonts w:ascii="Arial" w:hAnsi="Arial" w:cs="Arial"/>
          <w:b/>
        </w:rPr>
        <w:t xml:space="preserve">Table </w:t>
      </w:r>
      <w:r w:rsidR="00E719A1">
        <w:rPr>
          <w:rFonts w:ascii="Arial" w:hAnsi="Arial" w:cs="Arial"/>
          <w:b/>
        </w:rPr>
        <w:t>3</w:t>
      </w:r>
      <w:r w:rsidRPr="00332D4D">
        <w:rPr>
          <w:rFonts w:ascii="Arial" w:hAnsi="Arial" w:cs="Arial"/>
          <w:bCs/>
        </w:rPr>
        <w:t>.</w:t>
      </w:r>
    </w:p>
    <w:p w14:paraId="23B92416" w14:textId="77777777" w:rsidR="00332D4D" w:rsidRDefault="00332D4D" w:rsidP="00332D4D">
      <w:pPr>
        <w:pStyle w:val="Body"/>
        <w:rPr>
          <w:rFonts w:ascii="Arial" w:hAnsi="Arial" w:cs="Arial"/>
          <w:bCs/>
        </w:rPr>
      </w:pPr>
    </w:p>
    <w:p w14:paraId="2152BBC9" w14:textId="3F8F179D" w:rsidR="00332D4D" w:rsidRDefault="00332D4D" w:rsidP="00332D4D">
      <w:pPr>
        <w:pStyle w:val="Body"/>
        <w:rPr>
          <w:rFonts w:ascii="Arial" w:hAnsi="Arial" w:cs="Arial"/>
          <w:bCs/>
        </w:rPr>
      </w:pPr>
      <w:r w:rsidRPr="009E5ADF">
        <w:rPr>
          <w:rFonts w:ascii="Times New Roman" w:hAnsi="Times New Roman"/>
          <w:noProof/>
          <w:sz w:val="24"/>
          <w:szCs w:val="24"/>
        </w:rPr>
        <w:lastRenderedPageBreak/>
        <w:drawing>
          <wp:inline distT="0" distB="0" distL="0" distR="0" wp14:anchorId="6F89C829" wp14:editId="14CDC116">
            <wp:extent cx="5212080" cy="2002702"/>
            <wp:effectExtent l="0" t="0" r="0" b="0"/>
            <wp:docPr id="3" name="Picture 2" descr="A close up of a screen&#10;&#10;Description automatically generated">
              <a:extLst xmlns:a="http://schemas.openxmlformats.org/drawingml/2006/main">
                <a:ext uri="{FF2B5EF4-FFF2-40B4-BE49-F238E27FC236}">
                  <a16:creationId xmlns:a16="http://schemas.microsoft.com/office/drawing/2014/main" id="{F909D4EA-9A5A-94F5-16C8-5474B83F1E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screen&#10;&#10;Description automatically generated">
                      <a:extLst>
                        <a:ext uri="{FF2B5EF4-FFF2-40B4-BE49-F238E27FC236}">
                          <a16:creationId xmlns:a16="http://schemas.microsoft.com/office/drawing/2014/main" id="{F909D4EA-9A5A-94F5-16C8-5474B83F1E64}"/>
                        </a:ext>
                      </a:extLst>
                    </pic:cNvPr>
                    <pic:cNvPicPr>
                      <a:picLocks noChangeAspect="1"/>
                    </pic:cNvPicPr>
                  </pic:nvPicPr>
                  <pic:blipFill rotWithShape="1">
                    <a:blip r:embed="rId9"/>
                    <a:srcRect l="2137" t="15092" r="9721" b="6482"/>
                    <a:stretch/>
                  </pic:blipFill>
                  <pic:spPr bwMode="auto">
                    <a:xfrm>
                      <a:off x="0" y="0"/>
                      <a:ext cx="5212080" cy="2002702"/>
                    </a:xfrm>
                    <a:prstGeom prst="rect">
                      <a:avLst/>
                    </a:prstGeom>
                    <a:ln>
                      <a:noFill/>
                    </a:ln>
                    <a:extLst>
                      <a:ext uri="{53640926-AAD7-44D8-BBD7-CCE9431645EC}">
                        <a14:shadowObscured xmlns:a14="http://schemas.microsoft.com/office/drawing/2010/main"/>
                      </a:ext>
                    </a:extLst>
                  </pic:spPr>
                </pic:pic>
              </a:graphicData>
            </a:graphic>
          </wp:inline>
        </w:drawing>
      </w:r>
    </w:p>
    <w:p w14:paraId="3D2941C9" w14:textId="47E58C89" w:rsidR="00332D4D" w:rsidRDefault="00332D4D" w:rsidP="00332D4D">
      <w:pPr>
        <w:pStyle w:val="Body"/>
        <w:rPr>
          <w:rFonts w:ascii="Arial" w:hAnsi="Arial" w:cs="Arial"/>
          <w:bCs/>
        </w:rPr>
      </w:pPr>
      <w:r>
        <w:rPr>
          <w:rFonts w:ascii="Arial" w:hAnsi="Arial" w:cs="Arial"/>
          <w:b/>
          <w:bCs/>
        </w:rPr>
        <w:t>Fig. 2.</w:t>
      </w:r>
      <w:r w:rsidRPr="00332D4D">
        <w:rPr>
          <w:rFonts w:ascii="Arial" w:hAnsi="Arial" w:cs="Arial"/>
          <w:b/>
          <w:bCs/>
        </w:rPr>
        <w:t xml:space="preserve"> Bands Generated from Conventional 16S rRNA PCR</w:t>
      </w:r>
      <w:r w:rsidRPr="00332D4D">
        <w:rPr>
          <w:rFonts w:ascii="Arial" w:hAnsi="Arial" w:cs="Arial"/>
          <w:bCs/>
        </w:rPr>
        <w:t xml:space="preserve">. Lane M is a 1 kb ladder, </w:t>
      </w:r>
      <w:r w:rsidR="00A65992">
        <w:rPr>
          <w:rFonts w:ascii="Arial" w:hAnsi="Arial" w:cs="Arial"/>
          <w:bCs/>
        </w:rPr>
        <w:t xml:space="preserve">and </w:t>
      </w:r>
      <w:r w:rsidRPr="00332D4D">
        <w:rPr>
          <w:rFonts w:ascii="Arial" w:hAnsi="Arial" w:cs="Arial"/>
          <w:bCs/>
        </w:rPr>
        <w:t xml:space="preserve">S1-10 are bacteria samples. </w:t>
      </w:r>
    </w:p>
    <w:p w14:paraId="0A2767D4" w14:textId="63FDEC88" w:rsidR="00332D4D" w:rsidRPr="00332D4D" w:rsidRDefault="00332D4D" w:rsidP="00DB227C">
      <w:pPr>
        <w:pStyle w:val="Body"/>
        <w:jc w:val="center"/>
        <w:rPr>
          <w:rFonts w:ascii="Arial" w:hAnsi="Arial" w:cs="Arial"/>
          <w:bCs/>
        </w:rPr>
      </w:pPr>
      <w:r>
        <w:rPr>
          <w:rFonts w:ascii="Arial" w:hAnsi="Arial" w:cs="Arial"/>
          <w:b/>
          <w:bCs/>
        </w:rPr>
        <w:t xml:space="preserve">Table </w:t>
      </w:r>
      <w:r w:rsidR="00E719A1">
        <w:rPr>
          <w:rFonts w:ascii="Arial" w:hAnsi="Arial" w:cs="Arial"/>
          <w:b/>
          <w:bCs/>
        </w:rPr>
        <w:t>2</w:t>
      </w:r>
      <w:r>
        <w:rPr>
          <w:rFonts w:ascii="Arial" w:hAnsi="Arial" w:cs="Arial"/>
          <w:b/>
          <w:bCs/>
        </w:rPr>
        <w:t>.</w:t>
      </w:r>
      <w:r>
        <w:rPr>
          <w:rFonts w:ascii="Arial" w:hAnsi="Arial" w:cs="Arial"/>
          <w:b/>
          <w:bCs/>
        </w:rPr>
        <w:tab/>
      </w:r>
      <w:r w:rsidRPr="00332D4D">
        <w:rPr>
          <w:rFonts w:ascii="Arial" w:hAnsi="Arial" w:cs="Arial"/>
          <w:b/>
          <w:bCs/>
        </w:rPr>
        <w:t>Sequences Identity of the 16S rRNA of the Isolated Bacteria</w:t>
      </w:r>
    </w:p>
    <w:tbl>
      <w:tblPr>
        <w:tblStyle w:val="TableGrid"/>
        <w:tblW w:w="918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2499"/>
        <w:gridCol w:w="1784"/>
        <w:gridCol w:w="1277"/>
        <w:gridCol w:w="1246"/>
        <w:gridCol w:w="1451"/>
      </w:tblGrid>
      <w:tr w:rsidR="00332D4D" w:rsidRPr="00332D4D" w14:paraId="49562D25" w14:textId="77777777" w:rsidTr="00DB227C">
        <w:tc>
          <w:tcPr>
            <w:tcW w:w="928" w:type="dxa"/>
            <w:tcBorders>
              <w:top w:val="single" w:sz="4" w:space="0" w:color="auto"/>
              <w:bottom w:val="single" w:sz="4" w:space="0" w:color="auto"/>
            </w:tcBorders>
          </w:tcPr>
          <w:p w14:paraId="17DD081A" w14:textId="67DB0AB3"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Sample</w:t>
            </w:r>
          </w:p>
        </w:tc>
        <w:tc>
          <w:tcPr>
            <w:tcW w:w="2499" w:type="dxa"/>
            <w:tcBorders>
              <w:top w:val="single" w:sz="4" w:space="0" w:color="auto"/>
              <w:bottom w:val="single" w:sz="4" w:space="0" w:color="auto"/>
            </w:tcBorders>
          </w:tcPr>
          <w:p w14:paraId="158C9A06" w14:textId="59365A67"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Sequencing</w:t>
            </w:r>
          </w:p>
        </w:tc>
        <w:tc>
          <w:tcPr>
            <w:tcW w:w="1784" w:type="dxa"/>
            <w:tcBorders>
              <w:top w:val="single" w:sz="4" w:space="0" w:color="auto"/>
              <w:bottom w:val="single" w:sz="4" w:space="0" w:color="auto"/>
            </w:tcBorders>
          </w:tcPr>
          <w:p w14:paraId="4DFDA415" w14:textId="15371868"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 xml:space="preserve">Conventional </w:t>
            </w:r>
          </w:p>
        </w:tc>
        <w:tc>
          <w:tcPr>
            <w:tcW w:w="1277" w:type="dxa"/>
            <w:tcBorders>
              <w:top w:val="single" w:sz="4" w:space="0" w:color="auto"/>
              <w:bottom w:val="single" w:sz="4" w:space="0" w:color="auto"/>
            </w:tcBorders>
          </w:tcPr>
          <w:p w14:paraId="168C938C" w14:textId="7DB01256"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E value</w:t>
            </w:r>
          </w:p>
        </w:tc>
        <w:tc>
          <w:tcPr>
            <w:tcW w:w="1246" w:type="dxa"/>
            <w:tcBorders>
              <w:top w:val="single" w:sz="4" w:space="0" w:color="auto"/>
              <w:bottom w:val="single" w:sz="4" w:space="0" w:color="auto"/>
            </w:tcBorders>
          </w:tcPr>
          <w:p w14:paraId="2A051423" w14:textId="66BC7529"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Acc Len</w:t>
            </w:r>
          </w:p>
        </w:tc>
        <w:tc>
          <w:tcPr>
            <w:tcW w:w="1451" w:type="dxa"/>
            <w:tcBorders>
              <w:top w:val="single" w:sz="4" w:space="0" w:color="auto"/>
              <w:bottom w:val="single" w:sz="4" w:space="0" w:color="auto"/>
            </w:tcBorders>
          </w:tcPr>
          <w:p w14:paraId="1FE257FC" w14:textId="13EC3245" w:rsidR="00332D4D" w:rsidRPr="00332D4D" w:rsidRDefault="00332D4D" w:rsidP="00332D4D">
            <w:pPr>
              <w:pStyle w:val="Body"/>
              <w:spacing w:after="0"/>
              <w:rPr>
                <w:rFonts w:ascii="Arial" w:hAnsi="Arial" w:cs="Arial"/>
                <w:bCs/>
                <w:sz w:val="20"/>
                <w:szCs w:val="20"/>
              </w:rPr>
            </w:pPr>
            <w:r w:rsidRPr="00332D4D">
              <w:rPr>
                <w:rFonts w:ascii="Arial" w:hAnsi="Arial" w:cs="Arial"/>
                <w:b/>
                <w:bCs/>
                <w:sz w:val="20"/>
                <w:szCs w:val="20"/>
              </w:rPr>
              <w:t>Acc n</w:t>
            </w:r>
            <w:r w:rsidR="00486CB5">
              <w:rPr>
                <w:rFonts w:ascii="Arial" w:hAnsi="Arial" w:cs="Arial"/>
                <w:b/>
                <w:bCs/>
                <w:sz w:val="20"/>
                <w:szCs w:val="20"/>
              </w:rPr>
              <w:t>umber</w:t>
            </w:r>
          </w:p>
        </w:tc>
      </w:tr>
      <w:tr w:rsidR="00332D4D" w:rsidRPr="00332D4D" w14:paraId="1152A878" w14:textId="77777777" w:rsidTr="00DB227C">
        <w:tc>
          <w:tcPr>
            <w:tcW w:w="928" w:type="dxa"/>
            <w:tcBorders>
              <w:top w:val="single" w:sz="4" w:space="0" w:color="auto"/>
            </w:tcBorders>
          </w:tcPr>
          <w:p w14:paraId="0A0ED30A" w14:textId="5CFBFFDC"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3A</w:t>
            </w:r>
          </w:p>
        </w:tc>
        <w:tc>
          <w:tcPr>
            <w:tcW w:w="2499" w:type="dxa"/>
            <w:tcBorders>
              <w:top w:val="single" w:sz="4" w:space="0" w:color="auto"/>
            </w:tcBorders>
          </w:tcPr>
          <w:p w14:paraId="75C2DE00" w14:textId="4A93877E"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Proteus mirabilis</w:t>
            </w:r>
          </w:p>
        </w:tc>
        <w:tc>
          <w:tcPr>
            <w:tcW w:w="1784" w:type="dxa"/>
            <w:tcBorders>
              <w:top w:val="single" w:sz="4" w:space="0" w:color="auto"/>
            </w:tcBorders>
          </w:tcPr>
          <w:p w14:paraId="4FCBAF1E" w14:textId="18C1CE2F"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E. coli</w:t>
            </w:r>
          </w:p>
        </w:tc>
        <w:tc>
          <w:tcPr>
            <w:tcW w:w="1277" w:type="dxa"/>
            <w:tcBorders>
              <w:top w:val="single" w:sz="4" w:space="0" w:color="auto"/>
            </w:tcBorders>
          </w:tcPr>
          <w:p w14:paraId="5409FB52" w14:textId="5E0F99A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2.00E-142</w:t>
            </w:r>
          </w:p>
        </w:tc>
        <w:tc>
          <w:tcPr>
            <w:tcW w:w="1246" w:type="dxa"/>
            <w:tcBorders>
              <w:top w:val="single" w:sz="4" w:space="0" w:color="auto"/>
            </w:tcBorders>
          </w:tcPr>
          <w:p w14:paraId="1DFB686F" w14:textId="17862E1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1497</w:t>
            </w:r>
          </w:p>
        </w:tc>
        <w:tc>
          <w:tcPr>
            <w:tcW w:w="1451" w:type="dxa"/>
            <w:tcBorders>
              <w:top w:val="single" w:sz="4" w:space="0" w:color="auto"/>
            </w:tcBorders>
          </w:tcPr>
          <w:p w14:paraId="50E23687" w14:textId="11A36926"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NR_114419.1</w:t>
            </w:r>
          </w:p>
        </w:tc>
      </w:tr>
      <w:tr w:rsidR="00332D4D" w:rsidRPr="00332D4D" w14:paraId="2FB603D6" w14:textId="77777777" w:rsidTr="00DB227C">
        <w:tc>
          <w:tcPr>
            <w:tcW w:w="928" w:type="dxa"/>
          </w:tcPr>
          <w:p w14:paraId="2B15CBC0" w14:textId="45059824"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12</w:t>
            </w:r>
          </w:p>
        </w:tc>
        <w:tc>
          <w:tcPr>
            <w:tcW w:w="2499" w:type="dxa"/>
          </w:tcPr>
          <w:p w14:paraId="7E365B83" w14:textId="02AA85E8"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Proteus mirabilis</w:t>
            </w:r>
          </w:p>
        </w:tc>
        <w:tc>
          <w:tcPr>
            <w:tcW w:w="1784" w:type="dxa"/>
          </w:tcPr>
          <w:p w14:paraId="0661BDD5" w14:textId="62DFCD2D"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E. coli</w:t>
            </w:r>
          </w:p>
        </w:tc>
        <w:tc>
          <w:tcPr>
            <w:tcW w:w="1277" w:type="dxa"/>
          </w:tcPr>
          <w:p w14:paraId="6EBC56FD" w14:textId="3ECF248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2.00E-135</w:t>
            </w:r>
          </w:p>
        </w:tc>
        <w:tc>
          <w:tcPr>
            <w:tcW w:w="1246" w:type="dxa"/>
          </w:tcPr>
          <w:p w14:paraId="4A62141B" w14:textId="2BB8E5B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1497</w:t>
            </w:r>
          </w:p>
        </w:tc>
        <w:tc>
          <w:tcPr>
            <w:tcW w:w="1451" w:type="dxa"/>
          </w:tcPr>
          <w:p w14:paraId="2FAA34BD" w14:textId="6F52ABA6"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NR_114419.1</w:t>
            </w:r>
          </w:p>
        </w:tc>
      </w:tr>
      <w:tr w:rsidR="00332D4D" w:rsidRPr="00332D4D" w14:paraId="022AB3B0" w14:textId="77777777" w:rsidTr="00DB227C">
        <w:tc>
          <w:tcPr>
            <w:tcW w:w="928" w:type="dxa"/>
          </w:tcPr>
          <w:p w14:paraId="74BE0606" w14:textId="518FE249"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7</w:t>
            </w:r>
          </w:p>
        </w:tc>
        <w:tc>
          <w:tcPr>
            <w:tcW w:w="2499" w:type="dxa"/>
          </w:tcPr>
          <w:p w14:paraId="38FA19DA" w14:textId="17E8E26A"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Myroides odoratimimus</w:t>
            </w:r>
          </w:p>
        </w:tc>
        <w:tc>
          <w:tcPr>
            <w:tcW w:w="1784" w:type="dxa"/>
          </w:tcPr>
          <w:p w14:paraId="6DBE9BD5" w14:textId="4F9D95F9" w:rsidR="00332D4D" w:rsidRPr="00DB227C"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Bacillus </w:t>
            </w:r>
            <w:r w:rsidR="00DB227C" w:rsidRPr="00DB227C">
              <w:rPr>
                <w:rFonts w:ascii="Arial" w:hAnsi="Arial" w:cs="Arial"/>
                <w:sz w:val="20"/>
                <w:szCs w:val="20"/>
              </w:rPr>
              <w:t>spp</w:t>
            </w:r>
          </w:p>
        </w:tc>
        <w:tc>
          <w:tcPr>
            <w:tcW w:w="1277" w:type="dxa"/>
          </w:tcPr>
          <w:p w14:paraId="446D19D6" w14:textId="05C503F4"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8.00E-144</w:t>
            </w:r>
          </w:p>
        </w:tc>
        <w:tc>
          <w:tcPr>
            <w:tcW w:w="1246" w:type="dxa"/>
          </w:tcPr>
          <w:p w14:paraId="28851078" w14:textId="72356C1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1484</w:t>
            </w:r>
          </w:p>
        </w:tc>
        <w:tc>
          <w:tcPr>
            <w:tcW w:w="1451" w:type="dxa"/>
          </w:tcPr>
          <w:p w14:paraId="13D58A63" w14:textId="0681E238"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NR_042354.1</w:t>
            </w:r>
          </w:p>
        </w:tc>
      </w:tr>
      <w:tr w:rsidR="00332D4D" w:rsidRPr="00332D4D" w14:paraId="3776B080" w14:textId="77777777" w:rsidTr="00DB227C">
        <w:tc>
          <w:tcPr>
            <w:tcW w:w="928" w:type="dxa"/>
          </w:tcPr>
          <w:p w14:paraId="3B3C117F" w14:textId="3FD022A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9</w:t>
            </w:r>
          </w:p>
        </w:tc>
        <w:tc>
          <w:tcPr>
            <w:tcW w:w="2499" w:type="dxa"/>
          </w:tcPr>
          <w:p w14:paraId="0A781593" w14:textId="2ECF7116"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Myroides odoratimimus</w:t>
            </w:r>
          </w:p>
        </w:tc>
        <w:tc>
          <w:tcPr>
            <w:tcW w:w="1784" w:type="dxa"/>
          </w:tcPr>
          <w:p w14:paraId="3BE06A1D" w14:textId="3B1E7331"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Bacillus </w:t>
            </w:r>
            <w:r w:rsidRPr="00DB227C">
              <w:rPr>
                <w:rFonts w:ascii="Arial" w:hAnsi="Arial" w:cs="Arial"/>
                <w:sz w:val="20"/>
                <w:szCs w:val="20"/>
              </w:rPr>
              <w:t>sp</w:t>
            </w:r>
            <w:r w:rsidR="00DB227C">
              <w:rPr>
                <w:rFonts w:ascii="Arial" w:hAnsi="Arial" w:cs="Arial"/>
                <w:sz w:val="20"/>
                <w:szCs w:val="20"/>
              </w:rPr>
              <w:t>p</w:t>
            </w:r>
          </w:p>
        </w:tc>
        <w:tc>
          <w:tcPr>
            <w:tcW w:w="1277" w:type="dxa"/>
          </w:tcPr>
          <w:p w14:paraId="2B53BFD7" w14:textId="0A08FBB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8.00E-134</w:t>
            </w:r>
          </w:p>
        </w:tc>
        <w:tc>
          <w:tcPr>
            <w:tcW w:w="1246" w:type="dxa"/>
          </w:tcPr>
          <w:p w14:paraId="46F364C3" w14:textId="15AE889C"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1484</w:t>
            </w:r>
          </w:p>
        </w:tc>
        <w:tc>
          <w:tcPr>
            <w:tcW w:w="1451" w:type="dxa"/>
          </w:tcPr>
          <w:p w14:paraId="026D5586" w14:textId="63BB8151"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NR_042354.1</w:t>
            </w:r>
          </w:p>
        </w:tc>
      </w:tr>
      <w:tr w:rsidR="00332D4D" w:rsidRPr="00332D4D" w14:paraId="75255090" w14:textId="77777777" w:rsidTr="00DB227C">
        <w:tc>
          <w:tcPr>
            <w:tcW w:w="928" w:type="dxa"/>
          </w:tcPr>
          <w:p w14:paraId="7CD7A304" w14:textId="2B5CE68E"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18</w:t>
            </w:r>
          </w:p>
        </w:tc>
        <w:tc>
          <w:tcPr>
            <w:tcW w:w="2499" w:type="dxa"/>
          </w:tcPr>
          <w:p w14:paraId="7795D84C" w14:textId="26059F2B"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Kosakonia quasisacchari</w:t>
            </w:r>
          </w:p>
        </w:tc>
        <w:tc>
          <w:tcPr>
            <w:tcW w:w="1784" w:type="dxa"/>
          </w:tcPr>
          <w:p w14:paraId="4A97C196" w14:textId="7BAE38A1" w:rsidR="00332D4D" w:rsidRPr="00DB227C" w:rsidRDefault="00332D4D" w:rsidP="00332D4D">
            <w:pPr>
              <w:pStyle w:val="Body"/>
              <w:spacing w:after="0"/>
              <w:rPr>
                <w:rFonts w:ascii="Arial" w:hAnsi="Arial" w:cs="Arial"/>
                <w:bCs/>
                <w:sz w:val="20"/>
                <w:szCs w:val="20"/>
              </w:rPr>
            </w:pPr>
            <w:r w:rsidRPr="00332D4D">
              <w:rPr>
                <w:rFonts w:ascii="Arial" w:hAnsi="Arial" w:cs="Arial"/>
                <w:i/>
                <w:iCs/>
                <w:sz w:val="20"/>
                <w:szCs w:val="20"/>
              </w:rPr>
              <w:t>Salmonella</w:t>
            </w:r>
            <w:r w:rsidR="00DB227C">
              <w:rPr>
                <w:rFonts w:ascii="Arial" w:hAnsi="Arial" w:cs="Arial"/>
                <w:i/>
                <w:iCs/>
                <w:sz w:val="20"/>
                <w:szCs w:val="20"/>
              </w:rPr>
              <w:t xml:space="preserve"> </w:t>
            </w:r>
            <w:r w:rsidR="00DB227C">
              <w:rPr>
                <w:rFonts w:ascii="Arial" w:hAnsi="Arial" w:cs="Arial"/>
                <w:sz w:val="20"/>
                <w:szCs w:val="20"/>
              </w:rPr>
              <w:t>spp</w:t>
            </w:r>
          </w:p>
        </w:tc>
        <w:tc>
          <w:tcPr>
            <w:tcW w:w="1277" w:type="dxa"/>
          </w:tcPr>
          <w:p w14:paraId="3AEA7993" w14:textId="6C72002E"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3.00E-102</w:t>
            </w:r>
          </w:p>
        </w:tc>
        <w:tc>
          <w:tcPr>
            <w:tcW w:w="1246" w:type="dxa"/>
          </w:tcPr>
          <w:p w14:paraId="5046CD53" w14:textId="6C7DD4B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1536</w:t>
            </w:r>
          </w:p>
        </w:tc>
        <w:tc>
          <w:tcPr>
            <w:tcW w:w="1451" w:type="dxa"/>
          </w:tcPr>
          <w:p w14:paraId="473FC996" w14:textId="3256D2B1"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NR_169476.1</w:t>
            </w:r>
          </w:p>
        </w:tc>
      </w:tr>
      <w:tr w:rsidR="00332D4D" w:rsidRPr="00332D4D" w14:paraId="5A02373D" w14:textId="77777777" w:rsidTr="00DB227C">
        <w:tc>
          <w:tcPr>
            <w:tcW w:w="928" w:type="dxa"/>
          </w:tcPr>
          <w:p w14:paraId="681E32CE" w14:textId="47DD922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24</w:t>
            </w:r>
          </w:p>
        </w:tc>
        <w:tc>
          <w:tcPr>
            <w:tcW w:w="2499" w:type="dxa"/>
          </w:tcPr>
          <w:p w14:paraId="698FFF72" w14:textId="1A3D2223"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Kosakonia quasisacchari</w:t>
            </w:r>
          </w:p>
        </w:tc>
        <w:tc>
          <w:tcPr>
            <w:tcW w:w="1784" w:type="dxa"/>
          </w:tcPr>
          <w:p w14:paraId="5447A6DC" w14:textId="36535A21"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S. aureus</w:t>
            </w:r>
          </w:p>
        </w:tc>
        <w:tc>
          <w:tcPr>
            <w:tcW w:w="1277" w:type="dxa"/>
          </w:tcPr>
          <w:p w14:paraId="5BD915B8" w14:textId="36B56D6B"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1.00E-124</w:t>
            </w:r>
          </w:p>
        </w:tc>
        <w:tc>
          <w:tcPr>
            <w:tcW w:w="1246" w:type="dxa"/>
          </w:tcPr>
          <w:p w14:paraId="32231ED8" w14:textId="69337C02"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1536</w:t>
            </w:r>
          </w:p>
        </w:tc>
        <w:tc>
          <w:tcPr>
            <w:tcW w:w="1451" w:type="dxa"/>
          </w:tcPr>
          <w:p w14:paraId="086306A2" w14:textId="7729464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NR_169476.1</w:t>
            </w:r>
          </w:p>
        </w:tc>
      </w:tr>
      <w:tr w:rsidR="00332D4D" w:rsidRPr="00332D4D" w14:paraId="11FB09AB" w14:textId="77777777" w:rsidTr="00DB227C">
        <w:tc>
          <w:tcPr>
            <w:tcW w:w="928" w:type="dxa"/>
          </w:tcPr>
          <w:p w14:paraId="2CF63705" w14:textId="0579B457"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11</w:t>
            </w:r>
          </w:p>
        </w:tc>
        <w:tc>
          <w:tcPr>
            <w:tcW w:w="2499" w:type="dxa"/>
          </w:tcPr>
          <w:p w14:paraId="7CA98A76" w14:textId="2908170B"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Flavobacterium tibetense</w:t>
            </w:r>
          </w:p>
        </w:tc>
        <w:tc>
          <w:tcPr>
            <w:tcW w:w="1784" w:type="dxa"/>
          </w:tcPr>
          <w:p w14:paraId="0F31D44B" w14:textId="3668C5A2"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S. aureus</w:t>
            </w:r>
          </w:p>
        </w:tc>
        <w:tc>
          <w:tcPr>
            <w:tcW w:w="1277" w:type="dxa"/>
          </w:tcPr>
          <w:p w14:paraId="05AA0BCE" w14:textId="6C729A03"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7.00E-71</w:t>
            </w:r>
          </w:p>
        </w:tc>
        <w:tc>
          <w:tcPr>
            <w:tcW w:w="1246" w:type="dxa"/>
          </w:tcPr>
          <w:p w14:paraId="6793870B" w14:textId="038B4DD8"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1482</w:t>
            </w:r>
          </w:p>
        </w:tc>
        <w:tc>
          <w:tcPr>
            <w:tcW w:w="1451" w:type="dxa"/>
          </w:tcPr>
          <w:p w14:paraId="21B0AD74" w14:textId="1236088D"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NR_179722.1</w:t>
            </w:r>
          </w:p>
        </w:tc>
      </w:tr>
      <w:tr w:rsidR="00332D4D" w:rsidRPr="00332D4D" w14:paraId="7AAFE861" w14:textId="77777777" w:rsidTr="00DB227C">
        <w:tc>
          <w:tcPr>
            <w:tcW w:w="928" w:type="dxa"/>
          </w:tcPr>
          <w:p w14:paraId="6CCB7AF2" w14:textId="3DF2BBB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15</w:t>
            </w:r>
          </w:p>
        </w:tc>
        <w:tc>
          <w:tcPr>
            <w:tcW w:w="2499" w:type="dxa"/>
          </w:tcPr>
          <w:p w14:paraId="55388422" w14:textId="24189262"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Proteus alimentorum</w:t>
            </w:r>
          </w:p>
        </w:tc>
        <w:tc>
          <w:tcPr>
            <w:tcW w:w="1784" w:type="dxa"/>
          </w:tcPr>
          <w:p w14:paraId="7431EDAE" w14:textId="5DB47BD6"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Salmonella </w:t>
            </w:r>
            <w:r w:rsidRPr="00332D4D">
              <w:rPr>
                <w:rFonts w:ascii="Arial" w:hAnsi="Arial" w:cs="Arial"/>
                <w:sz w:val="20"/>
                <w:szCs w:val="20"/>
              </w:rPr>
              <w:t>spp</w:t>
            </w:r>
          </w:p>
        </w:tc>
        <w:tc>
          <w:tcPr>
            <w:tcW w:w="1277" w:type="dxa"/>
          </w:tcPr>
          <w:p w14:paraId="3A782A8A" w14:textId="6FFFB07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4.00E-131</w:t>
            </w:r>
          </w:p>
        </w:tc>
        <w:tc>
          <w:tcPr>
            <w:tcW w:w="1246" w:type="dxa"/>
          </w:tcPr>
          <w:p w14:paraId="2F04D390" w14:textId="3F21720A"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1380</w:t>
            </w:r>
          </w:p>
        </w:tc>
        <w:tc>
          <w:tcPr>
            <w:tcW w:w="1451" w:type="dxa"/>
          </w:tcPr>
          <w:p w14:paraId="67351693" w14:textId="0120B517"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NR_163665.1</w:t>
            </w:r>
          </w:p>
        </w:tc>
      </w:tr>
      <w:tr w:rsidR="00332D4D" w:rsidRPr="00332D4D" w14:paraId="14379946" w14:textId="77777777" w:rsidTr="00DB227C">
        <w:tc>
          <w:tcPr>
            <w:tcW w:w="928" w:type="dxa"/>
          </w:tcPr>
          <w:p w14:paraId="605271B8" w14:textId="5ECFE37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16</w:t>
            </w:r>
          </w:p>
        </w:tc>
        <w:tc>
          <w:tcPr>
            <w:tcW w:w="2499" w:type="dxa"/>
          </w:tcPr>
          <w:p w14:paraId="55E193E8" w14:textId="6855F0DF"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Citrobacter cronae</w:t>
            </w:r>
          </w:p>
        </w:tc>
        <w:tc>
          <w:tcPr>
            <w:tcW w:w="1784" w:type="dxa"/>
          </w:tcPr>
          <w:p w14:paraId="49F412FB" w14:textId="7D857EE1"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Klebsiella </w:t>
            </w:r>
            <w:r w:rsidRPr="00332D4D">
              <w:rPr>
                <w:rFonts w:ascii="Arial" w:hAnsi="Arial" w:cs="Arial"/>
                <w:sz w:val="20"/>
                <w:szCs w:val="20"/>
              </w:rPr>
              <w:t>s</w:t>
            </w:r>
            <w:r w:rsidR="00DB227C">
              <w:rPr>
                <w:rFonts w:ascii="Arial" w:hAnsi="Arial" w:cs="Arial"/>
                <w:sz w:val="20"/>
                <w:szCs w:val="20"/>
              </w:rPr>
              <w:t>pp</w:t>
            </w:r>
          </w:p>
        </w:tc>
        <w:tc>
          <w:tcPr>
            <w:tcW w:w="1277" w:type="dxa"/>
          </w:tcPr>
          <w:p w14:paraId="33891002" w14:textId="476FD8D9"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3.00E-126</w:t>
            </w:r>
          </w:p>
        </w:tc>
        <w:tc>
          <w:tcPr>
            <w:tcW w:w="1246" w:type="dxa"/>
          </w:tcPr>
          <w:p w14:paraId="2C37FAFD" w14:textId="28DEE343"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1462</w:t>
            </w:r>
          </w:p>
        </w:tc>
        <w:tc>
          <w:tcPr>
            <w:tcW w:w="1451" w:type="dxa"/>
          </w:tcPr>
          <w:p w14:paraId="7AA482B7" w14:textId="09C1406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NR_170426.1</w:t>
            </w:r>
          </w:p>
        </w:tc>
      </w:tr>
      <w:tr w:rsidR="00332D4D" w:rsidRPr="00332D4D" w14:paraId="13A0DB84" w14:textId="77777777" w:rsidTr="00DB227C">
        <w:tc>
          <w:tcPr>
            <w:tcW w:w="928" w:type="dxa"/>
          </w:tcPr>
          <w:p w14:paraId="2230DAE4" w14:textId="55D1938D"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19</w:t>
            </w:r>
          </w:p>
        </w:tc>
        <w:tc>
          <w:tcPr>
            <w:tcW w:w="2499" w:type="dxa"/>
          </w:tcPr>
          <w:p w14:paraId="474A15D9" w14:textId="64166F06"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Providencia huaxiensis</w:t>
            </w:r>
          </w:p>
        </w:tc>
        <w:tc>
          <w:tcPr>
            <w:tcW w:w="1784" w:type="dxa"/>
          </w:tcPr>
          <w:p w14:paraId="00350871" w14:textId="635770E7" w:rsidR="00332D4D" w:rsidRPr="00332D4D" w:rsidRDefault="00332D4D" w:rsidP="00332D4D">
            <w:pPr>
              <w:pStyle w:val="Body"/>
              <w:spacing w:after="0"/>
              <w:rPr>
                <w:rFonts w:ascii="Arial" w:hAnsi="Arial" w:cs="Arial"/>
                <w:bCs/>
                <w:sz w:val="20"/>
                <w:szCs w:val="20"/>
              </w:rPr>
            </w:pPr>
            <w:r w:rsidRPr="00332D4D">
              <w:rPr>
                <w:rFonts w:ascii="Arial" w:hAnsi="Arial" w:cs="Arial"/>
                <w:i/>
                <w:iCs/>
                <w:sz w:val="20"/>
                <w:szCs w:val="20"/>
              </w:rPr>
              <w:t xml:space="preserve">Klebsiella </w:t>
            </w:r>
            <w:r w:rsidRPr="00332D4D">
              <w:rPr>
                <w:rFonts w:ascii="Arial" w:hAnsi="Arial" w:cs="Arial"/>
                <w:sz w:val="20"/>
                <w:szCs w:val="20"/>
              </w:rPr>
              <w:t>sp</w:t>
            </w:r>
            <w:r w:rsidR="00DB227C">
              <w:rPr>
                <w:rFonts w:ascii="Arial" w:hAnsi="Arial" w:cs="Arial"/>
                <w:sz w:val="20"/>
                <w:szCs w:val="20"/>
              </w:rPr>
              <w:t>p</w:t>
            </w:r>
          </w:p>
        </w:tc>
        <w:tc>
          <w:tcPr>
            <w:tcW w:w="1277" w:type="dxa"/>
          </w:tcPr>
          <w:p w14:paraId="0D918C07" w14:textId="7152EA85"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3.00E-140</w:t>
            </w:r>
          </w:p>
        </w:tc>
        <w:tc>
          <w:tcPr>
            <w:tcW w:w="1246" w:type="dxa"/>
          </w:tcPr>
          <w:p w14:paraId="23B5AC22" w14:textId="14FBD8FF"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1528</w:t>
            </w:r>
          </w:p>
        </w:tc>
        <w:tc>
          <w:tcPr>
            <w:tcW w:w="1451" w:type="dxa"/>
          </w:tcPr>
          <w:p w14:paraId="0B99500E" w14:textId="1CC058AD" w:rsidR="00332D4D" w:rsidRPr="00332D4D" w:rsidRDefault="00332D4D" w:rsidP="00332D4D">
            <w:pPr>
              <w:pStyle w:val="Body"/>
              <w:spacing w:after="0"/>
              <w:rPr>
                <w:rFonts w:ascii="Arial" w:hAnsi="Arial" w:cs="Arial"/>
                <w:bCs/>
                <w:sz w:val="20"/>
                <w:szCs w:val="20"/>
              </w:rPr>
            </w:pPr>
            <w:r w:rsidRPr="00332D4D">
              <w:rPr>
                <w:rFonts w:ascii="Arial" w:hAnsi="Arial" w:cs="Arial"/>
                <w:sz w:val="20"/>
                <w:szCs w:val="20"/>
              </w:rPr>
              <w:t>NR_174258.1</w:t>
            </w:r>
          </w:p>
        </w:tc>
      </w:tr>
    </w:tbl>
    <w:p w14:paraId="28858D7F" w14:textId="7CE5EFE0" w:rsidR="00332D4D" w:rsidRPr="00332D4D" w:rsidRDefault="00486CB5" w:rsidP="00332D4D">
      <w:pPr>
        <w:pStyle w:val="Body"/>
        <w:rPr>
          <w:rFonts w:ascii="Arial" w:hAnsi="Arial" w:cs="Arial"/>
          <w:bCs/>
          <w:i/>
          <w:iCs/>
        </w:rPr>
      </w:pPr>
      <w:r w:rsidRPr="00486CB5">
        <w:rPr>
          <w:rFonts w:ascii="Arial" w:hAnsi="Arial" w:cs="Arial"/>
          <w:bCs/>
          <w:i/>
          <w:iCs/>
        </w:rPr>
        <w:t xml:space="preserve">*Legends: Acc – accession </w:t>
      </w:r>
    </w:p>
    <w:p w14:paraId="3696972E"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79D683B8" w14:textId="1FA9C26D" w:rsidR="00927834" w:rsidRDefault="00927834" w:rsidP="00441B6F">
      <w:pPr>
        <w:autoSpaceDE w:val="0"/>
        <w:autoSpaceDN w:val="0"/>
        <w:adjustRightInd w:val="0"/>
        <w:jc w:val="both"/>
        <w:rPr>
          <w:rFonts w:ascii="Arial" w:hAnsi="Arial" w:cs="Arial"/>
          <w:b/>
          <w:bCs/>
          <w:sz w:val="22"/>
          <w:szCs w:val="22"/>
        </w:rPr>
      </w:pPr>
    </w:p>
    <w:p w14:paraId="2DC33904" w14:textId="1050284D" w:rsidR="00486CB5" w:rsidRDefault="00486CB5" w:rsidP="00DB227C">
      <w:pPr>
        <w:autoSpaceDE w:val="0"/>
        <w:autoSpaceDN w:val="0"/>
        <w:adjustRightInd w:val="0"/>
        <w:jc w:val="center"/>
        <w:rPr>
          <w:rFonts w:ascii="Arial" w:hAnsi="Arial" w:cs="Arial"/>
          <w:b/>
          <w:bCs/>
          <w:sz w:val="22"/>
          <w:szCs w:val="22"/>
        </w:rPr>
      </w:pPr>
      <w:r>
        <w:rPr>
          <w:rFonts w:ascii="Arial" w:hAnsi="Arial" w:cs="Arial"/>
          <w:b/>
          <w:bCs/>
          <w:sz w:val="22"/>
          <w:szCs w:val="22"/>
        </w:rPr>
        <w:t xml:space="preserve">Table </w:t>
      </w:r>
      <w:r w:rsidR="00CA4CEC">
        <w:rPr>
          <w:rFonts w:ascii="Arial" w:hAnsi="Arial" w:cs="Arial"/>
          <w:b/>
          <w:bCs/>
          <w:sz w:val="22"/>
          <w:szCs w:val="22"/>
        </w:rPr>
        <w:t>3</w:t>
      </w:r>
      <w:r>
        <w:rPr>
          <w:rFonts w:ascii="Arial" w:hAnsi="Arial" w:cs="Arial"/>
          <w:b/>
          <w:bCs/>
          <w:sz w:val="22"/>
          <w:szCs w:val="22"/>
        </w:rPr>
        <w:t>.</w:t>
      </w:r>
      <w:r>
        <w:rPr>
          <w:rFonts w:ascii="Arial" w:hAnsi="Arial" w:cs="Arial"/>
          <w:b/>
          <w:bCs/>
          <w:sz w:val="22"/>
          <w:szCs w:val="22"/>
        </w:rPr>
        <w:tab/>
      </w:r>
      <w:r w:rsidRPr="00486CB5">
        <w:rPr>
          <w:rFonts w:ascii="Arial" w:hAnsi="Arial" w:cs="Arial"/>
          <w:b/>
          <w:bCs/>
          <w:sz w:val="22"/>
          <w:szCs w:val="22"/>
        </w:rPr>
        <w:t>Prevalence of Isolated Bacteria in Abacha</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1695"/>
        <w:gridCol w:w="1701"/>
      </w:tblGrid>
      <w:tr w:rsidR="00486CB5" w:rsidRPr="00486CB5" w14:paraId="1C2E75F8" w14:textId="77777777" w:rsidTr="00DB227C">
        <w:trPr>
          <w:jc w:val="center"/>
        </w:trPr>
        <w:tc>
          <w:tcPr>
            <w:tcW w:w="2808" w:type="dxa"/>
            <w:tcBorders>
              <w:bottom w:val="single" w:sz="4" w:space="0" w:color="auto"/>
            </w:tcBorders>
            <w:vAlign w:val="bottom"/>
          </w:tcPr>
          <w:p w14:paraId="76D88C4B" w14:textId="535EBA36"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b/>
                <w:bCs/>
                <w:color w:val="000000"/>
                <w:sz w:val="20"/>
                <w:szCs w:val="20"/>
                <w:lang w:val="en-GB" w:eastAsia="en-GB"/>
              </w:rPr>
              <w:t>Bacteria</w:t>
            </w:r>
          </w:p>
        </w:tc>
        <w:tc>
          <w:tcPr>
            <w:tcW w:w="1695" w:type="dxa"/>
            <w:tcBorders>
              <w:bottom w:val="single" w:sz="4" w:space="0" w:color="auto"/>
            </w:tcBorders>
            <w:vAlign w:val="bottom"/>
          </w:tcPr>
          <w:p w14:paraId="6C8B18C6" w14:textId="741A8A59"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b/>
                <w:bCs/>
                <w:color w:val="000000"/>
                <w:sz w:val="20"/>
                <w:szCs w:val="20"/>
                <w:lang w:val="en-GB" w:eastAsia="en-GB"/>
              </w:rPr>
              <w:t>Frequency</w:t>
            </w:r>
          </w:p>
        </w:tc>
        <w:tc>
          <w:tcPr>
            <w:tcW w:w="1701" w:type="dxa"/>
            <w:tcBorders>
              <w:bottom w:val="single" w:sz="4" w:space="0" w:color="auto"/>
            </w:tcBorders>
            <w:vAlign w:val="bottom"/>
          </w:tcPr>
          <w:p w14:paraId="2F4243C4" w14:textId="393A6547"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b/>
                <w:bCs/>
                <w:color w:val="000000"/>
                <w:sz w:val="20"/>
                <w:szCs w:val="20"/>
                <w:lang w:val="en-GB" w:eastAsia="en-GB"/>
              </w:rPr>
              <w:t>Prevalence</w:t>
            </w:r>
          </w:p>
        </w:tc>
      </w:tr>
      <w:tr w:rsidR="00486CB5" w:rsidRPr="00486CB5" w14:paraId="6A879044" w14:textId="77777777" w:rsidTr="00DB227C">
        <w:trPr>
          <w:jc w:val="center"/>
        </w:trPr>
        <w:tc>
          <w:tcPr>
            <w:tcW w:w="2808" w:type="dxa"/>
            <w:tcBorders>
              <w:top w:val="single" w:sz="4" w:space="0" w:color="auto"/>
              <w:bottom w:val="nil"/>
            </w:tcBorders>
            <w:vAlign w:val="center"/>
          </w:tcPr>
          <w:p w14:paraId="3D7074AC" w14:textId="104C32D5"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Proteus mirabilis </w:t>
            </w:r>
          </w:p>
        </w:tc>
        <w:tc>
          <w:tcPr>
            <w:tcW w:w="1695" w:type="dxa"/>
            <w:tcBorders>
              <w:top w:val="single" w:sz="4" w:space="0" w:color="auto"/>
              <w:bottom w:val="nil"/>
            </w:tcBorders>
            <w:vAlign w:val="bottom"/>
          </w:tcPr>
          <w:p w14:paraId="1E38D290" w14:textId="5646C748"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3</w:t>
            </w:r>
          </w:p>
        </w:tc>
        <w:tc>
          <w:tcPr>
            <w:tcW w:w="1701" w:type="dxa"/>
            <w:tcBorders>
              <w:top w:val="single" w:sz="4" w:space="0" w:color="auto"/>
              <w:bottom w:val="nil"/>
            </w:tcBorders>
            <w:vAlign w:val="bottom"/>
          </w:tcPr>
          <w:p w14:paraId="04F29D42" w14:textId="7457EDF2"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27.3</w:t>
            </w:r>
          </w:p>
        </w:tc>
      </w:tr>
      <w:tr w:rsidR="00486CB5" w:rsidRPr="00486CB5" w14:paraId="3B6A2192" w14:textId="77777777" w:rsidTr="00DB227C">
        <w:trPr>
          <w:jc w:val="center"/>
        </w:trPr>
        <w:tc>
          <w:tcPr>
            <w:tcW w:w="2808" w:type="dxa"/>
            <w:tcBorders>
              <w:top w:val="nil"/>
            </w:tcBorders>
            <w:vAlign w:val="center"/>
          </w:tcPr>
          <w:p w14:paraId="6DB66FBF" w14:textId="6C50401E"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Myroides odoratimimus </w:t>
            </w:r>
          </w:p>
        </w:tc>
        <w:tc>
          <w:tcPr>
            <w:tcW w:w="1695" w:type="dxa"/>
            <w:tcBorders>
              <w:top w:val="nil"/>
            </w:tcBorders>
            <w:vAlign w:val="bottom"/>
          </w:tcPr>
          <w:p w14:paraId="0AE9D393" w14:textId="5DB8AB9E"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2</w:t>
            </w:r>
          </w:p>
        </w:tc>
        <w:tc>
          <w:tcPr>
            <w:tcW w:w="1701" w:type="dxa"/>
            <w:tcBorders>
              <w:top w:val="nil"/>
            </w:tcBorders>
            <w:vAlign w:val="bottom"/>
          </w:tcPr>
          <w:p w14:paraId="47665225" w14:textId="109CBBD2"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18.2</w:t>
            </w:r>
          </w:p>
        </w:tc>
      </w:tr>
      <w:tr w:rsidR="00486CB5" w:rsidRPr="00486CB5" w14:paraId="6B16ABB1" w14:textId="77777777" w:rsidTr="00DB227C">
        <w:trPr>
          <w:jc w:val="center"/>
        </w:trPr>
        <w:tc>
          <w:tcPr>
            <w:tcW w:w="2808" w:type="dxa"/>
            <w:vAlign w:val="center"/>
          </w:tcPr>
          <w:p w14:paraId="7196A67E" w14:textId="67DE1E96"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Proteus alimentorum</w:t>
            </w:r>
          </w:p>
        </w:tc>
        <w:tc>
          <w:tcPr>
            <w:tcW w:w="1695" w:type="dxa"/>
            <w:vAlign w:val="bottom"/>
          </w:tcPr>
          <w:p w14:paraId="3B7E226A" w14:textId="4F483C47"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w:t>
            </w:r>
          </w:p>
        </w:tc>
        <w:tc>
          <w:tcPr>
            <w:tcW w:w="1701" w:type="dxa"/>
            <w:vAlign w:val="bottom"/>
          </w:tcPr>
          <w:p w14:paraId="70FB130C" w14:textId="213D5D31"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9.1</w:t>
            </w:r>
          </w:p>
        </w:tc>
      </w:tr>
      <w:tr w:rsidR="00486CB5" w:rsidRPr="00486CB5" w14:paraId="27028BD0" w14:textId="77777777" w:rsidTr="00DB227C">
        <w:trPr>
          <w:jc w:val="center"/>
        </w:trPr>
        <w:tc>
          <w:tcPr>
            <w:tcW w:w="2808" w:type="dxa"/>
            <w:vAlign w:val="center"/>
          </w:tcPr>
          <w:p w14:paraId="5FC59AB6" w14:textId="4A2CDBC5"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Citrobacter cronae </w:t>
            </w:r>
          </w:p>
        </w:tc>
        <w:tc>
          <w:tcPr>
            <w:tcW w:w="1695" w:type="dxa"/>
            <w:vAlign w:val="bottom"/>
          </w:tcPr>
          <w:p w14:paraId="3ACD2A3C" w14:textId="35F7EC88"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w:t>
            </w:r>
          </w:p>
        </w:tc>
        <w:tc>
          <w:tcPr>
            <w:tcW w:w="1701" w:type="dxa"/>
            <w:vAlign w:val="bottom"/>
          </w:tcPr>
          <w:p w14:paraId="6BDA0BC6" w14:textId="033A00B1"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9.1</w:t>
            </w:r>
          </w:p>
        </w:tc>
      </w:tr>
      <w:tr w:rsidR="00486CB5" w:rsidRPr="00486CB5" w14:paraId="62495B6B" w14:textId="77777777" w:rsidTr="00DB227C">
        <w:trPr>
          <w:jc w:val="center"/>
        </w:trPr>
        <w:tc>
          <w:tcPr>
            <w:tcW w:w="2808" w:type="dxa"/>
            <w:vAlign w:val="center"/>
          </w:tcPr>
          <w:p w14:paraId="27BA7F29" w14:textId="63392D43"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Kosakonia quasisacchari </w:t>
            </w:r>
          </w:p>
        </w:tc>
        <w:tc>
          <w:tcPr>
            <w:tcW w:w="1695" w:type="dxa"/>
            <w:vAlign w:val="bottom"/>
          </w:tcPr>
          <w:p w14:paraId="38ACFE25" w14:textId="238A4E91"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2</w:t>
            </w:r>
          </w:p>
        </w:tc>
        <w:tc>
          <w:tcPr>
            <w:tcW w:w="1701" w:type="dxa"/>
            <w:vAlign w:val="bottom"/>
          </w:tcPr>
          <w:p w14:paraId="5F9E9866" w14:textId="0BF4D863"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18.2</w:t>
            </w:r>
          </w:p>
        </w:tc>
      </w:tr>
      <w:tr w:rsidR="00486CB5" w:rsidRPr="00486CB5" w14:paraId="6E961171" w14:textId="77777777" w:rsidTr="00DB227C">
        <w:trPr>
          <w:jc w:val="center"/>
        </w:trPr>
        <w:tc>
          <w:tcPr>
            <w:tcW w:w="2808" w:type="dxa"/>
            <w:vAlign w:val="center"/>
          </w:tcPr>
          <w:p w14:paraId="40F880E0" w14:textId="4B1DFAEC"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Providencia huaxiensis </w:t>
            </w:r>
          </w:p>
        </w:tc>
        <w:tc>
          <w:tcPr>
            <w:tcW w:w="1695" w:type="dxa"/>
            <w:vAlign w:val="bottom"/>
          </w:tcPr>
          <w:p w14:paraId="1874DF4E" w14:textId="583008F9"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w:t>
            </w:r>
          </w:p>
        </w:tc>
        <w:tc>
          <w:tcPr>
            <w:tcW w:w="1701" w:type="dxa"/>
            <w:vAlign w:val="bottom"/>
          </w:tcPr>
          <w:p w14:paraId="56A76337" w14:textId="45D51F1C"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9.1</w:t>
            </w:r>
          </w:p>
        </w:tc>
      </w:tr>
      <w:tr w:rsidR="00486CB5" w:rsidRPr="00486CB5" w14:paraId="712981CC" w14:textId="77777777" w:rsidTr="00DB227C">
        <w:trPr>
          <w:jc w:val="center"/>
        </w:trPr>
        <w:tc>
          <w:tcPr>
            <w:tcW w:w="2808" w:type="dxa"/>
            <w:vAlign w:val="bottom"/>
          </w:tcPr>
          <w:p w14:paraId="236C6485" w14:textId="1C17492B"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i/>
                <w:iCs/>
                <w:color w:val="000000"/>
                <w:sz w:val="20"/>
                <w:szCs w:val="20"/>
                <w:lang w:eastAsia="en-GB"/>
              </w:rPr>
              <w:t xml:space="preserve">Flavobacterium tibetense </w:t>
            </w:r>
          </w:p>
        </w:tc>
        <w:tc>
          <w:tcPr>
            <w:tcW w:w="1695" w:type="dxa"/>
            <w:vAlign w:val="bottom"/>
          </w:tcPr>
          <w:p w14:paraId="105907EE" w14:textId="445EC1D9"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1</w:t>
            </w:r>
          </w:p>
        </w:tc>
        <w:tc>
          <w:tcPr>
            <w:tcW w:w="1701" w:type="dxa"/>
            <w:vAlign w:val="bottom"/>
          </w:tcPr>
          <w:p w14:paraId="4291DF1F" w14:textId="023F89C3" w:rsidR="00486CB5" w:rsidRPr="00486CB5" w:rsidRDefault="00486CB5" w:rsidP="00486CB5">
            <w:pPr>
              <w:pStyle w:val="Body"/>
              <w:spacing w:after="0"/>
              <w:rPr>
                <w:rFonts w:ascii="Arial" w:hAnsi="Arial" w:cs="Arial"/>
                <w:sz w:val="20"/>
                <w:szCs w:val="20"/>
              </w:rPr>
            </w:pPr>
            <w:r w:rsidRPr="00486CB5">
              <w:rPr>
                <w:rFonts w:ascii="Arial" w:eastAsia="Times New Roman" w:hAnsi="Arial" w:cs="Arial"/>
                <w:color w:val="000000"/>
                <w:sz w:val="20"/>
                <w:szCs w:val="20"/>
                <w:lang w:val="en-GB" w:eastAsia="en-GB"/>
              </w:rPr>
              <w:t>9.1</w:t>
            </w:r>
          </w:p>
        </w:tc>
      </w:tr>
    </w:tbl>
    <w:p w14:paraId="692195D7" w14:textId="77777777" w:rsidR="00863BD3" w:rsidRPr="00FB3A86" w:rsidRDefault="00863BD3" w:rsidP="00441B6F">
      <w:pPr>
        <w:pStyle w:val="Body"/>
        <w:spacing w:after="0"/>
        <w:rPr>
          <w:rFonts w:ascii="Arial" w:hAnsi="Arial" w:cs="Arial"/>
        </w:rPr>
      </w:pPr>
    </w:p>
    <w:p w14:paraId="3A7B8EC2" w14:textId="49F5941F" w:rsidR="00486CB5"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486CB5">
        <w:rPr>
          <w:rFonts w:ascii="Arial" w:hAnsi="Arial" w:cs="Arial"/>
          <w:b/>
          <w:caps/>
          <w:sz w:val="22"/>
        </w:rPr>
        <w:t>2</w:t>
      </w:r>
      <w:r w:rsidRPr="00C30A0F">
        <w:rPr>
          <w:rFonts w:ascii="Arial" w:hAnsi="Arial" w:cs="Arial"/>
          <w:b/>
          <w:caps/>
          <w:sz w:val="22"/>
        </w:rPr>
        <w:t xml:space="preserve"> </w:t>
      </w:r>
      <w:r w:rsidR="00486CB5" w:rsidRPr="00486CB5">
        <w:rPr>
          <w:rFonts w:ascii="Arial" w:hAnsi="Arial" w:cs="Arial"/>
          <w:b/>
          <w:sz w:val="22"/>
        </w:rPr>
        <w:t xml:space="preserve">Microbial Load and Multiple Antimicrobial Resistance Indices in Bacterial Isolates in Abacha </w:t>
      </w:r>
    </w:p>
    <w:p w14:paraId="6171A318" w14:textId="77777777" w:rsidR="00486CB5" w:rsidRDefault="00486CB5" w:rsidP="00441B6F">
      <w:pPr>
        <w:pStyle w:val="Body"/>
        <w:spacing w:after="0"/>
        <w:rPr>
          <w:rFonts w:ascii="Arial" w:hAnsi="Arial" w:cs="Arial"/>
        </w:rPr>
      </w:pPr>
    </w:p>
    <w:p w14:paraId="0E8DD215" w14:textId="111CF7CB" w:rsidR="00486CB5" w:rsidRPr="00486CB5" w:rsidRDefault="00486CB5" w:rsidP="00DB227C">
      <w:pPr>
        <w:pStyle w:val="Body"/>
        <w:rPr>
          <w:rFonts w:ascii="Arial" w:hAnsi="Arial" w:cs="Arial"/>
          <w:bCs/>
        </w:rPr>
      </w:pPr>
      <w:r w:rsidRPr="00486CB5">
        <w:rPr>
          <w:rFonts w:ascii="Arial" w:hAnsi="Arial" w:cs="Arial"/>
          <w:bCs/>
        </w:rPr>
        <w:t xml:space="preserve">Another objective of the study was to assess the microbial load present in Abacha. </w:t>
      </w:r>
      <w:r w:rsidRPr="00486CB5">
        <w:rPr>
          <w:rFonts w:ascii="Arial" w:hAnsi="Arial" w:cs="Arial"/>
          <w:b/>
        </w:rPr>
        <w:t xml:space="preserve">Table </w:t>
      </w:r>
      <w:r w:rsidR="002A53C5">
        <w:rPr>
          <w:rFonts w:ascii="Arial" w:hAnsi="Arial" w:cs="Arial"/>
          <w:b/>
        </w:rPr>
        <w:t>4</w:t>
      </w:r>
      <w:r w:rsidRPr="00486CB5">
        <w:rPr>
          <w:rFonts w:ascii="Arial" w:hAnsi="Arial" w:cs="Arial"/>
          <w:bCs/>
        </w:rPr>
        <w:t xml:space="preserve"> </w:t>
      </w:r>
      <w:r w:rsidRPr="00241756">
        <w:rPr>
          <w:rFonts w:ascii="Arial" w:hAnsi="Arial" w:cs="Arial"/>
          <w:bCs/>
          <w:highlight w:val="yellow"/>
        </w:rPr>
        <w:t>show</w:t>
      </w:r>
      <w:r w:rsidR="00241756" w:rsidRPr="00241756">
        <w:rPr>
          <w:rFonts w:ascii="Arial" w:hAnsi="Arial" w:cs="Arial"/>
          <w:bCs/>
          <w:highlight w:val="yellow"/>
        </w:rPr>
        <w:t>s</w:t>
      </w:r>
      <w:r w:rsidRPr="00241756">
        <w:rPr>
          <w:rFonts w:ascii="Arial" w:hAnsi="Arial" w:cs="Arial"/>
          <w:bCs/>
          <w:highlight w:val="yellow"/>
        </w:rPr>
        <w:t xml:space="preserve"> the level of</w:t>
      </w:r>
      <w:r w:rsidRPr="00486CB5">
        <w:rPr>
          <w:rFonts w:ascii="Arial" w:hAnsi="Arial" w:cs="Arial"/>
          <w:bCs/>
        </w:rPr>
        <w:t xml:space="preserve"> bacteria isolated from each location sampled. It was observed that Peter Odili Road (98.6±62.5 CFU/ml), Ada-George (84.0±28.9 CFU/ml) and </w:t>
      </w:r>
      <w:r w:rsidRPr="00241756">
        <w:rPr>
          <w:rFonts w:ascii="Arial" w:hAnsi="Arial" w:cs="Arial"/>
          <w:bCs/>
          <w:highlight w:val="yellow"/>
        </w:rPr>
        <w:t>UST main</w:t>
      </w:r>
      <w:r w:rsidR="00241756" w:rsidRPr="00241756">
        <w:rPr>
          <w:rFonts w:ascii="Arial" w:hAnsi="Arial" w:cs="Arial"/>
          <w:bCs/>
          <w:highlight w:val="yellow"/>
        </w:rPr>
        <w:t xml:space="preserve"> </w:t>
      </w:r>
      <w:r w:rsidRPr="00241756">
        <w:rPr>
          <w:rFonts w:ascii="Arial" w:hAnsi="Arial" w:cs="Arial"/>
          <w:bCs/>
          <w:highlight w:val="yellow"/>
        </w:rPr>
        <w:t>gate</w:t>
      </w:r>
      <w:r w:rsidRPr="00486CB5">
        <w:rPr>
          <w:rFonts w:ascii="Arial" w:hAnsi="Arial" w:cs="Arial"/>
          <w:bCs/>
        </w:rPr>
        <w:t xml:space="preserve"> (82.5±78.1 CFU/ml) are the top three locations with the highest bacterial loads while Borokiri (36.9±34.0 CFU/ml), Rumuokuta (49.6±39.4 CFU/ml) and Choba (50.1±29.9 CFU/ml) should </w:t>
      </w:r>
      <w:r w:rsidRPr="00486CB5">
        <w:rPr>
          <w:rFonts w:ascii="Arial" w:hAnsi="Arial" w:cs="Arial"/>
          <w:bCs/>
        </w:rPr>
        <w:lastRenderedPageBreak/>
        <w:t xml:space="preserve">the lowest level of bacterial loads. The microbial load based on the Local Government Area showed the Obio/Akpor LGA (65.6±51.7 CFU/ml) </w:t>
      </w:r>
      <w:r w:rsidRPr="00241756">
        <w:rPr>
          <w:rFonts w:ascii="Arial" w:hAnsi="Arial" w:cs="Arial"/>
          <w:bCs/>
          <w:highlight w:val="yellow"/>
        </w:rPr>
        <w:t xml:space="preserve">has </w:t>
      </w:r>
      <w:r w:rsidR="00A65992" w:rsidRPr="00241756">
        <w:rPr>
          <w:rFonts w:ascii="Arial" w:hAnsi="Arial" w:cs="Arial"/>
          <w:bCs/>
          <w:highlight w:val="yellow"/>
        </w:rPr>
        <w:t>a</w:t>
      </w:r>
      <w:r w:rsidR="00A65992" w:rsidRPr="00241756">
        <w:rPr>
          <w:rFonts w:ascii="Arial" w:hAnsi="Arial" w:cs="Arial"/>
          <w:bCs/>
          <w:highlight w:val="yellow"/>
        </w:rPr>
        <w:t xml:space="preserve"> </w:t>
      </w:r>
      <w:r w:rsidRPr="00241756">
        <w:rPr>
          <w:rFonts w:ascii="Arial" w:hAnsi="Arial" w:cs="Arial"/>
          <w:bCs/>
          <w:highlight w:val="yellow"/>
        </w:rPr>
        <w:t>higher</w:t>
      </w:r>
      <w:r w:rsidRPr="00486CB5">
        <w:rPr>
          <w:rFonts w:ascii="Arial" w:hAnsi="Arial" w:cs="Arial"/>
          <w:bCs/>
        </w:rPr>
        <w:t xml:space="preserve"> microbial load than Port Harcourt City LGA (63.1±47.7 CFU/ml)</w:t>
      </w:r>
      <w:r w:rsidR="00197EEE">
        <w:rPr>
          <w:rFonts w:ascii="Arial" w:hAnsi="Arial" w:cs="Arial"/>
          <w:bCs/>
        </w:rPr>
        <w:t xml:space="preserve"> (</w:t>
      </w:r>
      <w:r w:rsidR="00197EEE" w:rsidRPr="00197EEE">
        <w:rPr>
          <w:rFonts w:ascii="Arial" w:hAnsi="Arial" w:cs="Arial"/>
          <w:b/>
        </w:rPr>
        <w:t>Fig. 3</w:t>
      </w:r>
      <w:r w:rsidR="00197EEE">
        <w:rPr>
          <w:rFonts w:ascii="Arial" w:hAnsi="Arial" w:cs="Arial"/>
          <w:bCs/>
        </w:rPr>
        <w:t>)</w:t>
      </w:r>
      <w:r w:rsidRPr="00486CB5">
        <w:rPr>
          <w:rFonts w:ascii="Arial" w:hAnsi="Arial" w:cs="Arial"/>
          <w:bCs/>
        </w:rPr>
        <w:t>.</w:t>
      </w:r>
    </w:p>
    <w:p w14:paraId="71C12C8B" w14:textId="70C87378" w:rsidR="00486CB5" w:rsidRDefault="00486CB5" w:rsidP="00DB227C">
      <w:pPr>
        <w:pStyle w:val="Body"/>
        <w:rPr>
          <w:rFonts w:ascii="Arial" w:hAnsi="Arial" w:cs="Arial"/>
          <w:bCs/>
        </w:rPr>
      </w:pPr>
      <w:r w:rsidRPr="00486CB5">
        <w:rPr>
          <w:rFonts w:ascii="Arial" w:hAnsi="Arial" w:cs="Arial"/>
          <w:bCs/>
        </w:rPr>
        <w:t>The bacterial MAR indices show the highest indices in Woji</w:t>
      </w:r>
      <w:r w:rsidRPr="00486CB5">
        <w:rPr>
          <w:rFonts w:ascii="Arial" w:hAnsi="Arial" w:cs="Arial"/>
        </w:rPr>
        <w:t xml:space="preserve"> (</w:t>
      </w:r>
      <w:r w:rsidRPr="00486CB5">
        <w:rPr>
          <w:rFonts w:ascii="Arial" w:hAnsi="Arial" w:cs="Arial"/>
          <w:bCs/>
        </w:rPr>
        <w:t>0.65±0.20), Peter Odili Road (0.65±0.19) and Amadi Ama (0.65±0.16). On the other hand, the lowest indices of bacteria were found in Ikoku</w:t>
      </w:r>
      <w:r w:rsidRPr="00486CB5">
        <w:rPr>
          <w:rFonts w:ascii="Arial" w:hAnsi="Arial" w:cs="Arial"/>
        </w:rPr>
        <w:t xml:space="preserve"> (</w:t>
      </w:r>
      <w:r w:rsidRPr="00486CB5">
        <w:rPr>
          <w:rFonts w:ascii="Arial" w:hAnsi="Arial" w:cs="Arial"/>
          <w:bCs/>
        </w:rPr>
        <w:t>0.39±0.17)</w:t>
      </w:r>
      <w:r w:rsidRPr="00486CB5">
        <w:rPr>
          <w:rFonts w:ascii="Arial" w:hAnsi="Arial" w:cs="Arial"/>
        </w:rPr>
        <w:t xml:space="preserve">, </w:t>
      </w:r>
      <w:r w:rsidRPr="00486CB5">
        <w:rPr>
          <w:rFonts w:ascii="Arial" w:hAnsi="Arial" w:cs="Arial"/>
          <w:bCs/>
        </w:rPr>
        <w:t>Garrison</w:t>
      </w:r>
      <w:r w:rsidRPr="00486CB5">
        <w:rPr>
          <w:rFonts w:ascii="Arial" w:hAnsi="Arial" w:cs="Arial"/>
        </w:rPr>
        <w:t xml:space="preserve"> (</w:t>
      </w:r>
      <w:r w:rsidRPr="00486CB5">
        <w:rPr>
          <w:rFonts w:ascii="Arial" w:hAnsi="Arial" w:cs="Arial"/>
          <w:bCs/>
        </w:rPr>
        <w:t>0.41±0.16) and Marine Base (0.42±0.14). Similar to the findings on the bacterial load, the MAR indices of bacteria in Obio/Akpor (0.56±0.16) were marginally higher than those bacteria in Port Harcourt City Local Government (0.54±0.19)</w:t>
      </w:r>
      <w:r w:rsidR="00197EEE">
        <w:rPr>
          <w:rFonts w:ascii="Arial" w:hAnsi="Arial" w:cs="Arial"/>
          <w:bCs/>
        </w:rPr>
        <w:t xml:space="preserve"> (</w:t>
      </w:r>
      <w:r w:rsidR="00197EEE" w:rsidRPr="00197EEE">
        <w:rPr>
          <w:rFonts w:ascii="Arial" w:hAnsi="Arial" w:cs="Arial"/>
          <w:b/>
        </w:rPr>
        <w:t xml:space="preserve">Fig. </w:t>
      </w:r>
      <w:r w:rsidR="00197EEE">
        <w:rPr>
          <w:rFonts w:ascii="Arial" w:hAnsi="Arial" w:cs="Arial"/>
          <w:b/>
        </w:rPr>
        <w:t>4</w:t>
      </w:r>
      <w:r w:rsidR="00197EEE">
        <w:rPr>
          <w:rFonts w:ascii="Arial" w:hAnsi="Arial" w:cs="Arial"/>
          <w:bCs/>
        </w:rPr>
        <w:t>)</w:t>
      </w:r>
      <w:r w:rsidRPr="00486CB5">
        <w:rPr>
          <w:rFonts w:ascii="Arial" w:hAnsi="Arial" w:cs="Arial"/>
          <w:bCs/>
        </w:rPr>
        <w:t>.</w:t>
      </w:r>
    </w:p>
    <w:p w14:paraId="40ABAE60" w14:textId="77777777" w:rsidR="00486CB5" w:rsidRDefault="00486CB5" w:rsidP="00486CB5">
      <w:pPr>
        <w:pStyle w:val="Body"/>
        <w:spacing w:after="0"/>
        <w:rPr>
          <w:rFonts w:ascii="Arial" w:hAnsi="Arial" w:cs="Arial"/>
          <w:bCs/>
        </w:rPr>
      </w:pPr>
    </w:p>
    <w:p w14:paraId="405A2F47" w14:textId="442E1D59" w:rsidR="00486CB5" w:rsidRPr="00486CB5" w:rsidRDefault="00486CB5" w:rsidP="00AF1CA2">
      <w:pPr>
        <w:pStyle w:val="Body"/>
        <w:jc w:val="center"/>
        <w:rPr>
          <w:rFonts w:ascii="Arial" w:hAnsi="Arial" w:cs="Arial"/>
          <w:b/>
          <w:bCs/>
          <w:sz w:val="22"/>
          <w:szCs w:val="22"/>
        </w:rPr>
      </w:pPr>
      <w:r w:rsidRPr="00486CB5">
        <w:rPr>
          <w:rFonts w:ascii="Arial" w:hAnsi="Arial" w:cs="Arial"/>
          <w:b/>
          <w:bCs/>
          <w:sz w:val="22"/>
          <w:szCs w:val="22"/>
        </w:rPr>
        <w:t xml:space="preserve">Table </w:t>
      </w:r>
      <w:r w:rsidR="002A53C5">
        <w:rPr>
          <w:rFonts w:ascii="Arial" w:hAnsi="Arial" w:cs="Arial"/>
          <w:b/>
          <w:bCs/>
          <w:sz w:val="22"/>
          <w:szCs w:val="22"/>
        </w:rPr>
        <w:t>4</w:t>
      </w:r>
      <w:r w:rsidRPr="00486CB5">
        <w:rPr>
          <w:rFonts w:ascii="Arial" w:hAnsi="Arial" w:cs="Arial"/>
          <w:b/>
          <w:bCs/>
          <w:sz w:val="22"/>
          <w:szCs w:val="22"/>
        </w:rPr>
        <w:t>.</w:t>
      </w:r>
      <w:r w:rsidRPr="00486CB5">
        <w:rPr>
          <w:rFonts w:ascii="Arial" w:hAnsi="Arial" w:cs="Arial"/>
          <w:b/>
          <w:bCs/>
          <w:sz w:val="22"/>
          <w:szCs w:val="22"/>
        </w:rPr>
        <w:tab/>
        <w:t>Microbial Load and MAR Indices of Abacha According to Locations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952"/>
        <w:gridCol w:w="1443"/>
      </w:tblGrid>
      <w:tr w:rsidR="00486CB5" w:rsidRPr="00486CB5" w14:paraId="47DFD5C3" w14:textId="77777777" w:rsidTr="00AF1CA2">
        <w:trPr>
          <w:jc w:val="center"/>
        </w:trPr>
        <w:tc>
          <w:tcPr>
            <w:tcW w:w="2376" w:type="dxa"/>
            <w:tcBorders>
              <w:bottom w:val="single" w:sz="4" w:space="0" w:color="auto"/>
            </w:tcBorders>
          </w:tcPr>
          <w:p w14:paraId="47DDBBB9" w14:textId="77777777" w:rsidR="00486CB5" w:rsidRPr="00486CB5" w:rsidRDefault="00486CB5" w:rsidP="00486CB5">
            <w:pPr>
              <w:jc w:val="both"/>
              <w:rPr>
                <w:rFonts w:ascii="Arial" w:hAnsi="Arial" w:cs="Arial"/>
                <w:b/>
                <w:sz w:val="20"/>
                <w:szCs w:val="20"/>
              </w:rPr>
            </w:pPr>
            <w:r w:rsidRPr="00486CB5">
              <w:rPr>
                <w:rFonts w:ascii="Arial" w:hAnsi="Arial" w:cs="Arial"/>
                <w:b/>
                <w:sz w:val="20"/>
                <w:szCs w:val="20"/>
              </w:rPr>
              <w:t>Locations</w:t>
            </w:r>
          </w:p>
        </w:tc>
        <w:tc>
          <w:tcPr>
            <w:tcW w:w="2952" w:type="dxa"/>
            <w:tcBorders>
              <w:bottom w:val="single" w:sz="4" w:space="0" w:color="auto"/>
            </w:tcBorders>
          </w:tcPr>
          <w:p w14:paraId="20777E4D" w14:textId="77777777" w:rsidR="00486CB5" w:rsidRPr="00486CB5" w:rsidRDefault="00486CB5" w:rsidP="00486CB5">
            <w:pPr>
              <w:jc w:val="both"/>
              <w:rPr>
                <w:rFonts w:ascii="Arial" w:hAnsi="Arial" w:cs="Arial"/>
                <w:b/>
                <w:sz w:val="20"/>
                <w:szCs w:val="20"/>
              </w:rPr>
            </w:pPr>
            <w:r w:rsidRPr="00486CB5">
              <w:rPr>
                <w:rFonts w:ascii="Arial" w:hAnsi="Arial" w:cs="Arial"/>
                <w:b/>
                <w:sz w:val="20"/>
                <w:szCs w:val="20"/>
              </w:rPr>
              <w:t>Bacteria load (CFU/ml)</w:t>
            </w:r>
          </w:p>
        </w:tc>
        <w:tc>
          <w:tcPr>
            <w:tcW w:w="1443" w:type="dxa"/>
            <w:tcBorders>
              <w:bottom w:val="single" w:sz="4" w:space="0" w:color="auto"/>
            </w:tcBorders>
          </w:tcPr>
          <w:p w14:paraId="23351E80" w14:textId="77777777" w:rsidR="00486CB5" w:rsidRPr="00486CB5" w:rsidRDefault="00486CB5" w:rsidP="00486CB5">
            <w:pPr>
              <w:jc w:val="both"/>
              <w:rPr>
                <w:rFonts w:ascii="Arial" w:hAnsi="Arial" w:cs="Arial"/>
                <w:b/>
                <w:sz w:val="20"/>
                <w:szCs w:val="20"/>
              </w:rPr>
            </w:pPr>
            <w:r w:rsidRPr="00486CB5">
              <w:rPr>
                <w:rFonts w:ascii="Arial" w:hAnsi="Arial" w:cs="Arial"/>
                <w:b/>
                <w:sz w:val="20"/>
                <w:szCs w:val="20"/>
              </w:rPr>
              <w:t>MAR Indices</w:t>
            </w:r>
          </w:p>
        </w:tc>
      </w:tr>
      <w:tr w:rsidR="00486CB5" w:rsidRPr="00486CB5" w14:paraId="0759D392" w14:textId="77777777" w:rsidTr="00AF1CA2">
        <w:trPr>
          <w:jc w:val="center"/>
        </w:trPr>
        <w:tc>
          <w:tcPr>
            <w:tcW w:w="2376" w:type="dxa"/>
            <w:tcBorders>
              <w:top w:val="single" w:sz="4" w:space="0" w:color="auto"/>
              <w:bottom w:val="nil"/>
            </w:tcBorders>
            <w:vAlign w:val="bottom"/>
          </w:tcPr>
          <w:p w14:paraId="71187BB2"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Ada-George</w:t>
            </w:r>
          </w:p>
        </w:tc>
        <w:tc>
          <w:tcPr>
            <w:tcW w:w="2952" w:type="dxa"/>
            <w:tcBorders>
              <w:top w:val="single" w:sz="4" w:space="0" w:color="auto"/>
              <w:bottom w:val="nil"/>
            </w:tcBorders>
          </w:tcPr>
          <w:p w14:paraId="534E3E0B" w14:textId="77777777" w:rsidR="00486CB5" w:rsidRPr="00486CB5" w:rsidRDefault="00486CB5" w:rsidP="00486CB5">
            <w:pPr>
              <w:tabs>
                <w:tab w:val="center" w:pos="1026"/>
              </w:tabs>
              <w:jc w:val="both"/>
              <w:rPr>
                <w:rFonts w:ascii="Arial" w:hAnsi="Arial" w:cs="Arial"/>
                <w:bCs/>
                <w:sz w:val="20"/>
                <w:szCs w:val="20"/>
              </w:rPr>
            </w:pPr>
            <w:r w:rsidRPr="00486CB5">
              <w:rPr>
                <w:rFonts w:ascii="Arial" w:hAnsi="Arial" w:cs="Arial"/>
                <w:bCs/>
                <w:sz w:val="20"/>
                <w:szCs w:val="20"/>
              </w:rPr>
              <w:t>84.0±28.9</w:t>
            </w:r>
          </w:p>
        </w:tc>
        <w:tc>
          <w:tcPr>
            <w:tcW w:w="1443" w:type="dxa"/>
            <w:tcBorders>
              <w:top w:val="single" w:sz="4" w:space="0" w:color="auto"/>
              <w:bottom w:val="nil"/>
            </w:tcBorders>
          </w:tcPr>
          <w:p w14:paraId="7BAF18DD"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0.58±0.13</w:t>
            </w:r>
          </w:p>
        </w:tc>
      </w:tr>
      <w:tr w:rsidR="00486CB5" w:rsidRPr="00486CB5" w14:paraId="0997E65D" w14:textId="77777777" w:rsidTr="00AF1CA2">
        <w:trPr>
          <w:jc w:val="center"/>
        </w:trPr>
        <w:tc>
          <w:tcPr>
            <w:tcW w:w="2376" w:type="dxa"/>
            <w:tcBorders>
              <w:top w:val="nil"/>
            </w:tcBorders>
            <w:vAlign w:val="bottom"/>
          </w:tcPr>
          <w:p w14:paraId="1C163021"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Agip</w:t>
            </w:r>
          </w:p>
        </w:tc>
        <w:tc>
          <w:tcPr>
            <w:tcW w:w="2952" w:type="dxa"/>
            <w:tcBorders>
              <w:top w:val="nil"/>
            </w:tcBorders>
          </w:tcPr>
          <w:p w14:paraId="1A411C49"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73.0±50.9</w:t>
            </w:r>
          </w:p>
        </w:tc>
        <w:tc>
          <w:tcPr>
            <w:tcW w:w="1443" w:type="dxa"/>
            <w:tcBorders>
              <w:top w:val="nil"/>
            </w:tcBorders>
          </w:tcPr>
          <w:p w14:paraId="4EE6DC22"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0.63±0.18</w:t>
            </w:r>
          </w:p>
        </w:tc>
      </w:tr>
      <w:tr w:rsidR="00486CB5" w:rsidRPr="00486CB5" w14:paraId="58D21EEC" w14:textId="77777777" w:rsidTr="00AF1CA2">
        <w:trPr>
          <w:jc w:val="center"/>
        </w:trPr>
        <w:tc>
          <w:tcPr>
            <w:tcW w:w="2376" w:type="dxa"/>
            <w:vAlign w:val="bottom"/>
          </w:tcPr>
          <w:p w14:paraId="236D2161"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Amadi Ama</w:t>
            </w:r>
          </w:p>
        </w:tc>
        <w:tc>
          <w:tcPr>
            <w:tcW w:w="2952" w:type="dxa"/>
          </w:tcPr>
          <w:p w14:paraId="2CA6446E"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71.0±52.7</w:t>
            </w:r>
          </w:p>
        </w:tc>
        <w:tc>
          <w:tcPr>
            <w:tcW w:w="1443" w:type="dxa"/>
          </w:tcPr>
          <w:p w14:paraId="019C00AA"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0.65±0.16</w:t>
            </w:r>
          </w:p>
        </w:tc>
      </w:tr>
      <w:tr w:rsidR="00486CB5" w:rsidRPr="00486CB5" w14:paraId="0FB2FA7B" w14:textId="77777777" w:rsidTr="00AF1CA2">
        <w:trPr>
          <w:jc w:val="center"/>
        </w:trPr>
        <w:tc>
          <w:tcPr>
            <w:tcW w:w="2376" w:type="dxa"/>
            <w:vAlign w:val="bottom"/>
          </w:tcPr>
          <w:p w14:paraId="0FF9212D"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Azikiwe</w:t>
            </w:r>
          </w:p>
        </w:tc>
        <w:tc>
          <w:tcPr>
            <w:tcW w:w="2952" w:type="dxa"/>
          </w:tcPr>
          <w:p w14:paraId="637A675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69.6±61.6</w:t>
            </w:r>
          </w:p>
        </w:tc>
        <w:tc>
          <w:tcPr>
            <w:tcW w:w="1443" w:type="dxa"/>
          </w:tcPr>
          <w:p w14:paraId="69DAF341"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0.63±0.19</w:t>
            </w:r>
          </w:p>
        </w:tc>
      </w:tr>
      <w:tr w:rsidR="00486CB5" w:rsidRPr="00486CB5" w14:paraId="00573B69" w14:textId="77777777" w:rsidTr="00AF1CA2">
        <w:trPr>
          <w:jc w:val="center"/>
        </w:trPr>
        <w:tc>
          <w:tcPr>
            <w:tcW w:w="2376" w:type="dxa"/>
            <w:vAlign w:val="bottom"/>
          </w:tcPr>
          <w:p w14:paraId="603FE971"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Borokiri</w:t>
            </w:r>
          </w:p>
        </w:tc>
        <w:tc>
          <w:tcPr>
            <w:tcW w:w="2952" w:type="dxa"/>
          </w:tcPr>
          <w:p w14:paraId="0EEB8D10"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36.9±34.0</w:t>
            </w:r>
          </w:p>
        </w:tc>
        <w:tc>
          <w:tcPr>
            <w:tcW w:w="1443" w:type="dxa"/>
          </w:tcPr>
          <w:p w14:paraId="7D8F5FB2"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0.54±0.19</w:t>
            </w:r>
          </w:p>
        </w:tc>
      </w:tr>
      <w:tr w:rsidR="00486CB5" w:rsidRPr="00486CB5" w14:paraId="38BA7B23" w14:textId="77777777" w:rsidTr="00AF1CA2">
        <w:trPr>
          <w:jc w:val="center"/>
        </w:trPr>
        <w:tc>
          <w:tcPr>
            <w:tcW w:w="2376" w:type="dxa"/>
            <w:vAlign w:val="bottom"/>
          </w:tcPr>
          <w:p w14:paraId="2D8ED57B"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Choba</w:t>
            </w:r>
          </w:p>
        </w:tc>
        <w:tc>
          <w:tcPr>
            <w:tcW w:w="2952" w:type="dxa"/>
          </w:tcPr>
          <w:p w14:paraId="5BA09B36"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50.1±29.9</w:t>
            </w:r>
          </w:p>
        </w:tc>
        <w:tc>
          <w:tcPr>
            <w:tcW w:w="1443" w:type="dxa"/>
          </w:tcPr>
          <w:p w14:paraId="3B6F5271"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0.50±0.20</w:t>
            </w:r>
          </w:p>
        </w:tc>
      </w:tr>
      <w:tr w:rsidR="00486CB5" w:rsidRPr="00486CB5" w14:paraId="7B1546DD" w14:textId="77777777" w:rsidTr="00AF1CA2">
        <w:trPr>
          <w:jc w:val="center"/>
        </w:trPr>
        <w:tc>
          <w:tcPr>
            <w:tcW w:w="2376" w:type="dxa"/>
            <w:vAlign w:val="bottom"/>
          </w:tcPr>
          <w:p w14:paraId="6512CF7F"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Elelenwo</w:t>
            </w:r>
          </w:p>
        </w:tc>
        <w:tc>
          <w:tcPr>
            <w:tcW w:w="2952" w:type="dxa"/>
          </w:tcPr>
          <w:p w14:paraId="1DAF168D"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66.4±48.1</w:t>
            </w:r>
          </w:p>
        </w:tc>
        <w:tc>
          <w:tcPr>
            <w:tcW w:w="1443" w:type="dxa"/>
          </w:tcPr>
          <w:p w14:paraId="6100E9C6"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0.63±0.21</w:t>
            </w:r>
          </w:p>
        </w:tc>
      </w:tr>
      <w:tr w:rsidR="00486CB5" w:rsidRPr="00486CB5" w14:paraId="77D641A9" w14:textId="77777777" w:rsidTr="00AF1CA2">
        <w:trPr>
          <w:jc w:val="center"/>
        </w:trPr>
        <w:tc>
          <w:tcPr>
            <w:tcW w:w="2376" w:type="dxa"/>
            <w:vAlign w:val="bottom"/>
          </w:tcPr>
          <w:p w14:paraId="7A4C88BD"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Garrison</w:t>
            </w:r>
          </w:p>
        </w:tc>
        <w:tc>
          <w:tcPr>
            <w:tcW w:w="2952" w:type="dxa"/>
          </w:tcPr>
          <w:p w14:paraId="6526AF9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58.5±50.9</w:t>
            </w:r>
          </w:p>
        </w:tc>
        <w:tc>
          <w:tcPr>
            <w:tcW w:w="1443" w:type="dxa"/>
          </w:tcPr>
          <w:p w14:paraId="182C556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0.41±0.16</w:t>
            </w:r>
          </w:p>
        </w:tc>
      </w:tr>
      <w:tr w:rsidR="00486CB5" w:rsidRPr="00486CB5" w14:paraId="4DC6CD67" w14:textId="77777777" w:rsidTr="00AF1CA2">
        <w:trPr>
          <w:jc w:val="center"/>
        </w:trPr>
        <w:tc>
          <w:tcPr>
            <w:tcW w:w="2376" w:type="dxa"/>
            <w:vAlign w:val="bottom"/>
          </w:tcPr>
          <w:p w14:paraId="71A1F564"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Ikoku</w:t>
            </w:r>
          </w:p>
        </w:tc>
        <w:tc>
          <w:tcPr>
            <w:tcW w:w="2952" w:type="dxa"/>
          </w:tcPr>
          <w:p w14:paraId="6D4FE70D"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69.3±79.0</w:t>
            </w:r>
          </w:p>
        </w:tc>
        <w:tc>
          <w:tcPr>
            <w:tcW w:w="1443" w:type="dxa"/>
          </w:tcPr>
          <w:p w14:paraId="2D5FC2F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0.39±0.17</w:t>
            </w:r>
          </w:p>
        </w:tc>
      </w:tr>
      <w:tr w:rsidR="00486CB5" w:rsidRPr="00486CB5" w14:paraId="00FF3678" w14:textId="77777777" w:rsidTr="00AF1CA2">
        <w:trPr>
          <w:jc w:val="center"/>
        </w:trPr>
        <w:tc>
          <w:tcPr>
            <w:tcW w:w="2376" w:type="dxa"/>
            <w:vAlign w:val="bottom"/>
          </w:tcPr>
          <w:p w14:paraId="5EC2BC30"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Iwofe</w:t>
            </w:r>
          </w:p>
        </w:tc>
        <w:tc>
          <w:tcPr>
            <w:tcW w:w="2952" w:type="dxa"/>
          </w:tcPr>
          <w:p w14:paraId="6FBA5A1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55.1±34.0</w:t>
            </w:r>
          </w:p>
        </w:tc>
        <w:tc>
          <w:tcPr>
            <w:tcW w:w="1443" w:type="dxa"/>
          </w:tcPr>
          <w:p w14:paraId="5B204B8D"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0.54±0.09</w:t>
            </w:r>
          </w:p>
        </w:tc>
      </w:tr>
      <w:tr w:rsidR="00486CB5" w:rsidRPr="00486CB5" w14:paraId="2E9E9044" w14:textId="77777777" w:rsidTr="00AF1CA2">
        <w:trPr>
          <w:jc w:val="center"/>
        </w:trPr>
        <w:tc>
          <w:tcPr>
            <w:tcW w:w="2376" w:type="dxa"/>
            <w:vAlign w:val="bottom"/>
          </w:tcPr>
          <w:p w14:paraId="59D94FB1"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Marine Base</w:t>
            </w:r>
          </w:p>
        </w:tc>
        <w:tc>
          <w:tcPr>
            <w:tcW w:w="2952" w:type="dxa"/>
          </w:tcPr>
          <w:p w14:paraId="00D318B1"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71.1±38.8</w:t>
            </w:r>
          </w:p>
        </w:tc>
        <w:tc>
          <w:tcPr>
            <w:tcW w:w="1443" w:type="dxa"/>
          </w:tcPr>
          <w:p w14:paraId="3D66DFA5"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0.42±0.14</w:t>
            </w:r>
          </w:p>
        </w:tc>
      </w:tr>
      <w:tr w:rsidR="00486CB5" w:rsidRPr="00486CB5" w14:paraId="336A9E0D" w14:textId="77777777" w:rsidTr="00AF1CA2">
        <w:trPr>
          <w:jc w:val="center"/>
        </w:trPr>
        <w:tc>
          <w:tcPr>
            <w:tcW w:w="2376" w:type="dxa"/>
            <w:vAlign w:val="bottom"/>
          </w:tcPr>
          <w:p w14:paraId="14113F0C"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Mile 1 Diobu</w:t>
            </w:r>
          </w:p>
        </w:tc>
        <w:tc>
          <w:tcPr>
            <w:tcW w:w="2952" w:type="dxa"/>
          </w:tcPr>
          <w:p w14:paraId="74AC67A1"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71.9±52.0</w:t>
            </w:r>
          </w:p>
        </w:tc>
        <w:tc>
          <w:tcPr>
            <w:tcW w:w="1443" w:type="dxa"/>
          </w:tcPr>
          <w:p w14:paraId="1510752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0.63±0.16</w:t>
            </w:r>
          </w:p>
        </w:tc>
      </w:tr>
      <w:tr w:rsidR="00486CB5" w:rsidRPr="00486CB5" w14:paraId="549647C4" w14:textId="77777777" w:rsidTr="00AF1CA2">
        <w:trPr>
          <w:jc w:val="center"/>
        </w:trPr>
        <w:tc>
          <w:tcPr>
            <w:tcW w:w="2376" w:type="dxa"/>
            <w:vAlign w:val="bottom"/>
          </w:tcPr>
          <w:p w14:paraId="1C3E2680"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Peter Odili Road</w:t>
            </w:r>
          </w:p>
        </w:tc>
        <w:tc>
          <w:tcPr>
            <w:tcW w:w="2952" w:type="dxa"/>
          </w:tcPr>
          <w:p w14:paraId="1757C4C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98.6±62.5</w:t>
            </w:r>
          </w:p>
        </w:tc>
        <w:tc>
          <w:tcPr>
            <w:tcW w:w="1443" w:type="dxa"/>
          </w:tcPr>
          <w:p w14:paraId="1D25F78B"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0.65±0.19</w:t>
            </w:r>
          </w:p>
        </w:tc>
      </w:tr>
      <w:tr w:rsidR="00486CB5" w:rsidRPr="00486CB5" w14:paraId="7FC90298" w14:textId="77777777" w:rsidTr="00AF1CA2">
        <w:trPr>
          <w:jc w:val="center"/>
        </w:trPr>
        <w:tc>
          <w:tcPr>
            <w:tcW w:w="2376" w:type="dxa"/>
            <w:vAlign w:val="bottom"/>
          </w:tcPr>
          <w:p w14:paraId="244C13DB"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Rumuokoro</w:t>
            </w:r>
          </w:p>
        </w:tc>
        <w:tc>
          <w:tcPr>
            <w:tcW w:w="2952" w:type="dxa"/>
          </w:tcPr>
          <w:p w14:paraId="15A27062"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56.8±42.6</w:t>
            </w:r>
          </w:p>
        </w:tc>
        <w:tc>
          <w:tcPr>
            <w:tcW w:w="1443" w:type="dxa"/>
          </w:tcPr>
          <w:p w14:paraId="13BE1F72"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0.55±0.12</w:t>
            </w:r>
          </w:p>
        </w:tc>
      </w:tr>
      <w:tr w:rsidR="00486CB5" w:rsidRPr="00486CB5" w14:paraId="4C6441DD" w14:textId="77777777" w:rsidTr="00AF1CA2">
        <w:trPr>
          <w:jc w:val="center"/>
        </w:trPr>
        <w:tc>
          <w:tcPr>
            <w:tcW w:w="2376" w:type="dxa"/>
            <w:vAlign w:val="bottom"/>
          </w:tcPr>
          <w:p w14:paraId="5D758B89"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Rumuokuta</w:t>
            </w:r>
          </w:p>
        </w:tc>
        <w:tc>
          <w:tcPr>
            <w:tcW w:w="2952" w:type="dxa"/>
          </w:tcPr>
          <w:p w14:paraId="0176EC9A"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49.6±39.4</w:t>
            </w:r>
          </w:p>
        </w:tc>
        <w:tc>
          <w:tcPr>
            <w:tcW w:w="1443" w:type="dxa"/>
          </w:tcPr>
          <w:p w14:paraId="4A5F7DA7"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0.59±0.20</w:t>
            </w:r>
          </w:p>
        </w:tc>
      </w:tr>
      <w:tr w:rsidR="00486CB5" w:rsidRPr="00486CB5" w14:paraId="4D8DBF37" w14:textId="77777777" w:rsidTr="00AF1CA2">
        <w:trPr>
          <w:jc w:val="center"/>
        </w:trPr>
        <w:tc>
          <w:tcPr>
            <w:tcW w:w="2376" w:type="dxa"/>
            <w:vAlign w:val="bottom"/>
          </w:tcPr>
          <w:p w14:paraId="3D3FAA8E"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Rumuola</w:t>
            </w:r>
          </w:p>
        </w:tc>
        <w:tc>
          <w:tcPr>
            <w:tcW w:w="2952" w:type="dxa"/>
          </w:tcPr>
          <w:p w14:paraId="4E7ED94F"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73.75±66.1</w:t>
            </w:r>
          </w:p>
        </w:tc>
        <w:tc>
          <w:tcPr>
            <w:tcW w:w="1443" w:type="dxa"/>
          </w:tcPr>
          <w:p w14:paraId="73638FBA"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0.53±0.12</w:t>
            </w:r>
          </w:p>
        </w:tc>
      </w:tr>
      <w:tr w:rsidR="00486CB5" w:rsidRPr="00486CB5" w14:paraId="11481972" w14:textId="77777777" w:rsidTr="00AF1CA2">
        <w:trPr>
          <w:jc w:val="center"/>
        </w:trPr>
        <w:tc>
          <w:tcPr>
            <w:tcW w:w="2376" w:type="dxa"/>
            <w:vAlign w:val="bottom"/>
          </w:tcPr>
          <w:p w14:paraId="51ED8981"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Trans-Amadi</w:t>
            </w:r>
          </w:p>
        </w:tc>
        <w:tc>
          <w:tcPr>
            <w:tcW w:w="2952" w:type="dxa"/>
          </w:tcPr>
          <w:p w14:paraId="20C1029E"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66.6±46.7</w:t>
            </w:r>
          </w:p>
        </w:tc>
        <w:tc>
          <w:tcPr>
            <w:tcW w:w="1443" w:type="dxa"/>
          </w:tcPr>
          <w:p w14:paraId="278E185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0.63±0.18</w:t>
            </w:r>
          </w:p>
        </w:tc>
      </w:tr>
      <w:tr w:rsidR="00486CB5" w:rsidRPr="00486CB5" w14:paraId="5E52738F" w14:textId="77777777" w:rsidTr="00AF1CA2">
        <w:trPr>
          <w:jc w:val="center"/>
        </w:trPr>
        <w:tc>
          <w:tcPr>
            <w:tcW w:w="2376" w:type="dxa"/>
            <w:vAlign w:val="bottom"/>
          </w:tcPr>
          <w:p w14:paraId="1604F678"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UST maingate</w:t>
            </w:r>
          </w:p>
        </w:tc>
        <w:tc>
          <w:tcPr>
            <w:tcW w:w="2952" w:type="dxa"/>
          </w:tcPr>
          <w:p w14:paraId="57701B14"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82.5±78.1</w:t>
            </w:r>
          </w:p>
        </w:tc>
        <w:tc>
          <w:tcPr>
            <w:tcW w:w="1443" w:type="dxa"/>
          </w:tcPr>
          <w:p w14:paraId="02CBC508"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0.55±0.13</w:t>
            </w:r>
          </w:p>
        </w:tc>
      </w:tr>
      <w:tr w:rsidR="00486CB5" w:rsidRPr="00486CB5" w14:paraId="09564853" w14:textId="77777777" w:rsidTr="00AF1CA2">
        <w:trPr>
          <w:jc w:val="center"/>
        </w:trPr>
        <w:tc>
          <w:tcPr>
            <w:tcW w:w="2376" w:type="dxa"/>
            <w:vAlign w:val="bottom"/>
          </w:tcPr>
          <w:p w14:paraId="1C2822E0"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Waterlines</w:t>
            </w:r>
          </w:p>
        </w:tc>
        <w:tc>
          <w:tcPr>
            <w:tcW w:w="2952" w:type="dxa"/>
          </w:tcPr>
          <w:p w14:paraId="4ACEA166"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50.5±34.7</w:t>
            </w:r>
          </w:p>
        </w:tc>
        <w:tc>
          <w:tcPr>
            <w:tcW w:w="1443" w:type="dxa"/>
          </w:tcPr>
          <w:p w14:paraId="74129E78"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0.61±0.13</w:t>
            </w:r>
          </w:p>
        </w:tc>
      </w:tr>
      <w:tr w:rsidR="00486CB5" w:rsidRPr="00486CB5" w14:paraId="76618110" w14:textId="77777777" w:rsidTr="00AF1CA2">
        <w:trPr>
          <w:jc w:val="center"/>
        </w:trPr>
        <w:tc>
          <w:tcPr>
            <w:tcW w:w="2376" w:type="dxa"/>
            <w:vAlign w:val="bottom"/>
          </w:tcPr>
          <w:p w14:paraId="4E214CD4" w14:textId="77777777" w:rsidR="00486CB5" w:rsidRPr="00486CB5" w:rsidRDefault="00486CB5" w:rsidP="00486CB5">
            <w:pPr>
              <w:jc w:val="both"/>
              <w:rPr>
                <w:rFonts w:ascii="Arial" w:hAnsi="Arial" w:cs="Arial"/>
                <w:bCs/>
                <w:sz w:val="20"/>
                <w:szCs w:val="20"/>
              </w:rPr>
            </w:pPr>
            <w:r w:rsidRPr="00486CB5">
              <w:rPr>
                <w:rFonts w:ascii="Arial" w:hAnsi="Arial" w:cs="Arial"/>
                <w:bCs/>
                <w:color w:val="000000"/>
                <w:sz w:val="20"/>
                <w:szCs w:val="20"/>
              </w:rPr>
              <w:t>Woji</w:t>
            </w:r>
          </w:p>
        </w:tc>
        <w:tc>
          <w:tcPr>
            <w:tcW w:w="2952" w:type="dxa"/>
          </w:tcPr>
          <w:p w14:paraId="6E8D2F17"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57.1±43.6</w:t>
            </w:r>
          </w:p>
        </w:tc>
        <w:tc>
          <w:tcPr>
            <w:tcW w:w="1443" w:type="dxa"/>
          </w:tcPr>
          <w:p w14:paraId="39546989" w14:textId="77777777" w:rsidR="00486CB5" w:rsidRPr="00486CB5" w:rsidRDefault="00486CB5" w:rsidP="00486CB5">
            <w:pPr>
              <w:jc w:val="both"/>
              <w:rPr>
                <w:rFonts w:ascii="Arial" w:hAnsi="Arial" w:cs="Arial"/>
                <w:bCs/>
                <w:sz w:val="20"/>
                <w:szCs w:val="20"/>
              </w:rPr>
            </w:pPr>
            <w:r w:rsidRPr="00486CB5">
              <w:rPr>
                <w:rFonts w:ascii="Arial" w:hAnsi="Arial" w:cs="Arial"/>
                <w:bCs/>
                <w:sz w:val="20"/>
                <w:szCs w:val="20"/>
              </w:rPr>
              <w:t>0.65±0.20</w:t>
            </w:r>
          </w:p>
        </w:tc>
      </w:tr>
    </w:tbl>
    <w:p w14:paraId="51AD8BC6" w14:textId="77777777" w:rsidR="00486CB5" w:rsidRDefault="00486CB5" w:rsidP="00486CB5">
      <w:pPr>
        <w:pStyle w:val="Body"/>
        <w:spacing w:after="0"/>
        <w:rPr>
          <w:rFonts w:ascii="Arial" w:hAnsi="Arial" w:cs="Arial"/>
          <w:bCs/>
        </w:rPr>
      </w:pPr>
    </w:p>
    <w:bookmarkStart w:id="4" w:name="_Hlk188389276"/>
    <w:p w14:paraId="27412921" w14:textId="77777777" w:rsidR="00197EEE" w:rsidRDefault="00197EEE" w:rsidP="00197EEE">
      <w:pPr>
        <w:spacing w:line="480" w:lineRule="auto"/>
        <w:jc w:val="center"/>
      </w:pPr>
      <w:r>
        <w:object w:dxaOrig="4923" w:dyaOrig="3929" w14:anchorId="58FAC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7pt;height:155.25pt" o:ole="">
            <v:imagedata r:id="rId10" o:title=""/>
          </v:shape>
          <o:OLEObject Type="Embed" ProgID="Prism8.Document" ShapeID="_x0000_i1025" DrawAspect="Content" ObjectID="_1806498303" r:id="rId11"/>
        </w:object>
      </w:r>
    </w:p>
    <w:p w14:paraId="61DC7FA5" w14:textId="77777777" w:rsidR="00DB227C" w:rsidRDefault="00197EEE" w:rsidP="00DB227C">
      <w:pPr>
        <w:jc w:val="center"/>
        <w:rPr>
          <w:rFonts w:ascii="Arial" w:hAnsi="Arial" w:cs="Arial"/>
        </w:rPr>
      </w:pPr>
      <w:r w:rsidRPr="00197EEE">
        <w:rPr>
          <w:rFonts w:ascii="Arial" w:hAnsi="Arial" w:cs="Arial"/>
          <w:b/>
          <w:bCs/>
        </w:rPr>
        <w:t>Fig</w:t>
      </w:r>
      <w:r>
        <w:rPr>
          <w:rFonts w:ascii="Arial" w:hAnsi="Arial" w:cs="Arial"/>
          <w:b/>
          <w:bCs/>
        </w:rPr>
        <w:t>.</w:t>
      </w:r>
      <w:r w:rsidRPr="00197EEE">
        <w:rPr>
          <w:rFonts w:ascii="Arial" w:hAnsi="Arial" w:cs="Arial"/>
          <w:b/>
          <w:bCs/>
        </w:rPr>
        <w:t xml:space="preserve"> </w:t>
      </w:r>
      <w:r>
        <w:rPr>
          <w:rFonts w:ascii="Arial" w:hAnsi="Arial" w:cs="Arial"/>
          <w:b/>
          <w:bCs/>
        </w:rPr>
        <w:t>3.</w:t>
      </w:r>
      <w:r w:rsidRPr="00197EEE">
        <w:rPr>
          <w:rFonts w:ascii="Arial" w:hAnsi="Arial" w:cs="Arial"/>
          <w:b/>
          <w:bCs/>
        </w:rPr>
        <w:t xml:space="preserve"> Bacterial Load based on the Local Government Area.</w:t>
      </w:r>
      <w:r w:rsidR="00DB227C">
        <w:rPr>
          <w:rFonts w:ascii="Arial" w:hAnsi="Arial" w:cs="Arial"/>
        </w:rPr>
        <w:t xml:space="preserve"> </w:t>
      </w:r>
    </w:p>
    <w:p w14:paraId="09D3A61E" w14:textId="593DDBBC" w:rsidR="00197EEE" w:rsidRPr="00DB227C" w:rsidRDefault="00DB227C" w:rsidP="00DB227C">
      <w:pPr>
        <w:jc w:val="center"/>
        <w:rPr>
          <w:rFonts w:ascii="Arial" w:hAnsi="Arial" w:cs="Arial"/>
        </w:rPr>
      </w:pPr>
      <w:r>
        <w:rPr>
          <w:rFonts w:ascii="Arial" w:hAnsi="Arial" w:cs="Arial"/>
        </w:rPr>
        <w:lastRenderedPageBreak/>
        <w:t xml:space="preserve">Each bar represents mean ± SD. T-test was used for statistical comparison. Statistical significance was assumed at 95% confidence interval. </w:t>
      </w:r>
    </w:p>
    <w:p w14:paraId="6C04ECBA" w14:textId="77777777" w:rsidR="00197EEE" w:rsidRDefault="00197EEE" w:rsidP="00197EEE">
      <w:pPr>
        <w:spacing w:line="480" w:lineRule="auto"/>
        <w:jc w:val="center"/>
        <w:rPr>
          <w:rFonts w:ascii="Arial" w:hAnsi="Arial" w:cs="Arial"/>
          <w:b/>
          <w:bCs/>
        </w:rPr>
      </w:pPr>
    </w:p>
    <w:p w14:paraId="0E6E907F" w14:textId="7A535E03" w:rsidR="00197EEE" w:rsidRDefault="00197EEE" w:rsidP="00197EEE">
      <w:pPr>
        <w:spacing w:line="480" w:lineRule="auto"/>
        <w:jc w:val="center"/>
        <w:rPr>
          <w:rFonts w:ascii="Times New Roman" w:hAnsi="Times New Roman"/>
          <w:sz w:val="24"/>
          <w:szCs w:val="24"/>
        </w:rPr>
      </w:pPr>
      <w:r>
        <w:object w:dxaOrig="5131" w:dyaOrig="5251" w14:anchorId="01A0BC90">
          <v:shape id="_x0000_i1026" type="#_x0000_t75" style="width:199.7pt;height:204.1pt" o:ole="">
            <v:imagedata r:id="rId12" o:title=""/>
          </v:shape>
          <o:OLEObject Type="Embed" ProgID="Prism8.Document" ShapeID="_x0000_i1026" DrawAspect="Content" ObjectID="_1806498304" r:id="rId13"/>
        </w:object>
      </w:r>
    </w:p>
    <w:p w14:paraId="42AA03BF" w14:textId="7D2446AE" w:rsidR="00197EEE" w:rsidRDefault="00197EEE" w:rsidP="00DB227C">
      <w:pPr>
        <w:jc w:val="center"/>
        <w:rPr>
          <w:rFonts w:ascii="Arial" w:hAnsi="Arial" w:cs="Arial"/>
          <w:b/>
          <w:bCs/>
        </w:rPr>
      </w:pPr>
      <w:r w:rsidRPr="00197EEE">
        <w:rPr>
          <w:rFonts w:ascii="Arial" w:hAnsi="Arial" w:cs="Arial"/>
          <w:b/>
          <w:bCs/>
        </w:rPr>
        <w:t>Fig</w:t>
      </w:r>
      <w:r>
        <w:rPr>
          <w:rFonts w:ascii="Arial" w:hAnsi="Arial" w:cs="Arial"/>
          <w:b/>
          <w:bCs/>
        </w:rPr>
        <w:t>.</w:t>
      </w:r>
      <w:r w:rsidRPr="00197EEE">
        <w:rPr>
          <w:rFonts w:ascii="Arial" w:hAnsi="Arial" w:cs="Arial"/>
          <w:b/>
          <w:bCs/>
        </w:rPr>
        <w:t xml:space="preserve"> 4. Multiple Antimicrobial Resistance based on the Local Government Area.</w:t>
      </w:r>
    </w:p>
    <w:p w14:paraId="108AF280" w14:textId="4FE2724F" w:rsidR="00DB227C" w:rsidRPr="00DB227C" w:rsidRDefault="00DB227C" w:rsidP="00DB227C">
      <w:pPr>
        <w:jc w:val="center"/>
        <w:rPr>
          <w:rFonts w:ascii="Arial" w:hAnsi="Arial" w:cs="Arial"/>
        </w:rPr>
      </w:pPr>
      <w:r>
        <w:rPr>
          <w:rFonts w:ascii="Arial" w:hAnsi="Arial" w:cs="Arial"/>
        </w:rPr>
        <w:t xml:space="preserve">Each bar represents mean ± SD. </w:t>
      </w:r>
      <w:r w:rsidR="00A65992">
        <w:rPr>
          <w:rFonts w:ascii="Arial" w:hAnsi="Arial" w:cs="Arial"/>
        </w:rPr>
        <w:t xml:space="preserve"> </w:t>
      </w:r>
      <w:r>
        <w:rPr>
          <w:rFonts w:ascii="Arial" w:hAnsi="Arial" w:cs="Arial"/>
        </w:rPr>
        <w:t xml:space="preserve">T-test was used for statistical comparison. Statistical significance was </w:t>
      </w:r>
      <w:r w:rsidRPr="00241756">
        <w:rPr>
          <w:rFonts w:ascii="Arial" w:hAnsi="Arial" w:cs="Arial"/>
          <w:highlight w:val="yellow"/>
        </w:rPr>
        <w:t>assumed at 95% confiden</w:t>
      </w:r>
      <w:r>
        <w:rPr>
          <w:rFonts w:ascii="Arial" w:hAnsi="Arial" w:cs="Arial"/>
        </w:rPr>
        <w:t xml:space="preserve">ce interval. </w:t>
      </w:r>
    </w:p>
    <w:p w14:paraId="6D359F13" w14:textId="77777777" w:rsidR="00DB227C" w:rsidRDefault="00DB227C" w:rsidP="00197EEE">
      <w:pPr>
        <w:spacing w:line="480" w:lineRule="auto"/>
        <w:jc w:val="center"/>
        <w:rPr>
          <w:rFonts w:ascii="Arial" w:hAnsi="Arial" w:cs="Arial"/>
          <w:b/>
          <w:bCs/>
        </w:rPr>
      </w:pPr>
    </w:p>
    <w:bookmarkEnd w:id="4"/>
    <w:p w14:paraId="7B97AE8F" w14:textId="5884DCF0" w:rsidR="00486CB5" w:rsidRDefault="00486CB5" w:rsidP="00486CB5">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197EEE">
        <w:rPr>
          <w:rFonts w:ascii="Arial" w:hAnsi="Arial" w:cs="Arial"/>
          <w:b/>
          <w:caps/>
          <w:sz w:val="22"/>
        </w:rPr>
        <w:t>3</w:t>
      </w:r>
      <w:r w:rsidRPr="00C30A0F">
        <w:rPr>
          <w:rFonts w:ascii="Arial" w:hAnsi="Arial" w:cs="Arial"/>
          <w:b/>
          <w:caps/>
          <w:sz w:val="22"/>
        </w:rPr>
        <w:t xml:space="preserve"> </w:t>
      </w:r>
      <w:r w:rsidR="00197EEE" w:rsidRPr="00197EEE">
        <w:rPr>
          <w:rFonts w:ascii="Arial" w:hAnsi="Arial" w:cs="Arial"/>
          <w:b/>
          <w:sz w:val="22"/>
        </w:rPr>
        <w:t>Antimicrobial Resistance Pattern of Bacteria from Abacha</w:t>
      </w:r>
    </w:p>
    <w:p w14:paraId="05109C5D" w14:textId="77777777" w:rsidR="00486CB5" w:rsidRDefault="00486CB5" w:rsidP="00486CB5">
      <w:pPr>
        <w:pStyle w:val="Body"/>
        <w:spacing w:after="0"/>
        <w:rPr>
          <w:rFonts w:ascii="Arial" w:hAnsi="Arial" w:cs="Arial"/>
        </w:rPr>
      </w:pPr>
    </w:p>
    <w:p w14:paraId="33C22C36" w14:textId="24E8445F" w:rsidR="00312116" w:rsidRPr="00312116" w:rsidRDefault="00312116" w:rsidP="00312116">
      <w:pPr>
        <w:pStyle w:val="Body"/>
        <w:spacing w:after="0"/>
        <w:rPr>
          <w:rFonts w:ascii="Arial" w:hAnsi="Arial" w:cs="Arial"/>
          <w:bCs/>
        </w:rPr>
      </w:pPr>
      <w:r w:rsidRPr="00312116">
        <w:rPr>
          <w:rFonts w:ascii="Arial" w:hAnsi="Arial" w:cs="Arial"/>
          <w:b/>
        </w:rPr>
        <w:t xml:space="preserve">Table </w:t>
      </w:r>
      <w:r w:rsidR="00F36DEB">
        <w:rPr>
          <w:rFonts w:ascii="Arial" w:hAnsi="Arial" w:cs="Arial"/>
          <w:b/>
        </w:rPr>
        <w:t>5</w:t>
      </w:r>
      <w:r w:rsidRPr="00312116">
        <w:rPr>
          <w:rFonts w:ascii="Arial" w:hAnsi="Arial" w:cs="Arial"/>
          <w:bCs/>
        </w:rPr>
        <w:t xml:space="preserve"> shows the patte</w:t>
      </w:r>
      <w:r w:rsidR="00DB227C">
        <w:rPr>
          <w:rFonts w:ascii="Arial" w:hAnsi="Arial" w:cs="Arial"/>
          <w:bCs/>
        </w:rPr>
        <w:t>r</w:t>
      </w:r>
      <w:r w:rsidRPr="00312116">
        <w:rPr>
          <w:rFonts w:ascii="Arial" w:hAnsi="Arial" w:cs="Arial"/>
          <w:bCs/>
        </w:rPr>
        <w:t xml:space="preserve">n of resistance with the various bacterial isolates. The bacteria belonging to the </w:t>
      </w:r>
      <w:r w:rsidRPr="00312116">
        <w:rPr>
          <w:rFonts w:ascii="Arial" w:hAnsi="Arial" w:cs="Arial"/>
          <w:bCs/>
          <w:i/>
          <w:iCs/>
        </w:rPr>
        <w:t>Proteus</w:t>
      </w:r>
      <w:r w:rsidRPr="00312116">
        <w:rPr>
          <w:rFonts w:ascii="Arial" w:hAnsi="Arial" w:cs="Arial"/>
          <w:bCs/>
        </w:rPr>
        <w:t xml:space="preserve"> species together with </w:t>
      </w:r>
      <w:r w:rsidRPr="00312116">
        <w:rPr>
          <w:rFonts w:ascii="Arial" w:hAnsi="Arial" w:cs="Arial"/>
          <w:bCs/>
          <w:i/>
          <w:iCs/>
        </w:rPr>
        <w:t>Providentia</w:t>
      </w:r>
      <w:r w:rsidRPr="00312116">
        <w:rPr>
          <w:rFonts w:ascii="Arial" w:hAnsi="Arial" w:cs="Arial"/>
          <w:bCs/>
        </w:rPr>
        <w:t xml:space="preserve"> </w:t>
      </w:r>
      <w:r w:rsidRPr="00312116">
        <w:rPr>
          <w:rFonts w:ascii="Arial" w:hAnsi="Arial" w:cs="Arial"/>
          <w:bCs/>
          <w:i/>
          <w:iCs/>
        </w:rPr>
        <w:t>huaxiensis</w:t>
      </w:r>
      <w:r w:rsidRPr="00312116">
        <w:rPr>
          <w:rFonts w:ascii="Arial" w:hAnsi="Arial" w:cs="Arial"/>
          <w:bCs/>
        </w:rPr>
        <w:t xml:space="preserve"> had the highest level of MAR index </w:t>
      </w:r>
      <w:r w:rsidRPr="00241756">
        <w:rPr>
          <w:rFonts w:ascii="Arial" w:hAnsi="Arial" w:cs="Arial"/>
          <w:bCs/>
          <w:highlight w:val="yellow"/>
        </w:rPr>
        <w:t xml:space="preserve">of 0.80 for </w:t>
      </w:r>
      <w:r w:rsidR="00A65992" w:rsidRPr="00241756">
        <w:rPr>
          <w:rFonts w:ascii="Arial" w:hAnsi="Arial" w:cs="Arial"/>
          <w:bCs/>
          <w:highlight w:val="yellow"/>
        </w:rPr>
        <w:t xml:space="preserve">the </w:t>
      </w:r>
      <w:r w:rsidRPr="00241756">
        <w:rPr>
          <w:rFonts w:ascii="Arial" w:hAnsi="Arial" w:cs="Arial"/>
          <w:bCs/>
          <w:i/>
          <w:iCs/>
          <w:highlight w:val="yellow"/>
        </w:rPr>
        <w:t>Proteus</w:t>
      </w:r>
      <w:r w:rsidRPr="00241756">
        <w:rPr>
          <w:rFonts w:ascii="Arial" w:hAnsi="Arial" w:cs="Arial"/>
          <w:bCs/>
          <w:highlight w:val="yellow"/>
        </w:rPr>
        <w:t xml:space="preserve"> species and 0.8 for </w:t>
      </w:r>
      <w:r w:rsidRPr="00241756">
        <w:rPr>
          <w:rFonts w:ascii="Arial" w:hAnsi="Arial" w:cs="Arial"/>
          <w:bCs/>
          <w:i/>
          <w:iCs/>
          <w:highlight w:val="yellow"/>
        </w:rPr>
        <w:t>Providentia</w:t>
      </w:r>
      <w:r w:rsidRPr="00241756">
        <w:rPr>
          <w:rFonts w:ascii="Arial" w:hAnsi="Arial" w:cs="Arial"/>
          <w:bCs/>
          <w:highlight w:val="yellow"/>
        </w:rPr>
        <w:t xml:space="preserve"> </w:t>
      </w:r>
      <w:r w:rsidRPr="00241756">
        <w:rPr>
          <w:rFonts w:ascii="Arial" w:hAnsi="Arial" w:cs="Arial"/>
          <w:bCs/>
          <w:i/>
          <w:iCs/>
          <w:highlight w:val="yellow"/>
        </w:rPr>
        <w:t>huaxiensis</w:t>
      </w:r>
      <w:r w:rsidRPr="00241756">
        <w:rPr>
          <w:rFonts w:ascii="Arial" w:hAnsi="Arial" w:cs="Arial"/>
          <w:bCs/>
          <w:highlight w:val="yellow"/>
        </w:rPr>
        <w:t xml:space="preserve">. On the other hand, </w:t>
      </w:r>
      <w:r w:rsidRPr="00241756">
        <w:rPr>
          <w:rFonts w:ascii="Arial" w:hAnsi="Arial" w:cs="Arial"/>
          <w:bCs/>
          <w:i/>
          <w:iCs/>
          <w:highlight w:val="yellow"/>
        </w:rPr>
        <w:t>Myroides odoratimimus</w:t>
      </w:r>
      <w:r w:rsidRPr="00241756">
        <w:rPr>
          <w:rFonts w:ascii="Arial" w:hAnsi="Arial" w:cs="Arial"/>
          <w:bCs/>
          <w:highlight w:val="yellow"/>
        </w:rPr>
        <w:t xml:space="preserve"> and </w:t>
      </w:r>
      <w:r w:rsidRPr="00241756">
        <w:rPr>
          <w:rFonts w:ascii="Arial" w:hAnsi="Arial" w:cs="Arial"/>
          <w:bCs/>
          <w:i/>
          <w:iCs/>
          <w:highlight w:val="yellow"/>
        </w:rPr>
        <w:t xml:space="preserve">Citrobacter cronae </w:t>
      </w:r>
      <w:r w:rsidRPr="00241756">
        <w:rPr>
          <w:rFonts w:ascii="Arial" w:hAnsi="Arial" w:cs="Arial"/>
          <w:bCs/>
          <w:highlight w:val="yellow"/>
        </w:rPr>
        <w:t>had the lowest</w:t>
      </w:r>
      <w:r w:rsidRPr="00312116">
        <w:rPr>
          <w:rFonts w:ascii="Arial" w:hAnsi="Arial" w:cs="Arial"/>
          <w:bCs/>
        </w:rPr>
        <w:t xml:space="preserve"> level of MAR indices of 0.47 each. Considering the different classes of antibiotics used in this study, the level of antimicrobial resistance was highest with the cephalosporin class of drugs cefotaxime (CTX), ceftriaxone sulbactam (CRO), cefexime (ZEM) and cefuroxime (CXM) while the carbapenem (Imipenem/Cilastatin (IMP)) used in this study showed the lowest level of resistance.</w:t>
      </w:r>
    </w:p>
    <w:p w14:paraId="1C68CCA3" w14:textId="77777777" w:rsidR="00486CB5" w:rsidRDefault="00486CB5" w:rsidP="00441B6F">
      <w:pPr>
        <w:pStyle w:val="Body"/>
        <w:spacing w:after="0"/>
        <w:rPr>
          <w:rFonts w:ascii="Arial" w:hAnsi="Arial" w:cs="Arial"/>
        </w:rPr>
      </w:pPr>
    </w:p>
    <w:p w14:paraId="4B2C4EDF" w14:textId="77777777" w:rsidR="00197EEE" w:rsidRDefault="00197EEE" w:rsidP="00441B6F">
      <w:pPr>
        <w:pStyle w:val="Body"/>
        <w:spacing w:after="0"/>
        <w:rPr>
          <w:rFonts w:ascii="Arial" w:hAnsi="Arial" w:cs="Arial"/>
        </w:rPr>
      </w:pPr>
    </w:p>
    <w:p w14:paraId="6B08627F" w14:textId="30964DD0" w:rsidR="00312116" w:rsidRPr="00312116" w:rsidRDefault="00312116" w:rsidP="00AF1CA2">
      <w:pPr>
        <w:jc w:val="center"/>
        <w:rPr>
          <w:rFonts w:ascii="Arial" w:eastAsia="Calibri" w:hAnsi="Arial" w:cs="Arial"/>
          <w:b/>
          <w:sz w:val="22"/>
          <w:szCs w:val="22"/>
        </w:rPr>
      </w:pPr>
      <w:r w:rsidRPr="00312116">
        <w:rPr>
          <w:rFonts w:ascii="Arial" w:eastAsia="Calibri" w:hAnsi="Arial" w:cs="Arial"/>
          <w:b/>
          <w:sz w:val="22"/>
          <w:szCs w:val="22"/>
        </w:rPr>
        <w:t xml:space="preserve">Table </w:t>
      </w:r>
      <w:r w:rsidR="00F36DEB">
        <w:rPr>
          <w:rFonts w:ascii="Arial" w:eastAsia="Calibri" w:hAnsi="Arial" w:cs="Arial"/>
          <w:b/>
          <w:sz w:val="22"/>
          <w:szCs w:val="22"/>
        </w:rPr>
        <w:t>5</w:t>
      </w:r>
      <w:r>
        <w:rPr>
          <w:rFonts w:ascii="Arial" w:eastAsia="Calibri" w:hAnsi="Arial" w:cs="Arial"/>
          <w:b/>
          <w:sz w:val="22"/>
          <w:szCs w:val="22"/>
        </w:rPr>
        <w:t>.</w:t>
      </w:r>
      <w:r>
        <w:rPr>
          <w:rFonts w:ascii="Arial" w:eastAsia="Calibri" w:hAnsi="Arial" w:cs="Arial"/>
          <w:b/>
          <w:sz w:val="22"/>
          <w:szCs w:val="22"/>
        </w:rPr>
        <w:tab/>
      </w:r>
      <w:r w:rsidRPr="00312116">
        <w:rPr>
          <w:rFonts w:ascii="Arial" w:eastAsia="Calibri" w:hAnsi="Arial" w:cs="Arial"/>
          <w:b/>
          <w:sz w:val="22"/>
          <w:szCs w:val="22"/>
        </w:rPr>
        <w:t>Pattern of Antimicrobial Resistance Profile of the Isolated</w:t>
      </w:r>
      <w:r w:rsidR="00AF1CA2">
        <w:rPr>
          <w:rFonts w:ascii="Arial" w:eastAsia="Calibri" w:hAnsi="Arial" w:cs="Arial"/>
          <w:b/>
          <w:sz w:val="22"/>
          <w:szCs w:val="22"/>
        </w:rPr>
        <w:t xml:space="preserve"> </w:t>
      </w:r>
      <w:r w:rsidRPr="00312116">
        <w:rPr>
          <w:rFonts w:ascii="Arial" w:eastAsia="Calibri" w:hAnsi="Arial" w:cs="Arial"/>
          <w:b/>
          <w:sz w:val="22"/>
          <w:szCs w:val="22"/>
        </w:rPr>
        <w:t>Bacteria in Abacha</w:t>
      </w:r>
    </w:p>
    <w:tbl>
      <w:tblPr>
        <w:tblW w:w="11066" w:type="dxa"/>
        <w:tblInd w:w="-885" w:type="dxa"/>
        <w:tblBorders>
          <w:top w:val="single" w:sz="4" w:space="0" w:color="auto"/>
          <w:bottom w:val="single" w:sz="4" w:space="0" w:color="auto"/>
        </w:tblBorders>
        <w:tblLook w:val="04A0" w:firstRow="1" w:lastRow="0" w:firstColumn="1" w:lastColumn="0" w:noHBand="0" w:noVBand="1"/>
      </w:tblPr>
      <w:tblGrid>
        <w:gridCol w:w="1904"/>
        <w:gridCol w:w="576"/>
        <w:gridCol w:w="616"/>
        <w:gridCol w:w="616"/>
        <w:gridCol w:w="596"/>
        <w:gridCol w:w="537"/>
        <w:gridCol w:w="616"/>
        <w:gridCol w:w="597"/>
        <w:gridCol w:w="486"/>
        <w:gridCol w:w="587"/>
        <w:gridCol w:w="586"/>
        <w:gridCol w:w="517"/>
        <w:gridCol w:w="586"/>
        <w:gridCol w:w="587"/>
        <w:gridCol w:w="476"/>
        <w:gridCol w:w="607"/>
        <w:gridCol w:w="837"/>
      </w:tblGrid>
      <w:tr w:rsidR="00AF1CA2" w:rsidRPr="00AF1CA2" w14:paraId="1BE7DB98" w14:textId="77777777" w:rsidTr="00AF1CA2">
        <w:trPr>
          <w:trHeight w:val="273"/>
        </w:trPr>
        <w:tc>
          <w:tcPr>
            <w:tcW w:w="1904" w:type="dxa"/>
            <w:tcBorders>
              <w:top w:val="single" w:sz="4" w:space="0" w:color="auto"/>
              <w:bottom w:val="single" w:sz="4" w:space="0" w:color="auto"/>
            </w:tcBorders>
            <w:shd w:val="clear" w:color="auto" w:fill="auto"/>
            <w:noWrap/>
            <w:vAlign w:val="center"/>
          </w:tcPr>
          <w:p w14:paraId="3BB7899D"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Bacteria</w:t>
            </w:r>
          </w:p>
        </w:tc>
        <w:tc>
          <w:tcPr>
            <w:tcW w:w="558" w:type="dxa"/>
            <w:tcBorders>
              <w:top w:val="single" w:sz="4" w:space="0" w:color="auto"/>
              <w:bottom w:val="single" w:sz="4" w:space="0" w:color="auto"/>
            </w:tcBorders>
            <w:shd w:val="clear" w:color="auto" w:fill="auto"/>
            <w:noWrap/>
            <w:vAlign w:val="center"/>
            <w:hideMark/>
          </w:tcPr>
          <w:p w14:paraId="0B272009"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CTX</w:t>
            </w:r>
          </w:p>
        </w:tc>
        <w:tc>
          <w:tcPr>
            <w:tcW w:w="599" w:type="dxa"/>
            <w:tcBorders>
              <w:top w:val="single" w:sz="4" w:space="0" w:color="auto"/>
              <w:bottom w:val="single" w:sz="4" w:space="0" w:color="auto"/>
            </w:tcBorders>
            <w:shd w:val="clear" w:color="auto" w:fill="auto"/>
            <w:noWrap/>
            <w:vAlign w:val="center"/>
            <w:hideMark/>
          </w:tcPr>
          <w:p w14:paraId="77049E22"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CRO</w:t>
            </w:r>
          </w:p>
        </w:tc>
        <w:tc>
          <w:tcPr>
            <w:tcW w:w="599" w:type="dxa"/>
            <w:tcBorders>
              <w:top w:val="single" w:sz="4" w:space="0" w:color="auto"/>
              <w:bottom w:val="single" w:sz="4" w:space="0" w:color="auto"/>
            </w:tcBorders>
            <w:shd w:val="clear" w:color="auto" w:fill="auto"/>
            <w:noWrap/>
            <w:vAlign w:val="center"/>
            <w:hideMark/>
          </w:tcPr>
          <w:p w14:paraId="07336648"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CXM</w:t>
            </w:r>
          </w:p>
        </w:tc>
        <w:tc>
          <w:tcPr>
            <w:tcW w:w="579" w:type="dxa"/>
            <w:tcBorders>
              <w:top w:val="single" w:sz="4" w:space="0" w:color="auto"/>
              <w:bottom w:val="single" w:sz="4" w:space="0" w:color="auto"/>
            </w:tcBorders>
            <w:shd w:val="clear" w:color="auto" w:fill="auto"/>
            <w:noWrap/>
            <w:vAlign w:val="center"/>
            <w:hideMark/>
          </w:tcPr>
          <w:p w14:paraId="59E7893C"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ZEM</w:t>
            </w:r>
          </w:p>
        </w:tc>
        <w:tc>
          <w:tcPr>
            <w:tcW w:w="519" w:type="dxa"/>
            <w:tcBorders>
              <w:top w:val="single" w:sz="4" w:space="0" w:color="auto"/>
              <w:bottom w:val="single" w:sz="4" w:space="0" w:color="auto"/>
            </w:tcBorders>
            <w:shd w:val="clear" w:color="auto" w:fill="auto"/>
            <w:noWrap/>
            <w:vAlign w:val="center"/>
            <w:hideMark/>
          </w:tcPr>
          <w:p w14:paraId="22889BAA"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IMP</w:t>
            </w:r>
          </w:p>
        </w:tc>
        <w:tc>
          <w:tcPr>
            <w:tcW w:w="599" w:type="dxa"/>
            <w:tcBorders>
              <w:top w:val="single" w:sz="4" w:space="0" w:color="auto"/>
              <w:bottom w:val="single" w:sz="4" w:space="0" w:color="auto"/>
            </w:tcBorders>
            <w:shd w:val="clear" w:color="auto" w:fill="auto"/>
            <w:noWrap/>
            <w:vAlign w:val="center"/>
            <w:hideMark/>
          </w:tcPr>
          <w:p w14:paraId="6DC88C91"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AUG</w:t>
            </w:r>
          </w:p>
        </w:tc>
        <w:tc>
          <w:tcPr>
            <w:tcW w:w="579" w:type="dxa"/>
            <w:tcBorders>
              <w:top w:val="single" w:sz="4" w:space="0" w:color="auto"/>
              <w:bottom w:val="single" w:sz="4" w:space="0" w:color="auto"/>
            </w:tcBorders>
            <w:shd w:val="clear" w:color="auto" w:fill="auto"/>
            <w:noWrap/>
            <w:vAlign w:val="center"/>
            <w:hideMark/>
          </w:tcPr>
          <w:p w14:paraId="41C57F47"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ACX</w:t>
            </w:r>
          </w:p>
        </w:tc>
        <w:tc>
          <w:tcPr>
            <w:tcW w:w="468" w:type="dxa"/>
            <w:tcBorders>
              <w:top w:val="single" w:sz="4" w:space="0" w:color="auto"/>
              <w:bottom w:val="single" w:sz="4" w:space="0" w:color="auto"/>
            </w:tcBorders>
            <w:shd w:val="clear" w:color="auto" w:fill="auto"/>
            <w:noWrap/>
            <w:vAlign w:val="center"/>
            <w:hideMark/>
          </w:tcPr>
          <w:p w14:paraId="50B09026"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GN</w:t>
            </w:r>
          </w:p>
        </w:tc>
        <w:tc>
          <w:tcPr>
            <w:tcW w:w="569" w:type="dxa"/>
            <w:tcBorders>
              <w:top w:val="single" w:sz="4" w:space="0" w:color="auto"/>
              <w:bottom w:val="single" w:sz="4" w:space="0" w:color="auto"/>
            </w:tcBorders>
            <w:shd w:val="clear" w:color="auto" w:fill="auto"/>
            <w:noWrap/>
            <w:vAlign w:val="center"/>
            <w:hideMark/>
          </w:tcPr>
          <w:p w14:paraId="2096D4FA"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OFX</w:t>
            </w:r>
          </w:p>
        </w:tc>
        <w:tc>
          <w:tcPr>
            <w:tcW w:w="569" w:type="dxa"/>
            <w:tcBorders>
              <w:top w:val="single" w:sz="4" w:space="0" w:color="auto"/>
              <w:bottom w:val="single" w:sz="4" w:space="0" w:color="auto"/>
            </w:tcBorders>
            <w:shd w:val="clear" w:color="auto" w:fill="auto"/>
            <w:noWrap/>
            <w:vAlign w:val="center"/>
            <w:hideMark/>
          </w:tcPr>
          <w:p w14:paraId="5575461F"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LBC</w:t>
            </w:r>
          </w:p>
        </w:tc>
        <w:tc>
          <w:tcPr>
            <w:tcW w:w="499" w:type="dxa"/>
            <w:tcBorders>
              <w:top w:val="single" w:sz="4" w:space="0" w:color="auto"/>
              <w:bottom w:val="single" w:sz="4" w:space="0" w:color="auto"/>
            </w:tcBorders>
            <w:shd w:val="clear" w:color="auto" w:fill="auto"/>
            <w:noWrap/>
            <w:vAlign w:val="center"/>
            <w:hideMark/>
          </w:tcPr>
          <w:p w14:paraId="0F100229"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CIP</w:t>
            </w:r>
          </w:p>
        </w:tc>
        <w:tc>
          <w:tcPr>
            <w:tcW w:w="569" w:type="dxa"/>
            <w:tcBorders>
              <w:top w:val="single" w:sz="4" w:space="0" w:color="auto"/>
              <w:bottom w:val="single" w:sz="4" w:space="0" w:color="auto"/>
            </w:tcBorders>
            <w:shd w:val="clear" w:color="auto" w:fill="auto"/>
            <w:noWrap/>
            <w:vAlign w:val="center"/>
            <w:hideMark/>
          </w:tcPr>
          <w:p w14:paraId="742F8BC6"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AZN</w:t>
            </w:r>
          </w:p>
        </w:tc>
        <w:tc>
          <w:tcPr>
            <w:tcW w:w="569" w:type="dxa"/>
            <w:tcBorders>
              <w:top w:val="single" w:sz="4" w:space="0" w:color="auto"/>
              <w:bottom w:val="single" w:sz="4" w:space="0" w:color="auto"/>
            </w:tcBorders>
            <w:shd w:val="clear" w:color="auto" w:fill="auto"/>
            <w:noWrap/>
            <w:vAlign w:val="center"/>
            <w:hideMark/>
          </w:tcPr>
          <w:p w14:paraId="5F122390"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ERY</w:t>
            </w:r>
          </w:p>
        </w:tc>
        <w:tc>
          <w:tcPr>
            <w:tcW w:w="458" w:type="dxa"/>
            <w:tcBorders>
              <w:top w:val="single" w:sz="4" w:space="0" w:color="auto"/>
              <w:bottom w:val="single" w:sz="4" w:space="0" w:color="auto"/>
            </w:tcBorders>
            <w:shd w:val="clear" w:color="auto" w:fill="auto"/>
            <w:noWrap/>
            <w:vAlign w:val="center"/>
            <w:hideMark/>
          </w:tcPr>
          <w:p w14:paraId="55EB363C"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NA</w:t>
            </w:r>
          </w:p>
        </w:tc>
        <w:tc>
          <w:tcPr>
            <w:tcW w:w="607" w:type="dxa"/>
            <w:tcBorders>
              <w:top w:val="single" w:sz="4" w:space="0" w:color="auto"/>
              <w:bottom w:val="single" w:sz="4" w:space="0" w:color="auto"/>
            </w:tcBorders>
            <w:shd w:val="clear" w:color="auto" w:fill="auto"/>
            <w:noWrap/>
            <w:vAlign w:val="center"/>
            <w:hideMark/>
          </w:tcPr>
          <w:p w14:paraId="3B8C7D5B"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NF</w:t>
            </w:r>
          </w:p>
        </w:tc>
        <w:tc>
          <w:tcPr>
            <w:tcW w:w="822" w:type="dxa"/>
            <w:tcBorders>
              <w:top w:val="single" w:sz="4" w:space="0" w:color="auto"/>
              <w:bottom w:val="single" w:sz="4" w:space="0" w:color="auto"/>
            </w:tcBorders>
            <w:vAlign w:val="center"/>
          </w:tcPr>
          <w:p w14:paraId="17B1D292" w14:textId="77777777" w:rsidR="00312116" w:rsidRPr="00AF1CA2" w:rsidRDefault="00312116" w:rsidP="00C36F97">
            <w:pPr>
              <w:rPr>
                <w:rFonts w:ascii="Arial" w:hAnsi="Arial" w:cs="Arial"/>
                <w:b/>
                <w:bCs/>
                <w:color w:val="000000"/>
                <w:sz w:val="18"/>
                <w:szCs w:val="18"/>
                <w:lang w:val="en-GB" w:eastAsia="en-GB"/>
              </w:rPr>
            </w:pPr>
            <w:r w:rsidRPr="00AF1CA2">
              <w:rPr>
                <w:rFonts w:ascii="Arial" w:hAnsi="Arial" w:cs="Arial"/>
                <w:b/>
                <w:bCs/>
                <w:color w:val="000000"/>
                <w:sz w:val="18"/>
                <w:szCs w:val="18"/>
                <w:lang w:val="en-GB" w:eastAsia="en-GB"/>
              </w:rPr>
              <w:t>MAR indices</w:t>
            </w:r>
          </w:p>
        </w:tc>
      </w:tr>
      <w:tr w:rsidR="00AF1CA2" w:rsidRPr="00AF1CA2" w14:paraId="0E016786" w14:textId="77777777" w:rsidTr="00AF1CA2">
        <w:trPr>
          <w:trHeight w:val="273"/>
        </w:trPr>
        <w:tc>
          <w:tcPr>
            <w:tcW w:w="1904" w:type="dxa"/>
            <w:tcBorders>
              <w:top w:val="single" w:sz="4" w:space="0" w:color="auto"/>
            </w:tcBorders>
            <w:shd w:val="clear" w:color="auto" w:fill="auto"/>
            <w:noWrap/>
            <w:vAlign w:val="center"/>
          </w:tcPr>
          <w:p w14:paraId="28E024A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Proteus mirabilis</w:t>
            </w:r>
          </w:p>
        </w:tc>
        <w:tc>
          <w:tcPr>
            <w:tcW w:w="558" w:type="dxa"/>
            <w:tcBorders>
              <w:top w:val="single" w:sz="4" w:space="0" w:color="auto"/>
            </w:tcBorders>
            <w:shd w:val="clear" w:color="auto" w:fill="auto"/>
            <w:noWrap/>
            <w:vAlign w:val="center"/>
          </w:tcPr>
          <w:p w14:paraId="39EB94C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tcBorders>
              <w:top w:val="single" w:sz="4" w:space="0" w:color="auto"/>
            </w:tcBorders>
            <w:shd w:val="clear" w:color="auto" w:fill="auto"/>
            <w:noWrap/>
            <w:vAlign w:val="center"/>
          </w:tcPr>
          <w:p w14:paraId="1DB77C4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tcBorders>
              <w:top w:val="single" w:sz="4" w:space="0" w:color="auto"/>
            </w:tcBorders>
            <w:shd w:val="clear" w:color="auto" w:fill="auto"/>
            <w:noWrap/>
            <w:vAlign w:val="center"/>
          </w:tcPr>
          <w:p w14:paraId="23274513"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tcBorders>
              <w:top w:val="single" w:sz="4" w:space="0" w:color="auto"/>
            </w:tcBorders>
            <w:shd w:val="clear" w:color="auto" w:fill="auto"/>
            <w:noWrap/>
            <w:vAlign w:val="center"/>
          </w:tcPr>
          <w:p w14:paraId="3491B3D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tcBorders>
              <w:top w:val="single" w:sz="4" w:space="0" w:color="auto"/>
            </w:tcBorders>
            <w:shd w:val="clear" w:color="auto" w:fill="auto"/>
            <w:noWrap/>
            <w:vAlign w:val="center"/>
          </w:tcPr>
          <w:p w14:paraId="54ADBD1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tcBorders>
              <w:top w:val="single" w:sz="4" w:space="0" w:color="auto"/>
            </w:tcBorders>
            <w:shd w:val="clear" w:color="auto" w:fill="auto"/>
            <w:noWrap/>
            <w:vAlign w:val="center"/>
          </w:tcPr>
          <w:p w14:paraId="283CD23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tcBorders>
              <w:top w:val="single" w:sz="4" w:space="0" w:color="auto"/>
            </w:tcBorders>
            <w:shd w:val="clear" w:color="auto" w:fill="auto"/>
            <w:noWrap/>
            <w:vAlign w:val="center"/>
          </w:tcPr>
          <w:p w14:paraId="405A1353"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tcBorders>
              <w:top w:val="single" w:sz="4" w:space="0" w:color="auto"/>
            </w:tcBorders>
            <w:shd w:val="clear" w:color="auto" w:fill="auto"/>
            <w:noWrap/>
            <w:vAlign w:val="center"/>
          </w:tcPr>
          <w:p w14:paraId="5AA4349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tcBorders>
              <w:top w:val="single" w:sz="4" w:space="0" w:color="auto"/>
            </w:tcBorders>
            <w:shd w:val="clear" w:color="auto" w:fill="auto"/>
            <w:noWrap/>
            <w:vAlign w:val="center"/>
          </w:tcPr>
          <w:p w14:paraId="68824BB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tcBorders>
              <w:top w:val="single" w:sz="4" w:space="0" w:color="auto"/>
            </w:tcBorders>
            <w:shd w:val="clear" w:color="auto" w:fill="auto"/>
            <w:noWrap/>
            <w:vAlign w:val="center"/>
          </w:tcPr>
          <w:p w14:paraId="69A0650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tcBorders>
              <w:top w:val="single" w:sz="4" w:space="0" w:color="auto"/>
            </w:tcBorders>
            <w:shd w:val="clear" w:color="auto" w:fill="auto"/>
            <w:noWrap/>
            <w:vAlign w:val="center"/>
          </w:tcPr>
          <w:p w14:paraId="4951AA4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tcBorders>
              <w:top w:val="single" w:sz="4" w:space="0" w:color="auto"/>
            </w:tcBorders>
            <w:shd w:val="clear" w:color="auto" w:fill="auto"/>
            <w:noWrap/>
            <w:vAlign w:val="center"/>
          </w:tcPr>
          <w:p w14:paraId="5CFEE1C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tcBorders>
              <w:top w:val="single" w:sz="4" w:space="0" w:color="auto"/>
            </w:tcBorders>
            <w:shd w:val="clear" w:color="auto" w:fill="auto"/>
            <w:noWrap/>
            <w:vAlign w:val="center"/>
          </w:tcPr>
          <w:p w14:paraId="392863A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tcBorders>
              <w:top w:val="single" w:sz="4" w:space="0" w:color="auto"/>
            </w:tcBorders>
            <w:shd w:val="clear" w:color="auto" w:fill="auto"/>
            <w:noWrap/>
            <w:vAlign w:val="center"/>
          </w:tcPr>
          <w:p w14:paraId="5D84387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tcBorders>
              <w:top w:val="single" w:sz="4" w:space="0" w:color="auto"/>
            </w:tcBorders>
            <w:shd w:val="clear" w:color="auto" w:fill="auto"/>
            <w:noWrap/>
            <w:vAlign w:val="center"/>
          </w:tcPr>
          <w:p w14:paraId="3477008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tcBorders>
              <w:top w:val="single" w:sz="4" w:space="0" w:color="auto"/>
            </w:tcBorders>
            <w:vAlign w:val="center"/>
          </w:tcPr>
          <w:p w14:paraId="545CFA7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0.80</w:t>
            </w:r>
          </w:p>
        </w:tc>
      </w:tr>
      <w:tr w:rsidR="00AF1CA2" w:rsidRPr="00AF1CA2" w14:paraId="677D56B1" w14:textId="77777777" w:rsidTr="00AF1CA2">
        <w:trPr>
          <w:trHeight w:val="273"/>
        </w:trPr>
        <w:tc>
          <w:tcPr>
            <w:tcW w:w="1904" w:type="dxa"/>
            <w:shd w:val="clear" w:color="auto" w:fill="auto"/>
            <w:noWrap/>
            <w:vAlign w:val="center"/>
          </w:tcPr>
          <w:p w14:paraId="66ED2D4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Proteus mirabilis</w:t>
            </w:r>
          </w:p>
        </w:tc>
        <w:tc>
          <w:tcPr>
            <w:tcW w:w="558" w:type="dxa"/>
            <w:shd w:val="clear" w:color="auto" w:fill="auto"/>
            <w:noWrap/>
            <w:vAlign w:val="center"/>
          </w:tcPr>
          <w:p w14:paraId="33F0214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1E39FBD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17E0B9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4B8E8B9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368D4E5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6602FB1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79" w:type="dxa"/>
            <w:shd w:val="clear" w:color="auto" w:fill="auto"/>
            <w:noWrap/>
            <w:vAlign w:val="center"/>
          </w:tcPr>
          <w:p w14:paraId="1B6807B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shd w:val="clear" w:color="auto" w:fill="auto"/>
            <w:noWrap/>
            <w:vAlign w:val="center"/>
          </w:tcPr>
          <w:p w14:paraId="00FBAC5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520FC22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41971FC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99" w:type="dxa"/>
            <w:shd w:val="clear" w:color="auto" w:fill="auto"/>
            <w:noWrap/>
            <w:vAlign w:val="center"/>
          </w:tcPr>
          <w:p w14:paraId="5DAA74D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6F51901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27115B0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5FDD2C6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42FE1D2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vAlign w:val="center"/>
          </w:tcPr>
          <w:p w14:paraId="29B0321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0.80</w:t>
            </w:r>
          </w:p>
        </w:tc>
      </w:tr>
      <w:tr w:rsidR="00AF1CA2" w:rsidRPr="00AF1CA2" w14:paraId="73847B3A" w14:textId="77777777" w:rsidTr="00AF1CA2">
        <w:trPr>
          <w:trHeight w:val="273"/>
        </w:trPr>
        <w:tc>
          <w:tcPr>
            <w:tcW w:w="1904" w:type="dxa"/>
            <w:shd w:val="clear" w:color="auto" w:fill="auto"/>
            <w:noWrap/>
            <w:vAlign w:val="center"/>
          </w:tcPr>
          <w:p w14:paraId="4E73BE0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Proteus alimentorum</w:t>
            </w:r>
          </w:p>
        </w:tc>
        <w:tc>
          <w:tcPr>
            <w:tcW w:w="558" w:type="dxa"/>
            <w:shd w:val="clear" w:color="auto" w:fill="auto"/>
            <w:noWrap/>
            <w:vAlign w:val="center"/>
          </w:tcPr>
          <w:p w14:paraId="494F25A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7C64808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6A4E8A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6F7F496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0130E23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4B634F7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79" w:type="dxa"/>
            <w:shd w:val="clear" w:color="auto" w:fill="auto"/>
            <w:noWrap/>
            <w:vAlign w:val="center"/>
          </w:tcPr>
          <w:p w14:paraId="3BED63C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shd w:val="clear" w:color="auto" w:fill="auto"/>
            <w:noWrap/>
            <w:vAlign w:val="center"/>
          </w:tcPr>
          <w:p w14:paraId="1D188CE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51E3213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117DE88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264EBA6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35517A6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11D08BD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0892991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7B06FDB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vAlign w:val="center"/>
          </w:tcPr>
          <w:p w14:paraId="5640157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0.80</w:t>
            </w:r>
          </w:p>
        </w:tc>
      </w:tr>
      <w:tr w:rsidR="00AF1CA2" w:rsidRPr="00AF1CA2" w14:paraId="39D6CAA4" w14:textId="77777777" w:rsidTr="00AF1CA2">
        <w:trPr>
          <w:trHeight w:val="273"/>
        </w:trPr>
        <w:tc>
          <w:tcPr>
            <w:tcW w:w="1904" w:type="dxa"/>
            <w:shd w:val="clear" w:color="auto" w:fill="auto"/>
            <w:noWrap/>
            <w:vAlign w:val="center"/>
          </w:tcPr>
          <w:p w14:paraId="3C7849B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Myroides odoratimimus</w:t>
            </w:r>
          </w:p>
        </w:tc>
        <w:tc>
          <w:tcPr>
            <w:tcW w:w="558" w:type="dxa"/>
            <w:shd w:val="clear" w:color="auto" w:fill="auto"/>
            <w:noWrap/>
            <w:vAlign w:val="center"/>
          </w:tcPr>
          <w:p w14:paraId="6DB0F62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8E1107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2D4253D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79" w:type="dxa"/>
            <w:shd w:val="clear" w:color="auto" w:fill="auto"/>
            <w:noWrap/>
            <w:vAlign w:val="center"/>
          </w:tcPr>
          <w:p w14:paraId="649837E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3EA6557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0E2A86D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10828A5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shd w:val="clear" w:color="auto" w:fill="auto"/>
            <w:noWrap/>
            <w:vAlign w:val="center"/>
          </w:tcPr>
          <w:p w14:paraId="7B020EF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1904C7A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676C859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494D1073"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2C7CE08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4DBE38D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15985B5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10F5D9E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42B5219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0.67</w:t>
            </w:r>
          </w:p>
        </w:tc>
      </w:tr>
      <w:tr w:rsidR="00AF1CA2" w:rsidRPr="00AF1CA2" w14:paraId="5606143B" w14:textId="77777777" w:rsidTr="00AF1CA2">
        <w:trPr>
          <w:trHeight w:val="273"/>
        </w:trPr>
        <w:tc>
          <w:tcPr>
            <w:tcW w:w="1904" w:type="dxa"/>
            <w:shd w:val="clear" w:color="auto" w:fill="auto"/>
            <w:noWrap/>
            <w:vAlign w:val="center"/>
          </w:tcPr>
          <w:p w14:paraId="0028CA2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Myroides odoratimimus</w:t>
            </w:r>
          </w:p>
        </w:tc>
        <w:tc>
          <w:tcPr>
            <w:tcW w:w="558" w:type="dxa"/>
            <w:shd w:val="clear" w:color="auto" w:fill="auto"/>
            <w:noWrap/>
            <w:vAlign w:val="center"/>
          </w:tcPr>
          <w:p w14:paraId="37E0D69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4795728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4B5800E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0A26B56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19" w:type="dxa"/>
            <w:shd w:val="clear" w:color="auto" w:fill="auto"/>
            <w:noWrap/>
            <w:vAlign w:val="center"/>
          </w:tcPr>
          <w:p w14:paraId="0A09AEA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307CD5D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79" w:type="dxa"/>
            <w:shd w:val="clear" w:color="auto" w:fill="auto"/>
            <w:noWrap/>
            <w:vAlign w:val="center"/>
          </w:tcPr>
          <w:p w14:paraId="4023746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2B35D6E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4B82584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6282498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3B4BABC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610A45D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6227153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58" w:type="dxa"/>
            <w:shd w:val="clear" w:color="auto" w:fill="auto"/>
            <w:noWrap/>
            <w:vAlign w:val="center"/>
          </w:tcPr>
          <w:p w14:paraId="1064AD7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shd w:val="clear" w:color="auto" w:fill="auto"/>
            <w:noWrap/>
            <w:vAlign w:val="center"/>
          </w:tcPr>
          <w:p w14:paraId="015FEF6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586FD9D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0.47</w:t>
            </w:r>
          </w:p>
        </w:tc>
      </w:tr>
      <w:tr w:rsidR="00AF1CA2" w:rsidRPr="00AF1CA2" w14:paraId="4F7CC8AB" w14:textId="77777777" w:rsidTr="00AF1CA2">
        <w:trPr>
          <w:trHeight w:val="273"/>
        </w:trPr>
        <w:tc>
          <w:tcPr>
            <w:tcW w:w="1904" w:type="dxa"/>
            <w:shd w:val="clear" w:color="auto" w:fill="auto"/>
            <w:noWrap/>
            <w:vAlign w:val="center"/>
          </w:tcPr>
          <w:p w14:paraId="4243070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Kosakonia quasisacchari</w:t>
            </w:r>
          </w:p>
        </w:tc>
        <w:tc>
          <w:tcPr>
            <w:tcW w:w="558" w:type="dxa"/>
            <w:shd w:val="clear" w:color="auto" w:fill="auto"/>
            <w:noWrap/>
            <w:vAlign w:val="center"/>
          </w:tcPr>
          <w:p w14:paraId="2071917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FE5D6E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6F72F60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2855194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63B85FA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3339C0B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49A1FCE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6670D38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116FF48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0F04BD0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43D3A0A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28C7504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0160A32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7360727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shd w:val="clear" w:color="auto" w:fill="auto"/>
            <w:noWrap/>
            <w:vAlign w:val="center"/>
          </w:tcPr>
          <w:p w14:paraId="56157616"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10600A6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0.73</w:t>
            </w:r>
          </w:p>
        </w:tc>
      </w:tr>
      <w:tr w:rsidR="00AF1CA2" w:rsidRPr="00AF1CA2" w14:paraId="4008C6BA" w14:textId="77777777" w:rsidTr="00AF1CA2">
        <w:trPr>
          <w:trHeight w:val="273"/>
        </w:trPr>
        <w:tc>
          <w:tcPr>
            <w:tcW w:w="1904" w:type="dxa"/>
            <w:shd w:val="clear" w:color="auto" w:fill="auto"/>
            <w:noWrap/>
            <w:vAlign w:val="center"/>
          </w:tcPr>
          <w:p w14:paraId="012B367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lastRenderedPageBreak/>
              <w:t>Kosakonia quasisacchari</w:t>
            </w:r>
          </w:p>
        </w:tc>
        <w:tc>
          <w:tcPr>
            <w:tcW w:w="558" w:type="dxa"/>
            <w:shd w:val="clear" w:color="auto" w:fill="auto"/>
            <w:noWrap/>
            <w:vAlign w:val="center"/>
          </w:tcPr>
          <w:p w14:paraId="71D6489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44AC2B1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1BFCF89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52D9119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6C84C72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CD9730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7D1E5BD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10B6E6F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53C7FFE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3AB211A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99" w:type="dxa"/>
            <w:shd w:val="clear" w:color="auto" w:fill="auto"/>
            <w:noWrap/>
            <w:vAlign w:val="center"/>
          </w:tcPr>
          <w:p w14:paraId="5C5BCC0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48AEB6E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71AC9D8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06233DE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110B5B7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vAlign w:val="center"/>
          </w:tcPr>
          <w:p w14:paraId="7BC141D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0.67</w:t>
            </w:r>
          </w:p>
        </w:tc>
      </w:tr>
      <w:tr w:rsidR="00AF1CA2" w:rsidRPr="00AF1CA2" w14:paraId="6D9D80FD" w14:textId="77777777" w:rsidTr="00AF1CA2">
        <w:trPr>
          <w:trHeight w:val="273"/>
        </w:trPr>
        <w:tc>
          <w:tcPr>
            <w:tcW w:w="1904" w:type="dxa"/>
            <w:shd w:val="clear" w:color="auto" w:fill="auto"/>
            <w:noWrap/>
            <w:vAlign w:val="center"/>
          </w:tcPr>
          <w:p w14:paraId="2BBCA8C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Flavobacterium tibetense</w:t>
            </w:r>
          </w:p>
        </w:tc>
        <w:tc>
          <w:tcPr>
            <w:tcW w:w="558" w:type="dxa"/>
            <w:shd w:val="clear" w:color="auto" w:fill="auto"/>
            <w:noWrap/>
            <w:vAlign w:val="center"/>
          </w:tcPr>
          <w:p w14:paraId="7FA2F67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29D6F55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68F2C6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2DA63EE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5DC92B6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0993847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7B4E500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066010B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2E6E8BC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61F64EA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413531D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30C4F92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0F96A83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58" w:type="dxa"/>
            <w:shd w:val="clear" w:color="auto" w:fill="auto"/>
            <w:noWrap/>
            <w:vAlign w:val="center"/>
          </w:tcPr>
          <w:p w14:paraId="21C0A43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shd w:val="clear" w:color="auto" w:fill="auto"/>
            <w:noWrap/>
            <w:vAlign w:val="center"/>
          </w:tcPr>
          <w:p w14:paraId="7668C87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2CDE778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0.53</w:t>
            </w:r>
          </w:p>
        </w:tc>
      </w:tr>
      <w:tr w:rsidR="00AF1CA2" w:rsidRPr="00AF1CA2" w14:paraId="31558AF3" w14:textId="77777777" w:rsidTr="00AF1CA2">
        <w:trPr>
          <w:trHeight w:val="273"/>
        </w:trPr>
        <w:tc>
          <w:tcPr>
            <w:tcW w:w="1904" w:type="dxa"/>
            <w:shd w:val="clear" w:color="auto" w:fill="auto"/>
            <w:noWrap/>
            <w:vAlign w:val="center"/>
          </w:tcPr>
          <w:p w14:paraId="4E6A5428"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Citrobacter cronae</w:t>
            </w:r>
          </w:p>
        </w:tc>
        <w:tc>
          <w:tcPr>
            <w:tcW w:w="558" w:type="dxa"/>
            <w:shd w:val="clear" w:color="auto" w:fill="auto"/>
            <w:noWrap/>
            <w:vAlign w:val="center"/>
          </w:tcPr>
          <w:p w14:paraId="602B723F"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7DCAD46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6943FE8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7088BCB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19" w:type="dxa"/>
            <w:shd w:val="clear" w:color="auto" w:fill="auto"/>
            <w:noWrap/>
            <w:vAlign w:val="center"/>
          </w:tcPr>
          <w:p w14:paraId="48BD78E0"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99" w:type="dxa"/>
            <w:shd w:val="clear" w:color="auto" w:fill="auto"/>
            <w:noWrap/>
            <w:vAlign w:val="center"/>
          </w:tcPr>
          <w:p w14:paraId="27D2F78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636EBAD3"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68" w:type="dxa"/>
            <w:shd w:val="clear" w:color="auto" w:fill="auto"/>
            <w:noWrap/>
            <w:vAlign w:val="center"/>
          </w:tcPr>
          <w:p w14:paraId="2A02271E"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2FA3640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2A41D20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3A238D8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00F8F08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693009E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58" w:type="dxa"/>
            <w:shd w:val="clear" w:color="auto" w:fill="auto"/>
            <w:noWrap/>
            <w:vAlign w:val="center"/>
          </w:tcPr>
          <w:p w14:paraId="72F9298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607" w:type="dxa"/>
            <w:shd w:val="clear" w:color="auto" w:fill="auto"/>
            <w:noWrap/>
            <w:vAlign w:val="center"/>
          </w:tcPr>
          <w:p w14:paraId="5BBBFFD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822" w:type="dxa"/>
            <w:vAlign w:val="center"/>
          </w:tcPr>
          <w:p w14:paraId="565260B9"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0.47</w:t>
            </w:r>
          </w:p>
        </w:tc>
      </w:tr>
      <w:tr w:rsidR="00AF1CA2" w:rsidRPr="00AF1CA2" w14:paraId="73170257" w14:textId="77777777" w:rsidTr="00AF1CA2">
        <w:trPr>
          <w:trHeight w:val="273"/>
        </w:trPr>
        <w:tc>
          <w:tcPr>
            <w:tcW w:w="1904" w:type="dxa"/>
            <w:shd w:val="clear" w:color="auto" w:fill="auto"/>
            <w:noWrap/>
            <w:vAlign w:val="center"/>
          </w:tcPr>
          <w:p w14:paraId="39C05BC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i/>
                <w:iCs/>
                <w:sz w:val="18"/>
                <w:szCs w:val="18"/>
              </w:rPr>
              <w:t>Providencia huaxiensis</w:t>
            </w:r>
          </w:p>
        </w:tc>
        <w:tc>
          <w:tcPr>
            <w:tcW w:w="558" w:type="dxa"/>
            <w:shd w:val="clear" w:color="auto" w:fill="auto"/>
            <w:noWrap/>
            <w:vAlign w:val="center"/>
          </w:tcPr>
          <w:p w14:paraId="238DB06B"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0DB5CB8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124D6E3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3F89A64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19" w:type="dxa"/>
            <w:shd w:val="clear" w:color="auto" w:fill="auto"/>
            <w:noWrap/>
            <w:vAlign w:val="center"/>
          </w:tcPr>
          <w:p w14:paraId="1EBC75B1"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99" w:type="dxa"/>
            <w:shd w:val="clear" w:color="auto" w:fill="auto"/>
            <w:noWrap/>
            <w:vAlign w:val="center"/>
          </w:tcPr>
          <w:p w14:paraId="3EFBCBD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79" w:type="dxa"/>
            <w:shd w:val="clear" w:color="auto" w:fill="auto"/>
            <w:noWrap/>
            <w:vAlign w:val="center"/>
          </w:tcPr>
          <w:p w14:paraId="5CC8987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468" w:type="dxa"/>
            <w:shd w:val="clear" w:color="auto" w:fill="auto"/>
            <w:noWrap/>
            <w:vAlign w:val="center"/>
          </w:tcPr>
          <w:p w14:paraId="168E6D32"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70FFC7B7"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S</w:t>
            </w:r>
          </w:p>
        </w:tc>
        <w:tc>
          <w:tcPr>
            <w:tcW w:w="569" w:type="dxa"/>
            <w:shd w:val="clear" w:color="auto" w:fill="auto"/>
            <w:noWrap/>
            <w:vAlign w:val="center"/>
          </w:tcPr>
          <w:p w14:paraId="1F9DAC4C"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99" w:type="dxa"/>
            <w:shd w:val="clear" w:color="auto" w:fill="auto"/>
            <w:noWrap/>
            <w:vAlign w:val="center"/>
          </w:tcPr>
          <w:p w14:paraId="7EE799FA"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160AF8C5"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569" w:type="dxa"/>
            <w:shd w:val="clear" w:color="auto" w:fill="auto"/>
            <w:noWrap/>
            <w:vAlign w:val="center"/>
          </w:tcPr>
          <w:p w14:paraId="3DF6553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458" w:type="dxa"/>
            <w:shd w:val="clear" w:color="auto" w:fill="auto"/>
            <w:noWrap/>
            <w:vAlign w:val="center"/>
          </w:tcPr>
          <w:p w14:paraId="2E30DD6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607" w:type="dxa"/>
            <w:shd w:val="clear" w:color="auto" w:fill="auto"/>
            <w:noWrap/>
            <w:vAlign w:val="center"/>
          </w:tcPr>
          <w:p w14:paraId="23AB7764"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R</w:t>
            </w:r>
          </w:p>
        </w:tc>
        <w:tc>
          <w:tcPr>
            <w:tcW w:w="822" w:type="dxa"/>
            <w:vAlign w:val="center"/>
          </w:tcPr>
          <w:p w14:paraId="040FF42D" w14:textId="77777777" w:rsidR="00312116" w:rsidRPr="00AF1CA2" w:rsidRDefault="00312116" w:rsidP="00C36F97">
            <w:pPr>
              <w:rPr>
                <w:rFonts w:ascii="Arial" w:hAnsi="Arial" w:cs="Arial"/>
                <w:color w:val="000000"/>
                <w:sz w:val="18"/>
                <w:szCs w:val="18"/>
                <w:lang w:val="en-GB" w:eastAsia="en-GB"/>
              </w:rPr>
            </w:pPr>
            <w:r w:rsidRPr="00AF1CA2">
              <w:rPr>
                <w:rFonts w:ascii="Arial" w:hAnsi="Arial" w:cs="Arial"/>
                <w:color w:val="000000"/>
                <w:sz w:val="18"/>
                <w:szCs w:val="18"/>
                <w:lang w:val="en-GB" w:eastAsia="en-GB"/>
              </w:rPr>
              <w:t>0.80</w:t>
            </w:r>
          </w:p>
        </w:tc>
      </w:tr>
    </w:tbl>
    <w:p w14:paraId="54C1B2F3" w14:textId="717A3F85" w:rsidR="00312116" w:rsidRPr="00312116" w:rsidRDefault="00312116" w:rsidP="00312116">
      <w:pPr>
        <w:jc w:val="both"/>
        <w:rPr>
          <w:rFonts w:ascii="Arial" w:hAnsi="Arial" w:cs="Arial"/>
          <w:bCs/>
          <w:i/>
          <w:iCs/>
        </w:rPr>
      </w:pPr>
      <w:r>
        <w:rPr>
          <w:rFonts w:ascii="Arial" w:eastAsia="Calibri" w:hAnsi="Arial" w:cs="Arial"/>
          <w:bCs/>
          <w:i/>
          <w:iCs/>
        </w:rPr>
        <w:t>*</w:t>
      </w:r>
      <w:r w:rsidRPr="00312116">
        <w:rPr>
          <w:rFonts w:ascii="Arial" w:eastAsia="Calibri" w:hAnsi="Arial" w:cs="Arial"/>
          <w:bCs/>
          <w:i/>
          <w:iCs/>
        </w:rPr>
        <w:t xml:space="preserve">Penicillins: </w:t>
      </w:r>
      <w:r w:rsidRPr="00312116">
        <w:rPr>
          <w:rFonts w:ascii="Arial" w:eastAsia="Calibri" w:hAnsi="Arial" w:cs="Arial"/>
          <w:b/>
          <w:i/>
          <w:iCs/>
        </w:rPr>
        <w:t>Ampiclox</w:t>
      </w:r>
      <w:r w:rsidRPr="00312116">
        <w:rPr>
          <w:rFonts w:ascii="Arial" w:eastAsia="Calibri" w:hAnsi="Arial" w:cs="Arial"/>
          <w:bCs/>
          <w:i/>
          <w:iCs/>
        </w:rPr>
        <w:t xml:space="preserve"> (ACX) - Ampicillin + Cloxacillin, Amoxicillin clavulanate (AUG) -Amoxicillin + Clavulanic Acid, </w:t>
      </w:r>
      <w:r w:rsidRPr="00312116">
        <w:rPr>
          <w:rFonts w:ascii="Arial" w:eastAsia="Calibri" w:hAnsi="Arial" w:cs="Arial"/>
          <w:b/>
          <w:i/>
          <w:iCs/>
        </w:rPr>
        <w:t xml:space="preserve">Cephalosporins: </w:t>
      </w:r>
      <w:r w:rsidRPr="00312116">
        <w:rPr>
          <w:rFonts w:ascii="Arial" w:eastAsia="Calibri" w:hAnsi="Arial" w:cs="Arial"/>
          <w:bCs/>
          <w:i/>
          <w:iCs/>
        </w:rPr>
        <w:t xml:space="preserve">Cefotaxime (CTX), Ceftriaxone sulbactam (CRO), Cefexime (ZEM), Cefuroxime (CXM), </w:t>
      </w:r>
      <w:r w:rsidRPr="00312116">
        <w:rPr>
          <w:rFonts w:ascii="Arial" w:eastAsia="Calibri" w:hAnsi="Arial" w:cs="Arial"/>
          <w:b/>
          <w:i/>
          <w:iCs/>
        </w:rPr>
        <w:t xml:space="preserve">Carbapenems: </w:t>
      </w:r>
      <w:r w:rsidRPr="00312116">
        <w:rPr>
          <w:rFonts w:ascii="Arial" w:eastAsia="Calibri" w:hAnsi="Arial" w:cs="Arial"/>
          <w:bCs/>
          <w:i/>
          <w:iCs/>
        </w:rPr>
        <w:t xml:space="preserve">Imipenem/Cilastatin (IMP), </w:t>
      </w:r>
      <w:r w:rsidRPr="00312116">
        <w:rPr>
          <w:rFonts w:ascii="Arial" w:eastAsia="Calibri" w:hAnsi="Arial" w:cs="Arial"/>
          <w:b/>
          <w:i/>
          <w:iCs/>
        </w:rPr>
        <w:t>Fluoroquinolones</w:t>
      </w:r>
      <w:r w:rsidRPr="00312116">
        <w:rPr>
          <w:rFonts w:ascii="Arial" w:eastAsia="Calibri" w:hAnsi="Arial" w:cs="Arial"/>
          <w:bCs/>
          <w:i/>
          <w:iCs/>
        </w:rPr>
        <w:t xml:space="preserve">: Ofloxacin (OFX), Levofloxacin (LBC), Ciprofloxacin (CIP), </w:t>
      </w:r>
      <w:r w:rsidRPr="00312116">
        <w:rPr>
          <w:rFonts w:ascii="Arial" w:eastAsia="Calibri" w:hAnsi="Arial" w:cs="Arial"/>
          <w:b/>
          <w:i/>
          <w:iCs/>
        </w:rPr>
        <w:t>Macrolides</w:t>
      </w:r>
      <w:r w:rsidRPr="00312116">
        <w:rPr>
          <w:rFonts w:ascii="Arial" w:eastAsia="Calibri" w:hAnsi="Arial" w:cs="Arial"/>
          <w:bCs/>
          <w:i/>
          <w:iCs/>
        </w:rPr>
        <w:t xml:space="preserve">: Azithromycin (AZN), Erythromycin (ERY), </w:t>
      </w:r>
      <w:r w:rsidRPr="00312116">
        <w:rPr>
          <w:rFonts w:ascii="Arial" w:eastAsia="Calibri" w:hAnsi="Arial" w:cs="Arial"/>
          <w:b/>
          <w:i/>
          <w:iCs/>
        </w:rPr>
        <w:t>Aminoglycosides</w:t>
      </w:r>
      <w:r w:rsidRPr="00312116">
        <w:rPr>
          <w:rFonts w:ascii="Arial" w:eastAsia="Calibri" w:hAnsi="Arial" w:cs="Arial"/>
          <w:bCs/>
          <w:i/>
          <w:iCs/>
        </w:rPr>
        <w:t xml:space="preserve">: Gentamicin (GN), Nitrofuran Derivatives: Nitrofurantoin (NF), </w:t>
      </w:r>
      <w:r w:rsidRPr="00312116">
        <w:rPr>
          <w:rFonts w:ascii="Arial" w:eastAsia="Calibri" w:hAnsi="Arial" w:cs="Arial"/>
          <w:b/>
          <w:i/>
          <w:iCs/>
        </w:rPr>
        <w:t>Quinolones</w:t>
      </w:r>
      <w:r w:rsidRPr="00312116">
        <w:rPr>
          <w:rFonts w:ascii="Arial" w:eastAsia="Calibri" w:hAnsi="Arial" w:cs="Arial"/>
          <w:bCs/>
          <w:i/>
          <w:iCs/>
        </w:rPr>
        <w:t>: Nalidixic Acid (NA)</w:t>
      </w:r>
    </w:p>
    <w:p w14:paraId="6079379B" w14:textId="77777777" w:rsidR="00AF1CA2" w:rsidRDefault="00AF1CA2" w:rsidP="00312116">
      <w:pPr>
        <w:pStyle w:val="Body"/>
        <w:spacing w:after="0"/>
        <w:rPr>
          <w:rFonts w:ascii="Arial" w:hAnsi="Arial" w:cs="Arial"/>
          <w:b/>
          <w:caps/>
          <w:sz w:val="22"/>
        </w:rPr>
      </w:pPr>
    </w:p>
    <w:p w14:paraId="3C97466A" w14:textId="4AF6286A" w:rsidR="00312116" w:rsidRDefault="00312116" w:rsidP="00312116">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197EEE">
        <w:rPr>
          <w:rFonts w:ascii="Arial" w:hAnsi="Arial" w:cs="Arial"/>
          <w:b/>
          <w:sz w:val="22"/>
        </w:rPr>
        <w:t>Antimicrobial Resistan</w:t>
      </w:r>
      <w:r>
        <w:rPr>
          <w:rFonts w:ascii="Arial" w:hAnsi="Arial" w:cs="Arial"/>
          <w:b/>
          <w:sz w:val="22"/>
        </w:rPr>
        <w:t>t Genes Detected</w:t>
      </w:r>
    </w:p>
    <w:p w14:paraId="12752EC5" w14:textId="77777777" w:rsidR="00312116" w:rsidRDefault="00312116" w:rsidP="00312116">
      <w:pPr>
        <w:pStyle w:val="Body"/>
        <w:spacing w:after="0"/>
        <w:rPr>
          <w:rFonts w:ascii="Arial" w:hAnsi="Arial" w:cs="Arial"/>
        </w:rPr>
      </w:pPr>
    </w:p>
    <w:p w14:paraId="4DEA949D" w14:textId="45D6BE6A" w:rsidR="00312116" w:rsidRDefault="00312116" w:rsidP="00312116">
      <w:pPr>
        <w:pStyle w:val="Body"/>
        <w:spacing w:after="0"/>
        <w:rPr>
          <w:rFonts w:ascii="Arial" w:hAnsi="Arial" w:cs="Arial"/>
          <w:bCs/>
        </w:rPr>
      </w:pPr>
      <w:r w:rsidRPr="00312116">
        <w:rPr>
          <w:rFonts w:ascii="Arial" w:hAnsi="Arial" w:cs="Arial"/>
          <w:bCs/>
        </w:rPr>
        <w:t xml:space="preserve">PCR assays targeting </w:t>
      </w:r>
      <w:r w:rsidR="00DB227C" w:rsidRPr="00DB227C">
        <w:rPr>
          <w:rFonts w:ascii="Arial" w:hAnsi="Arial" w:cs="Arial"/>
          <w:bCs/>
          <w:i/>
          <w:iCs/>
        </w:rPr>
        <w:t>bla</w:t>
      </w:r>
      <w:r w:rsidRPr="00DB227C">
        <w:rPr>
          <w:rFonts w:ascii="Arial" w:hAnsi="Arial" w:cs="Arial"/>
          <w:bCs/>
          <w:i/>
          <w:iCs/>
          <w:vertAlign w:val="subscript"/>
        </w:rPr>
        <w:t>TEM</w:t>
      </w:r>
      <w:r w:rsidRPr="00312116">
        <w:rPr>
          <w:rFonts w:ascii="Arial" w:hAnsi="Arial" w:cs="Arial"/>
          <w:bCs/>
        </w:rPr>
        <w:t xml:space="preserve"> resistance genes resulted in specific amplicons of the expected sizes while </w:t>
      </w:r>
      <w:r w:rsidR="00DB227C" w:rsidRPr="00DB227C">
        <w:rPr>
          <w:rFonts w:ascii="Arial" w:hAnsi="Arial" w:cs="Arial"/>
          <w:bCs/>
          <w:i/>
          <w:iCs/>
        </w:rPr>
        <w:t>bla</w:t>
      </w:r>
      <w:r w:rsidRPr="00DB227C">
        <w:rPr>
          <w:rFonts w:ascii="Arial" w:hAnsi="Arial" w:cs="Arial"/>
          <w:bCs/>
          <w:i/>
          <w:iCs/>
          <w:vertAlign w:val="subscript"/>
        </w:rPr>
        <w:t>SHV</w:t>
      </w:r>
      <w:r w:rsidRPr="00312116">
        <w:rPr>
          <w:rFonts w:ascii="Arial" w:hAnsi="Arial" w:cs="Arial"/>
          <w:bCs/>
        </w:rPr>
        <w:t xml:space="preserve"> showed no amplification. Gel electrophoresis confirmed the presence of these resistance genes in the bacterial cultures, providing insights into their antibiotic resistance profiles [</w:t>
      </w:r>
      <w:r w:rsidR="00AF1CA2" w:rsidRPr="00DB227C">
        <w:rPr>
          <w:rFonts w:ascii="Arial" w:hAnsi="Arial" w:cs="Arial"/>
          <w:b/>
        </w:rPr>
        <w:t xml:space="preserve">Fig. 5 </w:t>
      </w:r>
      <w:r w:rsidR="00AF1CA2" w:rsidRPr="00DB227C">
        <w:rPr>
          <w:rFonts w:ascii="Arial" w:hAnsi="Arial" w:cs="Arial"/>
          <w:bCs/>
        </w:rPr>
        <w:t>and</w:t>
      </w:r>
      <w:r w:rsidR="00AF1CA2" w:rsidRPr="00DB227C">
        <w:rPr>
          <w:rFonts w:ascii="Arial" w:hAnsi="Arial" w:cs="Arial"/>
          <w:b/>
        </w:rPr>
        <w:t xml:space="preserve"> 6</w:t>
      </w:r>
      <w:r w:rsidRPr="00312116">
        <w:rPr>
          <w:rFonts w:ascii="Arial" w:hAnsi="Arial" w:cs="Arial"/>
          <w:bCs/>
        </w:rPr>
        <w:t>]. The prevalence of beta</w:t>
      </w:r>
      <w:r w:rsidR="00AF1CA2">
        <w:rPr>
          <w:rFonts w:ascii="Arial" w:hAnsi="Arial" w:cs="Arial"/>
          <w:bCs/>
        </w:rPr>
        <w:t>-</w:t>
      </w:r>
      <w:r w:rsidRPr="00312116">
        <w:rPr>
          <w:rFonts w:ascii="Arial" w:hAnsi="Arial" w:cs="Arial"/>
          <w:bCs/>
        </w:rPr>
        <w:t xml:space="preserve">lactamase genes that were detected is shown in </w:t>
      </w:r>
      <w:r w:rsidR="00AF1CA2" w:rsidRPr="00AF1CA2">
        <w:rPr>
          <w:rFonts w:ascii="Arial" w:hAnsi="Arial" w:cs="Arial"/>
          <w:b/>
        </w:rPr>
        <w:t>Fig 7</w:t>
      </w:r>
      <w:r w:rsidRPr="00312116">
        <w:rPr>
          <w:rFonts w:ascii="Arial" w:hAnsi="Arial" w:cs="Arial"/>
          <w:bCs/>
        </w:rPr>
        <w:t xml:space="preserve">. There was a significant burden (p=0.0002) of the </w:t>
      </w:r>
      <w:r w:rsidRPr="00DB227C">
        <w:rPr>
          <w:rFonts w:ascii="Arial" w:hAnsi="Arial" w:cs="Arial"/>
          <w:bCs/>
          <w:i/>
          <w:iCs/>
        </w:rPr>
        <w:t>bla</w:t>
      </w:r>
      <w:r w:rsidRPr="00DB227C">
        <w:rPr>
          <w:rFonts w:ascii="Arial" w:hAnsi="Arial" w:cs="Arial"/>
          <w:bCs/>
          <w:i/>
          <w:iCs/>
          <w:vertAlign w:val="subscript"/>
        </w:rPr>
        <w:t>TEM</w:t>
      </w:r>
      <w:r w:rsidRPr="00312116">
        <w:rPr>
          <w:rFonts w:ascii="Arial" w:hAnsi="Arial" w:cs="Arial"/>
          <w:bCs/>
        </w:rPr>
        <w:t xml:space="preserve"> gene observed in the Obio/Akpor LGA 7 (63.4%) than the PHC LGA 4 (36.6%). </w:t>
      </w:r>
    </w:p>
    <w:p w14:paraId="64116A7B" w14:textId="77777777" w:rsidR="00312116" w:rsidRDefault="00312116" w:rsidP="00312116">
      <w:pPr>
        <w:pStyle w:val="Body"/>
        <w:spacing w:after="0"/>
        <w:rPr>
          <w:rFonts w:ascii="Arial" w:hAnsi="Arial" w:cs="Arial"/>
          <w:bCs/>
        </w:rPr>
      </w:pPr>
    </w:p>
    <w:p w14:paraId="3C1B579C" w14:textId="77777777" w:rsidR="00312116" w:rsidRDefault="00312116" w:rsidP="00312116">
      <w:pPr>
        <w:pStyle w:val="Body"/>
        <w:spacing w:after="0"/>
        <w:rPr>
          <w:rFonts w:ascii="Arial" w:hAnsi="Arial" w:cs="Arial"/>
          <w:bCs/>
        </w:rPr>
      </w:pPr>
    </w:p>
    <w:p w14:paraId="1FBF9FED" w14:textId="77777777" w:rsidR="00312116" w:rsidRPr="007E73E6" w:rsidRDefault="00312116" w:rsidP="00312116">
      <w:pPr>
        <w:spacing w:line="360" w:lineRule="auto"/>
        <w:jc w:val="both"/>
        <w:rPr>
          <w:rFonts w:ascii="Times New Roman" w:hAnsi="Times New Roman"/>
          <w:sz w:val="24"/>
          <w:szCs w:val="24"/>
        </w:rPr>
      </w:pPr>
      <w:r w:rsidRPr="005C340A">
        <w:rPr>
          <w:rFonts w:ascii="Times New Roman" w:hAnsi="Times New Roman"/>
          <w:noProof/>
          <w:sz w:val="24"/>
          <w:szCs w:val="24"/>
        </w:rPr>
        <w:drawing>
          <wp:inline distT="0" distB="0" distL="0" distR="0" wp14:anchorId="2F8732F3" wp14:editId="19C70AFE">
            <wp:extent cx="5078437" cy="2018353"/>
            <wp:effectExtent l="0" t="0" r="0" b="0"/>
            <wp:docPr id="9" name="Picture 8" descr="A close up of a screen&#10;&#10;Description automatically generated">
              <a:extLst xmlns:a="http://schemas.openxmlformats.org/drawingml/2006/main">
                <a:ext uri="{FF2B5EF4-FFF2-40B4-BE49-F238E27FC236}">
                  <a16:creationId xmlns:a16="http://schemas.microsoft.com/office/drawing/2014/main" id="{263784EB-3813-DC94-00B8-29C32ACD7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creen&#10;&#10;Description automatically generated">
                      <a:extLst>
                        <a:ext uri="{FF2B5EF4-FFF2-40B4-BE49-F238E27FC236}">
                          <a16:creationId xmlns:a16="http://schemas.microsoft.com/office/drawing/2014/main" id="{263784EB-3813-DC94-00B8-29C32ACD7FDE}"/>
                        </a:ext>
                      </a:extLst>
                    </pic:cNvPr>
                    <pic:cNvPicPr>
                      <a:picLocks noChangeAspect="1"/>
                    </pic:cNvPicPr>
                  </pic:nvPicPr>
                  <pic:blipFill rotWithShape="1">
                    <a:blip r:embed="rId14"/>
                    <a:srcRect t="15995" r="925" b="6616"/>
                    <a:stretch/>
                  </pic:blipFill>
                  <pic:spPr bwMode="auto">
                    <a:xfrm>
                      <a:off x="0" y="0"/>
                      <a:ext cx="5089575" cy="2022780"/>
                    </a:xfrm>
                    <a:prstGeom prst="rect">
                      <a:avLst/>
                    </a:prstGeom>
                    <a:ln>
                      <a:noFill/>
                    </a:ln>
                    <a:extLst>
                      <a:ext uri="{53640926-AAD7-44D8-BBD7-CCE9431645EC}">
                        <a14:shadowObscured xmlns:a14="http://schemas.microsoft.com/office/drawing/2010/main"/>
                      </a:ext>
                    </a:extLst>
                  </pic:spPr>
                </pic:pic>
              </a:graphicData>
            </a:graphic>
          </wp:inline>
        </w:drawing>
      </w:r>
    </w:p>
    <w:p w14:paraId="2410CF56" w14:textId="43C738AB" w:rsidR="00AF1CA2" w:rsidRDefault="00312116" w:rsidP="00312116">
      <w:pPr>
        <w:rPr>
          <w:rFonts w:ascii="Arial" w:hAnsi="Arial" w:cs="Arial"/>
        </w:rPr>
      </w:pPr>
      <w:r>
        <w:rPr>
          <w:rFonts w:ascii="Arial" w:hAnsi="Arial" w:cs="Arial"/>
          <w:b/>
          <w:bCs/>
        </w:rPr>
        <w:t>F</w:t>
      </w:r>
      <w:r w:rsidR="00AF1CA2">
        <w:rPr>
          <w:rFonts w:ascii="Arial" w:hAnsi="Arial" w:cs="Arial"/>
          <w:b/>
          <w:bCs/>
        </w:rPr>
        <w:t>ig.</w:t>
      </w:r>
      <w:r w:rsidRPr="00312116">
        <w:rPr>
          <w:rFonts w:ascii="Arial" w:hAnsi="Arial" w:cs="Arial"/>
          <w:b/>
          <w:bCs/>
        </w:rPr>
        <w:t xml:space="preserve"> </w:t>
      </w:r>
      <w:r>
        <w:rPr>
          <w:rFonts w:ascii="Arial" w:hAnsi="Arial" w:cs="Arial"/>
          <w:b/>
          <w:bCs/>
        </w:rPr>
        <w:t>5.</w:t>
      </w:r>
      <w:r w:rsidRPr="00312116">
        <w:rPr>
          <w:rFonts w:ascii="Arial" w:hAnsi="Arial" w:cs="Arial"/>
          <w:b/>
          <w:bCs/>
        </w:rPr>
        <w:t xml:space="preserve"> Bands Positive for </w:t>
      </w:r>
      <w:r w:rsidR="00DB227C" w:rsidRPr="00DB227C">
        <w:rPr>
          <w:rFonts w:ascii="Arial" w:hAnsi="Arial" w:cs="Arial"/>
          <w:b/>
          <w:bCs/>
          <w:i/>
          <w:iCs/>
        </w:rPr>
        <w:t>bla</w:t>
      </w:r>
      <w:r w:rsidRPr="00DB227C">
        <w:rPr>
          <w:rFonts w:ascii="Arial" w:hAnsi="Arial" w:cs="Arial"/>
          <w:b/>
          <w:bCs/>
          <w:i/>
          <w:iCs/>
          <w:vertAlign w:val="subscript"/>
        </w:rPr>
        <w:t>TEM</w:t>
      </w:r>
      <w:r w:rsidRPr="00312116">
        <w:rPr>
          <w:rFonts w:ascii="Arial" w:hAnsi="Arial" w:cs="Arial"/>
          <w:b/>
          <w:bCs/>
        </w:rPr>
        <w:t xml:space="preserve"> Antimicrobial Genes.</w:t>
      </w:r>
      <w:r w:rsidRPr="00312116">
        <w:rPr>
          <w:rFonts w:ascii="Arial" w:hAnsi="Arial" w:cs="Arial"/>
        </w:rPr>
        <w:t xml:space="preserve"> </w:t>
      </w:r>
    </w:p>
    <w:p w14:paraId="15671B18" w14:textId="0B3196A0" w:rsidR="00312116" w:rsidRPr="00312116" w:rsidRDefault="00312116" w:rsidP="00312116">
      <w:pPr>
        <w:rPr>
          <w:rFonts w:ascii="Arial" w:hAnsi="Arial" w:cs="Arial"/>
        </w:rPr>
      </w:pPr>
      <w:r w:rsidRPr="00312116">
        <w:rPr>
          <w:rFonts w:ascii="Arial" w:hAnsi="Arial" w:cs="Arial"/>
        </w:rPr>
        <w:t>Lane M is 1</w:t>
      </w:r>
      <w:r w:rsidR="00DB227C">
        <w:rPr>
          <w:rFonts w:ascii="Arial" w:hAnsi="Arial" w:cs="Arial"/>
        </w:rPr>
        <w:t xml:space="preserve"> </w:t>
      </w:r>
      <w:r w:rsidRPr="00312116">
        <w:rPr>
          <w:rFonts w:ascii="Arial" w:hAnsi="Arial" w:cs="Arial"/>
        </w:rPr>
        <w:t xml:space="preserve">kb Ladder, S1-10 are culture samples amplified with </w:t>
      </w:r>
      <w:r w:rsidR="00DB227C" w:rsidRPr="00DB227C">
        <w:rPr>
          <w:rFonts w:ascii="Arial" w:hAnsi="Arial" w:cs="Arial"/>
          <w:i/>
          <w:iCs/>
        </w:rPr>
        <w:t>bla</w:t>
      </w:r>
      <w:r w:rsidRPr="00DB227C">
        <w:rPr>
          <w:rFonts w:ascii="Arial" w:hAnsi="Arial" w:cs="Arial"/>
          <w:i/>
          <w:iCs/>
          <w:vertAlign w:val="subscript"/>
        </w:rPr>
        <w:t>TEM</w:t>
      </w:r>
      <w:r w:rsidRPr="00312116">
        <w:rPr>
          <w:rFonts w:ascii="Arial" w:hAnsi="Arial" w:cs="Arial"/>
        </w:rPr>
        <w:t xml:space="preserve"> primers. </w:t>
      </w:r>
    </w:p>
    <w:p w14:paraId="6A38B2FE" w14:textId="77777777" w:rsidR="00312116" w:rsidRDefault="00312116" w:rsidP="00312116">
      <w:pPr>
        <w:pStyle w:val="Body"/>
        <w:spacing w:after="0"/>
        <w:rPr>
          <w:rFonts w:ascii="Arial" w:hAnsi="Arial" w:cs="Arial"/>
          <w:bCs/>
        </w:rPr>
      </w:pPr>
    </w:p>
    <w:p w14:paraId="29C41EC2" w14:textId="77777777" w:rsidR="00312116" w:rsidRDefault="00312116" w:rsidP="00312116">
      <w:pPr>
        <w:pStyle w:val="Body"/>
        <w:spacing w:after="0"/>
        <w:rPr>
          <w:rFonts w:ascii="Arial" w:hAnsi="Arial" w:cs="Arial"/>
          <w:bCs/>
        </w:rPr>
      </w:pPr>
    </w:p>
    <w:p w14:paraId="33DDD5D0" w14:textId="77777777" w:rsidR="00AF1CA2" w:rsidRPr="00AF1CA2" w:rsidRDefault="00AF1CA2" w:rsidP="00AF1CA2">
      <w:pPr>
        <w:spacing w:line="360" w:lineRule="auto"/>
        <w:rPr>
          <w:rFonts w:ascii="Arial" w:hAnsi="Arial" w:cs="Arial"/>
        </w:rPr>
      </w:pPr>
      <w:r w:rsidRPr="00AF1CA2">
        <w:rPr>
          <w:rFonts w:ascii="Arial" w:hAnsi="Arial" w:cs="Arial"/>
          <w:noProof/>
        </w:rPr>
        <w:lastRenderedPageBreak/>
        <w:drawing>
          <wp:inline distT="0" distB="0" distL="0" distR="0" wp14:anchorId="6CCC9485" wp14:editId="65C92639">
            <wp:extent cx="4860388" cy="1805451"/>
            <wp:effectExtent l="0" t="0" r="0" b="0"/>
            <wp:docPr id="7" name="Picture 6" descr="A orange background with green numbers&#10;&#10;Description automatically generated">
              <a:extLst xmlns:a="http://schemas.openxmlformats.org/drawingml/2006/main">
                <a:ext uri="{FF2B5EF4-FFF2-40B4-BE49-F238E27FC236}">
                  <a16:creationId xmlns:a16="http://schemas.microsoft.com/office/drawing/2014/main" id="{50A24635-155C-2053-CE50-3C663B994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orange background with green numbers&#10;&#10;Description automatically generated">
                      <a:extLst>
                        <a:ext uri="{FF2B5EF4-FFF2-40B4-BE49-F238E27FC236}">
                          <a16:creationId xmlns:a16="http://schemas.microsoft.com/office/drawing/2014/main" id="{50A24635-155C-2053-CE50-3C663B994078}"/>
                        </a:ext>
                      </a:extLst>
                    </pic:cNvPr>
                    <pic:cNvPicPr>
                      <a:picLocks noChangeAspect="1"/>
                    </pic:cNvPicPr>
                  </pic:nvPicPr>
                  <pic:blipFill rotWithShape="1">
                    <a:blip r:embed="rId15"/>
                    <a:srcRect l="5236" t="10297" r="4167" b="14272"/>
                    <a:stretch/>
                  </pic:blipFill>
                  <pic:spPr bwMode="auto">
                    <a:xfrm>
                      <a:off x="0" y="0"/>
                      <a:ext cx="4869324" cy="1808770"/>
                    </a:xfrm>
                    <a:prstGeom prst="rect">
                      <a:avLst/>
                    </a:prstGeom>
                    <a:ln>
                      <a:noFill/>
                    </a:ln>
                    <a:extLst>
                      <a:ext uri="{53640926-AAD7-44D8-BBD7-CCE9431645EC}">
                        <a14:shadowObscured xmlns:a14="http://schemas.microsoft.com/office/drawing/2010/main"/>
                      </a:ext>
                    </a:extLst>
                  </pic:spPr>
                </pic:pic>
              </a:graphicData>
            </a:graphic>
          </wp:inline>
        </w:drawing>
      </w:r>
    </w:p>
    <w:p w14:paraId="573DFF9C" w14:textId="41E86FE2" w:rsidR="00AF1CA2" w:rsidRDefault="00AF1CA2" w:rsidP="00AF1CA2">
      <w:pPr>
        <w:tabs>
          <w:tab w:val="left" w:pos="3760"/>
        </w:tabs>
        <w:rPr>
          <w:rFonts w:ascii="Arial" w:hAnsi="Arial" w:cs="Arial"/>
        </w:rPr>
      </w:pPr>
      <w:r>
        <w:rPr>
          <w:rFonts w:ascii="Arial" w:hAnsi="Arial" w:cs="Arial"/>
          <w:b/>
          <w:bCs/>
        </w:rPr>
        <w:t>Fig. 6.</w:t>
      </w:r>
      <w:r w:rsidRPr="00AF1CA2">
        <w:rPr>
          <w:rFonts w:ascii="Arial" w:hAnsi="Arial" w:cs="Arial"/>
        </w:rPr>
        <w:t xml:space="preserve"> </w:t>
      </w:r>
      <w:r w:rsidRPr="00AF1CA2">
        <w:rPr>
          <w:rFonts w:ascii="Arial" w:hAnsi="Arial" w:cs="Arial"/>
          <w:b/>
          <w:bCs/>
        </w:rPr>
        <w:t xml:space="preserve">Culture Samples are Negative for </w:t>
      </w:r>
      <w:r w:rsidR="00DB227C" w:rsidRPr="00DB227C">
        <w:rPr>
          <w:rFonts w:ascii="Arial" w:hAnsi="Arial" w:cs="Arial"/>
          <w:b/>
          <w:bCs/>
          <w:i/>
          <w:iCs/>
        </w:rPr>
        <w:t>bla</w:t>
      </w:r>
      <w:r w:rsidRPr="00DB227C">
        <w:rPr>
          <w:rFonts w:ascii="Arial" w:hAnsi="Arial" w:cs="Arial"/>
          <w:b/>
          <w:bCs/>
          <w:i/>
          <w:iCs/>
          <w:vertAlign w:val="subscript"/>
        </w:rPr>
        <w:t>SHV</w:t>
      </w:r>
      <w:r w:rsidRPr="00AF1CA2">
        <w:rPr>
          <w:rFonts w:ascii="Arial" w:hAnsi="Arial" w:cs="Arial"/>
          <w:b/>
          <w:bCs/>
        </w:rPr>
        <w:t xml:space="preserve"> Antimicrobial Genes</w:t>
      </w:r>
      <w:r w:rsidRPr="00AF1CA2">
        <w:rPr>
          <w:rFonts w:ascii="Arial" w:hAnsi="Arial" w:cs="Arial"/>
        </w:rPr>
        <w:t xml:space="preserve">. </w:t>
      </w:r>
    </w:p>
    <w:p w14:paraId="60606341" w14:textId="68852735" w:rsidR="00AF1CA2" w:rsidRPr="00AF1CA2" w:rsidRDefault="00AF1CA2" w:rsidP="00AF1CA2">
      <w:pPr>
        <w:tabs>
          <w:tab w:val="left" w:pos="3760"/>
        </w:tabs>
        <w:rPr>
          <w:rFonts w:ascii="Arial" w:hAnsi="Arial" w:cs="Arial"/>
        </w:rPr>
      </w:pPr>
      <w:r w:rsidRPr="00AF1CA2">
        <w:rPr>
          <w:rFonts w:ascii="Arial" w:hAnsi="Arial" w:cs="Arial"/>
        </w:rPr>
        <w:t xml:space="preserve">Lane M is a 1 kb Ladder, S1-10 are SHV negative culture samples. </w:t>
      </w:r>
    </w:p>
    <w:p w14:paraId="0C3A900A" w14:textId="77777777" w:rsidR="00312116" w:rsidRPr="00AF1CA2" w:rsidRDefault="00312116" w:rsidP="00312116">
      <w:pPr>
        <w:pStyle w:val="Body"/>
        <w:spacing w:after="0"/>
        <w:rPr>
          <w:rFonts w:ascii="Arial" w:hAnsi="Arial" w:cs="Arial"/>
          <w:bCs/>
        </w:rPr>
      </w:pPr>
    </w:p>
    <w:p w14:paraId="3BBDDD3C" w14:textId="77777777" w:rsidR="00AF1CA2" w:rsidRDefault="00AF1CA2" w:rsidP="00DB227C">
      <w:pPr>
        <w:spacing w:line="480" w:lineRule="auto"/>
        <w:jc w:val="center"/>
        <w:rPr>
          <w:rFonts w:ascii="Times New Roman" w:eastAsia="Calibri" w:hAnsi="Times New Roman"/>
          <w:b/>
          <w:sz w:val="24"/>
          <w:szCs w:val="24"/>
        </w:rPr>
      </w:pPr>
      <w:r>
        <w:rPr>
          <w:noProof/>
        </w:rPr>
        <w:drawing>
          <wp:inline distT="0" distB="0" distL="0" distR="0" wp14:anchorId="4ED474D1" wp14:editId="027DB5E0">
            <wp:extent cx="2130950" cy="2049807"/>
            <wp:effectExtent l="0" t="0" r="0" b="0"/>
            <wp:docPr id="1023998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868" cy="2077624"/>
                    </a:xfrm>
                    <a:prstGeom prst="rect">
                      <a:avLst/>
                    </a:prstGeom>
                    <a:noFill/>
                    <a:ln>
                      <a:noFill/>
                    </a:ln>
                  </pic:spPr>
                </pic:pic>
              </a:graphicData>
            </a:graphic>
          </wp:inline>
        </w:drawing>
      </w:r>
    </w:p>
    <w:p w14:paraId="1B8FCFED" w14:textId="6F3EB2C5" w:rsidR="00AF1CA2" w:rsidRDefault="00AF1CA2" w:rsidP="00AF1CA2">
      <w:pPr>
        <w:jc w:val="both"/>
        <w:rPr>
          <w:rFonts w:ascii="Arial" w:eastAsia="Calibri" w:hAnsi="Arial" w:cs="Arial"/>
          <w:b/>
        </w:rPr>
      </w:pPr>
      <w:r w:rsidRPr="00AF1CA2">
        <w:rPr>
          <w:rFonts w:ascii="Arial" w:eastAsia="Calibri" w:hAnsi="Arial" w:cs="Arial"/>
          <w:b/>
        </w:rPr>
        <w:t>Fig</w:t>
      </w:r>
      <w:r>
        <w:rPr>
          <w:rFonts w:ascii="Arial" w:eastAsia="Calibri" w:hAnsi="Arial" w:cs="Arial"/>
          <w:b/>
        </w:rPr>
        <w:t>.</w:t>
      </w:r>
      <w:r w:rsidRPr="00AF1CA2">
        <w:rPr>
          <w:rFonts w:ascii="Arial" w:eastAsia="Calibri" w:hAnsi="Arial" w:cs="Arial"/>
          <w:b/>
        </w:rPr>
        <w:t xml:space="preserve"> </w:t>
      </w:r>
      <w:r>
        <w:rPr>
          <w:rFonts w:ascii="Arial" w:eastAsia="Calibri" w:hAnsi="Arial" w:cs="Arial"/>
          <w:b/>
        </w:rPr>
        <w:t>7</w:t>
      </w:r>
      <w:r w:rsidR="00DB227C">
        <w:rPr>
          <w:rFonts w:ascii="Arial" w:eastAsia="Calibri" w:hAnsi="Arial" w:cs="Arial"/>
          <w:b/>
        </w:rPr>
        <w:t>.</w:t>
      </w:r>
      <w:r w:rsidRPr="00AF1CA2">
        <w:rPr>
          <w:rFonts w:ascii="Arial" w:eastAsia="Calibri" w:hAnsi="Arial" w:cs="Arial"/>
          <w:b/>
        </w:rPr>
        <w:t xml:space="preserve"> Comparative Prevalence of Betalactamase Genes in Bacteria Isolates in Obio/Akpor and Port Harcourt City Local Government Area. </w:t>
      </w:r>
    </w:p>
    <w:p w14:paraId="7653672E" w14:textId="77777777" w:rsidR="00DB227C" w:rsidRPr="00DB227C" w:rsidRDefault="00AF1CA2" w:rsidP="00DB227C">
      <w:pPr>
        <w:jc w:val="center"/>
        <w:rPr>
          <w:rFonts w:ascii="Arial" w:hAnsi="Arial" w:cs="Arial"/>
        </w:rPr>
      </w:pPr>
      <w:r w:rsidRPr="00AF1CA2">
        <w:rPr>
          <w:rFonts w:ascii="Arial" w:eastAsia="Calibri" w:hAnsi="Arial" w:cs="Arial"/>
          <w:bCs/>
        </w:rPr>
        <w:t xml:space="preserve">The two betalactamase genes investigated were </w:t>
      </w:r>
      <w:r w:rsidRPr="007F6380">
        <w:rPr>
          <w:rFonts w:ascii="Arial" w:eastAsia="Calibri" w:hAnsi="Arial" w:cs="Arial"/>
          <w:bCs/>
          <w:i/>
          <w:iCs/>
        </w:rPr>
        <w:t>bla</w:t>
      </w:r>
      <w:r w:rsidRPr="007F6380">
        <w:rPr>
          <w:rFonts w:ascii="Arial" w:eastAsia="Calibri" w:hAnsi="Arial" w:cs="Arial"/>
          <w:bCs/>
          <w:i/>
          <w:iCs/>
          <w:vertAlign w:val="subscript"/>
        </w:rPr>
        <w:t>SHV</w:t>
      </w:r>
      <w:r w:rsidRPr="00AF1CA2">
        <w:rPr>
          <w:rFonts w:ascii="Arial" w:eastAsia="Calibri" w:hAnsi="Arial" w:cs="Arial"/>
          <w:bCs/>
          <w:vertAlign w:val="subscript"/>
        </w:rPr>
        <w:t xml:space="preserve"> </w:t>
      </w:r>
      <w:r w:rsidRPr="00AF1CA2">
        <w:rPr>
          <w:rFonts w:ascii="Arial" w:eastAsia="Calibri" w:hAnsi="Arial" w:cs="Arial"/>
          <w:bCs/>
        </w:rPr>
        <w:t xml:space="preserve">and </w:t>
      </w:r>
      <w:r w:rsidRPr="007F6380">
        <w:rPr>
          <w:rFonts w:ascii="Arial" w:eastAsia="Calibri" w:hAnsi="Arial" w:cs="Arial"/>
          <w:bCs/>
          <w:i/>
          <w:iCs/>
        </w:rPr>
        <w:t>bla</w:t>
      </w:r>
      <w:r w:rsidRPr="007F6380">
        <w:rPr>
          <w:rFonts w:ascii="Arial" w:eastAsia="Calibri" w:hAnsi="Arial" w:cs="Arial"/>
          <w:bCs/>
          <w:i/>
          <w:iCs/>
          <w:vertAlign w:val="subscript"/>
        </w:rPr>
        <w:t>TEM</w:t>
      </w:r>
      <w:r w:rsidRPr="00AF1CA2">
        <w:rPr>
          <w:rFonts w:ascii="Arial" w:eastAsia="Calibri" w:hAnsi="Arial" w:cs="Arial"/>
          <w:bCs/>
        </w:rPr>
        <w:t>.</w:t>
      </w:r>
      <w:r w:rsidR="00DB227C">
        <w:rPr>
          <w:rFonts w:ascii="Arial" w:eastAsia="Calibri" w:hAnsi="Arial" w:cs="Arial"/>
          <w:bCs/>
        </w:rPr>
        <w:t xml:space="preserve"> </w:t>
      </w:r>
      <w:r w:rsidR="00DB227C">
        <w:rPr>
          <w:rFonts w:ascii="Arial" w:hAnsi="Arial" w:cs="Arial"/>
        </w:rPr>
        <w:t xml:space="preserve">Each bar represents mean ± SD. T-test was used for statistical comparison. Statistical significance was assumed at 95% confidence interval. </w:t>
      </w:r>
    </w:p>
    <w:p w14:paraId="7DDD1BE9" w14:textId="78AA451F" w:rsidR="00AF1CA2" w:rsidRPr="00AF1CA2" w:rsidRDefault="00AF1CA2" w:rsidP="00AF1CA2">
      <w:pPr>
        <w:jc w:val="both"/>
        <w:rPr>
          <w:rFonts w:ascii="Arial" w:eastAsia="Calibri" w:hAnsi="Arial" w:cs="Arial"/>
          <w:bCs/>
        </w:rPr>
      </w:pPr>
    </w:p>
    <w:p w14:paraId="3EBC1BC4" w14:textId="77777777" w:rsidR="00312116" w:rsidRPr="00AF1CA2" w:rsidRDefault="00312116" w:rsidP="00312116">
      <w:pPr>
        <w:pStyle w:val="Body"/>
        <w:spacing w:after="0"/>
        <w:rPr>
          <w:rFonts w:ascii="Arial" w:hAnsi="Arial" w:cs="Arial"/>
          <w:bCs/>
        </w:rPr>
      </w:pPr>
    </w:p>
    <w:p w14:paraId="60D80CA2" w14:textId="33A6AD5D" w:rsidR="00502D76" w:rsidRDefault="00502D76" w:rsidP="00502D76">
      <w:pPr>
        <w:pStyle w:val="Head1"/>
        <w:spacing w:after="0"/>
        <w:jc w:val="both"/>
        <w:rPr>
          <w:rFonts w:ascii="Arial" w:hAnsi="Arial" w:cs="Arial"/>
        </w:rPr>
      </w:pPr>
      <w:r>
        <w:rPr>
          <w:rFonts w:ascii="Arial" w:hAnsi="Arial" w:cs="Arial"/>
        </w:rPr>
        <w:t>4. discussion</w:t>
      </w:r>
    </w:p>
    <w:p w14:paraId="55B66318" w14:textId="77777777" w:rsidR="00502D76" w:rsidRPr="00DC3180" w:rsidRDefault="00502D76" w:rsidP="00502D76">
      <w:pPr>
        <w:tabs>
          <w:tab w:val="left" w:pos="1080"/>
        </w:tabs>
        <w:jc w:val="both"/>
        <w:rPr>
          <w:rFonts w:ascii="Arial" w:hAnsi="Arial"/>
          <w:b/>
        </w:rPr>
      </w:pPr>
    </w:p>
    <w:p w14:paraId="4FF3C60D" w14:textId="7209B366" w:rsidR="00502D76" w:rsidRPr="00502D76" w:rsidRDefault="00502D76" w:rsidP="00502D76">
      <w:pPr>
        <w:pStyle w:val="Body"/>
        <w:rPr>
          <w:rFonts w:ascii="Arial" w:hAnsi="Arial" w:cs="Arial"/>
          <w:bCs/>
        </w:rPr>
      </w:pPr>
      <w:r w:rsidRPr="00502D76">
        <w:rPr>
          <w:rFonts w:ascii="Arial" w:hAnsi="Arial" w:cs="Arial"/>
          <w:bCs/>
        </w:rPr>
        <w:t xml:space="preserve">Foodborne infection is a common global phenomenon which necessitated this current study to investigate a highly </w:t>
      </w:r>
      <w:r w:rsidR="007B5482" w:rsidRPr="00502D76">
        <w:rPr>
          <w:rFonts w:ascii="Arial" w:hAnsi="Arial" w:cs="Arial"/>
          <w:bCs/>
        </w:rPr>
        <w:t>patronized</w:t>
      </w:r>
      <w:r w:rsidRPr="00502D76">
        <w:rPr>
          <w:rFonts w:ascii="Arial" w:hAnsi="Arial" w:cs="Arial"/>
          <w:bCs/>
        </w:rPr>
        <w:t xml:space="preserve"> local food, Abacha, for the bacterial prevalence, bacteria load</w:t>
      </w:r>
      <w:r w:rsidR="00AF1CA2" w:rsidRPr="00502D76">
        <w:rPr>
          <w:rFonts w:ascii="Arial" w:hAnsi="Arial" w:cs="Arial"/>
          <w:bCs/>
        </w:rPr>
        <w:t>, and presence</w:t>
      </w:r>
      <w:r w:rsidRPr="00502D76">
        <w:rPr>
          <w:rFonts w:ascii="Arial" w:hAnsi="Arial" w:cs="Arial"/>
          <w:bCs/>
        </w:rPr>
        <w:t xml:space="preserve"> of multiple antimicrobial resistance in the isolated pathogen. This was done using two LGAs within Port Harcourt Metropolis and a high </w:t>
      </w:r>
      <w:r w:rsidRPr="00241756">
        <w:rPr>
          <w:rFonts w:ascii="Arial" w:hAnsi="Arial" w:cs="Arial"/>
          <w:bCs/>
          <w:highlight w:val="yellow"/>
        </w:rPr>
        <w:t xml:space="preserve">prevalence of </w:t>
      </w:r>
      <w:r w:rsidR="00A65992" w:rsidRPr="00241756">
        <w:rPr>
          <w:rFonts w:ascii="Arial" w:hAnsi="Arial" w:cs="Arial"/>
          <w:bCs/>
          <w:highlight w:val="yellow"/>
        </w:rPr>
        <w:t>multidrug</w:t>
      </w:r>
      <w:r w:rsidR="00A65992" w:rsidRPr="00241756">
        <w:rPr>
          <w:rFonts w:ascii="Arial" w:hAnsi="Arial" w:cs="Arial"/>
          <w:bCs/>
          <w:highlight w:val="yellow"/>
        </w:rPr>
        <w:t>-</w:t>
      </w:r>
      <w:r w:rsidRPr="00241756">
        <w:rPr>
          <w:rFonts w:ascii="Arial" w:hAnsi="Arial" w:cs="Arial"/>
          <w:bCs/>
          <w:highlight w:val="yellow"/>
        </w:rPr>
        <w:t xml:space="preserve">resistant bacteria </w:t>
      </w:r>
      <w:r w:rsidR="00A65992" w:rsidRPr="00241756">
        <w:rPr>
          <w:rFonts w:ascii="Arial" w:hAnsi="Arial" w:cs="Arial"/>
          <w:bCs/>
          <w:highlight w:val="yellow"/>
        </w:rPr>
        <w:t>w</w:t>
      </w:r>
      <w:r w:rsidR="00A65992" w:rsidRPr="00241756">
        <w:rPr>
          <w:rFonts w:ascii="Arial" w:hAnsi="Arial" w:cs="Arial"/>
          <w:bCs/>
          <w:highlight w:val="yellow"/>
        </w:rPr>
        <w:t>as</w:t>
      </w:r>
      <w:r w:rsidR="00A65992" w:rsidRPr="00241756">
        <w:rPr>
          <w:rFonts w:ascii="Arial" w:hAnsi="Arial" w:cs="Arial"/>
          <w:bCs/>
          <w:highlight w:val="yellow"/>
        </w:rPr>
        <w:t xml:space="preserve"> </w:t>
      </w:r>
      <w:r w:rsidRPr="00241756">
        <w:rPr>
          <w:rFonts w:ascii="Arial" w:hAnsi="Arial" w:cs="Arial"/>
          <w:bCs/>
          <w:highlight w:val="yellow"/>
        </w:rPr>
        <w:t xml:space="preserve">noted with </w:t>
      </w:r>
      <w:r w:rsidR="00A65992" w:rsidRPr="00241756">
        <w:rPr>
          <w:rFonts w:ascii="Arial" w:hAnsi="Arial" w:cs="Arial"/>
          <w:bCs/>
          <w:highlight w:val="yellow"/>
        </w:rPr>
        <w:t xml:space="preserve">the </w:t>
      </w:r>
      <w:r w:rsidRPr="00241756">
        <w:rPr>
          <w:rFonts w:ascii="Arial" w:hAnsi="Arial" w:cs="Arial"/>
          <w:bCs/>
          <w:highlight w:val="yellow"/>
        </w:rPr>
        <w:t>resultant</w:t>
      </w:r>
      <w:r w:rsidRPr="00502D76">
        <w:rPr>
          <w:rFonts w:ascii="Arial" w:hAnsi="Arial" w:cs="Arial"/>
          <w:bCs/>
        </w:rPr>
        <w:t xml:space="preserve"> detection of a gene linked to this occurrence. </w:t>
      </w:r>
    </w:p>
    <w:p w14:paraId="5601B311" w14:textId="79343BA6" w:rsidR="00502D76" w:rsidRPr="00502D76" w:rsidRDefault="00502D76" w:rsidP="00502D76">
      <w:pPr>
        <w:pStyle w:val="Body"/>
        <w:rPr>
          <w:rFonts w:ascii="Arial" w:hAnsi="Arial" w:cs="Arial"/>
          <w:lang w:val="en-GB"/>
        </w:rPr>
      </w:pPr>
      <w:r w:rsidRPr="00502D76">
        <w:rPr>
          <w:rFonts w:ascii="Arial" w:hAnsi="Arial" w:cs="Arial"/>
          <w:bCs/>
        </w:rPr>
        <w:t xml:space="preserve">The first objective of this work was to check for the prevalence of bacteria in Abacha. Our findings showed that there was a high burden of bacteria on the different samples. </w:t>
      </w:r>
      <w:r w:rsidRPr="00502D76">
        <w:rPr>
          <w:rFonts w:ascii="Arial" w:hAnsi="Arial" w:cs="Arial"/>
          <w:bCs/>
          <w:i/>
          <w:iCs/>
        </w:rPr>
        <w:t>Proteus mirabilis</w:t>
      </w:r>
      <w:r w:rsidR="00DB227C">
        <w:rPr>
          <w:rFonts w:ascii="Arial" w:hAnsi="Arial" w:cs="Arial"/>
          <w:bCs/>
        </w:rPr>
        <w:t>,</w:t>
      </w:r>
      <w:r w:rsidRPr="00502D76">
        <w:rPr>
          <w:rFonts w:ascii="Arial" w:hAnsi="Arial" w:cs="Arial"/>
          <w:bCs/>
        </w:rPr>
        <w:t xml:space="preserve"> </w:t>
      </w:r>
      <w:r w:rsidRPr="00502D76">
        <w:rPr>
          <w:rFonts w:ascii="Arial" w:hAnsi="Arial" w:cs="Arial"/>
          <w:i/>
          <w:iCs/>
        </w:rPr>
        <w:t xml:space="preserve">Myroides odoratimimus </w:t>
      </w:r>
      <w:r w:rsidRPr="00502D76">
        <w:rPr>
          <w:rFonts w:ascii="Arial" w:hAnsi="Arial" w:cs="Arial"/>
          <w:lang w:val="en-GB"/>
        </w:rPr>
        <w:t xml:space="preserve">and </w:t>
      </w:r>
      <w:r w:rsidRPr="00502D76">
        <w:rPr>
          <w:rFonts w:ascii="Arial" w:hAnsi="Arial" w:cs="Arial"/>
          <w:i/>
          <w:iCs/>
        </w:rPr>
        <w:t xml:space="preserve">Kosakonia quasisacchari </w:t>
      </w:r>
      <w:r w:rsidRPr="00502D76">
        <w:rPr>
          <w:rFonts w:ascii="Arial" w:hAnsi="Arial" w:cs="Arial"/>
        </w:rPr>
        <w:t xml:space="preserve">had the highest prevalence </w:t>
      </w:r>
      <w:r w:rsidRPr="00502D76">
        <w:rPr>
          <w:rFonts w:ascii="Arial" w:hAnsi="Arial" w:cs="Arial"/>
          <w:lang w:val="en-GB"/>
        </w:rPr>
        <w:t xml:space="preserve">2 (20.0%) each. Other bacteria isolated found in Abacha, however with the lowest prevalences, were </w:t>
      </w:r>
      <w:r w:rsidRPr="00502D76">
        <w:rPr>
          <w:rFonts w:ascii="Arial" w:hAnsi="Arial" w:cs="Arial"/>
          <w:i/>
          <w:iCs/>
          <w:lang w:val="en-GB"/>
        </w:rPr>
        <w:t>Proteus alimentorum, Citrobacter cronae, Providencia huaxiensis</w:t>
      </w:r>
      <w:r w:rsidRPr="00502D76">
        <w:rPr>
          <w:rFonts w:ascii="Arial" w:hAnsi="Arial" w:cs="Arial"/>
          <w:lang w:val="en-GB"/>
        </w:rPr>
        <w:t xml:space="preserve"> and </w:t>
      </w:r>
      <w:r w:rsidRPr="00502D76">
        <w:rPr>
          <w:rFonts w:ascii="Arial" w:hAnsi="Arial" w:cs="Arial"/>
          <w:i/>
          <w:iCs/>
          <w:lang w:val="en-GB"/>
        </w:rPr>
        <w:t>Flavobacterium tibetense</w:t>
      </w:r>
      <w:r w:rsidRPr="00502D76">
        <w:rPr>
          <w:rFonts w:ascii="Arial" w:hAnsi="Arial" w:cs="Arial"/>
          <w:lang w:val="en-GB"/>
        </w:rPr>
        <w:t xml:space="preserve">. This shows that various species of bacteria could be found in Abacha. A closely related work </w:t>
      </w:r>
      <w:r w:rsidRPr="00241756">
        <w:rPr>
          <w:rFonts w:ascii="Arial" w:hAnsi="Arial" w:cs="Arial"/>
          <w:highlight w:val="yellow"/>
          <w:lang w:val="en-GB"/>
        </w:rPr>
        <w:t xml:space="preserve">showed 1.2% of </w:t>
      </w:r>
      <w:r w:rsidRPr="00241756">
        <w:rPr>
          <w:rFonts w:ascii="Arial" w:hAnsi="Arial" w:cs="Arial"/>
          <w:i/>
          <w:iCs/>
          <w:highlight w:val="yellow"/>
          <w:lang w:val="en-GB"/>
        </w:rPr>
        <w:t>Citrobacter</w:t>
      </w:r>
      <w:r w:rsidRPr="00502D76">
        <w:rPr>
          <w:rFonts w:ascii="Arial" w:hAnsi="Arial" w:cs="Arial"/>
          <w:lang w:val="en-GB"/>
        </w:rPr>
        <w:t xml:space="preserve"> species in food handlers (</w:t>
      </w:r>
      <w:r w:rsidRPr="00502D76">
        <w:rPr>
          <w:rFonts w:ascii="Arial" w:hAnsi="Arial" w:cs="Arial"/>
        </w:rPr>
        <w:t xml:space="preserve">Ifeadike </w:t>
      </w:r>
      <w:r w:rsidRPr="00502D76">
        <w:rPr>
          <w:rFonts w:ascii="Arial" w:hAnsi="Arial" w:cs="Arial"/>
          <w:i/>
          <w:iCs/>
        </w:rPr>
        <w:t>et al.</w:t>
      </w:r>
      <w:r w:rsidRPr="00502D76">
        <w:rPr>
          <w:rFonts w:ascii="Arial" w:hAnsi="Arial" w:cs="Arial"/>
        </w:rPr>
        <w:t>, 201</w:t>
      </w:r>
      <w:r w:rsidR="007F6380">
        <w:rPr>
          <w:rFonts w:ascii="Arial" w:hAnsi="Arial" w:cs="Arial"/>
        </w:rPr>
        <w:t>4</w:t>
      </w:r>
      <w:r w:rsidRPr="00502D76">
        <w:rPr>
          <w:rFonts w:ascii="Arial" w:hAnsi="Arial" w:cs="Arial"/>
        </w:rPr>
        <w:t>)</w:t>
      </w:r>
      <w:r w:rsidRPr="00502D76">
        <w:rPr>
          <w:rFonts w:ascii="Arial" w:hAnsi="Arial" w:cs="Arial"/>
          <w:lang w:val="en-GB"/>
        </w:rPr>
        <w:t xml:space="preserve">. This </w:t>
      </w:r>
      <w:r w:rsidRPr="00502D76">
        <w:rPr>
          <w:rFonts w:ascii="Arial" w:hAnsi="Arial" w:cs="Arial"/>
          <w:lang w:val="en-GB"/>
        </w:rPr>
        <w:lastRenderedPageBreak/>
        <w:t xml:space="preserve">shows the presence of this bacteria in the Abacha may have arisen due to cross-contamination from the personnel handling the food. In comparison to the conventional method of isolation, different types of bacteria were detected. This implies that the molecular method has better discriminatory power hence, its ability to detect more specific bacteria. </w:t>
      </w:r>
    </w:p>
    <w:p w14:paraId="1A3F84EB" w14:textId="46551500" w:rsidR="00502D76" w:rsidRPr="00502D76" w:rsidRDefault="00502D76" w:rsidP="00502D76">
      <w:pPr>
        <w:pStyle w:val="Body"/>
        <w:rPr>
          <w:rFonts w:ascii="Arial" w:hAnsi="Arial" w:cs="Arial"/>
        </w:rPr>
      </w:pPr>
      <w:r w:rsidRPr="00502D76">
        <w:rPr>
          <w:rFonts w:ascii="Arial" w:hAnsi="Arial" w:cs="Arial"/>
          <w:lang w:val="en-GB"/>
        </w:rPr>
        <w:t>However, these pathogens have not previously been reported as foodborne pathogens. This is because they differ from the conventional foodborne bacteria (</w:t>
      </w:r>
      <w:r w:rsidRPr="00502D76">
        <w:rPr>
          <w:rFonts w:ascii="Arial" w:hAnsi="Arial" w:cs="Arial"/>
          <w:i/>
          <w:iCs/>
        </w:rPr>
        <w:t>Escherichia coli</w:t>
      </w:r>
      <w:r w:rsidRPr="00502D76">
        <w:rPr>
          <w:rFonts w:ascii="Arial" w:hAnsi="Arial" w:cs="Arial"/>
        </w:rPr>
        <w:t>, non-typhoidal </w:t>
      </w:r>
      <w:r w:rsidRPr="00502D76">
        <w:rPr>
          <w:rFonts w:ascii="Arial" w:hAnsi="Arial" w:cs="Arial"/>
          <w:i/>
          <w:iCs/>
        </w:rPr>
        <w:t>Salmonella</w:t>
      </w:r>
      <w:r w:rsidRPr="00502D76">
        <w:rPr>
          <w:rFonts w:ascii="Arial" w:hAnsi="Arial" w:cs="Arial"/>
        </w:rPr>
        <w:t xml:space="preserve"> spp., </w:t>
      </w:r>
      <w:r w:rsidRPr="00241756">
        <w:rPr>
          <w:rFonts w:ascii="Arial" w:hAnsi="Arial" w:cs="Arial"/>
          <w:i/>
          <w:iCs/>
          <w:highlight w:val="yellow"/>
        </w:rPr>
        <w:t>Shigella</w:t>
      </w:r>
      <w:r w:rsidRPr="00241756">
        <w:rPr>
          <w:rFonts w:ascii="Arial" w:hAnsi="Arial" w:cs="Arial"/>
          <w:highlight w:val="yellow"/>
        </w:rPr>
        <w:t> spp., </w:t>
      </w:r>
      <w:r w:rsidRPr="00241756">
        <w:rPr>
          <w:rFonts w:ascii="Arial" w:hAnsi="Arial" w:cs="Arial"/>
          <w:i/>
          <w:iCs/>
          <w:highlight w:val="yellow"/>
        </w:rPr>
        <w:t>S</w:t>
      </w:r>
      <w:r w:rsidRPr="00241756">
        <w:rPr>
          <w:rFonts w:ascii="Arial" w:hAnsi="Arial" w:cs="Arial"/>
          <w:highlight w:val="yellow"/>
        </w:rPr>
        <w:t>. </w:t>
      </w:r>
      <w:r w:rsidRPr="00241756">
        <w:rPr>
          <w:rFonts w:ascii="Arial" w:hAnsi="Arial" w:cs="Arial"/>
          <w:i/>
          <w:iCs/>
          <w:highlight w:val="yellow"/>
        </w:rPr>
        <w:t>typhi</w:t>
      </w:r>
      <w:r w:rsidRPr="00241756">
        <w:rPr>
          <w:rFonts w:ascii="Arial" w:hAnsi="Arial" w:cs="Arial"/>
          <w:highlight w:val="yellow"/>
        </w:rPr>
        <w:t>, enteropathogenic </w:t>
      </w:r>
      <w:r w:rsidRPr="00241756">
        <w:rPr>
          <w:rFonts w:ascii="Arial" w:hAnsi="Arial" w:cs="Arial"/>
          <w:i/>
          <w:iCs/>
          <w:highlight w:val="yellow"/>
        </w:rPr>
        <w:t>E. coli</w:t>
      </w:r>
      <w:r w:rsidRPr="00241756">
        <w:rPr>
          <w:rFonts w:ascii="Arial" w:hAnsi="Arial" w:cs="Arial"/>
          <w:highlight w:val="yellow"/>
        </w:rPr>
        <w:t>, enterotoxigenic </w:t>
      </w:r>
      <w:r w:rsidRPr="00241756">
        <w:rPr>
          <w:rFonts w:ascii="Arial" w:hAnsi="Arial" w:cs="Arial"/>
          <w:i/>
          <w:iCs/>
          <w:highlight w:val="yellow"/>
        </w:rPr>
        <w:t>E. coli</w:t>
      </w:r>
      <w:r w:rsidRPr="00502D76">
        <w:rPr>
          <w:rFonts w:ascii="Arial" w:hAnsi="Arial" w:cs="Arial"/>
        </w:rPr>
        <w:t>, </w:t>
      </w:r>
      <w:r w:rsidRPr="00502D76">
        <w:rPr>
          <w:rFonts w:ascii="Arial" w:hAnsi="Arial" w:cs="Arial"/>
          <w:i/>
          <w:iCs/>
        </w:rPr>
        <w:t>Vibrio cholerae</w:t>
      </w:r>
      <w:r w:rsidRPr="00502D76">
        <w:rPr>
          <w:rFonts w:ascii="Arial" w:hAnsi="Arial" w:cs="Arial"/>
        </w:rPr>
        <w:t>, and </w:t>
      </w:r>
      <w:r w:rsidRPr="00502D76">
        <w:rPr>
          <w:rFonts w:ascii="Arial" w:hAnsi="Arial" w:cs="Arial"/>
          <w:i/>
          <w:iCs/>
        </w:rPr>
        <w:t>Campylobacter</w:t>
      </w:r>
      <w:r w:rsidRPr="00502D76">
        <w:rPr>
          <w:rFonts w:ascii="Arial" w:hAnsi="Arial" w:cs="Arial"/>
        </w:rPr>
        <w:t> spp. are the major hazards </w:t>
      </w:r>
      <w:r w:rsidRPr="00502D76">
        <w:rPr>
          <w:rFonts w:ascii="Arial" w:hAnsi="Arial" w:cs="Arial"/>
          <w:i/>
          <w:iCs/>
        </w:rPr>
        <w:t>Listeria monocytogenes</w:t>
      </w:r>
      <w:r w:rsidRPr="00502D76">
        <w:rPr>
          <w:rFonts w:ascii="Arial" w:hAnsi="Arial" w:cs="Arial"/>
        </w:rPr>
        <w:t>, </w:t>
      </w:r>
      <w:r w:rsidRPr="00502D76">
        <w:rPr>
          <w:rFonts w:ascii="Arial" w:hAnsi="Arial" w:cs="Arial"/>
          <w:i/>
          <w:iCs/>
        </w:rPr>
        <w:t>Clostridium botulinum</w:t>
      </w:r>
      <w:r w:rsidRPr="00502D76">
        <w:rPr>
          <w:rFonts w:ascii="Arial" w:hAnsi="Arial" w:cs="Arial"/>
        </w:rPr>
        <w:t>, </w:t>
      </w:r>
      <w:r w:rsidRPr="00502D76">
        <w:rPr>
          <w:rFonts w:ascii="Arial" w:hAnsi="Arial" w:cs="Arial"/>
          <w:i/>
          <w:iCs/>
        </w:rPr>
        <w:t>Brucella</w:t>
      </w:r>
      <w:r w:rsidRPr="00502D76">
        <w:rPr>
          <w:rFonts w:ascii="Arial" w:hAnsi="Arial" w:cs="Arial"/>
        </w:rPr>
        <w:t> spp., </w:t>
      </w:r>
      <w:r w:rsidRPr="00502D76">
        <w:rPr>
          <w:rFonts w:ascii="Arial" w:hAnsi="Arial" w:cs="Arial"/>
          <w:i/>
          <w:iCs/>
        </w:rPr>
        <w:t>Bacillus cereus</w:t>
      </w:r>
      <w:r w:rsidRPr="00502D76">
        <w:rPr>
          <w:rFonts w:ascii="Arial" w:hAnsi="Arial" w:cs="Arial"/>
        </w:rPr>
        <w:t>, </w:t>
      </w:r>
      <w:r w:rsidRPr="00502D76">
        <w:rPr>
          <w:rFonts w:ascii="Arial" w:hAnsi="Arial" w:cs="Arial"/>
          <w:i/>
          <w:iCs/>
        </w:rPr>
        <w:t>Staphylococcus aureus</w:t>
      </w:r>
      <w:r w:rsidRPr="00502D76">
        <w:rPr>
          <w:rFonts w:ascii="Arial" w:hAnsi="Arial" w:cs="Arial"/>
        </w:rPr>
        <w:t>, and </w:t>
      </w:r>
      <w:r w:rsidRPr="00502D76">
        <w:rPr>
          <w:rFonts w:ascii="Arial" w:hAnsi="Arial" w:cs="Arial"/>
          <w:i/>
          <w:iCs/>
        </w:rPr>
        <w:t>Clostridium perfringens</w:t>
      </w:r>
      <w:r w:rsidRPr="00502D76">
        <w:rPr>
          <w:rFonts w:ascii="Arial" w:hAnsi="Arial" w:cs="Arial"/>
          <w:lang w:val="en-GB"/>
        </w:rPr>
        <w:t xml:space="preserve">) listed by the World Health Organisation (Bintsis </w:t>
      </w:r>
      <w:r w:rsidRPr="00502D76">
        <w:rPr>
          <w:rFonts w:ascii="Arial" w:hAnsi="Arial" w:cs="Arial"/>
          <w:i/>
          <w:iCs/>
          <w:lang w:val="en-GB"/>
        </w:rPr>
        <w:t>et al.</w:t>
      </w:r>
      <w:r w:rsidRPr="00502D76">
        <w:rPr>
          <w:rFonts w:ascii="Arial" w:hAnsi="Arial" w:cs="Arial"/>
          <w:lang w:val="en-GB"/>
        </w:rPr>
        <w:t xml:space="preserve">, 2017). The bacteria isolated from the Abacha could be classified as hazards associated with food. As there is a paucity of data on the prevalence of microbes </w:t>
      </w:r>
      <w:r w:rsidR="00A65992" w:rsidRPr="00241756">
        <w:rPr>
          <w:rFonts w:ascii="Arial" w:hAnsi="Arial" w:cs="Arial"/>
          <w:highlight w:val="yellow"/>
          <w:lang w:val="en-GB"/>
        </w:rPr>
        <w:t>i</w:t>
      </w:r>
      <w:r w:rsidR="00A65992" w:rsidRPr="00241756">
        <w:rPr>
          <w:rFonts w:ascii="Arial" w:hAnsi="Arial" w:cs="Arial"/>
          <w:highlight w:val="yellow"/>
          <w:lang w:val="en-GB"/>
        </w:rPr>
        <w:t>n th</w:t>
      </w:r>
      <w:r w:rsidR="00A65992" w:rsidRPr="00241756">
        <w:rPr>
          <w:rFonts w:ascii="Arial" w:hAnsi="Arial" w:cs="Arial"/>
          <w:highlight w:val="yellow"/>
          <w:lang w:val="en-GB"/>
        </w:rPr>
        <w:t>e</w:t>
      </w:r>
      <w:r w:rsidR="00A65992" w:rsidRPr="00241756">
        <w:rPr>
          <w:rFonts w:ascii="Arial" w:hAnsi="Arial" w:cs="Arial"/>
          <w:highlight w:val="yellow"/>
          <w:lang w:val="en-GB"/>
        </w:rPr>
        <w:t xml:space="preserve"> </w:t>
      </w:r>
      <w:r w:rsidRPr="00241756">
        <w:rPr>
          <w:rFonts w:ascii="Arial" w:hAnsi="Arial" w:cs="Arial"/>
          <w:highlight w:val="yellow"/>
          <w:lang w:val="en-GB"/>
        </w:rPr>
        <w:t>food</w:t>
      </w:r>
      <w:r w:rsidRPr="00502D76">
        <w:rPr>
          <w:rFonts w:ascii="Arial" w:hAnsi="Arial" w:cs="Arial"/>
          <w:lang w:val="en-GB"/>
        </w:rPr>
        <w:t xml:space="preserve"> type used in this work, there will be comparative analyses with other food types. </w:t>
      </w:r>
    </w:p>
    <w:p w14:paraId="11DAFAE0" w14:textId="1CC4EB96" w:rsidR="00502D76" w:rsidRPr="00502D76" w:rsidRDefault="00502D76" w:rsidP="00502D76">
      <w:pPr>
        <w:pStyle w:val="Body"/>
        <w:rPr>
          <w:rFonts w:ascii="Arial" w:hAnsi="Arial" w:cs="Arial"/>
          <w:bCs/>
        </w:rPr>
      </w:pPr>
      <w:r w:rsidRPr="00502D76">
        <w:rPr>
          <w:rFonts w:ascii="Arial" w:hAnsi="Arial" w:cs="Arial"/>
          <w:bCs/>
        </w:rPr>
        <w:t xml:space="preserve">Most of the isolated bacteria do not naturally </w:t>
      </w:r>
      <w:r w:rsidR="007B5482" w:rsidRPr="00502D76">
        <w:rPr>
          <w:rFonts w:ascii="Arial" w:hAnsi="Arial" w:cs="Arial"/>
          <w:bCs/>
        </w:rPr>
        <w:t>colonize</w:t>
      </w:r>
      <w:r w:rsidRPr="00502D76">
        <w:rPr>
          <w:rFonts w:ascii="Arial" w:hAnsi="Arial" w:cs="Arial"/>
          <w:bCs/>
        </w:rPr>
        <w:t xml:space="preserve"> food or </w:t>
      </w:r>
      <w:r w:rsidRPr="00241756">
        <w:rPr>
          <w:rFonts w:ascii="Arial" w:hAnsi="Arial" w:cs="Arial"/>
          <w:bCs/>
          <w:highlight w:val="yellow"/>
        </w:rPr>
        <w:t xml:space="preserve">cause </w:t>
      </w:r>
      <w:r w:rsidR="00A65992" w:rsidRPr="00241756">
        <w:rPr>
          <w:rFonts w:ascii="Arial" w:hAnsi="Arial" w:cs="Arial"/>
          <w:bCs/>
          <w:highlight w:val="yellow"/>
        </w:rPr>
        <w:t>food</w:t>
      </w:r>
      <w:r w:rsidR="00A65992" w:rsidRPr="00241756">
        <w:rPr>
          <w:rFonts w:ascii="Arial" w:hAnsi="Arial" w:cs="Arial"/>
          <w:bCs/>
          <w:highlight w:val="yellow"/>
        </w:rPr>
        <w:t>-</w:t>
      </w:r>
      <w:r w:rsidRPr="00241756">
        <w:rPr>
          <w:rFonts w:ascii="Arial" w:hAnsi="Arial" w:cs="Arial"/>
          <w:bCs/>
          <w:highlight w:val="yellow"/>
        </w:rPr>
        <w:t>related infections</w:t>
      </w:r>
      <w:r w:rsidR="007B5482" w:rsidRPr="00241756">
        <w:rPr>
          <w:rFonts w:ascii="Arial" w:hAnsi="Arial" w:cs="Arial"/>
          <w:bCs/>
          <w:highlight w:val="yellow"/>
        </w:rPr>
        <w:t>. However,</w:t>
      </w:r>
      <w:r w:rsidRPr="00241756">
        <w:rPr>
          <w:rFonts w:ascii="Arial" w:hAnsi="Arial" w:cs="Arial"/>
          <w:bCs/>
          <w:highlight w:val="yellow"/>
        </w:rPr>
        <w:t xml:space="preserve"> food could act as a vehicle </w:t>
      </w:r>
      <w:r w:rsidR="00A65992" w:rsidRPr="00241756">
        <w:rPr>
          <w:rFonts w:ascii="Arial" w:hAnsi="Arial" w:cs="Arial"/>
          <w:bCs/>
          <w:highlight w:val="yellow"/>
        </w:rPr>
        <w:t>for</w:t>
      </w:r>
      <w:r w:rsidR="00A65992" w:rsidRPr="00241756">
        <w:rPr>
          <w:rFonts w:ascii="Arial" w:hAnsi="Arial" w:cs="Arial"/>
          <w:bCs/>
          <w:highlight w:val="yellow"/>
        </w:rPr>
        <w:t xml:space="preserve"> </w:t>
      </w:r>
      <w:r w:rsidRPr="00241756">
        <w:rPr>
          <w:rFonts w:ascii="Arial" w:hAnsi="Arial" w:cs="Arial"/>
          <w:bCs/>
          <w:highlight w:val="yellow"/>
        </w:rPr>
        <w:t xml:space="preserve">spreading them. For instance, </w:t>
      </w:r>
      <w:r w:rsidRPr="00241756">
        <w:rPr>
          <w:rFonts w:ascii="Arial" w:hAnsi="Arial" w:cs="Arial"/>
          <w:bCs/>
          <w:i/>
          <w:iCs/>
          <w:highlight w:val="yellow"/>
        </w:rPr>
        <w:t>Proteu</w:t>
      </w:r>
      <w:r w:rsidRPr="00502D76">
        <w:rPr>
          <w:rFonts w:ascii="Arial" w:hAnsi="Arial" w:cs="Arial"/>
          <w:bCs/>
          <w:i/>
          <w:iCs/>
        </w:rPr>
        <w:t>s mirabilis</w:t>
      </w:r>
      <w:r w:rsidRPr="00502D76">
        <w:rPr>
          <w:rFonts w:ascii="Arial" w:hAnsi="Arial" w:cs="Arial"/>
          <w:bCs/>
        </w:rPr>
        <w:t xml:space="preserve"> is the most common species among the </w:t>
      </w:r>
      <w:r w:rsidRPr="00502D76">
        <w:rPr>
          <w:rFonts w:ascii="Arial" w:hAnsi="Arial" w:cs="Arial"/>
          <w:bCs/>
          <w:i/>
          <w:iCs/>
        </w:rPr>
        <w:t>Proteus</w:t>
      </w:r>
      <w:r w:rsidRPr="00502D76">
        <w:rPr>
          <w:rFonts w:ascii="Arial" w:hAnsi="Arial" w:cs="Arial"/>
          <w:bCs/>
        </w:rPr>
        <w:t xml:space="preserve"> genus that cause</w:t>
      </w:r>
      <w:r w:rsidR="00A65992">
        <w:rPr>
          <w:rFonts w:ascii="Arial" w:hAnsi="Arial" w:cs="Arial"/>
          <w:bCs/>
        </w:rPr>
        <w:t>s</w:t>
      </w:r>
      <w:r w:rsidRPr="00502D76">
        <w:rPr>
          <w:rFonts w:ascii="Arial" w:hAnsi="Arial" w:cs="Arial"/>
          <w:bCs/>
        </w:rPr>
        <w:t xml:space="preserve"> urinary tract infection, with approximately 90% success rate (Chen </w:t>
      </w:r>
      <w:r w:rsidRPr="00502D76">
        <w:rPr>
          <w:rFonts w:ascii="Arial" w:hAnsi="Arial" w:cs="Arial"/>
          <w:bCs/>
          <w:i/>
          <w:iCs/>
        </w:rPr>
        <w:t>et al.</w:t>
      </w:r>
      <w:r w:rsidRPr="00502D76">
        <w:rPr>
          <w:rFonts w:ascii="Arial" w:hAnsi="Arial" w:cs="Arial"/>
          <w:bCs/>
        </w:rPr>
        <w:t xml:space="preserve">, 2012). </w:t>
      </w:r>
      <w:r w:rsidRPr="00241756">
        <w:rPr>
          <w:rFonts w:ascii="Arial" w:hAnsi="Arial" w:cs="Arial"/>
          <w:i/>
          <w:iCs/>
          <w:highlight w:val="yellow"/>
        </w:rPr>
        <w:t>Myroides odoratimimus</w:t>
      </w:r>
      <w:r w:rsidRPr="00502D76">
        <w:rPr>
          <w:rFonts w:ascii="Arial" w:hAnsi="Arial" w:cs="Arial"/>
          <w:i/>
          <w:iCs/>
        </w:rPr>
        <w:t xml:space="preserve"> </w:t>
      </w:r>
      <w:r w:rsidRPr="00502D76">
        <w:rPr>
          <w:rFonts w:ascii="Arial" w:hAnsi="Arial" w:cs="Arial"/>
        </w:rPr>
        <w:t xml:space="preserve">is a rare human pathogen that can lead to soft tissue infection (Maraki </w:t>
      </w:r>
      <w:r w:rsidRPr="00502D76">
        <w:rPr>
          <w:rFonts w:ascii="Arial" w:hAnsi="Arial" w:cs="Arial"/>
          <w:i/>
          <w:iCs/>
        </w:rPr>
        <w:t>et al.</w:t>
      </w:r>
      <w:r w:rsidRPr="00502D76">
        <w:rPr>
          <w:rFonts w:ascii="Arial" w:hAnsi="Arial" w:cs="Arial"/>
        </w:rPr>
        <w:t xml:space="preserve">, 2012) </w:t>
      </w:r>
      <w:r w:rsidR="007B5482" w:rsidRPr="00241756">
        <w:rPr>
          <w:rFonts w:ascii="Arial" w:hAnsi="Arial" w:cs="Arial"/>
          <w:highlight w:val="yellow"/>
        </w:rPr>
        <w:t>and</w:t>
      </w:r>
      <w:r w:rsidRPr="00241756">
        <w:rPr>
          <w:rFonts w:ascii="Arial" w:hAnsi="Arial" w:cs="Arial"/>
          <w:highlight w:val="yellow"/>
        </w:rPr>
        <w:t xml:space="preserve"> </w:t>
      </w:r>
      <w:r w:rsidR="00A65992" w:rsidRPr="00241756">
        <w:rPr>
          <w:rFonts w:ascii="Arial" w:hAnsi="Arial" w:cs="Arial"/>
          <w:highlight w:val="yellow"/>
        </w:rPr>
        <w:t>i</w:t>
      </w:r>
      <w:r w:rsidR="00A65992" w:rsidRPr="00241756">
        <w:rPr>
          <w:rFonts w:ascii="Arial" w:hAnsi="Arial" w:cs="Arial"/>
          <w:highlight w:val="yellow"/>
        </w:rPr>
        <w:t xml:space="preserve">s </w:t>
      </w:r>
      <w:r w:rsidR="00A65992" w:rsidRPr="00241756">
        <w:rPr>
          <w:rFonts w:ascii="Arial" w:hAnsi="Arial" w:cs="Arial"/>
          <w:highlight w:val="yellow"/>
        </w:rPr>
        <w:t>an</w:t>
      </w:r>
      <w:r w:rsidR="00A65992">
        <w:rPr>
          <w:rFonts w:ascii="Arial" w:hAnsi="Arial" w:cs="Arial"/>
        </w:rPr>
        <w:t xml:space="preserve"> </w:t>
      </w:r>
      <w:r w:rsidRPr="00502D76">
        <w:rPr>
          <w:rFonts w:ascii="Arial" w:hAnsi="Arial" w:cs="Arial"/>
        </w:rPr>
        <w:t xml:space="preserve">opportunistic pathogen in diabetic </w:t>
      </w:r>
      <w:r w:rsidRPr="009D0E87">
        <w:rPr>
          <w:rFonts w:ascii="Arial" w:hAnsi="Arial" w:cs="Arial"/>
          <w:highlight w:val="yellow"/>
        </w:rPr>
        <w:t>patients (</w:t>
      </w:r>
      <w:r w:rsidR="00A13448" w:rsidRPr="009D0E87">
        <w:rPr>
          <w:rFonts w:ascii="Arial" w:hAnsi="Arial" w:cs="Arial"/>
          <w:highlight w:val="yellow"/>
        </w:rPr>
        <w:t>Bowling et al., 2012)</w:t>
      </w:r>
      <w:r w:rsidRPr="009D0E87">
        <w:rPr>
          <w:rFonts w:ascii="Arial" w:hAnsi="Arial" w:cs="Arial"/>
          <w:highlight w:val="yellow"/>
        </w:rPr>
        <w:t>.</w:t>
      </w:r>
      <w:r w:rsidRPr="00502D76">
        <w:rPr>
          <w:rFonts w:ascii="Arial" w:hAnsi="Arial" w:cs="Arial"/>
        </w:rPr>
        <w:t xml:space="preserve"> </w:t>
      </w:r>
      <w:r w:rsidRPr="00502D76">
        <w:rPr>
          <w:rFonts w:ascii="Arial" w:hAnsi="Arial" w:cs="Arial"/>
          <w:bCs/>
        </w:rPr>
        <w:t xml:space="preserve">Hence, it </w:t>
      </w:r>
      <w:r w:rsidRPr="00241756">
        <w:rPr>
          <w:rFonts w:ascii="Arial" w:hAnsi="Arial" w:cs="Arial"/>
          <w:bCs/>
          <w:highlight w:val="yellow"/>
        </w:rPr>
        <w:t>would be very</w:t>
      </w:r>
      <w:r w:rsidRPr="00502D76">
        <w:rPr>
          <w:rFonts w:ascii="Arial" w:hAnsi="Arial" w:cs="Arial"/>
          <w:bCs/>
        </w:rPr>
        <w:t xml:space="preserve"> useful to perform further research on Abacha and as well as the food handlers to determine the likely source of these pathogens.  </w:t>
      </w:r>
    </w:p>
    <w:p w14:paraId="18D70C24" w14:textId="0899BB17" w:rsidR="00502D76" w:rsidRPr="00502D76" w:rsidRDefault="00502D76" w:rsidP="00502D76">
      <w:pPr>
        <w:pStyle w:val="Body"/>
        <w:rPr>
          <w:rFonts w:ascii="Arial" w:hAnsi="Arial" w:cs="Arial"/>
          <w:bCs/>
        </w:rPr>
      </w:pPr>
      <w:r w:rsidRPr="00502D76">
        <w:rPr>
          <w:rFonts w:ascii="Arial" w:hAnsi="Arial" w:cs="Arial"/>
          <w:bCs/>
        </w:rPr>
        <w:t xml:space="preserve">Across all the locations sampled, Peter Odili Road had the highest level of bacterial load while Borokiri had the lowest level of bacterial load. Several factors could be attributed to these trends </w:t>
      </w:r>
      <w:r w:rsidRPr="00241756">
        <w:rPr>
          <w:rFonts w:ascii="Arial" w:hAnsi="Arial" w:cs="Arial"/>
          <w:bCs/>
          <w:highlight w:val="yellow"/>
        </w:rPr>
        <w:t xml:space="preserve">observed </w:t>
      </w:r>
      <w:r w:rsidR="00A65992" w:rsidRPr="00241756">
        <w:rPr>
          <w:rFonts w:ascii="Arial" w:hAnsi="Arial" w:cs="Arial"/>
          <w:bCs/>
          <w:highlight w:val="yellow"/>
        </w:rPr>
        <w:t>in</w:t>
      </w:r>
      <w:r w:rsidR="00A65992" w:rsidRPr="00241756">
        <w:rPr>
          <w:rFonts w:ascii="Arial" w:hAnsi="Arial" w:cs="Arial"/>
          <w:bCs/>
          <w:highlight w:val="yellow"/>
        </w:rPr>
        <w:t xml:space="preserve"> </w:t>
      </w:r>
      <w:r w:rsidRPr="00241756">
        <w:rPr>
          <w:rFonts w:ascii="Arial" w:hAnsi="Arial" w:cs="Arial"/>
          <w:bCs/>
          <w:highlight w:val="yellow"/>
        </w:rPr>
        <w:t>the r</w:t>
      </w:r>
      <w:r w:rsidRPr="00502D76">
        <w:rPr>
          <w:rFonts w:ascii="Arial" w:hAnsi="Arial" w:cs="Arial"/>
          <w:bCs/>
        </w:rPr>
        <w:t xml:space="preserve">esults. First, Peter Odili Road is located along the largest slaughterhouse in Rivers State (Otto and Simeon, 2022). Another study showing the geospatial mapping of urban flood-prone areas in Port Harcourt Metropolis pointed out that Peter Odili Road is an area characterized by high </w:t>
      </w:r>
      <w:r w:rsidRPr="00241756">
        <w:rPr>
          <w:rFonts w:ascii="Arial" w:hAnsi="Arial" w:cs="Arial"/>
          <w:bCs/>
          <w:highlight w:val="yellow"/>
        </w:rPr>
        <w:t>level</w:t>
      </w:r>
      <w:r w:rsidR="00A65992" w:rsidRPr="00241756">
        <w:rPr>
          <w:rFonts w:ascii="Arial" w:hAnsi="Arial" w:cs="Arial"/>
          <w:bCs/>
          <w:highlight w:val="yellow"/>
        </w:rPr>
        <w:t>s</w:t>
      </w:r>
      <w:r w:rsidRPr="00241756">
        <w:rPr>
          <w:rFonts w:ascii="Arial" w:hAnsi="Arial" w:cs="Arial"/>
          <w:bCs/>
          <w:highlight w:val="yellow"/>
        </w:rPr>
        <w:t xml:space="preserve"> of</w:t>
      </w:r>
      <w:r w:rsidRPr="00502D76">
        <w:rPr>
          <w:rFonts w:ascii="Arial" w:hAnsi="Arial" w:cs="Arial"/>
          <w:bCs/>
        </w:rPr>
        <w:t xml:space="preserve"> flooding (Wizor and Mpigi, 2020). These factors put together will result in a high burden because of slaughterhouses. For instance, in Imo State of Nigeria</w:t>
      </w:r>
      <w:r w:rsidRPr="00241756">
        <w:rPr>
          <w:rFonts w:ascii="Arial" w:hAnsi="Arial" w:cs="Arial"/>
          <w:bCs/>
          <w:highlight w:val="yellow"/>
        </w:rPr>
        <w:t xml:space="preserve">, </w:t>
      </w:r>
      <w:r w:rsidR="00A65992" w:rsidRPr="00241756">
        <w:rPr>
          <w:rFonts w:ascii="Arial" w:hAnsi="Arial" w:cs="Arial"/>
          <w:bCs/>
          <w:highlight w:val="yellow"/>
        </w:rPr>
        <w:t xml:space="preserve">a </w:t>
      </w:r>
      <w:r w:rsidRPr="00241756">
        <w:rPr>
          <w:rFonts w:ascii="Arial" w:hAnsi="Arial" w:cs="Arial"/>
          <w:bCs/>
          <w:highlight w:val="yellow"/>
        </w:rPr>
        <w:t>significa</w:t>
      </w:r>
      <w:r w:rsidRPr="00502D76">
        <w:rPr>
          <w:rFonts w:ascii="Arial" w:hAnsi="Arial" w:cs="Arial"/>
          <w:bCs/>
        </w:rPr>
        <w:t>ntly high level of bacterial burden of 3.29 × 10</w:t>
      </w:r>
      <w:r w:rsidRPr="00502D76">
        <w:rPr>
          <w:rFonts w:ascii="Arial" w:hAnsi="Arial" w:cs="Arial"/>
          <w:bCs/>
          <w:vertAlign w:val="superscript"/>
        </w:rPr>
        <w:t>9</w:t>
      </w:r>
      <w:r w:rsidRPr="00502D76">
        <w:rPr>
          <w:rFonts w:ascii="Arial" w:hAnsi="Arial" w:cs="Arial"/>
          <w:bCs/>
        </w:rPr>
        <w:t> CFU/cm</w:t>
      </w:r>
      <w:r w:rsidRPr="00502D76">
        <w:rPr>
          <w:rFonts w:ascii="Arial" w:hAnsi="Arial" w:cs="Arial"/>
          <w:bCs/>
          <w:vertAlign w:val="superscript"/>
        </w:rPr>
        <w:t>2</w:t>
      </w:r>
      <w:r w:rsidRPr="00502D76">
        <w:rPr>
          <w:rFonts w:ascii="Arial" w:hAnsi="Arial" w:cs="Arial"/>
          <w:bCs/>
        </w:rPr>
        <w:t xml:space="preserve"> total mean </w:t>
      </w:r>
      <w:r w:rsidRPr="00241756">
        <w:rPr>
          <w:rFonts w:ascii="Arial" w:hAnsi="Arial" w:cs="Arial"/>
          <w:bCs/>
          <w:highlight w:val="yellow"/>
        </w:rPr>
        <w:t>viable count (Uzoi</w:t>
      </w:r>
      <w:r w:rsidRPr="00502D76">
        <w:rPr>
          <w:rFonts w:ascii="Arial" w:hAnsi="Arial" w:cs="Arial"/>
          <w:bCs/>
        </w:rPr>
        <w:t xml:space="preserve">gwe </w:t>
      </w:r>
      <w:r w:rsidRPr="00502D76">
        <w:rPr>
          <w:rFonts w:ascii="Arial" w:hAnsi="Arial" w:cs="Arial"/>
          <w:bCs/>
          <w:i/>
          <w:iCs/>
        </w:rPr>
        <w:t>et al.</w:t>
      </w:r>
      <w:r w:rsidRPr="00502D76">
        <w:rPr>
          <w:rFonts w:ascii="Arial" w:hAnsi="Arial" w:cs="Arial"/>
          <w:bCs/>
        </w:rPr>
        <w:t xml:space="preserve">, 2021) in a slaughterhouse. This is higher than our results because of the high surface area samples were </w:t>
      </w:r>
      <w:r w:rsidRPr="00241756">
        <w:rPr>
          <w:rFonts w:ascii="Arial" w:hAnsi="Arial" w:cs="Arial"/>
          <w:bCs/>
          <w:highlight w:val="yellow"/>
        </w:rPr>
        <w:t>collected.</w:t>
      </w:r>
      <w:r w:rsidRPr="00502D76">
        <w:rPr>
          <w:rFonts w:ascii="Arial" w:hAnsi="Arial" w:cs="Arial"/>
          <w:bCs/>
        </w:rPr>
        <w:t xml:space="preserve"> Again, </w:t>
      </w:r>
      <w:r w:rsidRPr="00502D76">
        <w:rPr>
          <w:rFonts w:ascii="Arial" w:hAnsi="Arial" w:cs="Arial"/>
          <w:bCs/>
          <w:i/>
          <w:iCs/>
        </w:rPr>
        <w:t>Bacillus cereus</w:t>
      </w:r>
      <w:r w:rsidRPr="00502D76">
        <w:rPr>
          <w:rFonts w:ascii="Arial" w:hAnsi="Arial" w:cs="Arial"/>
          <w:bCs/>
        </w:rPr>
        <w:t> (69 × 10</w:t>
      </w:r>
      <w:r w:rsidRPr="00502D76">
        <w:rPr>
          <w:rFonts w:ascii="Arial" w:hAnsi="Arial" w:cs="Arial"/>
          <w:bCs/>
          <w:vertAlign w:val="superscript"/>
        </w:rPr>
        <w:t>8</w:t>
      </w:r>
      <w:r w:rsidRPr="00502D76">
        <w:rPr>
          <w:rFonts w:ascii="Arial" w:hAnsi="Arial" w:cs="Arial"/>
          <w:bCs/>
        </w:rPr>
        <w:t xml:space="preserve"> CFU/ml) and </w:t>
      </w:r>
      <w:r w:rsidRPr="00241756">
        <w:rPr>
          <w:rFonts w:ascii="Arial" w:hAnsi="Arial" w:cs="Arial"/>
          <w:bCs/>
          <w:i/>
          <w:iCs/>
          <w:highlight w:val="yellow"/>
        </w:rPr>
        <w:t>Pseudomonas aeruginosa</w:t>
      </w:r>
      <w:r w:rsidRPr="00241756">
        <w:rPr>
          <w:rFonts w:ascii="Arial" w:hAnsi="Arial" w:cs="Arial"/>
          <w:bCs/>
          <w:highlight w:val="yellow"/>
        </w:rPr>
        <w:t> (201 × 10</w:t>
      </w:r>
      <w:r w:rsidRPr="00241756">
        <w:rPr>
          <w:rFonts w:ascii="Arial" w:hAnsi="Arial" w:cs="Arial"/>
          <w:bCs/>
          <w:highlight w:val="yellow"/>
          <w:vertAlign w:val="superscript"/>
        </w:rPr>
        <w:t>7</w:t>
      </w:r>
      <w:r w:rsidRPr="00241756">
        <w:rPr>
          <w:rFonts w:ascii="Arial" w:hAnsi="Arial" w:cs="Arial"/>
          <w:bCs/>
          <w:highlight w:val="yellow"/>
        </w:rPr>
        <w:t xml:space="preserve"> CFU/ml) have been found in the effluents of the three slaughterhouses in th</w:t>
      </w:r>
      <w:r w:rsidRPr="00502D76">
        <w:rPr>
          <w:rFonts w:ascii="Arial" w:hAnsi="Arial" w:cs="Arial"/>
          <w:bCs/>
        </w:rPr>
        <w:t>e city of Ngaoundéré (Cameroon) (Ngouyamnsa </w:t>
      </w:r>
      <w:r w:rsidRPr="00502D76">
        <w:rPr>
          <w:rFonts w:ascii="Arial" w:hAnsi="Arial" w:cs="Arial"/>
          <w:bCs/>
          <w:i/>
          <w:iCs/>
        </w:rPr>
        <w:t>et al.</w:t>
      </w:r>
      <w:r w:rsidRPr="00502D76">
        <w:rPr>
          <w:rFonts w:ascii="Arial" w:hAnsi="Arial" w:cs="Arial"/>
          <w:bCs/>
        </w:rPr>
        <w:t>, 2023). Borokiri on the other hand is located in a well-planned region with good road networks which could be attributed to the low bacterial burden found.</w:t>
      </w:r>
    </w:p>
    <w:p w14:paraId="0CF96D5D" w14:textId="0CAB2505" w:rsidR="00502D76" w:rsidRPr="00502D76" w:rsidRDefault="00502D76" w:rsidP="00502D76">
      <w:pPr>
        <w:pStyle w:val="Body"/>
        <w:rPr>
          <w:rFonts w:ascii="Arial" w:hAnsi="Arial" w:cs="Arial"/>
          <w:bCs/>
        </w:rPr>
      </w:pPr>
      <w:r w:rsidRPr="00502D76">
        <w:rPr>
          <w:rFonts w:ascii="Arial" w:hAnsi="Arial" w:cs="Arial"/>
          <w:bCs/>
        </w:rPr>
        <w:t xml:space="preserve">No study has evaluated the MAR indices of bacteria isolated from Abacha, hence, this study used multiple antimicrobial resistance (MAR) indices to evaluate the antibiotic resistance profiles of the bacteria. </w:t>
      </w:r>
      <w:r w:rsidR="00A65992" w:rsidRPr="00241756">
        <w:rPr>
          <w:rFonts w:ascii="Arial" w:hAnsi="Arial" w:cs="Arial"/>
          <w:bCs/>
          <w:highlight w:val="yellow"/>
        </w:rPr>
        <w:t>Th</w:t>
      </w:r>
      <w:r w:rsidR="00A65992" w:rsidRPr="00241756">
        <w:rPr>
          <w:rFonts w:ascii="Arial" w:hAnsi="Arial" w:cs="Arial"/>
          <w:bCs/>
          <w:highlight w:val="yellow"/>
        </w:rPr>
        <w:t>ese</w:t>
      </w:r>
      <w:r w:rsidR="00A65992" w:rsidRPr="00241756">
        <w:rPr>
          <w:rFonts w:ascii="Arial" w:hAnsi="Arial" w:cs="Arial"/>
          <w:bCs/>
          <w:highlight w:val="yellow"/>
        </w:rPr>
        <w:t xml:space="preserve"> </w:t>
      </w:r>
      <w:r w:rsidRPr="00241756">
        <w:rPr>
          <w:rFonts w:ascii="Arial" w:hAnsi="Arial" w:cs="Arial"/>
          <w:bCs/>
          <w:highlight w:val="yellow"/>
        </w:rPr>
        <w:t>MAR indices</w:t>
      </w:r>
      <w:r w:rsidRPr="00502D76">
        <w:rPr>
          <w:rFonts w:ascii="Arial" w:hAnsi="Arial" w:cs="Arial"/>
          <w:bCs/>
        </w:rPr>
        <w:t xml:space="preserve"> measure the resistance index of the isolates using the ratio of the number of antibiotics to which an organism is resistant to total the number of antibiotics to which the organism is exposed (Afunwa </w:t>
      </w:r>
      <w:r w:rsidRPr="00502D76">
        <w:rPr>
          <w:rFonts w:ascii="Arial" w:hAnsi="Arial" w:cs="Arial"/>
          <w:bCs/>
          <w:i/>
          <w:iCs/>
        </w:rPr>
        <w:t>et al.</w:t>
      </w:r>
      <w:r w:rsidRPr="00502D76">
        <w:rPr>
          <w:rFonts w:ascii="Arial" w:hAnsi="Arial" w:cs="Arial"/>
          <w:bCs/>
        </w:rPr>
        <w:t xml:space="preserve">, 2020). Bacteria having MAR index ≥ 0.2 originate from a high-risk source of contamination where several antibiotics are used. In this study, all the isolates in this study where above 0.2 MAR index implies a likelihood of these </w:t>
      </w:r>
      <w:r w:rsidRPr="00241756">
        <w:rPr>
          <w:rFonts w:ascii="Arial" w:hAnsi="Arial" w:cs="Arial"/>
          <w:bCs/>
          <w:highlight w:val="yellow"/>
        </w:rPr>
        <w:t>pathogen</w:t>
      </w:r>
      <w:r w:rsidR="00A65992" w:rsidRPr="00241756">
        <w:rPr>
          <w:rFonts w:ascii="Arial" w:hAnsi="Arial" w:cs="Arial"/>
          <w:bCs/>
          <w:highlight w:val="yellow"/>
        </w:rPr>
        <w:t>s</w:t>
      </w:r>
      <w:r w:rsidRPr="00241756">
        <w:rPr>
          <w:rFonts w:ascii="Arial" w:hAnsi="Arial" w:cs="Arial"/>
          <w:bCs/>
          <w:highlight w:val="yellow"/>
        </w:rPr>
        <w:t xml:space="preserve"> being exposed</w:t>
      </w:r>
      <w:r w:rsidRPr="00502D76">
        <w:rPr>
          <w:rFonts w:ascii="Arial" w:hAnsi="Arial" w:cs="Arial"/>
          <w:bCs/>
        </w:rPr>
        <w:t xml:space="preserve"> to antibiotics. In fact, the MAR indices range from as high as 0.65 to as low as 0.39 </w:t>
      </w:r>
      <w:r w:rsidRPr="00241756">
        <w:rPr>
          <w:rFonts w:ascii="Arial" w:hAnsi="Arial" w:cs="Arial"/>
          <w:bCs/>
          <w:highlight w:val="yellow"/>
        </w:rPr>
        <w:t xml:space="preserve">but </w:t>
      </w:r>
      <w:r w:rsidR="00A65992" w:rsidRPr="00241756">
        <w:rPr>
          <w:rFonts w:ascii="Arial" w:hAnsi="Arial" w:cs="Arial"/>
          <w:bCs/>
          <w:highlight w:val="yellow"/>
        </w:rPr>
        <w:t xml:space="preserve">are </w:t>
      </w:r>
      <w:r w:rsidRPr="00241756">
        <w:rPr>
          <w:rFonts w:ascii="Arial" w:hAnsi="Arial" w:cs="Arial"/>
          <w:bCs/>
          <w:highlight w:val="yellow"/>
        </w:rPr>
        <w:t>still above the benchmark of 0.2. This poses a significant question of the phytochemical comp</w:t>
      </w:r>
      <w:r w:rsidRPr="00502D76">
        <w:rPr>
          <w:rFonts w:ascii="Arial" w:hAnsi="Arial" w:cs="Arial"/>
          <w:bCs/>
        </w:rPr>
        <w:t xml:space="preserve">osition of the mixed Abacha. A new area of exposome noted by Monsi </w:t>
      </w:r>
      <w:r w:rsidRPr="00502D76">
        <w:rPr>
          <w:rFonts w:ascii="Arial" w:hAnsi="Arial" w:cs="Arial"/>
          <w:bCs/>
          <w:i/>
          <w:iCs/>
        </w:rPr>
        <w:t>et al.</w:t>
      </w:r>
      <w:r w:rsidRPr="00502D76">
        <w:rPr>
          <w:rFonts w:ascii="Arial" w:hAnsi="Arial" w:cs="Arial"/>
          <w:bCs/>
        </w:rPr>
        <w:t xml:space="preserve"> (2017</w:t>
      </w:r>
      <w:r w:rsidRPr="00241756">
        <w:rPr>
          <w:rFonts w:ascii="Arial" w:hAnsi="Arial" w:cs="Arial"/>
          <w:bCs/>
          <w:highlight w:val="yellow"/>
        </w:rPr>
        <w:t xml:space="preserve">) and Monsi </w:t>
      </w:r>
      <w:r w:rsidRPr="00241756">
        <w:rPr>
          <w:rFonts w:ascii="Arial" w:hAnsi="Arial" w:cs="Arial"/>
          <w:bCs/>
          <w:i/>
          <w:iCs/>
          <w:highlight w:val="yellow"/>
        </w:rPr>
        <w:t>et al.</w:t>
      </w:r>
      <w:r w:rsidRPr="00241756">
        <w:rPr>
          <w:rFonts w:ascii="Arial" w:hAnsi="Arial" w:cs="Arial"/>
          <w:bCs/>
          <w:highlight w:val="yellow"/>
        </w:rPr>
        <w:t xml:space="preserve"> (2018) suggested that the exposure of bacteria to anoxic compounds induce</w:t>
      </w:r>
      <w:r w:rsidR="00A65992" w:rsidRPr="00241756">
        <w:rPr>
          <w:rFonts w:ascii="Arial" w:hAnsi="Arial" w:cs="Arial"/>
          <w:bCs/>
          <w:highlight w:val="yellow"/>
        </w:rPr>
        <w:t>s</w:t>
      </w:r>
      <w:r w:rsidRPr="00241756">
        <w:rPr>
          <w:rFonts w:ascii="Arial" w:hAnsi="Arial" w:cs="Arial"/>
          <w:bCs/>
          <w:highlight w:val="yellow"/>
        </w:rPr>
        <w:t xml:space="preserve"> an</w:t>
      </w:r>
      <w:r w:rsidRPr="00502D76">
        <w:rPr>
          <w:rFonts w:ascii="Arial" w:hAnsi="Arial" w:cs="Arial"/>
          <w:bCs/>
        </w:rPr>
        <w:t>tibiotic resistance. This concept comes from the fact that when bacteria are exposed to stressors, they tend to adapt through the production of factors such as enzymes that enable them to survive.</w:t>
      </w:r>
    </w:p>
    <w:p w14:paraId="57E549AC" w14:textId="77777777" w:rsidR="00502D76" w:rsidRPr="00502D76" w:rsidRDefault="00502D76" w:rsidP="00502D76">
      <w:pPr>
        <w:pStyle w:val="Body"/>
        <w:rPr>
          <w:rFonts w:ascii="Arial" w:hAnsi="Arial" w:cs="Arial"/>
          <w:bCs/>
        </w:rPr>
      </w:pPr>
      <w:r w:rsidRPr="00502D76">
        <w:rPr>
          <w:rFonts w:ascii="Arial" w:hAnsi="Arial" w:cs="Arial"/>
          <w:bCs/>
          <w:lang w:val="en-GB"/>
        </w:rPr>
        <w:lastRenderedPageBreak/>
        <w:t xml:space="preserve">The antimicrobial resistance (AMR) patterns in this study indicate observable variation among bacterial isolates recovered from Abacha. The MAR indices revealed that </w:t>
      </w:r>
      <w:r w:rsidRPr="00502D76">
        <w:rPr>
          <w:rFonts w:ascii="Arial" w:hAnsi="Arial" w:cs="Arial"/>
          <w:bCs/>
          <w:i/>
          <w:iCs/>
          <w:lang w:val="en-GB"/>
        </w:rPr>
        <w:t>Proteus</w:t>
      </w:r>
      <w:r w:rsidRPr="00502D76">
        <w:rPr>
          <w:rFonts w:ascii="Arial" w:hAnsi="Arial" w:cs="Arial"/>
          <w:bCs/>
          <w:lang w:val="en-GB"/>
        </w:rPr>
        <w:t xml:space="preserve"> species and </w:t>
      </w:r>
      <w:r w:rsidRPr="00502D76">
        <w:rPr>
          <w:rFonts w:ascii="Arial" w:hAnsi="Arial" w:cs="Arial"/>
          <w:bCs/>
          <w:i/>
          <w:iCs/>
          <w:lang w:val="en-GB"/>
        </w:rPr>
        <w:t>Providencia huaxiensis</w:t>
      </w:r>
      <w:r w:rsidRPr="00502D76">
        <w:rPr>
          <w:rFonts w:ascii="Arial" w:hAnsi="Arial" w:cs="Arial"/>
          <w:bCs/>
          <w:lang w:val="en-GB"/>
        </w:rPr>
        <w:t xml:space="preserve"> exhibited the highest resistance levels, with indices of 0.80 each. Conversely, </w:t>
      </w:r>
      <w:r w:rsidRPr="00502D76">
        <w:rPr>
          <w:rFonts w:ascii="Arial" w:hAnsi="Arial" w:cs="Arial"/>
          <w:bCs/>
          <w:i/>
          <w:iCs/>
          <w:lang w:val="en-GB"/>
        </w:rPr>
        <w:t>Myroides odoratimimus</w:t>
      </w:r>
      <w:r w:rsidRPr="00502D76">
        <w:rPr>
          <w:rFonts w:ascii="Arial" w:hAnsi="Arial" w:cs="Arial"/>
          <w:bCs/>
          <w:lang w:val="en-GB"/>
        </w:rPr>
        <w:t xml:space="preserve"> and </w:t>
      </w:r>
      <w:r w:rsidRPr="00502D76">
        <w:rPr>
          <w:rFonts w:ascii="Arial" w:hAnsi="Arial" w:cs="Arial"/>
          <w:bCs/>
          <w:i/>
          <w:iCs/>
          <w:lang w:val="en-GB"/>
        </w:rPr>
        <w:t>Citrobacter cronae</w:t>
      </w:r>
      <w:r w:rsidRPr="00502D76">
        <w:rPr>
          <w:rFonts w:ascii="Arial" w:hAnsi="Arial" w:cs="Arial"/>
          <w:bCs/>
          <w:lang w:val="en-GB"/>
        </w:rPr>
        <w:t xml:space="preserve"> had the lowest MAR indices of 0.47 each, suggesting a lower resistance burden. These findings align with previous studies that have reported varying resistance patterns across different bacterial species, often influenced by environmental factors and antibiotic usage patterns (Woh </w:t>
      </w:r>
      <w:r w:rsidRPr="00502D76">
        <w:rPr>
          <w:rFonts w:ascii="Arial" w:hAnsi="Arial" w:cs="Arial"/>
          <w:bCs/>
          <w:i/>
          <w:iCs/>
          <w:lang w:val="en-GB"/>
        </w:rPr>
        <w:t>et al.</w:t>
      </w:r>
      <w:r w:rsidRPr="00502D76">
        <w:rPr>
          <w:rFonts w:ascii="Arial" w:hAnsi="Arial" w:cs="Arial"/>
          <w:bCs/>
          <w:lang w:val="en-GB"/>
        </w:rPr>
        <w:t xml:space="preserve">, 2023; Ghasemian </w:t>
      </w:r>
      <w:r w:rsidRPr="00502D76">
        <w:rPr>
          <w:rFonts w:ascii="Arial" w:hAnsi="Arial" w:cs="Arial"/>
          <w:bCs/>
          <w:i/>
          <w:iCs/>
          <w:lang w:val="en-GB"/>
        </w:rPr>
        <w:t>et al.</w:t>
      </w:r>
      <w:r w:rsidRPr="00502D76">
        <w:rPr>
          <w:rFonts w:ascii="Arial" w:hAnsi="Arial" w:cs="Arial"/>
          <w:bCs/>
          <w:lang w:val="en-GB"/>
        </w:rPr>
        <w:t xml:space="preserve">, 2022). </w:t>
      </w:r>
    </w:p>
    <w:p w14:paraId="124830DE" w14:textId="6B9E843F" w:rsidR="00502D76" w:rsidRPr="00502D76" w:rsidRDefault="00502D76" w:rsidP="00502D76">
      <w:pPr>
        <w:pStyle w:val="Body"/>
        <w:rPr>
          <w:rFonts w:ascii="Arial" w:hAnsi="Arial" w:cs="Arial"/>
        </w:rPr>
      </w:pPr>
      <w:r w:rsidRPr="00502D76">
        <w:rPr>
          <w:rFonts w:ascii="Arial" w:hAnsi="Arial" w:cs="Arial"/>
          <w:bCs/>
        </w:rPr>
        <w:t xml:space="preserve">One of the objectives of the current study was to determine the presence of factors that could have caused the high MAR indices found in this study. In this direction, our study </w:t>
      </w:r>
      <w:r w:rsidR="007B5482" w:rsidRPr="00502D76">
        <w:rPr>
          <w:rFonts w:ascii="Arial" w:hAnsi="Arial" w:cs="Arial"/>
          <w:bCs/>
        </w:rPr>
        <w:t>analyzed</w:t>
      </w:r>
      <w:r w:rsidRPr="00502D76">
        <w:rPr>
          <w:rFonts w:ascii="Arial" w:hAnsi="Arial" w:cs="Arial"/>
          <w:bCs/>
        </w:rPr>
        <w:t xml:space="preserve"> the antibiotics susceptibility profiles of the isolates to determine whether they could produce beta</w:t>
      </w:r>
      <w:r w:rsidR="007B5482">
        <w:rPr>
          <w:rFonts w:ascii="Arial" w:hAnsi="Arial" w:cs="Arial"/>
          <w:bCs/>
        </w:rPr>
        <w:t>-</w:t>
      </w:r>
      <w:r w:rsidRPr="00502D76">
        <w:rPr>
          <w:rFonts w:ascii="Arial" w:hAnsi="Arial" w:cs="Arial"/>
          <w:bCs/>
        </w:rPr>
        <w:t xml:space="preserve">lactamase enzymes. In this current study, it was observed that </w:t>
      </w:r>
      <w:r w:rsidRPr="00502D76">
        <w:rPr>
          <w:rFonts w:ascii="Arial" w:hAnsi="Arial" w:cs="Arial"/>
          <w:i/>
          <w:iCs/>
        </w:rPr>
        <w:t>Proteus mirabilis</w:t>
      </w:r>
      <w:r w:rsidRPr="00502D76">
        <w:rPr>
          <w:rFonts w:ascii="Arial" w:hAnsi="Arial" w:cs="Arial"/>
        </w:rPr>
        <w:t xml:space="preserve"> has the highest MAR index of 0.8 while </w:t>
      </w:r>
      <w:r w:rsidRPr="00502D76">
        <w:rPr>
          <w:rFonts w:ascii="Arial" w:hAnsi="Arial" w:cs="Arial"/>
          <w:i/>
          <w:iCs/>
        </w:rPr>
        <w:t>Myroides odoratimimus</w:t>
      </w:r>
      <w:r w:rsidRPr="00502D76">
        <w:rPr>
          <w:rFonts w:ascii="Arial" w:hAnsi="Arial" w:cs="Arial"/>
        </w:rPr>
        <w:t xml:space="preserve"> and </w:t>
      </w:r>
      <w:r w:rsidRPr="00502D76">
        <w:rPr>
          <w:rFonts w:ascii="Arial" w:hAnsi="Arial" w:cs="Arial"/>
          <w:i/>
          <w:iCs/>
        </w:rPr>
        <w:t>Citrobacter cronae</w:t>
      </w:r>
      <w:r w:rsidRPr="00502D76">
        <w:rPr>
          <w:rFonts w:ascii="Arial" w:hAnsi="Arial" w:cs="Arial"/>
        </w:rPr>
        <w:t xml:space="preserve"> both had the lowest MAR index of 0.47. Similarly, high levels of MAR indices were noted in Mir </w:t>
      </w:r>
      <w:r w:rsidRPr="00502D76">
        <w:rPr>
          <w:rFonts w:ascii="Arial" w:hAnsi="Arial" w:cs="Arial"/>
          <w:i/>
          <w:iCs/>
        </w:rPr>
        <w:t>et al.</w:t>
      </w:r>
      <w:r w:rsidRPr="00502D76">
        <w:rPr>
          <w:rFonts w:ascii="Arial" w:hAnsi="Arial" w:cs="Arial"/>
        </w:rPr>
        <w:t xml:space="preserve"> (2022) which ranged from 0.45 to 0.81 for </w:t>
      </w:r>
      <w:r w:rsidRPr="00502D76">
        <w:rPr>
          <w:rFonts w:ascii="Arial" w:hAnsi="Arial" w:cs="Arial"/>
          <w:i/>
          <w:iCs/>
        </w:rPr>
        <w:t>Salmonella</w:t>
      </w:r>
      <w:r w:rsidRPr="00502D76">
        <w:rPr>
          <w:rFonts w:ascii="Arial" w:hAnsi="Arial" w:cs="Arial"/>
        </w:rPr>
        <w:t xml:space="preserve"> species. </w:t>
      </w:r>
    </w:p>
    <w:p w14:paraId="76875EE8" w14:textId="1CB7E51E" w:rsidR="00502D76" w:rsidRPr="00502D76" w:rsidRDefault="00502D76" w:rsidP="00502D76">
      <w:pPr>
        <w:pStyle w:val="Body"/>
        <w:rPr>
          <w:rFonts w:ascii="Arial" w:hAnsi="Arial" w:cs="Arial"/>
          <w:bCs/>
        </w:rPr>
      </w:pPr>
      <w:r w:rsidRPr="00502D76">
        <w:rPr>
          <w:rFonts w:ascii="Arial" w:hAnsi="Arial" w:cs="Arial"/>
          <w:bCs/>
        </w:rPr>
        <w:t xml:space="preserve">Resistance to different classes of antibiotics has been regarded as one of the most important challenges in public health and food safety. Foods and foodborne pathogens are the main routes of transmission of ARGs to the human gut microbiota, leading to intestinal drug-resistant infections (Pakbin </w:t>
      </w:r>
      <w:r w:rsidRPr="00502D76">
        <w:rPr>
          <w:rFonts w:ascii="Arial" w:hAnsi="Arial" w:cs="Arial"/>
          <w:bCs/>
          <w:i/>
          <w:iCs/>
        </w:rPr>
        <w:t>et al.</w:t>
      </w:r>
      <w:r w:rsidRPr="00502D76">
        <w:rPr>
          <w:rFonts w:ascii="Arial" w:hAnsi="Arial" w:cs="Arial"/>
          <w:bCs/>
        </w:rPr>
        <w:t xml:space="preserve">, 2022a and Pakbin </w:t>
      </w:r>
      <w:r w:rsidRPr="00502D76">
        <w:rPr>
          <w:rFonts w:ascii="Arial" w:hAnsi="Arial" w:cs="Arial"/>
          <w:bCs/>
          <w:i/>
          <w:iCs/>
        </w:rPr>
        <w:t>et al.</w:t>
      </w:r>
      <w:r w:rsidRPr="00502D76">
        <w:rPr>
          <w:rFonts w:ascii="Arial" w:hAnsi="Arial" w:cs="Arial"/>
          <w:bCs/>
        </w:rPr>
        <w:t>, 2022b). The pattern of antimicrobial resistance noted in this study showed that 2</w:t>
      </w:r>
      <w:r w:rsidRPr="00502D76">
        <w:rPr>
          <w:rFonts w:ascii="Arial" w:hAnsi="Arial" w:cs="Arial"/>
          <w:bCs/>
          <w:vertAlign w:val="superscript"/>
        </w:rPr>
        <w:t>nd</w:t>
      </w:r>
      <w:r w:rsidRPr="00502D76">
        <w:rPr>
          <w:rFonts w:ascii="Arial" w:hAnsi="Arial" w:cs="Arial"/>
          <w:bCs/>
        </w:rPr>
        <w:t xml:space="preserve"> and 3</w:t>
      </w:r>
      <w:r w:rsidRPr="00502D76">
        <w:rPr>
          <w:rFonts w:ascii="Arial" w:hAnsi="Arial" w:cs="Arial"/>
          <w:bCs/>
          <w:vertAlign w:val="superscript"/>
        </w:rPr>
        <w:t>rd</w:t>
      </w:r>
      <w:r w:rsidRPr="00502D76">
        <w:rPr>
          <w:rFonts w:ascii="Arial" w:hAnsi="Arial" w:cs="Arial"/>
          <w:bCs/>
        </w:rPr>
        <w:t xml:space="preserve"> cephalosporins such as cefotaxime (3rd generation cephalosporin), ceftriaxone sulbactam (3rd generation cephalosporin + sulbactam), cefexime (3rd generation cephalosporin) and cefuroxime (2nd generation cephalosporin) and penicillins antibiotics had the highest levels of resistance. This could be the reason for the presence </w:t>
      </w:r>
      <w:r w:rsidRPr="00241756">
        <w:rPr>
          <w:rFonts w:ascii="Arial" w:hAnsi="Arial" w:cs="Arial"/>
          <w:bCs/>
          <w:highlight w:val="yellow"/>
        </w:rPr>
        <w:t xml:space="preserve">of </w:t>
      </w:r>
      <w:r w:rsidR="00A65992" w:rsidRPr="00241756">
        <w:rPr>
          <w:rFonts w:ascii="Arial" w:hAnsi="Arial" w:cs="Arial"/>
          <w:bCs/>
          <w:highlight w:val="yellow"/>
        </w:rPr>
        <w:t xml:space="preserve">the </w:t>
      </w:r>
      <w:r w:rsidRPr="00241756">
        <w:rPr>
          <w:rFonts w:ascii="Arial" w:hAnsi="Arial" w:cs="Arial"/>
          <w:bCs/>
          <w:highlight w:val="yellow"/>
        </w:rPr>
        <w:t>beta</w:t>
      </w:r>
      <w:r w:rsidR="00AF1CA2" w:rsidRPr="00241756">
        <w:rPr>
          <w:rFonts w:ascii="Arial" w:hAnsi="Arial" w:cs="Arial"/>
          <w:bCs/>
          <w:highlight w:val="yellow"/>
        </w:rPr>
        <w:t>-</w:t>
      </w:r>
      <w:r w:rsidRPr="00241756">
        <w:rPr>
          <w:rFonts w:ascii="Arial" w:hAnsi="Arial" w:cs="Arial"/>
          <w:bCs/>
          <w:highlight w:val="yellow"/>
        </w:rPr>
        <w:t>lactamase</w:t>
      </w:r>
      <w:r w:rsidRPr="00502D76">
        <w:rPr>
          <w:rFonts w:ascii="Arial" w:hAnsi="Arial" w:cs="Arial"/>
          <w:bCs/>
        </w:rPr>
        <w:t xml:space="preserve"> gene detected in the study. This observation is consistent with global trends indicating widespread resistance to cephalosporins, often linked to the overuse and misuse of these antibiotics in clinical and non-clinical settings (WHO, 2021).  Interestingly, the drug of last resort in patient management, belonging to the </w:t>
      </w:r>
      <w:r w:rsidRPr="00241756">
        <w:rPr>
          <w:rFonts w:ascii="Arial" w:hAnsi="Arial" w:cs="Arial"/>
          <w:bCs/>
          <w:highlight w:val="yellow"/>
        </w:rPr>
        <w:t>carbapenems group of</w:t>
      </w:r>
      <w:r w:rsidRPr="00502D76">
        <w:rPr>
          <w:rFonts w:ascii="Arial" w:hAnsi="Arial" w:cs="Arial"/>
          <w:bCs/>
        </w:rPr>
        <w:t xml:space="preserve"> antibiotics, showed the highest levels of sensitivity to further reinforce their continued efficacy against multidrug-resistant bacterial strains (Ma </w:t>
      </w:r>
      <w:r w:rsidRPr="00502D76">
        <w:rPr>
          <w:rFonts w:ascii="Arial" w:hAnsi="Arial" w:cs="Arial"/>
          <w:bCs/>
          <w:i/>
          <w:iCs/>
        </w:rPr>
        <w:t>et al.</w:t>
      </w:r>
      <w:r w:rsidRPr="00502D76">
        <w:rPr>
          <w:rFonts w:ascii="Arial" w:hAnsi="Arial" w:cs="Arial"/>
          <w:bCs/>
        </w:rPr>
        <w:t>, 2023).</w:t>
      </w:r>
    </w:p>
    <w:p w14:paraId="4250D534" w14:textId="4CFA9D02" w:rsidR="00502D76" w:rsidRPr="00502D76" w:rsidRDefault="00502D76" w:rsidP="00502D76">
      <w:pPr>
        <w:pStyle w:val="Body"/>
        <w:rPr>
          <w:rFonts w:ascii="Arial" w:hAnsi="Arial" w:cs="Arial"/>
          <w:bCs/>
        </w:rPr>
      </w:pPr>
      <w:r w:rsidRPr="00241756">
        <w:rPr>
          <w:rFonts w:ascii="Arial" w:hAnsi="Arial" w:cs="Arial"/>
          <w:bCs/>
          <w:highlight w:val="yellow"/>
        </w:rPr>
        <w:t xml:space="preserve">Foodborne pathogens </w:t>
      </w:r>
      <w:r w:rsidR="007B5482" w:rsidRPr="00241756">
        <w:rPr>
          <w:rFonts w:ascii="Arial" w:hAnsi="Arial" w:cs="Arial"/>
          <w:bCs/>
          <w:highlight w:val="yellow"/>
        </w:rPr>
        <w:t>harbo</w:t>
      </w:r>
      <w:r w:rsidR="00A65992" w:rsidRPr="00241756">
        <w:rPr>
          <w:rFonts w:ascii="Arial" w:hAnsi="Arial" w:cs="Arial"/>
          <w:bCs/>
          <w:highlight w:val="yellow"/>
        </w:rPr>
        <w:t>u</w:t>
      </w:r>
      <w:r w:rsidR="007B5482" w:rsidRPr="00241756">
        <w:rPr>
          <w:rFonts w:ascii="Arial" w:hAnsi="Arial" w:cs="Arial"/>
          <w:bCs/>
          <w:highlight w:val="yellow"/>
        </w:rPr>
        <w:t>ring</w:t>
      </w:r>
      <w:r w:rsidRPr="00241756">
        <w:rPr>
          <w:rFonts w:ascii="Arial" w:hAnsi="Arial" w:cs="Arial"/>
          <w:bCs/>
          <w:highlight w:val="yellow"/>
        </w:rPr>
        <w:t xml:space="preserve"> various</w:t>
      </w:r>
      <w:r w:rsidRPr="00502D76">
        <w:rPr>
          <w:rFonts w:ascii="Arial" w:hAnsi="Arial" w:cs="Arial"/>
          <w:bCs/>
        </w:rPr>
        <w:t xml:space="preserve"> virulence factors and producing heat-stable toxins are another threat to food safety. Beta-lactam resistance genes, including </w:t>
      </w:r>
      <w:r w:rsidRPr="00502D76">
        <w:rPr>
          <w:rFonts w:ascii="Arial" w:hAnsi="Arial" w:cs="Arial"/>
          <w:bCs/>
          <w:i/>
          <w:iCs/>
        </w:rPr>
        <w:t>bla</w:t>
      </w:r>
      <w:r w:rsidRPr="00502D76">
        <w:rPr>
          <w:rFonts w:ascii="Arial" w:hAnsi="Arial" w:cs="Arial"/>
          <w:bCs/>
        </w:rPr>
        <w:t> genes, have been most frequently detected in food samples. In this study, we detected beta-lactam resistance genes, including </w:t>
      </w:r>
      <w:r w:rsidRPr="00502D76">
        <w:rPr>
          <w:rFonts w:ascii="Arial" w:hAnsi="Arial" w:cs="Arial"/>
          <w:bCs/>
          <w:i/>
          <w:iCs/>
        </w:rPr>
        <w:t>bla</w:t>
      </w:r>
      <w:r w:rsidRPr="00502D76">
        <w:rPr>
          <w:rFonts w:ascii="Arial" w:hAnsi="Arial" w:cs="Arial"/>
          <w:bCs/>
          <w:vertAlign w:val="subscript"/>
        </w:rPr>
        <w:t>TEM</w:t>
      </w:r>
      <w:r w:rsidRPr="00502D76">
        <w:rPr>
          <w:rFonts w:ascii="Arial" w:hAnsi="Arial" w:cs="Arial"/>
          <w:bCs/>
        </w:rPr>
        <w:t xml:space="preserve"> but no </w:t>
      </w:r>
      <w:r w:rsidRPr="00502D76">
        <w:rPr>
          <w:rFonts w:ascii="Arial" w:hAnsi="Arial" w:cs="Arial"/>
          <w:bCs/>
          <w:i/>
          <w:iCs/>
        </w:rPr>
        <w:t>bla</w:t>
      </w:r>
      <w:r w:rsidRPr="00502D76">
        <w:rPr>
          <w:rFonts w:ascii="Arial" w:hAnsi="Arial" w:cs="Arial"/>
          <w:bCs/>
          <w:vertAlign w:val="subscript"/>
        </w:rPr>
        <w:t>SHV</w:t>
      </w:r>
      <w:r w:rsidRPr="00502D76">
        <w:rPr>
          <w:rFonts w:ascii="Arial" w:hAnsi="Arial" w:cs="Arial"/>
          <w:bCs/>
        </w:rPr>
        <w:t xml:space="preserve"> was detected in any of the </w:t>
      </w:r>
      <w:r w:rsidR="007B5482" w:rsidRPr="00502D76">
        <w:rPr>
          <w:rFonts w:ascii="Arial" w:hAnsi="Arial" w:cs="Arial"/>
          <w:bCs/>
        </w:rPr>
        <w:t>samples</w:t>
      </w:r>
      <w:r w:rsidRPr="00502D76">
        <w:rPr>
          <w:rFonts w:ascii="Arial" w:hAnsi="Arial" w:cs="Arial"/>
          <w:bCs/>
        </w:rPr>
        <w:t xml:space="preserve">. Beta-lactamases are the main enzymes responsible for the resistance of Gram-negative bacteria (Wu </w:t>
      </w:r>
      <w:r w:rsidRPr="00502D76">
        <w:rPr>
          <w:rFonts w:ascii="Arial" w:hAnsi="Arial" w:cs="Arial"/>
          <w:bCs/>
          <w:i/>
          <w:iCs/>
        </w:rPr>
        <w:t>et al.</w:t>
      </w:r>
      <w:r w:rsidRPr="00502D76">
        <w:rPr>
          <w:rFonts w:ascii="Arial" w:hAnsi="Arial" w:cs="Arial"/>
          <w:bCs/>
        </w:rPr>
        <w:t xml:space="preserve">, 2020). There are limited studies concerning the presence of different antimicrobial resistance genes in Abacha food samples. However, several studies reported and investigated the presence of ARGs in food samples such as processed dairy products and sweet foods. For instance, Wu </w:t>
      </w:r>
      <w:r w:rsidRPr="00502D76">
        <w:rPr>
          <w:rFonts w:ascii="Arial" w:hAnsi="Arial" w:cs="Arial"/>
          <w:bCs/>
          <w:i/>
          <w:iCs/>
        </w:rPr>
        <w:t>et al.</w:t>
      </w:r>
      <w:r w:rsidRPr="00502D76">
        <w:rPr>
          <w:rFonts w:ascii="Arial" w:hAnsi="Arial" w:cs="Arial"/>
          <w:bCs/>
        </w:rPr>
        <w:t xml:space="preserve"> (2020) investigated the prevalences of antimicrobial resistance genes in high-moisture sweet samples, and they found the largest prevalence of the </w:t>
      </w:r>
      <w:r w:rsidRPr="00502D76">
        <w:rPr>
          <w:rFonts w:ascii="Arial" w:hAnsi="Arial" w:cs="Arial"/>
          <w:bCs/>
          <w:i/>
          <w:iCs/>
        </w:rPr>
        <w:t>tetW</w:t>
      </w:r>
      <w:r w:rsidRPr="00502D76">
        <w:rPr>
          <w:rFonts w:ascii="Arial" w:hAnsi="Arial" w:cs="Arial"/>
          <w:bCs/>
        </w:rPr>
        <w:t>, </w:t>
      </w:r>
      <w:r w:rsidRPr="00502D76">
        <w:rPr>
          <w:rFonts w:ascii="Arial" w:hAnsi="Arial" w:cs="Arial"/>
          <w:bCs/>
          <w:i/>
          <w:iCs/>
        </w:rPr>
        <w:t>tetT,</w:t>
      </w:r>
      <w:r w:rsidRPr="00502D76">
        <w:rPr>
          <w:rFonts w:ascii="Arial" w:hAnsi="Arial" w:cs="Arial"/>
          <w:bCs/>
        </w:rPr>
        <w:t> and </w:t>
      </w:r>
      <w:r w:rsidRPr="00502D76">
        <w:rPr>
          <w:rFonts w:ascii="Arial" w:hAnsi="Arial" w:cs="Arial"/>
          <w:bCs/>
          <w:i/>
          <w:iCs/>
        </w:rPr>
        <w:t>tetA46</w:t>
      </w:r>
      <w:r w:rsidRPr="00502D76">
        <w:rPr>
          <w:rFonts w:ascii="Arial" w:hAnsi="Arial" w:cs="Arial"/>
          <w:bCs/>
        </w:rPr>
        <w:t> genes in these samples are associated with resistance to antibiotics belonging to the class of tetracyclines. They also detected the </w:t>
      </w:r>
      <w:r w:rsidRPr="00502D76">
        <w:rPr>
          <w:rFonts w:ascii="Arial" w:hAnsi="Arial" w:cs="Arial"/>
          <w:bCs/>
          <w:i/>
          <w:iCs/>
        </w:rPr>
        <w:t>erm41</w:t>
      </w:r>
      <w:r w:rsidRPr="00502D76">
        <w:rPr>
          <w:rFonts w:ascii="Arial" w:hAnsi="Arial" w:cs="Arial"/>
          <w:bCs/>
        </w:rPr>
        <w:t> and </w:t>
      </w:r>
      <w:r w:rsidRPr="00502D76">
        <w:rPr>
          <w:rFonts w:ascii="Arial" w:hAnsi="Arial" w:cs="Arial"/>
          <w:bCs/>
          <w:i/>
          <w:iCs/>
        </w:rPr>
        <w:t>tlrC</w:t>
      </w:r>
      <w:r w:rsidRPr="00502D76">
        <w:rPr>
          <w:rFonts w:ascii="Arial" w:hAnsi="Arial" w:cs="Arial"/>
          <w:bCs/>
        </w:rPr>
        <w:t xml:space="preserve"> genes associated with resistance against the antibiotic class of macrolides. </w:t>
      </w:r>
    </w:p>
    <w:p w14:paraId="2CE39B28" w14:textId="6237BB4B" w:rsidR="00502D76" w:rsidRPr="00502D76" w:rsidRDefault="00502D76" w:rsidP="00502D76">
      <w:pPr>
        <w:pStyle w:val="Body"/>
        <w:rPr>
          <w:rFonts w:ascii="Arial" w:hAnsi="Arial" w:cs="Arial"/>
          <w:bCs/>
        </w:rPr>
      </w:pPr>
      <w:r w:rsidRPr="00502D76">
        <w:rPr>
          <w:rFonts w:ascii="Arial" w:hAnsi="Arial" w:cs="Arial"/>
          <w:bCs/>
        </w:rPr>
        <w:t xml:space="preserve">A key significance of this study lies in the fact that bacteria multiply rapidly in the presence of moisture, nutrients and specific temperature for growth usually between 5°C and 63°C (Qui </w:t>
      </w:r>
      <w:r w:rsidRPr="00502D76">
        <w:rPr>
          <w:rFonts w:ascii="Arial" w:hAnsi="Arial" w:cs="Arial"/>
          <w:bCs/>
          <w:i/>
          <w:iCs/>
        </w:rPr>
        <w:t>et al.</w:t>
      </w:r>
      <w:r w:rsidRPr="00502D76">
        <w:rPr>
          <w:rFonts w:ascii="Arial" w:hAnsi="Arial" w:cs="Arial"/>
          <w:bCs/>
        </w:rPr>
        <w:t xml:space="preserve">, 2022). This temperature specification falls within the actual temperature that the handlers work in. Again, the constituent of the Abacha could also affect the </w:t>
      </w:r>
      <w:r w:rsidRPr="00241756">
        <w:rPr>
          <w:rFonts w:ascii="Arial" w:hAnsi="Arial" w:cs="Arial"/>
          <w:bCs/>
          <w:highlight w:val="yellow"/>
        </w:rPr>
        <w:t>bacteria</w:t>
      </w:r>
      <w:r w:rsidR="00A65992" w:rsidRPr="00241756">
        <w:rPr>
          <w:rFonts w:ascii="Arial" w:hAnsi="Arial" w:cs="Arial"/>
          <w:bCs/>
          <w:highlight w:val="yellow"/>
        </w:rPr>
        <w:t>'s</w:t>
      </w:r>
      <w:r w:rsidRPr="00241756">
        <w:rPr>
          <w:rFonts w:ascii="Arial" w:hAnsi="Arial" w:cs="Arial"/>
          <w:bCs/>
          <w:highlight w:val="yellow"/>
        </w:rPr>
        <w:t xml:space="preserve"> antibiotic</w:t>
      </w:r>
      <w:r w:rsidRPr="00502D76">
        <w:rPr>
          <w:rFonts w:ascii="Arial" w:hAnsi="Arial" w:cs="Arial"/>
          <w:bCs/>
        </w:rPr>
        <w:t xml:space="preserve"> response thereby making some of the pathogens develop antibiotic resistance as pointed out </w:t>
      </w:r>
      <w:r w:rsidRPr="00502D76">
        <w:rPr>
          <w:rFonts w:ascii="Arial" w:hAnsi="Arial" w:cs="Arial"/>
          <w:bCs/>
        </w:rPr>
        <w:lastRenderedPageBreak/>
        <w:t xml:space="preserve">by Monsi </w:t>
      </w:r>
      <w:r w:rsidRPr="00502D76">
        <w:rPr>
          <w:rFonts w:ascii="Arial" w:hAnsi="Arial" w:cs="Arial"/>
          <w:bCs/>
          <w:i/>
          <w:iCs/>
        </w:rPr>
        <w:t>et al.</w:t>
      </w:r>
      <w:r w:rsidRPr="00502D76">
        <w:rPr>
          <w:rFonts w:ascii="Arial" w:hAnsi="Arial" w:cs="Arial"/>
          <w:bCs/>
        </w:rPr>
        <w:t xml:space="preserve"> (2017). Poor sanitation, unhygienic food handling and improper preservation and packaging of food are considered common </w:t>
      </w:r>
      <w:r w:rsidRPr="00241756">
        <w:rPr>
          <w:rFonts w:ascii="Arial" w:hAnsi="Arial" w:cs="Arial"/>
          <w:bCs/>
          <w:highlight w:val="yellow"/>
        </w:rPr>
        <w:t xml:space="preserve">causes </w:t>
      </w:r>
      <w:r w:rsidR="00A65992" w:rsidRPr="00241756">
        <w:rPr>
          <w:rFonts w:ascii="Arial" w:hAnsi="Arial" w:cs="Arial"/>
          <w:bCs/>
          <w:highlight w:val="yellow"/>
        </w:rPr>
        <w:t>of</w:t>
      </w:r>
      <w:r w:rsidR="00A65992" w:rsidRPr="00241756">
        <w:rPr>
          <w:rFonts w:ascii="Arial" w:hAnsi="Arial" w:cs="Arial"/>
          <w:bCs/>
          <w:highlight w:val="yellow"/>
        </w:rPr>
        <w:t xml:space="preserve"> </w:t>
      </w:r>
      <w:r w:rsidRPr="00241756">
        <w:rPr>
          <w:rFonts w:ascii="Arial" w:hAnsi="Arial" w:cs="Arial"/>
          <w:bCs/>
          <w:highlight w:val="yellow"/>
        </w:rPr>
        <w:t>food poisoning</w:t>
      </w:r>
      <w:r w:rsidRPr="00502D76">
        <w:rPr>
          <w:rFonts w:ascii="Arial" w:hAnsi="Arial" w:cs="Arial"/>
          <w:bCs/>
        </w:rPr>
        <w:t xml:space="preserve"> as the bacteria could be transferred to food and they can grow and produce toxins. This cross-contamination can occur via the respiratory tract by coughing and sneezing and contamination occurs also after heat treatment of the food (Mohammed </w:t>
      </w:r>
      <w:r w:rsidRPr="00502D76">
        <w:rPr>
          <w:rFonts w:ascii="Arial" w:hAnsi="Arial" w:cs="Arial"/>
          <w:bCs/>
          <w:i/>
          <w:iCs/>
        </w:rPr>
        <w:t>et al.</w:t>
      </w:r>
      <w:r w:rsidRPr="00502D76">
        <w:rPr>
          <w:rFonts w:ascii="Arial" w:hAnsi="Arial" w:cs="Arial"/>
          <w:bCs/>
        </w:rPr>
        <w:t>, 2016).</w:t>
      </w:r>
    </w:p>
    <w:p w14:paraId="13916217" w14:textId="1704024D" w:rsidR="00E053D0" w:rsidRPr="00F771B1" w:rsidRDefault="00502D76" w:rsidP="00F771B1">
      <w:pPr>
        <w:pStyle w:val="Body"/>
        <w:rPr>
          <w:rFonts w:ascii="Arial" w:hAnsi="Arial" w:cs="Arial"/>
          <w:bCs/>
        </w:rPr>
      </w:pPr>
      <w:r w:rsidRPr="00502D76">
        <w:rPr>
          <w:rFonts w:ascii="Arial" w:hAnsi="Arial" w:cs="Arial"/>
          <w:bCs/>
        </w:rPr>
        <w:t xml:space="preserve">The study </w:t>
      </w:r>
      <w:r w:rsidRPr="00241756">
        <w:rPr>
          <w:rFonts w:ascii="Arial" w:hAnsi="Arial" w:cs="Arial"/>
          <w:bCs/>
          <w:highlight w:val="yellow"/>
        </w:rPr>
        <w:t xml:space="preserve">used </w:t>
      </w:r>
      <w:r w:rsidR="00A65992" w:rsidRPr="00241756">
        <w:rPr>
          <w:rFonts w:ascii="Arial" w:hAnsi="Arial" w:cs="Arial"/>
          <w:bCs/>
          <w:highlight w:val="yellow"/>
        </w:rPr>
        <w:t xml:space="preserve">a </w:t>
      </w:r>
      <w:r w:rsidRPr="00241756">
        <w:rPr>
          <w:rFonts w:ascii="Arial" w:hAnsi="Arial" w:cs="Arial"/>
          <w:bCs/>
          <w:highlight w:val="yellow"/>
        </w:rPr>
        <w:t>small sa</w:t>
      </w:r>
      <w:r w:rsidRPr="00502D76">
        <w:rPr>
          <w:rFonts w:ascii="Arial" w:hAnsi="Arial" w:cs="Arial"/>
          <w:bCs/>
        </w:rPr>
        <w:t>mple size. The study could have been advanced through the performance of high-performance liquid chromatography tec</w:t>
      </w:r>
      <w:r w:rsidRPr="00241756">
        <w:rPr>
          <w:rFonts w:ascii="Arial" w:hAnsi="Arial" w:cs="Arial"/>
          <w:bCs/>
          <w:highlight w:val="yellow"/>
        </w:rPr>
        <w:t>hnique</w:t>
      </w:r>
      <w:r w:rsidR="00A65992" w:rsidRPr="00241756">
        <w:rPr>
          <w:rFonts w:ascii="Arial" w:hAnsi="Arial" w:cs="Arial"/>
          <w:bCs/>
          <w:highlight w:val="yellow"/>
        </w:rPr>
        <w:t>s</w:t>
      </w:r>
      <w:r w:rsidRPr="00502D76">
        <w:rPr>
          <w:rFonts w:ascii="Arial" w:hAnsi="Arial" w:cs="Arial"/>
          <w:bCs/>
        </w:rPr>
        <w:t xml:space="preserve"> to determine, quantitatively and qualitatively, the constituents of the entire mixture of Abacha. This could bring out potential compounds that could induce antibiotic resistance to the bacterial isolates found in the food. Sequencing of the antibiotic resistance genes is another area that could be explored to show possible variation in the gene sequence with other known sequences.</w:t>
      </w:r>
    </w:p>
    <w:p w14:paraId="4B6CC47A" w14:textId="77777777" w:rsidR="00790ADA" w:rsidRPr="00FB3A86" w:rsidRDefault="00790ADA" w:rsidP="00441B6F">
      <w:pPr>
        <w:pStyle w:val="Body"/>
        <w:spacing w:after="0"/>
        <w:rPr>
          <w:rFonts w:ascii="Arial" w:hAnsi="Arial" w:cs="Arial"/>
        </w:rPr>
      </w:pPr>
    </w:p>
    <w:p w14:paraId="26BA5809" w14:textId="4BD615D6" w:rsidR="00B01FCD" w:rsidRDefault="00502D76"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5D01155" w14:textId="77777777" w:rsidR="00790ADA" w:rsidRPr="00FB3A86" w:rsidRDefault="00790ADA" w:rsidP="00441B6F">
      <w:pPr>
        <w:pStyle w:val="ConcHead"/>
        <w:spacing w:after="0"/>
        <w:jc w:val="both"/>
        <w:rPr>
          <w:rFonts w:ascii="Arial" w:hAnsi="Arial" w:cs="Arial"/>
        </w:rPr>
      </w:pPr>
    </w:p>
    <w:p w14:paraId="4B1E70C5" w14:textId="0C208546" w:rsidR="007B5482" w:rsidRPr="007B5482" w:rsidRDefault="007B5482" w:rsidP="007B5482">
      <w:pPr>
        <w:pStyle w:val="Body"/>
        <w:spacing w:after="0"/>
        <w:rPr>
          <w:rFonts w:ascii="Arial" w:hAnsi="Arial" w:cs="Arial"/>
        </w:rPr>
      </w:pPr>
      <w:r w:rsidRPr="007B5482">
        <w:rPr>
          <w:rFonts w:ascii="Arial" w:hAnsi="Arial" w:cs="Arial"/>
          <w:bCs/>
        </w:rPr>
        <w:t xml:space="preserve">The findings from this study showed the most prevalent bacteria was </w:t>
      </w:r>
      <w:r w:rsidRPr="007B5482">
        <w:rPr>
          <w:rFonts w:ascii="Arial" w:hAnsi="Arial" w:cs="Arial"/>
          <w:bCs/>
          <w:i/>
          <w:iCs/>
        </w:rPr>
        <w:t xml:space="preserve">Proteus mirabilis </w:t>
      </w:r>
      <w:r w:rsidRPr="007B5482">
        <w:rPr>
          <w:rFonts w:ascii="Arial" w:hAnsi="Arial" w:cs="Arial"/>
          <w:bCs/>
        </w:rPr>
        <w:t>with Peter Odili Road</w:t>
      </w:r>
      <w:r w:rsidR="008F5718">
        <w:rPr>
          <w:rFonts w:ascii="Arial" w:hAnsi="Arial" w:cs="Arial"/>
          <w:bCs/>
        </w:rPr>
        <w:t xml:space="preserve"> </w:t>
      </w:r>
      <w:r w:rsidRPr="007B5482">
        <w:rPr>
          <w:rFonts w:ascii="Arial" w:hAnsi="Arial" w:cs="Arial"/>
          <w:bCs/>
        </w:rPr>
        <w:t xml:space="preserve">as the location with the highest bacterial load while Borokiri </w:t>
      </w:r>
      <w:r w:rsidR="008F5718">
        <w:rPr>
          <w:rFonts w:ascii="Arial" w:hAnsi="Arial" w:cs="Arial"/>
          <w:bCs/>
        </w:rPr>
        <w:t>h</w:t>
      </w:r>
      <w:r w:rsidRPr="007B5482">
        <w:rPr>
          <w:rFonts w:ascii="Arial" w:hAnsi="Arial" w:cs="Arial"/>
          <w:bCs/>
        </w:rPr>
        <w:t xml:space="preserve">ad the lowest level of </w:t>
      </w:r>
      <w:r w:rsidR="008F5718" w:rsidRPr="007B5482">
        <w:rPr>
          <w:rFonts w:ascii="Arial" w:hAnsi="Arial" w:cs="Arial"/>
          <w:bCs/>
        </w:rPr>
        <w:t>bacteria</w:t>
      </w:r>
      <w:r w:rsidRPr="007B5482">
        <w:rPr>
          <w:rFonts w:ascii="Arial" w:hAnsi="Arial" w:cs="Arial"/>
          <w:bCs/>
        </w:rPr>
        <w:t xml:space="preserve">. The microbial load based on the </w:t>
      </w:r>
      <w:r w:rsidR="008F5718">
        <w:rPr>
          <w:rFonts w:ascii="Arial" w:hAnsi="Arial" w:cs="Arial"/>
          <w:bCs/>
        </w:rPr>
        <w:t>LGAs</w:t>
      </w:r>
      <w:r w:rsidRPr="007B5482">
        <w:rPr>
          <w:rFonts w:ascii="Arial" w:hAnsi="Arial" w:cs="Arial"/>
          <w:bCs/>
        </w:rPr>
        <w:t xml:space="preserve"> </w:t>
      </w:r>
      <w:r w:rsidRPr="00241756">
        <w:rPr>
          <w:rFonts w:ascii="Arial" w:hAnsi="Arial" w:cs="Arial"/>
          <w:bCs/>
          <w:highlight w:val="yellow"/>
        </w:rPr>
        <w:t xml:space="preserve">showed the Obio/Akpor LGA has </w:t>
      </w:r>
      <w:r w:rsidR="008F5718" w:rsidRPr="00241756">
        <w:rPr>
          <w:rFonts w:ascii="Arial" w:hAnsi="Arial" w:cs="Arial"/>
          <w:bCs/>
          <w:highlight w:val="yellow"/>
        </w:rPr>
        <w:t>a</w:t>
      </w:r>
      <w:r w:rsidRPr="00241756">
        <w:rPr>
          <w:rFonts w:ascii="Arial" w:hAnsi="Arial" w:cs="Arial"/>
          <w:bCs/>
          <w:highlight w:val="yellow"/>
        </w:rPr>
        <w:t xml:space="preserve"> higher microbial load than Port Harcourt City LGA. The bacterial </w:t>
      </w:r>
      <w:r w:rsidR="00A65992" w:rsidRPr="00241756">
        <w:rPr>
          <w:rFonts w:ascii="Arial" w:hAnsi="Arial" w:cs="Arial"/>
          <w:bCs/>
          <w:highlight w:val="yellow"/>
        </w:rPr>
        <w:t>isolate</w:t>
      </w:r>
      <w:r w:rsidR="00A65992" w:rsidRPr="00241756">
        <w:rPr>
          <w:rFonts w:ascii="Arial" w:hAnsi="Arial" w:cs="Arial"/>
          <w:bCs/>
          <w:highlight w:val="yellow"/>
        </w:rPr>
        <w:t>s</w:t>
      </w:r>
      <w:r w:rsidR="00A65992" w:rsidRPr="00241756">
        <w:rPr>
          <w:rFonts w:ascii="Arial" w:hAnsi="Arial" w:cs="Arial"/>
          <w:bCs/>
          <w:highlight w:val="yellow"/>
        </w:rPr>
        <w:t xml:space="preserve"> </w:t>
      </w:r>
      <w:r w:rsidRPr="00241756">
        <w:rPr>
          <w:rFonts w:ascii="Arial" w:hAnsi="Arial" w:cs="Arial"/>
          <w:bCs/>
          <w:highlight w:val="yellow"/>
        </w:rPr>
        <w:t>showed</w:t>
      </w:r>
      <w:r w:rsidRPr="007B5482">
        <w:rPr>
          <w:rFonts w:ascii="Arial" w:hAnsi="Arial" w:cs="Arial"/>
          <w:bCs/>
        </w:rPr>
        <w:t xml:space="preserve"> the highest MAR indices in Woji and the lowest indices in Ikoku. The average MAR indices of bacteria in Obio/Akpor were marginally higher than </w:t>
      </w:r>
      <w:r w:rsidRPr="00241756">
        <w:rPr>
          <w:rFonts w:ascii="Arial" w:hAnsi="Arial" w:cs="Arial"/>
          <w:bCs/>
          <w:highlight w:val="yellow"/>
        </w:rPr>
        <w:t xml:space="preserve">those </w:t>
      </w:r>
      <w:r w:rsidR="00A65992" w:rsidRPr="00241756">
        <w:rPr>
          <w:rFonts w:ascii="Arial" w:hAnsi="Arial" w:cs="Arial"/>
          <w:bCs/>
          <w:highlight w:val="yellow"/>
        </w:rPr>
        <w:t xml:space="preserve">of </w:t>
      </w:r>
      <w:r w:rsidRPr="00241756">
        <w:rPr>
          <w:rFonts w:ascii="Arial" w:hAnsi="Arial" w:cs="Arial"/>
          <w:bCs/>
          <w:highlight w:val="yellow"/>
        </w:rPr>
        <w:t>bact</w:t>
      </w:r>
      <w:r w:rsidRPr="007B5482">
        <w:rPr>
          <w:rFonts w:ascii="Arial" w:hAnsi="Arial" w:cs="Arial"/>
          <w:bCs/>
        </w:rPr>
        <w:t xml:space="preserve">eria in Port Harcourt City. </w:t>
      </w:r>
      <w:r w:rsidRPr="007B5482">
        <w:rPr>
          <w:rFonts w:ascii="Arial" w:hAnsi="Arial" w:cs="Arial"/>
          <w:bCs/>
          <w:i/>
          <w:iCs/>
        </w:rPr>
        <w:t>Proteus</w:t>
      </w:r>
      <w:r w:rsidRPr="007B5482">
        <w:rPr>
          <w:rFonts w:ascii="Arial" w:hAnsi="Arial" w:cs="Arial"/>
          <w:bCs/>
        </w:rPr>
        <w:t xml:space="preserve"> species and </w:t>
      </w:r>
      <w:r w:rsidRPr="007B5482">
        <w:rPr>
          <w:rFonts w:ascii="Arial" w:hAnsi="Arial" w:cs="Arial"/>
          <w:bCs/>
          <w:i/>
          <w:iCs/>
        </w:rPr>
        <w:t>Providentia</w:t>
      </w:r>
      <w:r w:rsidRPr="007B5482">
        <w:rPr>
          <w:rFonts w:ascii="Arial" w:hAnsi="Arial" w:cs="Arial"/>
          <w:bCs/>
        </w:rPr>
        <w:t xml:space="preserve"> </w:t>
      </w:r>
      <w:r w:rsidRPr="007B5482">
        <w:rPr>
          <w:rFonts w:ascii="Arial" w:hAnsi="Arial" w:cs="Arial"/>
          <w:i/>
          <w:iCs/>
        </w:rPr>
        <w:t>huaxiensis</w:t>
      </w:r>
      <w:r w:rsidRPr="007B5482">
        <w:rPr>
          <w:rFonts w:ascii="Arial" w:hAnsi="Arial" w:cs="Arial"/>
          <w:bCs/>
        </w:rPr>
        <w:t xml:space="preserve"> had the highest level of MAR indices ranging from 0.73 to 0.80 for </w:t>
      </w:r>
      <w:r w:rsidRPr="007B5482">
        <w:rPr>
          <w:rFonts w:ascii="Arial" w:hAnsi="Arial" w:cs="Arial"/>
          <w:bCs/>
          <w:i/>
          <w:iCs/>
        </w:rPr>
        <w:t>Proteus</w:t>
      </w:r>
      <w:r w:rsidRPr="007B5482">
        <w:rPr>
          <w:rFonts w:ascii="Arial" w:hAnsi="Arial" w:cs="Arial"/>
          <w:bCs/>
        </w:rPr>
        <w:t xml:space="preserve"> species and 0.8 for </w:t>
      </w:r>
      <w:r w:rsidRPr="007B5482">
        <w:rPr>
          <w:rFonts w:ascii="Arial" w:hAnsi="Arial" w:cs="Arial"/>
          <w:bCs/>
          <w:i/>
          <w:iCs/>
        </w:rPr>
        <w:t>Providentia</w:t>
      </w:r>
      <w:r w:rsidRPr="007B5482">
        <w:rPr>
          <w:rFonts w:ascii="Arial" w:hAnsi="Arial" w:cs="Arial"/>
          <w:bCs/>
        </w:rPr>
        <w:t xml:space="preserve"> </w:t>
      </w:r>
      <w:r w:rsidRPr="007B5482">
        <w:rPr>
          <w:rFonts w:ascii="Arial" w:hAnsi="Arial" w:cs="Arial"/>
          <w:i/>
          <w:iCs/>
        </w:rPr>
        <w:t>huaxiensis</w:t>
      </w:r>
      <w:r w:rsidRPr="007B5482">
        <w:rPr>
          <w:rFonts w:ascii="Arial" w:hAnsi="Arial" w:cs="Arial"/>
          <w:bCs/>
        </w:rPr>
        <w:t xml:space="preserve">. </w:t>
      </w:r>
      <w:r w:rsidRPr="007B5482">
        <w:rPr>
          <w:rFonts w:ascii="Arial" w:hAnsi="Arial" w:cs="Arial"/>
        </w:rPr>
        <w:t xml:space="preserve">There was a significant burden of the </w:t>
      </w:r>
      <w:r w:rsidRPr="007B5482">
        <w:rPr>
          <w:rFonts w:ascii="Arial" w:hAnsi="Arial" w:cs="Arial"/>
          <w:i/>
          <w:iCs/>
        </w:rPr>
        <w:t>bla</w:t>
      </w:r>
      <w:r w:rsidRPr="007B5482">
        <w:rPr>
          <w:rFonts w:ascii="Arial" w:hAnsi="Arial" w:cs="Arial"/>
          <w:i/>
          <w:iCs/>
          <w:vertAlign w:val="subscript"/>
        </w:rPr>
        <w:t>TEM</w:t>
      </w:r>
      <w:r w:rsidRPr="007B5482">
        <w:rPr>
          <w:rFonts w:ascii="Arial" w:hAnsi="Arial" w:cs="Arial"/>
        </w:rPr>
        <w:t xml:space="preserve"> gene observed in the Obio/Akpor than the PHC</w:t>
      </w:r>
      <w:r w:rsidR="008F5718">
        <w:rPr>
          <w:rFonts w:ascii="Arial" w:hAnsi="Arial" w:cs="Arial"/>
        </w:rPr>
        <w:t xml:space="preserve">. </w:t>
      </w:r>
      <w:r w:rsidRPr="007B5482">
        <w:rPr>
          <w:rFonts w:ascii="Arial" w:hAnsi="Arial" w:cs="Arial"/>
        </w:rPr>
        <w:t>Overall, antibiotic</w:t>
      </w:r>
      <w:r w:rsidR="00A65992" w:rsidRPr="00241756">
        <w:rPr>
          <w:rFonts w:ascii="Arial" w:hAnsi="Arial" w:cs="Arial"/>
          <w:highlight w:val="yellow"/>
        </w:rPr>
        <w:t>-resistant</w:t>
      </w:r>
      <w:r w:rsidRPr="00241756">
        <w:rPr>
          <w:rFonts w:ascii="Arial" w:hAnsi="Arial" w:cs="Arial"/>
          <w:highlight w:val="yellow"/>
        </w:rPr>
        <w:t xml:space="preserve"> bacteria in Abacha tend to be present in remote towns with high human</w:t>
      </w:r>
      <w:r w:rsidRPr="007B5482">
        <w:rPr>
          <w:rFonts w:ascii="Arial" w:hAnsi="Arial" w:cs="Arial"/>
        </w:rPr>
        <w:t xml:space="preserve"> activities.</w:t>
      </w:r>
    </w:p>
    <w:p w14:paraId="6D5FC778" w14:textId="77777777" w:rsidR="00790ADA" w:rsidRPr="00FB3A86" w:rsidRDefault="00790ADA" w:rsidP="00441B6F">
      <w:pPr>
        <w:pStyle w:val="Body"/>
        <w:spacing w:after="0"/>
        <w:rPr>
          <w:rFonts w:ascii="Arial" w:hAnsi="Arial" w:cs="Arial"/>
        </w:rPr>
      </w:pPr>
    </w:p>
    <w:p w14:paraId="06DEC4BE" w14:textId="77777777" w:rsidR="001D14A3" w:rsidRPr="001D14A3" w:rsidRDefault="001D14A3" w:rsidP="001D14A3">
      <w:pPr>
        <w:pStyle w:val="ReferHead"/>
        <w:jc w:val="both"/>
        <w:rPr>
          <w:rFonts w:ascii="Arial" w:hAnsi="Arial" w:cs="Arial"/>
          <w:b w:val="0"/>
          <w:caps w:val="0"/>
          <w:sz w:val="20"/>
        </w:rPr>
      </w:pPr>
      <w:r w:rsidRPr="001D14A3">
        <w:rPr>
          <w:rFonts w:ascii="Arial" w:hAnsi="Arial" w:cs="Arial"/>
          <w:b w:val="0"/>
          <w:caps w:val="0"/>
          <w:sz w:val="20"/>
        </w:rPr>
        <w:t>COMPETING INTERESTS DISCLAIMER:</w:t>
      </w:r>
    </w:p>
    <w:p w14:paraId="16D684E1" w14:textId="2B2E5F9A" w:rsidR="001D14A3" w:rsidRPr="00D67BBC" w:rsidRDefault="001D14A3" w:rsidP="001D14A3">
      <w:pPr>
        <w:pStyle w:val="ReferHead"/>
        <w:spacing w:after="0"/>
        <w:jc w:val="both"/>
        <w:rPr>
          <w:rFonts w:ascii="Arial" w:hAnsi="Arial" w:cs="Arial"/>
          <w:b w:val="0"/>
          <w:caps w:val="0"/>
          <w:sz w:val="20"/>
        </w:rPr>
      </w:pPr>
      <w:r w:rsidRPr="001D14A3">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6AF46646" w14:textId="77777777" w:rsidR="002B685A" w:rsidRPr="00D67BBC" w:rsidRDefault="002B685A" w:rsidP="00441B6F">
      <w:pPr>
        <w:pStyle w:val="ReferHead"/>
        <w:spacing w:after="0"/>
        <w:jc w:val="both"/>
        <w:rPr>
          <w:rFonts w:ascii="Arial" w:hAnsi="Arial" w:cs="Arial"/>
          <w:b w:val="0"/>
          <w:caps w:val="0"/>
          <w:sz w:val="20"/>
        </w:rPr>
      </w:pPr>
    </w:p>
    <w:p w14:paraId="0604E305" w14:textId="77777777" w:rsidR="005C784C" w:rsidRDefault="005C784C" w:rsidP="00441B6F">
      <w:pPr>
        <w:pStyle w:val="ReferHead"/>
        <w:spacing w:after="0"/>
        <w:jc w:val="both"/>
        <w:rPr>
          <w:rFonts w:ascii="Arial" w:hAnsi="Arial" w:cs="Arial"/>
          <w:b w:val="0"/>
          <w:caps w:val="0"/>
          <w:sz w:val="20"/>
        </w:rPr>
      </w:pPr>
    </w:p>
    <w:p w14:paraId="6729F76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00436BA" w14:textId="77777777" w:rsidR="00790ADA" w:rsidRPr="00FB3A86" w:rsidRDefault="00790ADA" w:rsidP="00441B6F">
      <w:pPr>
        <w:pStyle w:val="ReferHead"/>
        <w:spacing w:after="0"/>
        <w:jc w:val="both"/>
        <w:rPr>
          <w:rFonts w:ascii="Arial" w:hAnsi="Arial" w:cs="Arial"/>
        </w:rPr>
      </w:pPr>
    </w:p>
    <w:p w14:paraId="6CF6A9DF" w14:textId="1CEAFDCA" w:rsidR="0047482F" w:rsidRDefault="0047482F" w:rsidP="0047482F">
      <w:pPr>
        <w:pStyle w:val="Body"/>
        <w:jc w:val="left"/>
      </w:pPr>
      <w:r w:rsidRPr="0047482F">
        <w:t>Eluu S.C., Oko A.O., Uduma E.O., Ohanagorom M.I., Osegbo B.E., Okechukwu S.A., Kalu N.K., Moses I.B., Ugbo E.N., Onyia C.F., Oluwole A.O., Eze G.O., Ekuma O. &amp; Okorie J.M.</w:t>
      </w:r>
      <w:r>
        <w:t xml:space="preserve"> </w:t>
      </w:r>
      <w:r w:rsidRPr="0047482F">
        <w:t xml:space="preserve">2018. Bacteriological quality, consumption value and antibiotics susceptibility pattern of </w:t>
      </w:r>
      <w:r>
        <w:t>i</w:t>
      </w:r>
      <w:r w:rsidRPr="0047482F">
        <w:t xml:space="preserve">solates of ready-to-eat African salad sold and consumed in Ebonyi State University, </w:t>
      </w:r>
      <w:r>
        <w:t>A</w:t>
      </w:r>
      <w:r w:rsidRPr="0047482F">
        <w:t>bakaliki, Nigeria. Archives of Biological Sciences.</w:t>
      </w:r>
      <w:r w:rsidRPr="0047482F">
        <w:rPr>
          <w:i/>
          <w:iCs/>
        </w:rPr>
        <w:t xml:space="preserve"> </w:t>
      </w:r>
      <w:r w:rsidRPr="0047482F">
        <w:t>14(2),</w:t>
      </w:r>
      <w:r>
        <w:t xml:space="preserve"> </w:t>
      </w:r>
      <w:r w:rsidRPr="0047482F">
        <w:t>200–211.</w:t>
      </w:r>
    </w:p>
    <w:p w14:paraId="7A90BCA0" w14:textId="268A5FE7" w:rsidR="0047482F" w:rsidRPr="0047482F" w:rsidRDefault="0047482F" w:rsidP="0047482F">
      <w:pPr>
        <w:pStyle w:val="Body"/>
        <w:jc w:val="left"/>
      </w:pPr>
      <w:r w:rsidRPr="0047482F">
        <w:t xml:space="preserve">Oranusi, S., Braide, W., Eze, U.C. &amp; Chinakwe, E. 2013. Quality Aspects of African Salad, </w:t>
      </w:r>
      <w:r w:rsidRPr="0047482F">
        <w:rPr>
          <w:i/>
          <w:iCs/>
        </w:rPr>
        <w:t xml:space="preserve">Journal of Emerging Trends in Engineering and Applied Sciences, </w:t>
      </w:r>
      <w:r w:rsidRPr="0047482F">
        <w:t>(4(2), pp. 287-292.</w:t>
      </w:r>
    </w:p>
    <w:p w14:paraId="1C175C5A" w14:textId="1A72E700" w:rsidR="0047482F" w:rsidRPr="0047482F" w:rsidRDefault="0047482F" w:rsidP="00AF4EA5">
      <w:pPr>
        <w:pStyle w:val="Body"/>
        <w:jc w:val="left"/>
      </w:pPr>
      <w:r w:rsidRPr="0047482F">
        <w:t>Osewa, O., 2013. African Salad Food Nairaland. http://www.nairaland.com. (accessed on 22 February 2023)</w:t>
      </w:r>
      <w:r w:rsidR="00351A4E">
        <w:t>.</w:t>
      </w:r>
    </w:p>
    <w:p w14:paraId="67125E39" w14:textId="5ECE3ED0" w:rsidR="0047482F" w:rsidRDefault="0047482F" w:rsidP="00AF4EA5">
      <w:pPr>
        <w:pStyle w:val="Body"/>
        <w:jc w:val="left"/>
      </w:pPr>
      <w:r w:rsidRPr="0047482F">
        <w:t xml:space="preserve">Issa-Zacharia, A., &amp; Said Seif, M. 2023. Evaluation of Hygienic Practices and Microbiological Quality of Street Vended Fruit Salads in Morogoro, Tanzania. European Journal of Nutrition &amp; Food Safety, 15(10), 73–84. </w:t>
      </w:r>
      <w:hyperlink r:id="rId17" w:history="1">
        <w:r w:rsidRPr="0047482F">
          <w:rPr>
            <w:rStyle w:val="Hyperlink"/>
          </w:rPr>
          <w:t>https://doi.org/10.9734/ejnfs/2023/v15i101347</w:t>
        </w:r>
      </w:hyperlink>
    </w:p>
    <w:p w14:paraId="1D218A98" w14:textId="3C83C62F" w:rsidR="00351A4E" w:rsidRDefault="00351A4E" w:rsidP="00AF4EA5">
      <w:pPr>
        <w:pStyle w:val="Body"/>
        <w:jc w:val="left"/>
      </w:pPr>
      <w:r w:rsidRPr="00351A4E">
        <w:t>Bintsis, T. 2017. Foodborne pathogens. </w:t>
      </w:r>
      <w:r w:rsidRPr="00351A4E">
        <w:rPr>
          <w:i/>
          <w:iCs/>
        </w:rPr>
        <w:t>AIMS microbiology</w:t>
      </w:r>
      <w:r w:rsidRPr="00351A4E">
        <w:t>, </w:t>
      </w:r>
      <w:r w:rsidRPr="00351A4E">
        <w:rPr>
          <w:i/>
          <w:iCs/>
        </w:rPr>
        <w:t>3</w:t>
      </w:r>
      <w:r w:rsidRPr="00351A4E">
        <w:t xml:space="preserve">(3), 529. </w:t>
      </w:r>
    </w:p>
    <w:p w14:paraId="77218BB8" w14:textId="5D5D61C2" w:rsidR="00351A4E" w:rsidRPr="00351A4E" w:rsidRDefault="00351A4E" w:rsidP="00AF4EA5">
      <w:pPr>
        <w:pStyle w:val="Body"/>
        <w:jc w:val="left"/>
      </w:pPr>
      <w:r w:rsidRPr="00351A4E">
        <w:lastRenderedPageBreak/>
        <w:t xml:space="preserve">Ifeadike C.O., Ironkwe O.C, Adogu P.O. &amp; Nnebue C.C. 2014. </w:t>
      </w:r>
      <w:r w:rsidRPr="00351A4E">
        <w:rPr>
          <w:i/>
          <w:iCs/>
        </w:rPr>
        <w:t>Journal of Tropical Medicine</w:t>
      </w:r>
      <w:r w:rsidRPr="00351A4E">
        <w:t xml:space="preserve"> Assessment of the food hygiene practices of </w:t>
      </w:r>
      <w:r w:rsidRPr="00351A4E">
        <w:tab/>
        <w:t>food handlers in the Federal Capital Territory of Nigeria.</w:t>
      </w:r>
      <w:r w:rsidRPr="00351A4E">
        <w:rPr>
          <w:i/>
          <w:iCs/>
        </w:rPr>
        <w:t xml:space="preserve">, </w:t>
      </w:r>
      <w:r w:rsidRPr="00351A4E">
        <w:t>17(10-15).</w:t>
      </w:r>
    </w:p>
    <w:p w14:paraId="17B0993B" w14:textId="454DA129" w:rsidR="00351A4E" w:rsidRDefault="00351A4E" w:rsidP="00AF4EA5">
      <w:pPr>
        <w:pStyle w:val="Body"/>
        <w:jc w:val="left"/>
      </w:pPr>
      <w:r w:rsidRPr="00351A4E">
        <w:t xml:space="preserve">Adley, C. C., &amp; Ryan, M. P. 2016. Antimicrobial Food Packaging, </w:t>
      </w:r>
      <w:r w:rsidRPr="00351A4E">
        <w:rPr>
          <w:i/>
        </w:rPr>
        <w:t>Academic press</w:t>
      </w:r>
      <w:r w:rsidRPr="00351A4E">
        <w:t xml:space="preserve">. 1, 1-10. </w:t>
      </w:r>
    </w:p>
    <w:p w14:paraId="106A64D9" w14:textId="0DD1ABD7" w:rsidR="00351A4E" w:rsidRDefault="00351A4E" w:rsidP="00AF4EA5">
      <w:pPr>
        <w:pStyle w:val="Body"/>
        <w:jc w:val="left"/>
      </w:pPr>
      <w:r w:rsidRPr="00351A4E">
        <w:t xml:space="preserve">Oguwike, F. N., Olisah, M. C., Nwadighoha, A. N., Emenuga, V. N. &amp; Ezekwueme, E. N. 2014. Evaluation of </w:t>
      </w:r>
      <w:r w:rsidRPr="00351A4E">
        <w:tab/>
        <w:t xml:space="preserve">pathogenic bacterial contaminants in road side African salad (Manihot esculenta) and their effect in the gastro intestinal system of subjects in Enugu Nigeria. IOSR </w:t>
      </w:r>
      <w:r w:rsidRPr="00351A4E">
        <w:rPr>
          <w:i/>
          <w:iCs/>
        </w:rPr>
        <w:t xml:space="preserve">Journal of  Dental and Medical </w:t>
      </w:r>
      <w:r w:rsidRPr="00351A4E">
        <w:rPr>
          <w:i/>
          <w:iCs/>
        </w:rPr>
        <w:tab/>
        <w:t xml:space="preserve">Sciences, </w:t>
      </w:r>
      <w:r w:rsidRPr="00351A4E">
        <w:t>13, 98-103.</w:t>
      </w:r>
    </w:p>
    <w:p w14:paraId="1C8A962B" w14:textId="5AB72B90" w:rsidR="00351A4E" w:rsidRDefault="00AF4EA5" w:rsidP="00AF4EA5">
      <w:pPr>
        <w:pStyle w:val="Body"/>
        <w:jc w:val="left"/>
      </w:pPr>
      <w:r w:rsidRPr="00AF4EA5">
        <w:t>Ire, F. S., Amos, P. C., Ahaotu, I., &amp; Ndukwe, M. 2024. Microbiological and nutritional assessment of ‘ncha iwu’(edible emulsion) vended in selected markets in Umunneochi Lga, Abia State, Nigeria. </w:t>
      </w:r>
      <w:r w:rsidRPr="00AF4EA5">
        <w:rPr>
          <w:i/>
          <w:iCs/>
        </w:rPr>
        <w:t>Scientia Africana</w:t>
      </w:r>
      <w:r w:rsidRPr="00AF4EA5">
        <w:t>, </w:t>
      </w:r>
      <w:r w:rsidRPr="00AF4EA5">
        <w:rPr>
          <w:i/>
          <w:iCs/>
        </w:rPr>
        <w:t>23</w:t>
      </w:r>
      <w:r w:rsidRPr="00AF4EA5">
        <w:t>(3), 171-184.</w:t>
      </w:r>
    </w:p>
    <w:p w14:paraId="092E6DBC" w14:textId="7614F0C4" w:rsidR="00351A4E" w:rsidRPr="00AF4EA5" w:rsidRDefault="00AF4EA5" w:rsidP="00AF4EA5">
      <w:pPr>
        <w:pStyle w:val="Body"/>
        <w:jc w:val="left"/>
        <w:rPr>
          <w:u w:val="single"/>
        </w:rPr>
      </w:pPr>
      <w:r w:rsidRPr="00AF4EA5">
        <w:t>Zhou, S. Y., Wei, M. Y., Giles, M., Neilson, R., Zheng, F., Zhang, Q., Zhu, Y. G., &amp; Yang, X. R. 2020. Prevalence of Antibiotic Resistome in Ready-to-Eat Salad. </w:t>
      </w:r>
      <w:r w:rsidRPr="00AF4EA5">
        <w:rPr>
          <w:i/>
          <w:iCs/>
        </w:rPr>
        <w:t>Frontiers in public health</w:t>
      </w:r>
      <w:r w:rsidRPr="00AF4EA5">
        <w:t>, </w:t>
      </w:r>
      <w:r w:rsidRPr="00AF4EA5">
        <w:rPr>
          <w:i/>
          <w:iCs/>
        </w:rPr>
        <w:t>8</w:t>
      </w:r>
      <w:r w:rsidRPr="00AF4EA5">
        <w:t xml:space="preserve">, 92. </w:t>
      </w:r>
      <w:hyperlink r:id="rId18" w:history="1">
        <w:r w:rsidRPr="00AF4EA5">
          <w:rPr>
            <w:rStyle w:val="Hyperlink"/>
          </w:rPr>
          <w:t>https://doi.org/10.3389/fpubh.2020.00092</w:t>
        </w:r>
      </w:hyperlink>
    </w:p>
    <w:p w14:paraId="49B35B45" w14:textId="77777777" w:rsidR="00AF4EA5" w:rsidRPr="00AF4EA5" w:rsidRDefault="00AF4EA5" w:rsidP="00AF4EA5">
      <w:pPr>
        <w:pStyle w:val="Body"/>
        <w:rPr>
          <w:lang w:val="en-GB"/>
        </w:rPr>
      </w:pPr>
      <w:r w:rsidRPr="00AF4EA5">
        <w:rPr>
          <w:lang w:val="en-GB"/>
        </w:rPr>
        <w:t>Monsi, Tombari Pius, Melford Miller Chinwebudu, and Samuel Douglas Abbey. 2025. “Bioinformatics of BlaTEM-1 and BlaSHV Genes of Herbal Drugs Pretreated-Klebsiella Pneumoniae”. </w:t>
      </w:r>
      <w:r w:rsidRPr="00AF4EA5">
        <w:rPr>
          <w:i/>
          <w:iCs/>
          <w:lang w:val="en-GB"/>
        </w:rPr>
        <w:t>International Journal of Pathogen Research</w:t>
      </w:r>
      <w:r w:rsidRPr="00AF4EA5">
        <w:rPr>
          <w:lang w:val="en-GB"/>
        </w:rPr>
        <w:t> 14 (2):43-57. https://doi.org/10.9734/ijpr/2025/v14i2349.</w:t>
      </w:r>
    </w:p>
    <w:p w14:paraId="71E77F61" w14:textId="0DF6F8B3" w:rsidR="00AF4EA5" w:rsidRDefault="00AF4EA5" w:rsidP="00AF4EA5">
      <w:pPr>
        <w:pStyle w:val="Body"/>
        <w:jc w:val="left"/>
      </w:pPr>
      <w:r w:rsidRPr="00AF4EA5">
        <w:t>Laxminarayan, R., Duse, A., Wattal, C., Zaidi, A.K., Wertheim, H.F., Sumpradit, N., Vlieghe, E., Hara, G.L., Gould, I.M., Goossens, H. and Greko, C., 2013. Antibiotic resistance—the need for global solutions. </w:t>
      </w:r>
      <w:r w:rsidRPr="00AF4EA5">
        <w:rPr>
          <w:i/>
          <w:iCs/>
        </w:rPr>
        <w:t>The Lancet infectious diseases</w:t>
      </w:r>
      <w:r w:rsidRPr="00AF4EA5">
        <w:t>, </w:t>
      </w:r>
      <w:r w:rsidRPr="00AF4EA5">
        <w:rPr>
          <w:i/>
          <w:iCs/>
        </w:rPr>
        <w:t>13</w:t>
      </w:r>
      <w:r w:rsidRPr="00AF4EA5">
        <w:t>(12), pp.1057-1098.</w:t>
      </w:r>
    </w:p>
    <w:p w14:paraId="0FAB5FBC" w14:textId="67FC7697" w:rsidR="00AF4EA5" w:rsidRPr="00AF4EA5" w:rsidRDefault="00AF4EA5" w:rsidP="00AF4EA5">
      <w:pPr>
        <w:pStyle w:val="Body"/>
        <w:jc w:val="left"/>
        <w:rPr>
          <w:i/>
          <w:iCs/>
        </w:rPr>
      </w:pPr>
      <w:r w:rsidRPr="00AF4EA5">
        <w:t>Bhaskar, S. V. (2017). </w:t>
      </w:r>
      <w:r w:rsidRPr="00AF4EA5">
        <w:rPr>
          <w:i/>
          <w:iCs/>
        </w:rPr>
        <w:t>Foodborne diseases—disease burden. Food Safety in the 21st Century, 1–10.</w:t>
      </w:r>
    </w:p>
    <w:p w14:paraId="144D038F" w14:textId="61F82EF6" w:rsidR="00441B6F" w:rsidRDefault="00D67BBC" w:rsidP="00AF4EA5">
      <w:pPr>
        <w:pStyle w:val="Body"/>
        <w:jc w:val="left"/>
      </w:pPr>
      <w:r w:rsidRPr="00D67BBC">
        <w:t>Toko, M.A., Shaibu-Imodagbe</w:t>
      </w:r>
      <w:r>
        <w:t>,</w:t>
      </w:r>
      <w:r w:rsidRPr="00D67BBC">
        <w:t xml:space="preserve"> E. M., Okuofu,</w:t>
      </w:r>
      <w:r>
        <w:t xml:space="preserve"> </w:t>
      </w:r>
      <w:r w:rsidRPr="00D67BBC">
        <w:t xml:space="preserve">C. A. </w:t>
      </w:r>
      <w:r>
        <w:t>&amp;</w:t>
      </w:r>
      <w:r w:rsidRPr="00D67BBC">
        <w:t xml:space="preserve"> Giwa</w:t>
      </w:r>
      <w:r>
        <w:t>, A</w:t>
      </w:r>
      <w:r w:rsidRPr="00D67BBC">
        <w:t>.</w:t>
      </w:r>
      <w:r>
        <w:t xml:space="preserve"> 2020. </w:t>
      </w:r>
      <w:r w:rsidRPr="00D67BBC">
        <w:t>Assessment of groundwater quality in Port Harcourt, Nigeria using weighted arithmetic water quality index.  5(2)</w:t>
      </w:r>
      <w:r>
        <w:t xml:space="preserve">, </w:t>
      </w:r>
      <w:r w:rsidRPr="00D67BBC">
        <w:t>894-900.</w:t>
      </w:r>
    </w:p>
    <w:p w14:paraId="5BEB32DE" w14:textId="05725CC1" w:rsidR="00850670" w:rsidRDefault="00850670" w:rsidP="00AF4EA5">
      <w:pPr>
        <w:pStyle w:val="Body"/>
        <w:jc w:val="left"/>
      </w:pPr>
      <w:r w:rsidRPr="00850670">
        <w:t>Cheesbrough, M., 2000. Antimicrobial sensitivity testing. </w:t>
      </w:r>
      <w:r w:rsidRPr="00850670">
        <w:rPr>
          <w:i/>
          <w:iCs/>
        </w:rPr>
        <w:t>District laboratory practice in tropical countries. Sheck Wah Tong Printing Press Ltd, Hong Kong</w:t>
      </w:r>
      <w:r w:rsidRPr="00850670">
        <w:t>, pp.133-8.</w:t>
      </w:r>
    </w:p>
    <w:p w14:paraId="2D45DC85" w14:textId="0B817D49" w:rsidR="00850670" w:rsidRPr="00850670" w:rsidRDefault="00850670" w:rsidP="00850670">
      <w:pPr>
        <w:pStyle w:val="Body"/>
        <w:jc w:val="left"/>
      </w:pPr>
      <w:r w:rsidRPr="00850670">
        <w:t>Clinical and Laboratory Standard Institute (CLSI). 2021. Performance standard for antimicrobial susceptibility testing (31st ed.) CLSI.</w:t>
      </w:r>
    </w:p>
    <w:p w14:paraId="21074EC8" w14:textId="578B0E4A" w:rsidR="00850670" w:rsidRPr="00850670" w:rsidRDefault="00850670" w:rsidP="00850670">
      <w:pPr>
        <w:pStyle w:val="Body"/>
        <w:jc w:val="left"/>
      </w:pPr>
      <w:r w:rsidRPr="00850670">
        <w:t>Chen, C.Y., Chen, Y.H., Lu, P.L., Lin, W.R., Chen, T.C., &amp; Lin, C.Y. 2012. Proteus mirabilis urinary tract infection and bacteremia: risk factors, clinical presentation, and outcomes. </w:t>
      </w:r>
      <w:r w:rsidRPr="00850670">
        <w:rPr>
          <w:i/>
          <w:iCs/>
        </w:rPr>
        <w:t>Journal of Microbiology, Immunology and Infection</w:t>
      </w:r>
      <w:r w:rsidRPr="00850670">
        <w:t>, </w:t>
      </w:r>
      <w:r w:rsidRPr="00850670">
        <w:rPr>
          <w:i/>
          <w:iCs/>
        </w:rPr>
        <w:t>45</w:t>
      </w:r>
      <w:r w:rsidRPr="00850670">
        <w:t xml:space="preserve">(3), 228-236. </w:t>
      </w:r>
    </w:p>
    <w:p w14:paraId="10C29670" w14:textId="20936440" w:rsidR="00850670" w:rsidRPr="00850670" w:rsidRDefault="00850670" w:rsidP="00850670">
      <w:pPr>
        <w:pStyle w:val="Body"/>
        <w:jc w:val="left"/>
      </w:pPr>
      <w:r w:rsidRPr="00850670">
        <w:t>Maraki, S., Sarchianaki, E., &amp; Barbagadakis, S. 2012. Myroides odoratimimus soft tissue infection in an immunocompetent child following a pig bite: case report and literature review. </w:t>
      </w:r>
      <w:r w:rsidRPr="00850670">
        <w:rPr>
          <w:i/>
          <w:iCs/>
        </w:rPr>
        <w:t>The Brazilian Journal of Infectious Diseases</w:t>
      </w:r>
      <w:r w:rsidRPr="00850670">
        <w:t>, </w:t>
      </w:r>
      <w:r w:rsidRPr="00850670">
        <w:rPr>
          <w:i/>
          <w:iCs/>
        </w:rPr>
        <w:t>16</w:t>
      </w:r>
      <w:r w:rsidRPr="00850670">
        <w:t xml:space="preserve">(4), 390-392. </w:t>
      </w:r>
    </w:p>
    <w:p w14:paraId="5BB1B61D" w14:textId="653D3461" w:rsidR="00850670" w:rsidRPr="00850670" w:rsidRDefault="00850670" w:rsidP="00850670">
      <w:pPr>
        <w:pStyle w:val="Body"/>
        <w:jc w:val="left"/>
      </w:pPr>
      <w:r w:rsidRPr="00850670">
        <w:t>Otto, C. G., &amp; Simeon, B. 2022. Capacity assessment of slaughter rotary intersection. </w:t>
      </w:r>
      <w:r w:rsidRPr="00850670">
        <w:rPr>
          <w:i/>
          <w:iCs/>
        </w:rPr>
        <w:t>Journal of Newviews in Engineering and Technology (JNET)</w:t>
      </w:r>
      <w:r w:rsidRPr="00850670">
        <w:t>, </w:t>
      </w:r>
      <w:r w:rsidRPr="00850670">
        <w:rPr>
          <w:i/>
          <w:iCs/>
        </w:rPr>
        <w:t>4</w:t>
      </w:r>
      <w:r w:rsidRPr="00850670">
        <w:t xml:space="preserve">(1). </w:t>
      </w:r>
    </w:p>
    <w:p w14:paraId="3375C030" w14:textId="0328006D" w:rsidR="00850670" w:rsidRPr="00850670" w:rsidRDefault="00850670" w:rsidP="00850670">
      <w:pPr>
        <w:pStyle w:val="Body"/>
        <w:jc w:val="left"/>
        <w:rPr>
          <w:lang w:val="en-GB"/>
        </w:rPr>
      </w:pPr>
      <w:r w:rsidRPr="00850670">
        <w:lastRenderedPageBreak/>
        <w:t>Wizor, C. H., &amp; Mpigi, G. L. 2020. Geospatial mapping of urban flood-prone areas in Port Harcourt metropolis: implications for effective urban physical planning in Nigeria. </w:t>
      </w:r>
      <w:r w:rsidRPr="00850670">
        <w:rPr>
          <w:i/>
          <w:iCs/>
        </w:rPr>
        <w:t>World Journal of Innovative Research (WJIR)</w:t>
      </w:r>
      <w:r w:rsidRPr="00850670">
        <w:t>, </w:t>
      </w:r>
      <w:r w:rsidRPr="00850670">
        <w:rPr>
          <w:i/>
          <w:iCs/>
        </w:rPr>
        <w:t>8</w:t>
      </w:r>
      <w:r w:rsidRPr="00850670">
        <w:t>(1), 17-25.</w:t>
      </w:r>
      <w:r w:rsidRPr="00850670">
        <w:rPr>
          <w:lang w:val="en-GB"/>
        </w:rPr>
        <w:t xml:space="preserve"> </w:t>
      </w:r>
    </w:p>
    <w:p w14:paraId="475ABEB0" w14:textId="5E15D853" w:rsidR="00850670" w:rsidRPr="00850670" w:rsidRDefault="00850670" w:rsidP="00850670">
      <w:pPr>
        <w:pStyle w:val="Body"/>
        <w:jc w:val="left"/>
      </w:pPr>
      <w:r w:rsidRPr="00850670">
        <w:t>Uzoigwe, N. E., Nwufo, C. R., Nwankwo, C. S., Ibe, S. N., Amadi, C. O., &amp; Udujih, O. G. 2021. Assessment of bacterial contamination of beef in slaughterhouses in Owerri zone, Imo state, Nigeria. </w:t>
      </w:r>
      <w:r w:rsidRPr="00850670">
        <w:rPr>
          <w:i/>
          <w:iCs/>
        </w:rPr>
        <w:t>Scientific African</w:t>
      </w:r>
      <w:r w:rsidRPr="00850670">
        <w:t>, </w:t>
      </w:r>
      <w:r w:rsidRPr="00850670">
        <w:rPr>
          <w:i/>
          <w:iCs/>
        </w:rPr>
        <w:t>12</w:t>
      </w:r>
      <w:r w:rsidRPr="00850670">
        <w:t xml:space="preserve">, e00769. </w:t>
      </w:r>
    </w:p>
    <w:p w14:paraId="28A471AB" w14:textId="4D1C3434" w:rsidR="00D67942" w:rsidRPr="00D67942" w:rsidRDefault="00D67942" w:rsidP="00D67942">
      <w:pPr>
        <w:pStyle w:val="Body"/>
        <w:jc w:val="left"/>
      </w:pPr>
      <w:r w:rsidRPr="00D67942">
        <w:t>Ngouyamnsa Ghenmi, E. M., Weldi Gnowe, D., Noubissie, E., Noumi, G. B., &amp; Ahmed, A. 2023. Identification of some microbial flora contained in slaughterhouse effluent and likely to be effective in its treatment by biological process. </w:t>
      </w:r>
      <w:r w:rsidRPr="00D67942">
        <w:rPr>
          <w:i/>
          <w:iCs/>
        </w:rPr>
        <w:t>Journal of Water and Health</w:t>
      </w:r>
      <w:r w:rsidRPr="00D67942">
        <w:t>, </w:t>
      </w:r>
      <w:r w:rsidRPr="00D67942">
        <w:rPr>
          <w:i/>
          <w:iCs/>
        </w:rPr>
        <w:t>21</w:t>
      </w:r>
      <w:r w:rsidRPr="00D67942">
        <w:t>(10), 1460-1469.</w:t>
      </w:r>
    </w:p>
    <w:p w14:paraId="09B06B89" w14:textId="3A888C9B" w:rsidR="00850670" w:rsidRDefault="00D67942" w:rsidP="00AF4EA5">
      <w:pPr>
        <w:pStyle w:val="Body"/>
        <w:jc w:val="left"/>
      </w:pPr>
      <w:r w:rsidRPr="00D67942">
        <w:t>Afunwa, R. A., Ezeanyinka, J., Afunwa, E. C., Udeh, A. S., Oli, A. N., &amp; Unachukwu, M. 2020. Multiple antibiotic resistant index of gram-negative bacteria from bird droppings in two commercial poultries in Enugu, Nigeria. </w:t>
      </w:r>
      <w:r w:rsidRPr="00D67942">
        <w:rPr>
          <w:i/>
          <w:iCs/>
        </w:rPr>
        <w:t>Open Journal of Medical Microbiology</w:t>
      </w:r>
      <w:r w:rsidRPr="00D67942">
        <w:t>, </w:t>
      </w:r>
      <w:r w:rsidRPr="00D67942">
        <w:rPr>
          <w:i/>
          <w:iCs/>
        </w:rPr>
        <w:t>10</w:t>
      </w:r>
      <w:r w:rsidRPr="00D67942">
        <w:t>(4), 171-181.</w:t>
      </w:r>
    </w:p>
    <w:p w14:paraId="545104EB" w14:textId="16A7E3E9" w:rsidR="00D67942" w:rsidRPr="00D67942" w:rsidRDefault="00D67942" w:rsidP="00D67942">
      <w:pPr>
        <w:pStyle w:val="Body"/>
        <w:rPr>
          <w:lang w:val="en-GB"/>
        </w:rPr>
      </w:pPr>
      <w:r>
        <w:rPr>
          <w:lang w:val="en-GB"/>
        </w:rPr>
        <w:t>Monsi, T.P.</w:t>
      </w:r>
      <w:r w:rsidRPr="00D67942">
        <w:rPr>
          <w:lang w:val="en-GB"/>
        </w:rPr>
        <w:t>, Amala, S</w:t>
      </w:r>
      <w:r>
        <w:rPr>
          <w:lang w:val="en-GB"/>
        </w:rPr>
        <w:t>.</w:t>
      </w:r>
      <w:r w:rsidRPr="00D67942">
        <w:rPr>
          <w:lang w:val="en-GB"/>
        </w:rPr>
        <w:t>E</w:t>
      </w:r>
      <w:r>
        <w:rPr>
          <w:lang w:val="en-GB"/>
        </w:rPr>
        <w:t>.</w:t>
      </w:r>
      <w:r w:rsidRPr="00D67942">
        <w:rPr>
          <w:lang w:val="en-GB"/>
        </w:rPr>
        <w:t>, and Ugoaru, N</w:t>
      </w:r>
      <w:r>
        <w:rPr>
          <w:lang w:val="en-GB"/>
        </w:rPr>
        <w:t>.</w:t>
      </w:r>
      <w:r w:rsidRPr="00D67942">
        <w:rPr>
          <w:lang w:val="en-GB"/>
        </w:rPr>
        <w:t>F</w:t>
      </w:r>
      <w:r>
        <w:rPr>
          <w:lang w:val="en-GB"/>
        </w:rPr>
        <w:t>.</w:t>
      </w:r>
      <w:r w:rsidRPr="00D67942">
        <w:rPr>
          <w:lang w:val="en-GB"/>
        </w:rPr>
        <w:t xml:space="preserve"> 2017. Acquisition of Antibiotic Resistance in Escherichia Coli Exposed To a Locally Produced Herbal Drug. </w:t>
      </w:r>
      <w:r w:rsidRPr="00D67942">
        <w:rPr>
          <w:i/>
          <w:iCs/>
          <w:lang w:val="en-GB"/>
        </w:rPr>
        <w:t>Microbiology Research Journal International</w:t>
      </w:r>
      <w:r w:rsidRPr="00D67942">
        <w:rPr>
          <w:lang w:val="en-GB"/>
        </w:rPr>
        <w:t> 22 (2):1-7. https://doi.org/10.9734/MRJI/2017/34812.</w:t>
      </w:r>
    </w:p>
    <w:p w14:paraId="47399201" w14:textId="1AD034DA" w:rsidR="00D67942" w:rsidRPr="00D67942" w:rsidRDefault="00D67942" w:rsidP="00D67942">
      <w:pPr>
        <w:pStyle w:val="Body"/>
        <w:rPr>
          <w:lang w:val="en-GB"/>
        </w:rPr>
      </w:pPr>
      <w:r w:rsidRPr="00D67942">
        <w:rPr>
          <w:lang w:val="en-GB"/>
        </w:rPr>
        <w:t>Monsi,</w:t>
      </w:r>
      <w:r>
        <w:rPr>
          <w:lang w:val="en-GB"/>
        </w:rPr>
        <w:t xml:space="preserve"> T.P.,</w:t>
      </w:r>
      <w:r w:rsidRPr="00D67942">
        <w:rPr>
          <w:lang w:val="en-GB"/>
        </w:rPr>
        <w:t xml:space="preserve"> Wokem</w:t>
      </w:r>
      <w:r>
        <w:rPr>
          <w:lang w:val="en-GB"/>
        </w:rPr>
        <w:t>, G.N.</w:t>
      </w:r>
      <w:r w:rsidRPr="00D67942">
        <w:rPr>
          <w:lang w:val="en-GB"/>
        </w:rPr>
        <w:t xml:space="preserve"> </w:t>
      </w:r>
      <w:r>
        <w:rPr>
          <w:lang w:val="en-GB"/>
        </w:rPr>
        <w:t>&amp;</w:t>
      </w:r>
      <w:r w:rsidRPr="00D67942">
        <w:rPr>
          <w:lang w:val="en-GB"/>
        </w:rPr>
        <w:t xml:space="preserve"> Aleruchi</w:t>
      </w:r>
      <w:r>
        <w:rPr>
          <w:lang w:val="en-GB"/>
        </w:rPr>
        <w:t>,</w:t>
      </w:r>
      <w:r w:rsidRPr="00D67942">
        <w:rPr>
          <w:lang w:val="en-GB"/>
        </w:rPr>
        <w:t xml:space="preserve"> P</w:t>
      </w:r>
      <w:r>
        <w:rPr>
          <w:lang w:val="en-GB"/>
        </w:rPr>
        <w:t>.</w:t>
      </w:r>
      <w:r w:rsidRPr="00D67942">
        <w:rPr>
          <w:lang w:val="en-GB"/>
        </w:rPr>
        <w:t>C. 2018. Development of Antibiotic Resistance in Herbal Drug-Sensitized Staphylococcus Aureus Isolate. </w:t>
      </w:r>
      <w:r w:rsidRPr="00D67942">
        <w:rPr>
          <w:i/>
          <w:iCs/>
          <w:lang w:val="en-GB"/>
        </w:rPr>
        <w:t>Journal of Advances in Microbiology</w:t>
      </w:r>
      <w:r w:rsidRPr="00D67942">
        <w:rPr>
          <w:lang w:val="en-GB"/>
        </w:rPr>
        <w:t> 7 (4):1-7. https://doi.org/10.9734/JAMB/2017/37893.</w:t>
      </w:r>
    </w:p>
    <w:p w14:paraId="49C888CD" w14:textId="4AE38479" w:rsidR="00596C76" w:rsidRPr="00596C76" w:rsidRDefault="00596C76" w:rsidP="00596C76">
      <w:pPr>
        <w:pStyle w:val="Body"/>
      </w:pPr>
      <w:r w:rsidRPr="00596C76">
        <w:t>Woh, P. Y., Yeung, M. P. S., &amp; Goggins III, W. B. 2023. Multiple antibiotic resistance index (MARI) of human-isolated Salmonella species: a practical bacterial antibiotic surveillance tool. </w:t>
      </w:r>
      <w:r w:rsidRPr="00596C76">
        <w:rPr>
          <w:i/>
          <w:iCs/>
        </w:rPr>
        <w:t>Journal of Antimicrobial Chemotherapy</w:t>
      </w:r>
      <w:r w:rsidRPr="00596C76">
        <w:t>, </w:t>
      </w:r>
      <w:r w:rsidRPr="00596C76">
        <w:rPr>
          <w:i/>
          <w:iCs/>
        </w:rPr>
        <w:t>78</w:t>
      </w:r>
      <w:r w:rsidRPr="00596C76">
        <w:t>(5), 1295-1299.</w:t>
      </w:r>
    </w:p>
    <w:p w14:paraId="7136C764" w14:textId="3690E855" w:rsidR="00596C76" w:rsidRPr="00596C76" w:rsidRDefault="00596C76" w:rsidP="00596C76">
      <w:pPr>
        <w:pStyle w:val="Body"/>
      </w:pPr>
      <w:r w:rsidRPr="00596C76">
        <w:t>Ghasemian, S. O., Mahmoodipour, H., &amp; Gholami-Ahangaran, M. 2022</w:t>
      </w:r>
      <w:r>
        <w:t>.</w:t>
      </w:r>
      <w:r w:rsidRPr="00596C76">
        <w:t xml:space="preserve"> Study on antibiotic resistance profile and multiple antibiotic resistance index (MAR Index) in the Campylobacter spp. isolates from domestic animals and water. </w:t>
      </w:r>
      <w:r w:rsidRPr="00596C76">
        <w:rPr>
          <w:i/>
          <w:iCs/>
        </w:rPr>
        <w:t>Pathobiology Research</w:t>
      </w:r>
      <w:r w:rsidRPr="00596C76">
        <w:t>, </w:t>
      </w:r>
      <w:r w:rsidRPr="00596C76">
        <w:rPr>
          <w:i/>
          <w:iCs/>
        </w:rPr>
        <w:t>25</w:t>
      </w:r>
      <w:r w:rsidRPr="00596C76">
        <w:t>(3), 6-14.</w:t>
      </w:r>
    </w:p>
    <w:p w14:paraId="52532D40" w14:textId="7483194A" w:rsidR="00596C76" w:rsidRPr="00596C76" w:rsidRDefault="00596C76" w:rsidP="00596C76">
      <w:pPr>
        <w:pStyle w:val="Body"/>
      </w:pPr>
      <w:r w:rsidRPr="00596C76">
        <w:t>Mir, R., Salari, S., Najimi, M., &amp; Rashki, A. 2022. Determination of frequency, multiple antibiotic resistance index and resistotype of Salmonella spp. in chicken meat collected from southeast of Iran. </w:t>
      </w:r>
      <w:r w:rsidRPr="00596C76">
        <w:rPr>
          <w:i/>
          <w:iCs/>
        </w:rPr>
        <w:t xml:space="preserve">Veterinary </w:t>
      </w:r>
      <w:r w:rsidR="004F68E7" w:rsidRPr="00596C76">
        <w:rPr>
          <w:i/>
          <w:iCs/>
        </w:rPr>
        <w:t xml:space="preserve">Medicine </w:t>
      </w:r>
      <w:r w:rsidRPr="00596C76">
        <w:rPr>
          <w:i/>
          <w:iCs/>
        </w:rPr>
        <w:t xml:space="preserve">and </w:t>
      </w:r>
      <w:r w:rsidR="004F68E7" w:rsidRPr="00596C76">
        <w:rPr>
          <w:i/>
          <w:iCs/>
        </w:rPr>
        <w:t>Science</w:t>
      </w:r>
      <w:r w:rsidRPr="00596C76">
        <w:t>, </w:t>
      </w:r>
      <w:r w:rsidRPr="00596C76">
        <w:rPr>
          <w:i/>
          <w:iCs/>
        </w:rPr>
        <w:t>8</w:t>
      </w:r>
      <w:r w:rsidRPr="00596C76">
        <w:t>(1), 229-236.</w:t>
      </w:r>
    </w:p>
    <w:p w14:paraId="3571E5AF" w14:textId="548E5B3B" w:rsidR="00596C76" w:rsidRPr="00596C76" w:rsidRDefault="00596C76" w:rsidP="00596C76">
      <w:pPr>
        <w:pStyle w:val="Body"/>
      </w:pPr>
      <w:r w:rsidRPr="00596C76">
        <w:t>Pakbin, B., Didban, A., Brück, W. M., &amp; Alizadeh, M. 2022</w:t>
      </w:r>
      <w:r>
        <w:t>a</w:t>
      </w:r>
      <w:r w:rsidRPr="00596C76">
        <w:t>. Phylogenetic analysis and antibiotic resistance of Shigella sonnei isolates. </w:t>
      </w:r>
      <w:r w:rsidRPr="00596C76">
        <w:rPr>
          <w:i/>
          <w:iCs/>
        </w:rPr>
        <w:t>FEMS microbiology letters</w:t>
      </w:r>
      <w:r w:rsidRPr="00596C76">
        <w:t>, </w:t>
      </w:r>
      <w:r w:rsidRPr="00596C76">
        <w:rPr>
          <w:i/>
          <w:iCs/>
        </w:rPr>
        <w:t>369</w:t>
      </w:r>
      <w:r w:rsidRPr="00596C76">
        <w:t xml:space="preserve">(1), 42-45. </w:t>
      </w:r>
    </w:p>
    <w:p w14:paraId="6D8533A0" w14:textId="483E935D" w:rsidR="00596C76" w:rsidRPr="00596C76" w:rsidRDefault="00596C76" w:rsidP="00596C76">
      <w:pPr>
        <w:pStyle w:val="Body"/>
      </w:pPr>
      <w:r w:rsidRPr="00596C76">
        <w:t>Pakbin, B., Brück, W. M., Allahyari, S., Rossen, J. W., &amp; Mahmoudi, R. 2022</w:t>
      </w:r>
      <w:r>
        <w:t>b</w:t>
      </w:r>
      <w:r w:rsidRPr="00596C76">
        <w:t>. Antibiotic resistance and molecular characterization of Cronobacter sakazakii strains isolated from powdered infant formula milk. </w:t>
      </w:r>
      <w:r w:rsidRPr="00596C76">
        <w:rPr>
          <w:i/>
          <w:iCs/>
        </w:rPr>
        <w:t>Foods</w:t>
      </w:r>
      <w:r w:rsidRPr="00596C76">
        <w:t>, </w:t>
      </w:r>
      <w:r w:rsidRPr="00596C76">
        <w:rPr>
          <w:i/>
          <w:iCs/>
        </w:rPr>
        <w:t>11</w:t>
      </w:r>
      <w:r w:rsidRPr="00596C76">
        <w:t xml:space="preserve">(8), 1093. </w:t>
      </w:r>
    </w:p>
    <w:p w14:paraId="1D76BAED" w14:textId="77777777" w:rsidR="00596C76" w:rsidRPr="00596C76" w:rsidRDefault="00596C76" w:rsidP="00596C76">
      <w:pPr>
        <w:pStyle w:val="Body"/>
        <w:rPr>
          <w:lang w:val="en-GB"/>
        </w:rPr>
      </w:pPr>
      <w:r w:rsidRPr="00596C76">
        <w:rPr>
          <w:lang w:val="en-GB"/>
        </w:rPr>
        <w:t xml:space="preserve">World Health Organization (2021). </w:t>
      </w:r>
      <w:r w:rsidRPr="00596C76">
        <w:rPr>
          <w:i/>
          <w:iCs/>
          <w:lang w:val="en-GB"/>
        </w:rPr>
        <w:t>Foodborne diseases</w:t>
      </w:r>
      <w:r w:rsidRPr="00596C76">
        <w:rPr>
          <w:lang w:val="en-GB"/>
        </w:rPr>
        <w:t>. [online] www.who.int. Available at: https://www.who.int/health-topics/foodborne-diseases#tab=tab_1 [Accessed 10 Jun. 2024].</w:t>
      </w:r>
    </w:p>
    <w:p w14:paraId="2537D388" w14:textId="53E75147" w:rsidR="00596C76" w:rsidRPr="00596C76" w:rsidRDefault="00596C76" w:rsidP="00596C76">
      <w:pPr>
        <w:pStyle w:val="Body"/>
      </w:pPr>
      <w:r w:rsidRPr="00596C76">
        <w:t>Ma, J., Song, X., Li, M., Yu, Z., Cheng, W., Yu, Z., &amp; Li, L. (2023). Global spread of carbapenem-resistant Enterobacteriaceae: Epidemiological features, resistance mechanisms, detection and therapy. </w:t>
      </w:r>
      <w:r w:rsidRPr="00596C76">
        <w:rPr>
          <w:i/>
          <w:iCs/>
        </w:rPr>
        <w:t>Microbiological Research</w:t>
      </w:r>
      <w:r w:rsidRPr="00596C76">
        <w:t>, </w:t>
      </w:r>
      <w:r w:rsidRPr="00596C76">
        <w:rPr>
          <w:i/>
          <w:iCs/>
        </w:rPr>
        <w:t>266</w:t>
      </w:r>
      <w:r w:rsidRPr="00596C76">
        <w:t>, 127249.</w:t>
      </w:r>
    </w:p>
    <w:p w14:paraId="3777BC90" w14:textId="7B073FD0" w:rsidR="00596C76" w:rsidRPr="00596C76" w:rsidRDefault="00596C76" w:rsidP="00596C76">
      <w:pPr>
        <w:pStyle w:val="Body"/>
      </w:pPr>
      <w:r w:rsidRPr="00596C76">
        <w:lastRenderedPageBreak/>
        <w:t>Wu, Z., Luo, Y., Bao, J., Luo, Y., &amp; Yu, Z. 2020. Additives affect the distribution of metabolic profile, microbial communities and antibiotic resistance genes in high-moisture sweet corn kernel silage. </w:t>
      </w:r>
      <w:r w:rsidRPr="00596C76">
        <w:rPr>
          <w:i/>
          <w:iCs/>
        </w:rPr>
        <w:t>Bioresource Technology</w:t>
      </w:r>
      <w:r w:rsidRPr="00596C76">
        <w:t>, </w:t>
      </w:r>
      <w:r w:rsidRPr="00596C76">
        <w:rPr>
          <w:i/>
          <w:iCs/>
        </w:rPr>
        <w:t>315</w:t>
      </w:r>
      <w:r w:rsidRPr="00596C76">
        <w:t xml:space="preserve">, 123821. </w:t>
      </w:r>
    </w:p>
    <w:p w14:paraId="3D058D3A" w14:textId="0B696F85" w:rsidR="00AB64AD" w:rsidRPr="00AB64AD" w:rsidRDefault="00AB64AD" w:rsidP="00AB64AD">
      <w:pPr>
        <w:pStyle w:val="Body"/>
      </w:pPr>
      <w:r w:rsidRPr="00AB64AD">
        <w:t>Qiu, Y., Zhou, Y., Chang, Y., Liang, X., Zhang, H., Lin, X., &amp; Luo, Z. 2022. The effects of ventilation, humidity, and temperature on bacterial growth and bacterial genera distribution. </w:t>
      </w:r>
      <w:r w:rsidRPr="00AB64AD">
        <w:rPr>
          <w:i/>
          <w:iCs/>
        </w:rPr>
        <w:t>International Journal of Environmental Research and Public Health</w:t>
      </w:r>
      <w:r w:rsidRPr="00AB64AD">
        <w:t>, </w:t>
      </w:r>
      <w:r w:rsidRPr="00AB64AD">
        <w:rPr>
          <w:i/>
          <w:iCs/>
        </w:rPr>
        <w:t>19</w:t>
      </w:r>
      <w:r w:rsidRPr="00AB64AD">
        <w:t xml:space="preserve">(22), 15345. </w:t>
      </w:r>
    </w:p>
    <w:p w14:paraId="53F1FCFF" w14:textId="15CBC8C2" w:rsidR="00790ADA" w:rsidRPr="00FB3A86" w:rsidRDefault="00AB64AD" w:rsidP="00AB64AD">
      <w:pPr>
        <w:pStyle w:val="Body"/>
        <w:rPr>
          <w:rFonts w:ascii="Arial" w:hAnsi="Arial" w:cs="Arial"/>
        </w:rPr>
      </w:pPr>
      <w:r w:rsidRPr="00AB64AD">
        <w:t>Mohammad, Mohammad, S. El-Sharkaway, Ibrahim A.</w:t>
      </w:r>
      <w:r>
        <w:t xml:space="preserve"> </w:t>
      </w:r>
      <w:r w:rsidRPr="00AB64AD">
        <w:t xml:space="preserve">Samaha, </w:t>
      </w:r>
      <w:r w:rsidR="004F68E7">
        <w:t>&amp;</w:t>
      </w:r>
      <w:r w:rsidRPr="00AB64AD">
        <w:t xml:space="preserve"> H. I. A. El-Galil. </w:t>
      </w:r>
      <w:r>
        <w:t xml:space="preserve">2016. </w:t>
      </w:r>
      <w:r w:rsidRPr="00AB64AD">
        <w:t>Prevalence of pathogenic microorganisms in raw meat products from retail outlets in Alexandria province</w:t>
      </w:r>
      <w:r>
        <w:t xml:space="preserve">. </w:t>
      </w:r>
      <w:r w:rsidRPr="00AB64AD">
        <w:t>Alexandria Journal of Veterinary Sciences</w:t>
      </w:r>
      <w:r>
        <w:t>, 51(2),</w:t>
      </w:r>
      <w:r w:rsidRPr="00AB64AD">
        <w:t xml:space="preserve"> 374-380.</w:t>
      </w:r>
    </w:p>
    <w:p w14:paraId="52AEC742" w14:textId="77777777" w:rsidR="004D4277" w:rsidRDefault="004D4277" w:rsidP="00441B6F">
      <w:pPr>
        <w:pStyle w:val="Appendix"/>
        <w:spacing w:after="0"/>
        <w:jc w:val="both"/>
        <w:rPr>
          <w:rFonts w:ascii="Arial" w:hAnsi="Arial" w:cs="Arial"/>
          <w:b w:val="0"/>
        </w:rPr>
      </w:pPr>
    </w:p>
    <w:p w14:paraId="6128E4C8" w14:textId="77777777" w:rsidR="00AF2182" w:rsidRDefault="00AF2182" w:rsidP="00AF2182">
      <w:pPr>
        <w:pStyle w:val="Body"/>
      </w:pPr>
      <w:r w:rsidRPr="00A60E79">
        <w:rPr>
          <w:highlight w:val="yellow"/>
        </w:rPr>
        <w:t xml:space="preserve">Olajugbagbe TE, Yom H, Yusuf SS, Mann-Isah ZF. Bacteriological Assessment of Ready-To-Eat Foods Sold in Baze University Student Cafeteria. Eur. J. Nutr. Food. Saf. [Internet]. 2024 Aug. 6 [cited 2025 Apr. 9];16(8):229-36. Available from: </w:t>
      </w:r>
      <w:hyperlink r:id="rId19" w:history="1">
        <w:r w:rsidRPr="00A60E79">
          <w:rPr>
            <w:rStyle w:val="Hyperlink"/>
            <w:highlight w:val="yellow"/>
          </w:rPr>
          <w:t>https://journalejnfs.com/index.php/EJNFS/article/view/1509</w:t>
        </w:r>
      </w:hyperlink>
      <w:r>
        <w:t xml:space="preserve"> </w:t>
      </w:r>
    </w:p>
    <w:p w14:paraId="57257776" w14:textId="77777777" w:rsidR="00492DC4" w:rsidRPr="00D0751B" w:rsidRDefault="00492DC4" w:rsidP="00AF2182">
      <w:pPr>
        <w:pStyle w:val="Body"/>
        <w:rPr>
          <w:highlight w:val="yellow"/>
        </w:rPr>
      </w:pPr>
      <w:r w:rsidRPr="00492DC4">
        <w:rPr>
          <w:highlight w:val="yellow"/>
        </w:rPr>
        <w:t>Makinde, O. M., Ayeni, K. I., Sulyok, M., Krska, R., Adeleke, R. A., &amp; Ezekiel, C. N. (2020). Microbiological safety of ready</w:t>
      </w:r>
      <w:r w:rsidRPr="00492DC4">
        <w:rPr>
          <w:rFonts w:ascii="Cambria Math" w:hAnsi="Cambria Math" w:cs="Cambria Math"/>
          <w:highlight w:val="yellow"/>
        </w:rPr>
        <w:t>‐</w:t>
      </w:r>
      <w:r w:rsidRPr="00492DC4">
        <w:rPr>
          <w:highlight w:val="yellow"/>
        </w:rPr>
        <w:t>to</w:t>
      </w:r>
      <w:r w:rsidRPr="00492DC4">
        <w:rPr>
          <w:rFonts w:ascii="Cambria Math" w:hAnsi="Cambria Math" w:cs="Cambria Math"/>
          <w:highlight w:val="yellow"/>
        </w:rPr>
        <w:t>‐</w:t>
      </w:r>
      <w:r w:rsidRPr="00492DC4">
        <w:rPr>
          <w:highlight w:val="yellow"/>
        </w:rPr>
        <w:t>eat foods in low</w:t>
      </w:r>
      <w:r w:rsidRPr="00492DC4">
        <w:rPr>
          <w:rFonts w:ascii="Cambria Math" w:hAnsi="Cambria Math" w:cs="Cambria Math"/>
          <w:highlight w:val="yellow"/>
        </w:rPr>
        <w:t>‐</w:t>
      </w:r>
      <w:r w:rsidRPr="00492DC4">
        <w:rPr>
          <w:highlight w:val="yellow"/>
        </w:rPr>
        <w:t>and middle</w:t>
      </w:r>
      <w:r w:rsidRPr="00492DC4">
        <w:rPr>
          <w:rFonts w:ascii="Cambria Math" w:hAnsi="Cambria Math" w:cs="Cambria Math"/>
          <w:highlight w:val="yellow"/>
        </w:rPr>
        <w:t>‐</w:t>
      </w:r>
      <w:r w:rsidRPr="00492DC4">
        <w:rPr>
          <w:highlight w:val="yellow"/>
        </w:rPr>
        <w:t>income countries: A comprehensive 10</w:t>
      </w:r>
      <w:r w:rsidRPr="00492DC4">
        <w:rPr>
          <w:rFonts w:ascii="Cambria Math" w:hAnsi="Cambria Math" w:cs="Cambria Math"/>
          <w:highlight w:val="yellow"/>
        </w:rPr>
        <w:t>‐</w:t>
      </w:r>
      <w:r w:rsidRPr="00492DC4">
        <w:rPr>
          <w:highlight w:val="yellow"/>
        </w:rPr>
        <w:t xml:space="preserve">year (2009 to 2018) review. Comprehensive reviews in food science and </w:t>
      </w:r>
      <w:r w:rsidRPr="00D0751B">
        <w:rPr>
          <w:highlight w:val="yellow"/>
        </w:rPr>
        <w:t>food safety, 19(2), 703-732.</w:t>
      </w:r>
    </w:p>
    <w:p w14:paraId="1CF7F398" w14:textId="77777777" w:rsidR="00D0751B" w:rsidRDefault="00D0751B" w:rsidP="00AF2182">
      <w:pPr>
        <w:pStyle w:val="Body"/>
      </w:pPr>
      <w:r w:rsidRPr="00D0751B">
        <w:rPr>
          <w:highlight w:val="yellow"/>
        </w:rPr>
        <w:t>Owusu-Apenten, R., &amp; Vieira, E. (2022). Microbial foodborne disease outbreaks. In Elementary food science (pp. 171-196). Cham: Springer International Publishing.</w:t>
      </w:r>
    </w:p>
    <w:p w14:paraId="0583B488" w14:textId="32E7593E" w:rsidR="00A273F8" w:rsidRPr="00AF2182" w:rsidRDefault="00A273F8" w:rsidP="00AF2182">
      <w:pPr>
        <w:pStyle w:val="Body"/>
        <w:sectPr w:rsidR="00A273F8" w:rsidRPr="00AF2182" w:rsidSect="001A2219">
          <w:headerReference w:type="even" r:id="rId20"/>
          <w:headerReference w:type="default" r:id="rId21"/>
          <w:footerReference w:type="even" r:id="rId22"/>
          <w:footerReference w:type="default" r:id="rId23"/>
          <w:headerReference w:type="first" r:id="rId24"/>
          <w:footerReference w:type="first" r:id="rId25"/>
          <w:pgSz w:w="12240" w:h="15840"/>
          <w:pgMar w:top="1440" w:right="2016" w:bottom="2016" w:left="2016" w:header="720" w:footer="1123" w:gutter="0"/>
          <w:cols w:space="720"/>
          <w:docGrid w:linePitch="272"/>
        </w:sectPr>
      </w:pPr>
      <w:r w:rsidRPr="00A273F8">
        <w:rPr>
          <w:highlight w:val="yellow"/>
        </w:rPr>
        <w:t>Igbinosa, E. O., Beshiru, A., Igbinosa, I. H., Ogofure, A. G., &amp; Uwhuba, K. E. (2021). Prevalence and characterization of food-borne Vibrio parahaemolyticus from African salad in southern Nigeria. Frontiers in microbiology, 12, 632266.</w:t>
      </w:r>
    </w:p>
    <w:p w14:paraId="28B17C7B" w14:textId="77777777" w:rsidR="00B01FCD" w:rsidRPr="00FB3A86" w:rsidRDefault="00B01FCD" w:rsidP="00441B6F">
      <w:pPr>
        <w:pStyle w:val="Appendix"/>
        <w:spacing w:after="0"/>
        <w:jc w:val="both"/>
        <w:rPr>
          <w:rFonts w:ascii="Arial" w:hAnsi="Arial" w:cs="Arial"/>
          <w:b w:val="0"/>
        </w:rPr>
      </w:pPr>
    </w:p>
    <w:sectPr w:rsidR="00B01FCD" w:rsidRPr="00FB3A86" w:rsidSect="001A22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F463E" w14:textId="77777777" w:rsidR="003427C7" w:rsidRDefault="003427C7" w:rsidP="00C37E61">
      <w:r>
        <w:separator/>
      </w:r>
    </w:p>
  </w:endnote>
  <w:endnote w:type="continuationSeparator" w:id="0">
    <w:p w14:paraId="7F9EB7CC" w14:textId="77777777" w:rsidR="003427C7" w:rsidRDefault="003427C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1255B" w14:textId="77777777" w:rsidR="001A2219" w:rsidRDefault="001A2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2F69A"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5D2E" w14:textId="77777777" w:rsidR="001A2219" w:rsidRDefault="001A2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47E15" w14:textId="77777777" w:rsidR="003427C7" w:rsidRDefault="003427C7" w:rsidP="00C37E61">
      <w:r>
        <w:separator/>
      </w:r>
    </w:p>
  </w:footnote>
  <w:footnote w:type="continuationSeparator" w:id="0">
    <w:p w14:paraId="4752EA38" w14:textId="77777777" w:rsidR="003427C7" w:rsidRDefault="003427C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44865" w14:textId="51CD8C40" w:rsidR="001A2219" w:rsidRDefault="00000000">
    <w:pPr>
      <w:pStyle w:val="Header"/>
    </w:pPr>
    <w:r>
      <w:rPr>
        <w:noProof/>
      </w:rPr>
      <w:pict w14:anchorId="4F0D7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68393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CA67D" w14:textId="6D6BFDCD" w:rsidR="001A2219" w:rsidRDefault="00000000">
    <w:pPr>
      <w:pStyle w:val="Header"/>
    </w:pPr>
    <w:r>
      <w:rPr>
        <w:noProof/>
      </w:rPr>
      <w:pict w14:anchorId="07EB6A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68393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8356" w14:textId="79C05686" w:rsidR="001A2219" w:rsidRDefault="00000000">
    <w:pPr>
      <w:pStyle w:val="Header"/>
    </w:pPr>
    <w:r>
      <w:rPr>
        <w:noProof/>
      </w:rPr>
      <w:pict w14:anchorId="27657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683937"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78200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39040892">
    <w:abstractNumId w:val="15"/>
  </w:num>
  <w:num w:numId="3" w16cid:durableId="826869483">
    <w:abstractNumId w:val="23"/>
  </w:num>
  <w:num w:numId="4" w16cid:durableId="161640242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40970119">
    <w:abstractNumId w:val="7"/>
  </w:num>
  <w:num w:numId="6" w16cid:durableId="1429277624">
    <w:abstractNumId w:val="6"/>
  </w:num>
  <w:num w:numId="7" w16cid:durableId="1694184713">
    <w:abstractNumId w:val="1"/>
  </w:num>
  <w:num w:numId="8" w16cid:durableId="1359894066">
    <w:abstractNumId w:val="12"/>
  </w:num>
  <w:num w:numId="9" w16cid:durableId="1657804548">
    <w:abstractNumId w:val="25"/>
  </w:num>
  <w:num w:numId="10" w16cid:durableId="1491412169">
    <w:abstractNumId w:val="2"/>
  </w:num>
  <w:num w:numId="11" w16cid:durableId="1516528844">
    <w:abstractNumId w:val="18"/>
  </w:num>
  <w:num w:numId="12" w16cid:durableId="1912230011">
    <w:abstractNumId w:val="3"/>
  </w:num>
  <w:num w:numId="13" w16cid:durableId="1494905335">
    <w:abstractNumId w:val="17"/>
  </w:num>
  <w:num w:numId="14" w16cid:durableId="1283070016">
    <w:abstractNumId w:val="8"/>
  </w:num>
  <w:num w:numId="15" w16cid:durableId="725374740">
    <w:abstractNumId w:val="21"/>
  </w:num>
  <w:num w:numId="16" w16cid:durableId="419444691">
    <w:abstractNumId w:val="5"/>
  </w:num>
  <w:num w:numId="17" w16cid:durableId="343089449">
    <w:abstractNumId w:val="22"/>
  </w:num>
  <w:num w:numId="18" w16cid:durableId="2113015853">
    <w:abstractNumId w:val="14"/>
  </w:num>
  <w:num w:numId="19" w16cid:durableId="1999535898">
    <w:abstractNumId w:val="28"/>
  </w:num>
  <w:num w:numId="20" w16cid:durableId="1414476872">
    <w:abstractNumId w:val="11"/>
  </w:num>
  <w:num w:numId="21" w16cid:durableId="1900675494">
    <w:abstractNumId w:val="9"/>
  </w:num>
  <w:num w:numId="22" w16cid:durableId="1409838980">
    <w:abstractNumId w:val="13"/>
  </w:num>
  <w:num w:numId="23" w16cid:durableId="1717856174">
    <w:abstractNumId w:val="19"/>
  </w:num>
  <w:num w:numId="24" w16cid:durableId="982731695">
    <w:abstractNumId w:val="26"/>
  </w:num>
  <w:num w:numId="25" w16cid:durableId="856964656">
    <w:abstractNumId w:val="4"/>
  </w:num>
  <w:num w:numId="26" w16cid:durableId="85852351">
    <w:abstractNumId w:val="16"/>
  </w:num>
  <w:num w:numId="27" w16cid:durableId="1018434242">
    <w:abstractNumId w:val="20"/>
  </w:num>
  <w:num w:numId="28" w16cid:durableId="19792274">
    <w:abstractNumId w:val="27"/>
  </w:num>
  <w:num w:numId="29" w16cid:durableId="250352944">
    <w:abstractNumId w:val="24"/>
  </w:num>
  <w:num w:numId="30" w16cid:durableId="15922723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QxMbEwNzU0NDE2NzVV0lEKTi0uzszPAykwrAUAnJFzYSwAAAA="/>
  </w:docVars>
  <w:rsids>
    <w:rsidRoot w:val="00AA6219"/>
    <w:rsid w:val="00000F8F"/>
    <w:rsid w:val="00024DC8"/>
    <w:rsid w:val="00030174"/>
    <w:rsid w:val="0004579C"/>
    <w:rsid w:val="00046159"/>
    <w:rsid w:val="00050949"/>
    <w:rsid w:val="0009277C"/>
    <w:rsid w:val="000A47FA"/>
    <w:rsid w:val="000A65D3"/>
    <w:rsid w:val="000B1E33"/>
    <w:rsid w:val="000D689F"/>
    <w:rsid w:val="000E7B7B"/>
    <w:rsid w:val="000E7D62"/>
    <w:rsid w:val="00103357"/>
    <w:rsid w:val="00121768"/>
    <w:rsid w:val="0012250E"/>
    <w:rsid w:val="00123C9F"/>
    <w:rsid w:val="00126190"/>
    <w:rsid w:val="00130F17"/>
    <w:rsid w:val="001320BF"/>
    <w:rsid w:val="00147601"/>
    <w:rsid w:val="00163BC4"/>
    <w:rsid w:val="0017264C"/>
    <w:rsid w:val="00191062"/>
    <w:rsid w:val="001925DB"/>
    <w:rsid w:val="00192B72"/>
    <w:rsid w:val="00197EEE"/>
    <w:rsid w:val="001A2219"/>
    <w:rsid w:val="001A29D8"/>
    <w:rsid w:val="001A5CAA"/>
    <w:rsid w:val="001B0427"/>
    <w:rsid w:val="001B50DC"/>
    <w:rsid w:val="001D14A3"/>
    <w:rsid w:val="001D3A51"/>
    <w:rsid w:val="001E10D2"/>
    <w:rsid w:val="001E25B4"/>
    <w:rsid w:val="001E44FE"/>
    <w:rsid w:val="001F1EE4"/>
    <w:rsid w:val="00200595"/>
    <w:rsid w:val="00204835"/>
    <w:rsid w:val="00231920"/>
    <w:rsid w:val="0023195C"/>
    <w:rsid w:val="00235B61"/>
    <w:rsid w:val="00241756"/>
    <w:rsid w:val="0024282C"/>
    <w:rsid w:val="002460DC"/>
    <w:rsid w:val="00250985"/>
    <w:rsid w:val="0025457A"/>
    <w:rsid w:val="002556F6"/>
    <w:rsid w:val="002738B5"/>
    <w:rsid w:val="00283105"/>
    <w:rsid w:val="00284C4C"/>
    <w:rsid w:val="00287E68"/>
    <w:rsid w:val="00295731"/>
    <w:rsid w:val="00296529"/>
    <w:rsid w:val="002A53C5"/>
    <w:rsid w:val="002B27FB"/>
    <w:rsid w:val="002B685A"/>
    <w:rsid w:val="002C57D2"/>
    <w:rsid w:val="002E0D56"/>
    <w:rsid w:val="00312116"/>
    <w:rsid w:val="00314E15"/>
    <w:rsid w:val="00315186"/>
    <w:rsid w:val="0032705A"/>
    <w:rsid w:val="00332D4D"/>
    <w:rsid w:val="0033343E"/>
    <w:rsid w:val="003427C7"/>
    <w:rsid w:val="003512C2"/>
    <w:rsid w:val="00351A4E"/>
    <w:rsid w:val="003557CF"/>
    <w:rsid w:val="00364688"/>
    <w:rsid w:val="003651D9"/>
    <w:rsid w:val="00371FB6"/>
    <w:rsid w:val="00374B7D"/>
    <w:rsid w:val="003763C1"/>
    <w:rsid w:val="00376BBE"/>
    <w:rsid w:val="003807CD"/>
    <w:rsid w:val="0039224F"/>
    <w:rsid w:val="003A093D"/>
    <w:rsid w:val="003A43A4"/>
    <w:rsid w:val="003A7E18"/>
    <w:rsid w:val="003B02DF"/>
    <w:rsid w:val="003C4C86"/>
    <w:rsid w:val="003C6258"/>
    <w:rsid w:val="003D3270"/>
    <w:rsid w:val="003E2904"/>
    <w:rsid w:val="003F0612"/>
    <w:rsid w:val="00401927"/>
    <w:rsid w:val="004022E3"/>
    <w:rsid w:val="0041027F"/>
    <w:rsid w:val="00412475"/>
    <w:rsid w:val="00421355"/>
    <w:rsid w:val="00423789"/>
    <w:rsid w:val="00440F43"/>
    <w:rsid w:val="00441B6F"/>
    <w:rsid w:val="00446221"/>
    <w:rsid w:val="00450E62"/>
    <w:rsid w:val="004539DB"/>
    <w:rsid w:val="00456781"/>
    <w:rsid w:val="0047006F"/>
    <w:rsid w:val="00471A80"/>
    <w:rsid w:val="0047482F"/>
    <w:rsid w:val="00486CB5"/>
    <w:rsid w:val="00487C7E"/>
    <w:rsid w:val="00492DC4"/>
    <w:rsid w:val="004D305E"/>
    <w:rsid w:val="004D4277"/>
    <w:rsid w:val="004E1653"/>
    <w:rsid w:val="004F68E7"/>
    <w:rsid w:val="00502516"/>
    <w:rsid w:val="00502D76"/>
    <w:rsid w:val="00505F06"/>
    <w:rsid w:val="00506828"/>
    <w:rsid w:val="00515930"/>
    <w:rsid w:val="0053056E"/>
    <w:rsid w:val="00554FDA"/>
    <w:rsid w:val="00560F4A"/>
    <w:rsid w:val="00565D15"/>
    <w:rsid w:val="005814D7"/>
    <w:rsid w:val="00596C76"/>
    <w:rsid w:val="005A5618"/>
    <w:rsid w:val="005C784C"/>
    <w:rsid w:val="005D17F6"/>
    <w:rsid w:val="005E5539"/>
    <w:rsid w:val="005F2291"/>
    <w:rsid w:val="00602BF5"/>
    <w:rsid w:val="00617FDD"/>
    <w:rsid w:val="00633614"/>
    <w:rsid w:val="00633F68"/>
    <w:rsid w:val="00634E5F"/>
    <w:rsid w:val="00636E46"/>
    <w:rsid w:val="00636EB2"/>
    <w:rsid w:val="006375B8"/>
    <w:rsid w:val="0066510A"/>
    <w:rsid w:val="00673F9F"/>
    <w:rsid w:val="00686953"/>
    <w:rsid w:val="00687DEA"/>
    <w:rsid w:val="00687E67"/>
    <w:rsid w:val="006967F7"/>
    <w:rsid w:val="006A250C"/>
    <w:rsid w:val="006A586F"/>
    <w:rsid w:val="006B21D3"/>
    <w:rsid w:val="006B57D0"/>
    <w:rsid w:val="006D30FF"/>
    <w:rsid w:val="006D6940"/>
    <w:rsid w:val="006F11EC"/>
    <w:rsid w:val="0070078C"/>
    <w:rsid w:val="0070082C"/>
    <w:rsid w:val="00715C75"/>
    <w:rsid w:val="00716F04"/>
    <w:rsid w:val="00723D35"/>
    <w:rsid w:val="007369E6"/>
    <w:rsid w:val="00746E59"/>
    <w:rsid w:val="0075167C"/>
    <w:rsid w:val="00753359"/>
    <w:rsid w:val="00754C9A"/>
    <w:rsid w:val="0075599A"/>
    <w:rsid w:val="0075693D"/>
    <w:rsid w:val="00756B48"/>
    <w:rsid w:val="00761712"/>
    <w:rsid w:val="00761D52"/>
    <w:rsid w:val="0077749E"/>
    <w:rsid w:val="00790ADA"/>
    <w:rsid w:val="007926B4"/>
    <w:rsid w:val="007B5482"/>
    <w:rsid w:val="007C042E"/>
    <w:rsid w:val="007D2288"/>
    <w:rsid w:val="007E088F"/>
    <w:rsid w:val="007F590C"/>
    <w:rsid w:val="007F6380"/>
    <w:rsid w:val="007F7B32"/>
    <w:rsid w:val="00804BC2"/>
    <w:rsid w:val="00807524"/>
    <w:rsid w:val="0081431A"/>
    <w:rsid w:val="0083216F"/>
    <w:rsid w:val="00835614"/>
    <w:rsid w:val="00850670"/>
    <w:rsid w:val="00853E6C"/>
    <w:rsid w:val="00860000"/>
    <w:rsid w:val="00863BD3"/>
    <w:rsid w:val="008641ED"/>
    <w:rsid w:val="00866D66"/>
    <w:rsid w:val="008671C6"/>
    <w:rsid w:val="00875803"/>
    <w:rsid w:val="00894650"/>
    <w:rsid w:val="008B459E"/>
    <w:rsid w:val="008E13AE"/>
    <w:rsid w:val="008E1506"/>
    <w:rsid w:val="008E710C"/>
    <w:rsid w:val="008F30F0"/>
    <w:rsid w:val="008F5718"/>
    <w:rsid w:val="008F69D6"/>
    <w:rsid w:val="00902823"/>
    <w:rsid w:val="00911FD3"/>
    <w:rsid w:val="00915CA6"/>
    <w:rsid w:val="00927834"/>
    <w:rsid w:val="00934A71"/>
    <w:rsid w:val="009500A6"/>
    <w:rsid w:val="0095283F"/>
    <w:rsid w:val="00957C18"/>
    <w:rsid w:val="009659BA"/>
    <w:rsid w:val="00983040"/>
    <w:rsid w:val="009926AB"/>
    <w:rsid w:val="009B3FB9"/>
    <w:rsid w:val="009C2465"/>
    <w:rsid w:val="009D0E87"/>
    <w:rsid w:val="009D35A0"/>
    <w:rsid w:val="009D7EB7"/>
    <w:rsid w:val="009E048A"/>
    <w:rsid w:val="009E0765"/>
    <w:rsid w:val="009E08E9"/>
    <w:rsid w:val="009E3DB9"/>
    <w:rsid w:val="009E6E35"/>
    <w:rsid w:val="009F0EDA"/>
    <w:rsid w:val="00A03B96"/>
    <w:rsid w:val="00A05B19"/>
    <w:rsid w:val="00A1134E"/>
    <w:rsid w:val="00A13448"/>
    <w:rsid w:val="00A24E7E"/>
    <w:rsid w:val="00A258C3"/>
    <w:rsid w:val="00A273F8"/>
    <w:rsid w:val="00A347C0"/>
    <w:rsid w:val="00A42561"/>
    <w:rsid w:val="00A462EC"/>
    <w:rsid w:val="00A51431"/>
    <w:rsid w:val="00A539AD"/>
    <w:rsid w:val="00A60E79"/>
    <w:rsid w:val="00A65992"/>
    <w:rsid w:val="00A85109"/>
    <w:rsid w:val="00A94063"/>
    <w:rsid w:val="00AA6219"/>
    <w:rsid w:val="00AA74E0"/>
    <w:rsid w:val="00AB64AD"/>
    <w:rsid w:val="00AB703F"/>
    <w:rsid w:val="00AC6BB8"/>
    <w:rsid w:val="00AE008F"/>
    <w:rsid w:val="00AF1CA2"/>
    <w:rsid w:val="00AF2182"/>
    <w:rsid w:val="00AF4EA5"/>
    <w:rsid w:val="00B01FCD"/>
    <w:rsid w:val="00B1776C"/>
    <w:rsid w:val="00B52583"/>
    <w:rsid w:val="00B52896"/>
    <w:rsid w:val="00B95236"/>
    <w:rsid w:val="00B96BD9"/>
    <w:rsid w:val="00BA1B01"/>
    <w:rsid w:val="00BA2641"/>
    <w:rsid w:val="00BB37AA"/>
    <w:rsid w:val="00BC53A0"/>
    <w:rsid w:val="00BD7689"/>
    <w:rsid w:val="00BE62AD"/>
    <w:rsid w:val="00BF121F"/>
    <w:rsid w:val="00BF1F80"/>
    <w:rsid w:val="00BF5128"/>
    <w:rsid w:val="00C166EF"/>
    <w:rsid w:val="00C17EB0"/>
    <w:rsid w:val="00C2672E"/>
    <w:rsid w:val="00C27F5F"/>
    <w:rsid w:val="00C30A0F"/>
    <w:rsid w:val="00C37E61"/>
    <w:rsid w:val="00C66E2E"/>
    <w:rsid w:val="00C70F1B"/>
    <w:rsid w:val="00C71A47"/>
    <w:rsid w:val="00C7464C"/>
    <w:rsid w:val="00C85588"/>
    <w:rsid w:val="00CA4CEC"/>
    <w:rsid w:val="00CD137E"/>
    <w:rsid w:val="00CD6755"/>
    <w:rsid w:val="00CD6856"/>
    <w:rsid w:val="00CE0089"/>
    <w:rsid w:val="00CE08A1"/>
    <w:rsid w:val="00CE59EB"/>
    <w:rsid w:val="00CE793C"/>
    <w:rsid w:val="00CF193C"/>
    <w:rsid w:val="00D0751B"/>
    <w:rsid w:val="00D173F1"/>
    <w:rsid w:val="00D41B31"/>
    <w:rsid w:val="00D539AF"/>
    <w:rsid w:val="00D557FC"/>
    <w:rsid w:val="00D6400F"/>
    <w:rsid w:val="00D67942"/>
    <w:rsid w:val="00D67BBC"/>
    <w:rsid w:val="00D74CB0"/>
    <w:rsid w:val="00D80E9E"/>
    <w:rsid w:val="00D8295D"/>
    <w:rsid w:val="00D96FD8"/>
    <w:rsid w:val="00DB227C"/>
    <w:rsid w:val="00DC27FF"/>
    <w:rsid w:val="00DC2A65"/>
    <w:rsid w:val="00DC2FB3"/>
    <w:rsid w:val="00DE15F0"/>
    <w:rsid w:val="00DE5663"/>
    <w:rsid w:val="00DE78AA"/>
    <w:rsid w:val="00E053D0"/>
    <w:rsid w:val="00E15994"/>
    <w:rsid w:val="00E3114E"/>
    <w:rsid w:val="00E31A70"/>
    <w:rsid w:val="00E35B02"/>
    <w:rsid w:val="00E62154"/>
    <w:rsid w:val="00E62EF2"/>
    <w:rsid w:val="00E66496"/>
    <w:rsid w:val="00E66B35"/>
    <w:rsid w:val="00E66E10"/>
    <w:rsid w:val="00E719A1"/>
    <w:rsid w:val="00E769F6"/>
    <w:rsid w:val="00E8407C"/>
    <w:rsid w:val="00E84F3C"/>
    <w:rsid w:val="00EA012C"/>
    <w:rsid w:val="00EC2D86"/>
    <w:rsid w:val="00EC6A55"/>
    <w:rsid w:val="00ED0288"/>
    <w:rsid w:val="00EE52CB"/>
    <w:rsid w:val="00EF581D"/>
    <w:rsid w:val="00EF7FD8"/>
    <w:rsid w:val="00F06F59"/>
    <w:rsid w:val="00F17988"/>
    <w:rsid w:val="00F31A5A"/>
    <w:rsid w:val="00F346D7"/>
    <w:rsid w:val="00F36DEB"/>
    <w:rsid w:val="00F469F0"/>
    <w:rsid w:val="00F53273"/>
    <w:rsid w:val="00F65166"/>
    <w:rsid w:val="00F755E4"/>
    <w:rsid w:val="00F771B1"/>
    <w:rsid w:val="00F77D02"/>
    <w:rsid w:val="00F969B0"/>
    <w:rsid w:val="00FB3A86"/>
    <w:rsid w:val="00FC7B8D"/>
    <w:rsid w:val="00FD1713"/>
    <w:rsid w:val="00FD36C8"/>
    <w:rsid w:val="00FD4547"/>
    <w:rsid w:val="00FF6C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D407A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B50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560F4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235B6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1B50D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560F4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235B61"/>
    <w:rPr>
      <w:rFonts w:asciiTheme="majorHAnsi" w:eastAsiaTheme="majorEastAsia" w:hAnsiTheme="majorHAnsi" w:cstheme="majorBidi"/>
      <w:i/>
      <w:iCs/>
      <w:color w:val="365F91" w:themeColor="accent1" w:themeShade="BF"/>
    </w:rPr>
  </w:style>
  <w:style w:type="paragraph" w:styleId="CommentSubject">
    <w:name w:val="annotation subject"/>
    <w:basedOn w:val="CommentText"/>
    <w:next w:val="CommentText"/>
    <w:link w:val="CommentSubjectChar"/>
    <w:semiHidden/>
    <w:unhideWhenUsed/>
    <w:rsid w:val="00F969B0"/>
    <w:rPr>
      <w:rFonts w:ascii="Helvetica" w:hAnsi="Helvetica"/>
      <w:b/>
      <w:bCs/>
      <w:lang w:val="en-US" w:eastAsia="en-US"/>
    </w:rPr>
  </w:style>
  <w:style w:type="character" w:customStyle="1" w:styleId="CommentSubjectChar">
    <w:name w:val="Comment Subject Char"/>
    <w:basedOn w:val="CommentTextChar"/>
    <w:link w:val="CommentSubject"/>
    <w:semiHidden/>
    <w:rsid w:val="00F969B0"/>
    <w:rPr>
      <w:rFonts w:ascii="Helvetica" w:hAnsi="Helvetica"/>
      <w:b/>
      <w:bCs/>
      <w:lang w:val="nb-NO" w:eastAsia="nb-NO"/>
    </w:rPr>
  </w:style>
  <w:style w:type="paragraph" w:styleId="Revision">
    <w:name w:val="Revision"/>
    <w:hidden/>
    <w:uiPriority w:val="99"/>
    <w:semiHidden/>
    <w:rsid w:val="00D96FD8"/>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98132358">
      <w:bodyDiv w:val="1"/>
      <w:marLeft w:val="0"/>
      <w:marRight w:val="0"/>
      <w:marTop w:val="0"/>
      <w:marBottom w:val="0"/>
      <w:divBdr>
        <w:top w:val="none" w:sz="0" w:space="0" w:color="auto"/>
        <w:left w:val="none" w:sz="0" w:space="0" w:color="auto"/>
        <w:bottom w:val="none" w:sz="0" w:space="0" w:color="auto"/>
        <w:right w:val="none" w:sz="0" w:space="0" w:color="auto"/>
      </w:divBdr>
      <w:divsChild>
        <w:div w:id="1401059881">
          <w:marLeft w:val="0"/>
          <w:marRight w:val="0"/>
          <w:marTop w:val="0"/>
          <w:marBottom w:val="0"/>
          <w:divBdr>
            <w:top w:val="none" w:sz="0" w:space="0" w:color="auto"/>
            <w:left w:val="none" w:sz="0" w:space="0" w:color="auto"/>
            <w:bottom w:val="none" w:sz="0" w:space="0" w:color="auto"/>
            <w:right w:val="none" w:sz="0" w:space="0" w:color="auto"/>
          </w:divBdr>
          <w:divsChild>
            <w:div w:id="558590941">
              <w:marLeft w:val="0"/>
              <w:marRight w:val="0"/>
              <w:marTop w:val="0"/>
              <w:marBottom w:val="0"/>
              <w:divBdr>
                <w:top w:val="none" w:sz="0" w:space="0" w:color="auto"/>
                <w:left w:val="none" w:sz="0" w:space="0" w:color="auto"/>
                <w:bottom w:val="none" w:sz="0" w:space="0" w:color="auto"/>
                <w:right w:val="none" w:sz="0" w:space="0" w:color="auto"/>
              </w:divBdr>
              <w:divsChild>
                <w:div w:id="326640440">
                  <w:marLeft w:val="0"/>
                  <w:marRight w:val="0"/>
                  <w:marTop w:val="0"/>
                  <w:marBottom w:val="0"/>
                  <w:divBdr>
                    <w:top w:val="none" w:sz="0" w:space="0" w:color="auto"/>
                    <w:left w:val="none" w:sz="0" w:space="0" w:color="auto"/>
                    <w:bottom w:val="none" w:sz="0" w:space="0" w:color="auto"/>
                    <w:right w:val="none" w:sz="0" w:space="0" w:color="auto"/>
                  </w:divBdr>
                  <w:divsChild>
                    <w:div w:id="14226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3654325">
      <w:bodyDiv w:val="1"/>
      <w:marLeft w:val="0"/>
      <w:marRight w:val="0"/>
      <w:marTop w:val="0"/>
      <w:marBottom w:val="0"/>
      <w:divBdr>
        <w:top w:val="none" w:sz="0" w:space="0" w:color="auto"/>
        <w:left w:val="none" w:sz="0" w:space="0" w:color="auto"/>
        <w:bottom w:val="none" w:sz="0" w:space="0" w:color="auto"/>
        <w:right w:val="none" w:sz="0" w:space="0" w:color="auto"/>
      </w:divBdr>
      <w:divsChild>
        <w:div w:id="219751321">
          <w:marLeft w:val="0"/>
          <w:marRight w:val="0"/>
          <w:marTop w:val="0"/>
          <w:marBottom w:val="0"/>
          <w:divBdr>
            <w:top w:val="none" w:sz="0" w:space="0" w:color="auto"/>
            <w:left w:val="none" w:sz="0" w:space="0" w:color="auto"/>
            <w:bottom w:val="none" w:sz="0" w:space="0" w:color="auto"/>
            <w:right w:val="none" w:sz="0" w:space="0" w:color="auto"/>
          </w:divBdr>
          <w:divsChild>
            <w:div w:id="822354644">
              <w:marLeft w:val="0"/>
              <w:marRight w:val="0"/>
              <w:marTop w:val="0"/>
              <w:marBottom w:val="0"/>
              <w:divBdr>
                <w:top w:val="none" w:sz="0" w:space="0" w:color="auto"/>
                <w:left w:val="none" w:sz="0" w:space="0" w:color="auto"/>
                <w:bottom w:val="none" w:sz="0" w:space="0" w:color="auto"/>
                <w:right w:val="none" w:sz="0" w:space="0" w:color="auto"/>
              </w:divBdr>
              <w:divsChild>
                <w:div w:id="1682900964">
                  <w:marLeft w:val="0"/>
                  <w:marRight w:val="0"/>
                  <w:marTop w:val="0"/>
                  <w:marBottom w:val="0"/>
                  <w:divBdr>
                    <w:top w:val="none" w:sz="0" w:space="0" w:color="auto"/>
                    <w:left w:val="none" w:sz="0" w:space="0" w:color="auto"/>
                    <w:bottom w:val="none" w:sz="0" w:space="0" w:color="auto"/>
                    <w:right w:val="none" w:sz="0" w:space="0" w:color="auto"/>
                  </w:divBdr>
                  <w:divsChild>
                    <w:div w:id="89636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7187122">
      <w:bodyDiv w:val="1"/>
      <w:marLeft w:val="0"/>
      <w:marRight w:val="0"/>
      <w:marTop w:val="0"/>
      <w:marBottom w:val="0"/>
      <w:divBdr>
        <w:top w:val="none" w:sz="0" w:space="0" w:color="auto"/>
        <w:left w:val="none" w:sz="0" w:space="0" w:color="auto"/>
        <w:bottom w:val="none" w:sz="0" w:space="0" w:color="auto"/>
        <w:right w:val="none" w:sz="0" w:space="0" w:color="auto"/>
      </w:divBdr>
      <w:divsChild>
        <w:div w:id="88356990">
          <w:marLeft w:val="0"/>
          <w:marRight w:val="0"/>
          <w:marTop w:val="0"/>
          <w:marBottom w:val="0"/>
          <w:divBdr>
            <w:top w:val="none" w:sz="0" w:space="0" w:color="auto"/>
            <w:left w:val="none" w:sz="0" w:space="0" w:color="auto"/>
            <w:bottom w:val="none" w:sz="0" w:space="0" w:color="auto"/>
            <w:right w:val="none" w:sz="0" w:space="0" w:color="auto"/>
          </w:divBdr>
          <w:divsChild>
            <w:div w:id="462424905">
              <w:marLeft w:val="0"/>
              <w:marRight w:val="0"/>
              <w:marTop w:val="0"/>
              <w:marBottom w:val="0"/>
              <w:divBdr>
                <w:top w:val="none" w:sz="0" w:space="0" w:color="auto"/>
                <w:left w:val="none" w:sz="0" w:space="0" w:color="auto"/>
                <w:bottom w:val="none" w:sz="0" w:space="0" w:color="auto"/>
                <w:right w:val="none" w:sz="0" w:space="0" w:color="auto"/>
              </w:divBdr>
              <w:divsChild>
                <w:div w:id="2023705149">
                  <w:marLeft w:val="0"/>
                  <w:marRight w:val="0"/>
                  <w:marTop w:val="0"/>
                  <w:marBottom w:val="0"/>
                  <w:divBdr>
                    <w:top w:val="none" w:sz="0" w:space="0" w:color="auto"/>
                    <w:left w:val="none" w:sz="0" w:space="0" w:color="auto"/>
                    <w:bottom w:val="none" w:sz="0" w:space="0" w:color="auto"/>
                    <w:right w:val="none" w:sz="0" w:space="0" w:color="auto"/>
                  </w:divBdr>
                  <w:divsChild>
                    <w:div w:id="10244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5289">
      <w:bodyDiv w:val="1"/>
      <w:marLeft w:val="0"/>
      <w:marRight w:val="0"/>
      <w:marTop w:val="0"/>
      <w:marBottom w:val="0"/>
      <w:divBdr>
        <w:top w:val="none" w:sz="0" w:space="0" w:color="auto"/>
        <w:left w:val="none" w:sz="0" w:space="0" w:color="auto"/>
        <w:bottom w:val="none" w:sz="0" w:space="0" w:color="auto"/>
        <w:right w:val="none" w:sz="0" w:space="0" w:color="auto"/>
      </w:divBdr>
      <w:divsChild>
        <w:div w:id="492962278">
          <w:marLeft w:val="0"/>
          <w:marRight w:val="0"/>
          <w:marTop w:val="0"/>
          <w:marBottom w:val="0"/>
          <w:divBdr>
            <w:top w:val="none" w:sz="0" w:space="0" w:color="auto"/>
            <w:left w:val="none" w:sz="0" w:space="0" w:color="auto"/>
            <w:bottom w:val="none" w:sz="0" w:space="0" w:color="auto"/>
            <w:right w:val="none" w:sz="0" w:space="0" w:color="auto"/>
          </w:divBdr>
          <w:divsChild>
            <w:div w:id="521163142">
              <w:marLeft w:val="0"/>
              <w:marRight w:val="0"/>
              <w:marTop w:val="0"/>
              <w:marBottom w:val="0"/>
              <w:divBdr>
                <w:top w:val="none" w:sz="0" w:space="0" w:color="auto"/>
                <w:left w:val="none" w:sz="0" w:space="0" w:color="auto"/>
                <w:bottom w:val="none" w:sz="0" w:space="0" w:color="auto"/>
                <w:right w:val="none" w:sz="0" w:space="0" w:color="auto"/>
              </w:divBdr>
              <w:divsChild>
                <w:div w:id="1249117745">
                  <w:marLeft w:val="0"/>
                  <w:marRight w:val="0"/>
                  <w:marTop w:val="0"/>
                  <w:marBottom w:val="0"/>
                  <w:divBdr>
                    <w:top w:val="none" w:sz="0" w:space="0" w:color="auto"/>
                    <w:left w:val="none" w:sz="0" w:space="0" w:color="auto"/>
                    <w:bottom w:val="none" w:sz="0" w:space="0" w:color="auto"/>
                    <w:right w:val="none" w:sz="0" w:space="0" w:color="auto"/>
                  </w:divBdr>
                  <w:divsChild>
                    <w:div w:id="1225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4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5680217">
      <w:bodyDiv w:val="1"/>
      <w:marLeft w:val="0"/>
      <w:marRight w:val="0"/>
      <w:marTop w:val="0"/>
      <w:marBottom w:val="0"/>
      <w:divBdr>
        <w:top w:val="none" w:sz="0" w:space="0" w:color="auto"/>
        <w:left w:val="none" w:sz="0" w:space="0" w:color="auto"/>
        <w:bottom w:val="none" w:sz="0" w:space="0" w:color="auto"/>
        <w:right w:val="none" w:sz="0" w:space="0" w:color="auto"/>
      </w:divBdr>
      <w:divsChild>
        <w:div w:id="2080665567">
          <w:marLeft w:val="0"/>
          <w:marRight w:val="0"/>
          <w:marTop w:val="0"/>
          <w:marBottom w:val="0"/>
          <w:divBdr>
            <w:top w:val="none" w:sz="0" w:space="0" w:color="auto"/>
            <w:left w:val="none" w:sz="0" w:space="0" w:color="auto"/>
            <w:bottom w:val="none" w:sz="0" w:space="0" w:color="auto"/>
            <w:right w:val="none" w:sz="0" w:space="0" w:color="auto"/>
          </w:divBdr>
          <w:divsChild>
            <w:div w:id="868222039">
              <w:marLeft w:val="0"/>
              <w:marRight w:val="0"/>
              <w:marTop w:val="0"/>
              <w:marBottom w:val="0"/>
              <w:divBdr>
                <w:top w:val="none" w:sz="0" w:space="0" w:color="auto"/>
                <w:left w:val="none" w:sz="0" w:space="0" w:color="auto"/>
                <w:bottom w:val="none" w:sz="0" w:space="0" w:color="auto"/>
                <w:right w:val="none" w:sz="0" w:space="0" w:color="auto"/>
              </w:divBdr>
              <w:divsChild>
                <w:div w:id="639264756">
                  <w:marLeft w:val="0"/>
                  <w:marRight w:val="0"/>
                  <w:marTop w:val="0"/>
                  <w:marBottom w:val="0"/>
                  <w:divBdr>
                    <w:top w:val="none" w:sz="0" w:space="0" w:color="auto"/>
                    <w:left w:val="none" w:sz="0" w:space="0" w:color="auto"/>
                    <w:bottom w:val="none" w:sz="0" w:space="0" w:color="auto"/>
                    <w:right w:val="none" w:sz="0" w:space="0" w:color="auto"/>
                  </w:divBdr>
                  <w:divsChild>
                    <w:div w:id="5480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4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yperlink" Target="https://doi.org/10.3389/fpubh.2020.0009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doi.org/10.9734/ejnfs/2023/v15i101347"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s://journalejnfs.com/index.php/EJNFS/article/view/15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54188-E96C-44A6-B517-B630C25D0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65</TotalTime>
  <Pages>18</Pages>
  <Words>6592</Words>
  <Characters>37681</Characters>
  <Application>Microsoft Office Word</Application>
  <DocSecurity>0</DocSecurity>
  <Lines>937</Lines>
  <Paragraphs>470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43922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Editor-26</cp:lastModifiedBy>
  <cp:revision>105</cp:revision>
  <cp:lastPrinted>1999-07-06T11:00:00Z</cp:lastPrinted>
  <dcterms:created xsi:type="dcterms:W3CDTF">2025-04-08T19:49:00Z</dcterms:created>
  <dcterms:modified xsi:type="dcterms:W3CDTF">2025-04-18T10:47:00Z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c9aac4f4ac3077f52f80c7ea160383c8bc3dc01292cb0d4852f7b2d15b4c4aaf</vt:lpwstr>
  </property>
</Properties>
</file>