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5709A" w14:textId="77777777" w:rsidR="009B143E" w:rsidRPr="009B143E" w:rsidRDefault="009B143E" w:rsidP="009B143E">
      <w:pPr>
        <w:spacing w:after="0" w:line="288" w:lineRule="auto"/>
        <w:jc w:val="both"/>
        <w:rPr>
          <w:rFonts w:ascii="Times New Roman" w:hAnsi="Times New Roman" w:cs="Times New Roman"/>
          <w:b/>
          <w:sz w:val="28"/>
          <w:szCs w:val="28"/>
        </w:rPr>
      </w:pPr>
      <w:bookmarkStart w:id="0" w:name="_Hlk193377627"/>
      <w:bookmarkEnd w:id="0"/>
      <w:r w:rsidRPr="009B143E">
        <w:rPr>
          <w:rFonts w:ascii="Times New Roman" w:hAnsi="Times New Roman" w:cs="Times New Roman"/>
          <w:b/>
          <w:sz w:val="28"/>
          <w:szCs w:val="28"/>
        </w:rPr>
        <w:t>Climate Change, Regenerative Agriculture and Carbon Neutrality in the context of Tea Cultivation</w:t>
      </w:r>
    </w:p>
    <w:p w14:paraId="176D93F9" w14:textId="77777777" w:rsidR="009B143E" w:rsidRPr="009B143E" w:rsidRDefault="009B143E" w:rsidP="009B143E">
      <w:pPr>
        <w:spacing w:after="0" w:line="288" w:lineRule="auto"/>
        <w:jc w:val="both"/>
        <w:rPr>
          <w:rFonts w:ascii="Times New Roman" w:hAnsi="Times New Roman" w:cs="Times New Roman"/>
          <w:sz w:val="24"/>
          <w:szCs w:val="24"/>
        </w:rPr>
      </w:pPr>
    </w:p>
    <w:p w14:paraId="4FBA6A35" w14:textId="77777777" w:rsidR="009B143E" w:rsidRPr="009B143E" w:rsidRDefault="009B143E" w:rsidP="009B143E">
      <w:pPr>
        <w:spacing w:after="0" w:line="288" w:lineRule="auto"/>
        <w:jc w:val="both"/>
        <w:rPr>
          <w:rFonts w:ascii="Times New Roman" w:hAnsi="Times New Roman" w:cs="Times New Roman"/>
          <w:sz w:val="24"/>
          <w:szCs w:val="24"/>
        </w:rPr>
      </w:pPr>
    </w:p>
    <w:p w14:paraId="3D8965BF" w14:textId="77777777" w:rsidR="009B143E" w:rsidRPr="009B143E" w:rsidRDefault="009B143E" w:rsidP="009B143E">
      <w:pPr>
        <w:spacing w:after="0" w:line="288" w:lineRule="auto"/>
        <w:jc w:val="both"/>
        <w:rPr>
          <w:rFonts w:ascii="Times New Roman" w:hAnsi="Times New Roman" w:cs="Times New Roman"/>
          <w:b/>
          <w:sz w:val="24"/>
          <w:szCs w:val="24"/>
        </w:rPr>
      </w:pPr>
      <w:r w:rsidRPr="009B143E">
        <w:rPr>
          <w:rFonts w:ascii="Times New Roman" w:hAnsi="Times New Roman" w:cs="Times New Roman"/>
          <w:b/>
          <w:sz w:val="24"/>
          <w:szCs w:val="24"/>
        </w:rPr>
        <w:t>Abstract</w:t>
      </w:r>
    </w:p>
    <w:p w14:paraId="6B899D88" w14:textId="77777777" w:rsidR="006010AE" w:rsidRPr="000248EF" w:rsidRDefault="006010AE" w:rsidP="000248EF">
      <w:pPr>
        <w:pStyle w:val="NormalWeb"/>
        <w:spacing w:before="0" w:beforeAutospacing="0" w:after="0" w:afterAutospacing="0" w:line="288" w:lineRule="auto"/>
        <w:jc w:val="both"/>
        <w:rPr>
          <w:highlight w:val="yellow"/>
        </w:rPr>
      </w:pPr>
      <w:r w:rsidRPr="000248EF">
        <w:rPr>
          <w:highlight w:val="yellow"/>
        </w:rPr>
        <w:t xml:space="preserve">Climate change presents a significant challenge to global agriculture, impacting food security, crop productivity, and natural resources. While agriculture contributes to greenhouse gas (GHG) emissions, it also holds the potential to act as a carbon sink through regenerative practices. Regenerative agriculture, characterized by sustainable soil management, biodiversity enhancement, and ecosystem restoration, has emerged </w:t>
      </w:r>
      <w:bookmarkStart w:id="1" w:name="_GoBack"/>
      <w:bookmarkEnd w:id="1"/>
      <w:r w:rsidRPr="000248EF">
        <w:rPr>
          <w:highlight w:val="yellow"/>
        </w:rPr>
        <w:t>as a viable solution to mitigate climate impacts. In the context of tea cultivation, which is particularly susceptible to climate variability due to its C3 photosynthetic pathway, achieving carbon neutrality through regenerative agriculture is paramount.</w:t>
      </w:r>
    </w:p>
    <w:p w14:paraId="49EE36A3" w14:textId="565D2EE0" w:rsidR="0043039A" w:rsidRDefault="006010AE" w:rsidP="0043039A">
      <w:pPr>
        <w:pStyle w:val="NormalWeb"/>
        <w:spacing w:before="0" w:beforeAutospacing="0" w:after="0" w:afterAutospacing="0" w:line="288" w:lineRule="auto"/>
        <w:jc w:val="both"/>
      </w:pPr>
      <w:r w:rsidRPr="000248EF">
        <w:rPr>
          <w:highlight w:val="yellow"/>
        </w:rPr>
        <w:t xml:space="preserve">However, while soil health management is central, it alone is not sufficient to build climate resilience within a time-bound framework. Plant health management is equally crucial, as it optimizes photosynthate utilization, minimizes pest and disease risks, and ensures better crop performance, a need recognized by the United Nations. Regenerative agriculture should </w:t>
      </w:r>
      <w:proofErr w:type="gramStart"/>
      <w:r w:rsidRPr="000248EF">
        <w:rPr>
          <w:highlight w:val="yellow"/>
        </w:rPr>
        <w:t>extends</w:t>
      </w:r>
      <w:proofErr w:type="gramEnd"/>
      <w:r w:rsidRPr="000248EF">
        <w:rPr>
          <w:highlight w:val="yellow"/>
        </w:rPr>
        <w:t xml:space="preserve"> beyond soil health management by incorporating plant health principles rooted in both ancient Indian philosophy and modern scientific theories. The Element Energy Activation (EEA) principle behind IRF Technology and the Trophobiosis Theory of Francis Chaboussou are conceptually interrelated. EEA emphasizes the role of plant energy dynamics in maintaining natural resilience, while Trophobiosis Theory highlights how healthy plants, with balanced biochemical processes, exhibit greater resistance to pests and diseases. By integrating these insights, IRF Technology offers a WHOLISTIC approach to plant health management, reducing chemical dependency, enhancing crop productivity, and improving ecosystem resilience.</w:t>
      </w:r>
      <w:r w:rsidR="0043039A" w:rsidRPr="0043039A">
        <w:t xml:space="preserve"> </w:t>
      </w:r>
      <w:r w:rsidR="0043039A" w:rsidRPr="0043039A">
        <w:rPr>
          <w:highlight w:val="yellow"/>
        </w:rPr>
        <w:t xml:space="preserve">This has been demonstrated in initiatives like the one at </w:t>
      </w:r>
      <w:proofErr w:type="spellStart"/>
      <w:r w:rsidR="0043039A" w:rsidRPr="0043039A">
        <w:rPr>
          <w:highlight w:val="yellow"/>
        </w:rPr>
        <w:t>Lakhipara</w:t>
      </w:r>
      <w:proofErr w:type="spellEnd"/>
      <w:r w:rsidR="0043039A" w:rsidRPr="0043039A">
        <w:rPr>
          <w:highlight w:val="yellow"/>
        </w:rPr>
        <w:t xml:space="preserve"> Tea Estate, </w:t>
      </w:r>
      <w:proofErr w:type="spellStart"/>
      <w:r w:rsidR="0043039A">
        <w:rPr>
          <w:highlight w:val="yellow"/>
        </w:rPr>
        <w:t>Dooars</w:t>
      </w:r>
      <w:proofErr w:type="spellEnd"/>
      <w:r w:rsidR="0043039A">
        <w:rPr>
          <w:highlight w:val="yellow"/>
        </w:rPr>
        <w:t xml:space="preserve">, </w:t>
      </w:r>
      <w:r w:rsidR="0043039A" w:rsidRPr="0043039A">
        <w:rPr>
          <w:highlight w:val="yellow"/>
        </w:rPr>
        <w:t>where the adoption of Inhana Rational Farming (IRF) Technology resulted in increased productivity, reduced pesticide use, and a significant reduction in carbon footprint.</w:t>
      </w:r>
      <w:r w:rsidR="0043039A">
        <w:t xml:space="preserve"> </w:t>
      </w:r>
    </w:p>
    <w:p w14:paraId="27863C57" w14:textId="4674BCF9" w:rsidR="000248EF" w:rsidRPr="000248EF" w:rsidRDefault="000248EF" w:rsidP="000248EF">
      <w:pPr>
        <w:pStyle w:val="NormalWeb"/>
        <w:spacing w:before="0" w:beforeAutospacing="0" w:after="0" w:afterAutospacing="0" w:line="288" w:lineRule="auto"/>
        <w:jc w:val="both"/>
        <w:rPr>
          <w:highlight w:val="yellow"/>
        </w:rPr>
      </w:pPr>
      <w:r w:rsidRPr="000248EF">
        <w:rPr>
          <w:highlight w:val="yellow"/>
        </w:rPr>
        <w:t>In this context, the Agriculture Carbon Footprint Assessor (ACFA) Version 2.0, developed collaboratively by Inhana Organic Research Foundation (IORF) and ICAR-ATARI Kolkata, serves as a groundbreaking tool for accurately assessing carbon footprints in agriculture. This innovative platform enables corporate net-zero compliance, supports ESG objectives, and advances sustainability initiatives by providing precise carbon emissions data and promoting regenerative practices.</w:t>
      </w:r>
    </w:p>
    <w:p w14:paraId="15372D4B" w14:textId="2798DB98" w:rsidR="000248EF" w:rsidRPr="000248EF" w:rsidRDefault="000248EF" w:rsidP="000248EF">
      <w:pPr>
        <w:pStyle w:val="NormalWeb"/>
        <w:spacing w:before="0" w:beforeAutospacing="0" w:after="0" w:afterAutospacing="0" w:line="288" w:lineRule="auto"/>
        <w:jc w:val="both"/>
        <w:rPr>
          <w:highlight w:val="yellow"/>
        </w:rPr>
      </w:pPr>
      <w:r w:rsidRPr="000248EF">
        <w:rPr>
          <w:highlight w:val="yellow"/>
        </w:rPr>
        <w:t xml:space="preserve">In the tea sector, the </w:t>
      </w:r>
      <w:proofErr w:type="spellStart"/>
      <w:r w:rsidRPr="000248EF">
        <w:rPr>
          <w:highlight w:val="yellow"/>
        </w:rPr>
        <w:t>Trustea</w:t>
      </w:r>
      <w:proofErr w:type="spellEnd"/>
      <w:r w:rsidRPr="000248EF">
        <w:rPr>
          <w:highlight w:val="yellow"/>
        </w:rPr>
        <w:t xml:space="preserve"> Emission Calculator (TEC), developed using ACFA 2.0 </w:t>
      </w:r>
      <w:r w:rsidR="00D84747" w:rsidRPr="000248EF">
        <w:rPr>
          <w:highlight w:val="yellow"/>
        </w:rPr>
        <w:t>framework</w:t>
      </w:r>
      <w:r w:rsidRPr="000248EF">
        <w:rPr>
          <w:highlight w:val="yellow"/>
        </w:rPr>
        <w:t xml:space="preserve">, serves as a pioneering carbon computing tool. TEC offers estate-specific insights by considering agro-ecological variability and management diversity, enabling tea growers to quantify and reduce their carbon footprint effectively. This ensures transparency and accountability in </w:t>
      </w:r>
      <w:r w:rsidRPr="000248EF">
        <w:rPr>
          <w:highlight w:val="yellow"/>
        </w:rPr>
        <w:lastRenderedPageBreak/>
        <w:t>sustainability efforts, supporting carbon-neutral farming and enhancing the resilience of the tea sector.</w:t>
      </w:r>
    </w:p>
    <w:p w14:paraId="00D14A53" w14:textId="77777777" w:rsidR="000248EF" w:rsidRDefault="000248EF" w:rsidP="000248EF">
      <w:pPr>
        <w:pStyle w:val="NormalWeb"/>
        <w:spacing w:before="0" w:beforeAutospacing="0" w:after="0" w:afterAutospacing="0" w:line="288" w:lineRule="auto"/>
        <w:jc w:val="both"/>
      </w:pPr>
      <w:r w:rsidRPr="000248EF">
        <w:rPr>
          <w:highlight w:val="yellow"/>
        </w:rPr>
        <w:t>Policy frameworks must integrate regenerative agriculture principles with measurable impact assessments, incentivizing carbon-neutral practices and ensuring their alignment with food security and sustainability goals. By incorporating comprehensive soil and plant health management within a regenerative framework and leveraging tools like ACFA 2.0 and TEC, agriculture can transition from being a contributor to climate change to a key solution, ensuring food security, ecological balance, and long-term sustainability.</w:t>
      </w:r>
    </w:p>
    <w:p w14:paraId="4DDE99FB" w14:textId="77777777" w:rsidR="006041E7" w:rsidRDefault="006041E7" w:rsidP="009B143E">
      <w:pPr>
        <w:spacing w:after="0" w:line="288" w:lineRule="auto"/>
        <w:ind w:left="1350" w:hanging="1350"/>
        <w:jc w:val="both"/>
        <w:rPr>
          <w:rFonts w:ascii="Times New Roman" w:hAnsi="Times New Roman" w:cs="Times New Roman"/>
          <w:b/>
          <w:sz w:val="24"/>
          <w:szCs w:val="24"/>
        </w:rPr>
      </w:pPr>
    </w:p>
    <w:p w14:paraId="39F2E2BF" w14:textId="34622F28" w:rsidR="009B143E" w:rsidRPr="009B143E" w:rsidRDefault="009B143E" w:rsidP="009B143E">
      <w:pPr>
        <w:spacing w:after="0" w:line="288" w:lineRule="auto"/>
        <w:ind w:left="1350" w:hanging="1350"/>
        <w:jc w:val="both"/>
        <w:rPr>
          <w:rFonts w:ascii="Times New Roman" w:hAnsi="Times New Roman" w:cs="Times New Roman"/>
          <w:sz w:val="24"/>
          <w:szCs w:val="24"/>
        </w:rPr>
      </w:pPr>
      <w:r w:rsidRPr="009B143E">
        <w:rPr>
          <w:rFonts w:ascii="Times New Roman" w:hAnsi="Times New Roman" w:cs="Times New Roman"/>
          <w:b/>
          <w:sz w:val="24"/>
          <w:szCs w:val="24"/>
        </w:rPr>
        <w:t>Key words:</w:t>
      </w:r>
      <w:r>
        <w:rPr>
          <w:rFonts w:ascii="Times New Roman" w:hAnsi="Times New Roman" w:cs="Times New Roman"/>
          <w:b/>
          <w:sz w:val="24"/>
          <w:szCs w:val="24"/>
        </w:rPr>
        <w:t xml:space="preserve"> </w:t>
      </w:r>
      <w:r w:rsidRPr="009B143E">
        <w:rPr>
          <w:rFonts w:ascii="Times New Roman" w:hAnsi="Times New Roman" w:cs="Times New Roman"/>
          <w:sz w:val="24"/>
          <w:szCs w:val="24"/>
        </w:rPr>
        <w:t>Soil health management, Plant health management, trophobiosis, carbon footprint, sustainable development goals (SDGs)</w:t>
      </w:r>
    </w:p>
    <w:p w14:paraId="35F18FC8" w14:textId="77777777" w:rsidR="009B143E" w:rsidRPr="009B143E" w:rsidRDefault="009B143E" w:rsidP="009B143E">
      <w:pPr>
        <w:spacing w:after="0" w:line="288" w:lineRule="auto"/>
        <w:jc w:val="both"/>
        <w:rPr>
          <w:rFonts w:ascii="Times New Roman" w:hAnsi="Times New Roman" w:cs="Times New Roman"/>
          <w:sz w:val="24"/>
          <w:szCs w:val="24"/>
        </w:rPr>
      </w:pPr>
    </w:p>
    <w:p w14:paraId="0F25AFB2" w14:textId="77777777" w:rsidR="009B143E" w:rsidRPr="009B143E" w:rsidRDefault="009B143E" w:rsidP="009B143E">
      <w:pPr>
        <w:spacing w:after="0" w:line="288" w:lineRule="auto"/>
        <w:jc w:val="both"/>
        <w:rPr>
          <w:rFonts w:ascii="Times New Roman" w:hAnsi="Times New Roman" w:cs="Times New Roman"/>
          <w:b/>
          <w:sz w:val="24"/>
          <w:szCs w:val="24"/>
        </w:rPr>
      </w:pPr>
      <w:r w:rsidRPr="009B143E">
        <w:rPr>
          <w:rFonts w:ascii="Times New Roman" w:hAnsi="Times New Roman" w:cs="Times New Roman"/>
          <w:b/>
          <w:sz w:val="24"/>
          <w:szCs w:val="24"/>
        </w:rPr>
        <w:t>Introduction</w:t>
      </w:r>
    </w:p>
    <w:p w14:paraId="33D1F072"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Climate change is the greatest health threat facing humanity, jeopardizing global development, public health, and livelihood sustenance. Since 1850, the combined temperature of land and ocean has been rising at an average rate of 0.06°C per decade. Alarmingly, this warming rate has more than tripled since 1982, reaching approximately 0.20°C per decade (NOAA, 2023). These temperature shifts have profound consequences, disrupting ecosystems, intensifying extreme weather events, and exacerbating socioeconomic disparities worldwide.</w:t>
      </w:r>
    </w:p>
    <w:p w14:paraId="18020269" w14:textId="77777777" w:rsidR="009B143E" w:rsidRPr="009B143E" w:rsidRDefault="009B143E" w:rsidP="009B143E">
      <w:pPr>
        <w:spacing w:after="0" w:line="288" w:lineRule="auto"/>
        <w:jc w:val="both"/>
        <w:rPr>
          <w:rFonts w:ascii="Times New Roman" w:hAnsi="Times New Roman" w:cs="Times New Roman"/>
          <w:sz w:val="24"/>
          <w:szCs w:val="24"/>
        </w:rPr>
      </w:pPr>
    </w:p>
    <w:p w14:paraId="20232414"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Agriculture, as the backbone of human survival and development, is highly vulnerable to climate change. At the same time, it is also a significant contributor to global warming. Rising temperatures, erratic precipitation, and increased frequency of droughts and floods are leading to declining crop yields, soil degradation, biodiversity loss, and the spread of pests and diseases (</w:t>
      </w:r>
      <w:proofErr w:type="spellStart"/>
      <w:r w:rsidRPr="009B143E">
        <w:rPr>
          <w:rFonts w:ascii="Times New Roman" w:hAnsi="Times New Roman" w:cs="Times New Roman"/>
          <w:sz w:val="24"/>
          <w:szCs w:val="24"/>
        </w:rPr>
        <w:t>Sikha</w:t>
      </w:r>
      <w:proofErr w:type="spellEnd"/>
      <w:r w:rsidRPr="009B143E">
        <w:rPr>
          <w:rFonts w:ascii="Times New Roman" w:hAnsi="Times New Roman" w:cs="Times New Roman"/>
          <w:sz w:val="24"/>
          <w:szCs w:val="24"/>
        </w:rPr>
        <w:t xml:space="preserve"> et al., 2020; Annie et al., 2023; Wu et al., 2023). Additionally, these environmental changes are accelerating land degradation, reducing arable land availability, and threatening the long-term viability of agricultural production (</w:t>
      </w:r>
      <w:proofErr w:type="spellStart"/>
      <w:r w:rsidRPr="009B143E">
        <w:rPr>
          <w:rFonts w:ascii="Times New Roman" w:hAnsi="Times New Roman" w:cs="Times New Roman"/>
          <w:sz w:val="24"/>
          <w:szCs w:val="24"/>
        </w:rPr>
        <w:t>Eekhout</w:t>
      </w:r>
      <w:proofErr w:type="spellEnd"/>
      <w:r w:rsidRPr="009B143E">
        <w:rPr>
          <w:rFonts w:ascii="Times New Roman" w:hAnsi="Times New Roman" w:cs="Times New Roman"/>
          <w:sz w:val="24"/>
          <w:szCs w:val="24"/>
        </w:rPr>
        <w:t xml:space="preserve"> et al., 2022). Small and marginal farmers, who already struggle with limited access to land, finance, and technical training, are disproportionately affected, further exacerbating poverty and social inequality.</w:t>
      </w:r>
    </w:p>
    <w:p w14:paraId="7F2BD400" w14:textId="77777777" w:rsidR="009B143E" w:rsidRPr="009B143E" w:rsidRDefault="009B143E" w:rsidP="009B143E">
      <w:pPr>
        <w:spacing w:after="0" w:line="288" w:lineRule="auto"/>
        <w:jc w:val="both"/>
        <w:rPr>
          <w:rFonts w:ascii="Times New Roman" w:hAnsi="Times New Roman" w:cs="Times New Roman"/>
          <w:sz w:val="24"/>
          <w:szCs w:val="24"/>
        </w:rPr>
      </w:pPr>
    </w:p>
    <w:p w14:paraId="4F7101CE"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Addressing these challenges requires a comprehensive and forward-thinking approach that combines scientific innovation, policy support, and strong international collaboration (Yuan et al., 2024). Regenerative agriculture emerges as a viable solution, integrating sustainable practices that restore soil health, enhance biodiversity, and sequester atmospheric carbon. However, to ensure long-term sustainability, carbon neutrality in agriculture must be the ultimate goal. Achieving carbon neutrality would not only mitigate agriculture’s role in climate change but also create a resilient farming system capable of withstanding future environmental uncertainties.</w:t>
      </w:r>
    </w:p>
    <w:p w14:paraId="3D5F14C7" w14:textId="77777777" w:rsidR="009B143E" w:rsidRPr="009B143E" w:rsidRDefault="009B143E" w:rsidP="009B143E">
      <w:pPr>
        <w:spacing w:after="0" w:line="288" w:lineRule="auto"/>
        <w:jc w:val="both"/>
        <w:rPr>
          <w:rFonts w:ascii="Times New Roman" w:hAnsi="Times New Roman" w:cs="Times New Roman"/>
          <w:sz w:val="24"/>
          <w:szCs w:val="24"/>
        </w:rPr>
      </w:pPr>
    </w:p>
    <w:p w14:paraId="03ACE113"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lastRenderedPageBreak/>
        <w:t>Tea cultivation, being a C3 crop with vegetative propagation and continuous harvest cycles, is particularly susceptible to climate change-induced stresses. Therefore, regenerative agriculture principles must be adopted in tea plantations to restore soil vitality, improve plant resilience, and reduce pest and disease outbreaks through ecological balance. Given the sector’s vulnerability, achieving carbon neutrality in tea cultivation should be a top priority.</w:t>
      </w:r>
    </w:p>
    <w:p w14:paraId="1A435405" w14:textId="77777777" w:rsidR="009B143E" w:rsidRPr="009B143E" w:rsidRDefault="009B143E" w:rsidP="009B143E">
      <w:pPr>
        <w:spacing w:after="0" w:line="288" w:lineRule="auto"/>
        <w:jc w:val="both"/>
        <w:rPr>
          <w:rFonts w:ascii="Times New Roman" w:hAnsi="Times New Roman" w:cs="Times New Roman"/>
          <w:sz w:val="24"/>
          <w:szCs w:val="24"/>
        </w:rPr>
      </w:pPr>
    </w:p>
    <w:p w14:paraId="23FB0D8C"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A crucial aspect of sustainability assessment in agriculture is carbon footprint analysis, which provides a scientific and quantifiable metric to evaluate the environmental impact of farming practices. By systematically measuring the carbon footprint of agricultural interventions, stakeholders can make informed decisions to enhance sustainability. In this context, carbon neutrality should be the primary objective of any sustainability initiative rooted in regenerative agriculture. Establishing policy frameworks that incentivize carbon-neutral farming practices will be essential for scaling up these efforts globally.</w:t>
      </w:r>
    </w:p>
    <w:p w14:paraId="71438381" w14:textId="77777777" w:rsidR="009B143E" w:rsidRPr="009B143E" w:rsidRDefault="009B143E" w:rsidP="009B143E">
      <w:pPr>
        <w:spacing w:after="0" w:line="288" w:lineRule="auto"/>
        <w:jc w:val="both"/>
        <w:rPr>
          <w:rFonts w:ascii="Times New Roman" w:hAnsi="Times New Roman" w:cs="Times New Roman"/>
          <w:sz w:val="24"/>
          <w:szCs w:val="24"/>
        </w:rPr>
      </w:pPr>
    </w:p>
    <w:p w14:paraId="4618EF4A"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Hence, combating climate change’s impact on agriculture requires a paradigm shift towards regenerative farming, with a clear focus on carbon neutrality. Integrating soil and plant health management within a regenerative framework will enable agriculture to transition from being a major contributor to climate change to a key part of the solution. By adopting this approach, we can ensure food security, promote ecological balance, and pave the way for a truly sustainable agricultural future.</w:t>
      </w:r>
    </w:p>
    <w:p w14:paraId="45A0B470" w14:textId="77777777" w:rsidR="009B143E" w:rsidRPr="009B143E" w:rsidRDefault="009B143E" w:rsidP="009B143E">
      <w:pPr>
        <w:spacing w:after="0" w:line="288" w:lineRule="auto"/>
        <w:jc w:val="both"/>
        <w:rPr>
          <w:rFonts w:ascii="Times New Roman" w:hAnsi="Times New Roman" w:cs="Times New Roman"/>
          <w:sz w:val="24"/>
          <w:szCs w:val="24"/>
        </w:rPr>
      </w:pPr>
    </w:p>
    <w:p w14:paraId="4136FC43" w14:textId="77777777" w:rsidR="009B143E" w:rsidRPr="009B143E" w:rsidRDefault="009B143E" w:rsidP="009B143E">
      <w:pPr>
        <w:spacing w:after="0" w:line="288" w:lineRule="auto"/>
        <w:jc w:val="both"/>
        <w:rPr>
          <w:rFonts w:ascii="Times New Roman" w:hAnsi="Times New Roman" w:cs="Times New Roman"/>
          <w:sz w:val="24"/>
          <w:szCs w:val="24"/>
        </w:rPr>
      </w:pPr>
    </w:p>
    <w:p w14:paraId="75786C6E" w14:textId="77777777" w:rsidR="009B143E" w:rsidRPr="009B143E" w:rsidRDefault="009B143E" w:rsidP="009B143E">
      <w:pPr>
        <w:spacing w:after="0" w:line="288" w:lineRule="auto"/>
        <w:jc w:val="both"/>
        <w:rPr>
          <w:rFonts w:ascii="Times New Roman" w:hAnsi="Times New Roman" w:cs="Times New Roman"/>
          <w:b/>
          <w:sz w:val="24"/>
          <w:szCs w:val="24"/>
        </w:rPr>
      </w:pPr>
      <w:r w:rsidRPr="009B143E">
        <w:rPr>
          <w:rFonts w:ascii="Times New Roman" w:hAnsi="Times New Roman" w:cs="Times New Roman"/>
          <w:b/>
          <w:sz w:val="24"/>
          <w:szCs w:val="24"/>
        </w:rPr>
        <w:t>Climate Change Impact on Agriculture</w:t>
      </w:r>
    </w:p>
    <w:p w14:paraId="27E4ACDA" w14:textId="50E46188"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Agriculture is very sensitive to weather and climate</w:t>
      </w:r>
      <w:r w:rsidR="00C947F3">
        <w:rPr>
          <w:rFonts w:ascii="Times New Roman" w:hAnsi="Times New Roman" w:cs="Times New Roman"/>
          <w:sz w:val="24"/>
          <w:szCs w:val="24"/>
        </w:rPr>
        <w:t xml:space="preserve"> </w:t>
      </w:r>
      <w:r w:rsidRPr="009B143E">
        <w:rPr>
          <w:rFonts w:ascii="Times New Roman" w:hAnsi="Times New Roman" w:cs="Times New Roman"/>
          <w:sz w:val="24"/>
          <w:szCs w:val="24"/>
        </w:rPr>
        <w:t>(Walsh et al, 2020) It also relies heavily on land, water, and other natural</w:t>
      </w:r>
      <w:r w:rsidR="00C947F3">
        <w:rPr>
          <w:rFonts w:ascii="Times New Roman" w:hAnsi="Times New Roman" w:cs="Times New Roman"/>
          <w:sz w:val="24"/>
          <w:szCs w:val="24"/>
        </w:rPr>
        <w:t xml:space="preserve"> resources that climate affects.</w:t>
      </w:r>
      <w:r w:rsidRPr="009B143E">
        <w:rPr>
          <w:rFonts w:ascii="Times New Roman" w:hAnsi="Times New Roman" w:cs="Times New Roman"/>
          <w:sz w:val="24"/>
          <w:szCs w:val="24"/>
        </w:rPr>
        <w:t xml:space="preserve">  While climate changes (such as in temperature, precipitation, and frost timing) could lengthen the growing season or allow different crops to be grown in some regions</w:t>
      </w:r>
      <w:r w:rsidR="00C947F3">
        <w:rPr>
          <w:rFonts w:ascii="Times New Roman" w:hAnsi="Times New Roman" w:cs="Times New Roman"/>
          <w:sz w:val="24"/>
          <w:szCs w:val="24"/>
        </w:rPr>
        <w:t xml:space="preserve"> </w:t>
      </w:r>
      <w:r w:rsidRPr="009B143E">
        <w:rPr>
          <w:rFonts w:ascii="Times New Roman" w:hAnsi="Times New Roman" w:cs="Times New Roman"/>
          <w:sz w:val="24"/>
          <w:szCs w:val="24"/>
        </w:rPr>
        <w:t>(Walsh et al, 2020), it will also make agricultural practices more difficult in others. According to a scientific estimate using an ensemble of 21 climate model</w:t>
      </w:r>
      <w:r w:rsidR="00C947F3">
        <w:rPr>
          <w:rFonts w:ascii="Times New Roman" w:hAnsi="Times New Roman" w:cs="Times New Roman"/>
          <w:sz w:val="24"/>
          <w:szCs w:val="24"/>
        </w:rPr>
        <w:t xml:space="preserve"> </w:t>
      </w:r>
      <w:r w:rsidRPr="009B143E">
        <w:rPr>
          <w:rFonts w:ascii="Times New Roman" w:hAnsi="Times New Roman" w:cs="Times New Roman"/>
          <w:sz w:val="24"/>
          <w:szCs w:val="24"/>
        </w:rPr>
        <w:t>simulations suggest that the climate change could reduce global crop yields by 3–12% by midcentury and 11–25% by century’s end, under a vigorous warming scenario (Wing et al,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9B143E" w:rsidRPr="00A650B3" w14:paraId="322DB25D" w14:textId="77777777" w:rsidTr="00A90412">
        <w:tc>
          <w:tcPr>
            <w:tcW w:w="9242" w:type="dxa"/>
          </w:tcPr>
          <w:p w14:paraId="0AC7E876" w14:textId="77777777" w:rsidR="009B143E" w:rsidRPr="00A650B3" w:rsidRDefault="009B143E" w:rsidP="00A90412">
            <w:pPr>
              <w:jc w:val="both"/>
              <w:rPr>
                <w:rFonts w:ascii="Times New Roman" w:hAnsi="Times New Roman" w:cs="Times New Roman"/>
                <w:bCs/>
                <w:color w:val="000000" w:themeColor="text1"/>
                <w:sz w:val="24"/>
                <w:szCs w:val="24"/>
                <w:lang w:val="en-US"/>
              </w:rPr>
            </w:pPr>
            <w:r w:rsidRPr="00A650B3">
              <w:rPr>
                <w:noProof/>
                <w:color w:val="000000" w:themeColor="text1"/>
              </w:rPr>
              <w:lastRenderedPageBreak/>
              <w:drawing>
                <wp:inline distT="0" distB="0" distL="0" distR="0" wp14:anchorId="6EC3F8F8" wp14:editId="6F33285E">
                  <wp:extent cx="5731510" cy="2925152"/>
                  <wp:effectExtent l="19050" t="19050" r="2159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2925152"/>
                          </a:xfrm>
                          <a:prstGeom prst="rect">
                            <a:avLst/>
                          </a:prstGeom>
                          <a:ln>
                            <a:solidFill>
                              <a:schemeClr val="tx1"/>
                            </a:solidFill>
                          </a:ln>
                        </pic:spPr>
                      </pic:pic>
                    </a:graphicData>
                  </a:graphic>
                </wp:inline>
              </w:drawing>
            </w:r>
          </w:p>
        </w:tc>
      </w:tr>
      <w:tr w:rsidR="009B143E" w:rsidRPr="00A650B3" w14:paraId="59888644" w14:textId="77777777" w:rsidTr="00A90412">
        <w:tc>
          <w:tcPr>
            <w:tcW w:w="9242" w:type="dxa"/>
          </w:tcPr>
          <w:p w14:paraId="1E2055CE" w14:textId="35B7D172" w:rsidR="009B143E" w:rsidRPr="00A650B3" w:rsidRDefault="009B143E" w:rsidP="00A90412">
            <w:pPr>
              <w:jc w:val="both"/>
              <w:rPr>
                <w:rFonts w:ascii="Times New Roman" w:hAnsi="Times New Roman" w:cs="Times New Roman"/>
                <w:bCs/>
                <w:color w:val="000000" w:themeColor="text1"/>
                <w:sz w:val="24"/>
                <w:szCs w:val="24"/>
                <w:lang w:val="en-US"/>
              </w:rPr>
            </w:pPr>
            <w:r w:rsidRPr="00A650B3">
              <w:rPr>
                <w:rFonts w:ascii="Times New Roman" w:hAnsi="Times New Roman" w:cs="Times New Roman"/>
                <w:bCs/>
                <w:color w:val="000000" w:themeColor="text1"/>
                <w:sz w:val="24"/>
                <w:szCs w:val="24"/>
                <w:lang w:val="en-US"/>
              </w:rPr>
              <w:t xml:space="preserve">Fig 1: Yearly temperature anomalies from 1880 to 2020 as recorded by NASA, NOAA, the Berkeley Earth research group, the Met Office Hadley Centre (United Kingdom), and the </w:t>
            </w:r>
            <w:proofErr w:type="spellStart"/>
            <w:r w:rsidRPr="00A650B3">
              <w:rPr>
                <w:rFonts w:ascii="Times New Roman" w:hAnsi="Times New Roman" w:cs="Times New Roman"/>
                <w:bCs/>
                <w:color w:val="000000" w:themeColor="text1"/>
                <w:sz w:val="24"/>
                <w:szCs w:val="24"/>
                <w:lang w:val="en-US"/>
              </w:rPr>
              <w:t>Cowtan</w:t>
            </w:r>
            <w:proofErr w:type="spellEnd"/>
            <w:r w:rsidR="00C947F3">
              <w:rPr>
                <w:rFonts w:ascii="Times New Roman" w:hAnsi="Times New Roman" w:cs="Times New Roman"/>
                <w:bCs/>
                <w:color w:val="000000" w:themeColor="text1"/>
                <w:sz w:val="24"/>
                <w:szCs w:val="24"/>
                <w:lang w:val="en-US"/>
              </w:rPr>
              <w:t xml:space="preserve"> </w:t>
            </w:r>
            <w:r w:rsidRPr="00A650B3">
              <w:rPr>
                <w:rFonts w:ascii="Times New Roman" w:hAnsi="Times New Roman" w:cs="Times New Roman"/>
                <w:bCs/>
                <w:color w:val="000000" w:themeColor="text1"/>
                <w:sz w:val="24"/>
                <w:szCs w:val="24"/>
                <w:lang w:val="en-US"/>
              </w:rPr>
              <w:t>&amp; Way analysis. (</w:t>
            </w:r>
            <w:proofErr w:type="spellStart"/>
            <w:r w:rsidRPr="00A650B3">
              <w:rPr>
                <w:rFonts w:ascii="Times New Roman" w:hAnsi="Times New Roman" w:cs="Times New Roman"/>
                <w:bCs/>
                <w:color w:val="000000" w:themeColor="text1"/>
                <w:sz w:val="20"/>
                <w:szCs w:val="20"/>
                <w:lang w:val="en-US"/>
              </w:rPr>
              <w:t>Surce</w:t>
            </w:r>
            <w:proofErr w:type="spellEnd"/>
            <w:r w:rsidRPr="00A650B3">
              <w:rPr>
                <w:rFonts w:ascii="Times New Roman" w:hAnsi="Times New Roman" w:cs="Times New Roman"/>
                <w:bCs/>
                <w:color w:val="000000" w:themeColor="text1"/>
                <w:sz w:val="20"/>
                <w:szCs w:val="20"/>
                <w:lang w:val="en-US"/>
              </w:rPr>
              <w:t xml:space="preserve"> : https://earthobservatory.nasa.gov/world-of-change/global-temperatures</w:t>
            </w:r>
            <w:r w:rsidRPr="00A650B3">
              <w:rPr>
                <w:rFonts w:ascii="Times New Roman" w:hAnsi="Times New Roman" w:cs="Times New Roman"/>
                <w:bCs/>
                <w:color w:val="000000" w:themeColor="text1"/>
                <w:sz w:val="24"/>
                <w:szCs w:val="24"/>
                <w:lang w:val="en-US"/>
              </w:rPr>
              <w:t>)</w:t>
            </w:r>
          </w:p>
        </w:tc>
      </w:tr>
    </w:tbl>
    <w:p w14:paraId="45BE4DCE" w14:textId="77777777" w:rsidR="00891284" w:rsidRDefault="00891284" w:rsidP="009B143E">
      <w:pPr>
        <w:spacing w:after="0" w:line="288" w:lineRule="auto"/>
        <w:jc w:val="both"/>
        <w:rPr>
          <w:rFonts w:ascii="Times New Roman" w:hAnsi="Times New Roman" w:cs="Times New Roman"/>
          <w:sz w:val="24"/>
          <w:szCs w:val="24"/>
        </w:rPr>
      </w:pPr>
    </w:p>
    <w:p w14:paraId="6593D503" w14:textId="36CBDBDC"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The climate change impact assessment was carried out using the crop simulation models by incorporating the projected climates of 2050 &amp; 2080 in India’s context which showed climate change reduces crop yields and lower nutrition quality of produce and increases intensity of extreme events like droughts, flood, cyclones which affect the food and nutrient consumption, and impact on farmers livelihood. In absence of adoption of adaptation measures, rainfed rice yields in India are projected to reduce by 20% in 2050 and 47% in 2080 scenarios while irrigated rice yields are projected to reduce by 3.5% in 2050 and 5% in 2080 scenarios. Climate change is projected to reduce wheat yield by 19.3% in 2050 and 40% in 2080 scenarios towards the end of the century with significant spatial and temporal variations. Climate change is projected to reduce the kharif maize yields by 18 and 23% in 2050 and 2080 scenarios, </w:t>
      </w:r>
      <w:proofErr w:type="gramStart"/>
      <w:r w:rsidRPr="009B143E">
        <w:rPr>
          <w:rFonts w:ascii="Times New Roman" w:hAnsi="Times New Roman" w:cs="Times New Roman"/>
          <w:sz w:val="24"/>
          <w:szCs w:val="24"/>
        </w:rPr>
        <w:t>respectively..</w:t>
      </w:r>
      <w:proofErr w:type="gramEnd"/>
      <w:r w:rsidRPr="009B143E">
        <w:rPr>
          <w:rFonts w:ascii="Times New Roman" w:hAnsi="Times New Roman" w:cs="Times New Roman"/>
          <w:sz w:val="24"/>
          <w:szCs w:val="24"/>
        </w:rPr>
        <w:t xml:space="preserve"> Extreme events like droughts affect the food and nutrient consumption, and its impact on farmers (PIB, 2023).</w:t>
      </w:r>
    </w:p>
    <w:p w14:paraId="735FCD05" w14:textId="77777777" w:rsidR="009B143E" w:rsidRDefault="009B143E" w:rsidP="009B143E">
      <w:pPr>
        <w:spacing w:after="0" w:line="288" w:lineRule="auto"/>
        <w:jc w:val="both"/>
        <w:rPr>
          <w:rFonts w:ascii="Times New Roman" w:hAnsi="Times New Roman" w:cs="Times New Roman"/>
          <w:sz w:val="24"/>
          <w:szCs w:val="24"/>
        </w:rPr>
      </w:pPr>
    </w:p>
    <w:p w14:paraId="3D493F77" w14:textId="77777777" w:rsidR="009B143E" w:rsidRPr="009B143E" w:rsidRDefault="009B143E" w:rsidP="009B143E">
      <w:pPr>
        <w:spacing w:after="0" w:line="288" w:lineRule="auto"/>
        <w:jc w:val="both"/>
        <w:rPr>
          <w:rFonts w:ascii="Times New Roman" w:hAnsi="Times New Roman" w:cs="Times New Roman"/>
          <w:b/>
          <w:sz w:val="24"/>
          <w:szCs w:val="24"/>
        </w:rPr>
      </w:pPr>
      <w:r w:rsidRPr="009B143E">
        <w:rPr>
          <w:rFonts w:ascii="Times New Roman" w:hAnsi="Times New Roman" w:cs="Times New Roman"/>
          <w:b/>
          <w:sz w:val="24"/>
          <w:szCs w:val="24"/>
        </w:rPr>
        <w:t>Climate Change Mitigation and Relevance of Regenerative Agriculture</w:t>
      </w:r>
    </w:p>
    <w:p w14:paraId="3E147B71"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In one side agriculture is one of the biggest </w:t>
      </w:r>
      <w:proofErr w:type="gramStart"/>
      <w:r w:rsidRPr="009B143E">
        <w:rPr>
          <w:rFonts w:ascii="Times New Roman" w:hAnsi="Times New Roman" w:cs="Times New Roman"/>
          <w:sz w:val="24"/>
          <w:szCs w:val="24"/>
        </w:rPr>
        <w:t>source</w:t>
      </w:r>
      <w:proofErr w:type="gramEnd"/>
      <w:r w:rsidRPr="009B143E">
        <w:rPr>
          <w:rFonts w:ascii="Times New Roman" w:hAnsi="Times New Roman" w:cs="Times New Roman"/>
          <w:sz w:val="24"/>
          <w:szCs w:val="24"/>
        </w:rPr>
        <w:t xml:space="preserve"> of GHG mitigation, it has the potential to be the biggest carbon sink to address climate change mitigation and restrict the global temperature rise. Since the beginning of agriculture, approximately 133 </w:t>
      </w:r>
      <w:proofErr w:type="spellStart"/>
      <w:r w:rsidRPr="009B143E">
        <w:rPr>
          <w:rFonts w:ascii="Times New Roman" w:hAnsi="Times New Roman" w:cs="Times New Roman"/>
          <w:sz w:val="24"/>
          <w:szCs w:val="24"/>
        </w:rPr>
        <w:t>gigatonnes</w:t>
      </w:r>
      <w:proofErr w:type="spellEnd"/>
      <w:r w:rsidRPr="009B143E">
        <w:rPr>
          <w:rFonts w:ascii="Times New Roman" w:hAnsi="Times New Roman" w:cs="Times New Roman"/>
          <w:sz w:val="24"/>
          <w:szCs w:val="24"/>
        </w:rPr>
        <w:t xml:space="preserve"> of carbon have been lost from soils globally, the equivalent of 480 GtCO2 emissions (</w:t>
      </w:r>
      <w:proofErr w:type="spellStart"/>
      <w:r w:rsidRPr="009B143E">
        <w:rPr>
          <w:rFonts w:ascii="Times New Roman" w:hAnsi="Times New Roman" w:cs="Times New Roman"/>
          <w:sz w:val="24"/>
          <w:szCs w:val="24"/>
        </w:rPr>
        <w:t>Sanderman</w:t>
      </w:r>
      <w:proofErr w:type="spellEnd"/>
      <w:r w:rsidRPr="009B143E">
        <w:rPr>
          <w:rFonts w:ascii="Times New Roman" w:hAnsi="Times New Roman" w:cs="Times New Roman"/>
          <w:sz w:val="24"/>
          <w:szCs w:val="24"/>
        </w:rPr>
        <w:t xml:space="preserve">, 2017). Much of this loss has occurred since the 19th century due to deforestation, overgrazing, plow-out of prairies, and drainage of wetlands in order to grow crops, as well as degradative practices such as </w:t>
      </w:r>
      <w:r w:rsidRPr="009B143E">
        <w:rPr>
          <w:rFonts w:ascii="Times New Roman" w:hAnsi="Times New Roman" w:cs="Times New Roman"/>
          <w:sz w:val="24"/>
          <w:szCs w:val="24"/>
        </w:rPr>
        <w:lastRenderedPageBreak/>
        <w:t>intensive soil tillage, monoculture cropping, bare fallowing, and heavy reliance on the use of chemical fertilizers and biocides (Teal and Burkart, 2024).</w:t>
      </w:r>
    </w:p>
    <w:p w14:paraId="32D07545" w14:textId="77777777" w:rsidR="009B143E" w:rsidRDefault="009B143E" w:rsidP="009B143E">
      <w:pPr>
        <w:spacing w:after="0" w:line="288" w:lineRule="auto"/>
        <w:jc w:val="both"/>
        <w:rPr>
          <w:rFonts w:ascii="Times New Roman" w:hAnsi="Times New Roman" w:cs="Times New Roman"/>
          <w:sz w:val="24"/>
          <w:szCs w:val="24"/>
        </w:rPr>
      </w:pPr>
    </w:p>
    <w:p w14:paraId="022F9C08" w14:textId="185D54CF"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Climate-smart and regenerative agriculture measures designed to put farmers at the center can improve crop yields and turn farmland and pastures into carbon sinks, reverse forest loss, optimize the use of nitrogen-based fertilizers and rethink global and local supply chains to be more sustainable, reduce waste (Strauss, 2023).</w:t>
      </w:r>
      <w:r w:rsidR="00C82820">
        <w:rPr>
          <w:rFonts w:ascii="Times New Roman" w:hAnsi="Times New Roman" w:cs="Times New Roman"/>
          <w:sz w:val="24"/>
          <w:szCs w:val="24"/>
        </w:rPr>
        <w:t xml:space="preserve"> </w:t>
      </w:r>
      <w:r w:rsidRPr="009B143E">
        <w:rPr>
          <w:rFonts w:ascii="Times New Roman" w:hAnsi="Times New Roman" w:cs="Times New Roman"/>
          <w:sz w:val="24"/>
          <w:szCs w:val="24"/>
        </w:rPr>
        <w:t>At both the regional and global levels, a growing body of scientific literature is identifying the potential of regenerative agricultural practices in sequestering carbon, helping to mitigate climate change while making croplands more productive and resilient as the planet warms (Teal and Burkart, 2024). Core principles of the regenerative agriculture are designed to closely mimic a comparable native ecosystem. According to a scientific estimation regenerative agriculture, as a diverse portfolio of practices that can be adapted to specific regions and crop types, can and should play a major role in tackling climate change, with the potential to remove 100-200 GtCO</w:t>
      </w:r>
      <w:r w:rsidRPr="00C82820">
        <w:rPr>
          <w:rFonts w:ascii="Times New Roman" w:hAnsi="Times New Roman" w:cs="Times New Roman"/>
          <w:sz w:val="24"/>
          <w:szCs w:val="24"/>
          <w:vertAlign w:val="subscript"/>
        </w:rPr>
        <w:t>2</w:t>
      </w:r>
      <w:r w:rsidRPr="009B143E">
        <w:rPr>
          <w:rFonts w:ascii="Times New Roman" w:hAnsi="Times New Roman" w:cs="Times New Roman"/>
          <w:sz w:val="24"/>
          <w:szCs w:val="24"/>
        </w:rPr>
        <w:t xml:space="preserve"> by the end of the century</w:t>
      </w:r>
      <w:r w:rsidR="00C82820">
        <w:rPr>
          <w:rFonts w:ascii="Times New Roman" w:hAnsi="Times New Roman" w:cs="Times New Roman"/>
          <w:sz w:val="24"/>
          <w:szCs w:val="24"/>
        </w:rPr>
        <w:t xml:space="preserve"> </w:t>
      </w:r>
      <w:r w:rsidRPr="009B143E">
        <w:rPr>
          <w:rFonts w:ascii="Times New Roman" w:hAnsi="Times New Roman" w:cs="Times New Roman"/>
          <w:sz w:val="24"/>
          <w:szCs w:val="24"/>
        </w:rPr>
        <w:t>(Teal and Burkart, 2024).</w:t>
      </w:r>
    </w:p>
    <w:p w14:paraId="778188B7" w14:textId="77777777" w:rsidR="00322887" w:rsidRPr="009B143E" w:rsidRDefault="00322887" w:rsidP="009B143E">
      <w:pPr>
        <w:spacing w:after="0" w:line="288" w:lineRule="auto"/>
        <w:jc w:val="both"/>
        <w:rPr>
          <w:rFonts w:ascii="Times New Roman" w:hAnsi="Times New Roman" w:cs="Times New Roman"/>
          <w:sz w:val="24"/>
          <w:szCs w:val="24"/>
        </w:rPr>
      </w:pPr>
    </w:p>
    <w:p w14:paraId="3F66BBF6"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Thus Regenerative farming emerges as a potent force in the restoration of agricultural land, offering a promising solution to mitigate the environmental impact of industrial agriculture. By focusing on the regeneration of ecosystems that have suffered from the detrimental effects of industrial practices, regenerative farming becomes a key player in reversing the degradation caused over time. This approach not only aims to restore soil health, biodiversity, and water quality but also plays a crucial role in reducing the industry's overall environmental footprint, notably in lowering greenhouse gas emissions. Through a commitment to sustainable practices and a dedication to healing what has been degenerated, regenerative farming pioneers a transformative path towards a more resilient and harmonious coexistence between agriculture and the environment.</w:t>
      </w:r>
    </w:p>
    <w:p w14:paraId="634590ED" w14:textId="77777777" w:rsidR="009B143E" w:rsidRPr="009B143E" w:rsidRDefault="009B143E" w:rsidP="009B143E">
      <w:pPr>
        <w:spacing w:after="0" w:line="288" w:lineRule="auto"/>
        <w:jc w:val="both"/>
        <w:rPr>
          <w:rFonts w:ascii="Times New Roman" w:hAnsi="Times New Roman" w:cs="Times New Roman"/>
          <w:sz w:val="24"/>
          <w:szCs w:val="24"/>
        </w:rPr>
      </w:pPr>
    </w:p>
    <w:p w14:paraId="7ED5B5A7" w14:textId="77777777" w:rsidR="009B143E" w:rsidRPr="00322887" w:rsidRDefault="009B143E" w:rsidP="009B143E">
      <w:pPr>
        <w:spacing w:after="0" w:line="288" w:lineRule="auto"/>
        <w:jc w:val="both"/>
        <w:rPr>
          <w:rFonts w:ascii="Times New Roman" w:hAnsi="Times New Roman" w:cs="Times New Roman"/>
          <w:b/>
          <w:sz w:val="24"/>
          <w:szCs w:val="24"/>
        </w:rPr>
      </w:pPr>
      <w:r w:rsidRPr="00322887">
        <w:rPr>
          <w:rFonts w:ascii="Times New Roman" w:hAnsi="Times New Roman" w:cs="Times New Roman"/>
          <w:b/>
          <w:sz w:val="24"/>
          <w:szCs w:val="24"/>
        </w:rPr>
        <w:t>Regenerative Agriculture and Sustainable Farming</w:t>
      </w:r>
    </w:p>
    <w:p w14:paraId="67A6B489"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‘Sustainable’ agriculture and ‘Regenerative’ agriculture are terms that are often used interchangeably. Although these practices share some of the same methods and philosophies, they are not quite the same.</w:t>
      </w:r>
      <w:r w:rsidR="00322887">
        <w:rPr>
          <w:rFonts w:ascii="Times New Roman" w:hAnsi="Times New Roman" w:cs="Times New Roman"/>
          <w:sz w:val="24"/>
          <w:szCs w:val="24"/>
        </w:rPr>
        <w:t xml:space="preserve"> </w:t>
      </w:r>
      <w:r w:rsidRPr="009B143E">
        <w:rPr>
          <w:rFonts w:ascii="Times New Roman" w:hAnsi="Times New Roman" w:cs="Times New Roman"/>
          <w:sz w:val="24"/>
          <w:szCs w:val="24"/>
        </w:rPr>
        <w:t>While sustainable agriculture focuses on preserving the agro</w:t>
      </w:r>
      <w:r w:rsidR="00322887">
        <w:rPr>
          <w:rFonts w:ascii="Times New Roman" w:hAnsi="Times New Roman" w:cs="Times New Roman"/>
          <w:sz w:val="24"/>
          <w:szCs w:val="24"/>
        </w:rPr>
        <w:t>-</w:t>
      </w:r>
      <w:r w:rsidRPr="009B143E">
        <w:rPr>
          <w:rFonts w:ascii="Times New Roman" w:hAnsi="Times New Roman" w:cs="Times New Roman"/>
          <w:sz w:val="24"/>
          <w:szCs w:val="24"/>
        </w:rPr>
        <w:t>ecosystem for the future, regenerative agriculture aims to rebuild and restore the biological and chemical processes that have diminished over time (</w:t>
      </w:r>
      <w:proofErr w:type="spellStart"/>
      <w:r w:rsidRPr="009B143E">
        <w:rPr>
          <w:rFonts w:ascii="Times New Roman" w:hAnsi="Times New Roman" w:cs="Times New Roman"/>
          <w:sz w:val="24"/>
          <w:szCs w:val="24"/>
        </w:rPr>
        <w:t>Suterra</w:t>
      </w:r>
      <w:proofErr w:type="spellEnd"/>
      <w:r w:rsidRPr="009B143E">
        <w:rPr>
          <w:rFonts w:ascii="Times New Roman" w:hAnsi="Times New Roman" w:cs="Times New Roman"/>
          <w:sz w:val="24"/>
          <w:szCs w:val="24"/>
        </w:rPr>
        <w:t xml:space="preserve">, 2024).Sustainable farming addresses a holistic range of issues, such as water management, crop management, soil fertility, energy management, waste management and disease/pest management—all with the goal of making the farm more future-fit and resilient (Platt, 2022). The regenerative agriculture applies a comprehensive management framework to restore the environment. Regenerative agriculture aims to enhance soil carbon sequestration </w:t>
      </w:r>
      <w:proofErr w:type="gramStart"/>
      <w:r w:rsidRPr="009B143E">
        <w:rPr>
          <w:rFonts w:ascii="Times New Roman" w:hAnsi="Times New Roman" w:cs="Times New Roman"/>
          <w:sz w:val="24"/>
          <w:szCs w:val="24"/>
        </w:rPr>
        <w:t>and  capture</w:t>
      </w:r>
      <w:proofErr w:type="gramEnd"/>
      <w:r w:rsidRPr="009B143E">
        <w:rPr>
          <w:rFonts w:ascii="Times New Roman" w:hAnsi="Times New Roman" w:cs="Times New Roman"/>
          <w:sz w:val="24"/>
          <w:szCs w:val="24"/>
        </w:rPr>
        <w:t xml:space="preserve"> carbon through aboveground biomass, reversing current global trends of atmospheric accumulation. It’s not just a way to continue to </w:t>
      </w:r>
      <w:r w:rsidRPr="009B143E">
        <w:rPr>
          <w:rFonts w:ascii="Times New Roman" w:hAnsi="Times New Roman" w:cs="Times New Roman"/>
          <w:sz w:val="24"/>
          <w:szCs w:val="24"/>
        </w:rPr>
        <w:lastRenderedPageBreak/>
        <w:t>live with our environment, but aims to restore lands to their former productivity. The key difference between regenerative and sustainable agriculture is that regenerative agriculture intends to regenerate, or renew, the productivity and growth potential. By definition, sustainable practices seek to maintain systems without degrading them, whereas regenerative practices apply management techniques to restore the system to improved productivity. Looking at the practical scenario of agricultural land specially in India’s context where more than 40 % of agricultural land has already been degraded, taking policy for sustenance is not good enough, we have to reclaim, restore, and rejuvenate our agricultural land to meet our future food and nutritional security.</w:t>
      </w:r>
    </w:p>
    <w:p w14:paraId="0168E921" w14:textId="77777777" w:rsidR="00322887" w:rsidRPr="009B143E" w:rsidRDefault="00322887" w:rsidP="009B143E">
      <w:pPr>
        <w:spacing w:after="0" w:line="288" w:lineRule="auto"/>
        <w:jc w:val="both"/>
        <w:rPr>
          <w:rFonts w:ascii="Times New Roman" w:hAnsi="Times New Roman" w:cs="Times New Roman"/>
          <w:sz w:val="24"/>
          <w:szCs w:val="24"/>
        </w:rPr>
      </w:pPr>
    </w:p>
    <w:p w14:paraId="30C4460B"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However, regenerative and sustainable agriculture are not distinctly different – in fact, regenerative agriculture can be practiced as part of an overall sustainability plan. Although regenerative and sustainable agriculture can use essentially the same practices, the difference comes in the application and the management of these methods (Platt, 2022).</w:t>
      </w:r>
    </w:p>
    <w:p w14:paraId="74BFF088" w14:textId="77777777" w:rsidR="009B143E" w:rsidRPr="009B143E" w:rsidRDefault="009B143E" w:rsidP="009B143E">
      <w:pPr>
        <w:spacing w:after="0" w:line="288" w:lineRule="auto"/>
        <w:jc w:val="both"/>
        <w:rPr>
          <w:rFonts w:ascii="Times New Roman" w:hAnsi="Times New Roman" w:cs="Times New Roman"/>
          <w:sz w:val="24"/>
          <w:szCs w:val="24"/>
        </w:rPr>
      </w:pPr>
    </w:p>
    <w:p w14:paraId="027B8344" w14:textId="77777777" w:rsidR="009B143E" w:rsidRPr="00322887" w:rsidRDefault="009B143E" w:rsidP="009B143E">
      <w:pPr>
        <w:spacing w:after="0" w:line="288" w:lineRule="auto"/>
        <w:jc w:val="both"/>
        <w:rPr>
          <w:rFonts w:ascii="Times New Roman" w:hAnsi="Times New Roman" w:cs="Times New Roman"/>
          <w:b/>
          <w:sz w:val="24"/>
          <w:szCs w:val="24"/>
        </w:rPr>
      </w:pPr>
      <w:r w:rsidRPr="00322887">
        <w:rPr>
          <w:rFonts w:ascii="Times New Roman" w:hAnsi="Times New Roman" w:cs="Times New Roman"/>
          <w:b/>
          <w:sz w:val="24"/>
          <w:szCs w:val="24"/>
        </w:rPr>
        <w:t>Regenerative Agriculture: What are to be regenerated?</w:t>
      </w:r>
    </w:p>
    <w:p w14:paraId="57676825"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In the pursuit of the desired objectives of Regenerative Agriculture, it is essential to not only focus on restoring soil health, biodiversity, and water quality but also prioritize the reactivation of plant health. Long-term chemical interventions in agriculture have, in many cases, deactivated the natural vitality and resilience of plants. Regenerative Agriculture recognizes the need to revive and rejuvenate the overall health of plant ecosystems, acknowledging that the well-being of crops is integral to achieving the comprehensive goals of sustainable and regenerative practices. By prioritizing the reactivation of plant health, this approach strives for a harmonious balance that goes beyond mere productivity, fostering a resilient and thriving agricultural landscape.</w:t>
      </w:r>
    </w:p>
    <w:p w14:paraId="3513463C"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w:t>
      </w:r>
    </w:p>
    <w:p w14:paraId="3F7A40C4" w14:textId="77777777" w:rsidR="009B143E" w:rsidRPr="00322887" w:rsidRDefault="009B143E" w:rsidP="009B143E">
      <w:pPr>
        <w:spacing w:after="0" w:line="288" w:lineRule="auto"/>
        <w:jc w:val="both"/>
        <w:rPr>
          <w:rFonts w:ascii="Times New Roman" w:hAnsi="Times New Roman" w:cs="Times New Roman"/>
          <w:b/>
          <w:sz w:val="24"/>
          <w:szCs w:val="24"/>
        </w:rPr>
      </w:pPr>
      <w:r w:rsidRPr="00322887">
        <w:rPr>
          <w:rFonts w:ascii="Times New Roman" w:hAnsi="Times New Roman" w:cs="Times New Roman"/>
          <w:b/>
          <w:sz w:val="24"/>
          <w:szCs w:val="24"/>
        </w:rPr>
        <w:t>Regenerative Agriculture: Transformative Tool and Vision for Sustainable Farming</w:t>
      </w:r>
    </w:p>
    <w:p w14:paraId="5013784B"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Regenerative Agriculture encompasses a broad spectrum of practices, processes, and management approaches aimed at amplifying the efficiency and vitality of the systems it depends on. This holistic approach goes beyond merely sustaining and conserving; instead, it actively enhances core ecosystem cycles, including energy, water, and mineral cycles, by fostering robust biological functions. Notably, it extends its benefits to economic and social systems, making it a comprehensive strategy for overall sustainability. The distinguishing feature lies in its outcomes – any practice that consistently contributes to the health of the land, community, and economic bottom-line qualifies as regenerative. This outcome-focused perspective sets it apart from sustainable and conservation agriculture efforts.</w:t>
      </w:r>
    </w:p>
    <w:p w14:paraId="15FAADF7" w14:textId="77777777" w:rsidR="00322887" w:rsidRDefault="00322887" w:rsidP="009B143E">
      <w:pPr>
        <w:spacing w:after="0" w:line="288" w:lineRule="auto"/>
        <w:jc w:val="both"/>
        <w:rPr>
          <w:rFonts w:ascii="Times New Roman" w:hAnsi="Times New Roman" w:cs="Times New Roman"/>
          <w:sz w:val="24"/>
          <w:szCs w:val="24"/>
        </w:rPr>
      </w:pPr>
    </w:p>
    <w:p w14:paraId="4CF0929A"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While the term "Regenerative Agriculture" has gained significant traction in recent times, the concept itself has roots reaching back millennia. It represents a profound paradigm shift, moving </w:t>
      </w:r>
      <w:r w:rsidRPr="009B143E">
        <w:rPr>
          <w:rFonts w:ascii="Times New Roman" w:hAnsi="Times New Roman" w:cs="Times New Roman"/>
          <w:sz w:val="24"/>
          <w:szCs w:val="24"/>
        </w:rPr>
        <w:lastRenderedPageBreak/>
        <w:t xml:space="preserve">beyond a singular focus on production to a more holistic approach that acknowledges and addresses multiple priorities within agriculture. This shift involves integrating a wealth of knowledge, including indigenous practices, modern research findings, adaptive learning, and a profound respect for the wisdom held by farmers. In essence, regenerative agriculture is a timeless and evolving philosophy that harmonizes ancient traditions with contemporary insights, emphasizing the enduring interplay between sustainable farming and the diverse needs of both the land and its stewards. </w:t>
      </w:r>
    </w:p>
    <w:p w14:paraId="44350ECA" w14:textId="77777777" w:rsidR="00322887" w:rsidRDefault="00322887" w:rsidP="009B143E">
      <w:pPr>
        <w:spacing w:after="0" w:line="288" w:lineRule="auto"/>
        <w:jc w:val="both"/>
        <w:rPr>
          <w:rFonts w:ascii="Times New Roman" w:hAnsi="Times New Roman" w:cs="Times New Roman"/>
          <w:sz w:val="24"/>
          <w:szCs w:val="24"/>
        </w:rPr>
      </w:pPr>
    </w:p>
    <w:p w14:paraId="428523FD"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Sustainable practices, by definition, seek to maintain the same, whereas regenerative practices recognize that natural systems are currently impacted and it applies management techniques to restore the system to improved productivity. Regenerative and sustainable actions can use essentially the same practices; the difference is the application and the management of those tools.</w:t>
      </w:r>
    </w:p>
    <w:p w14:paraId="08C27B21" w14:textId="77777777" w:rsidR="009B143E" w:rsidRPr="009B143E" w:rsidRDefault="009B143E" w:rsidP="009B143E">
      <w:pPr>
        <w:spacing w:after="0" w:line="288" w:lineRule="auto"/>
        <w:jc w:val="both"/>
        <w:rPr>
          <w:rFonts w:ascii="Times New Roman" w:hAnsi="Times New Roman" w:cs="Times New Roman"/>
          <w:sz w:val="24"/>
          <w:szCs w:val="24"/>
        </w:rPr>
      </w:pPr>
    </w:p>
    <w:p w14:paraId="27FA48C7" w14:textId="33A4FE0D" w:rsidR="009B143E" w:rsidRPr="00322887" w:rsidRDefault="009B143E" w:rsidP="009B143E">
      <w:pPr>
        <w:spacing w:after="0" w:line="288" w:lineRule="auto"/>
        <w:jc w:val="both"/>
        <w:rPr>
          <w:rFonts w:ascii="Times New Roman" w:hAnsi="Times New Roman" w:cs="Times New Roman"/>
          <w:b/>
          <w:sz w:val="24"/>
          <w:szCs w:val="24"/>
        </w:rPr>
      </w:pPr>
      <w:r w:rsidRPr="00322887">
        <w:rPr>
          <w:rFonts w:ascii="Times New Roman" w:hAnsi="Times New Roman" w:cs="Times New Roman"/>
          <w:b/>
          <w:sz w:val="24"/>
          <w:szCs w:val="24"/>
        </w:rPr>
        <w:t>Concept of Soil Health Management under Regenerative Agriculture</w:t>
      </w:r>
    </w:p>
    <w:p w14:paraId="47C6BF14"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Soil is considered a living and complex ecosystem,</w:t>
      </w:r>
      <w:r w:rsidR="00322887">
        <w:rPr>
          <w:rFonts w:ascii="Times New Roman" w:hAnsi="Times New Roman" w:cs="Times New Roman"/>
          <w:sz w:val="24"/>
          <w:szCs w:val="24"/>
        </w:rPr>
        <w:t xml:space="preserve"> </w:t>
      </w:r>
      <w:proofErr w:type="spellStart"/>
      <w:r w:rsidRPr="009B143E">
        <w:rPr>
          <w:rFonts w:ascii="Times New Roman" w:hAnsi="Times New Roman" w:cs="Times New Roman"/>
          <w:sz w:val="24"/>
          <w:szCs w:val="24"/>
        </w:rPr>
        <w:t>harbouring</w:t>
      </w:r>
      <w:proofErr w:type="spellEnd"/>
      <w:r w:rsidRPr="009B143E">
        <w:rPr>
          <w:rFonts w:ascii="Times New Roman" w:hAnsi="Times New Roman" w:cs="Times New Roman"/>
          <w:sz w:val="24"/>
          <w:szCs w:val="24"/>
        </w:rPr>
        <w:t xml:space="preserve"> a wide array of both micro- and microbiota that regulate its properties. The intensification of agriculture with modern technology has deteriorated the capacity of soil to maintain its functions, affecting long-term productivity and causing a loss of ecosystem services (Tilman et al, 2001; Bender et al, 2016; Wagg et al, 2014). The fundamental principles of regenerative agriculture are to keep the soil covered, minimize soil disturbance, preserve living roots in the soil year round, increase species diversity, integrate livestock, and limit or eliminate the use of synthetic compounds like chemical herbicides and fertilizers (</w:t>
      </w:r>
      <w:proofErr w:type="spellStart"/>
      <w:r w:rsidRPr="009B143E">
        <w:rPr>
          <w:rFonts w:ascii="Times New Roman" w:hAnsi="Times New Roman" w:cs="Times New Roman"/>
          <w:sz w:val="24"/>
          <w:szCs w:val="24"/>
        </w:rPr>
        <w:t>Khangura</w:t>
      </w:r>
      <w:proofErr w:type="spellEnd"/>
      <w:r w:rsidRPr="009B143E">
        <w:rPr>
          <w:rFonts w:ascii="Times New Roman" w:hAnsi="Times New Roman" w:cs="Times New Roman"/>
          <w:sz w:val="24"/>
          <w:szCs w:val="24"/>
        </w:rPr>
        <w:t xml:space="preserve"> et al, 2023). Principles related to soil health rejuvenation under Regenerative agriculture are as follows: (1) minimize soil disturbance, (2) keep the soil covered year-round, (3) keep live plants and roots in the soil for as long as possible and (4) incorporate biodiversity towards prevention of soil erosion and depletion, actively build soil, provide appropriate crop nutrients with minimum external inputs, produce healthy, high-yielding crops with few weeds and pests and limit greenhouse gas emissions (Fig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22887" w:rsidRPr="00A650B3" w14:paraId="5FA1FA4B" w14:textId="77777777" w:rsidTr="00A90412">
        <w:trPr>
          <w:trHeight w:val="5309"/>
        </w:trPr>
        <w:tc>
          <w:tcPr>
            <w:tcW w:w="9242" w:type="dxa"/>
          </w:tcPr>
          <w:p w14:paraId="2E9D325E" w14:textId="77777777" w:rsidR="00322887" w:rsidRPr="00A650B3" w:rsidRDefault="00322887" w:rsidP="00A90412">
            <w:pPr>
              <w:rPr>
                <w:rFonts w:ascii="Times New Roman" w:hAnsi="Times New Roman" w:cs="Times New Roman"/>
                <w:b/>
                <w:bCs/>
                <w:color w:val="000000" w:themeColor="text1"/>
                <w:sz w:val="24"/>
                <w:szCs w:val="24"/>
                <w:lang w:val="en-US"/>
              </w:rPr>
            </w:pPr>
            <w:r w:rsidRPr="00A650B3">
              <w:rPr>
                <w:rFonts w:ascii="Times New Roman" w:hAnsi="Times New Roman" w:cs="Times New Roman"/>
                <w:b/>
                <w:bCs/>
                <w:noProof/>
                <w:color w:val="000000" w:themeColor="text1"/>
                <w:sz w:val="24"/>
                <w:szCs w:val="24"/>
              </w:rPr>
              <w:lastRenderedPageBreak/>
              <w:drawing>
                <wp:inline distT="0" distB="0" distL="0" distR="0" wp14:anchorId="18A09C1B" wp14:editId="2AF6B905">
                  <wp:extent cx="5695286" cy="3580482"/>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6964" cy="3581537"/>
                          </a:xfrm>
                          <a:prstGeom prst="rect">
                            <a:avLst/>
                          </a:prstGeom>
                          <a:noFill/>
                        </pic:spPr>
                      </pic:pic>
                    </a:graphicData>
                  </a:graphic>
                </wp:inline>
              </w:drawing>
            </w:r>
          </w:p>
        </w:tc>
      </w:tr>
      <w:tr w:rsidR="00322887" w:rsidRPr="00A650B3" w14:paraId="2D13DFC6" w14:textId="77777777" w:rsidTr="00A90412">
        <w:trPr>
          <w:trHeight w:val="377"/>
        </w:trPr>
        <w:tc>
          <w:tcPr>
            <w:tcW w:w="9242" w:type="dxa"/>
          </w:tcPr>
          <w:p w14:paraId="640BE749" w14:textId="77777777" w:rsidR="00322887" w:rsidRDefault="00322887" w:rsidP="00A90412">
            <w:pPr>
              <w:rPr>
                <w:rFonts w:ascii="Times New Roman" w:hAnsi="Times New Roman" w:cs="Times New Roman"/>
                <w:b/>
                <w:bCs/>
                <w:color w:val="000000" w:themeColor="text1"/>
                <w:sz w:val="24"/>
                <w:szCs w:val="24"/>
                <w:lang w:val="en-US"/>
              </w:rPr>
            </w:pPr>
          </w:p>
          <w:p w14:paraId="37B4C5C5" w14:textId="77777777" w:rsidR="00322887" w:rsidRPr="00A650B3" w:rsidRDefault="00322887" w:rsidP="00A90412">
            <w:pPr>
              <w:rPr>
                <w:rFonts w:ascii="Times New Roman" w:hAnsi="Times New Roman" w:cs="Times New Roman"/>
                <w:b/>
                <w:bCs/>
                <w:color w:val="000000" w:themeColor="text1"/>
                <w:sz w:val="24"/>
                <w:szCs w:val="24"/>
              </w:rPr>
            </w:pPr>
            <w:r w:rsidRPr="00A650B3">
              <w:rPr>
                <w:rFonts w:ascii="Times New Roman" w:hAnsi="Times New Roman" w:cs="Times New Roman"/>
                <w:b/>
                <w:bCs/>
                <w:color w:val="000000" w:themeColor="text1"/>
                <w:sz w:val="24"/>
                <w:szCs w:val="24"/>
                <w:lang w:val="en-US"/>
              </w:rPr>
              <w:t xml:space="preserve"> Fig 2 : </w:t>
            </w:r>
            <w:r w:rsidRPr="00A650B3">
              <w:rPr>
                <w:rFonts w:ascii="Times New Roman" w:hAnsi="Times New Roman" w:cs="Times New Roman"/>
                <w:b/>
                <w:bCs/>
                <w:color w:val="000000" w:themeColor="text1"/>
                <w:sz w:val="24"/>
                <w:szCs w:val="24"/>
              </w:rPr>
              <w:t>Criteria for Soil Health Management under Regenerative Agriculture</w:t>
            </w:r>
          </w:p>
        </w:tc>
      </w:tr>
    </w:tbl>
    <w:p w14:paraId="6E7C7429" w14:textId="77777777" w:rsidR="00322887" w:rsidRPr="009B143E" w:rsidRDefault="00322887" w:rsidP="009B143E">
      <w:pPr>
        <w:spacing w:after="0" w:line="288" w:lineRule="auto"/>
        <w:jc w:val="both"/>
        <w:rPr>
          <w:rFonts w:ascii="Times New Roman" w:hAnsi="Times New Roman" w:cs="Times New Roman"/>
          <w:sz w:val="24"/>
          <w:szCs w:val="24"/>
        </w:rPr>
      </w:pPr>
    </w:p>
    <w:p w14:paraId="378142CE" w14:textId="77777777" w:rsidR="009B143E" w:rsidRPr="00322887" w:rsidRDefault="009B143E" w:rsidP="009B143E">
      <w:pPr>
        <w:spacing w:after="0" w:line="288" w:lineRule="auto"/>
        <w:jc w:val="both"/>
        <w:rPr>
          <w:rFonts w:ascii="Times New Roman" w:hAnsi="Times New Roman" w:cs="Times New Roman"/>
          <w:b/>
          <w:sz w:val="24"/>
          <w:szCs w:val="24"/>
        </w:rPr>
      </w:pPr>
      <w:r w:rsidRPr="009B143E">
        <w:rPr>
          <w:rFonts w:ascii="Times New Roman" w:hAnsi="Times New Roman" w:cs="Times New Roman"/>
          <w:sz w:val="24"/>
          <w:szCs w:val="24"/>
        </w:rPr>
        <w:t xml:space="preserve"> </w:t>
      </w:r>
      <w:r w:rsidRPr="00322887">
        <w:rPr>
          <w:rFonts w:ascii="Times New Roman" w:hAnsi="Times New Roman" w:cs="Times New Roman"/>
          <w:b/>
          <w:sz w:val="24"/>
          <w:szCs w:val="24"/>
        </w:rPr>
        <w:t>Why Soil Health Rejuvenation is not enough to attain the objectives of Regenerative Agriculture</w:t>
      </w:r>
    </w:p>
    <w:p w14:paraId="74ECA0B0"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While soil health rejuvenation is a key component of regenerative agriculture, it alone is not enough to achieve its full objectives because regenerative agriculture aims to go beyond simply improving soil health by also addressing broader ecological concerns like biodiversity, water conservation, carbon sequestration, and overall ecosystem balance, which require a </w:t>
      </w:r>
      <w:r w:rsidR="002C2E17">
        <w:rPr>
          <w:rFonts w:ascii="Times New Roman" w:hAnsi="Times New Roman" w:cs="Times New Roman"/>
          <w:sz w:val="24"/>
          <w:szCs w:val="24"/>
        </w:rPr>
        <w:t xml:space="preserve">comprehensive </w:t>
      </w:r>
      <w:r w:rsidRPr="009B143E">
        <w:rPr>
          <w:rFonts w:ascii="Times New Roman" w:hAnsi="Times New Roman" w:cs="Times New Roman"/>
          <w:sz w:val="24"/>
          <w:szCs w:val="24"/>
        </w:rPr>
        <w:t xml:space="preserve"> approach that includes practices like diverse crop rotations, responsible livestock integration, minimizing chemical inputs across the entire farming system and most importantly a </w:t>
      </w:r>
      <w:r w:rsidR="002C2E17">
        <w:rPr>
          <w:rFonts w:ascii="Times New Roman" w:hAnsi="Times New Roman" w:cs="Times New Roman"/>
          <w:sz w:val="24"/>
          <w:szCs w:val="24"/>
        </w:rPr>
        <w:t>scientific</w:t>
      </w:r>
      <w:r w:rsidRPr="009B143E">
        <w:rPr>
          <w:rFonts w:ascii="Times New Roman" w:hAnsi="Times New Roman" w:cs="Times New Roman"/>
          <w:sz w:val="24"/>
          <w:szCs w:val="24"/>
        </w:rPr>
        <w:t xml:space="preserve"> approach towards plant health management for energization of plant system to tap the opportunity of rejuvenated soil system and uptake and utilized balance nutrient from soil nutrient pool specially micronutrient which requires more energy to uptake</w:t>
      </w:r>
    </w:p>
    <w:p w14:paraId="34DD878F" w14:textId="77777777" w:rsidR="002C2E17" w:rsidRDefault="002C2E17" w:rsidP="009B143E">
      <w:pPr>
        <w:spacing w:after="0" w:line="288" w:lineRule="auto"/>
        <w:jc w:val="both"/>
        <w:rPr>
          <w:rFonts w:ascii="Times New Roman" w:hAnsi="Times New Roman" w:cs="Times New Roman"/>
          <w:sz w:val="24"/>
          <w:szCs w:val="24"/>
        </w:rPr>
      </w:pPr>
    </w:p>
    <w:p w14:paraId="31A64A19"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We often forget the fact that plant nutrient uptake is an active physiological process that requires energy. This energy is provided in the form of </w:t>
      </w:r>
      <w:r w:rsidR="002C2E17" w:rsidRPr="009B143E">
        <w:rPr>
          <w:rFonts w:ascii="Times New Roman" w:hAnsi="Times New Roman" w:cs="Times New Roman"/>
          <w:sz w:val="24"/>
          <w:szCs w:val="24"/>
        </w:rPr>
        <w:t>photo assimilates</w:t>
      </w:r>
      <w:r w:rsidRPr="009B143E">
        <w:rPr>
          <w:rFonts w:ascii="Times New Roman" w:hAnsi="Times New Roman" w:cs="Times New Roman"/>
          <w:sz w:val="24"/>
          <w:szCs w:val="24"/>
        </w:rPr>
        <w:t xml:space="preserve"> (carbohydrates) produced by the leaves during photosynthesis, and, as such, roots have to compete for them with the rest of the plant (Cabrera, 2003). At the same time, as plants are non-motile and often face nutrient shortages in their environment, they utilize a plethora of sophisticated mechanisms in an attempt to acquire sufficient amounts of the macro- and micronutrients required for proper growth, development, and reproduction. These mechanisms include changes in the developmental </w:t>
      </w:r>
      <w:r w:rsidRPr="009B143E">
        <w:rPr>
          <w:rFonts w:ascii="Times New Roman" w:hAnsi="Times New Roman" w:cs="Times New Roman"/>
          <w:sz w:val="24"/>
          <w:szCs w:val="24"/>
        </w:rPr>
        <w:lastRenderedPageBreak/>
        <w:t>program and root structure to better "mine" the soil for limiting nutrients, induction of high-affinity transport systems, and the establishment of symbioses and associations that facilitate nutrient uptake. Together, these mechanisms allow plants to maximize their nutrient acquisition abilities while protecting against the accumulation of excess nutrients, which can be toxic to the plant (Morgan and Connolly, 2013). Thus it is clear that energizing plant systems is the key to utilizing such mechanisms exerting significant influence over crop yields as well as plant community structure, soil ecology, ecosystem health, and biodiversity.</w:t>
      </w:r>
    </w:p>
    <w:p w14:paraId="5375700E" w14:textId="77777777" w:rsidR="002C2E17" w:rsidRDefault="002C2E17" w:rsidP="009B143E">
      <w:pPr>
        <w:spacing w:after="0" w:line="288" w:lineRule="auto"/>
        <w:jc w:val="both"/>
        <w:rPr>
          <w:rFonts w:ascii="Times New Roman" w:hAnsi="Times New Roman" w:cs="Times New Roman"/>
          <w:sz w:val="24"/>
          <w:szCs w:val="24"/>
        </w:rPr>
      </w:pPr>
    </w:p>
    <w:p w14:paraId="5B58B428" w14:textId="77777777" w:rsidR="009B143E" w:rsidRPr="002C2E17" w:rsidRDefault="009B143E" w:rsidP="009B143E">
      <w:pPr>
        <w:spacing w:after="0" w:line="288" w:lineRule="auto"/>
        <w:jc w:val="both"/>
        <w:rPr>
          <w:rFonts w:ascii="Times New Roman" w:hAnsi="Times New Roman" w:cs="Times New Roman"/>
          <w:b/>
          <w:sz w:val="24"/>
          <w:szCs w:val="24"/>
        </w:rPr>
      </w:pPr>
      <w:r w:rsidRPr="002C2E17">
        <w:rPr>
          <w:rFonts w:ascii="Times New Roman" w:hAnsi="Times New Roman" w:cs="Times New Roman"/>
          <w:b/>
          <w:sz w:val="24"/>
          <w:szCs w:val="24"/>
        </w:rPr>
        <w:t>Regenerative Agriculture and the concept of Plant health</w:t>
      </w:r>
    </w:p>
    <w:p w14:paraId="75045206" w14:textId="2BC93A6A"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Today, though scientists recognized the importance of plant health management towards bringing sustainability in the food production system, but the concept of plant health management in organic/sustainable/regenerative farming system  is limited to alternate pest management systems to reduce the irreversible damage to the ecosystem done by the conventional farming system. Present approaches of plant health management mostly aim, in principle, towards to be as little as possible forced to use reactive crop protection measures through supporting, and optimal exploitation of natural regulation of pests, weeds and diseases, embedded in good agronomy (</w:t>
      </w:r>
      <w:proofErr w:type="spellStart"/>
      <w:r w:rsidRPr="009B143E">
        <w:rPr>
          <w:rFonts w:ascii="Times New Roman" w:hAnsi="Times New Roman" w:cs="Times New Roman"/>
          <w:sz w:val="24"/>
          <w:szCs w:val="24"/>
        </w:rPr>
        <w:t>Ruissen</w:t>
      </w:r>
      <w:proofErr w:type="spellEnd"/>
      <w:r w:rsidRPr="009B143E">
        <w:rPr>
          <w:rFonts w:ascii="Times New Roman" w:hAnsi="Times New Roman" w:cs="Times New Roman"/>
          <w:sz w:val="24"/>
          <w:szCs w:val="24"/>
        </w:rPr>
        <w:t>, 2005). Sometimes incorporation of bio</w:t>
      </w:r>
      <w:r w:rsidR="007A6BC5">
        <w:rPr>
          <w:rFonts w:ascii="Times New Roman" w:hAnsi="Times New Roman" w:cs="Times New Roman"/>
          <w:sz w:val="24"/>
          <w:szCs w:val="24"/>
        </w:rPr>
        <w:t>-</w:t>
      </w:r>
      <w:r w:rsidRPr="009B143E">
        <w:rPr>
          <w:rFonts w:ascii="Times New Roman" w:hAnsi="Times New Roman" w:cs="Times New Roman"/>
          <w:sz w:val="24"/>
          <w:szCs w:val="24"/>
        </w:rPr>
        <w:t xml:space="preserve">fertilizers, bio-stimulants, </w:t>
      </w:r>
      <w:proofErr w:type="spellStart"/>
      <w:r w:rsidRPr="009B143E">
        <w:rPr>
          <w:rFonts w:ascii="Times New Roman" w:hAnsi="Times New Roman" w:cs="Times New Roman"/>
          <w:sz w:val="24"/>
          <w:szCs w:val="24"/>
        </w:rPr>
        <w:t>etc</w:t>
      </w:r>
      <w:proofErr w:type="spellEnd"/>
      <w:r w:rsidRPr="009B143E">
        <w:rPr>
          <w:rFonts w:ascii="Times New Roman" w:hAnsi="Times New Roman" w:cs="Times New Roman"/>
          <w:sz w:val="24"/>
          <w:szCs w:val="24"/>
        </w:rPr>
        <w:t xml:space="preserve"> is considered as a prime strategy for plant health management. However the concept of plant health management is much bigger than that input-based concept (Fig 3). </w:t>
      </w:r>
    </w:p>
    <w:p w14:paraId="41CB94CF" w14:textId="77777777" w:rsidR="002C2E17"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C2E17" w:rsidRPr="00A650B3" w14:paraId="5DE30BED" w14:textId="77777777" w:rsidTr="00A90412">
        <w:tc>
          <w:tcPr>
            <w:tcW w:w="9576" w:type="dxa"/>
          </w:tcPr>
          <w:p w14:paraId="3A18A0F1" w14:textId="77777777" w:rsidR="002C2E17" w:rsidRPr="00A650B3" w:rsidRDefault="002C2E17" w:rsidP="00A90412">
            <w:pPr>
              <w:jc w:val="both"/>
              <w:rPr>
                <w:rFonts w:ascii="Times New Roman" w:hAnsi="Times New Roman" w:cs="Times New Roman"/>
                <w:color w:val="000000" w:themeColor="text1"/>
                <w:sz w:val="24"/>
                <w:szCs w:val="24"/>
                <w:lang w:val="en-US"/>
              </w:rPr>
            </w:pPr>
            <w:r w:rsidRPr="00A650B3">
              <w:rPr>
                <w:rFonts w:ascii="Times New Roman" w:hAnsi="Times New Roman" w:cs="Times New Roman"/>
                <w:noProof/>
                <w:color w:val="000000" w:themeColor="text1"/>
                <w:sz w:val="24"/>
                <w:szCs w:val="24"/>
              </w:rPr>
              <w:drawing>
                <wp:inline distT="0" distB="0" distL="0" distR="0" wp14:anchorId="3BC1CAB0" wp14:editId="1489A72B">
                  <wp:extent cx="5797071" cy="3897086"/>
                  <wp:effectExtent l="0" t="0" r="0" b="8255"/>
                  <wp:docPr id="2" name="Picture 2" descr="G:\ISC -2023\Picture2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SC -2023\Picture2 - Cop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8607" cy="3904841"/>
                          </a:xfrm>
                          <a:prstGeom prst="rect">
                            <a:avLst/>
                          </a:prstGeom>
                          <a:noFill/>
                          <a:ln>
                            <a:noFill/>
                          </a:ln>
                        </pic:spPr>
                      </pic:pic>
                    </a:graphicData>
                  </a:graphic>
                </wp:inline>
              </w:drawing>
            </w:r>
          </w:p>
        </w:tc>
      </w:tr>
      <w:tr w:rsidR="002C2E17" w:rsidRPr="00A650B3" w14:paraId="34ED751E" w14:textId="77777777" w:rsidTr="00A90412">
        <w:tc>
          <w:tcPr>
            <w:tcW w:w="9576" w:type="dxa"/>
          </w:tcPr>
          <w:p w14:paraId="6A4D5CC9" w14:textId="77777777" w:rsidR="002C2E17" w:rsidRPr="002C2E17" w:rsidRDefault="002C2E17" w:rsidP="002C2E17">
            <w:pPr>
              <w:spacing w:line="288" w:lineRule="auto"/>
              <w:ind w:left="720" w:hanging="720"/>
              <w:jc w:val="both"/>
              <w:rPr>
                <w:rFonts w:ascii="Times New Roman" w:hAnsi="Times New Roman" w:cs="Times New Roman"/>
                <w:b/>
                <w:color w:val="000000" w:themeColor="text1"/>
                <w:sz w:val="24"/>
                <w:szCs w:val="24"/>
                <w:lang w:val="en-US"/>
              </w:rPr>
            </w:pPr>
            <w:r w:rsidRPr="002C2E17">
              <w:rPr>
                <w:rFonts w:ascii="Times New Roman" w:hAnsi="Times New Roman" w:cs="Times New Roman"/>
                <w:b/>
                <w:color w:val="000000" w:themeColor="text1"/>
                <w:sz w:val="24"/>
                <w:szCs w:val="24"/>
                <w:lang w:val="en-US"/>
              </w:rPr>
              <w:lastRenderedPageBreak/>
              <w:t>Fig 3 : Importance of Plant health for crop sustainability : IRF Technology focuses on energizing the plant system towards optimizing the nutrient uptake, and enhancing the natural defense mechanism, ensuring sustainable crop productivity</w:t>
            </w:r>
          </w:p>
        </w:tc>
      </w:tr>
    </w:tbl>
    <w:p w14:paraId="14B2E188" w14:textId="77777777" w:rsidR="009B143E" w:rsidRPr="009B143E" w:rsidRDefault="009B143E" w:rsidP="009B143E">
      <w:pPr>
        <w:spacing w:after="0" w:line="288" w:lineRule="auto"/>
        <w:jc w:val="both"/>
        <w:rPr>
          <w:rFonts w:ascii="Times New Roman" w:hAnsi="Times New Roman" w:cs="Times New Roman"/>
          <w:sz w:val="24"/>
          <w:szCs w:val="24"/>
        </w:rPr>
      </w:pPr>
    </w:p>
    <w:p w14:paraId="2D82EBE2" w14:textId="77777777" w:rsidR="009B143E" w:rsidRPr="009B143E" w:rsidRDefault="009B143E" w:rsidP="009B143E">
      <w:pPr>
        <w:spacing w:after="0" w:line="288" w:lineRule="auto"/>
        <w:jc w:val="both"/>
        <w:rPr>
          <w:rFonts w:ascii="Times New Roman" w:hAnsi="Times New Roman" w:cs="Times New Roman"/>
          <w:sz w:val="24"/>
          <w:szCs w:val="24"/>
        </w:rPr>
      </w:pPr>
    </w:p>
    <w:p w14:paraId="12A00FE7" w14:textId="3EEA1C38"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Plant health management is the science and practice of understanding and overcoming the succession of biotic and abiotic factors that limit plants from achieving their full genetic potential as crops, ornamentals, timber trees, or other uses (Cook, 2000). According to the trophobiosis theory, it is nutrient deficiencies and imbalances that lead to pest and disease outbreaks, and that synthetic pesticides and fertilizers can cause such deficiencies and imbalances. growth on free amino acids, and reducing sugars in solution in the plant's cell sap. Thus adoption of plant health management practices means re-activation of bio-chemical functions can directly compliment plant health while indirectly ensuring lesser pest interference; as pest starve on healthy plants (Paull, 2007). According to the trophobiosis theory of  F. Chaboussou (Chaboussou, 2004), pests and disease set in with an increase in free amino acids and reducing sugar pools in plant cell sap. The </w:t>
      </w:r>
      <w:r w:rsidR="00C947F3" w:rsidRPr="009B143E">
        <w:rPr>
          <w:rFonts w:ascii="Times New Roman" w:hAnsi="Times New Roman" w:cs="Times New Roman"/>
          <w:sz w:val="24"/>
          <w:szCs w:val="24"/>
        </w:rPr>
        <w:t>phenomenon</w:t>
      </w:r>
      <w:r w:rsidRPr="009B143E">
        <w:rPr>
          <w:rFonts w:ascii="Times New Roman" w:hAnsi="Times New Roman" w:cs="Times New Roman"/>
          <w:sz w:val="24"/>
          <w:szCs w:val="24"/>
        </w:rPr>
        <w:t xml:space="preserve"> usually occurring whenever plant metabolism becomes impaired due to biotic and abiotic factors, excess fertilization specially with nitrogenous fertilizers, and application of systemic fungicides/pesticides etc. (Dias, 2012). Hence, better plant health vis-a-vis lesser pest incidence along with supportive soil functions can ensure the crop objective and economic balance in agriculture.</w:t>
      </w:r>
    </w:p>
    <w:p w14:paraId="218EB962" w14:textId="77777777" w:rsidR="009B143E" w:rsidRPr="002C2E17" w:rsidRDefault="009B143E" w:rsidP="009B143E">
      <w:pPr>
        <w:spacing w:after="0" w:line="288" w:lineRule="auto"/>
        <w:jc w:val="both"/>
        <w:rPr>
          <w:rFonts w:ascii="Times New Roman" w:hAnsi="Times New Roman" w:cs="Times New Roman"/>
          <w:b/>
          <w:sz w:val="24"/>
          <w:szCs w:val="24"/>
        </w:rPr>
      </w:pPr>
      <w:r w:rsidRPr="002C2E17">
        <w:rPr>
          <w:rFonts w:ascii="Times New Roman" w:hAnsi="Times New Roman" w:cs="Times New Roman"/>
          <w:b/>
          <w:sz w:val="24"/>
          <w:szCs w:val="24"/>
        </w:rPr>
        <w:t xml:space="preserve">Identifying Key Stages of Plant Resilience </w:t>
      </w:r>
    </w:p>
    <w:p w14:paraId="7B6A9B5F"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The degree of plant health and immunity is based on a plant’s ability to form structurally complete compounds such as carbohydrates and proteins. Complete carbohydrates, proteins, and lipids are formed by healthy plants with a fully functional enzyme system, which is dependent on trace mineral enzyme cofactors (</w:t>
      </w:r>
      <w:proofErr w:type="spellStart"/>
      <w:r w:rsidRPr="009B143E">
        <w:rPr>
          <w:rFonts w:ascii="Times New Roman" w:hAnsi="Times New Roman" w:cs="Times New Roman"/>
          <w:sz w:val="24"/>
          <w:szCs w:val="24"/>
        </w:rPr>
        <w:t>Kempf</w:t>
      </w:r>
      <w:proofErr w:type="spellEnd"/>
      <w:r w:rsidRPr="009B143E">
        <w:rPr>
          <w:rFonts w:ascii="Times New Roman" w:hAnsi="Times New Roman" w:cs="Times New Roman"/>
          <w:sz w:val="24"/>
          <w:szCs w:val="24"/>
        </w:rPr>
        <w:t xml:space="preserve">, 2013). In simple understanding, as long as plants are photosynthesizing properly and producing </w:t>
      </w:r>
      <w:proofErr w:type="spellStart"/>
      <w:r w:rsidRPr="009B143E">
        <w:rPr>
          <w:rFonts w:ascii="Times New Roman" w:hAnsi="Times New Roman" w:cs="Times New Roman"/>
          <w:sz w:val="24"/>
          <w:szCs w:val="24"/>
        </w:rPr>
        <w:t>pectins</w:t>
      </w:r>
      <w:proofErr w:type="spellEnd"/>
      <w:r w:rsidRPr="009B143E">
        <w:rPr>
          <w:rFonts w:ascii="Times New Roman" w:hAnsi="Times New Roman" w:cs="Times New Roman"/>
          <w:sz w:val="24"/>
          <w:szCs w:val="24"/>
        </w:rPr>
        <w:t xml:space="preserve"> and other complex carbohydrates, these plants do not seem to be susceptible to abiotic and biotic stress and yielding as per their genetic potential. As photosynthetic energy increases, plants begin to transfer greater quantities of sugars to the root system and the microbial community in the rhizosphere. This increase in energy and a food source for the soil microbes will stimulate them to mineralize and release minerals and trace minerals from the soil matrix, and provide them in a plant available form. Plants then utilize these essential minerals as enzyme cofactors which are needed to form complete carbohydrates and especially proteins. Soluble sugars, monosaccharides, when partnered with nitrogen, are the base materials used to form amino acids. Through the action of enzyme catalysts, these amino acids are bonded together to form peptides from which complete proteins are formed. Later, the plant begins to store this surplus energy in the form of lipids and as energy and lipid levels increase, this cell membrane becomes much stronger and more resilient enabling it to better resist fungal pathogens (</w:t>
      </w:r>
      <w:proofErr w:type="spellStart"/>
      <w:r w:rsidRPr="009B143E">
        <w:rPr>
          <w:rFonts w:ascii="Times New Roman" w:hAnsi="Times New Roman" w:cs="Times New Roman"/>
          <w:sz w:val="24"/>
          <w:szCs w:val="24"/>
        </w:rPr>
        <w:t>Kempf</w:t>
      </w:r>
      <w:proofErr w:type="spellEnd"/>
      <w:r w:rsidRPr="009B143E">
        <w:rPr>
          <w:rFonts w:ascii="Times New Roman" w:hAnsi="Times New Roman" w:cs="Times New Roman"/>
          <w:sz w:val="24"/>
          <w:szCs w:val="24"/>
        </w:rPr>
        <w:t xml:space="preserve">, 2013). At the same time, once plants achieve higher lipid levels </w:t>
      </w:r>
      <w:r w:rsidRPr="009B143E">
        <w:rPr>
          <w:rFonts w:ascii="Times New Roman" w:hAnsi="Times New Roman" w:cs="Times New Roman"/>
          <w:sz w:val="24"/>
          <w:szCs w:val="24"/>
        </w:rPr>
        <w:lastRenderedPageBreak/>
        <w:t>and stronger cell membranes, they become more resistant to pathogens and resist pest attacks to a great extent.</w:t>
      </w:r>
    </w:p>
    <w:p w14:paraId="43D7833F" w14:textId="77777777" w:rsidR="009B143E" w:rsidRPr="009B143E" w:rsidRDefault="009B143E" w:rsidP="009B143E">
      <w:pPr>
        <w:spacing w:after="0" w:line="288" w:lineRule="auto"/>
        <w:jc w:val="both"/>
        <w:rPr>
          <w:rFonts w:ascii="Times New Roman" w:hAnsi="Times New Roman" w:cs="Times New Roman"/>
          <w:sz w:val="24"/>
          <w:szCs w:val="24"/>
        </w:rPr>
      </w:pPr>
    </w:p>
    <w:p w14:paraId="3DD2EBEB" w14:textId="77777777" w:rsidR="002C2E17"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2C2E17" w:rsidRPr="00A650B3" w14:paraId="323C5B0B" w14:textId="77777777" w:rsidTr="00A90412">
        <w:trPr>
          <w:trHeight w:val="4859"/>
        </w:trPr>
        <w:tc>
          <w:tcPr>
            <w:tcW w:w="9242" w:type="dxa"/>
          </w:tcPr>
          <w:p w14:paraId="5FB15CA7" w14:textId="77777777" w:rsidR="002C2E17" w:rsidRPr="00A650B3" w:rsidRDefault="002C2E17" w:rsidP="00A90412">
            <w:pPr>
              <w:jc w:val="both"/>
              <w:rPr>
                <w:rFonts w:ascii="Times New Roman" w:hAnsi="Times New Roman" w:cs="Times New Roman"/>
                <w:b/>
                <w:bCs/>
                <w:color w:val="000000" w:themeColor="text1"/>
                <w:sz w:val="24"/>
                <w:szCs w:val="24"/>
              </w:rPr>
            </w:pPr>
            <w:r w:rsidRPr="00A650B3">
              <w:rPr>
                <w:rFonts w:ascii="Times New Roman" w:hAnsi="Times New Roman" w:cs="Times New Roman"/>
                <w:b/>
                <w:bCs/>
                <w:noProof/>
                <w:color w:val="000000" w:themeColor="text1"/>
                <w:sz w:val="24"/>
                <w:szCs w:val="24"/>
              </w:rPr>
              <w:drawing>
                <wp:inline distT="0" distB="0" distL="0" distR="0" wp14:anchorId="7FDEDF4E" wp14:editId="2429A681">
                  <wp:extent cx="5761822" cy="407624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7770" cy="4080449"/>
                          </a:xfrm>
                          <a:prstGeom prst="rect">
                            <a:avLst/>
                          </a:prstGeom>
                          <a:noFill/>
                        </pic:spPr>
                      </pic:pic>
                    </a:graphicData>
                  </a:graphic>
                </wp:inline>
              </w:drawing>
            </w:r>
          </w:p>
        </w:tc>
      </w:tr>
      <w:tr w:rsidR="002C2E17" w:rsidRPr="00A650B3" w14:paraId="7C02D7BB" w14:textId="77777777" w:rsidTr="00A90412">
        <w:tc>
          <w:tcPr>
            <w:tcW w:w="9242" w:type="dxa"/>
          </w:tcPr>
          <w:p w14:paraId="507D8FCF" w14:textId="77777777" w:rsidR="002C2E17" w:rsidRPr="002C2E17" w:rsidRDefault="002C2E17" w:rsidP="00A90412">
            <w:pPr>
              <w:spacing w:line="288" w:lineRule="auto"/>
              <w:ind w:left="994" w:hanging="994"/>
              <w:jc w:val="both"/>
              <w:rPr>
                <w:rFonts w:ascii="Times New Roman" w:hAnsi="Times New Roman" w:cs="Times New Roman"/>
                <w:b/>
                <w:bCs/>
                <w:color w:val="000000" w:themeColor="text1"/>
                <w:sz w:val="24"/>
                <w:szCs w:val="24"/>
                <w:lang w:val="en-US"/>
              </w:rPr>
            </w:pPr>
            <w:r w:rsidRPr="002C2E17">
              <w:rPr>
                <w:rFonts w:ascii="Times New Roman" w:hAnsi="Times New Roman" w:cs="Times New Roman"/>
                <w:b/>
                <w:bCs/>
                <w:color w:val="000000" w:themeColor="text1"/>
                <w:sz w:val="24"/>
                <w:szCs w:val="24"/>
              </w:rPr>
              <w:t xml:space="preserve">Fig 4  : </w:t>
            </w:r>
            <w:r w:rsidRPr="002C2E17">
              <w:rPr>
                <w:rFonts w:ascii="Times New Roman" w:hAnsi="Times New Roman" w:cs="Times New Roman"/>
                <w:b/>
                <w:bCs/>
                <w:color w:val="000000" w:themeColor="text1"/>
                <w:sz w:val="24"/>
                <w:szCs w:val="24"/>
                <w:lang w:val="en-US"/>
              </w:rPr>
              <w:t>Flow diagram towards increasing climate resilience of crop production system through adoption of Regenerative Farming</w:t>
            </w:r>
          </w:p>
        </w:tc>
      </w:tr>
    </w:tbl>
    <w:p w14:paraId="141B117B" w14:textId="77777777" w:rsidR="009B143E" w:rsidRPr="009B143E" w:rsidRDefault="009B143E" w:rsidP="009B143E">
      <w:pPr>
        <w:spacing w:after="0" w:line="288" w:lineRule="auto"/>
        <w:jc w:val="both"/>
        <w:rPr>
          <w:rFonts w:ascii="Times New Roman" w:hAnsi="Times New Roman" w:cs="Times New Roman"/>
          <w:sz w:val="24"/>
          <w:szCs w:val="24"/>
        </w:rPr>
      </w:pPr>
    </w:p>
    <w:p w14:paraId="6D7A4890"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Now the management policy should aim at the energization of the plant system towards activation of plant physiological functioning viz higher photosynthesis efficiency and faster metabolic activity to utilize the glucose to complex protein and energy to attain its inherent nature gifted quality of self-nourishment and self-protection. Thus the approach needs practices that make the growing environment more conducive for crop growth by eliminating negative forces in terms of reducing biotic and abiotic stress, but importantly requires a technological intervention for plant physiological functioning (Fig 4).</w:t>
      </w:r>
    </w:p>
    <w:p w14:paraId="073EB4F3" w14:textId="77777777" w:rsidR="009B143E" w:rsidRPr="009B143E" w:rsidRDefault="009B143E" w:rsidP="009B143E">
      <w:pPr>
        <w:spacing w:after="0" w:line="288" w:lineRule="auto"/>
        <w:jc w:val="both"/>
        <w:rPr>
          <w:rFonts w:ascii="Times New Roman" w:hAnsi="Times New Roman" w:cs="Times New Roman"/>
          <w:sz w:val="24"/>
          <w:szCs w:val="24"/>
        </w:rPr>
      </w:pPr>
    </w:p>
    <w:p w14:paraId="0BB092D7" w14:textId="77777777" w:rsidR="009B143E" w:rsidRPr="002C2E17" w:rsidRDefault="009B143E" w:rsidP="009B143E">
      <w:pPr>
        <w:spacing w:after="0" w:line="288" w:lineRule="auto"/>
        <w:jc w:val="both"/>
        <w:rPr>
          <w:rFonts w:ascii="Times New Roman" w:hAnsi="Times New Roman" w:cs="Times New Roman"/>
          <w:b/>
          <w:sz w:val="24"/>
          <w:szCs w:val="24"/>
        </w:rPr>
      </w:pPr>
      <w:r w:rsidRPr="002C2E17">
        <w:rPr>
          <w:rFonts w:ascii="Times New Roman" w:hAnsi="Times New Roman" w:cs="Times New Roman"/>
          <w:b/>
          <w:sz w:val="24"/>
          <w:szCs w:val="24"/>
        </w:rPr>
        <w:t xml:space="preserve">Pest management through plant health management – A </w:t>
      </w:r>
      <w:proofErr w:type="gramStart"/>
      <w:r w:rsidRPr="002C2E17">
        <w:rPr>
          <w:rFonts w:ascii="Times New Roman" w:hAnsi="Times New Roman" w:cs="Times New Roman"/>
          <w:b/>
          <w:sz w:val="24"/>
          <w:szCs w:val="24"/>
        </w:rPr>
        <w:t>unique  concept</w:t>
      </w:r>
      <w:proofErr w:type="gramEnd"/>
      <w:r w:rsidRPr="002C2E17">
        <w:rPr>
          <w:rFonts w:ascii="Times New Roman" w:hAnsi="Times New Roman" w:cs="Times New Roman"/>
          <w:b/>
          <w:sz w:val="24"/>
          <w:szCs w:val="24"/>
        </w:rPr>
        <w:t xml:space="preserve"> under Regenerative Agriculture</w:t>
      </w:r>
    </w:p>
    <w:p w14:paraId="0FFDFD4D" w14:textId="4575E70C"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Pest management through plant health management is an innovative but most scientific and comprehensive approach residing the holistic approaches generally associated with any </w:t>
      </w:r>
      <w:r w:rsidRPr="009B143E">
        <w:rPr>
          <w:rFonts w:ascii="Times New Roman" w:hAnsi="Times New Roman" w:cs="Times New Roman"/>
          <w:sz w:val="24"/>
          <w:szCs w:val="24"/>
        </w:rPr>
        <w:lastRenderedPageBreak/>
        <w:t xml:space="preserve">sustainable/ regenerative agriculture. The concept was first </w:t>
      </w:r>
      <w:proofErr w:type="gramStart"/>
      <w:r w:rsidRPr="009B143E">
        <w:rPr>
          <w:rFonts w:ascii="Times New Roman" w:hAnsi="Times New Roman" w:cs="Times New Roman"/>
          <w:sz w:val="24"/>
          <w:szCs w:val="24"/>
        </w:rPr>
        <w:t>originated  by</w:t>
      </w:r>
      <w:proofErr w:type="gramEnd"/>
      <w:r w:rsidRPr="009B143E">
        <w:rPr>
          <w:rFonts w:ascii="Times New Roman" w:hAnsi="Times New Roman" w:cs="Times New Roman"/>
          <w:sz w:val="24"/>
          <w:szCs w:val="24"/>
        </w:rPr>
        <w:t xml:space="preserve"> a French agronomist Francis Chaboussou, who develop his ‘Trophobiosis theory’ through his life-long research on pest-plant relationship and conclude that ‘Pest starves on Health Plants’ (Paull, 2008)(Fig 5). According to the theory of Trophobiosis theory, it is nutritional imbalances within the plant that leads to disease rather than the simple presence of a disease-causing organism.</w:t>
      </w:r>
      <w:r w:rsidR="00C947F3">
        <w:rPr>
          <w:rFonts w:ascii="Times New Roman" w:hAnsi="Times New Roman" w:cs="Times New Roman"/>
          <w:sz w:val="24"/>
          <w:szCs w:val="24"/>
        </w:rPr>
        <w:t xml:space="preserve"> </w:t>
      </w:r>
      <w:r w:rsidRPr="009B143E">
        <w:rPr>
          <w:rFonts w:ascii="Times New Roman" w:hAnsi="Times New Roman" w:cs="Times New Roman"/>
          <w:sz w:val="24"/>
          <w:szCs w:val="24"/>
        </w:rPr>
        <w:t>Nutritionally imbalanced plants produce an abundance of amino acids and reducing sugars, whereas healthy plants form complete proteins and complex carbohydrates. The less biochemically complex molecules from imbalanced plants offer an alluring milieu for pests and diseases (</w:t>
      </w:r>
      <w:proofErr w:type="spellStart"/>
      <w:r w:rsidRPr="009B143E">
        <w:rPr>
          <w:rFonts w:ascii="Times New Roman" w:hAnsi="Times New Roman" w:cs="Times New Roman"/>
          <w:sz w:val="24"/>
          <w:szCs w:val="24"/>
        </w:rPr>
        <w:t>Kakava</w:t>
      </w:r>
      <w:proofErr w:type="spellEnd"/>
      <w:r w:rsidRPr="009B143E">
        <w:rPr>
          <w:rFonts w:ascii="Times New Roman" w:hAnsi="Times New Roman" w:cs="Times New Roman"/>
          <w:sz w:val="24"/>
          <w:szCs w:val="24"/>
        </w:rPr>
        <w:t>, 2023).</w:t>
      </w:r>
    </w:p>
    <w:p w14:paraId="1DEB397C" w14:textId="77777777" w:rsidR="002C2E17"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C2E17" w:rsidRPr="00A650B3" w14:paraId="4782B465" w14:textId="77777777" w:rsidTr="00A90412">
        <w:trPr>
          <w:trHeight w:val="3275"/>
        </w:trPr>
        <w:tc>
          <w:tcPr>
            <w:tcW w:w="9242" w:type="dxa"/>
          </w:tcPr>
          <w:p w14:paraId="6408FA99" w14:textId="77777777" w:rsidR="002C2E17" w:rsidRPr="00A650B3" w:rsidRDefault="002C2E17" w:rsidP="00A90412">
            <w:pPr>
              <w:jc w:val="both"/>
              <w:rPr>
                <w:rFonts w:ascii="Times New Roman" w:hAnsi="Times New Roman" w:cs="Times New Roman"/>
                <w:bCs/>
                <w:color w:val="000000" w:themeColor="text1"/>
                <w:sz w:val="24"/>
                <w:szCs w:val="24"/>
              </w:rPr>
            </w:pPr>
            <w:r w:rsidRPr="00A650B3">
              <w:rPr>
                <w:rFonts w:ascii="Times New Roman" w:hAnsi="Times New Roman" w:cs="Times New Roman"/>
                <w:bCs/>
                <w:noProof/>
                <w:color w:val="000000" w:themeColor="text1"/>
                <w:sz w:val="24"/>
                <w:szCs w:val="24"/>
              </w:rPr>
              <w:drawing>
                <wp:inline distT="0" distB="0" distL="0" distR="0" wp14:anchorId="6CE55D61" wp14:editId="363C4D1F">
                  <wp:extent cx="5723467" cy="3201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829" cy="3203680"/>
                          </a:xfrm>
                          <a:prstGeom prst="rect">
                            <a:avLst/>
                          </a:prstGeom>
                          <a:noFill/>
                        </pic:spPr>
                      </pic:pic>
                    </a:graphicData>
                  </a:graphic>
                </wp:inline>
              </w:drawing>
            </w:r>
          </w:p>
        </w:tc>
      </w:tr>
      <w:tr w:rsidR="002C2E17" w:rsidRPr="00A650B3" w14:paraId="0D3CA750" w14:textId="77777777" w:rsidTr="00A90412">
        <w:trPr>
          <w:trHeight w:val="656"/>
        </w:trPr>
        <w:tc>
          <w:tcPr>
            <w:tcW w:w="9242" w:type="dxa"/>
          </w:tcPr>
          <w:p w14:paraId="7C4F6758" w14:textId="77777777" w:rsidR="002C2E17" w:rsidRPr="002C2E17" w:rsidRDefault="002C2E17" w:rsidP="002C2E17">
            <w:pPr>
              <w:spacing w:line="288" w:lineRule="auto"/>
              <w:ind w:left="900" w:hanging="900"/>
              <w:jc w:val="both"/>
              <w:rPr>
                <w:rFonts w:ascii="Times New Roman" w:hAnsi="Times New Roman" w:cs="Times New Roman"/>
                <w:b/>
                <w:bCs/>
                <w:color w:val="000000" w:themeColor="text1"/>
                <w:sz w:val="24"/>
                <w:szCs w:val="24"/>
              </w:rPr>
            </w:pPr>
            <w:r w:rsidRPr="002C2E17">
              <w:rPr>
                <w:rFonts w:ascii="Times New Roman" w:hAnsi="Times New Roman" w:cs="Times New Roman"/>
                <w:b/>
                <w:bCs/>
                <w:color w:val="000000" w:themeColor="text1"/>
                <w:sz w:val="24"/>
                <w:szCs w:val="24"/>
              </w:rPr>
              <w:t>Fig 5 : The concept of ‘Pest Management through Plant Health Management : The essence of “</w:t>
            </w:r>
            <w:proofErr w:type="spellStart"/>
            <w:r w:rsidRPr="002C2E17">
              <w:rPr>
                <w:rFonts w:ascii="Times New Roman" w:hAnsi="Times New Roman" w:cs="Times New Roman"/>
                <w:b/>
                <w:bCs/>
                <w:color w:val="000000" w:themeColor="text1"/>
                <w:sz w:val="24"/>
                <w:szCs w:val="24"/>
              </w:rPr>
              <w:t>Trophobiosis</w:t>
            </w:r>
            <w:proofErr w:type="spellEnd"/>
            <w:r w:rsidRPr="002C2E17">
              <w:rPr>
                <w:rFonts w:ascii="Times New Roman" w:hAnsi="Times New Roman" w:cs="Times New Roman"/>
                <w:b/>
                <w:bCs/>
                <w:color w:val="000000" w:themeColor="text1"/>
                <w:sz w:val="24"/>
                <w:szCs w:val="24"/>
              </w:rPr>
              <w:t xml:space="preserve"> theory” behind Integrated Pest Management under Regenerative Agriculture</w:t>
            </w:r>
          </w:p>
        </w:tc>
      </w:tr>
    </w:tbl>
    <w:p w14:paraId="6AEB63C7" w14:textId="77777777" w:rsidR="009B143E" w:rsidRPr="009B143E" w:rsidRDefault="009B143E" w:rsidP="009B143E">
      <w:pPr>
        <w:spacing w:after="0" w:line="288" w:lineRule="auto"/>
        <w:jc w:val="both"/>
        <w:rPr>
          <w:rFonts w:ascii="Times New Roman" w:hAnsi="Times New Roman" w:cs="Times New Roman"/>
          <w:sz w:val="24"/>
          <w:szCs w:val="24"/>
        </w:rPr>
      </w:pPr>
    </w:p>
    <w:p w14:paraId="635FC094"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Chaboussou’s study indicated that protein metabolism is amongst the most sensitive of all plant processes and it can be compromised with repeated use of fungicides and pesticides. Compromised protein metabolism causes the consequent buildup of amino acids and reducing sugars in the plant cell sap. And the insects and fungi prefer to feed on plants that are over supplied with short chain amino acids and simple sugars. This is because amino acids are the protein building blocks and the reducing sugars offer the energy source for this protein synthesis (</w:t>
      </w:r>
      <w:proofErr w:type="spellStart"/>
      <w:r w:rsidRPr="009B143E">
        <w:rPr>
          <w:rFonts w:ascii="Times New Roman" w:hAnsi="Times New Roman" w:cs="Times New Roman"/>
          <w:sz w:val="24"/>
          <w:szCs w:val="24"/>
        </w:rPr>
        <w:t>Beraet</w:t>
      </w:r>
      <w:proofErr w:type="spellEnd"/>
      <w:r w:rsidRPr="009B143E">
        <w:rPr>
          <w:rFonts w:ascii="Times New Roman" w:hAnsi="Times New Roman" w:cs="Times New Roman"/>
          <w:sz w:val="24"/>
          <w:szCs w:val="24"/>
        </w:rPr>
        <w:t xml:space="preserve"> al, 2024a). Chaboussou also stated that nitrogen mismanagement is also a major player in creating conditions to foster pest and disease pressure. Heavy applications of soluble nitrogen fertilizers increase the cellular concentration of nitrate, ammonia and amino acids faster than can be used for the synthesis of protein which increase the risk of pest pressure after application of nitrogen (Seal et al, 2017).</w:t>
      </w:r>
    </w:p>
    <w:p w14:paraId="6B6BCE32" w14:textId="77777777" w:rsidR="002C2E17" w:rsidRDefault="002C2E17">
      <w:pPr>
        <w:rPr>
          <w:rFonts w:ascii="Times New Roman" w:hAnsi="Times New Roman" w:cs="Times New Roman"/>
          <w:sz w:val="24"/>
          <w:szCs w:val="24"/>
        </w:rPr>
      </w:pPr>
      <w:r>
        <w:rPr>
          <w:rFonts w:ascii="Times New Roman" w:hAnsi="Times New Roman" w:cs="Times New Roman"/>
          <w:sz w:val="24"/>
          <w:szCs w:val="24"/>
        </w:rPr>
        <w:lastRenderedPageBreak/>
        <w:br w:type="page"/>
      </w:r>
    </w:p>
    <w:p w14:paraId="21D24B9A" w14:textId="77777777" w:rsidR="009B143E" w:rsidRPr="002C2E17" w:rsidRDefault="009B143E" w:rsidP="009B143E">
      <w:pPr>
        <w:spacing w:after="0" w:line="288" w:lineRule="auto"/>
        <w:jc w:val="both"/>
        <w:rPr>
          <w:rFonts w:ascii="Times New Roman" w:hAnsi="Times New Roman" w:cs="Times New Roman"/>
          <w:b/>
          <w:sz w:val="24"/>
          <w:szCs w:val="24"/>
        </w:rPr>
      </w:pPr>
      <w:r w:rsidRPr="002C2E17">
        <w:rPr>
          <w:rFonts w:ascii="Times New Roman" w:hAnsi="Times New Roman" w:cs="Times New Roman"/>
          <w:b/>
          <w:sz w:val="24"/>
          <w:szCs w:val="24"/>
        </w:rPr>
        <w:lastRenderedPageBreak/>
        <w:t xml:space="preserve">Concept of plant health and </w:t>
      </w:r>
      <w:proofErr w:type="spellStart"/>
      <w:r w:rsidRPr="002C2E17">
        <w:rPr>
          <w:rFonts w:ascii="Times New Roman" w:hAnsi="Times New Roman" w:cs="Times New Roman"/>
          <w:b/>
          <w:sz w:val="24"/>
          <w:szCs w:val="24"/>
        </w:rPr>
        <w:t>defence</w:t>
      </w:r>
      <w:proofErr w:type="spellEnd"/>
      <w:r w:rsidRPr="002C2E17">
        <w:rPr>
          <w:rFonts w:ascii="Times New Roman" w:hAnsi="Times New Roman" w:cs="Times New Roman"/>
          <w:b/>
          <w:sz w:val="24"/>
          <w:szCs w:val="24"/>
        </w:rPr>
        <w:t xml:space="preserve"> against pest/disease from Indian mythology in relation to modern science</w:t>
      </w:r>
    </w:p>
    <w:p w14:paraId="1BAB1B1B"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More than 2500 years before French scientist Francis Chaboussou came forward with his Trophobiosis Theory’ and established the need of healthy plants to manage pest and dise</w:t>
      </w:r>
      <w:r w:rsidR="002C2E17">
        <w:rPr>
          <w:rFonts w:ascii="Times New Roman" w:hAnsi="Times New Roman" w:cs="Times New Roman"/>
          <w:sz w:val="24"/>
          <w:szCs w:val="24"/>
        </w:rPr>
        <w:t>ases purely as physicists basis</w:t>
      </w:r>
      <w:r w:rsidRPr="009B143E">
        <w:rPr>
          <w:rFonts w:ascii="Times New Roman" w:hAnsi="Times New Roman" w:cs="Times New Roman"/>
          <w:sz w:val="24"/>
          <w:szCs w:val="24"/>
        </w:rPr>
        <w:t>,</w:t>
      </w:r>
      <w:r w:rsidR="002C2E17">
        <w:rPr>
          <w:rFonts w:ascii="Times New Roman" w:hAnsi="Times New Roman" w:cs="Times New Roman"/>
          <w:sz w:val="24"/>
          <w:szCs w:val="24"/>
        </w:rPr>
        <w:t xml:space="preserve"> </w:t>
      </w:r>
      <w:r w:rsidRPr="009B143E">
        <w:rPr>
          <w:rFonts w:ascii="Times New Roman" w:hAnsi="Times New Roman" w:cs="Times New Roman"/>
          <w:sz w:val="24"/>
          <w:szCs w:val="24"/>
        </w:rPr>
        <w:t xml:space="preserve">Indian philosophers revealed both the physiology and philosophy of   plant system and </w:t>
      </w:r>
      <w:r w:rsidR="002C2E17" w:rsidRPr="009B143E">
        <w:rPr>
          <w:rFonts w:ascii="Times New Roman" w:hAnsi="Times New Roman" w:cs="Times New Roman"/>
          <w:sz w:val="24"/>
          <w:szCs w:val="24"/>
        </w:rPr>
        <w:t>conceptualized</w:t>
      </w:r>
      <w:r w:rsidRPr="009B143E">
        <w:rPr>
          <w:rFonts w:ascii="Times New Roman" w:hAnsi="Times New Roman" w:cs="Times New Roman"/>
          <w:sz w:val="24"/>
          <w:szCs w:val="24"/>
        </w:rPr>
        <w:t xml:space="preserve"> the underlined relationship behind plant health and its relevance and role in developing </w:t>
      </w:r>
      <w:proofErr w:type="spellStart"/>
      <w:r w:rsidRPr="009B143E">
        <w:rPr>
          <w:rFonts w:ascii="Times New Roman" w:hAnsi="Times New Roman" w:cs="Times New Roman"/>
          <w:sz w:val="24"/>
          <w:szCs w:val="24"/>
        </w:rPr>
        <w:t>defence</w:t>
      </w:r>
      <w:proofErr w:type="spellEnd"/>
      <w:r w:rsidRPr="009B143E">
        <w:rPr>
          <w:rFonts w:ascii="Times New Roman" w:hAnsi="Times New Roman" w:cs="Times New Roman"/>
          <w:sz w:val="24"/>
          <w:szCs w:val="24"/>
        </w:rPr>
        <w:t xml:space="preserve"> mechanism of the plant system. While Chaboussou advocated that healthy plants do not provide food to pest for which they invades, Indian philosophers interpreted how healthy </w:t>
      </w:r>
      <w:proofErr w:type="gramStart"/>
      <w:r w:rsidRPr="009B143E">
        <w:rPr>
          <w:rFonts w:ascii="Times New Roman" w:hAnsi="Times New Roman" w:cs="Times New Roman"/>
          <w:sz w:val="24"/>
          <w:szCs w:val="24"/>
        </w:rPr>
        <w:t>plant  functions</w:t>
      </w:r>
      <w:proofErr w:type="gramEnd"/>
      <w:r w:rsidRPr="009B143E">
        <w:rPr>
          <w:rFonts w:ascii="Times New Roman" w:hAnsi="Times New Roman" w:cs="Times New Roman"/>
          <w:sz w:val="24"/>
          <w:szCs w:val="24"/>
        </w:rPr>
        <w:t xml:space="preserve"> and how these are operational from its birth till death. As they reached to the root of creation, they interpreted the life of a plant as a reflection of cosmic principles, emphasizing the interdependence of nourishment (</w:t>
      </w:r>
      <w:proofErr w:type="spellStart"/>
      <w:r w:rsidRPr="009B143E">
        <w:rPr>
          <w:rFonts w:ascii="Times New Roman" w:hAnsi="Times New Roman" w:cs="Times New Roman"/>
          <w:sz w:val="24"/>
          <w:szCs w:val="24"/>
        </w:rPr>
        <w:t>Poshana</w:t>
      </w:r>
      <w:proofErr w:type="spellEnd"/>
      <w:r w:rsidRPr="009B143E">
        <w:rPr>
          <w:rFonts w:ascii="Times New Roman" w:hAnsi="Times New Roman" w:cs="Times New Roman"/>
          <w:sz w:val="24"/>
          <w:szCs w:val="24"/>
        </w:rPr>
        <w:t>) and protection (Rakshana). From its birth as a seed to its final decay, a plant embodies the cycle of creation, sustenance, and dissolution—mirroring the larger order of existence.</w:t>
      </w:r>
    </w:p>
    <w:p w14:paraId="0E3B8B37" w14:textId="77777777" w:rsidR="002C2E17" w:rsidRDefault="002C2E17" w:rsidP="009B143E">
      <w:pPr>
        <w:spacing w:after="0" w:line="288" w:lineRule="auto"/>
        <w:jc w:val="both"/>
        <w:rPr>
          <w:rFonts w:ascii="Times New Roman" w:hAnsi="Times New Roman" w:cs="Times New Roman"/>
          <w:sz w:val="24"/>
          <w:szCs w:val="24"/>
        </w:rPr>
      </w:pPr>
    </w:p>
    <w:p w14:paraId="1D587D7F"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Through this perspective, they recognized that nourishment is essential for growth, while protection ensures survival. These two forces work in harmony, much like the dual responsibilities of nature and human life. Just as a plant draws sustenance from the soil, water, air, and sunlight, it also relies on mechanisms of defense against external threats. This understanding extended beyond botany into broader philosophical and spiritual domains, influencing Ayurvedic medicine, environmental ethics, and even social structures.</w:t>
      </w:r>
    </w:p>
    <w:p w14:paraId="66D333AC" w14:textId="77777777" w:rsidR="009B143E" w:rsidRPr="009B143E" w:rsidRDefault="009B143E" w:rsidP="009B143E">
      <w:pPr>
        <w:spacing w:after="0" w:line="288" w:lineRule="auto"/>
        <w:jc w:val="both"/>
        <w:rPr>
          <w:rFonts w:ascii="Times New Roman" w:hAnsi="Times New Roman" w:cs="Times New Roman"/>
          <w:sz w:val="24"/>
          <w:szCs w:val="24"/>
        </w:rPr>
      </w:pPr>
    </w:p>
    <w:p w14:paraId="4F7232B6" w14:textId="0AA69D83"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As the ancient Indian philosophers recognized the two inherent quality of plant system that they can both nourish and protect themselves; deep connection between plant health and pest/disease management</w:t>
      </w:r>
      <w:r w:rsidR="002C2E17">
        <w:rPr>
          <w:rFonts w:ascii="Times New Roman" w:hAnsi="Times New Roman" w:cs="Times New Roman"/>
          <w:sz w:val="24"/>
          <w:szCs w:val="24"/>
        </w:rPr>
        <w:t xml:space="preserve"> </w:t>
      </w:r>
      <w:r w:rsidRPr="009B143E">
        <w:rPr>
          <w:rFonts w:ascii="Times New Roman" w:hAnsi="Times New Roman" w:cs="Times New Roman"/>
          <w:sz w:val="24"/>
          <w:szCs w:val="24"/>
        </w:rPr>
        <w:t>also got revealed. While modern science often traces its roots to more recent developments like Chaboussou's</w:t>
      </w:r>
      <w:r w:rsidR="002C2E17">
        <w:rPr>
          <w:rFonts w:ascii="Times New Roman" w:hAnsi="Times New Roman" w:cs="Times New Roman"/>
          <w:sz w:val="24"/>
          <w:szCs w:val="24"/>
        </w:rPr>
        <w:t xml:space="preserve"> </w:t>
      </w:r>
      <w:r w:rsidRPr="009B143E">
        <w:rPr>
          <w:rFonts w:ascii="Times New Roman" w:hAnsi="Times New Roman" w:cs="Times New Roman"/>
          <w:sz w:val="24"/>
          <w:szCs w:val="24"/>
        </w:rPr>
        <w:t>Trophobiosis</w:t>
      </w:r>
      <w:r w:rsidR="002C2E17">
        <w:rPr>
          <w:rFonts w:ascii="Times New Roman" w:hAnsi="Times New Roman" w:cs="Times New Roman"/>
          <w:sz w:val="24"/>
          <w:szCs w:val="24"/>
        </w:rPr>
        <w:t xml:space="preserve"> </w:t>
      </w:r>
      <w:r w:rsidRPr="009B143E">
        <w:rPr>
          <w:rFonts w:ascii="Times New Roman" w:hAnsi="Times New Roman" w:cs="Times New Roman"/>
          <w:sz w:val="24"/>
          <w:szCs w:val="24"/>
        </w:rPr>
        <w:t xml:space="preserve">Theory, it's clear that traditional knowledge, embedded in ancient agricultural practices, had a </w:t>
      </w:r>
      <w:proofErr w:type="gramStart"/>
      <w:r w:rsidRPr="009B143E">
        <w:rPr>
          <w:rFonts w:ascii="Times New Roman" w:hAnsi="Times New Roman" w:cs="Times New Roman"/>
          <w:sz w:val="24"/>
          <w:szCs w:val="24"/>
        </w:rPr>
        <w:t>more deeper</w:t>
      </w:r>
      <w:proofErr w:type="gramEnd"/>
      <w:r w:rsidRPr="009B143E">
        <w:rPr>
          <w:rFonts w:ascii="Times New Roman" w:hAnsi="Times New Roman" w:cs="Times New Roman"/>
          <w:sz w:val="24"/>
          <w:szCs w:val="24"/>
        </w:rPr>
        <w:t xml:space="preserve"> understanding of plant ecosystems. While these </w:t>
      </w:r>
      <w:proofErr w:type="gramStart"/>
      <w:r w:rsidRPr="009B143E">
        <w:rPr>
          <w:rFonts w:ascii="Times New Roman" w:hAnsi="Times New Roman" w:cs="Times New Roman"/>
          <w:sz w:val="24"/>
          <w:szCs w:val="24"/>
        </w:rPr>
        <w:t>understanding  and</w:t>
      </w:r>
      <w:proofErr w:type="gramEnd"/>
      <w:r w:rsidR="002C2E17">
        <w:rPr>
          <w:rFonts w:ascii="Times New Roman" w:hAnsi="Times New Roman" w:cs="Times New Roman"/>
          <w:sz w:val="24"/>
          <w:szCs w:val="24"/>
        </w:rPr>
        <w:t xml:space="preserve"> </w:t>
      </w:r>
      <w:r w:rsidR="002C2E17" w:rsidRPr="009B143E">
        <w:rPr>
          <w:rFonts w:ascii="Times New Roman" w:hAnsi="Times New Roman" w:cs="Times New Roman"/>
          <w:sz w:val="24"/>
          <w:szCs w:val="24"/>
        </w:rPr>
        <w:t>wisdom</w:t>
      </w:r>
      <w:r w:rsidRPr="009B143E">
        <w:rPr>
          <w:rFonts w:ascii="Times New Roman" w:hAnsi="Times New Roman" w:cs="Times New Roman"/>
          <w:sz w:val="24"/>
          <w:szCs w:val="24"/>
        </w:rPr>
        <w:t xml:space="preserve"> were include in the various ancient scriptures, these have not been decoded in the modern scientific language, therefore the deep </w:t>
      </w:r>
      <w:r w:rsidR="002C2E17" w:rsidRPr="009B143E">
        <w:rPr>
          <w:rFonts w:ascii="Times New Roman" w:hAnsi="Times New Roman" w:cs="Times New Roman"/>
          <w:sz w:val="24"/>
          <w:szCs w:val="24"/>
        </w:rPr>
        <w:t>embedded</w:t>
      </w:r>
      <w:r w:rsidRPr="009B143E">
        <w:rPr>
          <w:rFonts w:ascii="Times New Roman" w:hAnsi="Times New Roman" w:cs="Times New Roman"/>
          <w:sz w:val="24"/>
          <w:szCs w:val="24"/>
        </w:rPr>
        <w:t xml:space="preserve"> science will </w:t>
      </w:r>
      <w:r w:rsidR="00C947F3" w:rsidRPr="009B143E">
        <w:rPr>
          <w:rFonts w:ascii="Times New Roman" w:hAnsi="Times New Roman" w:cs="Times New Roman"/>
          <w:sz w:val="24"/>
          <w:szCs w:val="24"/>
        </w:rPr>
        <w:t>philosophy</w:t>
      </w:r>
      <w:r w:rsidRPr="009B143E">
        <w:rPr>
          <w:rFonts w:ascii="Times New Roman" w:hAnsi="Times New Roman" w:cs="Times New Roman"/>
          <w:sz w:val="24"/>
          <w:szCs w:val="24"/>
        </w:rPr>
        <w:t xml:space="preserve"> gradually become oblivion. In our modern agriculture based on chemical fertilizers and pesticides</w:t>
      </w:r>
      <w:r w:rsidR="002C2E17">
        <w:rPr>
          <w:rFonts w:ascii="Times New Roman" w:hAnsi="Times New Roman" w:cs="Times New Roman"/>
          <w:sz w:val="24"/>
          <w:szCs w:val="24"/>
        </w:rPr>
        <w:t xml:space="preserve"> </w:t>
      </w:r>
      <w:r w:rsidRPr="009B143E">
        <w:rPr>
          <w:rFonts w:ascii="Times New Roman" w:hAnsi="Times New Roman" w:cs="Times New Roman"/>
          <w:sz w:val="24"/>
          <w:szCs w:val="24"/>
        </w:rPr>
        <w:t xml:space="preserve">is not even century old which first got inhibited  with a concept of feeding the plants which soon included protecting the plants, could not  --- that plants are </w:t>
      </w:r>
      <w:r w:rsidR="002C2E17" w:rsidRPr="009B143E">
        <w:rPr>
          <w:rFonts w:ascii="Times New Roman" w:hAnsi="Times New Roman" w:cs="Times New Roman"/>
          <w:sz w:val="24"/>
          <w:szCs w:val="24"/>
        </w:rPr>
        <w:t>efficient</w:t>
      </w:r>
      <w:r w:rsidRPr="009B143E">
        <w:rPr>
          <w:rFonts w:ascii="Times New Roman" w:hAnsi="Times New Roman" w:cs="Times New Roman"/>
          <w:sz w:val="24"/>
          <w:szCs w:val="24"/>
        </w:rPr>
        <w:t xml:space="preserve"> of both  these functions.</w:t>
      </w:r>
    </w:p>
    <w:p w14:paraId="6B10592A" w14:textId="77777777" w:rsidR="002C2E17" w:rsidRDefault="002C2E17" w:rsidP="009B143E">
      <w:pPr>
        <w:spacing w:after="0" w:line="288" w:lineRule="auto"/>
        <w:jc w:val="both"/>
        <w:rPr>
          <w:rFonts w:ascii="Times New Roman" w:hAnsi="Times New Roman" w:cs="Times New Roman"/>
          <w:sz w:val="24"/>
          <w:szCs w:val="24"/>
        </w:rPr>
      </w:pPr>
    </w:p>
    <w:p w14:paraId="6D39936C"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In many traditional Indian agricultural practices, there’s a recognition of the interdependence between plants, soil, and the broader environment, often manifesting in practices like crop rotation, intercropping, and the use of natural pesticides. These practices are aligned with the broader idea that plant health is linked to the overall ecosystem, not just isolated treatments for pests or diseases.</w:t>
      </w:r>
      <w:r w:rsidR="00F802D2">
        <w:rPr>
          <w:rFonts w:ascii="Times New Roman" w:hAnsi="Times New Roman" w:cs="Times New Roman"/>
          <w:sz w:val="24"/>
          <w:szCs w:val="24"/>
        </w:rPr>
        <w:t xml:space="preserve"> </w:t>
      </w:r>
      <w:r w:rsidRPr="009B143E">
        <w:rPr>
          <w:rFonts w:ascii="Times New Roman" w:hAnsi="Times New Roman" w:cs="Times New Roman"/>
          <w:sz w:val="24"/>
          <w:szCs w:val="24"/>
        </w:rPr>
        <w:t xml:space="preserve">The concept that plants have inherent mechanisms for self-nourishment and self-protection is deeply embedded in many traditional Indian philosophies and agricultural </w:t>
      </w:r>
      <w:r w:rsidRPr="009B143E">
        <w:rPr>
          <w:rFonts w:ascii="Times New Roman" w:hAnsi="Times New Roman" w:cs="Times New Roman"/>
          <w:sz w:val="24"/>
          <w:szCs w:val="24"/>
        </w:rPr>
        <w:lastRenderedPageBreak/>
        <w:t xml:space="preserve">practices. Ancient Indian thinkers, especially those who studied nature and Ayurveda, recognized that plants had their own natural </w:t>
      </w:r>
      <w:proofErr w:type="spellStart"/>
      <w:r w:rsidRPr="009B143E">
        <w:rPr>
          <w:rFonts w:ascii="Times New Roman" w:hAnsi="Times New Roman" w:cs="Times New Roman"/>
          <w:sz w:val="24"/>
          <w:szCs w:val="24"/>
        </w:rPr>
        <w:t>defences</w:t>
      </w:r>
      <w:proofErr w:type="spellEnd"/>
      <w:r w:rsidRPr="009B143E">
        <w:rPr>
          <w:rFonts w:ascii="Times New Roman" w:hAnsi="Times New Roman" w:cs="Times New Roman"/>
          <w:sz w:val="24"/>
          <w:szCs w:val="24"/>
        </w:rPr>
        <w:t xml:space="preserve"> and the ability to sustain themselves if their environment and needs were balanced correctly. This wisdom is reflected in how they approached agriculture, health, and sustainability.</w:t>
      </w:r>
      <w:r w:rsidR="002C2E17">
        <w:rPr>
          <w:rFonts w:ascii="Times New Roman" w:hAnsi="Times New Roman" w:cs="Times New Roman"/>
          <w:sz w:val="24"/>
          <w:szCs w:val="24"/>
        </w:rPr>
        <w:t xml:space="preserve"> </w:t>
      </w:r>
      <w:r w:rsidRPr="009B143E">
        <w:rPr>
          <w:rFonts w:ascii="Times New Roman" w:hAnsi="Times New Roman" w:cs="Times New Roman"/>
          <w:sz w:val="24"/>
          <w:szCs w:val="24"/>
        </w:rPr>
        <w:t>In Indian philosophy, plants are often seen as being intrinsically linked to the balance of the environment, and their health is seen as a reflection of the broader balance between the five elements—earth, water, fire, air, and ether. When these elements are in harmony, plants thrive and can naturally ward off pests and diseases. This idea mirrors Chaboussou’s</w:t>
      </w:r>
      <w:r w:rsidR="002C2E17">
        <w:rPr>
          <w:rFonts w:ascii="Times New Roman" w:hAnsi="Times New Roman" w:cs="Times New Roman"/>
          <w:sz w:val="24"/>
          <w:szCs w:val="24"/>
        </w:rPr>
        <w:t xml:space="preserve"> </w:t>
      </w:r>
      <w:r w:rsidRPr="009B143E">
        <w:rPr>
          <w:rFonts w:ascii="Times New Roman" w:hAnsi="Times New Roman" w:cs="Times New Roman"/>
          <w:sz w:val="24"/>
          <w:szCs w:val="24"/>
        </w:rPr>
        <w:t>Trophobiosis theory, which emphasizes plant health as a preventative measure against pest problems, rather than relying on external chemical solutions.</w:t>
      </w:r>
    </w:p>
    <w:p w14:paraId="54D9771E" w14:textId="77777777" w:rsidR="009B143E" w:rsidRPr="009B143E" w:rsidRDefault="009B143E" w:rsidP="009B143E">
      <w:pPr>
        <w:spacing w:after="0" w:line="288" w:lineRule="auto"/>
        <w:jc w:val="both"/>
        <w:rPr>
          <w:rFonts w:ascii="Times New Roman" w:hAnsi="Times New Roman" w:cs="Times New Roman"/>
          <w:sz w:val="24"/>
          <w:szCs w:val="24"/>
        </w:rPr>
      </w:pPr>
    </w:p>
    <w:p w14:paraId="35BB8E7E" w14:textId="34F5681B" w:rsidR="009B143E" w:rsidRPr="009B143E" w:rsidRDefault="002C2E17" w:rsidP="009B143E">
      <w:pPr>
        <w:spacing w:after="0" w:line="288" w:lineRule="auto"/>
        <w:jc w:val="both"/>
        <w:rPr>
          <w:rFonts w:ascii="Times New Roman" w:hAnsi="Times New Roman" w:cs="Times New Roman"/>
          <w:sz w:val="24"/>
          <w:szCs w:val="24"/>
        </w:rPr>
      </w:pPr>
      <w:proofErr w:type="spellStart"/>
      <w:r>
        <w:rPr>
          <w:rFonts w:ascii="Times New Roman" w:hAnsi="Times New Roman" w:cs="Times New Roman"/>
          <w:sz w:val="24"/>
          <w:szCs w:val="24"/>
        </w:rPr>
        <w:t>Phalguni</w:t>
      </w:r>
      <w:proofErr w:type="spellEnd"/>
      <w:r w:rsidR="009B143E" w:rsidRPr="009B143E">
        <w:rPr>
          <w:rFonts w:ascii="Times New Roman" w:hAnsi="Times New Roman" w:cs="Times New Roman"/>
          <w:sz w:val="24"/>
          <w:szCs w:val="24"/>
        </w:rPr>
        <w:t xml:space="preserve"> Das Biswas, pioneer in sustainable organic tea cultivation under Inhana Rational Farming Technology in India interpreted this ancient Indian wisdom in his Element-Energy </w:t>
      </w:r>
      <w:proofErr w:type="gramStart"/>
      <w:r w:rsidR="009B143E" w:rsidRPr="009B143E">
        <w:rPr>
          <w:rFonts w:ascii="Times New Roman" w:hAnsi="Times New Roman" w:cs="Times New Roman"/>
          <w:sz w:val="24"/>
          <w:szCs w:val="24"/>
        </w:rPr>
        <w:t>Activation  (</w:t>
      </w:r>
      <w:proofErr w:type="gramEnd"/>
      <w:r w:rsidR="009B143E" w:rsidRPr="009B143E">
        <w:rPr>
          <w:rFonts w:ascii="Times New Roman" w:hAnsi="Times New Roman" w:cs="Times New Roman"/>
          <w:sz w:val="24"/>
          <w:szCs w:val="24"/>
        </w:rPr>
        <w:t xml:space="preserve">EEA) principle. According to that principle, all living bodies are like machines and the vital driving force or </w:t>
      </w:r>
      <w:r w:rsidRPr="009B143E">
        <w:rPr>
          <w:rFonts w:ascii="Times New Roman" w:hAnsi="Times New Roman" w:cs="Times New Roman"/>
          <w:sz w:val="24"/>
          <w:szCs w:val="24"/>
        </w:rPr>
        <w:t>energy</w:t>
      </w:r>
      <w:r w:rsidR="009B143E" w:rsidRPr="009B143E">
        <w:rPr>
          <w:rFonts w:ascii="Times New Roman" w:hAnsi="Times New Roman" w:cs="Times New Roman"/>
          <w:sz w:val="24"/>
          <w:szCs w:val="24"/>
        </w:rPr>
        <w:t xml:space="preserve"> behind them is “Chaitanya Shakti” or Basic Life Force. Solar energy is the manifestation of “Chaitanya Shakti”.</w:t>
      </w:r>
      <w:r w:rsidR="00C947F3">
        <w:rPr>
          <w:rFonts w:ascii="Times New Roman" w:hAnsi="Times New Roman" w:cs="Times New Roman"/>
          <w:sz w:val="24"/>
          <w:szCs w:val="24"/>
        </w:rPr>
        <w:t xml:space="preserve"> </w:t>
      </w:r>
      <w:r w:rsidR="009B143E" w:rsidRPr="009B143E">
        <w:rPr>
          <w:rFonts w:ascii="Times New Roman" w:hAnsi="Times New Roman" w:cs="Times New Roman"/>
          <w:sz w:val="24"/>
          <w:szCs w:val="24"/>
        </w:rPr>
        <w:t>Energy specific plants which store the radiant solar energy or the basic life force in differential forms can serve as a potential medium of energy components, which when released at the right time and in the right proportion can make the matter (hereby the plant physiology) functional at the desired level and to restore/ revive equilibrium.  Except at birth and at death, two major processes (</w:t>
      </w:r>
      <w:proofErr w:type="spellStart"/>
      <w:r w:rsidR="009B143E" w:rsidRPr="009B143E">
        <w:rPr>
          <w:rFonts w:ascii="Times New Roman" w:hAnsi="Times New Roman" w:cs="Times New Roman"/>
          <w:sz w:val="24"/>
          <w:szCs w:val="24"/>
        </w:rPr>
        <w:t>i</w:t>
      </w:r>
      <w:proofErr w:type="spellEnd"/>
      <w:r w:rsidR="009B143E" w:rsidRPr="009B143E">
        <w:rPr>
          <w:rFonts w:ascii="Times New Roman" w:hAnsi="Times New Roman" w:cs="Times New Roman"/>
          <w:sz w:val="24"/>
          <w:szCs w:val="24"/>
        </w:rPr>
        <w:t>) Self-Nourishment &amp;</w:t>
      </w:r>
      <w:proofErr w:type="spellStart"/>
      <w:r w:rsidR="009B143E" w:rsidRPr="009B143E">
        <w:rPr>
          <w:rFonts w:ascii="Times New Roman" w:hAnsi="Times New Roman" w:cs="Times New Roman"/>
          <w:sz w:val="24"/>
          <w:szCs w:val="24"/>
        </w:rPr>
        <w:t>Self protection</w:t>
      </w:r>
      <w:proofErr w:type="spellEnd"/>
      <w:r w:rsidR="009B143E" w:rsidRPr="009B143E">
        <w:rPr>
          <w:rFonts w:ascii="Times New Roman" w:hAnsi="Times New Roman" w:cs="Times New Roman"/>
          <w:sz w:val="24"/>
          <w:szCs w:val="24"/>
        </w:rPr>
        <w:t>) are going on in every living body from birth till death or till the time they become deactivated due to human intervention.</w:t>
      </w:r>
    </w:p>
    <w:p w14:paraId="77565462" w14:textId="77777777" w:rsidR="009B143E" w:rsidRPr="009B143E" w:rsidRDefault="009B143E" w:rsidP="009B143E">
      <w:pPr>
        <w:spacing w:after="0" w:line="288" w:lineRule="auto"/>
        <w:jc w:val="both"/>
        <w:rPr>
          <w:rFonts w:ascii="Times New Roman" w:hAnsi="Times New Roman" w:cs="Times New Roman"/>
          <w:sz w:val="24"/>
          <w:szCs w:val="24"/>
        </w:rPr>
      </w:pPr>
    </w:p>
    <w:p w14:paraId="45F020EC" w14:textId="77777777" w:rsidR="009B143E" w:rsidRDefault="009B143E" w:rsidP="009B143E">
      <w:pPr>
        <w:spacing w:after="0" w:line="288" w:lineRule="auto"/>
        <w:jc w:val="both"/>
        <w:rPr>
          <w:rFonts w:ascii="Times New Roman" w:hAnsi="Times New Roman" w:cs="Times New Roman"/>
          <w:sz w:val="24"/>
          <w:szCs w:val="24"/>
        </w:rPr>
      </w:pPr>
      <w:r w:rsidRPr="002C2E17">
        <w:rPr>
          <w:rFonts w:ascii="Times New Roman" w:hAnsi="Times New Roman" w:cs="Times New Roman"/>
          <w:b/>
          <w:sz w:val="24"/>
          <w:szCs w:val="24"/>
        </w:rPr>
        <w:t>(i) Self-</w:t>
      </w:r>
      <w:proofErr w:type="gramStart"/>
      <w:r w:rsidRPr="002C2E17">
        <w:rPr>
          <w:rFonts w:ascii="Times New Roman" w:hAnsi="Times New Roman" w:cs="Times New Roman"/>
          <w:b/>
          <w:sz w:val="24"/>
          <w:szCs w:val="24"/>
        </w:rPr>
        <w:t>Nourishment :</w:t>
      </w:r>
      <w:proofErr w:type="gramEnd"/>
      <w:r w:rsidRPr="009B143E">
        <w:rPr>
          <w:rFonts w:ascii="Times New Roman" w:hAnsi="Times New Roman" w:cs="Times New Roman"/>
          <w:sz w:val="24"/>
          <w:szCs w:val="24"/>
        </w:rPr>
        <w:t xml:space="preserve"> According to EEA Principle, five Basic Elements (</w:t>
      </w:r>
      <w:proofErr w:type="spellStart"/>
      <w:r w:rsidRPr="009B143E">
        <w:rPr>
          <w:rFonts w:ascii="Times New Roman" w:hAnsi="Times New Roman" w:cs="Times New Roman"/>
          <w:sz w:val="24"/>
          <w:szCs w:val="24"/>
        </w:rPr>
        <w:t>Panchamahabhutas</w:t>
      </w:r>
      <w:proofErr w:type="spellEnd"/>
      <w:r w:rsidRPr="009B143E">
        <w:rPr>
          <w:rFonts w:ascii="Times New Roman" w:hAnsi="Times New Roman" w:cs="Times New Roman"/>
          <w:sz w:val="24"/>
          <w:szCs w:val="24"/>
        </w:rPr>
        <w:t xml:space="preserve">) Soil, Air, Water, Fire and Space take care of nourishment till the time we Humans do not interfere with these qualities, it performs without any problem. The individual elements are responsible or role of </w:t>
      </w:r>
      <w:proofErr w:type="spellStart"/>
      <w:r w:rsidRPr="009B143E">
        <w:rPr>
          <w:rFonts w:ascii="Times New Roman" w:hAnsi="Times New Roman" w:cs="Times New Roman"/>
          <w:sz w:val="24"/>
          <w:szCs w:val="24"/>
        </w:rPr>
        <w:t>Panchamahabhutas</w:t>
      </w:r>
      <w:proofErr w:type="spellEnd"/>
      <w:r w:rsidRPr="009B143E">
        <w:rPr>
          <w:rFonts w:ascii="Times New Roman" w:hAnsi="Times New Roman" w:cs="Times New Roman"/>
          <w:sz w:val="24"/>
          <w:szCs w:val="24"/>
        </w:rPr>
        <w:t xml:space="preserve"> for specific mechanism of nourishment is as follows (Fig 6 and 7</w:t>
      </w:r>
      <w:proofErr w:type="gramStart"/>
      <w:r w:rsidRPr="009B143E">
        <w:rPr>
          <w:rFonts w:ascii="Times New Roman" w:hAnsi="Times New Roman" w:cs="Times New Roman"/>
          <w:sz w:val="24"/>
          <w:szCs w:val="24"/>
        </w:rPr>
        <w:t>) .</w:t>
      </w:r>
      <w:proofErr w:type="gramEnd"/>
    </w:p>
    <w:p w14:paraId="282BD82D" w14:textId="77777777" w:rsidR="002C2E17" w:rsidRPr="009B143E" w:rsidRDefault="002C2E17" w:rsidP="009B143E">
      <w:pPr>
        <w:spacing w:after="0" w:line="288" w:lineRule="auto"/>
        <w:jc w:val="both"/>
        <w:rPr>
          <w:rFonts w:ascii="Times New Roman" w:hAnsi="Times New Roman" w:cs="Times New Roman"/>
          <w:sz w:val="24"/>
          <w:szCs w:val="24"/>
        </w:rPr>
      </w:pPr>
    </w:p>
    <w:p w14:paraId="3510F30A" w14:textId="77777777" w:rsidR="009B143E" w:rsidRPr="002C2E17" w:rsidRDefault="009B143E" w:rsidP="002C2E17">
      <w:pPr>
        <w:pStyle w:val="ListParagraph"/>
        <w:numPr>
          <w:ilvl w:val="0"/>
          <w:numId w:val="1"/>
        </w:numPr>
        <w:spacing w:after="0" w:line="288" w:lineRule="auto"/>
        <w:jc w:val="both"/>
        <w:rPr>
          <w:rFonts w:ascii="Times New Roman" w:hAnsi="Times New Roman" w:cs="Times New Roman"/>
          <w:sz w:val="24"/>
          <w:szCs w:val="24"/>
        </w:rPr>
      </w:pPr>
      <w:proofErr w:type="gramStart"/>
      <w:r w:rsidRPr="002C2E17">
        <w:rPr>
          <w:rFonts w:ascii="Times New Roman" w:hAnsi="Times New Roman" w:cs="Times New Roman"/>
          <w:sz w:val="24"/>
          <w:szCs w:val="24"/>
        </w:rPr>
        <w:t>Earth :</w:t>
      </w:r>
      <w:proofErr w:type="gramEnd"/>
      <w:r w:rsidRPr="002C2E17">
        <w:rPr>
          <w:rFonts w:ascii="Times New Roman" w:hAnsi="Times New Roman" w:cs="Times New Roman"/>
          <w:sz w:val="24"/>
          <w:szCs w:val="24"/>
        </w:rPr>
        <w:t xml:space="preserve"> Nutrition and growth structure formation.</w:t>
      </w:r>
    </w:p>
    <w:p w14:paraId="6648A56A" w14:textId="77777777" w:rsidR="009B143E" w:rsidRPr="002C2E17" w:rsidRDefault="009B143E" w:rsidP="002C2E17">
      <w:pPr>
        <w:pStyle w:val="ListParagraph"/>
        <w:numPr>
          <w:ilvl w:val="0"/>
          <w:numId w:val="1"/>
        </w:numPr>
        <w:spacing w:after="0" w:line="288" w:lineRule="auto"/>
        <w:jc w:val="both"/>
        <w:rPr>
          <w:rFonts w:ascii="Times New Roman" w:hAnsi="Times New Roman" w:cs="Times New Roman"/>
          <w:sz w:val="24"/>
          <w:szCs w:val="24"/>
        </w:rPr>
      </w:pPr>
      <w:r w:rsidRPr="002C2E17">
        <w:rPr>
          <w:rFonts w:ascii="Times New Roman" w:hAnsi="Times New Roman" w:cs="Times New Roman"/>
          <w:sz w:val="24"/>
          <w:szCs w:val="24"/>
        </w:rPr>
        <w:t>Water: Transportation of nutrients and transpiration.</w:t>
      </w:r>
    </w:p>
    <w:p w14:paraId="0BFECB19" w14:textId="77777777" w:rsidR="009B143E" w:rsidRPr="002C2E17" w:rsidRDefault="009B143E" w:rsidP="002C2E17">
      <w:pPr>
        <w:pStyle w:val="ListParagraph"/>
        <w:numPr>
          <w:ilvl w:val="0"/>
          <w:numId w:val="1"/>
        </w:numPr>
        <w:spacing w:after="0" w:line="288" w:lineRule="auto"/>
        <w:jc w:val="both"/>
        <w:rPr>
          <w:rFonts w:ascii="Times New Roman" w:hAnsi="Times New Roman" w:cs="Times New Roman"/>
          <w:sz w:val="24"/>
          <w:szCs w:val="24"/>
        </w:rPr>
      </w:pPr>
      <w:r w:rsidRPr="002C2E17">
        <w:rPr>
          <w:rFonts w:ascii="Times New Roman" w:hAnsi="Times New Roman" w:cs="Times New Roman"/>
          <w:sz w:val="24"/>
          <w:szCs w:val="24"/>
        </w:rPr>
        <w:t xml:space="preserve">Fire : Metabolism and Photosynthesis </w:t>
      </w:r>
    </w:p>
    <w:p w14:paraId="48C22DA9" w14:textId="77777777" w:rsidR="009B143E" w:rsidRPr="002C2E17" w:rsidRDefault="009B143E" w:rsidP="002C2E17">
      <w:pPr>
        <w:pStyle w:val="ListParagraph"/>
        <w:numPr>
          <w:ilvl w:val="0"/>
          <w:numId w:val="1"/>
        </w:numPr>
        <w:spacing w:after="0" w:line="288" w:lineRule="auto"/>
        <w:jc w:val="both"/>
        <w:rPr>
          <w:rFonts w:ascii="Times New Roman" w:hAnsi="Times New Roman" w:cs="Times New Roman"/>
          <w:sz w:val="24"/>
          <w:szCs w:val="24"/>
        </w:rPr>
      </w:pPr>
      <w:r w:rsidRPr="002C2E17">
        <w:rPr>
          <w:rFonts w:ascii="Times New Roman" w:hAnsi="Times New Roman" w:cs="Times New Roman"/>
          <w:sz w:val="24"/>
          <w:szCs w:val="24"/>
        </w:rPr>
        <w:t>Air : Both Dark and Photo Respiration</w:t>
      </w:r>
    </w:p>
    <w:p w14:paraId="5C5E9358" w14:textId="77777777" w:rsidR="009B143E" w:rsidRPr="002C2E17" w:rsidRDefault="009B143E" w:rsidP="002C2E17">
      <w:pPr>
        <w:pStyle w:val="ListParagraph"/>
        <w:numPr>
          <w:ilvl w:val="0"/>
          <w:numId w:val="1"/>
        </w:numPr>
        <w:spacing w:after="0" w:line="288" w:lineRule="auto"/>
        <w:jc w:val="both"/>
        <w:rPr>
          <w:rFonts w:ascii="Times New Roman" w:hAnsi="Times New Roman" w:cs="Times New Roman"/>
          <w:sz w:val="24"/>
          <w:szCs w:val="24"/>
        </w:rPr>
      </w:pPr>
      <w:r w:rsidRPr="002C2E17">
        <w:rPr>
          <w:rFonts w:ascii="Times New Roman" w:hAnsi="Times New Roman" w:cs="Times New Roman"/>
          <w:sz w:val="24"/>
          <w:szCs w:val="24"/>
        </w:rPr>
        <w:t xml:space="preserve">Space: Making space available for all bio-chemical </w:t>
      </w:r>
      <w:proofErr w:type="gramStart"/>
      <w:r w:rsidRPr="002C2E17">
        <w:rPr>
          <w:rFonts w:ascii="Times New Roman" w:hAnsi="Times New Roman" w:cs="Times New Roman"/>
          <w:sz w:val="24"/>
          <w:szCs w:val="24"/>
        </w:rPr>
        <w:t>reactions .</w:t>
      </w:r>
      <w:proofErr w:type="gramEnd"/>
    </w:p>
    <w:p w14:paraId="334786D6" w14:textId="77777777" w:rsidR="009B143E" w:rsidRPr="009B143E" w:rsidRDefault="009B143E" w:rsidP="009B143E">
      <w:pPr>
        <w:spacing w:after="0" w:line="288" w:lineRule="auto"/>
        <w:jc w:val="both"/>
        <w:rPr>
          <w:rFonts w:ascii="Times New Roman" w:hAnsi="Times New Roman" w:cs="Times New Roman"/>
          <w:sz w:val="24"/>
          <w:szCs w:val="24"/>
        </w:rPr>
      </w:pPr>
    </w:p>
    <w:p w14:paraId="5A0CA0D9"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From the birth (Seed) till death (harvest) this quality remain in active form and ensures ideal nutrient dynamics</w:t>
      </w:r>
    </w:p>
    <w:p w14:paraId="31838E42" w14:textId="77777777" w:rsidR="002C2E17" w:rsidRPr="009B143E" w:rsidRDefault="002C2E17" w:rsidP="009B143E">
      <w:pPr>
        <w:spacing w:after="0" w:line="288" w:lineRule="auto"/>
        <w:jc w:val="both"/>
        <w:rPr>
          <w:rFonts w:ascii="Times New Roman" w:hAnsi="Times New Roman" w:cs="Times New Roman"/>
          <w:sz w:val="24"/>
          <w:szCs w:val="24"/>
        </w:rPr>
      </w:pPr>
    </w:p>
    <w:p w14:paraId="1EF54342" w14:textId="77777777" w:rsidR="009B143E" w:rsidRPr="009B143E" w:rsidRDefault="009B143E" w:rsidP="009B143E">
      <w:pPr>
        <w:spacing w:after="0" w:line="288" w:lineRule="auto"/>
        <w:jc w:val="both"/>
        <w:rPr>
          <w:rFonts w:ascii="Times New Roman" w:hAnsi="Times New Roman" w:cs="Times New Roman"/>
          <w:sz w:val="24"/>
          <w:szCs w:val="24"/>
        </w:rPr>
      </w:pPr>
      <w:r w:rsidRPr="002C2E17">
        <w:rPr>
          <w:rFonts w:ascii="Times New Roman" w:hAnsi="Times New Roman" w:cs="Times New Roman"/>
          <w:b/>
          <w:sz w:val="24"/>
          <w:szCs w:val="24"/>
        </w:rPr>
        <w:t>(ii) The Self-</w:t>
      </w:r>
      <w:proofErr w:type="gramStart"/>
      <w:r w:rsidRPr="002C2E17">
        <w:rPr>
          <w:rFonts w:ascii="Times New Roman" w:hAnsi="Times New Roman" w:cs="Times New Roman"/>
          <w:b/>
          <w:sz w:val="24"/>
          <w:szCs w:val="24"/>
        </w:rPr>
        <w:t>Protection :</w:t>
      </w:r>
      <w:proofErr w:type="gramEnd"/>
      <w:r w:rsidRPr="009B143E">
        <w:rPr>
          <w:rFonts w:ascii="Times New Roman" w:hAnsi="Times New Roman" w:cs="Times New Roman"/>
          <w:sz w:val="24"/>
          <w:szCs w:val="24"/>
        </w:rPr>
        <w:t xml:space="preserve"> The self-protection mechanism is said to be controlled by five different Life Forces or Prana-</w:t>
      </w:r>
      <w:proofErr w:type="spellStart"/>
      <w:r w:rsidRPr="009B143E">
        <w:rPr>
          <w:rFonts w:ascii="Times New Roman" w:hAnsi="Times New Roman" w:cs="Times New Roman"/>
          <w:sz w:val="24"/>
          <w:szCs w:val="24"/>
        </w:rPr>
        <w:t>Shaktis</w:t>
      </w:r>
      <w:proofErr w:type="spellEnd"/>
      <w:r w:rsidRPr="009B143E">
        <w:rPr>
          <w:rFonts w:ascii="Times New Roman" w:hAnsi="Times New Roman" w:cs="Times New Roman"/>
          <w:sz w:val="24"/>
          <w:szCs w:val="24"/>
        </w:rPr>
        <w:t xml:space="preserve">. These are originated from the basic life-force </w:t>
      </w:r>
      <w:proofErr w:type="spellStart"/>
      <w:r w:rsidRPr="009B143E">
        <w:rPr>
          <w:rFonts w:ascii="Times New Roman" w:hAnsi="Times New Roman" w:cs="Times New Roman"/>
          <w:sz w:val="24"/>
          <w:szCs w:val="24"/>
        </w:rPr>
        <w:t>ie</w:t>
      </w:r>
      <w:proofErr w:type="spellEnd"/>
      <w:r w:rsidRPr="009B143E">
        <w:rPr>
          <w:rFonts w:ascii="Times New Roman" w:hAnsi="Times New Roman" w:cs="Times New Roman"/>
          <w:sz w:val="24"/>
          <w:szCs w:val="24"/>
        </w:rPr>
        <w:t xml:space="preserve">, Solar </w:t>
      </w:r>
      <w:r w:rsidRPr="009B143E">
        <w:rPr>
          <w:rFonts w:ascii="Times New Roman" w:hAnsi="Times New Roman" w:cs="Times New Roman"/>
          <w:sz w:val="24"/>
          <w:szCs w:val="24"/>
        </w:rPr>
        <w:lastRenderedPageBreak/>
        <w:t>energy. The life forces or Prana-</w:t>
      </w:r>
      <w:proofErr w:type="spellStart"/>
      <w:r w:rsidRPr="009B143E">
        <w:rPr>
          <w:rFonts w:ascii="Times New Roman" w:hAnsi="Times New Roman" w:cs="Times New Roman"/>
          <w:sz w:val="24"/>
          <w:szCs w:val="24"/>
        </w:rPr>
        <w:t>Shaktisor</w:t>
      </w:r>
      <w:proofErr w:type="spellEnd"/>
      <w:r w:rsidRPr="009B143E">
        <w:rPr>
          <w:rFonts w:ascii="Times New Roman" w:hAnsi="Times New Roman" w:cs="Times New Roman"/>
          <w:sz w:val="24"/>
          <w:szCs w:val="24"/>
        </w:rPr>
        <w:t xml:space="preserve"> energies are actually vehicles of these Basic Elements or </w:t>
      </w:r>
      <w:proofErr w:type="spellStart"/>
      <w:r w:rsidRPr="009B143E">
        <w:rPr>
          <w:rFonts w:ascii="Times New Roman" w:hAnsi="Times New Roman" w:cs="Times New Roman"/>
          <w:sz w:val="24"/>
          <w:szCs w:val="24"/>
        </w:rPr>
        <w:t>Phanchamahabhutas</w:t>
      </w:r>
      <w:proofErr w:type="spellEnd"/>
      <w:r w:rsidRPr="009B143E">
        <w:rPr>
          <w:rFonts w:ascii="Times New Roman" w:hAnsi="Times New Roman" w:cs="Times New Roman"/>
          <w:sz w:val="24"/>
          <w:szCs w:val="24"/>
        </w:rPr>
        <w:t xml:space="preserve"> and all plant physiological functions are impossible without them. They are responsible for specific plant physiological functions by enabling the five Basic Elements. EEA Principles </w:t>
      </w:r>
      <w:proofErr w:type="gramStart"/>
      <w:r w:rsidRPr="009B143E">
        <w:rPr>
          <w:rFonts w:ascii="Times New Roman" w:hAnsi="Times New Roman" w:cs="Times New Roman"/>
          <w:sz w:val="24"/>
          <w:szCs w:val="24"/>
        </w:rPr>
        <w:t>suggest  when</w:t>
      </w:r>
      <w:proofErr w:type="gramEnd"/>
      <w:r w:rsidRPr="009B143E">
        <w:rPr>
          <w:rFonts w:ascii="Times New Roman" w:hAnsi="Times New Roman" w:cs="Times New Roman"/>
          <w:sz w:val="24"/>
          <w:szCs w:val="24"/>
        </w:rPr>
        <w:t xml:space="preserve"> all the plant functions are at their optimum, then there is no food for  any pest and diseases. Their role in the plant system are as follow.</w:t>
      </w:r>
    </w:p>
    <w:p w14:paraId="4222072E" w14:textId="77777777" w:rsidR="009B143E" w:rsidRPr="009B143E" w:rsidRDefault="009B143E" w:rsidP="009B143E">
      <w:pPr>
        <w:spacing w:after="0" w:line="288" w:lineRule="auto"/>
        <w:jc w:val="both"/>
        <w:rPr>
          <w:rFonts w:ascii="Times New Roman" w:hAnsi="Times New Roman" w:cs="Times New Roman"/>
          <w:sz w:val="24"/>
          <w:szCs w:val="24"/>
        </w:rPr>
      </w:pPr>
    </w:p>
    <w:p w14:paraId="2E7A3F23" w14:textId="77777777" w:rsidR="009B143E" w:rsidRPr="002C2E17" w:rsidRDefault="009B143E" w:rsidP="002C2E17">
      <w:pPr>
        <w:pStyle w:val="ListParagraph"/>
        <w:numPr>
          <w:ilvl w:val="0"/>
          <w:numId w:val="2"/>
        </w:numPr>
        <w:spacing w:after="0" w:line="288" w:lineRule="auto"/>
        <w:jc w:val="both"/>
        <w:rPr>
          <w:rFonts w:ascii="Times New Roman" w:hAnsi="Times New Roman" w:cs="Times New Roman"/>
          <w:sz w:val="24"/>
          <w:szCs w:val="24"/>
        </w:rPr>
      </w:pPr>
      <w:r w:rsidRPr="002C2E17">
        <w:rPr>
          <w:rFonts w:ascii="Times New Roman" w:hAnsi="Times New Roman" w:cs="Times New Roman"/>
          <w:sz w:val="24"/>
          <w:szCs w:val="24"/>
        </w:rPr>
        <w:t xml:space="preserve">Apana </w:t>
      </w:r>
      <w:proofErr w:type="gramStart"/>
      <w:r w:rsidRPr="002C2E17">
        <w:rPr>
          <w:rFonts w:ascii="Times New Roman" w:hAnsi="Times New Roman" w:cs="Times New Roman"/>
          <w:sz w:val="24"/>
          <w:szCs w:val="24"/>
        </w:rPr>
        <w:t>Prana :</w:t>
      </w:r>
      <w:proofErr w:type="gramEnd"/>
      <w:r w:rsidRPr="002C2E17">
        <w:rPr>
          <w:rFonts w:ascii="Times New Roman" w:hAnsi="Times New Roman" w:cs="Times New Roman"/>
          <w:sz w:val="24"/>
          <w:szCs w:val="24"/>
        </w:rPr>
        <w:t xml:space="preserve"> Controls the function of roots extraction of nutrients.</w:t>
      </w:r>
    </w:p>
    <w:p w14:paraId="22D4E9DF" w14:textId="77777777" w:rsidR="009B143E" w:rsidRPr="002C2E17" w:rsidRDefault="009B143E" w:rsidP="002C2E17">
      <w:pPr>
        <w:pStyle w:val="ListParagraph"/>
        <w:numPr>
          <w:ilvl w:val="0"/>
          <w:numId w:val="2"/>
        </w:numPr>
        <w:spacing w:after="0" w:line="288" w:lineRule="auto"/>
        <w:jc w:val="both"/>
        <w:rPr>
          <w:rFonts w:ascii="Times New Roman" w:hAnsi="Times New Roman" w:cs="Times New Roman"/>
          <w:sz w:val="24"/>
          <w:szCs w:val="24"/>
        </w:rPr>
      </w:pPr>
      <w:proofErr w:type="spellStart"/>
      <w:r w:rsidRPr="002C2E17">
        <w:rPr>
          <w:rFonts w:ascii="Times New Roman" w:hAnsi="Times New Roman" w:cs="Times New Roman"/>
          <w:sz w:val="24"/>
          <w:szCs w:val="24"/>
        </w:rPr>
        <w:t>Samana</w:t>
      </w:r>
      <w:proofErr w:type="spellEnd"/>
      <w:r w:rsidRPr="002C2E17">
        <w:rPr>
          <w:rFonts w:ascii="Times New Roman" w:hAnsi="Times New Roman" w:cs="Times New Roman"/>
          <w:sz w:val="24"/>
          <w:szCs w:val="24"/>
        </w:rPr>
        <w:t xml:space="preserve"> </w:t>
      </w:r>
      <w:proofErr w:type="gramStart"/>
      <w:r w:rsidRPr="002C2E17">
        <w:rPr>
          <w:rFonts w:ascii="Times New Roman" w:hAnsi="Times New Roman" w:cs="Times New Roman"/>
          <w:sz w:val="24"/>
          <w:szCs w:val="24"/>
        </w:rPr>
        <w:t>Prana :</w:t>
      </w:r>
      <w:proofErr w:type="gramEnd"/>
      <w:r w:rsidRPr="002C2E17">
        <w:rPr>
          <w:rFonts w:ascii="Times New Roman" w:hAnsi="Times New Roman" w:cs="Times New Roman"/>
          <w:sz w:val="24"/>
          <w:szCs w:val="24"/>
        </w:rPr>
        <w:t xml:space="preserve"> Controls transpiration.</w:t>
      </w:r>
    </w:p>
    <w:p w14:paraId="5D1CE6C7" w14:textId="77777777" w:rsidR="009B143E" w:rsidRPr="002C2E17" w:rsidRDefault="009B143E" w:rsidP="002C2E17">
      <w:pPr>
        <w:pStyle w:val="ListParagraph"/>
        <w:numPr>
          <w:ilvl w:val="0"/>
          <w:numId w:val="2"/>
        </w:numPr>
        <w:spacing w:after="0" w:line="288" w:lineRule="auto"/>
        <w:jc w:val="both"/>
        <w:rPr>
          <w:rFonts w:ascii="Times New Roman" w:hAnsi="Times New Roman" w:cs="Times New Roman"/>
          <w:sz w:val="24"/>
          <w:szCs w:val="24"/>
        </w:rPr>
      </w:pPr>
      <w:proofErr w:type="spellStart"/>
      <w:r w:rsidRPr="002C2E17">
        <w:rPr>
          <w:rFonts w:ascii="Times New Roman" w:hAnsi="Times New Roman" w:cs="Times New Roman"/>
          <w:sz w:val="24"/>
          <w:szCs w:val="24"/>
        </w:rPr>
        <w:t>Udana</w:t>
      </w:r>
      <w:proofErr w:type="spellEnd"/>
      <w:r w:rsidRPr="002C2E17">
        <w:rPr>
          <w:rFonts w:ascii="Times New Roman" w:hAnsi="Times New Roman" w:cs="Times New Roman"/>
          <w:sz w:val="24"/>
          <w:szCs w:val="24"/>
        </w:rPr>
        <w:t xml:space="preserve"> </w:t>
      </w:r>
      <w:proofErr w:type="gramStart"/>
      <w:r w:rsidRPr="002C2E17">
        <w:rPr>
          <w:rFonts w:ascii="Times New Roman" w:hAnsi="Times New Roman" w:cs="Times New Roman"/>
          <w:sz w:val="24"/>
          <w:szCs w:val="24"/>
        </w:rPr>
        <w:t>Prana :</w:t>
      </w:r>
      <w:proofErr w:type="gramEnd"/>
      <w:r w:rsidRPr="002C2E17">
        <w:rPr>
          <w:rFonts w:ascii="Times New Roman" w:hAnsi="Times New Roman" w:cs="Times New Roman"/>
          <w:sz w:val="24"/>
          <w:szCs w:val="24"/>
        </w:rPr>
        <w:t xml:space="preserve"> Controls Photosynthesis and secretion of enzymes, hormones.</w:t>
      </w:r>
    </w:p>
    <w:p w14:paraId="38CE472C" w14:textId="77777777" w:rsidR="009B143E" w:rsidRPr="002C2E17" w:rsidRDefault="009B143E" w:rsidP="002C2E17">
      <w:pPr>
        <w:pStyle w:val="ListParagraph"/>
        <w:numPr>
          <w:ilvl w:val="0"/>
          <w:numId w:val="2"/>
        </w:numPr>
        <w:spacing w:after="0" w:line="288" w:lineRule="auto"/>
        <w:jc w:val="both"/>
        <w:rPr>
          <w:rFonts w:ascii="Times New Roman" w:hAnsi="Times New Roman" w:cs="Times New Roman"/>
          <w:sz w:val="24"/>
          <w:szCs w:val="24"/>
        </w:rPr>
      </w:pPr>
      <w:proofErr w:type="spellStart"/>
      <w:proofErr w:type="gramStart"/>
      <w:r w:rsidRPr="002C2E17">
        <w:rPr>
          <w:rFonts w:ascii="Times New Roman" w:hAnsi="Times New Roman" w:cs="Times New Roman"/>
          <w:sz w:val="24"/>
          <w:szCs w:val="24"/>
        </w:rPr>
        <w:t>PranaPrana</w:t>
      </w:r>
      <w:proofErr w:type="spellEnd"/>
      <w:r w:rsidRPr="002C2E17">
        <w:rPr>
          <w:rFonts w:ascii="Times New Roman" w:hAnsi="Times New Roman" w:cs="Times New Roman"/>
          <w:sz w:val="24"/>
          <w:szCs w:val="24"/>
        </w:rPr>
        <w:t xml:space="preserve"> :</w:t>
      </w:r>
      <w:proofErr w:type="gramEnd"/>
      <w:r w:rsidRPr="002C2E17">
        <w:rPr>
          <w:rFonts w:ascii="Times New Roman" w:hAnsi="Times New Roman" w:cs="Times New Roman"/>
          <w:sz w:val="24"/>
          <w:szCs w:val="24"/>
        </w:rPr>
        <w:t xml:space="preserve"> Controls respiration and eases movement of respiratory products.</w:t>
      </w:r>
    </w:p>
    <w:p w14:paraId="5C8D2585" w14:textId="77777777" w:rsidR="009B143E" w:rsidRPr="002C2E17" w:rsidRDefault="009B143E" w:rsidP="002C2E17">
      <w:pPr>
        <w:pStyle w:val="ListParagraph"/>
        <w:numPr>
          <w:ilvl w:val="0"/>
          <w:numId w:val="2"/>
        </w:numPr>
        <w:spacing w:after="0" w:line="288" w:lineRule="auto"/>
        <w:jc w:val="both"/>
        <w:rPr>
          <w:rFonts w:ascii="Times New Roman" w:hAnsi="Times New Roman" w:cs="Times New Roman"/>
          <w:sz w:val="24"/>
          <w:szCs w:val="24"/>
        </w:rPr>
      </w:pPr>
      <w:proofErr w:type="spellStart"/>
      <w:r w:rsidRPr="002C2E17">
        <w:rPr>
          <w:rFonts w:ascii="Times New Roman" w:hAnsi="Times New Roman" w:cs="Times New Roman"/>
          <w:sz w:val="24"/>
          <w:szCs w:val="24"/>
        </w:rPr>
        <w:t>Vyana</w:t>
      </w:r>
      <w:proofErr w:type="spellEnd"/>
      <w:r w:rsidRPr="002C2E17">
        <w:rPr>
          <w:rFonts w:ascii="Times New Roman" w:hAnsi="Times New Roman" w:cs="Times New Roman"/>
          <w:sz w:val="24"/>
          <w:szCs w:val="24"/>
        </w:rPr>
        <w:t xml:space="preserve"> </w:t>
      </w:r>
      <w:proofErr w:type="gramStart"/>
      <w:r w:rsidRPr="002C2E17">
        <w:rPr>
          <w:rFonts w:ascii="Times New Roman" w:hAnsi="Times New Roman" w:cs="Times New Roman"/>
          <w:sz w:val="24"/>
          <w:szCs w:val="24"/>
        </w:rPr>
        <w:t>Prana :</w:t>
      </w:r>
      <w:proofErr w:type="gramEnd"/>
      <w:r w:rsidRPr="002C2E17">
        <w:rPr>
          <w:rFonts w:ascii="Times New Roman" w:hAnsi="Times New Roman" w:cs="Times New Roman"/>
          <w:sz w:val="24"/>
          <w:szCs w:val="24"/>
        </w:rPr>
        <w:t xml:space="preserve"> Makes space available for all functions.</w:t>
      </w:r>
    </w:p>
    <w:p w14:paraId="2DE5448C" w14:textId="77777777" w:rsidR="009B143E" w:rsidRPr="009B143E" w:rsidRDefault="009B143E" w:rsidP="009B143E">
      <w:pPr>
        <w:spacing w:after="0" w:line="288" w:lineRule="auto"/>
        <w:jc w:val="both"/>
        <w:rPr>
          <w:rFonts w:ascii="Times New Roman" w:hAnsi="Times New Roman" w:cs="Times New Roman"/>
          <w:sz w:val="24"/>
          <w:szCs w:val="24"/>
        </w:rPr>
      </w:pPr>
    </w:p>
    <w:p w14:paraId="4F83718C"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All these processes, functions and sub-functions are interdependent and operate in an orchestral manner, in nature. Any imbalance that effects the self-nourishment quality leads to the disease or pest manifestation or lack of nourishment. According to the concept, to overcome the disease or pest infestation, life forces are to be stimulated instead of encountering from outside leading to </w:t>
      </w:r>
      <w:proofErr w:type="spellStart"/>
      <w:r w:rsidRPr="009B143E">
        <w:rPr>
          <w:rFonts w:ascii="Times New Roman" w:hAnsi="Times New Roman" w:cs="Times New Roman"/>
          <w:sz w:val="24"/>
          <w:szCs w:val="24"/>
        </w:rPr>
        <w:t>unfavourable</w:t>
      </w:r>
      <w:proofErr w:type="spellEnd"/>
      <w:r w:rsidRPr="009B143E">
        <w:rPr>
          <w:rFonts w:ascii="Times New Roman" w:hAnsi="Times New Roman" w:cs="Times New Roman"/>
          <w:sz w:val="24"/>
          <w:szCs w:val="24"/>
        </w:rPr>
        <w:t xml:space="preserve"> repercussions (Chatterjee et al, 2014; </w:t>
      </w:r>
      <w:proofErr w:type="spellStart"/>
      <w:r w:rsidRPr="009B143E">
        <w:rPr>
          <w:rFonts w:ascii="Times New Roman" w:hAnsi="Times New Roman" w:cs="Times New Roman"/>
          <w:sz w:val="24"/>
          <w:szCs w:val="24"/>
        </w:rPr>
        <w:t>Bera</w:t>
      </w:r>
      <w:proofErr w:type="spellEnd"/>
      <w:r w:rsidRPr="009B143E">
        <w:rPr>
          <w:rFonts w:ascii="Times New Roman" w:hAnsi="Times New Roman" w:cs="Times New Roman"/>
          <w:sz w:val="24"/>
          <w:szCs w:val="24"/>
        </w:rPr>
        <w:t xml:space="preserve"> et al, 2024b).</w:t>
      </w:r>
    </w:p>
    <w:p w14:paraId="00A7D4AA" w14:textId="77777777" w:rsidR="002C2E17" w:rsidRPr="009B143E" w:rsidRDefault="002C2E17" w:rsidP="009B143E">
      <w:pPr>
        <w:spacing w:after="0" w:line="288"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570"/>
      </w:tblGrid>
      <w:tr w:rsidR="002C2E17" w:rsidRPr="00A650B3" w14:paraId="2E730448" w14:textId="77777777" w:rsidTr="00A90412">
        <w:trPr>
          <w:trHeight w:val="3176"/>
        </w:trPr>
        <w:tc>
          <w:tcPr>
            <w:tcW w:w="4968" w:type="dxa"/>
          </w:tcPr>
          <w:p w14:paraId="41963834" w14:textId="77777777" w:rsidR="002C2E17" w:rsidRPr="00A650B3" w:rsidRDefault="002C2E17" w:rsidP="00A90412">
            <w:pPr>
              <w:jc w:val="both"/>
              <w:rPr>
                <w:rFonts w:ascii="Times New Roman" w:hAnsi="Times New Roman" w:cs="Times New Roman"/>
                <w:bCs/>
                <w:color w:val="000000" w:themeColor="text1"/>
                <w:sz w:val="24"/>
                <w:szCs w:val="24"/>
              </w:rPr>
            </w:pPr>
            <w:r w:rsidRPr="00A650B3">
              <w:rPr>
                <w:rFonts w:ascii="Times New Roman" w:hAnsi="Times New Roman" w:cs="Times New Roman"/>
                <w:noProof/>
                <w:color w:val="000000" w:themeColor="text1"/>
                <w:sz w:val="24"/>
                <w:szCs w:val="24"/>
              </w:rPr>
              <w:drawing>
                <wp:inline distT="0" distB="0" distL="0" distR="0" wp14:anchorId="426773E8" wp14:editId="15D6565D">
                  <wp:extent cx="3004457" cy="2074901"/>
                  <wp:effectExtent l="0" t="0" r="5715" b="190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8655" cy="2077800"/>
                          </a:xfrm>
                          <a:prstGeom prst="rect">
                            <a:avLst/>
                          </a:prstGeom>
                          <a:noFill/>
                          <a:ln>
                            <a:noFill/>
                          </a:ln>
                          <a:effectLst/>
                        </pic:spPr>
                      </pic:pic>
                    </a:graphicData>
                  </a:graphic>
                </wp:inline>
              </w:drawing>
            </w:r>
          </w:p>
        </w:tc>
        <w:tc>
          <w:tcPr>
            <w:tcW w:w="4526" w:type="dxa"/>
          </w:tcPr>
          <w:p w14:paraId="3AF6F071" w14:textId="77777777" w:rsidR="002C2E17" w:rsidRPr="00A650B3" w:rsidRDefault="002C2E17" w:rsidP="00A90412">
            <w:pPr>
              <w:jc w:val="both"/>
              <w:rPr>
                <w:rFonts w:ascii="Times New Roman" w:hAnsi="Times New Roman" w:cs="Times New Roman"/>
                <w:bCs/>
                <w:color w:val="000000" w:themeColor="text1"/>
                <w:sz w:val="24"/>
                <w:szCs w:val="24"/>
              </w:rPr>
            </w:pPr>
            <w:r w:rsidRPr="00A650B3">
              <w:rPr>
                <w:rFonts w:ascii="Times New Roman" w:hAnsi="Times New Roman" w:cs="Times New Roman"/>
                <w:b/>
                <w:noProof/>
                <w:color w:val="000000" w:themeColor="text1"/>
                <w:sz w:val="24"/>
                <w:szCs w:val="24"/>
              </w:rPr>
              <w:drawing>
                <wp:inline distT="0" distB="0" distL="0" distR="0" wp14:anchorId="5ABBE169" wp14:editId="74C358C0">
                  <wp:extent cx="2764972" cy="2079171"/>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7066" cy="2080746"/>
                          </a:xfrm>
                          <a:prstGeom prst="rect">
                            <a:avLst/>
                          </a:prstGeom>
                          <a:noFill/>
                          <a:ln>
                            <a:noFill/>
                          </a:ln>
                          <a:effectLst/>
                        </pic:spPr>
                      </pic:pic>
                    </a:graphicData>
                  </a:graphic>
                </wp:inline>
              </w:drawing>
            </w:r>
          </w:p>
        </w:tc>
      </w:tr>
      <w:tr w:rsidR="002C2E17" w:rsidRPr="00A650B3" w14:paraId="5A19D6DF" w14:textId="77777777" w:rsidTr="00A90412">
        <w:trPr>
          <w:trHeight w:val="341"/>
        </w:trPr>
        <w:tc>
          <w:tcPr>
            <w:tcW w:w="4968" w:type="dxa"/>
          </w:tcPr>
          <w:p w14:paraId="0D7800D9" w14:textId="77777777" w:rsidR="002C2E17" w:rsidRPr="002C2E17" w:rsidRDefault="002C2E17" w:rsidP="00A90412">
            <w:pPr>
              <w:jc w:val="both"/>
              <w:rPr>
                <w:rFonts w:ascii="Times New Roman" w:hAnsi="Times New Roman" w:cs="Times New Roman"/>
                <w:b/>
                <w:bCs/>
                <w:color w:val="000000" w:themeColor="text1"/>
                <w:sz w:val="24"/>
                <w:szCs w:val="24"/>
              </w:rPr>
            </w:pPr>
            <w:r w:rsidRPr="002C2E17">
              <w:rPr>
                <w:rFonts w:ascii="Times New Roman" w:hAnsi="Times New Roman" w:cs="Times New Roman"/>
                <w:b/>
                <w:color w:val="000000" w:themeColor="text1"/>
                <w:sz w:val="24"/>
                <w:szCs w:val="24"/>
              </w:rPr>
              <w:t>Fig 6 : The Mechanism of Self- Nourishment in the Plant System under EEA Principle</w:t>
            </w:r>
          </w:p>
        </w:tc>
        <w:tc>
          <w:tcPr>
            <w:tcW w:w="4526" w:type="dxa"/>
          </w:tcPr>
          <w:p w14:paraId="4FC52B45" w14:textId="77777777" w:rsidR="002C2E17" w:rsidRPr="002C2E17" w:rsidRDefault="002C2E17" w:rsidP="00A90412">
            <w:pPr>
              <w:ind w:left="-37" w:firstLine="37"/>
              <w:jc w:val="both"/>
              <w:rPr>
                <w:rFonts w:ascii="Times New Roman" w:hAnsi="Times New Roman" w:cs="Times New Roman"/>
                <w:b/>
                <w:bCs/>
                <w:color w:val="000000" w:themeColor="text1"/>
                <w:sz w:val="24"/>
                <w:szCs w:val="24"/>
              </w:rPr>
            </w:pPr>
            <w:r w:rsidRPr="002C2E17">
              <w:rPr>
                <w:rFonts w:ascii="Times New Roman" w:hAnsi="Times New Roman" w:cs="Times New Roman"/>
                <w:b/>
                <w:color w:val="000000" w:themeColor="text1"/>
                <w:sz w:val="24"/>
                <w:szCs w:val="24"/>
              </w:rPr>
              <w:t>Fig 7 : The Mechanism of Self- Protection in Plant System under EEA Principle</w:t>
            </w:r>
          </w:p>
        </w:tc>
      </w:tr>
    </w:tbl>
    <w:p w14:paraId="2C551CED" w14:textId="77777777" w:rsidR="009B143E" w:rsidRPr="009B143E" w:rsidRDefault="009B143E" w:rsidP="009B143E">
      <w:pPr>
        <w:spacing w:after="0" w:line="288" w:lineRule="auto"/>
        <w:jc w:val="both"/>
        <w:rPr>
          <w:rFonts w:ascii="Times New Roman" w:hAnsi="Times New Roman" w:cs="Times New Roman"/>
          <w:sz w:val="24"/>
          <w:szCs w:val="24"/>
        </w:rPr>
      </w:pPr>
    </w:p>
    <w:p w14:paraId="584389DC" w14:textId="77777777" w:rsidR="009B143E" w:rsidRPr="009B143E" w:rsidRDefault="009B143E" w:rsidP="009B143E">
      <w:pPr>
        <w:spacing w:after="0" w:line="288" w:lineRule="auto"/>
        <w:jc w:val="both"/>
        <w:rPr>
          <w:rFonts w:ascii="Times New Roman" w:hAnsi="Times New Roman" w:cs="Times New Roman"/>
          <w:sz w:val="24"/>
          <w:szCs w:val="24"/>
        </w:rPr>
      </w:pPr>
    </w:p>
    <w:p w14:paraId="320CADFD" w14:textId="45A7B285"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If there is any imbalance in the sub-functions of a plant, such as Structure, Formation, Circulation, and Metabolism, it can affect the plant's nourishment and compromise its immunity. Ideally, when such an imbalance occurs, the entire plant system attempts to protect itself. In natural ecosystems, like forests, plants thrive without the need for feeding or protection, as propagation occurs naturally. However, in agriculture, where there is a target output within a specific time frame, it becomes necessary to provide nourishment. In this case, farmers need to supply only one-third of the total nutrient requirement, while the remaining two-thirds can be </w:t>
      </w:r>
      <w:r w:rsidRPr="009B143E">
        <w:rPr>
          <w:rFonts w:ascii="Times New Roman" w:hAnsi="Times New Roman" w:cs="Times New Roman"/>
          <w:sz w:val="24"/>
          <w:szCs w:val="24"/>
        </w:rPr>
        <w:lastRenderedPageBreak/>
        <w:t>sourced from a healthy soil system. This healthy soil allows plants to uptake, assimilate, and utilize nutrients effectively. A healthy plant system ensures optimal and complete processes, leaving no excess or premature substances that could negatively impact nutrition and protection. This principle is illustrated in Chaboussou’s</w:t>
      </w:r>
      <w:r w:rsidR="00C947F3">
        <w:rPr>
          <w:rFonts w:ascii="Times New Roman" w:hAnsi="Times New Roman" w:cs="Times New Roman"/>
          <w:sz w:val="24"/>
          <w:szCs w:val="24"/>
        </w:rPr>
        <w:t xml:space="preserve"> </w:t>
      </w:r>
      <w:r w:rsidRPr="009B143E">
        <w:rPr>
          <w:rFonts w:ascii="Times New Roman" w:hAnsi="Times New Roman" w:cs="Times New Roman"/>
          <w:sz w:val="24"/>
          <w:szCs w:val="24"/>
        </w:rPr>
        <w:t>Trophobiosis Theory, which states that plants which are unhealthy  can provide food sources for pests because their nutrients (such as free amino acids and reduced sugars) are not fully converted into their ultimate forms of proteins and carbohydrates.</w:t>
      </w:r>
    </w:p>
    <w:p w14:paraId="2B7BA06C" w14:textId="77777777" w:rsidR="009B143E" w:rsidRPr="009B143E" w:rsidRDefault="009B143E" w:rsidP="009B143E">
      <w:pPr>
        <w:spacing w:after="0" w:line="288" w:lineRule="auto"/>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676"/>
      </w:tblGrid>
      <w:tr w:rsidR="00183588" w:rsidRPr="00A650B3" w14:paraId="0B56A445" w14:textId="77777777" w:rsidTr="00A90412">
        <w:trPr>
          <w:trHeight w:val="1418"/>
        </w:trPr>
        <w:tc>
          <w:tcPr>
            <w:tcW w:w="9464" w:type="dxa"/>
            <w:gridSpan w:val="2"/>
          </w:tcPr>
          <w:p w14:paraId="40C61D16" w14:textId="3BAD8C35" w:rsidR="00183588" w:rsidRPr="00183588" w:rsidRDefault="00183588" w:rsidP="00C947F3">
            <w:pPr>
              <w:spacing w:before="40" w:after="40" w:line="288" w:lineRule="auto"/>
              <w:jc w:val="both"/>
              <w:rPr>
                <w:rFonts w:ascii="Times New Roman" w:hAnsi="Times New Roman" w:cs="Times New Roman"/>
                <w:b/>
                <w:bCs/>
                <w:noProof/>
                <w:color w:val="000000" w:themeColor="text1"/>
                <w:sz w:val="24"/>
                <w:szCs w:val="24"/>
              </w:rPr>
            </w:pPr>
            <w:r w:rsidRPr="00183588">
              <w:rPr>
                <w:rFonts w:ascii="Times New Roman" w:hAnsi="Times New Roman" w:cs="Times New Roman"/>
                <w:b/>
                <w:bCs/>
                <w:color w:val="000000" w:themeColor="text1"/>
                <w:sz w:val="24"/>
                <w:szCs w:val="24"/>
              </w:rPr>
              <w:t>The concept of plant health and its role in the defen</w:t>
            </w:r>
            <w:r w:rsidR="00C947F3">
              <w:rPr>
                <w:rFonts w:ascii="Times New Roman" w:hAnsi="Times New Roman" w:cs="Times New Roman"/>
                <w:b/>
                <w:bCs/>
                <w:color w:val="000000" w:themeColor="text1"/>
                <w:sz w:val="24"/>
                <w:szCs w:val="24"/>
              </w:rPr>
              <w:t>c</w:t>
            </w:r>
            <w:r w:rsidRPr="00183588">
              <w:rPr>
                <w:rFonts w:ascii="Times New Roman" w:hAnsi="Times New Roman" w:cs="Times New Roman"/>
                <w:b/>
                <w:bCs/>
                <w:color w:val="000000" w:themeColor="text1"/>
                <w:sz w:val="24"/>
                <w:szCs w:val="24"/>
              </w:rPr>
              <w:t xml:space="preserve">e mechanism against pests/disease from Ancient Indian Philosophy in relation to the modern science: Element Energy Activation (EEA) principle behind IRF Technology and </w:t>
            </w:r>
            <w:proofErr w:type="spellStart"/>
            <w:r w:rsidRPr="00183588">
              <w:rPr>
                <w:rFonts w:ascii="Times New Roman" w:hAnsi="Times New Roman" w:cs="Times New Roman"/>
                <w:b/>
                <w:bCs/>
                <w:color w:val="000000" w:themeColor="text1"/>
                <w:sz w:val="24"/>
                <w:szCs w:val="24"/>
              </w:rPr>
              <w:t>Trophobiosis</w:t>
            </w:r>
            <w:proofErr w:type="spellEnd"/>
            <w:r w:rsidRPr="00183588">
              <w:rPr>
                <w:rFonts w:ascii="Times New Roman" w:hAnsi="Times New Roman" w:cs="Times New Roman"/>
                <w:b/>
                <w:bCs/>
                <w:color w:val="000000" w:themeColor="text1"/>
                <w:sz w:val="24"/>
                <w:szCs w:val="24"/>
              </w:rPr>
              <w:t xml:space="preserve"> Theory of </w:t>
            </w:r>
            <w:r w:rsidRPr="00183588">
              <w:rPr>
                <w:rFonts w:ascii="Times New Roman" w:hAnsi="Times New Roman" w:cs="Times New Roman"/>
                <w:b/>
                <w:color w:val="000000" w:themeColor="text1"/>
                <w:sz w:val="24"/>
                <w:szCs w:val="24"/>
                <w:shd w:val="clear" w:color="auto" w:fill="FFFFFF"/>
              </w:rPr>
              <w:t xml:space="preserve">Francis </w:t>
            </w:r>
            <w:proofErr w:type="spellStart"/>
            <w:r w:rsidRPr="00183588">
              <w:rPr>
                <w:rFonts w:ascii="Times New Roman" w:hAnsi="Times New Roman" w:cs="Times New Roman"/>
                <w:b/>
                <w:color w:val="000000" w:themeColor="text1"/>
                <w:sz w:val="24"/>
                <w:szCs w:val="24"/>
                <w:shd w:val="clear" w:color="auto" w:fill="FFFFFF"/>
              </w:rPr>
              <w:t>Chaboussou</w:t>
            </w:r>
            <w:proofErr w:type="spellEnd"/>
            <w:r w:rsidRPr="00183588">
              <w:rPr>
                <w:rFonts w:ascii="Times New Roman" w:hAnsi="Times New Roman" w:cs="Times New Roman"/>
                <w:b/>
                <w:color w:val="000000" w:themeColor="text1"/>
                <w:sz w:val="24"/>
                <w:szCs w:val="24"/>
                <w:shd w:val="clear" w:color="auto" w:fill="FFFFFF"/>
              </w:rPr>
              <w:t xml:space="preserve"> are conceptually interrelated.</w:t>
            </w:r>
          </w:p>
        </w:tc>
      </w:tr>
      <w:tr w:rsidR="00183588" w:rsidRPr="00A650B3" w14:paraId="0BFBE12C" w14:textId="77777777" w:rsidTr="00A90412">
        <w:trPr>
          <w:trHeight w:val="3672"/>
        </w:trPr>
        <w:tc>
          <w:tcPr>
            <w:tcW w:w="4788" w:type="dxa"/>
          </w:tcPr>
          <w:p w14:paraId="15E8A54A" w14:textId="0BE89C9B" w:rsidR="00183588" w:rsidRPr="00A650B3" w:rsidRDefault="00183588" w:rsidP="00A90412">
            <w:pPr>
              <w:spacing w:before="40" w:after="40" w:line="288" w:lineRule="auto"/>
              <w:jc w:val="center"/>
              <w:rPr>
                <w:rFonts w:ascii="Times New Roman" w:hAnsi="Times New Roman" w:cs="Times New Roman"/>
                <w:bCs/>
                <w:color w:val="000000" w:themeColor="text1"/>
                <w:sz w:val="24"/>
                <w:szCs w:val="24"/>
              </w:rPr>
            </w:pPr>
            <w:r w:rsidRPr="00A650B3">
              <w:rPr>
                <w:rFonts w:ascii="Times New Roman" w:hAnsi="Times New Roman" w:cs="Times New Roman"/>
                <w:noProof/>
                <w:color w:val="000000" w:themeColor="text1"/>
                <w:sz w:val="24"/>
                <w:szCs w:val="24"/>
              </w:rPr>
              <w:drawing>
                <wp:inline distT="0" distB="0" distL="0" distR="0" wp14:anchorId="0530B544" wp14:editId="75CCA77E">
                  <wp:extent cx="2654968" cy="2925526"/>
                  <wp:effectExtent l="0" t="0" r="0" b="8255"/>
                  <wp:docPr id="738678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2256" cy="2933556"/>
                          </a:xfrm>
                          <a:prstGeom prst="rect">
                            <a:avLst/>
                          </a:prstGeom>
                          <a:noFill/>
                          <a:ln>
                            <a:noFill/>
                          </a:ln>
                        </pic:spPr>
                      </pic:pic>
                    </a:graphicData>
                  </a:graphic>
                </wp:inline>
              </w:drawing>
            </w:r>
          </w:p>
        </w:tc>
        <w:tc>
          <w:tcPr>
            <w:tcW w:w="4676" w:type="dxa"/>
          </w:tcPr>
          <w:p w14:paraId="1919C088" w14:textId="47428E06" w:rsidR="00183588" w:rsidRPr="00A650B3" w:rsidRDefault="00183588" w:rsidP="00A90412">
            <w:pPr>
              <w:spacing w:before="40" w:after="40" w:line="288" w:lineRule="auto"/>
              <w:jc w:val="both"/>
              <w:rPr>
                <w:rFonts w:ascii="Times New Roman" w:hAnsi="Times New Roman" w:cs="Times New Roman"/>
                <w:bCs/>
                <w:color w:val="000000" w:themeColor="text1"/>
                <w:sz w:val="24"/>
                <w:szCs w:val="24"/>
              </w:rPr>
            </w:pPr>
            <w:r w:rsidRPr="00A650B3">
              <w:rPr>
                <w:rFonts w:ascii="Times New Roman" w:hAnsi="Times New Roman" w:cs="Times New Roman"/>
                <w:bCs/>
                <w:noProof/>
                <w:color w:val="000000" w:themeColor="text1"/>
                <w:sz w:val="24"/>
                <w:szCs w:val="24"/>
              </w:rPr>
              <w:drawing>
                <wp:inline distT="0" distB="0" distL="0" distR="0" wp14:anchorId="6A7DBA01" wp14:editId="5F4F62C1">
                  <wp:extent cx="2714003" cy="2911642"/>
                  <wp:effectExtent l="0" t="0" r="0" b="3175"/>
                  <wp:docPr id="1474889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89682" name=""/>
                          <pic:cNvPicPr/>
                        </pic:nvPicPr>
                        <pic:blipFill>
                          <a:blip r:embed="rId15"/>
                          <a:stretch>
                            <a:fillRect/>
                          </a:stretch>
                        </pic:blipFill>
                        <pic:spPr>
                          <a:xfrm>
                            <a:off x="0" y="0"/>
                            <a:ext cx="2736303" cy="2935566"/>
                          </a:xfrm>
                          <a:prstGeom prst="rect">
                            <a:avLst/>
                          </a:prstGeom>
                        </pic:spPr>
                      </pic:pic>
                    </a:graphicData>
                  </a:graphic>
                </wp:inline>
              </w:drawing>
            </w:r>
          </w:p>
        </w:tc>
      </w:tr>
      <w:tr w:rsidR="00183588" w:rsidRPr="00A650B3" w14:paraId="7B925544" w14:textId="77777777" w:rsidTr="00A90412">
        <w:trPr>
          <w:trHeight w:val="547"/>
        </w:trPr>
        <w:tc>
          <w:tcPr>
            <w:tcW w:w="4788" w:type="dxa"/>
          </w:tcPr>
          <w:p w14:paraId="58FA1E90" w14:textId="77777777" w:rsidR="00183588" w:rsidRPr="00A650B3" w:rsidRDefault="00183588" w:rsidP="00A90412">
            <w:pPr>
              <w:spacing w:before="40" w:after="40" w:line="288" w:lineRule="auto"/>
              <w:jc w:val="both"/>
              <w:rPr>
                <w:rFonts w:ascii="Times New Roman" w:hAnsi="Times New Roman" w:cs="Times New Roman"/>
                <w:b/>
                <w:bCs/>
                <w:color w:val="000000" w:themeColor="text1"/>
                <w:sz w:val="24"/>
                <w:szCs w:val="24"/>
              </w:rPr>
            </w:pPr>
            <w:r w:rsidRPr="00A650B3">
              <w:rPr>
                <w:rFonts w:ascii="Times New Roman" w:hAnsi="Times New Roman" w:cs="Times New Roman"/>
                <w:bCs/>
                <w:color w:val="000000" w:themeColor="text1"/>
                <w:sz w:val="24"/>
                <w:szCs w:val="24"/>
              </w:rPr>
              <w:t xml:space="preserve">Francis </w:t>
            </w:r>
            <w:proofErr w:type="spellStart"/>
            <w:r w:rsidRPr="00A650B3">
              <w:rPr>
                <w:rFonts w:ascii="Times New Roman" w:hAnsi="Times New Roman" w:cs="Times New Roman"/>
                <w:bCs/>
                <w:color w:val="000000" w:themeColor="text1"/>
                <w:sz w:val="24"/>
                <w:szCs w:val="24"/>
              </w:rPr>
              <w:t>Chaboussou</w:t>
            </w:r>
            <w:proofErr w:type="spellEnd"/>
            <w:r w:rsidRPr="00A650B3">
              <w:rPr>
                <w:rFonts w:ascii="Times New Roman" w:hAnsi="Times New Roman" w:cs="Times New Roman"/>
                <w:bCs/>
                <w:color w:val="000000" w:themeColor="text1"/>
                <w:sz w:val="24"/>
                <w:szCs w:val="24"/>
              </w:rPr>
              <w:t>-Noted French Scientist, the proponent of “</w:t>
            </w:r>
            <w:proofErr w:type="spellStart"/>
            <w:r w:rsidRPr="00A650B3">
              <w:rPr>
                <w:rFonts w:ascii="Times New Roman" w:hAnsi="Times New Roman" w:cs="Times New Roman"/>
                <w:bCs/>
                <w:color w:val="000000" w:themeColor="text1"/>
                <w:sz w:val="24"/>
                <w:szCs w:val="24"/>
              </w:rPr>
              <w:t>Trophobiosis</w:t>
            </w:r>
            <w:proofErr w:type="spellEnd"/>
            <w:r w:rsidRPr="00A650B3">
              <w:rPr>
                <w:rFonts w:ascii="Times New Roman" w:hAnsi="Times New Roman" w:cs="Times New Roman"/>
                <w:bCs/>
                <w:color w:val="000000" w:themeColor="text1"/>
                <w:sz w:val="24"/>
                <w:szCs w:val="24"/>
              </w:rPr>
              <w:t xml:space="preserve"> Theory” that emphasises Healthy Plants - parasite relationship &amp; author of ‘Healthy Crops’- A forgotten classic of agroecological science</w:t>
            </w:r>
          </w:p>
        </w:tc>
        <w:tc>
          <w:tcPr>
            <w:tcW w:w="4676" w:type="dxa"/>
          </w:tcPr>
          <w:p w14:paraId="0E736264" w14:textId="77777777" w:rsidR="00183588" w:rsidRPr="00A650B3" w:rsidRDefault="00183588" w:rsidP="00A90412">
            <w:pPr>
              <w:spacing w:before="40" w:after="40" w:line="288" w:lineRule="auto"/>
              <w:jc w:val="both"/>
              <w:rPr>
                <w:rFonts w:ascii="Times New Roman" w:hAnsi="Times New Roman" w:cs="Times New Roman"/>
                <w:bCs/>
                <w:color w:val="000000" w:themeColor="text1"/>
                <w:sz w:val="24"/>
                <w:szCs w:val="24"/>
              </w:rPr>
            </w:pPr>
            <w:proofErr w:type="spellStart"/>
            <w:r w:rsidRPr="00A650B3">
              <w:rPr>
                <w:rFonts w:ascii="Times New Roman" w:hAnsi="Times New Roman" w:cs="Times New Roman"/>
                <w:bCs/>
                <w:color w:val="000000" w:themeColor="text1"/>
                <w:sz w:val="24"/>
                <w:szCs w:val="24"/>
              </w:rPr>
              <w:t>Phalguni</w:t>
            </w:r>
            <w:proofErr w:type="spellEnd"/>
            <w:r w:rsidRPr="00A650B3">
              <w:rPr>
                <w:rFonts w:ascii="Times New Roman" w:hAnsi="Times New Roman" w:cs="Times New Roman"/>
                <w:bCs/>
                <w:color w:val="000000" w:themeColor="text1"/>
                <w:sz w:val="24"/>
                <w:szCs w:val="24"/>
              </w:rPr>
              <w:t xml:space="preserve"> Das Biswas – Developer of IRF Technology that ensures the development of Healthy Plants towards economically sustainable crop production  &amp; pioneer of sustainable organic tea production in India</w:t>
            </w:r>
          </w:p>
        </w:tc>
      </w:tr>
    </w:tbl>
    <w:p w14:paraId="37DE01B9" w14:textId="77777777" w:rsidR="009B143E" w:rsidRPr="009B143E" w:rsidRDefault="009B143E" w:rsidP="009B143E">
      <w:pPr>
        <w:spacing w:after="0" w:line="288" w:lineRule="auto"/>
        <w:jc w:val="both"/>
        <w:rPr>
          <w:rFonts w:ascii="Times New Roman" w:hAnsi="Times New Roman" w:cs="Times New Roman"/>
          <w:sz w:val="24"/>
          <w:szCs w:val="24"/>
        </w:rPr>
      </w:pPr>
    </w:p>
    <w:p w14:paraId="5AF4DEF6"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The uniqueness of the IRF Technology operates under the EEA (Element Energy Activation) principle, which emphasizes the need for a deeper understanding of the relationship between plant conditions and the proliferation of parasites. The EEA principle outlines the process to maintain plant health and re-activate plants from a deactivated state. Inhana Rational Farming (IRF) Technology discusses the philosophy and importance of plant systems as the most important factor to sustainable, self-reliant, and resilient agriculture, merging ancient wisdom </w:t>
      </w:r>
      <w:r w:rsidRPr="009B143E">
        <w:rPr>
          <w:rFonts w:ascii="Times New Roman" w:hAnsi="Times New Roman" w:cs="Times New Roman"/>
          <w:sz w:val="24"/>
          <w:szCs w:val="24"/>
        </w:rPr>
        <w:lastRenderedPageBreak/>
        <w:t>with modern scientific knowledge. Additionally, when the Trophobiosis theory represents a breakthrough in plant pathology, highlighting the physiological and biochemical states of plants as factors influencing their susceptibility to pests and diseases, the Indian wisdom on the other hand, illustrates how a healthy plant system operates through matter-energy conjugation, enabling it to maintain an activated defense mechanism. The success of IRF Technology is henceforth attributed to the facilitation of these environmental factors. This innovation advocates for further research into the pathways that underscore the relevance of plant health in promoting regenerative agriculture. The findings reveal that plants possess a sophisticated, self-reliant, and self-sufficient system, which is intrinsically linked to the earth and atmosphere.</w:t>
      </w:r>
    </w:p>
    <w:p w14:paraId="7F1A6B84" w14:textId="77777777" w:rsidR="009B143E" w:rsidRPr="009B143E" w:rsidRDefault="009B143E" w:rsidP="009B143E">
      <w:pPr>
        <w:spacing w:after="0" w:line="288" w:lineRule="auto"/>
        <w:jc w:val="both"/>
        <w:rPr>
          <w:rFonts w:ascii="Times New Roman" w:hAnsi="Times New Roman" w:cs="Times New Roman"/>
          <w:sz w:val="24"/>
          <w:szCs w:val="24"/>
        </w:rPr>
      </w:pPr>
    </w:p>
    <w:p w14:paraId="339B933A" w14:textId="77777777" w:rsidR="009B143E" w:rsidRPr="00183588" w:rsidRDefault="009B143E" w:rsidP="009B143E">
      <w:pPr>
        <w:spacing w:after="0" w:line="288" w:lineRule="auto"/>
        <w:jc w:val="both"/>
        <w:rPr>
          <w:rFonts w:ascii="Times New Roman" w:hAnsi="Times New Roman" w:cs="Times New Roman"/>
          <w:b/>
          <w:sz w:val="24"/>
          <w:szCs w:val="24"/>
        </w:rPr>
      </w:pPr>
      <w:r w:rsidRPr="00183588">
        <w:rPr>
          <w:rFonts w:ascii="Times New Roman" w:hAnsi="Times New Roman" w:cs="Times New Roman"/>
          <w:b/>
          <w:sz w:val="24"/>
          <w:szCs w:val="24"/>
        </w:rPr>
        <w:t>Limitation of Input based Package of Practice and need of Comprehensive Technology to attain objectivities of Regenerative Agriculture.</w:t>
      </w:r>
    </w:p>
    <w:p w14:paraId="726BDDAD" w14:textId="77777777" w:rsidR="00183588" w:rsidRPr="009B143E" w:rsidRDefault="00183588" w:rsidP="009B143E">
      <w:pPr>
        <w:spacing w:after="0" w:line="288" w:lineRule="auto"/>
        <w:jc w:val="both"/>
        <w:rPr>
          <w:rFonts w:ascii="Times New Roman" w:hAnsi="Times New Roman" w:cs="Times New Roman"/>
          <w:sz w:val="24"/>
          <w:szCs w:val="24"/>
        </w:rPr>
      </w:pPr>
    </w:p>
    <w:p w14:paraId="2F242C3C"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Regenerative farming demands a comprehensive approach for management and only the practice which can best utilize the potential of nature can succeed the objectivity. As we understand scientifically the potentials of various individual inputs (as revealed from the soil input experiments), do not necessarily provide additive effects when they are combined together, therefore their effectivity need to be judged on the basis of their performance under a package of practice (</w:t>
      </w:r>
      <w:proofErr w:type="spellStart"/>
      <w:r w:rsidRPr="009B143E">
        <w:rPr>
          <w:rFonts w:ascii="Times New Roman" w:hAnsi="Times New Roman" w:cs="Times New Roman"/>
          <w:sz w:val="24"/>
          <w:szCs w:val="24"/>
        </w:rPr>
        <w:t>Bera</w:t>
      </w:r>
      <w:proofErr w:type="spellEnd"/>
      <w:r w:rsidRPr="009B143E">
        <w:rPr>
          <w:rFonts w:ascii="Times New Roman" w:hAnsi="Times New Roman" w:cs="Times New Roman"/>
          <w:sz w:val="24"/>
          <w:szCs w:val="24"/>
        </w:rPr>
        <w:t xml:space="preserve"> et al, 2011). That is the reason why conventional organic farming developed on the same approach of chemical farming fails to achieve the desired objectivity. Hence, for the development of a comprehensive management system individual input evaluation has to be transformed to the evaluation of ‘Package of Practices’, which may be composed of various individual inputs, but they must operate in an integrated manner, in order to be effectively functional. At the same time adaptation of any nature-friendly comprehensive agricultural package of practice/technology based on a defined </w:t>
      </w:r>
      <w:proofErr w:type="gramStart"/>
      <w:r w:rsidRPr="009B143E">
        <w:rPr>
          <w:rFonts w:ascii="Times New Roman" w:hAnsi="Times New Roman" w:cs="Times New Roman"/>
          <w:sz w:val="24"/>
          <w:szCs w:val="24"/>
        </w:rPr>
        <w:t>principle  to</w:t>
      </w:r>
      <w:proofErr w:type="gramEnd"/>
      <w:r w:rsidRPr="009B143E">
        <w:rPr>
          <w:rFonts w:ascii="Times New Roman" w:hAnsi="Times New Roman" w:cs="Times New Roman"/>
          <w:sz w:val="24"/>
          <w:szCs w:val="24"/>
        </w:rPr>
        <w:t xml:space="preserve"> foster soil and plant health management can attain the principles of regenerative agriculture more precisely in a time bound manner. </w:t>
      </w:r>
    </w:p>
    <w:p w14:paraId="19C1D357" w14:textId="77777777" w:rsidR="00183588" w:rsidRPr="009B143E" w:rsidRDefault="00183588" w:rsidP="009B143E">
      <w:pPr>
        <w:spacing w:after="0" w:line="288" w:lineRule="auto"/>
        <w:jc w:val="both"/>
        <w:rPr>
          <w:rFonts w:ascii="Times New Roman" w:hAnsi="Times New Roman" w:cs="Times New Roman"/>
          <w:sz w:val="24"/>
          <w:szCs w:val="24"/>
        </w:rPr>
      </w:pPr>
    </w:p>
    <w:p w14:paraId="3BD56668" w14:textId="77777777" w:rsidR="009B143E" w:rsidRPr="00183588" w:rsidRDefault="009B143E" w:rsidP="009B143E">
      <w:pPr>
        <w:spacing w:after="0" w:line="288" w:lineRule="auto"/>
        <w:jc w:val="both"/>
        <w:rPr>
          <w:rFonts w:ascii="Times New Roman" w:hAnsi="Times New Roman" w:cs="Times New Roman"/>
          <w:b/>
          <w:sz w:val="24"/>
          <w:szCs w:val="24"/>
        </w:rPr>
      </w:pPr>
      <w:r w:rsidRPr="00183588">
        <w:rPr>
          <w:rFonts w:ascii="Times New Roman" w:hAnsi="Times New Roman" w:cs="Times New Roman"/>
          <w:b/>
          <w:sz w:val="24"/>
          <w:szCs w:val="24"/>
        </w:rPr>
        <w:t xml:space="preserve">IRF Technology as a Complete Plant Health </w:t>
      </w:r>
      <w:proofErr w:type="gramStart"/>
      <w:r w:rsidRPr="00183588">
        <w:rPr>
          <w:rFonts w:ascii="Times New Roman" w:hAnsi="Times New Roman" w:cs="Times New Roman"/>
          <w:b/>
          <w:sz w:val="24"/>
          <w:szCs w:val="24"/>
        </w:rPr>
        <w:t>Solution :</w:t>
      </w:r>
      <w:proofErr w:type="gramEnd"/>
    </w:p>
    <w:p w14:paraId="04C6674C"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Unlike conventional farming, which focuses primarily on external inputs (fertilizers, pesticides), IRF strengthens the plant from within. By addressing nutrient uptake efficiency, natural immunity, stress resilience, and photosynthetic performance, IRF ensures that plants optimally utilize the rejuvenated soil, leading to higher yields, better quality, and sustainable crop production. By integrating soil rejuvenation, plant energization, and optimized physiological processes, IRF ensures that plants are self-sufficient, resilient, and productive. This approach naturally minimizes chemical dependency, enhances ecosystem health, and provides long-term agricultural sustainability (Fig 8 &amp; 9).</w:t>
      </w:r>
    </w:p>
    <w:p w14:paraId="4A7574F9"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9468"/>
      </w:tblGrid>
      <w:tr w:rsidR="00183588" w:rsidRPr="00A650B3" w14:paraId="27698B48" w14:textId="77777777" w:rsidTr="00A90412">
        <w:trPr>
          <w:gridBefore w:val="1"/>
          <w:wBefore w:w="108" w:type="dxa"/>
        </w:trPr>
        <w:tc>
          <w:tcPr>
            <w:tcW w:w="9468" w:type="dxa"/>
          </w:tcPr>
          <w:p w14:paraId="17154E4D" w14:textId="77777777" w:rsidR="00183588" w:rsidRPr="00A650B3" w:rsidRDefault="00183588" w:rsidP="00A90412">
            <w:pPr>
              <w:jc w:val="both"/>
              <w:rPr>
                <w:rFonts w:ascii="Times New Roman" w:hAnsi="Times New Roman" w:cs="Times New Roman"/>
                <w:color w:val="000000" w:themeColor="text1"/>
                <w:sz w:val="24"/>
                <w:szCs w:val="24"/>
              </w:rPr>
            </w:pPr>
            <w:r w:rsidRPr="00A650B3">
              <w:rPr>
                <w:rFonts w:ascii="Times New Roman" w:hAnsi="Times New Roman" w:cs="Times New Roman"/>
                <w:noProof/>
                <w:color w:val="000000" w:themeColor="text1"/>
                <w:sz w:val="24"/>
                <w:szCs w:val="24"/>
              </w:rPr>
              <w:lastRenderedPageBreak/>
              <w:drawing>
                <wp:inline distT="0" distB="0" distL="0" distR="0" wp14:anchorId="1477484E" wp14:editId="3F1D861E">
                  <wp:extent cx="5866410" cy="35269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8656" cy="3528322"/>
                          </a:xfrm>
                          <a:prstGeom prst="rect">
                            <a:avLst/>
                          </a:prstGeom>
                          <a:noFill/>
                        </pic:spPr>
                      </pic:pic>
                    </a:graphicData>
                  </a:graphic>
                </wp:inline>
              </w:drawing>
            </w:r>
          </w:p>
        </w:tc>
      </w:tr>
      <w:tr w:rsidR="00183588" w:rsidRPr="00A650B3" w14:paraId="1AB9CEBF" w14:textId="77777777" w:rsidTr="00A90412">
        <w:trPr>
          <w:gridBefore w:val="1"/>
          <w:wBefore w:w="108" w:type="dxa"/>
        </w:trPr>
        <w:tc>
          <w:tcPr>
            <w:tcW w:w="9468" w:type="dxa"/>
          </w:tcPr>
          <w:p w14:paraId="1711228C" w14:textId="77777777" w:rsidR="00183588" w:rsidRPr="00F802D2" w:rsidRDefault="00183588" w:rsidP="00A90412">
            <w:pPr>
              <w:ind w:left="972" w:hanging="972"/>
              <w:jc w:val="both"/>
              <w:rPr>
                <w:rFonts w:ascii="Times New Roman" w:hAnsi="Times New Roman" w:cs="Times New Roman"/>
                <w:b/>
                <w:color w:val="000000" w:themeColor="text1"/>
                <w:sz w:val="24"/>
                <w:szCs w:val="24"/>
              </w:rPr>
            </w:pPr>
            <w:r w:rsidRPr="00F802D2">
              <w:rPr>
                <w:rFonts w:ascii="Times New Roman" w:hAnsi="Times New Roman" w:cs="Times New Roman"/>
                <w:b/>
                <w:color w:val="000000" w:themeColor="text1"/>
                <w:sz w:val="24"/>
                <w:szCs w:val="24"/>
              </w:rPr>
              <w:t>Fig 8 : A comparative view of Conventional Farming and IRF Technology based Sustainable Agriculture</w:t>
            </w:r>
          </w:p>
          <w:p w14:paraId="07672317" w14:textId="77777777" w:rsidR="00183588" w:rsidRPr="00A650B3" w:rsidRDefault="00183588" w:rsidP="00A90412">
            <w:pPr>
              <w:ind w:left="972" w:hanging="972"/>
              <w:jc w:val="both"/>
              <w:rPr>
                <w:rFonts w:ascii="Times New Roman" w:hAnsi="Times New Roman" w:cs="Times New Roman"/>
                <w:color w:val="000000" w:themeColor="text1"/>
                <w:sz w:val="24"/>
                <w:szCs w:val="24"/>
              </w:rPr>
            </w:pPr>
          </w:p>
        </w:tc>
      </w:tr>
      <w:tr w:rsidR="00183588" w:rsidRPr="00A650B3" w14:paraId="7A016DAA" w14:textId="77777777" w:rsidTr="00A90412">
        <w:trPr>
          <w:trHeight w:val="4868"/>
        </w:trPr>
        <w:tc>
          <w:tcPr>
            <w:tcW w:w="9576" w:type="dxa"/>
            <w:gridSpan w:val="2"/>
          </w:tcPr>
          <w:p w14:paraId="653D415D" w14:textId="77777777" w:rsidR="00183588" w:rsidRPr="00A650B3" w:rsidRDefault="00183588" w:rsidP="00A90412">
            <w:pPr>
              <w:jc w:val="both"/>
              <w:rPr>
                <w:rFonts w:ascii="Times New Roman" w:hAnsi="Times New Roman" w:cs="Times New Roman"/>
                <w:b/>
                <w:color w:val="000000" w:themeColor="text1"/>
                <w:sz w:val="24"/>
                <w:szCs w:val="24"/>
              </w:rPr>
            </w:pPr>
            <w:r w:rsidRPr="00A650B3">
              <w:rPr>
                <w:rFonts w:ascii="Times New Roman" w:hAnsi="Times New Roman" w:cs="Times New Roman"/>
                <w:b/>
                <w:noProof/>
                <w:color w:val="000000" w:themeColor="text1"/>
                <w:sz w:val="24"/>
                <w:szCs w:val="24"/>
              </w:rPr>
              <w:drawing>
                <wp:inline distT="0" distB="0" distL="0" distR="0" wp14:anchorId="6AAF0610" wp14:editId="5788737F">
                  <wp:extent cx="5930898"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4325" cy="3672048"/>
                          </a:xfrm>
                          <a:prstGeom prst="rect">
                            <a:avLst/>
                          </a:prstGeom>
                          <a:noFill/>
                        </pic:spPr>
                      </pic:pic>
                    </a:graphicData>
                  </a:graphic>
                </wp:inline>
              </w:drawing>
            </w:r>
          </w:p>
        </w:tc>
      </w:tr>
      <w:tr w:rsidR="00183588" w:rsidRPr="00A650B3" w14:paraId="58ED2238" w14:textId="77777777" w:rsidTr="00A90412">
        <w:tc>
          <w:tcPr>
            <w:tcW w:w="9576" w:type="dxa"/>
            <w:gridSpan w:val="2"/>
          </w:tcPr>
          <w:p w14:paraId="23D90DA4" w14:textId="557DD2F3" w:rsidR="00183588" w:rsidRPr="00F802D2" w:rsidRDefault="00183588" w:rsidP="00A90412">
            <w:pPr>
              <w:ind w:left="900" w:hanging="900"/>
              <w:jc w:val="both"/>
              <w:rPr>
                <w:rFonts w:ascii="Times New Roman" w:hAnsi="Times New Roman" w:cs="Times New Roman"/>
                <w:b/>
                <w:color w:val="000000" w:themeColor="text1"/>
                <w:sz w:val="24"/>
                <w:szCs w:val="24"/>
              </w:rPr>
            </w:pPr>
            <w:r w:rsidRPr="00F802D2">
              <w:rPr>
                <w:rFonts w:ascii="Times New Roman" w:hAnsi="Times New Roman" w:cs="Times New Roman"/>
                <w:b/>
                <w:color w:val="000000" w:themeColor="text1"/>
                <w:sz w:val="24"/>
                <w:szCs w:val="24"/>
              </w:rPr>
              <w:t>Fig 9:</w:t>
            </w:r>
            <w:r w:rsidR="00A81FDF">
              <w:rPr>
                <w:rFonts w:ascii="Times New Roman" w:hAnsi="Times New Roman" w:cs="Times New Roman"/>
                <w:b/>
                <w:color w:val="000000" w:themeColor="text1"/>
                <w:sz w:val="24"/>
                <w:szCs w:val="24"/>
              </w:rPr>
              <w:t xml:space="preserve"> </w:t>
            </w:r>
            <w:r w:rsidRPr="00F802D2">
              <w:rPr>
                <w:rFonts w:ascii="Times New Roman" w:hAnsi="Times New Roman" w:cs="Times New Roman"/>
                <w:b/>
                <w:color w:val="000000" w:themeColor="text1"/>
                <w:sz w:val="24"/>
                <w:szCs w:val="24"/>
              </w:rPr>
              <w:t>Energization of Plant system through IRF Plant health management aims towards efficient bio-chemical functions in the plant system.</w:t>
            </w:r>
          </w:p>
        </w:tc>
      </w:tr>
    </w:tbl>
    <w:p w14:paraId="1C46AFCA" w14:textId="77777777" w:rsidR="009B143E" w:rsidRPr="00183588" w:rsidRDefault="009B143E" w:rsidP="009B143E">
      <w:pPr>
        <w:spacing w:after="0" w:line="288" w:lineRule="auto"/>
        <w:jc w:val="both"/>
        <w:rPr>
          <w:rFonts w:ascii="Times New Roman" w:hAnsi="Times New Roman" w:cs="Times New Roman"/>
          <w:b/>
          <w:sz w:val="24"/>
          <w:szCs w:val="24"/>
        </w:rPr>
      </w:pPr>
      <w:r w:rsidRPr="00183588">
        <w:rPr>
          <w:rFonts w:ascii="Times New Roman" w:hAnsi="Times New Roman" w:cs="Times New Roman"/>
          <w:b/>
          <w:sz w:val="24"/>
          <w:szCs w:val="24"/>
        </w:rPr>
        <w:lastRenderedPageBreak/>
        <w:t>Regenerative Agriculture and Sustainable Development Goals</w:t>
      </w:r>
    </w:p>
    <w:p w14:paraId="5ED28C02"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The sustainable development goals (SDGs) provide a comprehensive framework for addressing global challenges, including land degradation, poverty, climate change, and environmental degradation. Regenerative agriculture intersects with all the SDGs viz no poverty (SDG 1), zero hunger (SDG 2), good health and well-being (SDG 3), quality education (SDG 4), achieve gender equality and empowering women (SDG 5), clean water and sanitations (SDG 6), affordable and clean Energy (SDG 7), decent work and economic growth (SDG 8), Sustainable Cities and Communities (SDG 11),  responsible consumption and production (SDG 12), climate action (SDG 13), life below water (SDG 14), life on land (SDG 15), and partnerships for the goal (SDG 17).</w:t>
      </w:r>
    </w:p>
    <w:p w14:paraId="4E520856" w14:textId="77777777" w:rsidR="00183588" w:rsidRPr="009B143E" w:rsidRDefault="00183588" w:rsidP="009B143E">
      <w:pPr>
        <w:spacing w:after="0" w:line="288" w:lineRule="auto"/>
        <w:jc w:val="both"/>
        <w:rPr>
          <w:rFonts w:ascii="Times New Roman" w:hAnsi="Times New Roman" w:cs="Times New Roman"/>
          <w:sz w:val="24"/>
          <w:szCs w:val="24"/>
        </w:rPr>
      </w:pPr>
    </w:p>
    <w:p w14:paraId="3C169C64"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Regenerative Agriculture prioritizes soil health, biodiversity, and ecosystem resilience, which in turn, helps mitigate climate impacts and improve food availability. Thus embracing regenerative agricultural practices enhances soil fertility, water retention, and biodiversity, leading to more robust and reliable crop yields (Joshi et </w:t>
      </w:r>
      <w:proofErr w:type="gramStart"/>
      <w:r w:rsidRPr="009B143E">
        <w:rPr>
          <w:rFonts w:ascii="Times New Roman" w:hAnsi="Times New Roman" w:cs="Times New Roman"/>
          <w:sz w:val="24"/>
          <w:szCs w:val="24"/>
        </w:rPr>
        <w:t>al,  et</w:t>
      </w:r>
      <w:proofErr w:type="gramEnd"/>
      <w:r w:rsidRPr="009B143E">
        <w:rPr>
          <w:rFonts w:ascii="Times New Roman" w:hAnsi="Times New Roman" w:cs="Times New Roman"/>
          <w:sz w:val="24"/>
          <w:szCs w:val="24"/>
        </w:rPr>
        <w:t xml:space="preserve"> al, 2024).  </w:t>
      </w:r>
      <w:proofErr w:type="gramStart"/>
      <w:r w:rsidRPr="009B143E">
        <w:rPr>
          <w:rFonts w:ascii="Times New Roman" w:hAnsi="Times New Roman" w:cs="Times New Roman"/>
          <w:sz w:val="24"/>
          <w:szCs w:val="24"/>
        </w:rPr>
        <w:t>Thus  it</w:t>
      </w:r>
      <w:proofErr w:type="gramEnd"/>
      <w:r w:rsidRPr="009B143E">
        <w:rPr>
          <w:rFonts w:ascii="Times New Roman" w:hAnsi="Times New Roman" w:cs="Times New Roman"/>
          <w:sz w:val="24"/>
          <w:szCs w:val="24"/>
        </w:rPr>
        <w:t xml:space="preserve"> helps not only to address hunger but also promotes food security and nutrition. Thus adopting regenerative farming can help achieve the United Nations' (UN) Sustainable Development Goal (SDG) 2.  2nd most important SDG which regenerative agriculture  attained is SDG 13 as the practice promotes agroforestry and cover cropping, crop rotation,  reduced tillage and improve soil health by those practices which intern help towards higher soil carbon sequestration, contributing to climate change mitigation. Regenerative agriculture also contributes significantly to poverty reduction by creating resilient and diversified livelihoods. Small-scale farmers, when empowered with sustainable practices under regenerative agriculture, experience increased yields and improved incomes, breaking the cycle of poverty and thus attained the objectives of SDG 1. At the same time, </w:t>
      </w:r>
      <w:proofErr w:type="gramStart"/>
      <w:r w:rsidRPr="009B143E">
        <w:rPr>
          <w:rFonts w:ascii="Times New Roman" w:hAnsi="Times New Roman" w:cs="Times New Roman"/>
          <w:sz w:val="24"/>
          <w:szCs w:val="24"/>
        </w:rPr>
        <w:t>it  minimizes</w:t>
      </w:r>
      <w:proofErr w:type="gramEnd"/>
      <w:r w:rsidRPr="009B143E">
        <w:rPr>
          <w:rFonts w:ascii="Times New Roman" w:hAnsi="Times New Roman" w:cs="Times New Roman"/>
          <w:sz w:val="24"/>
          <w:szCs w:val="24"/>
        </w:rPr>
        <w:t xml:space="preserve"> the use of harmful chemicals, reducing health risks for farmers and consumers alike and facilitates access to nutritious and uncontaminated food  which supports overall well-being and public health; thereby attained the objectives of SDG 3 (SAN, 2022). </w:t>
      </w:r>
      <w:proofErr w:type="gramStart"/>
      <w:r w:rsidRPr="009B143E">
        <w:rPr>
          <w:rFonts w:ascii="Times New Roman" w:hAnsi="Times New Roman" w:cs="Times New Roman"/>
          <w:sz w:val="24"/>
          <w:szCs w:val="24"/>
        </w:rPr>
        <w:t>Regenerative  agriculture</w:t>
      </w:r>
      <w:proofErr w:type="gramEnd"/>
      <w:r w:rsidRPr="009B143E">
        <w:rPr>
          <w:rFonts w:ascii="Times New Roman" w:hAnsi="Times New Roman" w:cs="Times New Roman"/>
          <w:sz w:val="24"/>
          <w:szCs w:val="24"/>
        </w:rPr>
        <w:t xml:space="preserve"> practices also prioritize efficient water use, reducing the overall demand on water resources and supporting the health of aquatic ecosystems along with preventing agricultural runoff and preserving water quality and thereby attained the objectivities of SDG 14. The practice also has a contribution towards gender equality as regenerative agriculture helps to empower women who play a crucial role in agriculture; by providing equal access to resources and opportunities. This, in turn, contributes to breaking down gender disparities in rural communities; an important objectives of SDG 5. Successful lab to land transfer of regenerative agriculture requires innovation in farming techniques and infrastructure </w:t>
      </w:r>
      <w:proofErr w:type="gramStart"/>
      <w:r w:rsidRPr="009B143E">
        <w:rPr>
          <w:rFonts w:ascii="Times New Roman" w:hAnsi="Times New Roman" w:cs="Times New Roman"/>
          <w:sz w:val="24"/>
          <w:szCs w:val="24"/>
        </w:rPr>
        <w:t>which  can</w:t>
      </w:r>
      <w:proofErr w:type="gramEnd"/>
      <w:r w:rsidRPr="009B143E">
        <w:rPr>
          <w:rFonts w:ascii="Times New Roman" w:hAnsi="Times New Roman" w:cs="Times New Roman"/>
          <w:sz w:val="24"/>
          <w:szCs w:val="24"/>
        </w:rPr>
        <w:t xml:space="preserve"> lead to the development of more resilient and efficient agricultural systems. Thus promoting regenerative agriculture can bring better coherence in-between Agro-industry, innovation and Agro-infrastructure and thereby attained the objectives of SDG 9.</w:t>
      </w:r>
    </w:p>
    <w:p w14:paraId="4A7A774D"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183588" w:rsidRPr="00A650B3" w14:paraId="4151857D" w14:textId="77777777" w:rsidTr="00A90412">
        <w:trPr>
          <w:trHeight w:val="4967"/>
        </w:trPr>
        <w:tc>
          <w:tcPr>
            <w:tcW w:w="9242" w:type="dxa"/>
          </w:tcPr>
          <w:p w14:paraId="573FB00B" w14:textId="77777777" w:rsidR="00183588" w:rsidRPr="00A650B3" w:rsidRDefault="00183588" w:rsidP="00A90412">
            <w:pPr>
              <w:jc w:val="both"/>
              <w:rPr>
                <w:rFonts w:ascii="Times New Roman" w:hAnsi="Times New Roman" w:cs="Times New Roman"/>
                <w:color w:val="000000" w:themeColor="text1"/>
                <w:sz w:val="24"/>
                <w:szCs w:val="24"/>
              </w:rPr>
            </w:pPr>
            <w:r w:rsidRPr="00A650B3">
              <w:rPr>
                <w:rFonts w:ascii="Times New Roman" w:hAnsi="Times New Roman" w:cs="Times New Roman"/>
                <w:noProof/>
                <w:color w:val="000000" w:themeColor="text1"/>
                <w:sz w:val="24"/>
                <w:szCs w:val="24"/>
              </w:rPr>
              <w:lastRenderedPageBreak/>
              <w:drawing>
                <wp:inline distT="0" distB="0" distL="0" distR="0" wp14:anchorId="28C3A741" wp14:editId="74F43377">
                  <wp:extent cx="5703147" cy="3112608"/>
                  <wp:effectExtent l="19050" t="19050" r="1206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8297" cy="3115418"/>
                          </a:xfrm>
                          <a:prstGeom prst="rect">
                            <a:avLst/>
                          </a:prstGeom>
                          <a:noFill/>
                          <a:ln w="19050">
                            <a:solidFill>
                              <a:schemeClr val="accent1"/>
                            </a:solidFill>
                          </a:ln>
                        </pic:spPr>
                      </pic:pic>
                    </a:graphicData>
                  </a:graphic>
                </wp:inline>
              </w:drawing>
            </w:r>
          </w:p>
        </w:tc>
      </w:tr>
      <w:tr w:rsidR="00183588" w:rsidRPr="00A650B3" w14:paraId="5A7DE44C" w14:textId="77777777" w:rsidTr="00A90412">
        <w:tc>
          <w:tcPr>
            <w:tcW w:w="9242" w:type="dxa"/>
          </w:tcPr>
          <w:p w14:paraId="6F7AF109" w14:textId="77777777" w:rsidR="00183588" w:rsidRPr="00183588" w:rsidRDefault="00183588" w:rsidP="00A90412">
            <w:pPr>
              <w:ind w:left="900" w:hanging="900"/>
              <w:jc w:val="both"/>
              <w:rPr>
                <w:rFonts w:ascii="Times New Roman" w:hAnsi="Times New Roman" w:cs="Times New Roman"/>
                <w:b/>
                <w:color w:val="000000" w:themeColor="text1"/>
                <w:sz w:val="24"/>
                <w:szCs w:val="24"/>
              </w:rPr>
            </w:pPr>
            <w:r w:rsidRPr="00183588">
              <w:rPr>
                <w:rFonts w:ascii="Times New Roman" w:hAnsi="Times New Roman" w:cs="Times New Roman"/>
                <w:b/>
                <w:color w:val="000000" w:themeColor="text1"/>
                <w:sz w:val="24"/>
                <w:szCs w:val="24"/>
              </w:rPr>
              <w:t>Fig 10 : Impact analysis of Regenerative agriculture on different Sustainable Development Goals (SDGs)</w:t>
            </w:r>
          </w:p>
        </w:tc>
      </w:tr>
    </w:tbl>
    <w:p w14:paraId="2AAC2588" w14:textId="77777777" w:rsidR="00183588" w:rsidRDefault="00183588" w:rsidP="009B143E">
      <w:pPr>
        <w:spacing w:after="0" w:line="288" w:lineRule="auto"/>
        <w:jc w:val="both"/>
        <w:rPr>
          <w:rFonts w:ascii="Times New Roman" w:hAnsi="Times New Roman" w:cs="Times New Roman"/>
          <w:sz w:val="24"/>
          <w:szCs w:val="24"/>
        </w:rPr>
      </w:pPr>
    </w:p>
    <w:p w14:paraId="292897CB"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Regenerative agriculture techniques like cover cropping and minimal tillage prevent soil erosion and degradation, maintaining the integrity of terrestrial ecosystems, increase biodiversity through inclusion of  agro-forestry in the farming system,  thereby contributing to achieving SDG 15.At the same time, regenerative agriculture aligns with SDG 8, and 17 by addressing contemporary health challenges, fostering economic growth, and promoting global partnerships for sustainable development (Joshi et al, 2024). Regenerative agriculture also promotes responsible water use, minimizing pollution from agrochemicals and thus ensures the availability of clean water for both agricultural and domestic purposes- a key objectives of SDG 6. Regenerative agriculture often involves fair trade practices, promoting social justice and contributing to the development of strong and transparent agricultural institutions, attend a key objectives under SDG 16. At the same time, regenerative agriculture encourages crop rotation and diversification, reducing the need for chemical inputs and enhancing soil health and promoting healthier and more sustainable food production and thereby meet the objectives of SDG 15. Similarly by promoting healthier and more sustainable food production through systemic elimination / minimization </w:t>
      </w:r>
      <w:proofErr w:type="gramStart"/>
      <w:r w:rsidRPr="009B143E">
        <w:rPr>
          <w:rFonts w:ascii="Times New Roman" w:hAnsi="Times New Roman" w:cs="Times New Roman"/>
          <w:sz w:val="24"/>
          <w:szCs w:val="24"/>
        </w:rPr>
        <w:t>of  toxic</w:t>
      </w:r>
      <w:proofErr w:type="gramEnd"/>
      <w:r w:rsidRPr="009B143E">
        <w:rPr>
          <w:rFonts w:ascii="Times New Roman" w:hAnsi="Times New Roman" w:cs="Times New Roman"/>
          <w:sz w:val="24"/>
          <w:szCs w:val="24"/>
        </w:rPr>
        <w:t xml:space="preserve"> synthetic pesticides and fertilizers, regenerative agriculture also meets the objectives of SDG 12. Farmers practicing regenerative agriculture around the world are using renewable energy in innovative ways to cut costs and reduce the carbon footprint like introduction of solar-powered irrigation systems, attending the objectives of SDG 7 (Fig 10). </w:t>
      </w:r>
    </w:p>
    <w:p w14:paraId="155401DE" w14:textId="77777777" w:rsidR="009B143E" w:rsidRPr="009B143E" w:rsidRDefault="009B143E" w:rsidP="009B143E">
      <w:pPr>
        <w:spacing w:after="0" w:line="288" w:lineRule="auto"/>
        <w:jc w:val="both"/>
        <w:rPr>
          <w:rFonts w:ascii="Times New Roman" w:hAnsi="Times New Roman" w:cs="Times New Roman"/>
          <w:sz w:val="24"/>
          <w:szCs w:val="24"/>
        </w:rPr>
      </w:pPr>
    </w:p>
    <w:p w14:paraId="52D86130" w14:textId="77777777" w:rsidR="009B143E" w:rsidRPr="009B143E" w:rsidRDefault="009B143E" w:rsidP="009B143E">
      <w:pPr>
        <w:spacing w:after="0" w:line="288" w:lineRule="auto"/>
        <w:jc w:val="both"/>
        <w:rPr>
          <w:rFonts w:ascii="Times New Roman" w:hAnsi="Times New Roman" w:cs="Times New Roman"/>
          <w:sz w:val="24"/>
          <w:szCs w:val="24"/>
        </w:rPr>
      </w:pPr>
    </w:p>
    <w:p w14:paraId="52154979" w14:textId="77777777" w:rsidR="00183588" w:rsidRDefault="00183588">
      <w:pPr>
        <w:rPr>
          <w:rFonts w:ascii="Times New Roman" w:hAnsi="Times New Roman" w:cs="Times New Roman"/>
          <w:sz w:val="24"/>
          <w:szCs w:val="24"/>
        </w:rPr>
      </w:pPr>
      <w:r>
        <w:rPr>
          <w:rFonts w:ascii="Times New Roman" w:hAnsi="Times New Roman" w:cs="Times New Roman"/>
          <w:sz w:val="24"/>
          <w:szCs w:val="24"/>
        </w:rPr>
        <w:br w:type="page"/>
      </w:r>
    </w:p>
    <w:p w14:paraId="15B09B66" w14:textId="77777777" w:rsidR="009B143E" w:rsidRPr="00183588" w:rsidRDefault="009B143E" w:rsidP="009B143E">
      <w:pPr>
        <w:spacing w:after="0" w:line="288" w:lineRule="auto"/>
        <w:jc w:val="both"/>
        <w:rPr>
          <w:rFonts w:ascii="Times New Roman" w:hAnsi="Times New Roman" w:cs="Times New Roman"/>
          <w:b/>
          <w:sz w:val="24"/>
          <w:szCs w:val="24"/>
        </w:rPr>
      </w:pPr>
      <w:r w:rsidRPr="00183588">
        <w:rPr>
          <w:rFonts w:ascii="Times New Roman" w:hAnsi="Times New Roman" w:cs="Times New Roman"/>
          <w:b/>
          <w:sz w:val="24"/>
          <w:szCs w:val="24"/>
        </w:rPr>
        <w:lastRenderedPageBreak/>
        <w:t xml:space="preserve">Carbon </w:t>
      </w:r>
      <w:proofErr w:type="gramStart"/>
      <w:r w:rsidRPr="00183588">
        <w:rPr>
          <w:rFonts w:ascii="Times New Roman" w:hAnsi="Times New Roman" w:cs="Times New Roman"/>
          <w:b/>
          <w:sz w:val="24"/>
          <w:szCs w:val="24"/>
        </w:rPr>
        <w:t>Footprint :</w:t>
      </w:r>
      <w:proofErr w:type="gramEnd"/>
      <w:r w:rsidRPr="00183588">
        <w:rPr>
          <w:rFonts w:ascii="Times New Roman" w:hAnsi="Times New Roman" w:cs="Times New Roman"/>
          <w:b/>
          <w:sz w:val="24"/>
          <w:szCs w:val="24"/>
        </w:rPr>
        <w:t xml:space="preserve"> Indicator of successful induction of Regenerative Agriculture</w:t>
      </w:r>
    </w:p>
    <w:p w14:paraId="334655DF"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The food and agriculture sector is responsible for approximately a third of global greenhouse gas emissions. Among key emissions reduction strategies for the sector, regenerative agriculture has gained increasing interest among agri-food industry leaders, civil society organizations, farming communities and research organizations (NCI, 2024). Now from current approaches to monitoring of agricultural sustainability in general, there are multitude of frameworks and tools that use indicators (</w:t>
      </w:r>
      <w:proofErr w:type="spellStart"/>
      <w:r w:rsidRPr="009B143E">
        <w:rPr>
          <w:rFonts w:ascii="Times New Roman" w:hAnsi="Times New Roman" w:cs="Times New Roman"/>
          <w:sz w:val="24"/>
          <w:szCs w:val="24"/>
        </w:rPr>
        <w:t>Coteur</w:t>
      </w:r>
      <w:proofErr w:type="spellEnd"/>
      <w:r w:rsidRPr="009B143E">
        <w:rPr>
          <w:rFonts w:ascii="Times New Roman" w:hAnsi="Times New Roman" w:cs="Times New Roman"/>
          <w:sz w:val="24"/>
          <w:szCs w:val="24"/>
        </w:rPr>
        <w:t xml:space="preserve"> et al., 2019; de Groot et al., 2010; FAO, 2014; </w:t>
      </w:r>
      <w:proofErr w:type="spellStart"/>
      <w:r w:rsidRPr="009B143E">
        <w:rPr>
          <w:rFonts w:ascii="Times New Roman" w:hAnsi="Times New Roman" w:cs="Times New Roman"/>
          <w:sz w:val="24"/>
          <w:szCs w:val="24"/>
        </w:rPr>
        <w:t>O'Donoghue</w:t>
      </w:r>
      <w:proofErr w:type="spellEnd"/>
      <w:r w:rsidRPr="009B143E">
        <w:rPr>
          <w:rFonts w:ascii="Times New Roman" w:hAnsi="Times New Roman" w:cs="Times New Roman"/>
          <w:sz w:val="24"/>
          <w:szCs w:val="24"/>
        </w:rPr>
        <w:t xml:space="preserve"> et al., 2022), but carbon footprint accounting prove to be most comprehensive Outcome-based indicator. Measuring greenhouse gas (GHG) emissions from farms, such as those from animals, fertilizers, manure, and diesel consumption, can help determine how successful regenerative agriculture is in reducing climate change. </w:t>
      </w:r>
      <w:proofErr w:type="spellStart"/>
      <w:r w:rsidRPr="009B143E">
        <w:rPr>
          <w:rFonts w:ascii="Times New Roman" w:hAnsi="Times New Roman" w:cs="Times New Roman"/>
          <w:sz w:val="24"/>
          <w:szCs w:val="24"/>
        </w:rPr>
        <w:t>Specially</w:t>
      </w:r>
      <w:proofErr w:type="spellEnd"/>
      <w:r w:rsidRPr="009B143E">
        <w:rPr>
          <w:rFonts w:ascii="Times New Roman" w:hAnsi="Times New Roman" w:cs="Times New Roman"/>
          <w:sz w:val="24"/>
          <w:szCs w:val="24"/>
        </w:rPr>
        <w:t xml:space="preserve"> when regenerative agriculture plays an increasingly large role in agriculture sustainability strategies, but the extent to which regenerative agriculture can systematically lead to fewer emissions is still in the process of being researched; especially which practices are effective in increasing permanent carbon sequestration in agricultural soils remains a subject of debate (NCI, 2024).</w:t>
      </w:r>
    </w:p>
    <w:p w14:paraId="2C59203C" w14:textId="77777777" w:rsidR="009B143E" w:rsidRPr="009B143E" w:rsidRDefault="009B143E" w:rsidP="009B143E">
      <w:pPr>
        <w:spacing w:after="0" w:line="288" w:lineRule="auto"/>
        <w:jc w:val="both"/>
        <w:rPr>
          <w:rFonts w:ascii="Times New Roman" w:hAnsi="Times New Roman" w:cs="Times New Roman"/>
          <w:sz w:val="24"/>
          <w:szCs w:val="24"/>
        </w:rPr>
      </w:pPr>
    </w:p>
    <w:p w14:paraId="72365790" w14:textId="77777777" w:rsidR="009B143E" w:rsidRPr="00183588" w:rsidRDefault="009B143E" w:rsidP="009B143E">
      <w:pPr>
        <w:spacing w:after="0" w:line="288" w:lineRule="auto"/>
        <w:jc w:val="both"/>
        <w:rPr>
          <w:rFonts w:ascii="Times New Roman" w:hAnsi="Times New Roman" w:cs="Times New Roman"/>
          <w:b/>
          <w:sz w:val="24"/>
          <w:szCs w:val="24"/>
        </w:rPr>
      </w:pPr>
      <w:r w:rsidRPr="00183588">
        <w:rPr>
          <w:rFonts w:ascii="Times New Roman" w:hAnsi="Times New Roman" w:cs="Times New Roman"/>
          <w:b/>
          <w:sz w:val="24"/>
          <w:szCs w:val="24"/>
        </w:rPr>
        <w:t xml:space="preserve">Higher the carbon footprint- higher the crop </w:t>
      </w:r>
      <w:proofErr w:type="gramStart"/>
      <w:r w:rsidRPr="00183588">
        <w:rPr>
          <w:rFonts w:ascii="Times New Roman" w:hAnsi="Times New Roman" w:cs="Times New Roman"/>
          <w:b/>
          <w:sz w:val="24"/>
          <w:szCs w:val="24"/>
        </w:rPr>
        <w:t>productivity :</w:t>
      </w:r>
      <w:proofErr w:type="gramEnd"/>
      <w:r w:rsidRPr="00183588">
        <w:rPr>
          <w:rFonts w:ascii="Times New Roman" w:hAnsi="Times New Roman" w:cs="Times New Roman"/>
          <w:b/>
          <w:sz w:val="24"/>
          <w:szCs w:val="24"/>
        </w:rPr>
        <w:t xml:space="preserve"> The paradox in conventional chemical farming</w:t>
      </w:r>
    </w:p>
    <w:p w14:paraId="29CA313D"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Input-based conventional agricultural system along with fertilizer sensitive plant materials follows high returns with high input application programs and thus comparative measurements of carbon footprint of two conventional food production system often showed a positive relationship between crop productivity with carbon footprint. The phenomenon might be used as an excuse to defend conventional farming but the biggest mistake was to not considering the system's stability. Higher productivity in the expense of soil quality </w:t>
      </w:r>
      <w:proofErr w:type="gramStart"/>
      <w:r w:rsidRPr="009B143E">
        <w:rPr>
          <w:rFonts w:ascii="Times New Roman" w:hAnsi="Times New Roman" w:cs="Times New Roman"/>
          <w:sz w:val="24"/>
          <w:szCs w:val="24"/>
        </w:rPr>
        <w:t>depletion,  environmental</w:t>
      </w:r>
      <w:proofErr w:type="gramEnd"/>
      <w:r w:rsidRPr="009B143E">
        <w:rPr>
          <w:rFonts w:ascii="Times New Roman" w:hAnsi="Times New Roman" w:cs="Times New Roman"/>
          <w:sz w:val="24"/>
          <w:szCs w:val="24"/>
        </w:rPr>
        <w:t xml:space="preserve"> degradation, and loss of ecosystem services make the food production system vulnerable to long-term sustainability and the irreversible loss due to high input agriculture creates newer sources for GHG emission which was not accounted for in the carbon accounting. </w:t>
      </w:r>
    </w:p>
    <w:p w14:paraId="4CCFC9CD" w14:textId="77777777" w:rsidR="00183588" w:rsidRDefault="00183588" w:rsidP="00183588">
      <w:pPr>
        <w:spacing w:after="0" w:line="288" w:lineRule="auto"/>
        <w:jc w:val="both"/>
        <w:rPr>
          <w:rFonts w:ascii="Times New Roman" w:eastAsia="Times New Roman" w:hAnsi="Times New Roman" w:cs="Times New Roman"/>
          <w:sz w:val="24"/>
          <w:szCs w:val="24"/>
        </w:rPr>
      </w:pPr>
    </w:p>
    <w:p w14:paraId="5A7D92BD" w14:textId="77777777" w:rsidR="00183588" w:rsidRPr="00E849C7" w:rsidRDefault="00183588" w:rsidP="00183588">
      <w:pPr>
        <w:spacing w:after="0" w:line="288" w:lineRule="auto"/>
        <w:jc w:val="both"/>
        <w:rPr>
          <w:rFonts w:ascii="Times New Roman" w:eastAsia="Times New Roman" w:hAnsi="Times New Roman" w:cs="Times New Roman"/>
          <w:sz w:val="24"/>
          <w:szCs w:val="24"/>
        </w:rPr>
      </w:pPr>
      <w:r w:rsidRPr="00E849C7">
        <w:rPr>
          <w:rFonts w:ascii="Times New Roman" w:eastAsia="Times New Roman" w:hAnsi="Times New Roman" w:cs="Times New Roman"/>
          <w:sz w:val="24"/>
          <w:szCs w:val="24"/>
        </w:rPr>
        <w:t>The observed positive correlation between crop productivity and carbon footprint in conventional chemical farming is a manifestation of a short-term optimization strategy that neglects the long-term sustainability of the system. While high-input approaches can produce impressive yields, they do so at the cost of soil quality, ecosystem services, and ultimately, the resilience of the agricultural system. For a truly sustainable food production model, it is essential to balance productivity with practices that preserve and enhance the natural capital of the soil and surrounding environment.</w:t>
      </w:r>
    </w:p>
    <w:p w14:paraId="1E7351A0" w14:textId="77777777" w:rsidR="00183588" w:rsidRPr="009B143E" w:rsidRDefault="00183588" w:rsidP="009B143E">
      <w:pPr>
        <w:spacing w:after="0" w:line="288" w:lineRule="auto"/>
        <w:jc w:val="both"/>
        <w:rPr>
          <w:rFonts w:ascii="Times New Roman" w:hAnsi="Times New Roman" w:cs="Times New Roman"/>
          <w:sz w:val="24"/>
          <w:szCs w:val="24"/>
        </w:rPr>
      </w:pPr>
    </w:p>
    <w:p w14:paraId="490F2F5B" w14:textId="77777777" w:rsidR="009B143E" w:rsidRPr="009B143E" w:rsidRDefault="009B143E" w:rsidP="009B143E">
      <w:pPr>
        <w:spacing w:after="0" w:line="288" w:lineRule="auto"/>
        <w:jc w:val="both"/>
        <w:rPr>
          <w:rFonts w:ascii="Times New Roman" w:hAnsi="Times New Roman" w:cs="Times New Roman"/>
          <w:sz w:val="24"/>
          <w:szCs w:val="24"/>
        </w:rPr>
      </w:pPr>
    </w:p>
    <w:p w14:paraId="669893CB" w14:textId="77777777" w:rsidR="00F802D2" w:rsidRDefault="00F802D2">
      <w:pPr>
        <w:rPr>
          <w:rFonts w:ascii="Times New Roman" w:hAnsi="Times New Roman" w:cs="Times New Roman"/>
          <w:sz w:val="24"/>
          <w:szCs w:val="24"/>
        </w:rPr>
      </w:pPr>
      <w:r>
        <w:rPr>
          <w:rFonts w:ascii="Times New Roman" w:hAnsi="Times New Roman" w:cs="Times New Roman"/>
          <w:sz w:val="24"/>
          <w:szCs w:val="24"/>
        </w:rPr>
        <w:br w:type="page"/>
      </w:r>
    </w:p>
    <w:p w14:paraId="066AB581" w14:textId="77777777" w:rsidR="009B143E" w:rsidRPr="00F802D2" w:rsidRDefault="009B143E" w:rsidP="009B143E">
      <w:pPr>
        <w:spacing w:after="0" w:line="288" w:lineRule="auto"/>
        <w:jc w:val="both"/>
        <w:rPr>
          <w:rFonts w:ascii="Times New Roman" w:hAnsi="Times New Roman" w:cs="Times New Roman"/>
          <w:b/>
          <w:sz w:val="24"/>
          <w:szCs w:val="24"/>
        </w:rPr>
      </w:pPr>
      <w:r w:rsidRPr="00F802D2">
        <w:rPr>
          <w:rFonts w:ascii="Times New Roman" w:hAnsi="Times New Roman" w:cs="Times New Roman"/>
          <w:b/>
          <w:sz w:val="24"/>
          <w:szCs w:val="24"/>
        </w:rPr>
        <w:lastRenderedPageBreak/>
        <w:t>Relevance of Regenerative Agriculture in tea</w:t>
      </w:r>
    </w:p>
    <w:p w14:paraId="46C1D8C6"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The sensitivity of tea plants to the environment in which they grow is part of tea’s appeal. However, this    also   makes    crops susceptible to   the properties of   climate   change (</w:t>
      </w:r>
      <w:proofErr w:type="spellStart"/>
      <w:r w:rsidRPr="009B143E">
        <w:rPr>
          <w:rFonts w:ascii="Times New Roman" w:hAnsi="Times New Roman" w:cs="Times New Roman"/>
          <w:sz w:val="24"/>
          <w:szCs w:val="24"/>
        </w:rPr>
        <w:t>Bera</w:t>
      </w:r>
      <w:proofErr w:type="spellEnd"/>
      <w:r w:rsidRPr="009B143E">
        <w:rPr>
          <w:rFonts w:ascii="Times New Roman" w:hAnsi="Times New Roman" w:cs="Times New Roman"/>
          <w:sz w:val="24"/>
          <w:szCs w:val="24"/>
        </w:rPr>
        <w:t xml:space="preserve"> et al, 2024b).   The   rise   in temperature,  shifting  of  seasons  and  increase  in the ambient temperature have wedged tea yields across   the   board because,   due   to   the   C3 carbonic  pathway,  tea  plants  are  already  1/3rd less  efficient  in  photosynthesis  than  C4  plants, and  photosynthesis  in  tea occurs  only  in  the incidence  of  moderate  temperature,  moderate humidity and moderate sunshine (Costa et al, 2007; Srinivas et al, 2024; </w:t>
      </w:r>
      <w:proofErr w:type="spellStart"/>
      <w:r w:rsidRPr="009B143E">
        <w:rPr>
          <w:rFonts w:ascii="Times New Roman" w:hAnsi="Times New Roman" w:cs="Times New Roman"/>
          <w:sz w:val="24"/>
          <w:szCs w:val="24"/>
        </w:rPr>
        <w:t>Kathpalia</w:t>
      </w:r>
      <w:proofErr w:type="spellEnd"/>
      <w:r w:rsidRPr="009B143E">
        <w:rPr>
          <w:rFonts w:ascii="Times New Roman" w:hAnsi="Times New Roman" w:cs="Times New Roman"/>
          <w:sz w:val="24"/>
          <w:szCs w:val="24"/>
        </w:rPr>
        <w:t xml:space="preserve"> et al, 2023; Shang et al, 2024). The   overall   productivity   of   tea   in   India   has gradually  decreased  over  the  years,  dropping from  2,165  kg/ha  in  2016-17  to  2,016  kg/ha  in 2020-21 (</w:t>
      </w:r>
      <w:proofErr w:type="spellStart"/>
      <w:r w:rsidRPr="009B143E">
        <w:rPr>
          <w:rFonts w:ascii="Times New Roman" w:hAnsi="Times New Roman" w:cs="Times New Roman"/>
          <w:sz w:val="24"/>
          <w:szCs w:val="24"/>
        </w:rPr>
        <w:t>Bera</w:t>
      </w:r>
      <w:proofErr w:type="spellEnd"/>
      <w:r w:rsidRPr="009B143E">
        <w:rPr>
          <w:rFonts w:ascii="Times New Roman" w:hAnsi="Times New Roman" w:cs="Times New Roman"/>
          <w:sz w:val="24"/>
          <w:szCs w:val="24"/>
        </w:rPr>
        <w:t xml:space="preserve"> et al, 2024b). Like other crop cultivation, regenerative agriculture is equally important if not more in case of tea cultivation specially in the context of Indian Tea cultivation. Though by practice tea cultivation follows some major principles of regenerative agriculture like no /minimum tillage, perennial plantations with shade trees, and vegetative cover in soil. However due to random application of chemical fertilizers and toxic chemical formulations in the name of pest and weed management actually depressed the soil ecosystem and broke the soil-plant-ecosystem equilibrium resulting in outbreaks of pests and diseases which were further aggravated due to climate change impacts like prolonged drought, more frequency of raise in day temperature above 350C and shifting of rainfall pattern. This resulted in poor crop performance, depletion of inherent tea quality, and risk of pesticide residue above MRL resulting in lower economic return. Adopting principles of Regenerative agriculture in the management policy of tea cultivation is the only adoptable solution to attain both ecological and economical sustainability. As tea plantations are meant for at least 50 years in the field, rejuvenation of bush health is the only option to enhance the lost productivity potential especially when large scale soil rejuvenation program is not practically feasible due to raw material scarcity and economically viable.  </w:t>
      </w:r>
    </w:p>
    <w:p w14:paraId="15A605A4" w14:textId="77777777" w:rsidR="009B143E" w:rsidRPr="009B143E" w:rsidRDefault="009B143E" w:rsidP="009B143E">
      <w:pPr>
        <w:spacing w:after="0" w:line="288" w:lineRule="auto"/>
        <w:jc w:val="both"/>
        <w:rPr>
          <w:rFonts w:ascii="Times New Roman" w:hAnsi="Times New Roman" w:cs="Times New Roman"/>
          <w:sz w:val="24"/>
          <w:szCs w:val="24"/>
        </w:rPr>
      </w:pPr>
    </w:p>
    <w:p w14:paraId="1D3312A9" w14:textId="77777777" w:rsidR="009B143E" w:rsidRPr="00F802D2" w:rsidRDefault="009B143E" w:rsidP="009B143E">
      <w:pPr>
        <w:spacing w:after="0" w:line="288" w:lineRule="auto"/>
        <w:jc w:val="both"/>
        <w:rPr>
          <w:rFonts w:ascii="Times New Roman" w:hAnsi="Times New Roman" w:cs="Times New Roman"/>
          <w:b/>
          <w:sz w:val="24"/>
          <w:szCs w:val="24"/>
        </w:rPr>
      </w:pPr>
      <w:r w:rsidRPr="00F802D2">
        <w:rPr>
          <w:rFonts w:ascii="Times New Roman" w:hAnsi="Times New Roman" w:cs="Times New Roman"/>
          <w:b/>
          <w:sz w:val="24"/>
          <w:szCs w:val="24"/>
        </w:rPr>
        <w:t xml:space="preserve">Carbon Neutrality in Field </w:t>
      </w:r>
      <w:proofErr w:type="gramStart"/>
      <w:r w:rsidRPr="00F802D2">
        <w:rPr>
          <w:rFonts w:ascii="Times New Roman" w:hAnsi="Times New Roman" w:cs="Times New Roman"/>
          <w:b/>
          <w:sz w:val="24"/>
          <w:szCs w:val="24"/>
        </w:rPr>
        <w:t>Management :</w:t>
      </w:r>
      <w:proofErr w:type="gramEnd"/>
      <w:r w:rsidRPr="00F802D2">
        <w:rPr>
          <w:rFonts w:ascii="Times New Roman" w:hAnsi="Times New Roman" w:cs="Times New Roman"/>
          <w:b/>
          <w:sz w:val="24"/>
          <w:szCs w:val="24"/>
        </w:rPr>
        <w:t xml:space="preserve"> Primary Goal of Regenerative Agriculture in Tea</w:t>
      </w:r>
    </w:p>
    <w:p w14:paraId="4B5FAC12"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Carbon neutrality refers to agricultural practices that balance the amount of carbon dioxide (CO</w:t>
      </w:r>
      <w:r w:rsidRPr="00F802D2">
        <w:rPr>
          <w:rFonts w:ascii="Times New Roman" w:hAnsi="Times New Roman" w:cs="Times New Roman"/>
          <w:sz w:val="24"/>
          <w:szCs w:val="24"/>
          <w:vertAlign w:val="subscript"/>
        </w:rPr>
        <w:t>2</w:t>
      </w:r>
      <w:r w:rsidRPr="009B143E">
        <w:rPr>
          <w:rFonts w:ascii="Times New Roman" w:hAnsi="Times New Roman" w:cs="Times New Roman"/>
          <w:sz w:val="24"/>
          <w:szCs w:val="24"/>
        </w:rPr>
        <w:t>) emitted with an equivalent amount of CO</w:t>
      </w:r>
      <w:r w:rsidRPr="00F802D2">
        <w:rPr>
          <w:rFonts w:ascii="Times New Roman" w:hAnsi="Times New Roman" w:cs="Times New Roman"/>
          <w:sz w:val="24"/>
          <w:szCs w:val="24"/>
          <w:vertAlign w:val="subscript"/>
        </w:rPr>
        <w:t>2</w:t>
      </w:r>
      <w:r w:rsidRPr="009B143E">
        <w:rPr>
          <w:rFonts w:ascii="Times New Roman" w:hAnsi="Times New Roman" w:cs="Times New Roman"/>
          <w:sz w:val="24"/>
          <w:szCs w:val="24"/>
        </w:rPr>
        <w:t xml:space="preserve"> sequestered or offset. This approach aims to reduce the net carbon footprint of farming operations to zero. Carbon-neutral farming is all about practicing a scientifically proven methodology that arrests carbon emissions without affecting agricultural output (Arise, 2022). Proper farm management techniques can result in healthy crop yields, without endangering the planet. Regenerative Agriculture practices can help achieve carbon neutrality by reducing the carbon footprint of farming operations and increasing the amount of carbon absorbed from the atmosphere. Thus impact of regenerative agriculture management techniques as well as the intensity of management taken in field level can be measured through carbon footprint accounting. On the other hand, carbon neutrality and sustenance in food production are the two sides of the same coin, but the terminology is only </w:t>
      </w:r>
      <w:r w:rsidRPr="009B143E">
        <w:rPr>
          <w:rFonts w:ascii="Times New Roman" w:hAnsi="Times New Roman" w:cs="Times New Roman"/>
          <w:sz w:val="24"/>
          <w:szCs w:val="24"/>
        </w:rPr>
        <w:lastRenderedPageBreak/>
        <w:t xml:space="preserve">valid when practices that have direct role in target crop management are only considered for carbon footprint calculation. In the case of tea, as the total management is distinctly divided into two parts, </w:t>
      </w:r>
      <w:proofErr w:type="spellStart"/>
      <w:r w:rsidRPr="009B143E">
        <w:rPr>
          <w:rFonts w:ascii="Times New Roman" w:hAnsi="Times New Roman" w:cs="Times New Roman"/>
          <w:sz w:val="24"/>
          <w:szCs w:val="24"/>
        </w:rPr>
        <w:t>ie</w:t>
      </w:r>
      <w:proofErr w:type="spellEnd"/>
      <w:r w:rsidRPr="009B143E">
        <w:rPr>
          <w:rFonts w:ascii="Times New Roman" w:hAnsi="Times New Roman" w:cs="Times New Roman"/>
          <w:sz w:val="24"/>
          <w:szCs w:val="24"/>
        </w:rPr>
        <w:t xml:space="preserve"> field management and factory operation; primary goal of any Regenerative Agriculture undertaken in tea estate should focus towards 100 % offsetting of field GHG emissions which arise due to field level management like application of fertilizer, pesticides, irrigation and fuel used for machinery and field level transport. </w:t>
      </w:r>
    </w:p>
    <w:p w14:paraId="3058FDBD" w14:textId="77777777" w:rsidR="00F802D2" w:rsidRDefault="00F802D2" w:rsidP="009B143E">
      <w:pPr>
        <w:spacing w:after="0" w:line="288" w:lineRule="auto"/>
        <w:jc w:val="both"/>
        <w:rPr>
          <w:rFonts w:ascii="Times New Roman" w:hAnsi="Times New Roman" w:cs="Times New Roman"/>
          <w:sz w:val="24"/>
          <w:szCs w:val="24"/>
        </w:rPr>
      </w:pPr>
    </w:p>
    <w:p w14:paraId="610B1546" w14:textId="77777777" w:rsidR="009B143E" w:rsidRDefault="009B143E" w:rsidP="009B143E">
      <w:pPr>
        <w:spacing w:after="0" w:line="288" w:lineRule="auto"/>
        <w:jc w:val="both"/>
        <w:rPr>
          <w:rFonts w:ascii="Times New Roman" w:hAnsi="Times New Roman" w:cs="Times New Roman"/>
          <w:b/>
          <w:sz w:val="24"/>
          <w:szCs w:val="24"/>
        </w:rPr>
      </w:pPr>
      <w:r w:rsidRPr="00F802D2">
        <w:rPr>
          <w:rFonts w:ascii="Times New Roman" w:hAnsi="Times New Roman" w:cs="Times New Roman"/>
          <w:b/>
          <w:sz w:val="24"/>
          <w:szCs w:val="24"/>
        </w:rPr>
        <w:t>Development of TEC- carbon computing tool for tea- A major leap forward towards carbon footprint assessment in Indian Tea</w:t>
      </w:r>
    </w:p>
    <w:p w14:paraId="013C0190" w14:textId="77777777" w:rsidR="00F802D2" w:rsidRPr="00F802D2" w:rsidRDefault="00F802D2" w:rsidP="009B143E">
      <w:pPr>
        <w:spacing w:after="0" w:line="288" w:lineRule="auto"/>
        <w:jc w:val="both"/>
        <w:rPr>
          <w:rFonts w:ascii="Times New Roman" w:hAnsi="Times New Roman" w:cs="Times New Roman"/>
          <w:b/>
          <w:sz w:val="24"/>
          <w:szCs w:val="24"/>
        </w:rPr>
      </w:pPr>
    </w:p>
    <w:p w14:paraId="7614B0B3" w14:textId="77777777" w:rsidR="009B143E" w:rsidRPr="009B143E" w:rsidRDefault="009B143E" w:rsidP="009B143E">
      <w:pPr>
        <w:spacing w:after="0" w:line="288" w:lineRule="auto"/>
        <w:jc w:val="both"/>
        <w:rPr>
          <w:rFonts w:ascii="Times New Roman" w:hAnsi="Times New Roman" w:cs="Times New Roman"/>
          <w:sz w:val="24"/>
          <w:szCs w:val="24"/>
        </w:rPr>
      </w:pPr>
      <w:proofErr w:type="spellStart"/>
      <w:r w:rsidRPr="009B143E">
        <w:rPr>
          <w:rFonts w:ascii="Times New Roman" w:hAnsi="Times New Roman" w:cs="Times New Roman"/>
          <w:sz w:val="24"/>
          <w:szCs w:val="24"/>
        </w:rPr>
        <w:t>Trustea</w:t>
      </w:r>
      <w:proofErr w:type="spellEnd"/>
      <w:r w:rsidRPr="009B143E">
        <w:rPr>
          <w:rFonts w:ascii="Times New Roman" w:hAnsi="Times New Roman" w:cs="Times New Roman"/>
          <w:sz w:val="24"/>
          <w:szCs w:val="24"/>
        </w:rPr>
        <w:t xml:space="preserve"> Emission Calculator “TEC” has been jointly developed by </w:t>
      </w:r>
      <w:proofErr w:type="spellStart"/>
      <w:r w:rsidRPr="009B143E">
        <w:rPr>
          <w:rFonts w:ascii="Times New Roman" w:hAnsi="Times New Roman" w:cs="Times New Roman"/>
          <w:sz w:val="24"/>
          <w:szCs w:val="24"/>
        </w:rPr>
        <w:t>Trustea</w:t>
      </w:r>
      <w:proofErr w:type="spellEnd"/>
      <w:r w:rsidRPr="009B143E">
        <w:rPr>
          <w:rFonts w:ascii="Times New Roman" w:hAnsi="Times New Roman" w:cs="Times New Roman"/>
          <w:sz w:val="24"/>
          <w:szCs w:val="24"/>
        </w:rPr>
        <w:t xml:space="preserve"> Sustainable Tea Foundation (TSTF) and Inhana Organic Research Foundation (IORF) based on the Agriculture Carbon Footprint Assessor (ACFA) Version 2.0 expounded by Inhana Organic Research Foundation (IORF) and ICAR-ATARI, Kolkata (Zone-V) in association with </w:t>
      </w:r>
      <w:proofErr w:type="spellStart"/>
      <w:r w:rsidRPr="009B143E">
        <w:rPr>
          <w:rFonts w:ascii="Times New Roman" w:hAnsi="Times New Roman" w:cs="Times New Roman"/>
          <w:sz w:val="24"/>
          <w:szCs w:val="24"/>
        </w:rPr>
        <w:t>i-NoCarbon</w:t>
      </w:r>
      <w:proofErr w:type="spellEnd"/>
      <w:r w:rsidRPr="009B143E">
        <w:rPr>
          <w:rFonts w:ascii="Times New Roman" w:hAnsi="Times New Roman" w:cs="Times New Roman"/>
          <w:sz w:val="24"/>
          <w:szCs w:val="24"/>
        </w:rPr>
        <w:t xml:space="preserve"> Limited (</w:t>
      </w:r>
      <w:proofErr w:type="spellStart"/>
      <w:r w:rsidRPr="009B143E">
        <w:rPr>
          <w:rFonts w:ascii="Times New Roman" w:hAnsi="Times New Roman" w:cs="Times New Roman"/>
          <w:sz w:val="24"/>
          <w:szCs w:val="24"/>
        </w:rPr>
        <w:t>i</w:t>
      </w:r>
      <w:proofErr w:type="spellEnd"/>
      <w:r w:rsidRPr="009B143E">
        <w:rPr>
          <w:rFonts w:ascii="Times New Roman" w:hAnsi="Times New Roman" w:cs="Times New Roman"/>
          <w:sz w:val="24"/>
          <w:szCs w:val="24"/>
        </w:rPr>
        <w:t>-NC), UK (based on relevant IPCC Guidelines and empirical scientific research works). At the same time, TEC is probably the 1st ever Carbon Computing Tool for carbon assessment in tea sector considering the agro-ecological variability of Indian tea agro-ecosystem as well as diversities in the management and alternate input usage. This tool kit is a hybrid module which need both audit and analysis-based datasets for final carbon calculation (Inhana, 2024). Thus TEC Tool completed the gap in impact assessment of Regenerative Agriculture in Tea.</w:t>
      </w:r>
    </w:p>
    <w:p w14:paraId="12CBB67F" w14:textId="77777777" w:rsidR="00F802D2" w:rsidRDefault="00F802D2" w:rsidP="009B143E">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9464" w:type="dxa"/>
        <w:tblBorders>
          <w:insideH w:val="none" w:sz="0" w:space="0" w:color="auto"/>
          <w:insideV w:val="none" w:sz="0" w:space="0" w:color="auto"/>
        </w:tblBorders>
        <w:tblLook w:val="04A0" w:firstRow="1" w:lastRow="0" w:firstColumn="1" w:lastColumn="0" w:noHBand="0" w:noVBand="1"/>
      </w:tblPr>
      <w:tblGrid>
        <w:gridCol w:w="2406"/>
        <w:gridCol w:w="7058"/>
      </w:tblGrid>
      <w:tr w:rsidR="00F802D2" w:rsidRPr="00A650B3" w14:paraId="1980F991" w14:textId="77777777" w:rsidTr="00A90412">
        <w:trPr>
          <w:trHeight w:val="3500"/>
        </w:trPr>
        <w:tc>
          <w:tcPr>
            <w:tcW w:w="2376" w:type="dxa"/>
          </w:tcPr>
          <w:p w14:paraId="2C24E1B5" w14:textId="77777777" w:rsidR="00F802D2" w:rsidRPr="00A650B3" w:rsidRDefault="00F802D2" w:rsidP="00A90412">
            <w:pPr>
              <w:jc w:val="both"/>
              <w:rPr>
                <w:rFonts w:ascii="Times New Roman" w:hAnsi="Times New Roman" w:cs="Times New Roman"/>
                <w:b/>
                <w:color w:val="000000" w:themeColor="text1"/>
                <w:sz w:val="24"/>
                <w:szCs w:val="24"/>
              </w:rPr>
            </w:pPr>
            <w:r w:rsidRPr="00A650B3">
              <w:rPr>
                <w:rFonts w:ascii="Times New Roman" w:hAnsi="Times New Roman" w:cs="Times New Roman"/>
                <w:b/>
                <w:noProof/>
                <w:color w:val="000000" w:themeColor="text1"/>
                <w:sz w:val="24"/>
                <w:szCs w:val="24"/>
              </w:rPr>
              <w:drawing>
                <wp:inline distT="0" distB="0" distL="0" distR="0" wp14:anchorId="576747AD" wp14:editId="3035A3F8">
                  <wp:extent cx="1389333" cy="2700000"/>
                  <wp:effectExtent l="0" t="0" r="1905" b="571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4254" cy="2728998"/>
                          </a:xfrm>
                          <a:prstGeom prst="rect">
                            <a:avLst/>
                          </a:prstGeom>
                          <a:noFill/>
                          <a:ln>
                            <a:noFill/>
                          </a:ln>
                          <a:effectLst/>
                        </pic:spPr>
                      </pic:pic>
                    </a:graphicData>
                  </a:graphic>
                </wp:inline>
              </w:drawing>
            </w:r>
          </w:p>
        </w:tc>
        <w:tc>
          <w:tcPr>
            <w:tcW w:w="7088" w:type="dxa"/>
          </w:tcPr>
          <w:p w14:paraId="1DF39FBE" w14:textId="77777777" w:rsidR="00F802D2" w:rsidRPr="00A650B3" w:rsidRDefault="00F802D2" w:rsidP="00A90412">
            <w:pPr>
              <w:spacing w:line="288" w:lineRule="auto"/>
              <w:jc w:val="both"/>
              <w:rPr>
                <w:rFonts w:ascii="Times New Roman" w:hAnsi="Times New Roman" w:cs="Times New Roman"/>
                <w:color w:val="000000" w:themeColor="text1"/>
                <w:sz w:val="24"/>
                <w:szCs w:val="24"/>
              </w:rPr>
            </w:pPr>
            <w:r w:rsidRPr="00A650B3">
              <w:rPr>
                <w:rFonts w:ascii="Times New Roman" w:hAnsi="Times New Roman" w:cs="Times New Roman"/>
                <w:color w:val="000000" w:themeColor="text1"/>
                <w:sz w:val="24"/>
                <w:szCs w:val="24"/>
              </w:rPr>
              <w:t xml:space="preserve">TEC toolkit certified by </w:t>
            </w:r>
            <w:proofErr w:type="spellStart"/>
            <w:r w:rsidRPr="00A650B3">
              <w:rPr>
                <w:rFonts w:ascii="Times New Roman" w:hAnsi="Times New Roman" w:cs="Times New Roman"/>
                <w:color w:val="000000" w:themeColor="text1"/>
                <w:sz w:val="24"/>
                <w:szCs w:val="24"/>
              </w:rPr>
              <w:t>i-NoCarbon</w:t>
            </w:r>
            <w:proofErr w:type="spellEnd"/>
            <w:r w:rsidRPr="00A650B3">
              <w:rPr>
                <w:rFonts w:ascii="Times New Roman" w:hAnsi="Times New Roman" w:cs="Times New Roman"/>
                <w:color w:val="000000" w:themeColor="text1"/>
                <w:sz w:val="24"/>
                <w:szCs w:val="24"/>
              </w:rPr>
              <w:t xml:space="preserve"> Limited (</w:t>
            </w:r>
            <w:proofErr w:type="spellStart"/>
            <w:r w:rsidRPr="00A650B3">
              <w:rPr>
                <w:rFonts w:ascii="Times New Roman" w:hAnsi="Times New Roman" w:cs="Times New Roman"/>
                <w:color w:val="000000" w:themeColor="text1"/>
                <w:sz w:val="24"/>
                <w:szCs w:val="24"/>
              </w:rPr>
              <w:t>i</w:t>
            </w:r>
            <w:proofErr w:type="spellEnd"/>
            <w:r w:rsidRPr="00A650B3">
              <w:rPr>
                <w:rFonts w:ascii="Times New Roman" w:hAnsi="Times New Roman" w:cs="Times New Roman"/>
                <w:color w:val="000000" w:themeColor="text1"/>
                <w:sz w:val="24"/>
                <w:szCs w:val="24"/>
              </w:rPr>
              <w:t>-NC), UK complies the major standards viz GHG Protocol, ISO-14044:2006, ISO-14064 and PAS 2060; This tool kit is a hybrid module which need both audit and analysis based dataset for final carbon calculation. Advanced version of TEC Tool highlights the relationship between carbon and sustainability indices and helpful for Sustainability SWOT study of any tea estate or small tea grower’s farm. At the same time, the analytical output from the ‘TEC Toolkit’ will help to develop Regenerative farming models along with management policies towards reduction of carbon footprint of the tea while infusing sustainability components.</w:t>
            </w:r>
          </w:p>
          <w:p w14:paraId="2643FE56" w14:textId="77777777" w:rsidR="00F802D2" w:rsidRPr="00A650B3" w:rsidRDefault="00F802D2" w:rsidP="00F802D2">
            <w:pPr>
              <w:rPr>
                <w:rFonts w:ascii="Times New Roman" w:hAnsi="Times New Roman" w:cs="Times New Roman"/>
                <w:b/>
                <w:color w:val="000000" w:themeColor="text1"/>
                <w:sz w:val="24"/>
                <w:szCs w:val="24"/>
              </w:rPr>
            </w:pPr>
            <w:r w:rsidRPr="00A650B3">
              <w:rPr>
                <w:rFonts w:ascii="Times New Roman" w:hAnsi="Times New Roman" w:cs="Times New Roman"/>
                <w:b/>
                <w:color w:val="000000" w:themeColor="text1"/>
                <w:sz w:val="24"/>
                <w:szCs w:val="24"/>
              </w:rPr>
              <w:t>Download Link :</w:t>
            </w:r>
            <w:hyperlink r:id="rId20" w:history="1">
              <w:r w:rsidRPr="00F802D2">
                <w:rPr>
                  <w:rStyle w:val="Hyperlink"/>
                  <w:rFonts w:ascii="Times New Roman" w:hAnsi="Times New Roman" w:cs="Times New Roman"/>
                  <w:b/>
                  <w:sz w:val="20"/>
                  <w:szCs w:val="20"/>
                  <w:u w:val="none"/>
                </w:rPr>
                <w:t>https://play.google.com/store/apps/details?id=com.trustea.tec&amp;hl=en_IN</w:t>
              </w:r>
            </w:hyperlink>
            <w:r w:rsidRPr="00F802D2">
              <w:rPr>
                <w:rStyle w:val="Hyperlink"/>
                <w:rFonts w:ascii="Times New Roman" w:hAnsi="Times New Roman" w:cs="Times New Roman"/>
                <w:b/>
                <w:color w:val="000000" w:themeColor="text1"/>
                <w:sz w:val="20"/>
                <w:szCs w:val="20"/>
                <w:u w:val="none"/>
              </w:rPr>
              <w:t xml:space="preserve">   </w:t>
            </w:r>
          </w:p>
        </w:tc>
      </w:tr>
    </w:tbl>
    <w:p w14:paraId="03F2FEBB" w14:textId="77777777" w:rsidR="00F802D2" w:rsidRDefault="00F802D2" w:rsidP="009B143E">
      <w:pPr>
        <w:spacing w:after="0" w:line="288" w:lineRule="auto"/>
        <w:jc w:val="both"/>
        <w:rPr>
          <w:rFonts w:ascii="Times New Roman" w:hAnsi="Times New Roman" w:cs="Times New Roman"/>
          <w:sz w:val="24"/>
          <w:szCs w:val="24"/>
        </w:rPr>
      </w:pPr>
    </w:p>
    <w:p w14:paraId="1C22F140" w14:textId="77777777" w:rsidR="00F802D2" w:rsidRDefault="00F802D2" w:rsidP="009B143E">
      <w:pPr>
        <w:spacing w:after="0" w:line="288" w:lineRule="auto"/>
        <w:jc w:val="both"/>
        <w:rPr>
          <w:rFonts w:ascii="Times New Roman" w:hAnsi="Times New Roman" w:cs="Times New Roman"/>
          <w:sz w:val="24"/>
          <w:szCs w:val="24"/>
        </w:rPr>
      </w:pPr>
    </w:p>
    <w:p w14:paraId="038DE943" w14:textId="77777777" w:rsidR="009B143E" w:rsidRPr="009B143E" w:rsidRDefault="009B143E" w:rsidP="009B143E">
      <w:pPr>
        <w:spacing w:after="0" w:line="288" w:lineRule="auto"/>
        <w:jc w:val="both"/>
        <w:rPr>
          <w:rFonts w:ascii="Times New Roman" w:hAnsi="Times New Roman" w:cs="Times New Roman"/>
          <w:sz w:val="24"/>
          <w:szCs w:val="24"/>
        </w:rPr>
      </w:pPr>
    </w:p>
    <w:p w14:paraId="763A6DFA" w14:textId="77777777" w:rsidR="00F802D2" w:rsidRDefault="00F802D2">
      <w:pPr>
        <w:rPr>
          <w:rFonts w:ascii="Times New Roman" w:hAnsi="Times New Roman" w:cs="Times New Roman"/>
          <w:sz w:val="24"/>
          <w:szCs w:val="24"/>
        </w:rPr>
      </w:pPr>
      <w:r>
        <w:rPr>
          <w:rFonts w:ascii="Times New Roman" w:hAnsi="Times New Roman" w:cs="Times New Roman"/>
          <w:sz w:val="24"/>
          <w:szCs w:val="24"/>
        </w:rPr>
        <w:br w:type="page"/>
      </w:r>
    </w:p>
    <w:p w14:paraId="3A9A0A54" w14:textId="77777777" w:rsidR="009B143E" w:rsidRPr="00F802D2" w:rsidRDefault="009B143E" w:rsidP="009B143E">
      <w:pPr>
        <w:spacing w:after="0" w:line="288" w:lineRule="auto"/>
        <w:jc w:val="both"/>
        <w:rPr>
          <w:rFonts w:ascii="Times New Roman" w:hAnsi="Times New Roman" w:cs="Times New Roman"/>
          <w:b/>
          <w:sz w:val="24"/>
          <w:szCs w:val="24"/>
        </w:rPr>
      </w:pPr>
      <w:r w:rsidRPr="00F802D2">
        <w:rPr>
          <w:rFonts w:ascii="Times New Roman" w:hAnsi="Times New Roman" w:cs="Times New Roman"/>
          <w:b/>
          <w:sz w:val="24"/>
          <w:szCs w:val="24"/>
        </w:rPr>
        <w:lastRenderedPageBreak/>
        <w:t>Practice flow diagram to achieve carbon neutrality in tea</w:t>
      </w:r>
    </w:p>
    <w:p w14:paraId="428B11C1"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To achieve carbon neutrality in tea, a comprehensive science based management system has to be adopted as age old bushes, continuous stress on plants due to multiple vegetative propagation, limited scope for soil rejuvenation, soil acidity and the related improper nutrient dynamics along with the unresolved pest and disease infestation; lead to complex problems – which are much different and difficult to address as compared to other crops.</w:t>
      </w:r>
      <w:r w:rsidR="00F802D2">
        <w:rPr>
          <w:rFonts w:ascii="Times New Roman" w:hAnsi="Times New Roman" w:cs="Times New Roman"/>
          <w:sz w:val="24"/>
          <w:szCs w:val="24"/>
        </w:rPr>
        <w:t xml:space="preserve"> </w:t>
      </w:r>
      <w:r w:rsidRPr="009B143E">
        <w:rPr>
          <w:rFonts w:ascii="Times New Roman" w:hAnsi="Times New Roman" w:cs="Times New Roman"/>
          <w:sz w:val="24"/>
          <w:szCs w:val="24"/>
        </w:rPr>
        <w:t>‘Sustainability’ can be enabled when the potential and problems of a plantation is studied, resources are mapped and a customized Package of Practice (POP) is developed on the basis of the study. The POP should focus on re-activation of plant physiology vis-à-vis soil rejuvenation so that both these components can work in tandem thereby enabling harmonious ecological interactions.</w:t>
      </w:r>
    </w:p>
    <w:p w14:paraId="6C34FFC3" w14:textId="77777777" w:rsidR="00F802D2" w:rsidRDefault="00F802D2" w:rsidP="009B143E">
      <w:pPr>
        <w:spacing w:after="0" w:line="288" w:lineRule="auto"/>
        <w:jc w:val="both"/>
        <w:rPr>
          <w:rFonts w:ascii="Times New Roman" w:hAnsi="Times New Roman" w:cs="Times New Roman"/>
          <w:sz w:val="24"/>
          <w:szCs w:val="24"/>
        </w:rPr>
      </w:pPr>
    </w:p>
    <w:p w14:paraId="4844D633"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Effective resource management is the first step towards any regenerative agriculture initiative and SWOT (Strength, Weakness, Opportunity &amp; Threat) study is its foundation.  Simultaneously ‘Soil Audit’ i.e., assessment of Soil Quality will help </w:t>
      </w:r>
      <w:proofErr w:type="gramStart"/>
      <w:r w:rsidRPr="009B143E">
        <w:rPr>
          <w:rFonts w:ascii="Times New Roman" w:hAnsi="Times New Roman" w:cs="Times New Roman"/>
          <w:sz w:val="24"/>
          <w:szCs w:val="24"/>
        </w:rPr>
        <w:t>to  formulate</w:t>
      </w:r>
      <w:proofErr w:type="gramEnd"/>
      <w:r w:rsidRPr="009B143E">
        <w:rPr>
          <w:rFonts w:ascii="Times New Roman" w:hAnsi="Times New Roman" w:cs="Times New Roman"/>
          <w:sz w:val="24"/>
          <w:szCs w:val="24"/>
        </w:rPr>
        <w:t xml:space="preserve"> the regenerative soil management policy for a tea estate (Fig 11). As soil chemical fertilization, application of pesticides, irrigation and garden transport are the four major source of GHG, emission; mitigation from point of emission primarily depend </w:t>
      </w:r>
      <w:proofErr w:type="gramStart"/>
      <w:r w:rsidRPr="009B143E">
        <w:rPr>
          <w:rFonts w:ascii="Times New Roman" w:hAnsi="Times New Roman" w:cs="Times New Roman"/>
          <w:sz w:val="24"/>
          <w:szCs w:val="24"/>
        </w:rPr>
        <w:t>on  regenerative</w:t>
      </w:r>
      <w:proofErr w:type="gramEnd"/>
      <w:r w:rsidRPr="009B143E">
        <w:rPr>
          <w:rFonts w:ascii="Times New Roman" w:hAnsi="Times New Roman" w:cs="Times New Roman"/>
          <w:sz w:val="24"/>
          <w:szCs w:val="24"/>
        </w:rPr>
        <w:t xml:space="preserve"> soil management policy taken by the garden like application of on-farm compost, cover cropping, recycling of pruning litter, maintaining a healthy vegetative cover on soil along with gradual reduction of chemical fertilizer and other chemical. And most importantly it will only happen when plant system will be responsive to this management </w:t>
      </w:r>
      <w:proofErr w:type="gramStart"/>
      <w:r w:rsidRPr="009B143E">
        <w:rPr>
          <w:rFonts w:ascii="Times New Roman" w:hAnsi="Times New Roman" w:cs="Times New Roman"/>
          <w:sz w:val="24"/>
          <w:szCs w:val="24"/>
        </w:rPr>
        <w:t>change  and</w:t>
      </w:r>
      <w:proofErr w:type="gramEnd"/>
      <w:r w:rsidRPr="009B143E">
        <w:rPr>
          <w:rFonts w:ascii="Times New Roman" w:hAnsi="Times New Roman" w:cs="Times New Roman"/>
          <w:sz w:val="24"/>
          <w:szCs w:val="24"/>
        </w:rPr>
        <w:t xml:space="preserve"> thus plant health management will be the most important criteria towards sustenance of crop yield and building internal immunity against biotic and abiotic stress. The most critical phase is that management transformative stage, when intensive management support and higher investment in sustainability account pays off in long terms basis. However it is curtain that how much this transformation phase will be smooth, it depends upon the choice of plant health management practice and intensity of its time-bound application.</w:t>
      </w:r>
    </w:p>
    <w:p w14:paraId="13DA2DD5"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F802D2" w:rsidRPr="00A650B3" w14:paraId="598519E3" w14:textId="77777777" w:rsidTr="00A90412">
        <w:trPr>
          <w:trHeight w:val="4607"/>
        </w:trPr>
        <w:tc>
          <w:tcPr>
            <w:tcW w:w="9464" w:type="dxa"/>
          </w:tcPr>
          <w:p w14:paraId="341D0CE9" w14:textId="77777777" w:rsidR="00F802D2" w:rsidRPr="00A650B3" w:rsidRDefault="00F802D2" w:rsidP="00A90412">
            <w:pPr>
              <w:jc w:val="both"/>
              <w:rPr>
                <w:rFonts w:ascii="Times New Roman" w:hAnsi="Times New Roman" w:cs="Times New Roman"/>
                <w:color w:val="000000" w:themeColor="text1"/>
                <w:sz w:val="24"/>
                <w:szCs w:val="24"/>
              </w:rPr>
            </w:pPr>
            <w:r w:rsidRPr="00A650B3">
              <w:rPr>
                <w:rFonts w:ascii="Times New Roman" w:hAnsi="Times New Roman" w:cs="Times New Roman"/>
                <w:noProof/>
                <w:color w:val="000000" w:themeColor="text1"/>
                <w:sz w:val="24"/>
                <w:szCs w:val="24"/>
              </w:rPr>
              <w:lastRenderedPageBreak/>
              <w:drawing>
                <wp:inline distT="0" distB="0" distL="0" distR="0" wp14:anchorId="14E03F0F" wp14:editId="2D48B1BB">
                  <wp:extent cx="5854535" cy="3645725"/>
                  <wp:effectExtent l="19050" t="19050" r="1333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85739" cy="3665156"/>
                          </a:xfrm>
                          <a:prstGeom prst="rect">
                            <a:avLst/>
                          </a:prstGeom>
                          <a:noFill/>
                          <a:ln>
                            <a:solidFill>
                              <a:schemeClr val="tx1"/>
                            </a:solidFill>
                          </a:ln>
                        </pic:spPr>
                      </pic:pic>
                    </a:graphicData>
                  </a:graphic>
                </wp:inline>
              </w:drawing>
            </w:r>
          </w:p>
        </w:tc>
      </w:tr>
      <w:tr w:rsidR="00F802D2" w:rsidRPr="00A650B3" w14:paraId="28A633DB" w14:textId="77777777" w:rsidTr="00A90412">
        <w:tc>
          <w:tcPr>
            <w:tcW w:w="9464" w:type="dxa"/>
          </w:tcPr>
          <w:p w14:paraId="623F1219" w14:textId="77777777" w:rsidR="00F802D2" w:rsidRPr="00A650B3" w:rsidRDefault="00F802D2" w:rsidP="00A90412">
            <w:pPr>
              <w:jc w:val="both"/>
              <w:rPr>
                <w:rFonts w:ascii="Times New Roman" w:hAnsi="Times New Roman" w:cs="Times New Roman"/>
                <w:b/>
                <w:color w:val="000000" w:themeColor="text1"/>
                <w:sz w:val="24"/>
                <w:szCs w:val="24"/>
              </w:rPr>
            </w:pPr>
            <w:r w:rsidRPr="00A650B3">
              <w:rPr>
                <w:rFonts w:ascii="Times New Roman" w:hAnsi="Times New Roman" w:cs="Times New Roman"/>
                <w:b/>
                <w:color w:val="000000" w:themeColor="text1"/>
                <w:sz w:val="24"/>
                <w:szCs w:val="24"/>
              </w:rPr>
              <w:t>Fig 11: Regenerative Agricultural Practice to achieve carbon neutrality in tea</w:t>
            </w:r>
          </w:p>
        </w:tc>
      </w:tr>
    </w:tbl>
    <w:p w14:paraId="0B202C2F" w14:textId="77777777" w:rsidR="00F802D2" w:rsidRDefault="00F802D2" w:rsidP="009B143E">
      <w:pPr>
        <w:spacing w:after="0" w:line="288" w:lineRule="auto"/>
        <w:jc w:val="both"/>
        <w:rPr>
          <w:rFonts w:ascii="Times New Roman" w:hAnsi="Times New Roman" w:cs="Times New Roman"/>
          <w:sz w:val="24"/>
          <w:szCs w:val="24"/>
        </w:rPr>
      </w:pPr>
    </w:p>
    <w:p w14:paraId="6C4BAF75" w14:textId="77777777" w:rsidR="009B143E" w:rsidRPr="00F802D2" w:rsidRDefault="009B143E" w:rsidP="009B143E">
      <w:pPr>
        <w:spacing w:after="0" w:line="288" w:lineRule="auto"/>
        <w:jc w:val="both"/>
        <w:rPr>
          <w:rFonts w:ascii="Times New Roman" w:hAnsi="Times New Roman" w:cs="Times New Roman"/>
          <w:b/>
          <w:sz w:val="24"/>
          <w:szCs w:val="24"/>
        </w:rPr>
      </w:pPr>
      <w:r w:rsidRPr="00F802D2">
        <w:rPr>
          <w:rFonts w:ascii="Times New Roman" w:hAnsi="Times New Roman" w:cs="Times New Roman"/>
          <w:b/>
          <w:sz w:val="24"/>
          <w:szCs w:val="24"/>
        </w:rPr>
        <w:t>Regenerative Agriculture Initiative in Tea – Case studies from Indian Tea</w:t>
      </w:r>
    </w:p>
    <w:p w14:paraId="2E971809" w14:textId="71C35529"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India, as the second-largest tea producer</w:t>
      </w:r>
      <w:r w:rsidR="00C947F3">
        <w:rPr>
          <w:rFonts w:ascii="Times New Roman" w:hAnsi="Times New Roman" w:cs="Times New Roman"/>
          <w:sz w:val="24"/>
          <w:szCs w:val="24"/>
        </w:rPr>
        <w:t xml:space="preserve"> </w:t>
      </w:r>
      <w:r w:rsidRPr="009B143E">
        <w:rPr>
          <w:rFonts w:ascii="Times New Roman" w:hAnsi="Times New Roman" w:cs="Times New Roman"/>
          <w:sz w:val="24"/>
          <w:szCs w:val="24"/>
        </w:rPr>
        <w:t>globally, faces multiple</w:t>
      </w:r>
      <w:r w:rsidR="00C947F3">
        <w:rPr>
          <w:rFonts w:ascii="Times New Roman" w:hAnsi="Times New Roman" w:cs="Times New Roman"/>
          <w:sz w:val="24"/>
          <w:szCs w:val="24"/>
        </w:rPr>
        <w:t xml:space="preserve"> </w:t>
      </w:r>
      <w:r w:rsidRPr="009B143E">
        <w:rPr>
          <w:rFonts w:ascii="Times New Roman" w:hAnsi="Times New Roman" w:cs="Times New Roman"/>
          <w:sz w:val="24"/>
          <w:szCs w:val="24"/>
        </w:rPr>
        <w:t>environmental, economic, and social challenges</w:t>
      </w:r>
      <w:r w:rsidR="00C947F3">
        <w:rPr>
          <w:rFonts w:ascii="Times New Roman" w:hAnsi="Times New Roman" w:cs="Times New Roman"/>
          <w:sz w:val="24"/>
          <w:szCs w:val="24"/>
        </w:rPr>
        <w:t xml:space="preserve"> </w:t>
      </w:r>
      <w:r w:rsidRPr="009B143E">
        <w:rPr>
          <w:rFonts w:ascii="Times New Roman" w:hAnsi="Times New Roman" w:cs="Times New Roman"/>
          <w:sz w:val="24"/>
          <w:szCs w:val="24"/>
        </w:rPr>
        <w:t>in tea cultivation. Regenerative tea initiatives are crucial to restore soil health,</w:t>
      </w:r>
      <w:r w:rsidR="00C947F3">
        <w:rPr>
          <w:rFonts w:ascii="Times New Roman" w:hAnsi="Times New Roman" w:cs="Times New Roman"/>
          <w:sz w:val="24"/>
          <w:szCs w:val="24"/>
        </w:rPr>
        <w:t xml:space="preserve"> </w:t>
      </w:r>
      <w:r w:rsidRPr="009B143E">
        <w:rPr>
          <w:rFonts w:ascii="Times New Roman" w:hAnsi="Times New Roman" w:cs="Times New Roman"/>
          <w:sz w:val="24"/>
          <w:szCs w:val="24"/>
        </w:rPr>
        <w:t>improve sustainability, and enhance farmers’ livelihoods while ensuring long-term tea production. Several notable case studies exemplify this transformative approach:</w:t>
      </w:r>
    </w:p>
    <w:p w14:paraId="7581E6E9" w14:textId="77777777" w:rsidR="00F802D2" w:rsidRDefault="00F802D2" w:rsidP="009B143E">
      <w:pPr>
        <w:spacing w:after="0" w:line="288" w:lineRule="auto"/>
        <w:jc w:val="both"/>
        <w:rPr>
          <w:rFonts w:ascii="Times New Roman" w:hAnsi="Times New Roman" w:cs="Times New Roman"/>
          <w:sz w:val="24"/>
          <w:szCs w:val="24"/>
        </w:rPr>
      </w:pPr>
    </w:p>
    <w:p w14:paraId="13846A17" w14:textId="77777777" w:rsidR="009B143E" w:rsidRPr="009B143E" w:rsidRDefault="009B143E" w:rsidP="009B143E">
      <w:pPr>
        <w:spacing w:after="0" w:line="288" w:lineRule="auto"/>
        <w:jc w:val="both"/>
        <w:rPr>
          <w:rFonts w:ascii="Times New Roman" w:hAnsi="Times New Roman" w:cs="Times New Roman"/>
          <w:sz w:val="24"/>
          <w:szCs w:val="24"/>
        </w:rPr>
      </w:pPr>
      <w:proofErr w:type="spellStart"/>
      <w:r w:rsidRPr="00F802D2">
        <w:rPr>
          <w:rFonts w:ascii="Times New Roman" w:hAnsi="Times New Roman" w:cs="Times New Roman"/>
          <w:b/>
          <w:sz w:val="24"/>
          <w:szCs w:val="24"/>
        </w:rPr>
        <w:t>Lakhipara</w:t>
      </w:r>
      <w:proofErr w:type="spellEnd"/>
      <w:r w:rsidRPr="00F802D2">
        <w:rPr>
          <w:rFonts w:ascii="Times New Roman" w:hAnsi="Times New Roman" w:cs="Times New Roman"/>
          <w:b/>
          <w:sz w:val="24"/>
          <w:szCs w:val="24"/>
        </w:rPr>
        <w:t xml:space="preserve"> Tea Estate, West </w:t>
      </w:r>
      <w:proofErr w:type="gramStart"/>
      <w:r w:rsidRPr="00F802D2">
        <w:rPr>
          <w:rFonts w:ascii="Times New Roman" w:hAnsi="Times New Roman" w:cs="Times New Roman"/>
          <w:b/>
          <w:sz w:val="24"/>
          <w:szCs w:val="24"/>
        </w:rPr>
        <w:t>Bengal :</w:t>
      </w:r>
      <w:proofErr w:type="gramEnd"/>
      <w:r w:rsidR="00F802D2">
        <w:rPr>
          <w:rFonts w:ascii="Times New Roman" w:hAnsi="Times New Roman" w:cs="Times New Roman"/>
          <w:b/>
          <w:sz w:val="24"/>
          <w:szCs w:val="24"/>
        </w:rPr>
        <w:t xml:space="preserve"> </w:t>
      </w:r>
      <w:r w:rsidRPr="009B143E">
        <w:rPr>
          <w:rFonts w:ascii="Times New Roman" w:hAnsi="Times New Roman" w:cs="Times New Roman"/>
          <w:sz w:val="24"/>
          <w:szCs w:val="24"/>
        </w:rPr>
        <w:t xml:space="preserve">In 2014, the Goodricke Group Limited initiated a sustainable tea program at </w:t>
      </w:r>
      <w:proofErr w:type="spellStart"/>
      <w:r w:rsidRPr="009B143E">
        <w:rPr>
          <w:rFonts w:ascii="Times New Roman" w:hAnsi="Times New Roman" w:cs="Times New Roman"/>
          <w:sz w:val="24"/>
          <w:szCs w:val="24"/>
        </w:rPr>
        <w:t>Lakhipara</w:t>
      </w:r>
      <w:proofErr w:type="spellEnd"/>
      <w:r w:rsidRPr="009B143E">
        <w:rPr>
          <w:rFonts w:ascii="Times New Roman" w:hAnsi="Times New Roman" w:cs="Times New Roman"/>
          <w:sz w:val="24"/>
          <w:szCs w:val="24"/>
        </w:rPr>
        <w:t>, aiming to reduce pesticide usage, enhance soil quality, and produce high-quality teas while maintaining crop yields and lowering the carbon footprint. This initiative adopted the Inhana Rational Farming (IRF) Technology, focusing on comprehensive soil and plant health management.  This initiative aimed to reduce pesticide use, enhance soil quality, and mitigate climate change impacts. The project reported an increase in crop productivity by 78 kg/ha in the project area, contrasting with a loss of 118 kg/ha in non-project areas during the same period. Additionally, there was up to a 77% reduction in pesticide usage, leading to a 62% lower Crop Pesticide Pollution Index compared to the regional average. Soil assessments revealed an 8% increase in Soil Fertility Index and a fourfold boost in microbial activity potential, indicating improved soil health. Furthermore, the project area achieved a 65-70% reduction in carbon footprint, primarily due to decreased use of chemical fertilizers and pesticides (</w:t>
      </w:r>
      <w:proofErr w:type="spellStart"/>
      <w:r w:rsidRPr="009B143E">
        <w:rPr>
          <w:rFonts w:ascii="Times New Roman" w:hAnsi="Times New Roman" w:cs="Times New Roman"/>
          <w:sz w:val="24"/>
          <w:szCs w:val="24"/>
        </w:rPr>
        <w:t>Bera</w:t>
      </w:r>
      <w:proofErr w:type="spellEnd"/>
      <w:r w:rsidRPr="009B143E">
        <w:rPr>
          <w:rFonts w:ascii="Times New Roman" w:hAnsi="Times New Roman" w:cs="Times New Roman"/>
          <w:sz w:val="24"/>
          <w:szCs w:val="24"/>
        </w:rPr>
        <w:t xml:space="preserve"> et al, 2024a). </w:t>
      </w:r>
    </w:p>
    <w:p w14:paraId="59E6A821" w14:textId="77777777" w:rsidR="009B143E" w:rsidRPr="009B143E" w:rsidRDefault="009B143E" w:rsidP="009B143E">
      <w:pPr>
        <w:spacing w:after="0" w:line="288" w:lineRule="auto"/>
        <w:jc w:val="both"/>
        <w:rPr>
          <w:rFonts w:ascii="Times New Roman" w:hAnsi="Times New Roman" w:cs="Times New Roman"/>
          <w:sz w:val="24"/>
          <w:szCs w:val="24"/>
        </w:rPr>
      </w:pPr>
    </w:p>
    <w:p w14:paraId="00CCE78A" w14:textId="77777777" w:rsidR="009B143E" w:rsidRPr="009B143E" w:rsidRDefault="009B143E" w:rsidP="009B143E">
      <w:pPr>
        <w:spacing w:after="0" w:line="288" w:lineRule="auto"/>
        <w:jc w:val="both"/>
        <w:rPr>
          <w:rFonts w:ascii="Times New Roman" w:hAnsi="Times New Roman" w:cs="Times New Roman"/>
          <w:sz w:val="24"/>
          <w:szCs w:val="24"/>
        </w:rPr>
      </w:pPr>
      <w:r w:rsidRPr="00F802D2">
        <w:rPr>
          <w:rFonts w:ascii="Times New Roman" w:hAnsi="Times New Roman" w:cs="Times New Roman"/>
          <w:b/>
          <w:sz w:val="24"/>
          <w:szCs w:val="24"/>
        </w:rPr>
        <w:t xml:space="preserve">Barak Valley, </w:t>
      </w:r>
      <w:proofErr w:type="gramStart"/>
      <w:r w:rsidRPr="00F802D2">
        <w:rPr>
          <w:rFonts w:ascii="Times New Roman" w:hAnsi="Times New Roman" w:cs="Times New Roman"/>
          <w:b/>
          <w:sz w:val="24"/>
          <w:szCs w:val="24"/>
        </w:rPr>
        <w:t>Assam :</w:t>
      </w:r>
      <w:proofErr w:type="gramEnd"/>
      <w:r w:rsidR="00F802D2">
        <w:rPr>
          <w:rFonts w:ascii="Times New Roman" w:hAnsi="Times New Roman" w:cs="Times New Roman"/>
          <w:b/>
          <w:sz w:val="24"/>
          <w:szCs w:val="24"/>
        </w:rPr>
        <w:t xml:space="preserve"> </w:t>
      </w:r>
      <w:r w:rsidRPr="009B143E">
        <w:rPr>
          <w:rFonts w:ascii="Times New Roman" w:hAnsi="Times New Roman" w:cs="Times New Roman"/>
          <w:sz w:val="24"/>
          <w:szCs w:val="24"/>
        </w:rPr>
        <w:t>In the Barak Valley of Assam, a decade-long study focused on adopting Inhana Rational Farming (IRF) technology to address sustainability issues in tea production. The IRF approach emphasizes regenerative farming practices that enhance soil fertility and reduce chemical inputs. Over ten years, tea estates observed improved soil health, increased yields, and a notable reduction in environmental footprint, demonstrating the long-term benefits of regenerative agriculture (</w:t>
      </w:r>
      <w:proofErr w:type="spellStart"/>
      <w:r w:rsidRPr="009B143E">
        <w:rPr>
          <w:rFonts w:ascii="Times New Roman" w:hAnsi="Times New Roman" w:cs="Times New Roman"/>
          <w:sz w:val="24"/>
          <w:szCs w:val="24"/>
        </w:rPr>
        <w:t>Bera</w:t>
      </w:r>
      <w:proofErr w:type="spellEnd"/>
      <w:r w:rsidRPr="009B143E">
        <w:rPr>
          <w:rFonts w:ascii="Times New Roman" w:hAnsi="Times New Roman" w:cs="Times New Roman"/>
          <w:sz w:val="24"/>
          <w:szCs w:val="24"/>
        </w:rPr>
        <w:t xml:space="preserve"> et al, 2024b).</w:t>
      </w:r>
    </w:p>
    <w:p w14:paraId="4FDB3BAD" w14:textId="77777777" w:rsidR="009B143E" w:rsidRPr="009B143E" w:rsidRDefault="009B143E" w:rsidP="009B143E">
      <w:pPr>
        <w:spacing w:after="0" w:line="288" w:lineRule="auto"/>
        <w:jc w:val="both"/>
        <w:rPr>
          <w:rFonts w:ascii="Times New Roman" w:hAnsi="Times New Roman" w:cs="Times New Roman"/>
          <w:sz w:val="24"/>
          <w:szCs w:val="24"/>
        </w:rPr>
      </w:pPr>
    </w:p>
    <w:p w14:paraId="288D2B93" w14:textId="77777777" w:rsidR="009B143E" w:rsidRPr="00F802D2" w:rsidRDefault="009B143E" w:rsidP="009B143E">
      <w:pPr>
        <w:spacing w:after="0" w:line="288" w:lineRule="auto"/>
        <w:jc w:val="both"/>
        <w:rPr>
          <w:rFonts w:ascii="Times New Roman" w:hAnsi="Times New Roman" w:cs="Times New Roman"/>
          <w:b/>
          <w:sz w:val="24"/>
          <w:szCs w:val="24"/>
        </w:rPr>
      </w:pPr>
      <w:r w:rsidRPr="00F802D2">
        <w:rPr>
          <w:rFonts w:ascii="Times New Roman" w:hAnsi="Times New Roman" w:cs="Times New Roman"/>
          <w:b/>
          <w:sz w:val="24"/>
          <w:szCs w:val="24"/>
        </w:rPr>
        <w:t>Conclusion</w:t>
      </w:r>
    </w:p>
    <w:p w14:paraId="4ACD6F88"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Regenerative agriculture plays a crucial role in addressing the challenges of climate change and advancing carbon neutrality. However, it cannot be limited to soil rejuvenation alone. While healthy soils form the foundation of a sustainable system, the efficiency of plants in extracting, transporting, and utilizing nutrients is equally critical. Regenerative agriculture policies must go beyond soil restoration to integrate plant health management, ensuring a synergistic approach that enhances productivity, biodiversity, and climate resilience. By focusing on both soil and plant systems, farmers can fully harness the potential of rejuvenated soils, leading to higher yields, improved ecosystem resilience, and a more adaptive agricultural landscape in the face of climate uncertainties.</w:t>
      </w:r>
    </w:p>
    <w:p w14:paraId="463C9909" w14:textId="77777777" w:rsidR="00F802D2" w:rsidRPr="009B143E" w:rsidRDefault="00F802D2" w:rsidP="009B143E">
      <w:pPr>
        <w:spacing w:after="0" w:line="288" w:lineRule="auto"/>
        <w:jc w:val="both"/>
        <w:rPr>
          <w:rFonts w:ascii="Times New Roman" w:hAnsi="Times New Roman" w:cs="Times New Roman"/>
          <w:sz w:val="24"/>
          <w:szCs w:val="24"/>
        </w:rPr>
      </w:pPr>
    </w:p>
    <w:p w14:paraId="1DC7C5F0"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To make regenerative agriculture effective, productive, and adaptive, two key elements must be prioritized to ensure both short- and long-term sustainability. First, plant health management is essential—without it, all other components will remain suboptimal. A complementary, supplementary, and synergistic approach between soil and plant health is critical for sustained success. Second, a robust policy framework should mandate clear diagnostic protocols for both soil and plant health, enabling precise interventions that maximize the benefits of regenerative farming. These measures will strengthen scientific decision-making and ensure regenerative agriculture remains scalable, impactful, and aligned with global sustainability goals.</w:t>
      </w:r>
    </w:p>
    <w:p w14:paraId="14014F99" w14:textId="39F4C03B"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Thus, the future of regenerative agriculture must integrate soil health, plant physiology, and ecological balance into a single, cohesive strategy. Only through this holistic approach can we fully realize the promise of truly sustainable and regenerative farming.</w:t>
      </w:r>
    </w:p>
    <w:p w14:paraId="7D7F759D" w14:textId="1DD0149A" w:rsidR="00B84AF6" w:rsidRDefault="00B84AF6" w:rsidP="009B143E">
      <w:pPr>
        <w:spacing w:after="0" w:line="288" w:lineRule="auto"/>
        <w:jc w:val="both"/>
        <w:rPr>
          <w:rFonts w:ascii="Times New Roman" w:hAnsi="Times New Roman" w:cs="Times New Roman"/>
          <w:sz w:val="24"/>
          <w:szCs w:val="24"/>
        </w:rPr>
      </w:pPr>
    </w:p>
    <w:p w14:paraId="74E51445" w14:textId="77777777" w:rsidR="00B84AF6" w:rsidRPr="00DE0A2F" w:rsidRDefault="00B84AF6" w:rsidP="00B84AF6">
      <w:pPr>
        <w:spacing w:after="0" w:line="288" w:lineRule="auto"/>
        <w:jc w:val="both"/>
        <w:rPr>
          <w:rFonts w:ascii="Times New Roman" w:hAnsi="Times New Roman" w:cs="Times New Roman"/>
          <w:b/>
          <w:sz w:val="24"/>
          <w:szCs w:val="24"/>
          <w:highlight w:val="yellow"/>
        </w:rPr>
      </w:pPr>
      <w:r w:rsidRPr="00DE0A2F">
        <w:rPr>
          <w:rFonts w:ascii="Times New Roman" w:hAnsi="Times New Roman" w:cs="Times New Roman"/>
          <w:b/>
          <w:sz w:val="24"/>
          <w:szCs w:val="24"/>
          <w:highlight w:val="yellow"/>
        </w:rPr>
        <w:t>Disclaimer (Artificial intelligence)</w:t>
      </w:r>
    </w:p>
    <w:p w14:paraId="37E67724" w14:textId="77777777" w:rsidR="00B84AF6" w:rsidRPr="00B84AF6" w:rsidRDefault="00B84AF6" w:rsidP="00B84AF6">
      <w:pPr>
        <w:spacing w:after="0" w:line="288" w:lineRule="auto"/>
        <w:jc w:val="both"/>
        <w:rPr>
          <w:rFonts w:ascii="Times New Roman" w:hAnsi="Times New Roman" w:cs="Times New Roman"/>
          <w:sz w:val="24"/>
          <w:szCs w:val="24"/>
          <w:highlight w:val="yellow"/>
        </w:rPr>
      </w:pPr>
    </w:p>
    <w:p w14:paraId="1F757EDD" w14:textId="77777777" w:rsidR="00B84AF6" w:rsidRPr="00B84AF6" w:rsidRDefault="00B84AF6" w:rsidP="00B84AF6">
      <w:pPr>
        <w:spacing w:after="0" w:line="288" w:lineRule="auto"/>
        <w:jc w:val="both"/>
        <w:rPr>
          <w:rFonts w:ascii="Times New Roman" w:hAnsi="Times New Roman" w:cs="Times New Roman"/>
          <w:sz w:val="24"/>
          <w:szCs w:val="24"/>
          <w:highlight w:val="yellow"/>
        </w:rPr>
      </w:pPr>
      <w:r w:rsidRPr="00B84AF6">
        <w:rPr>
          <w:rFonts w:ascii="Times New Roman" w:hAnsi="Times New Roman" w:cs="Times New Roman"/>
          <w:sz w:val="24"/>
          <w:szCs w:val="24"/>
          <w:highlight w:val="yellow"/>
        </w:rPr>
        <w:t>Author(s) hereby declare that NO generative AI technologies such as Large Language Models (</w:t>
      </w:r>
      <w:proofErr w:type="spellStart"/>
      <w:r w:rsidRPr="00B84AF6">
        <w:rPr>
          <w:rFonts w:ascii="Times New Roman" w:hAnsi="Times New Roman" w:cs="Times New Roman"/>
          <w:sz w:val="24"/>
          <w:szCs w:val="24"/>
          <w:highlight w:val="yellow"/>
        </w:rPr>
        <w:t>ChatGPT</w:t>
      </w:r>
      <w:proofErr w:type="spellEnd"/>
      <w:r w:rsidRPr="00B84AF6">
        <w:rPr>
          <w:rFonts w:ascii="Times New Roman" w:hAnsi="Times New Roman" w:cs="Times New Roman"/>
          <w:sz w:val="24"/>
          <w:szCs w:val="24"/>
          <w:highlight w:val="yellow"/>
        </w:rPr>
        <w:t xml:space="preserve">, COPILOT, etc.) and text-to-image generators have been used during the writing or editing of this manuscript. </w:t>
      </w:r>
    </w:p>
    <w:p w14:paraId="7990B581" w14:textId="77777777" w:rsidR="00B84AF6" w:rsidRPr="00B84AF6" w:rsidRDefault="00B84AF6" w:rsidP="00B84AF6">
      <w:pPr>
        <w:spacing w:after="0" w:line="288" w:lineRule="auto"/>
        <w:jc w:val="both"/>
        <w:rPr>
          <w:rFonts w:ascii="Times New Roman" w:hAnsi="Times New Roman" w:cs="Times New Roman"/>
          <w:sz w:val="24"/>
          <w:szCs w:val="24"/>
          <w:highlight w:val="yellow"/>
        </w:rPr>
      </w:pPr>
    </w:p>
    <w:p w14:paraId="11575808" w14:textId="77777777" w:rsidR="009B143E" w:rsidRPr="009B143E" w:rsidRDefault="009B143E" w:rsidP="009B143E">
      <w:pPr>
        <w:spacing w:after="0" w:line="288" w:lineRule="auto"/>
        <w:jc w:val="both"/>
        <w:rPr>
          <w:rFonts w:ascii="Times New Roman" w:hAnsi="Times New Roman" w:cs="Times New Roman"/>
          <w:sz w:val="24"/>
          <w:szCs w:val="24"/>
        </w:rPr>
      </w:pPr>
    </w:p>
    <w:p w14:paraId="5ED8EE44" w14:textId="77777777" w:rsidR="009B143E" w:rsidRPr="00F802D2" w:rsidRDefault="009B143E" w:rsidP="009B143E">
      <w:pPr>
        <w:spacing w:after="0" w:line="288" w:lineRule="auto"/>
        <w:jc w:val="both"/>
        <w:rPr>
          <w:rFonts w:ascii="Times New Roman" w:hAnsi="Times New Roman" w:cs="Times New Roman"/>
          <w:b/>
          <w:sz w:val="24"/>
          <w:szCs w:val="24"/>
        </w:rPr>
      </w:pPr>
      <w:r w:rsidRPr="00F802D2">
        <w:rPr>
          <w:rFonts w:ascii="Times New Roman" w:hAnsi="Times New Roman" w:cs="Times New Roman"/>
          <w:b/>
          <w:sz w:val="24"/>
          <w:szCs w:val="24"/>
        </w:rPr>
        <w:t>Reference</w:t>
      </w:r>
    </w:p>
    <w:p w14:paraId="43398BDB"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lastRenderedPageBreak/>
        <w:t xml:space="preserve">Annie, M.; Pal, R.K.; </w:t>
      </w:r>
      <w:proofErr w:type="spellStart"/>
      <w:r w:rsidRPr="0076247D">
        <w:rPr>
          <w:rFonts w:ascii="Times New Roman" w:hAnsi="Times New Roman" w:cs="Times New Roman"/>
          <w:sz w:val="24"/>
          <w:szCs w:val="24"/>
        </w:rPr>
        <w:t>Gawai</w:t>
      </w:r>
      <w:proofErr w:type="spellEnd"/>
      <w:r w:rsidRPr="0076247D">
        <w:rPr>
          <w:rFonts w:ascii="Times New Roman" w:hAnsi="Times New Roman" w:cs="Times New Roman"/>
          <w:sz w:val="24"/>
          <w:szCs w:val="24"/>
        </w:rPr>
        <w:t xml:space="preserve">, A.S.; Sharma, A. (2023) Assessing the Impact of Climate Change on Agricultural Production Using Crop Simulation Model. Int. J. Environ. </w:t>
      </w:r>
      <w:proofErr w:type="spellStart"/>
      <w:r w:rsidRPr="0076247D">
        <w:rPr>
          <w:rFonts w:ascii="Times New Roman" w:hAnsi="Times New Roman" w:cs="Times New Roman"/>
          <w:sz w:val="24"/>
          <w:szCs w:val="24"/>
        </w:rPr>
        <w:t>Clim</w:t>
      </w:r>
      <w:proofErr w:type="spellEnd"/>
      <w:r w:rsidRPr="0076247D">
        <w:rPr>
          <w:rFonts w:ascii="Times New Roman" w:hAnsi="Times New Roman" w:cs="Times New Roman"/>
          <w:sz w:val="24"/>
          <w:szCs w:val="24"/>
        </w:rPr>
        <w:t xml:space="preserve">. Change 2023, 13, 538–550. </w:t>
      </w:r>
    </w:p>
    <w:p w14:paraId="11B732A5"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Arise (2022). Carbon Neutral Farming in 2022, Available at https://www.ariseiip.com/blog-carbon-neutral-farming-in-2022/</w:t>
      </w:r>
    </w:p>
    <w:p w14:paraId="3C1E8E80"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Bender, S.F., Wagg, C. and van der Heijden, M.G. (2016). An underground revolution: Biodiversity and soil ecological engineering for agricultural sustainability. Trends Ecol. </w:t>
      </w:r>
      <w:proofErr w:type="spellStart"/>
      <w:r w:rsidRPr="0076247D">
        <w:rPr>
          <w:rFonts w:ascii="Times New Roman" w:hAnsi="Times New Roman" w:cs="Times New Roman"/>
          <w:sz w:val="24"/>
          <w:szCs w:val="24"/>
        </w:rPr>
        <w:t>Evol</w:t>
      </w:r>
      <w:proofErr w:type="spellEnd"/>
      <w:r w:rsidRPr="0076247D">
        <w:rPr>
          <w:rFonts w:ascii="Times New Roman" w:hAnsi="Times New Roman" w:cs="Times New Roman"/>
          <w:sz w:val="24"/>
          <w:szCs w:val="24"/>
        </w:rPr>
        <w:t>. 2016, 31, 440–452.</w:t>
      </w:r>
    </w:p>
    <w:p w14:paraId="7B4DA4EE"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proofErr w:type="spellStart"/>
      <w:r w:rsidRPr="0076247D">
        <w:rPr>
          <w:rFonts w:ascii="Times New Roman" w:hAnsi="Times New Roman" w:cs="Times New Roman"/>
          <w:sz w:val="24"/>
          <w:szCs w:val="24"/>
        </w:rPr>
        <w:t>Bera</w:t>
      </w:r>
      <w:proofErr w:type="spellEnd"/>
      <w:r w:rsidRPr="0076247D">
        <w:rPr>
          <w:rFonts w:ascii="Times New Roman" w:hAnsi="Times New Roman" w:cs="Times New Roman"/>
          <w:sz w:val="24"/>
          <w:szCs w:val="24"/>
        </w:rPr>
        <w:t xml:space="preserve"> </w:t>
      </w:r>
      <w:proofErr w:type="gramStart"/>
      <w:r w:rsidRPr="0076247D">
        <w:rPr>
          <w:rFonts w:ascii="Times New Roman" w:hAnsi="Times New Roman" w:cs="Times New Roman"/>
          <w:sz w:val="24"/>
          <w:szCs w:val="24"/>
        </w:rPr>
        <w:t>R. ,</w:t>
      </w:r>
      <w:proofErr w:type="gramEnd"/>
      <w:r w:rsidRPr="0076247D">
        <w:rPr>
          <w:rFonts w:ascii="Times New Roman" w:hAnsi="Times New Roman" w:cs="Times New Roman"/>
          <w:sz w:val="24"/>
          <w:szCs w:val="24"/>
        </w:rPr>
        <w:t xml:space="preserve"> Datta A, Bose S. , Barik A.K. , Asthana A. and Seal A. (2024a). Development of Regenerative Tea Cultivation Models through Dual Approach of Soil and Plant Health Management towards Crop Sustainability, Soil Quality Development, Pesticide Reduction and Climate Change Mitigation: A Case Study from </w:t>
      </w:r>
      <w:proofErr w:type="spellStart"/>
      <w:r w:rsidRPr="0076247D">
        <w:rPr>
          <w:rFonts w:ascii="Times New Roman" w:hAnsi="Times New Roman" w:cs="Times New Roman"/>
          <w:sz w:val="24"/>
          <w:szCs w:val="24"/>
        </w:rPr>
        <w:t>Lakhipara</w:t>
      </w:r>
      <w:proofErr w:type="spellEnd"/>
      <w:r w:rsidRPr="0076247D">
        <w:rPr>
          <w:rFonts w:ascii="Times New Roman" w:hAnsi="Times New Roman" w:cs="Times New Roman"/>
          <w:sz w:val="24"/>
          <w:szCs w:val="24"/>
        </w:rPr>
        <w:t xml:space="preserve"> Tea Estate, </w:t>
      </w:r>
      <w:proofErr w:type="spellStart"/>
      <w:r w:rsidRPr="0076247D">
        <w:rPr>
          <w:rFonts w:ascii="Times New Roman" w:hAnsi="Times New Roman" w:cs="Times New Roman"/>
          <w:sz w:val="24"/>
          <w:szCs w:val="24"/>
        </w:rPr>
        <w:t>Dooars</w:t>
      </w:r>
      <w:proofErr w:type="spellEnd"/>
      <w:r w:rsidRPr="0076247D">
        <w:rPr>
          <w:rFonts w:ascii="Times New Roman" w:hAnsi="Times New Roman" w:cs="Times New Roman"/>
          <w:sz w:val="24"/>
          <w:szCs w:val="24"/>
        </w:rPr>
        <w:t xml:space="preserve">, West Bengal, India (PART-I). Int. J. Environ. </w:t>
      </w:r>
      <w:proofErr w:type="spellStart"/>
      <w:r w:rsidRPr="0076247D">
        <w:rPr>
          <w:rFonts w:ascii="Times New Roman" w:hAnsi="Times New Roman" w:cs="Times New Roman"/>
          <w:sz w:val="24"/>
          <w:szCs w:val="24"/>
        </w:rPr>
        <w:t>Clim</w:t>
      </w:r>
      <w:proofErr w:type="spellEnd"/>
      <w:r w:rsidRPr="0076247D">
        <w:rPr>
          <w:rFonts w:ascii="Times New Roman" w:hAnsi="Times New Roman" w:cs="Times New Roman"/>
          <w:sz w:val="24"/>
          <w:szCs w:val="24"/>
        </w:rPr>
        <w:t>. Change, vol. 14, no. 2, pp. 494-512, 2024.</w:t>
      </w:r>
    </w:p>
    <w:p w14:paraId="6CBD35E5"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proofErr w:type="spellStart"/>
      <w:r w:rsidRPr="0076247D">
        <w:rPr>
          <w:rFonts w:ascii="Times New Roman" w:hAnsi="Times New Roman" w:cs="Times New Roman"/>
          <w:sz w:val="24"/>
          <w:szCs w:val="24"/>
        </w:rPr>
        <w:t>Bera</w:t>
      </w:r>
      <w:proofErr w:type="spellEnd"/>
      <w:r w:rsidRPr="0076247D">
        <w:rPr>
          <w:rFonts w:ascii="Times New Roman" w:hAnsi="Times New Roman" w:cs="Times New Roman"/>
          <w:sz w:val="24"/>
          <w:szCs w:val="24"/>
        </w:rPr>
        <w:t xml:space="preserve"> R., Datta A, Bose S., Barik A.K., Asthana A., and Seal A. (2024b). “Addressing the Sustainability Issues in Tea Production in the Barak Valley (</w:t>
      </w:r>
      <w:proofErr w:type="spellStart"/>
      <w:r w:rsidRPr="0076247D">
        <w:rPr>
          <w:rFonts w:ascii="Times New Roman" w:hAnsi="Times New Roman" w:cs="Times New Roman"/>
          <w:sz w:val="24"/>
          <w:szCs w:val="24"/>
        </w:rPr>
        <w:t>Cachar</w:t>
      </w:r>
      <w:proofErr w:type="spellEnd"/>
      <w:r w:rsidRPr="0076247D">
        <w:rPr>
          <w:rFonts w:ascii="Times New Roman" w:hAnsi="Times New Roman" w:cs="Times New Roman"/>
          <w:sz w:val="24"/>
          <w:szCs w:val="24"/>
        </w:rPr>
        <w:t>) of Assam, India, by Attending the Principles of Regenerative Farming Practices: A Ten Years Case Study on the Adoption of Inhana Rational Farming (IRF) Technology”. Asian Journal of Environment &amp; Ecology 23 (10):130-53. https://doi.org/10.9734/ajee/2024/v23i10616.</w:t>
      </w:r>
    </w:p>
    <w:p w14:paraId="31C980B6"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proofErr w:type="spellStart"/>
      <w:r w:rsidRPr="0076247D">
        <w:rPr>
          <w:rFonts w:ascii="Times New Roman" w:hAnsi="Times New Roman" w:cs="Times New Roman"/>
          <w:sz w:val="24"/>
          <w:szCs w:val="24"/>
        </w:rPr>
        <w:t>Bera</w:t>
      </w:r>
      <w:proofErr w:type="spellEnd"/>
      <w:r w:rsidRPr="0076247D">
        <w:rPr>
          <w:rFonts w:ascii="Times New Roman" w:hAnsi="Times New Roman" w:cs="Times New Roman"/>
          <w:sz w:val="24"/>
          <w:szCs w:val="24"/>
        </w:rPr>
        <w:t xml:space="preserve"> R., Datta A., </w:t>
      </w:r>
      <w:proofErr w:type="spellStart"/>
      <w:r w:rsidRPr="0076247D">
        <w:rPr>
          <w:rFonts w:ascii="Times New Roman" w:hAnsi="Times New Roman" w:cs="Times New Roman"/>
          <w:sz w:val="24"/>
          <w:szCs w:val="24"/>
        </w:rPr>
        <w:t>Saha</w:t>
      </w:r>
      <w:proofErr w:type="spellEnd"/>
      <w:r w:rsidRPr="0076247D">
        <w:rPr>
          <w:rFonts w:ascii="Times New Roman" w:hAnsi="Times New Roman" w:cs="Times New Roman"/>
          <w:sz w:val="24"/>
          <w:szCs w:val="24"/>
        </w:rPr>
        <w:t xml:space="preserve"> S., </w:t>
      </w:r>
      <w:proofErr w:type="spellStart"/>
      <w:r w:rsidRPr="0076247D">
        <w:rPr>
          <w:rFonts w:ascii="Times New Roman" w:hAnsi="Times New Roman" w:cs="Times New Roman"/>
          <w:sz w:val="24"/>
          <w:szCs w:val="24"/>
        </w:rPr>
        <w:t>Dolui</w:t>
      </w:r>
      <w:proofErr w:type="spellEnd"/>
      <w:r w:rsidRPr="0076247D">
        <w:rPr>
          <w:rFonts w:ascii="Times New Roman" w:hAnsi="Times New Roman" w:cs="Times New Roman"/>
          <w:sz w:val="24"/>
          <w:szCs w:val="24"/>
        </w:rPr>
        <w:t xml:space="preserve"> A.K., Chatterjee A.K., Sarkar R.K., De G.C., Barik A.K., Mazumdar D., </w:t>
      </w:r>
      <w:proofErr w:type="spellStart"/>
      <w:r w:rsidRPr="0076247D">
        <w:rPr>
          <w:rFonts w:ascii="Times New Roman" w:hAnsi="Times New Roman" w:cs="Times New Roman"/>
          <w:sz w:val="24"/>
          <w:szCs w:val="24"/>
        </w:rPr>
        <w:t>Sahu</w:t>
      </w:r>
      <w:proofErr w:type="spellEnd"/>
      <w:r w:rsidRPr="0076247D">
        <w:rPr>
          <w:rFonts w:ascii="Times New Roman" w:hAnsi="Times New Roman" w:cs="Times New Roman"/>
          <w:sz w:val="24"/>
          <w:szCs w:val="24"/>
        </w:rPr>
        <w:t xml:space="preserve"> S.S., Bhattacharyya P. and Seal A. (2011). Relevance of Comprehensiveness over Compartmental Approach towards Sustainable Organic Tea Production – A Case Study under CFC–TBI Project at Maud Tea Estate, Assam, India (2011). Tea-Organic-Low Carbon International Symposium‟, China (2011). Held on June 6-9, 428 – 443.</w:t>
      </w:r>
    </w:p>
    <w:p w14:paraId="1A5B9CF6"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Cabrera R.I., (2003). Production and Marketing | Mineral Nutrition, Editor(s): Andrew V. Roberts, Encyclopedia of Rose Science, Elsevier, 2003, Pages 573-580,</w:t>
      </w:r>
    </w:p>
    <w:p w14:paraId="47A150D9"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Chaboussou F (2004) Healthy crops: A new agricultural revolution. Jon Carpenter Publishing, Oxford, England, pp: 244.</w:t>
      </w:r>
    </w:p>
    <w:p w14:paraId="12A7799D"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Chatterjee A.K., Barik A.K., De G.C., </w:t>
      </w:r>
      <w:proofErr w:type="spellStart"/>
      <w:r w:rsidRPr="0076247D">
        <w:rPr>
          <w:rFonts w:ascii="Times New Roman" w:hAnsi="Times New Roman" w:cs="Times New Roman"/>
          <w:sz w:val="24"/>
          <w:szCs w:val="24"/>
        </w:rPr>
        <w:t>Dolui</w:t>
      </w:r>
      <w:proofErr w:type="spellEnd"/>
      <w:r w:rsidRPr="0076247D">
        <w:rPr>
          <w:rFonts w:ascii="Times New Roman" w:hAnsi="Times New Roman" w:cs="Times New Roman"/>
          <w:sz w:val="24"/>
          <w:szCs w:val="24"/>
        </w:rPr>
        <w:t xml:space="preserve"> A.K., Mazumdar D., Datta A., </w:t>
      </w:r>
      <w:proofErr w:type="spellStart"/>
      <w:r w:rsidRPr="0076247D">
        <w:rPr>
          <w:rFonts w:ascii="Times New Roman" w:hAnsi="Times New Roman" w:cs="Times New Roman"/>
          <w:sz w:val="24"/>
          <w:szCs w:val="24"/>
        </w:rPr>
        <w:t>Saha</w:t>
      </w:r>
      <w:proofErr w:type="spellEnd"/>
      <w:r w:rsidRPr="0076247D">
        <w:rPr>
          <w:rFonts w:ascii="Times New Roman" w:hAnsi="Times New Roman" w:cs="Times New Roman"/>
          <w:sz w:val="24"/>
          <w:szCs w:val="24"/>
        </w:rPr>
        <w:t xml:space="preserve"> S., </w:t>
      </w:r>
      <w:proofErr w:type="spellStart"/>
      <w:r w:rsidRPr="0076247D">
        <w:rPr>
          <w:rFonts w:ascii="Times New Roman" w:hAnsi="Times New Roman" w:cs="Times New Roman"/>
          <w:sz w:val="24"/>
          <w:szCs w:val="24"/>
        </w:rPr>
        <w:t>Bera</w:t>
      </w:r>
      <w:proofErr w:type="spellEnd"/>
      <w:r w:rsidRPr="0076247D">
        <w:rPr>
          <w:rFonts w:ascii="Times New Roman" w:hAnsi="Times New Roman" w:cs="Times New Roman"/>
          <w:sz w:val="24"/>
          <w:szCs w:val="24"/>
        </w:rPr>
        <w:t xml:space="preserve"> R., and Seal A.(2014). Adoption of Inhana Rational Farming (IRF) Technology as an Organic Package of Practice towards Improvement of Nutrient Use Efficiency of Camellia </w:t>
      </w:r>
      <w:proofErr w:type="spellStart"/>
      <w:r w:rsidRPr="0076247D">
        <w:rPr>
          <w:rFonts w:ascii="Times New Roman" w:hAnsi="Times New Roman" w:cs="Times New Roman"/>
          <w:sz w:val="24"/>
          <w:szCs w:val="24"/>
        </w:rPr>
        <w:t>Sinensis</w:t>
      </w:r>
      <w:proofErr w:type="spellEnd"/>
      <w:r w:rsidRPr="0076247D">
        <w:rPr>
          <w:rFonts w:ascii="Times New Roman" w:hAnsi="Times New Roman" w:cs="Times New Roman"/>
          <w:sz w:val="24"/>
          <w:szCs w:val="24"/>
        </w:rPr>
        <w:t xml:space="preserve"> through Energization of Plant Physiological Functioning. The International Journal of Science and </w:t>
      </w:r>
      <w:proofErr w:type="spellStart"/>
      <w:r w:rsidRPr="0076247D">
        <w:rPr>
          <w:rFonts w:ascii="Times New Roman" w:hAnsi="Times New Roman" w:cs="Times New Roman"/>
          <w:sz w:val="24"/>
          <w:szCs w:val="24"/>
        </w:rPr>
        <w:t>Technoledge</w:t>
      </w:r>
      <w:proofErr w:type="spellEnd"/>
      <w:r w:rsidRPr="0076247D">
        <w:rPr>
          <w:rFonts w:ascii="Times New Roman" w:hAnsi="Times New Roman" w:cs="Times New Roman"/>
          <w:sz w:val="24"/>
          <w:szCs w:val="24"/>
        </w:rPr>
        <w:t xml:space="preserve"> vol. 2, no. 6, pp. 181-195.</w:t>
      </w:r>
    </w:p>
    <w:p w14:paraId="3DF13B46"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Cook, R. (2000). Advances in Plant Health Management in the Twentieth Century. Annual review of phytopathology. 38. 95-116.   10.1146/annurev.phyto.38.1.95. </w:t>
      </w:r>
    </w:p>
    <w:p w14:paraId="6A7BD1F5"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Costa WAJMD, </w:t>
      </w:r>
      <w:proofErr w:type="spellStart"/>
      <w:proofErr w:type="gramStart"/>
      <w:r w:rsidRPr="0076247D">
        <w:rPr>
          <w:rFonts w:ascii="Times New Roman" w:hAnsi="Times New Roman" w:cs="Times New Roman"/>
          <w:sz w:val="24"/>
          <w:szCs w:val="24"/>
        </w:rPr>
        <w:t>Mohotti</w:t>
      </w:r>
      <w:proofErr w:type="spellEnd"/>
      <w:r w:rsidRPr="0076247D">
        <w:rPr>
          <w:rFonts w:ascii="Times New Roman" w:hAnsi="Times New Roman" w:cs="Times New Roman"/>
          <w:sz w:val="24"/>
          <w:szCs w:val="24"/>
        </w:rPr>
        <w:t xml:space="preserve">  AJ</w:t>
      </w:r>
      <w:proofErr w:type="gramEnd"/>
      <w:r w:rsidRPr="0076247D">
        <w:rPr>
          <w:rFonts w:ascii="Times New Roman" w:hAnsi="Times New Roman" w:cs="Times New Roman"/>
          <w:sz w:val="24"/>
          <w:szCs w:val="24"/>
        </w:rPr>
        <w:t xml:space="preserve"> and Wijeratne  MA (2007). Ecophysiology   of   tea.   Braz.   J.   Plant Physiol. 2007;19(4):299-332.</w:t>
      </w:r>
    </w:p>
    <w:p w14:paraId="2B328291"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proofErr w:type="spellStart"/>
      <w:r w:rsidRPr="0076247D">
        <w:rPr>
          <w:rFonts w:ascii="Times New Roman" w:hAnsi="Times New Roman" w:cs="Times New Roman"/>
          <w:sz w:val="24"/>
          <w:szCs w:val="24"/>
        </w:rPr>
        <w:lastRenderedPageBreak/>
        <w:t>Coteur</w:t>
      </w:r>
      <w:proofErr w:type="spellEnd"/>
      <w:r w:rsidRPr="0076247D">
        <w:rPr>
          <w:rFonts w:ascii="Times New Roman" w:hAnsi="Times New Roman" w:cs="Times New Roman"/>
          <w:sz w:val="24"/>
          <w:szCs w:val="24"/>
        </w:rPr>
        <w:t xml:space="preserve">, I., Marchand, F., </w:t>
      </w:r>
      <w:proofErr w:type="spellStart"/>
      <w:r w:rsidRPr="0076247D">
        <w:rPr>
          <w:rFonts w:ascii="Times New Roman" w:hAnsi="Times New Roman" w:cs="Times New Roman"/>
          <w:sz w:val="24"/>
          <w:szCs w:val="24"/>
        </w:rPr>
        <w:t>Debruyne</w:t>
      </w:r>
      <w:proofErr w:type="spellEnd"/>
      <w:r w:rsidRPr="0076247D">
        <w:rPr>
          <w:rFonts w:ascii="Times New Roman" w:hAnsi="Times New Roman" w:cs="Times New Roman"/>
          <w:sz w:val="24"/>
          <w:szCs w:val="24"/>
        </w:rPr>
        <w:t xml:space="preserve">, L., </w:t>
      </w:r>
      <w:proofErr w:type="spellStart"/>
      <w:r w:rsidRPr="0076247D">
        <w:rPr>
          <w:rFonts w:ascii="Times New Roman" w:hAnsi="Times New Roman" w:cs="Times New Roman"/>
          <w:sz w:val="24"/>
          <w:szCs w:val="24"/>
        </w:rPr>
        <w:t>Lauwers</w:t>
      </w:r>
      <w:proofErr w:type="spellEnd"/>
      <w:r w:rsidRPr="0076247D">
        <w:rPr>
          <w:rFonts w:ascii="Times New Roman" w:hAnsi="Times New Roman" w:cs="Times New Roman"/>
          <w:sz w:val="24"/>
          <w:szCs w:val="24"/>
        </w:rPr>
        <w:t>, L., (2019). Structuring the myriad of sustainability assessments in agri-food systems: a case in Flanders. J. Clean. Prod. 209, 472–480. https://doi.org/10.1016/j.jclepro.2018.10.066.</w:t>
      </w:r>
    </w:p>
    <w:p w14:paraId="4BC7B0FE"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de Groot, R.S., Fisher, B., Christie, M., Aronson, J., </w:t>
      </w:r>
      <w:proofErr w:type="spellStart"/>
      <w:r w:rsidRPr="0076247D">
        <w:rPr>
          <w:rFonts w:ascii="Times New Roman" w:hAnsi="Times New Roman" w:cs="Times New Roman"/>
          <w:sz w:val="24"/>
          <w:szCs w:val="24"/>
        </w:rPr>
        <w:t>Braat</w:t>
      </w:r>
      <w:proofErr w:type="spellEnd"/>
      <w:r w:rsidRPr="0076247D">
        <w:rPr>
          <w:rFonts w:ascii="Times New Roman" w:hAnsi="Times New Roman" w:cs="Times New Roman"/>
          <w:sz w:val="24"/>
          <w:szCs w:val="24"/>
        </w:rPr>
        <w:t xml:space="preserve">, L., Haines-Young, R., </w:t>
      </w:r>
      <w:proofErr w:type="spellStart"/>
      <w:r w:rsidRPr="0076247D">
        <w:rPr>
          <w:rFonts w:ascii="Times New Roman" w:hAnsi="Times New Roman" w:cs="Times New Roman"/>
          <w:sz w:val="24"/>
          <w:szCs w:val="24"/>
        </w:rPr>
        <w:t>Gowdy</w:t>
      </w:r>
      <w:proofErr w:type="spellEnd"/>
      <w:r w:rsidRPr="0076247D">
        <w:rPr>
          <w:rFonts w:ascii="Times New Roman" w:hAnsi="Times New Roman" w:cs="Times New Roman"/>
          <w:sz w:val="24"/>
          <w:szCs w:val="24"/>
        </w:rPr>
        <w:t xml:space="preserve">, J., Maltby, E., Neuville, A., </w:t>
      </w:r>
      <w:proofErr w:type="spellStart"/>
      <w:r w:rsidRPr="0076247D">
        <w:rPr>
          <w:rFonts w:ascii="Times New Roman" w:hAnsi="Times New Roman" w:cs="Times New Roman"/>
          <w:sz w:val="24"/>
          <w:szCs w:val="24"/>
        </w:rPr>
        <w:t>Polasky</w:t>
      </w:r>
      <w:proofErr w:type="spellEnd"/>
      <w:r w:rsidRPr="0076247D">
        <w:rPr>
          <w:rFonts w:ascii="Times New Roman" w:hAnsi="Times New Roman" w:cs="Times New Roman"/>
          <w:sz w:val="24"/>
          <w:szCs w:val="24"/>
        </w:rPr>
        <w:t xml:space="preserve">, S., </w:t>
      </w:r>
      <w:proofErr w:type="spellStart"/>
      <w:r w:rsidRPr="0076247D">
        <w:rPr>
          <w:rFonts w:ascii="Times New Roman" w:hAnsi="Times New Roman" w:cs="Times New Roman"/>
          <w:sz w:val="24"/>
          <w:szCs w:val="24"/>
        </w:rPr>
        <w:t>Portela</w:t>
      </w:r>
      <w:proofErr w:type="spellEnd"/>
      <w:r w:rsidRPr="0076247D">
        <w:rPr>
          <w:rFonts w:ascii="Times New Roman" w:hAnsi="Times New Roman" w:cs="Times New Roman"/>
          <w:sz w:val="24"/>
          <w:szCs w:val="24"/>
        </w:rPr>
        <w:t xml:space="preserve">, R. and Ring, I., (2010). Integrating the ecological and economic dimensions in biodiversity and ecosystem service valuation. In: Kumar, P. (Ed.), The Economics of Ecosystems and Biodiversity (TEEB): Ecological and Economic Foundations. Environmental Systems </w:t>
      </w:r>
      <w:proofErr w:type="spellStart"/>
      <w:r w:rsidRPr="0076247D">
        <w:rPr>
          <w:rFonts w:ascii="Times New Roman" w:hAnsi="Times New Roman" w:cs="Times New Roman"/>
          <w:sz w:val="24"/>
          <w:szCs w:val="24"/>
        </w:rPr>
        <w:t>AnalysisWIMEK</w:t>
      </w:r>
      <w:proofErr w:type="spellEnd"/>
      <w:r w:rsidRPr="0076247D">
        <w:rPr>
          <w:rFonts w:ascii="Times New Roman" w:hAnsi="Times New Roman" w:cs="Times New Roman"/>
          <w:sz w:val="24"/>
          <w:szCs w:val="24"/>
        </w:rPr>
        <w:t>, London, pp. 9–40</w:t>
      </w:r>
    </w:p>
    <w:p w14:paraId="46DDE294"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Dias, M.C. (2012). Phytotoxicity: An Overview of the Physiological Responses of Plants Exposed to Fungicides. Journal of Botany, </w:t>
      </w:r>
      <w:proofErr w:type="gramStart"/>
      <w:r w:rsidRPr="0076247D">
        <w:rPr>
          <w:rFonts w:ascii="Times New Roman" w:hAnsi="Times New Roman" w:cs="Times New Roman"/>
          <w:sz w:val="24"/>
          <w:szCs w:val="24"/>
        </w:rPr>
        <w:t>2012 :</w:t>
      </w:r>
      <w:proofErr w:type="gramEnd"/>
      <w:r w:rsidRPr="0076247D">
        <w:rPr>
          <w:rFonts w:ascii="Times New Roman" w:hAnsi="Times New Roman" w:cs="Times New Roman"/>
          <w:sz w:val="24"/>
          <w:szCs w:val="24"/>
        </w:rPr>
        <w:t xml:space="preserve"> 1-4.</w:t>
      </w:r>
    </w:p>
    <w:p w14:paraId="494A2D98"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proofErr w:type="spellStart"/>
      <w:r w:rsidRPr="0076247D">
        <w:rPr>
          <w:rFonts w:ascii="Times New Roman" w:hAnsi="Times New Roman" w:cs="Times New Roman"/>
          <w:sz w:val="24"/>
          <w:szCs w:val="24"/>
        </w:rPr>
        <w:t>Eekhout</w:t>
      </w:r>
      <w:proofErr w:type="spellEnd"/>
      <w:r w:rsidRPr="0076247D">
        <w:rPr>
          <w:rFonts w:ascii="Times New Roman" w:hAnsi="Times New Roman" w:cs="Times New Roman"/>
          <w:sz w:val="24"/>
          <w:szCs w:val="24"/>
        </w:rPr>
        <w:t xml:space="preserve">, </w:t>
      </w:r>
      <w:proofErr w:type="spellStart"/>
      <w:proofErr w:type="gramStart"/>
      <w:r w:rsidRPr="0076247D">
        <w:rPr>
          <w:rFonts w:ascii="Times New Roman" w:hAnsi="Times New Roman" w:cs="Times New Roman"/>
          <w:sz w:val="24"/>
          <w:szCs w:val="24"/>
        </w:rPr>
        <w:t>J.P.C.;and</w:t>
      </w:r>
      <w:proofErr w:type="spellEnd"/>
      <w:proofErr w:type="gramEnd"/>
      <w:r w:rsidRPr="0076247D">
        <w:rPr>
          <w:rFonts w:ascii="Times New Roman" w:hAnsi="Times New Roman" w:cs="Times New Roman"/>
          <w:sz w:val="24"/>
          <w:szCs w:val="24"/>
        </w:rPr>
        <w:t xml:space="preserve"> </w:t>
      </w:r>
      <w:proofErr w:type="spellStart"/>
      <w:r w:rsidRPr="0076247D">
        <w:rPr>
          <w:rFonts w:ascii="Times New Roman" w:hAnsi="Times New Roman" w:cs="Times New Roman"/>
          <w:sz w:val="24"/>
          <w:szCs w:val="24"/>
        </w:rPr>
        <w:t>J.De</w:t>
      </w:r>
      <w:proofErr w:type="spellEnd"/>
      <w:r w:rsidRPr="0076247D">
        <w:rPr>
          <w:rFonts w:ascii="Times New Roman" w:hAnsi="Times New Roman" w:cs="Times New Roman"/>
          <w:sz w:val="24"/>
          <w:szCs w:val="24"/>
        </w:rPr>
        <w:t xml:space="preserve"> Vente (2022). Global Impact of Climate Change on Soil Erosion and Potential for Adaptation through Soil Conservation. Earth-Sci. Rev. 2022, 226, 103921.</w:t>
      </w:r>
    </w:p>
    <w:p w14:paraId="3DC3F44A"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FAO, (2014). Sustainability Assessment of Food and Agriculture Systems (SAFA): Guidelines, Version 3.0. Food and Agricultural Organization of the United Nations, Rome.</w:t>
      </w:r>
    </w:p>
    <w:p w14:paraId="217F8D15"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Joshi, H, Sharma, T., Kaur, T., Singh, A., Mohapatra, A. and </w:t>
      </w:r>
      <w:proofErr w:type="spellStart"/>
      <w:r w:rsidRPr="0076247D">
        <w:rPr>
          <w:rFonts w:ascii="Times New Roman" w:hAnsi="Times New Roman" w:cs="Times New Roman"/>
          <w:sz w:val="24"/>
          <w:szCs w:val="24"/>
        </w:rPr>
        <w:t>Saikia</w:t>
      </w:r>
      <w:proofErr w:type="spellEnd"/>
      <w:r w:rsidRPr="0076247D">
        <w:rPr>
          <w:rFonts w:ascii="Times New Roman" w:hAnsi="Times New Roman" w:cs="Times New Roman"/>
          <w:sz w:val="24"/>
          <w:szCs w:val="24"/>
        </w:rPr>
        <w:t xml:space="preserve">, N. (2024). Regenerative Agriculture and Sustainable Development Goals. In: Kumar, S., Meena, R.S., </w:t>
      </w:r>
      <w:proofErr w:type="spellStart"/>
      <w:r w:rsidRPr="0076247D">
        <w:rPr>
          <w:rFonts w:ascii="Times New Roman" w:hAnsi="Times New Roman" w:cs="Times New Roman"/>
          <w:sz w:val="24"/>
          <w:szCs w:val="24"/>
        </w:rPr>
        <w:t>Sheoran</w:t>
      </w:r>
      <w:proofErr w:type="spellEnd"/>
      <w:r w:rsidRPr="0076247D">
        <w:rPr>
          <w:rFonts w:ascii="Times New Roman" w:hAnsi="Times New Roman" w:cs="Times New Roman"/>
          <w:sz w:val="24"/>
          <w:szCs w:val="24"/>
        </w:rPr>
        <w:t xml:space="preserve">, P., </w:t>
      </w:r>
      <w:proofErr w:type="spellStart"/>
      <w:r w:rsidRPr="0076247D">
        <w:rPr>
          <w:rFonts w:ascii="Times New Roman" w:hAnsi="Times New Roman" w:cs="Times New Roman"/>
          <w:sz w:val="24"/>
          <w:szCs w:val="24"/>
        </w:rPr>
        <w:t>Jhariya</w:t>
      </w:r>
      <w:proofErr w:type="spellEnd"/>
      <w:r w:rsidRPr="0076247D">
        <w:rPr>
          <w:rFonts w:ascii="Times New Roman" w:hAnsi="Times New Roman" w:cs="Times New Roman"/>
          <w:sz w:val="24"/>
          <w:szCs w:val="24"/>
        </w:rPr>
        <w:t>, M.K. (eds) Regenerative Agriculture for Sustainable Food Systems. Springer, Singapore. https://doi.org/10.1007/978-981-97-6691-8_5</w:t>
      </w:r>
    </w:p>
    <w:p w14:paraId="35541C12"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Inhana (2025). Carbon Computing Standard, Available at https://inhana.in/anz/carbon-computing-standard/ </w:t>
      </w:r>
    </w:p>
    <w:p w14:paraId="76C5B647"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proofErr w:type="spellStart"/>
      <w:r w:rsidRPr="0076247D">
        <w:rPr>
          <w:rFonts w:ascii="Times New Roman" w:hAnsi="Times New Roman" w:cs="Times New Roman"/>
          <w:sz w:val="24"/>
          <w:szCs w:val="24"/>
        </w:rPr>
        <w:t>Kakava</w:t>
      </w:r>
      <w:proofErr w:type="spellEnd"/>
      <w:r w:rsidRPr="0076247D">
        <w:rPr>
          <w:rFonts w:ascii="Times New Roman" w:hAnsi="Times New Roman" w:cs="Times New Roman"/>
          <w:sz w:val="24"/>
          <w:szCs w:val="24"/>
        </w:rPr>
        <w:t xml:space="preserve"> B.K. (2023). The Theory of Trophobiosis A Game Changer in Plant Disease and Pest Management, Available at https://www.linkedin.com/pulse/theory-trophobiosis-game-changer-plant-disease-pest-manage-kakava </w:t>
      </w:r>
    </w:p>
    <w:p w14:paraId="19EEB689"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proofErr w:type="spellStart"/>
      <w:proofErr w:type="gramStart"/>
      <w:r w:rsidRPr="0076247D">
        <w:rPr>
          <w:rFonts w:ascii="Times New Roman" w:hAnsi="Times New Roman" w:cs="Times New Roman"/>
          <w:sz w:val="24"/>
          <w:szCs w:val="24"/>
        </w:rPr>
        <w:t>Kathpalia</w:t>
      </w:r>
      <w:proofErr w:type="spellEnd"/>
      <w:r w:rsidRPr="0076247D">
        <w:rPr>
          <w:rFonts w:ascii="Times New Roman" w:hAnsi="Times New Roman" w:cs="Times New Roman"/>
          <w:sz w:val="24"/>
          <w:szCs w:val="24"/>
        </w:rPr>
        <w:t xml:space="preserve">  J</w:t>
      </w:r>
      <w:proofErr w:type="gramEnd"/>
      <w:r w:rsidRPr="0076247D">
        <w:rPr>
          <w:rFonts w:ascii="Times New Roman" w:hAnsi="Times New Roman" w:cs="Times New Roman"/>
          <w:sz w:val="24"/>
          <w:szCs w:val="24"/>
        </w:rPr>
        <w:t xml:space="preserve">,  </w:t>
      </w:r>
      <w:proofErr w:type="spellStart"/>
      <w:r w:rsidRPr="0076247D">
        <w:rPr>
          <w:rFonts w:ascii="Times New Roman" w:hAnsi="Times New Roman" w:cs="Times New Roman"/>
          <w:sz w:val="24"/>
          <w:szCs w:val="24"/>
        </w:rPr>
        <w:t>Chander</w:t>
      </w:r>
      <w:proofErr w:type="spellEnd"/>
      <w:r w:rsidRPr="0076247D">
        <w:rPr>
          <w:rFonts w:ascii="Times New Roman" w:hAnsi="Times New Roman" w:cs="Times New Roman"/>
          <w:sz w:val="24"/>
          <w:szCs w:val="24"/>
        </w:rPr>
        <w:t xml:space="preserve">  S,  Tyagi  R,  Kumari V and   Naresh   E. (2023). Adoption   of   agricultural </w:t>
      </w:r>
      <w:proofErr w:type="gramStart"/>
      <w:r w:rsidRPr="0076247D">
        <w:rPr>
          <w:rFonts w:ascii="Times New Roman" w:hAnsi="Times New Roman" w:cs="Times New Roman"/>
          <w:sz w:val="24"/>
          <w:szCs w:val="24"/>
        </w:rPr>
        <w:t>technology  and</w:t>
      </w:r>
      <w:proofErr w:type="gramEnd"/>
      <w:r w:rsidRPr="0076247D">
        <w:rPr>
          <w:rFonts w:ascii="Times New Roman" w:hAnsi="Times New Roman" w:cs="Times New Roman"/>
          <w:sz w:val="24"/>
          <w:szCs w:val="24"/>
        </w:rPr>
        <w:t xml:space="preserve">  socio  economic  impact  of super    straw    management    system    in Haryana,    India.   AJAEES.2023; 41(9):24-30. Available: https://journalajaees.com/index.php /AJAEES/article/view/2010Accessed On: 2024 May 22</w:t>
      </w:r>
    </w:p>
    <w:p w14:paraId="75DD593E"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proofErr w:type="spellStart"/>
      <w:r w:rsidRPr="0076247D">
        <w:rPr>
          <w:rFonts w:ascii="Times New Roman" w:hAnsi="Times New Roman" w:cs="Times New Roman"/>
          <w:sz w:val="24"/>
          <w:szCs w:val="24"/>
        </w:rPr>
        <w:t>Kempf</w:t>
      </w:r>
      <w:proofErr w:type="spellEnd"/>
      <w:r w:rsidRPr="0076247D">
        <w:rPr>
          <w:rFonts w:ascii="Times New Roman" w:hAnsi="Times New Roman" w:cs="Times New Roman"/>
          <w:sz w:val="24"/>
          <w:szCs w:val="24"/>
        </w:rPr>
        <w:t xml:space="preserve"> J. (2013). Crop Health Transitions, Available at https://bionutrient.net/ site/audio/2013_soil_nutrition_conference/2-Crop-HEALTH-Transitions-John-Kempf.pdf</w:t>
      </w:r>
    </w:p>
    <w:p w14:paraId="47B5978F"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proofErr w:type="spellStart"/>
      <w:r w:rsidRPr="0076247D">
        <w:rPr>
          <w:rFonts w:ascii="Times New Roman" w:hAnsi="Times New Roman" w:cs="Times New Roman"/>
          <w:sz w:val="24"/>
          <w:szCs w:val="24"/>
        </w:rPr>
        <w:t>Khangura</w:t>
      </w:r>
      <w:proofErr w:type="spellEnd"/>
      <w:r w:rsidRPr="0076247D">
        <w:rPr>
          <w:rFonts w:ascii="Times New Roman" w:hAnsi="Times New Roman" w:cs="Times New Roman"/>
          <w:sz w:val="24"/>
          <w:szCs w:val="24"/>
        </w:rPr>
        <w:t>, R., Ferris, D., Wagg, C. and Bowyer, J. (2023). Regenerative Agriculture—A Literature Review on the Practices and Mechanisms Used to Improve Soil Health. Sustainability 2023, 15, 2338. https://doi.org/10.3390/su15032338</w:t>
      </w:r>
    </w:p>
    <w:p w14:paraId="1C84227E"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lastRenderedPageBreak/>
        <w:t xml:space="preserve">Monteleone, B., </w:t>
      </w:r>
      <w:proofErr w:type="spellStart"/>
      <w:r w:rsidRPr="0076247D">
        <w:rPr>
          <w:rFonts w:ascii="Times New Roman" w:hAnsi="Times New Roman" w:cs="Times New Roman"/>
          <w:sz w:val="24"/>
          <w:szCs w:val="24"/>
        </w:rPr>
        <w:t>Borzì</w:t>
      </w:r>
      <w:proofErr w:type="spellEnd"/>
      <w:r w:rsidRPr="0076247D">
        <w:rPr>
          <w:rFonts w:ascii="Times New Roman" w:hAnsi="Times New Roman" w:cs="Times New Roman"/>
          <w:sz w:val="24"/>
          <w:szCs w:val="24"/>
        </w:rPr>
        <w:t xml:space="preserve">, I., Bonaccorso, B. and Martina, M. (2022).Quantifying Crop Vulnerability to Weather-Related Extreme Events and Climate Change through Vulnerability Curves. Nat. Hazards 2022, 116, 2761–2796. </w:t>
      </w:r>
    </w:p>
    <w:p w14:paraId="142BF193"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Morgan, J. B. and Connolly, E. L. (2013) Plant-Soil Interactions: Nutrient Uptake. Nature Education Knowledge 4(8):2</w:t>
      </w:r>
    </w:p>
    <w:p w14:paraId="74DF57E9"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New Climate Institute (2024). Navigating regenerative agriculture in corporate climate strategies. Cologne, Germany. Available at: https://newclimate.org/resources/publications/ navigating-regenerativeagriculture-in-corporateclimate-strategies</w:t>
      </w:r>
    </w:p>
    <w:p w14:paraId="373C78BC"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NOAA (2023). National Centers for Environmental Information. Monthly Global Climate Report for Annual 2023. </w:t>
      </w:r>
      <w:proofErr w:type="gramStart"/>
      <w:r w:rsidRPr="0076247D">
        <w:rPr>
          <w:rFonts w:ascii="Times New Roman" w:hAnsi="Times New Roman" w:cs="Times New Roman"/>
          <w:sz w:val="24"/>
          <w:szCs w:val="24"/>
        </w:rPr>
        <w:t>Available  online</w:t>
      </w:r>
      <w:proofErr w:type="gramEnd"/>
      <w:r w:rsidRPr="0076247D">
        <w:rPr>
          <w:rFonts w:ascii="Times New Roman" w:hAnsi="Times New Roman" w:cs="Times New Roman"/>
          <w:sz w:val="24"/>
          <w:szCs w:val="24"/>
        </w:rPr>
        <w:t>: https://www.ncei.noaa. gov/access /monitoring/ monthly-report/global/202313 (accessed on 20 December 2024).</w:t>
      </w:r>
    </w:p>
    <w:p w14:paraId="25F09E23"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proofErr w:type="spellStart"/>
      <w:r w:rsidRPr="0076247D">
        <w:rPr>
          <w:rFonts w:ascii="Times New Roman" w:hAnsi="Times New Roman" w:cs="Times New Roman"/>
          <w:sz w:val="24"/>
          <w:szCs w:val="24"/>
        </w:rPr>
        <w:t>O’Donoghue</w:t>
      </w:r>
      <w:proofErr w:type="spellEnd"/>
      <w:r w:rsidRPr="0076247D">
        <w:rPr>
          <w:rFonts w:ascii="Times New Roman" w:hAnsi="Times New Roman" w:cs="Times New Roman"/>
          <w:sz w:val="24"/>
          <w:szCs w:val="24"/>
        </w:rPr>
        <w:t xml:space="preserve">, T., </w:t>
      </w:r>
      <w:proofErr w:type="spellStart"/>
      <w:r w:rsidRPr="0076247D">
        <w:rPr>
          <w:rFonts w:ascii="Times New Roman" w:hAnsi="Times New Roman" w:cs="Times New Roman"/>
          <w:sz w:val="24"/>
          <w:szCs w:val="24"/>
        </w:rPr>
        <w:t>Minasny</w:t>
      </w:r>
      <w:proofErr w:type="spellEnd"/>
      <w:r w:rsidRPr="0076247D">
        <w:rPr>
          <w:rFonts w:ascii="Times New Roman" w:hAnsi="Times New Roman" w:cs="Times New Roman"/>
          <w:sz w:val="24"/>
          <w:szCs w:val="24"/>
        </w:rPr>
        <w:t xml:space="preserve">, B., and </w:t>
      </w:r>
      <w:proofErr w:type="spellStart"/>
      <w:r w:rsidRPr="0076247D">
        <w:rPr>
          <w:rFonts w:ascii="Times New Roman" w:hAnsi="Times New Roman" w:cs="Times New Roman"/>
          <w:sz w:val="24"/>
          <w:szCs w:val="24"/>
        </w:rPr>
        <w:t>McBratney</w:t>
      </w:r>
      <w:proofErr w:type="spellEnd"/>
      <w:r w:rsidRPr="0076247D">
        <w:rPr>
          <w:rFonts w:ascii="Times New Roman" w:hAnsi="Times New Roman" w:cs="Times New Roman"/>
          <w:sz w:val="24"/>
          <w:szCs w:val="24"/>
        </w:rPr>
        <w:t xml:space="preserve">, A. (2022). Regenerative agriculture and its potential to improve </w:t>
      </w:r>
      <w:proofErr w:type="spellStart"/>
      <w:r w:rsidRPr="0076247D">
        <w:rPr>
          <w:rFonts w:ascii="Times New Roman" w:hAnsi="Times New Roman" w:cs="Times New Roman"/>
          <w:sz w:val="24"/>
          <w:szCs w:val="24"/>
        </w:rPr>
        <w:t>farmscape</w:t>
      </w:r>
      <w:proofErr w:type="spellEnd"/>
      <w:r w:rsidRPr="0076247D">
        <w:rPr>
          <w:rFonts w:ascii="Times New Roman" w:hAnsi="Times New Roman" w:cs="Times New Roman"/>
          <w:sz w:val="24"/>
          <w:szCs w:val="24"/>
        </w:rPr>
        <w:t xml:space="preserve"> function. Sustainability 14, 5815. https://doi.org/ 10.3390/su14105815.</w:t>
      </w:r>
    </w:p>
    <w:p w14:paraId="1AEF7664"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Paul J. (2007). Trophobiosis Theory: A pest starves on a healthy plant. Elementals- Journal of Bio- dynamics Tasmania 88: 20- 24</w:t>
      </w:r>
    </w:p>
    <w:p w14:paraId="6F9D8D5A"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Paull, J. (2008). Trophobiosis theory: A pest starves on a healthy plant, </w:t>
      </w:r>
      <w:proofErr w:type="spellStart"/>
      <w:r w:rsidRPr="0076247D">
        <w:rPr>
          <w:rFonts w:ascii="Times New Roman" w:hAnsi="Times New Roman" w:cs="Times New Roman"/>
          <w:sz w:val="24"/>
          <w:szCs w:val="24"/>
        </w:rPr>
        <w:t>J.Biodynamic</w:t>
      </w:r>
      <w:proofErr w:type="spellEnd"/>
      <w:r w:rsidRPr="0076247D">
        <w:rPr>
          <w:rFonts w:ascii="Times New Roman" w:hAnsi="Times New Roman" w:cs="Times New Roman"/>
          <w:sz w:val="24"/>
          <w:szCs w:val="24"/>
        </w:rPr>
        <w:t xml:space="preserve"> Agric. Austral., 76, 51–54 (2008).</w:t>
      </w:r>
    </w:p>
    <w:p w14:paraId="0A44AA4A"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PIB (2023). Impact of Climate Change on Agriculture, Ministry of Agriculture &amp; Farmers Welfare, Available at https://pib.gov.in/PressReleaseIframePage.aspx?PRID=1909206</w:t>
      </w:r>
    </w:p>
    <w:p w14:paraId="07457E47"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Platt, A (2022).Regenerative vs Sustainable Agriculture: What’s the difference, Available at https://regenz.co.za/blog/regenerative-vs-sustainable-agriculture </w:t>
      </w:r>
    </w:p>
    <w:p w14:paraId="100A0F69"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proofErr w:type="spellStart"/>
      <w:r w:rsidRPr="0076247D">
        <w:rPr>
          <w:rFonts w:ascii="Times New Roman" w:hAnsi="Times New Roman" w:cs="Times New Roman"/>
          <w:sz w:val="24"/>
          <w:szCs w:val="24"/>
        </w:rPr>
        <w:t>Ruissen</w:t>
      </w:r>
      <w:proofErr w:type="spellEnd"/>
      <w:r w:rsidRPr="0076247D">
        <w:rPr>
          <w:rFonts w:ascii="Times New Roman" w:hAnsi="Times New Roman" w:cs="Times New Roman"/>
          <w:sz w:val="24"/>
          <w:szCs w:val="24"/>
        </w:rPr>
        <w:t xml:space="preserve">, Theo. (2005). Plant health management in organic farming; an organic or an organismic </w:t>
      </w:r>
      <w:proofErr w:type="spellStart"/>
      <w:r w:rsidRPr="0076247D">
        <w:rPr>
          <w:rFonts w:ascii="Times New Roman" w:hAnsi="Times New Roman" w:cs="Times New Roman"/>
          <w:sz w:val="24"/>
          <w:szCs w:val="24"/>
        </w:rPr>
        <w:t>challenge</w:t>
      </w:r>
      <w:proofErr w:type="gramStart"/>
      <w:r w:rsidRPr="0076247D">
        <w:rPr>
          <w:rFonts w:ascii="Times New Roman" w:hAnsi="Times New Roman" w:cs="Times New Roman"/>
          <w:sz w:val="24"/>
          <w:szCs w:val="24"/>
        </w:rPr>
        <w:t>?.Conference</w:t>
      </w:r>
      <w:proofErr w:type="spellEnd"/>
      <w:proofErr w:type="gramEnd"/>
      <w:r w:rsidRPr="0076247D">
        <w:rPr>
          <w:rFonts w:ascii="Times New Roman" w:hAnsi="Times New Roman" w:cs="Times New Roman"/>
          <w:sz w:val="24"/>
          <w:szCs w:val="24"/>
        </w:rPr>
        <w:t xml:space="preserve">: Proceedings NJF Seminar 369: Organic Farming for a New Millennium, </w:t>
      </w:r>
      <w:proofErr w:type="spellStart"/>
      <w:r w:rsidRPr="0076247D">
        <w:rPr>
          <w:rFonts w:ascii="Times New Roman" w:hAnsi="Times New Roman" w:cs="Times New Roman"/>
          <w:sz w:val="24"/>
          <w:szCs w:val="24"/>
        </w:rPr>
        <w:t>Alnarp</w:t>
      </w:r>
      <w:proofErr w:type="spellEnd"/>
      <w:r w:rsidRPr="0076247D">
        <w:rPr>
          <w:rFonts w:ascii="Times New Roman" w:hAnsi="Times New Roman" w:cs="Times New Roman"/>
          <w:sz w:val="24"/>
          <w:szCs w:val="24"/>
        </w:rPr>
        <w:t xml:space="preserve"> Sweden ,June 15-17, 2005: p 201-202</w:t>
      </w:r>
    </w:p>
    <w:p w14:paraId="6CFDE9A9"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SAN (2022). Cultivating Sustainability: The Role of Sustainable and Regenerative Agriculture in Achieving the SDGs - Part 1, Sustainable Agriculture Network, Available at https://www.sustainableagriculture.eco/post/cultivating-sustainability-the-role-of-sustainable-and-regenerative-agriculture-in-achieving-the-sd </w:t>
      </w:r>
    </w:p>
    <w:p w14:paraId="63F9F346"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proofErr w:type="spellStart"/>
      <w:r w:rsidRPr="0076247D">
        <w:rPr>
          <w:rFonts w:ascii="Times New Roman" w:hAnsi="Times New Roman" w:cs="Times New Roman"/>
          <w:sz w:val="24"/>
          <w:szCs w:val="24"/>
        </w:rPr>
        <w:t>Sanderman</w:t>
      </w:r>
      <w:proofErr w:type="spellEnd"/>
      <w:r w:rsidRPr="0076247D">
        <w:rPr>
          <w:rFonts w:ascii="Times New Roman" w:hAnsi="Times New Roman" w:cs="Times New Roman"/>
          <w:sz w:val="24"/>
          <w:szCs w:val="24"/>
        </w:rPr>
        <w:t>, J. (2017). Soil carbon debt of 12,000 years of human land use. Proceedings of the National Academy of Sciences, 114(36), 9575 LP – 9580.</w:t>
      </w:r>
    </w:p>
    <w:p w14:paraId="06F6C071"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Seal A, </w:t>
      </w:r>
      <w:proofErr w:type="spellStart"/>
      <w:r w:rsidRPr="0076247D">
        <w:rPr>
          <w:rFonts w:ascii="Times New Roman" w:hAnsi="Times New Roman" w:cs="Times New Roman"/>
          <w:sz w:val="24"/>
          <w:szCs w:val="24"/>
        </w:rPr>
        <w:t>Bera</w:t>
      </w:r>
      <w:proofErr w:type="spellEnd"/>
      <w:r w:rsidRPr="0076247D">
        <w:rPr>
          <w:rFonts w:ascii="Times New Roman" w:hAnsi="Times New Roman" w:cs="Times New Roman"/>
          <w:sz w:val="24"/>
          <w:szCs w:val="24"/>
        </w:rPr>
        <w:t xml:space="preserve"> R, Roy Chowdhury R, Mukhopadhyay K, Mukherjee S, </w:t>
      </w:r>
      <w:proofErr w:type="spellStart"/>
      <w:r w:rsidRPr="0076247D">
        <w:rPr>
          <w:rFonts w:ascii="Times New Roman" w:hAnsi="Times New Roman" w:cs="Times New Roman"/>
          <w:sz w:val="24"/>
          <w:szCs w:val="24"/>
        </w:rPr>
        <w:t>Dolui</w:t>
      </w:r>
      <w:proofErr w:type="spellEnd"/>
      <w:r w:rsidRPr="0076247D">
        <w:rPr>
          <w:rFonts w:ascii="Times New Roman" w:hAnsi="Times New Roman" w:cs="Times New Roman"/>
          <w:sz w:val="24"/>
          <w:szCs w:val="24"/>
        </w:rPr>
        <w:t xml:space="preserve"> AK. (2017).  Evaluation of an organic package of practice towards green gram cultivation and assessment of its effectiveness in terms of crop sustainability and soil quality development. Turkish Journal of Agriculture - Food Science and Technology. 2017;5(5):536-545</w:t>
      </w:r>
    </w:p>
    <w:p w14:paraId="434153C4"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proofErr w:type="gramStart"/>
      <w:r w:rsidRPr="0076247D">
        <w:rPr>
          <w:rFonts w:ascii="Times New Roman" w:hAnsi="Times New Roman" w:cs="Times New Roman"/>
          <w:sz w:val="24"/>
          <w:szCs w:val="24"/>
        </w:rPr>
        <w:lastRenderedPageBreak/>
        <w:t>Shang  L</w:t>
      </w:r>
      <w:proofErr w:type="gramEnd"/>
      <w:r w:rsidRPr="0076247D">
        <w:rPr>
          <w:rFonts w:ascii="Times New Roman" w:hAnsi="Times New Roman" w:cs="Times New Roman"/>
          <w:sz w:val="24"/>
          <w:szCs w:val="24"/>
        </w:rPr>
        <w:t xml:space="preserve">,  </w:t>
      </w:r>
      <w:proofErr w:type="spellStart"/>
      <w:r w:rsidRPr="0076247D">
        <w:rPr>
          <w:rFonts w:ascii="Times New Roman" w:hAnsi="Times New Roman" w:cs="Times New Roman"/>
          <w:sz w:val="24"/>
          <w:szCs w:val="24"/>
        </w:rPr>
        <w:t>Heckelei</w:t>
      </w:r>
      <w:proofErr w:type="spellEnd"/>
      <w:r w:rsidRPr="0076247D">
        <w:rPr>
          <w:rFonts w:ascii="Times New Roman" w:hAnsi="Times New Roman" w:cs="Times New Roman"/>
          <w:sz w:val="24"/>
          <w:szCs w:val="24"/>
        </w:rPr>
        <w:t xml:space="preserve">  T,  </w:t>
      </w:r>
      <w:proofErr w:type="spellStart"/>
      <w:r w:rsidRPr="0076247D">
        <w:rPr>
          <w:rFonts w:ascii="Times New Roman" w:hAnsi="Times New Roman" w:cs="Times New Roman"/>
          <w:sz w:val="24"/>
          <w:szCs w:val="24"/>
        </w:rPr>
        <w:t>Gerullis</w:t>
      </w:r>
      <w:proofErr w:type="spellEnd"/>
      <w:r w:rsidRPr="0076247D">
        <w:rPr>
          <w:rFonts w:ascii="Times New Roman" w:hAnsi="Times New Roman" w:cs="Times New Roman"/>
          <w:sz w:val="24"/>
          <w:szCs w:val="24"/>
        </w:rPr>
        <w:t xml:space="preserve">  MK,  </w:t>
      </w:r>
      <w:proofErr w:type="spellStart"/>
      <w:r w:rsidRPr="0076247D">
        <w:rPr>
          <w:rFonts w:ascii="Times New Roman" w:hAnsi="Times New Roman" w:cs="Times New Roman"/>
          <w:sz w:val="24"/>
          <w:szCs w:val="24"/>
        </w:rPr>
        <w:t>Börner</w:t>
      </w:r>
      <w:proofErr w:type="spellEnd"/>
      <w:r w:rsidRPr="0076247D">
        <w:rPr>
          <w:rFonts w:ascii="Times New Roman" w:hAnsi="Times New Roman" w:cs="Times New Roman"/>
          <w:sz w:val="24"/>
          <w:szCs w:val="24"/>
        </w:rPr>
        <w:t xml:space="preserve"> J, and   Rasch   S. (2021).   Adoption   and   diffusion   of digital     farming     technologies-integrating farm-level evidence and system interaction. Agricultural Systems. 2021;190:103074</w:t>
      </w:r>
    </w:p>
    <w:p w14:paraId="3C376031"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proofErr w:type="spellStart"/>
      <w:r w:rsidRPr="0076247D">
        <w:rPr>
          <w:rFonts w:ascii="Times New Roman" w:hAnsi="Times New Roman" w:cs="Times New Roman"/>
          <w:sz w:val="24"/>
          <w:szCs w:val="24"/>
        </w:rPr>
        <w:t>Sikha</w:t>
      </w:r>
      <w:proofErr w:type="spellEnd"/>
      <w:r w:rsidRPr="0076247D">
        <w:rPr>
          <w:rFonts w:ascii="Times New Roman" w:hAnsi="Times New Roman" w:cs="Times New Roman"/>
          <w:sz w:val="24"/>
          <w:szCs w:val="24"/>
        </w:rPr>
        <w:t xml:space="preserve"> Karki, P.B. and Mackey, B. (2020) The Experiences and Perceptions of Farmers about the Impacts of Climate Change and Variability on Crop Production: A Review. </w:t>
      </w:r>
      <w:proofErr w:type="spellStart"/>
      <w:r w:rsidRPr="0076247D">
        <w:rPr>
          <w:rFonts w:ascii="Times New Roman" w:hAnsi="Times New Roman" w:cs="Times New Roman"/>
          <w:sz w:val="24"/>
          <w:szCs w:val="24"/>
        </w:rPr>
        <w:t>Clim</w:t>
      </w:r>
      <w:proofErr w:type="spellEnd"/>
      <w:r w:rsidRPr="0076247D">
        <w:rPr>
          <w:rFonts w:ascii="Times New Roman" w:hAnsi="Times New Roman" w:cs="Times New Roman"/>
          <w:sz w:val="24"/>
          <w:szCs w:val="24"/>
        </w:rPr>
        <w:t xml:space="preserve">. Dev. 2020, 12, 80–95. </w:t>
      </w:r>
    </w:p>
    <w:p w14:paraId="33721769"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proofErr w:type="gramStart"/>
      <w:r w:rsidRPr="0076247D">
        <w:rPr>
          <w:rFonts w:ascii="Times New Roman" w:hAnsi="Times New Roman" w:cs="Times New Roman"/>
          <w:sz w:val="24"/>
          <w:szCs w:val="24"/>
        </w:rPr>
        <w:t>Srinivas  A</w:t>
      </w:r>
      <w:proofErr w:type="gramEnd"/>
      <w:r w:rsidRPr="0076247D">
        <w:rPr>
          <w:rFonts w:ascii="Times New Roman" w:hAnsi="Times New Roman" w:cs="Times New Roman"/>
          <w:sz w:val="24"/>
          <w:szCs w:val="24"/>
        </w:rPr>
        <w:t xml:space="preserve">,  Sukanya  T,  Rao  B. Farmers’ adoption    of    finger    millet    production technologies   and   the   impact on   finger millet yields (2024). J. Exp. Agric. Int. 2024;46(5):518-25. </w:t>
      </w:r>
    </w:p>
    <w:p w14:paraId="3AF8E84B"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Strauss, T (2023). What is regenerative agriculture and how can it help us get to net zero food systems? 3 industry leaders explain, Available at https://climatechampions.unfccc.int/what-is-regenerative-agriculture-and-how-can-it-help-us-get-to-net-zero-food-systems-3-industry-leaders-explain </w:t>
      </w:r>
    </w:p>
    <w:p w14:paraId="79F45438"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proofErr w:type="spellStart"/>
      <w:r w:rsidRPr="0076247D">
        <w:rPr>
          <w:rFonts w:ascii="Times New Roman" w:hAnsi="Times New Roman" w:cs="Times New Roman"/>
          <w:sz w:val="24"/>
          <w:szCs w:val="24"/>
        </w:rPr>
        <w:t>Suterra</w:t>
      </w:r>
      <w:proofErr w:type="spellEnd"/>
      <w:r w:rsidRPr="0076247D">
        <w:rPr>
          <w:rFonts w:ascii="Times New Roman" w:hAnsi="Times New Roman" w:cs="Times New Roman"/>
          <w:sz w:val="24"/>
          <w:szCs w:val="24"/>
        </w:rPr>
        <w:t xml:space="preserve"> (2024). Sustainable, Regenerative, and Biodynamic Agriculture: A Guide to Pest Management and Long-term Success, Available at https://www.suterra.com/blog/regenerative-vs.-sustainable-agriculture</w:t>
      </w:r>
    </w:p>
    <w:p w14:paraId="2D4FD36B"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Teal N and Burkart K. (2024). Regenerative Agriculture can play a key role in combating climate change, Available at https://www.oneearth.org/regenerative-agriculture-can-play-a-key-role-in-combating-climate-change/</w:t>
      </w:r>
    </w:p>
    <w:p w14:paraId="6A6E7913"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Tilman, D., </w:t>
      </w:r>
      <w:proofErr w:type="spellStart"/>
      <w:r w:rsidRPr="0076247D">
        <w:rPr>
          <w:rFonts w:ascii="Times New Roman" w:hAnsi="Times New Roman" w:cs="Times New Roman"/>
          <w:sz w:val="24"/>
          <w:szCs w:val="24"/>
        </w:rPr>
        <w:t>Fargione</w:t>
      </w:r>
      <w:proofErr w:type="spellEnd"/>
      <w:r w:rsidRPr="0076247D">
        <w:rPr>
          <w:rFonts w:ascii="Times New Roman" w:hAnsi="Times New Roman" w:cs="Times New Roman"/>
          <w:sz w:val="24"/>
          <w:szCs w:val="24"/>
        </w:rPr>
        <w:t xml:space="preserve">, J., Wolff, B., </w:t>
      </w:r>
      <w:proofErr w:type="spellStart"/>
      <w:r w:rsidRPr="0076247D">
        <w:rPr>
          <w:rFonts w:ascii="Times New Roman" w:hAnsi="Times New Roman" w:cs="Times New Roman"/>
          <w:sz w:val="24"/>
          <w:szCs w:val="24"/>
        </w:rPr>
        <w:t>D′Antonio</w:t>
      </w:r>
      <w:proofErr w:type="spellEnd"/>
      <w:r w:rsidRPr="0076247D">
        <w:rPr>
          <w:rFonts w:ascii="Times New Roman" w:hAnsi="Times New Roman" w:cs="Times New Roman"/>
          <w:sz w:val="24"/>
          <w:szCs w:val="24"/>
        </w:rPr>
        <w:t xml:space="preserve">, </w:t>
      </w:r>
      <w:proofErr w:type="gramStart"/>
      <w:r w:rsidRPr="0076247D">
        <w:rPr>
          <w:rFonts w:ascii="Times New Roman" w:hAnsi="Times New Roman" w:cs="Times New Roman"/>
          <w:sz w:val="24"/>
          <w:szCs w:val="24"/>
        </w:rPr>
        <w:t>C .</w:t>
      </w:r>
      <w:proofErr w:type="gramEnd"/>
      <w:r w:rsidRPr="0076247D">
        <w:rPr>
          <w:rFonts w:ascii="Times New Roman" w:hAnsi="Times New Roman" w:cs="Times New Roman"/>
          <w:sz w:val="24"/>
          <w:szCs w:val="24"/>
        </w:rPr>
        <w:t xml:space="preserve">, Dobson, A., </w:t>
      </w:r>
      <w:proofErr w:type="spellStart"/>
      <w:r w:rsidRPr="0076247D">
        <w:rPr>
          <w:rFonts w:ascii="Times New Roman" w:hAnsi="Times New Roman" w:cs="Times New Roman"/>
          <w:sz w:val="24"/>
          <w:szCs w:val="24"/>
        </w:rPr>
        <w:t>Howarth</w:t>
      </w:r>
      <w:proofErr w:type="spellEnd"/>
      <w:r w:rsidRPr="0076247D">
        <w:rPr>
          <w:rFonts w:ascii="Times New Roman" w:hAnsi="Times New Roman" w:cs="Times New Roman"/>
          <w:sz w:val="24"/>
          <w:szCs w:val="24"/>
        </w:rPr>
        <w:t xml:space="preserve">, R., Schindler, D.,  Schlesinger, W.H., </w:t>
      </w:r>
      <w:proofErr w:type="spellStart"/>
      <w:r w:rsidRPr="0076247D">
        <w:rPr>
          <w:rFonts w:ascii="Times New Roman" w:hAnsi="Times New Roman" w:cs="Times New Roman"/>
          <w:sz w:val="24"/>
          <w:szCs w:val="24"/>
        </w:rPr>
        <w:t>Simberloff</w:t>
      </w:r>
      <w:proofErr w:type="spellEnd"/>
      <w:r w:rsidRPr="0076247D">
        <w:rPr>
          <w:rFonts w:ascii="Times New Roman" w:hAnsi="Times New Roman" w:cs="Times New Roman"/>
          <w:sz w:val="24"/>
          <w:szCs w:val="24"/>
        </w:rPr>
        <w:t xml:space="preserve">, D. and </w:t>
      </w:r>
      <w:proofErr w:type="spellStart"/>
      <w:r w:rsidRPr="0076247D">
        <w:rPr>
          <w:rFonts w:ascii="Times New Roman" w:hAnsi="Times New Roman" w:cs="Times New Roman"/>
          <w:sz w:val="24"/>
          <w:szCs w:val="24"/>
        </w:rPr>
        <w:t>Swackhamer</w:t>
      </w:r>
      <w:proofErr w:type="spellEnd"/>
      <w:r w:rsidRPr="0076247D">
        <w:rPr>
          <w:rFonts w:ascii="Times New Roman" w:hAnsi="Times New Roman" w:cs="Times New Roman"/>
          <w:sz w:val="24"/>
          <w:szCs w:val="24"/>
        </w:rPr>
        <w:t>, D. (2001). Forecasting Agriculturally Driven Global Environmental Change. Science 2001, 292, 281–284.</w:t>
      </w:r>
    </w:p>
    <w:p w14:paraId="2B27B980"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https://doi.org/10.1126/science.1057544.</w:t>
      </w:r>
    </w:p>
    <w:p w14:paraId="2E04370C"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Wagg, C., Bender, S.F., Widmer, F. </w:t>
      </w:r>
      <w:proofErr w:type="gramStart"/>
      <w:r w:rsidRPr="0076247D">
        <w:rPr>
          <w:rFonts w:ascii="Times New Roman" w:hAnsi="Times New Roman" w:cs="Times New Roman"/>
          <w:sz w:val="24"/>
          <w:szCs w:val="24"/>
        </w:rPr>
        <w:t>and  van</w:t>
      </w:r>
      <w:proofErr w:type="gramEnd"/>
      <w:r w:rsidRPr="0076247D">
        <w:rPr>
          <w:rFonts w:ascii="Times New Roman" w:hAnsi="Times New Roman" w:cs="Times New Roman"/>
          <w:sz w:val="24"/>
          <w:szCs w:val="24"/>
        </w:rPr>
        <w:t xml:space="preserve"> der Heijden, M.G.A. (2024). Soil biodiversity and soil community composition determine ecosystem multifunctionality. Proc. Natl. Acad. Sci. USA 2014, 111, 5266–5270. https://doi.org/10.1073/pnas.1320054111.</w:t>
      </w:r>
    </w:p>
    <w:p w14:paraId="72C08F23"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Walsh, M. K., P. Backlund, L. </w:t>
      </w:r>
      <w:proofErr w:type="spellStart"/>
      <w:r w:rsidRPr="0076247D">
        <w:rPr>
          <w:rFonts w:ascii="Times New Roman" w:hAnsi="Times New Roman" w:cs="Times New Roman"/>
          <w:sz w:val="24"/>
          <w:szCs w:val="24"/>
        </w:rPr>
        <w:t>Buja</w:t>
      </w:r>
      <w:proofErr w:type="spellEnd"/>
      <w:r w:rsidRPr="0076247D">
        <w:rPr>
          <w:rFonts w:ascii="Times New Roman" w:hAnsi="Times New Roman" w:cs="Times New Roman"/>
          <w:sz w:val="24"/>
          <w:szCs w:val="24"/>
        </w:rPr>
        <w:t xml:space="preserve">, A. </w:t>
      </w:r>
      <w:proofErr w:type="spellStart"/>
      <w:r w:rsidRPr="0076247D">
        <w:rPr>
          <w:rFonts w:ascii="Times New Roman" w:hAnsi="Times New Roman" w:cs="Times New Roman"/>
          <w:sz w:val="24"/>
          <w:szCs w:val="24"/>
        </w:rPr>
        <w:t>DeGaetano</w:t>
      </w:r>
      <w:proofErr w:type="spellEnd"/>
      <w:r w:rsidRPr="0076247D">
        <w:rPr>
          <w:rFonts w:ascii="Times New Roman" w:hAnsi="Times New Roman" w:cs="Times New Roman"/>
          <w:sz w:val="24"/>
          <w:szCs w:val="24"/>
        </w:rPr>
        <w:t xml:space="preserve">, R. Melnick, L. </w:t>
      </w:r>
      <w:proofErr w:type="spellStart"/>
      <w:r w:rsidRPr="0076247D">
        <w:rPr>
          <w:rFonts w:ascii="Times New Roman" w:hAnsi="Times New Roman" w:cs="Times New Roman"/>
          <w:sz w:val="24"/>
          <w:szCs w:val="24"/>
        </w:rPr>
        <w:t>Prokopy</w:t>
      </w:r>
      <w:proofErr w:type="spellEnd"/>
      <w:r w:rsidRPr="0076247D">
        <w:rPr>
          <w:rFonts w:ascii="Times New Roman" w:hAnsi="Times New Roman" w:cs="Times New Roman"/>
          <w:sz w:val="24"/>
          <w:szCs w:val="24"/>
        </w:rPr>
        <w:t xml:space="preserve">, E. </w:t>
      </w:r>
      <w:proofErr w:type="spellStart"/>
      <w:r w:rsidRPr="0076247D">
        <w:rPr>
          <w:rFonts w:ascii="Times New Roman" w:hAnsi="Times New Roman" w:cs="Times New Roman"/>
          <w:sz w:val="24"/>
          <w:szCs w:val="24"/>
        </w:rPr>
        <w:t>Takle</w:t>
      </w:r>
      <w:proofErr w:type="spellEnd"/>
      <w:r w:rsidRPr="0076247D">
        <w:rPr>
          <w:rFonts w:ascii="Times New Roman" w:hAnsi="Times New Roman" w:cs="Times New Roman"/>
          <w:sz w:val="24"/>
          <w:szCs w:val="24"/>
        </w:rPr>
        <w:t xml:space="preserve">, D. </w:t>
      </w:r>
      <w:proofErr w:type="spellStart"/>
      <w:r w:rsidRPr="0076247D">
        <w:rPr>
          <w:rFonts w:ascii="Times New Roman" w:hAnsi="Times New Roman" w:cs="Times New Roman"/>
          <w:sz w:val="24"/>
          <w:szCs w:val="24"/>
        </w:rPr>
        <w:t>Todey</w:t>
      </w:r>
      <w:proofErr w:type="spellEnd"/>
      <w:r w:rsidRPr="0076247D">
        <w:rPr>
          <w:rFonts w:ascii="Times New Roman" w:hAnsi="Times New Roman" w:cs="Times New Roman"/>
          <w:sz w:val="24"/>
          <w:szCs w:val="24"/>
        </w:rPr>
        <w:t xml:space="preserve"> and  L. Ziska. (2020). Climate Indicators for Agriculture. USDA Technical Bulletin 1953. Washington, DC. 70 pages. DOI https://doi.org/10.25675/10217/210930.</w:t>
      </w:r>
    </w:p>
    <w:p w14:paraId="6040325D"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Wing, I.S., Cian E.D. and Mistry M.N. (2021). Global vulnerability of crop yields to climate change, Journal of Environmental Economics and Management, Volume 109, 2021, 102462, ISSN 0095-0696,</w:t>
      </w:r>
    </w:p>
    <w:p w14:paraId="19D91558"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Wu, Y., Meng, S., Liu, C.</w:t>
      </w:r>
      <w:proofErr w:type="gramStart"/>
      <w:r w:rsidRPr="0076247D">
        <w:rPr>
          <w:rFonts w:ascii="Times New Roman" w:hAnsi="Times New Roman" w:cs="Times New Roman"/>
          <w:sz w:val="24"/>
          <w:szCs w:val="24"/>
        </w:rPr>
        <w:t>,  Gao</w:t>
      </w:r>
      <w:proofErr w:type="gramEnd"/>
      <w:r w:rsidRPr="0076247D">
        <w:rPr>
          <w:rFonts w:ascii="Times New Roman" w:hAnsi="Times New Roman" w:cs="Times New Roman"/>
          <w:sz w:val="24"/>
          <w:szCs w:val="24"/>
        </w:rPr>
        <w:t xml:space="preserve">, W., Liang, X.Z.  (2023). </w:t>
      </w:r>
      <w:proofErr w:type="gramStart"/>
      <w:r w:rsidRPr="0076247D">
        <w:rPr>
          <w:rFonts w:ascii="Times New Roman" w:hAnsi="Times New Roman" w:cs="Times New Roman"/>
          <w:sz w:val="24"/>
          <w:szCs w:val="24"/>
        </w:rPr>
        <w:t>A  Bibliometric</w:t>
      </w:r>
      <w:proofErr w:type="gramEnd"/>
      <w:r w:rsidRPr="0076247D">
        <w:rPr>
          <w:rFonts w:ascii="Times New Roman" w:hAnsi="Times New Roman" w:cs="Times New Roman"/>
          <w:sz w:val="24"/>
          <w:szCs w:val="24"/>
        </w:rPr>
        <w:t xml:space="preserve"> Analysis of Research for Climate Impact on Agriculture. Front. Sustain. Food Syst. 2023, 7, 1191305. </w:t>
      </w:r>
    </w:p>
    <w:p w14:paraId="3814989A"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Yang, Q. L., Du, T.</w:t>
      </w:r>
      <w:proofErr w:type="gramStart"/>
      <w:r w:rsidRPr="0076247D">
        <w:rPr>
          <w:rFonts w:ascii="Times New Roman" w:hAnsi="Times New Roman" w:cs="Times New Roman"/>
          <w:sz w:val="24"/>
          <w:szCs w:val="24"/>
        </w:rPr>
        <w:t>,  Li</w:t>
      </w:r>
      <w:proofErr w:type="gramEnd"/>
      <w:r w:rsidRPr="0076247D">
        <w:rPr>
          <w:rFonts w:ascii="Times New Roman" w:hAnsi="Times New Roman" w:cs="Times New Roman"/>
          <w:sz w:val="24"/>
          <w:szCs w:val="24"/>
        </w:rPr>
        <w:t xml:space="preserve">, N.,  Liang, J.,  </w:t>
      </w:r>
      <w:proofErr w:type="spellStart"/>
      <w:r w:rsidRPr="0076247D">
        <w:rPr>
          <w:rFonts w:ascii="Times New Roman" w:hAnsi="Times New Roman" w:cs="Times New Roman"/>
          <w:sz w:val="24"/>
          <w:szCs w:val="24"/>
        </w:rPr>
        <w:t>Javed</w:t>
      </w:r>
      <w:proofErr w:type="spellEnd"/>
      <w:r w:rsidRPr="0076247D">
        <w:rPr>
          <w:rFonts w:ascii="Times New Roman" w:hAnsi="Times New Roman" w:cs="Times New Roman"/>
          <w:sz w:val="24"/>
          <w:szCs w:val="24"/>
        </w:rPr>
        <w:t xml:space="preserve">, T.,  Wang, H.,  Guo, J.,  Liu, Y. Bibliometric  (2023). Analysis on the Impact of Climate Change on Crop Pest and Disease.  Agronomy 2023, 13, 920. </w:t>
      </w:r>
    </w:p>
    <w:p w14:paraId="092F184D" w14:textId="77777777" w:rsidR="009147D1"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lastRenderedPageBreak/>
        <w:t xml:space="preserve">Yuan, X., Li, S., Chen, J., Yu, H., Yang, T., Wang, C., Huang, S., Chen, H., and </w:t>
      </w:r>
      <w:proofErr w:type="spellStart"/>
      <w:r w:rsidRPr="0076247D">
        <w:rPr>
          <w:rFonts w:ascii="Times New Roman" w:hAnsi="Times New Roman" w:cs="Times New Roman"/>
          <w:sz w:val="24"/>
          <w:szCs w:val="24"/>
        </w:rPr>
        <w:t>Ao</w:t>
      </w:r>
      <w:proofErr w:type="spellEnd"/>
      <w:r w:rsidRPr="0076247D">
        <w:rPr>
          <w:rFonts w:ascii="Times New Roman" w:hAnsi="Times New Roman" w:cs="Times New Roman"/>
          <w:sz w:val="24"/>
          <w:szCs w:val="24"/>
        </w:rPr>
        <w:t>, X. (2024). Impacts of Global Climate Change on Agricultural Production: A Comprehensive Review. Agronomy, 14(7), 1360. https://doi.org/10.3390/agronomy14071360.</w:t>
      </w:r>
    </w:p>
    <w:sectPr w:rsidR="009147D1" w:rsidRPr="0076247D">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3F582" w14:textId="77777777" w:rsidR="00936463" w:rsidRDefault="00936463" w:rsidP="00183588">
      <w:pPr>
        <w:spacing w:after="0" w:line="240" w:lineRule="auto"/>
      </w:pPr>
      <w:r>
        <w:separator/>
      </w:r>
    </w:p>
  </w:endnote>
  <w:endnote w:type="continuationSeparator" w:id="0">
    <w:p w14:paraId="59D7059A" w14:textId="77777777" w:rsidR="00936463" w:rsidRDefault="00936463" w:rsidP="00183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35433" w14:textId="77777777" w:rsidR="00EF1A6E" w:rsidRDefault="00EF1A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465185"/>
      <w:docPartObj>
        <w:docPartGallery w:val="Page Numbers (Bottom of Page)"/>
        <w:docPartUnique/>
      </w:docPartObj>
    </w:sdtPr>
    <w:sdtEndPr>
      <w:rPr>
        <w:noProof/>
      </w:rPr>
    </w:sdtEndPr>
    <w:sdtContent>
      <w:p w14:paraId="4C5F3D37" w14:textId="77777777" w:rsidR="00183588" w:rsidRDefault="00183588">
        <w:pPr>
          <w:pStyle w:val="Footer"/>
          <w:jc w:val="center"/>
        </w:pPr>
        <w:r>
          <w:fldChar w:fldCharType="begin"/>
        </w:r>
        <w:r>
          <w:instrText xml:space="preserve"> PAGE   \* MERGEFORMAT </w:instrText>
        </w:r>
        <w:r>
          <w:fldChar w:fldCharType="separate"/>
        </w:r>
        <w:r w:rsidR="00C82820">
          <w:rPr>
            <w:noProof/>
          </w:rPr>
          <w:t>5</w:t>
        </w:r>
        <w:r>
          <w:rPr>
            <w:noProof/>
          </w:rPr>
          <w:fldChar w:fldCharType="end"/>
        </w:r>
      </w:p>
    </w:sdtContent>
  </w:sdt>
  <w:p w14:paraId="7CBC3953" w14:textId="77777777" w:rsidR="00183588" w:rsidRDefault="001835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BE59C" w14:textId="77777777" w:rsidR="00EF1A6E" w:rsidRDefault="00EF1A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7976F" w14:textId="77777777" w:rsidR="00936463" w:rsidRDefault="00936463" w:rsidP="00183588">
      <w:pPr>
        <w:spacing w:after="0" w:line="240" w:lineRule="auto"/>
      </w:pPr>
      <w:r>
        <w:separator/>
      </w:r>
    </w:p>
  </w:footnote>
  <w:footnote w:type="continuationSeparator" w:id="0">
    <w:p w14:paraId="7F440F44" w14:textId="77777777" w:rsidR="00936463" w:rsidRDefault="00936463" w:rsidP="00183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A6FA4" w14:textId="5D2BE8FB" w:rsidR="00EF1A6E" w:rsidRDefault="00936463">
    <w:pPr>
      <w:pStyle w:val="Header"/>
    </w:pPr>
    <w:r>
      <w:rPr>
        <w:noProof/>
      </w:rPr>
      <w:pict w14:anchorId="05B07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1886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D85CB" w14:textId="79D2D696" w:rsidR="00EF1A6E" w:rsidRDefault="00936463">
    <w:pPr>
      <w:pStyle w:val="Header"/>
    </w:pPr>
    <w:r>
      <w:rPr>
        <w:noProof/>
      </w:rPr>
      <w:pict w14:anchorId="0FFD0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1886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7C2FB" w14:textId="6AD46BFC" w:rsidR="00EF1A6E" w:rsidRDefault="00936463">
    <w:pPr>
      <w:pStyle w:val="Header"/>
    </w:pPr>
    <w:r>
      <w:rPr>
        <w:noProof/>
      </w:rPr>
      <w:pict w14:anchorId="57A833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1886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4692C"/>
    <w:multiLevelType w:val="hybridMultilevel"/>
    <w:tmpl w:val="15746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826E64"/>
    <w:multiLevelType w:val="hybridMultilevel"/>
    <w:tmpl w:val="7090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5D0D45"/>
    <w:multiLevelType w:val="hybridMultilevel"/>
    <w:tmpl w:val="7452C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2B63"/>
    <w:rsid w:val="00007EDA"/>
    <w:rsid w:val="000248EF"/>
    <w:rsid w:val="00183588"/>
    <w:rsid w:val="001B2AE9"/>
    <w:rsid w:val="001C7667"/>
    <w:rsid w:val="001D7BD5"/>
    <w:rsid w:val="002278F2"/>
    <w:rsid w:val="002C2E17"/>
    <w:rsid w:val="00311F5A"/>
    <w:rsid w:val="00322887"/>
    <w:rsid w:val="0043039A"/>
    <w:rsid w:val="00434898"/>
    <w:rsid w:val="00556A1A"/>
    <w:rsid w:val="00596476"/>
    <w:rsid w:val="006010AE"/>
    <w:rsid w:val="006041E7"/>
    <w:rsid w:val="00636B18"/>
    <w:rsid w:val="0071330B"/>
    <w:rsid w:val="0076247D"/>
    <w:rsid w:val="007A2B63"/>
    <w:rsid w:val="007A6BC5"/>
    <w:rsid w:val="007B606C"/>
    <w:rsid w:val="00825C53"/>
    <w:rsid w:val="00891284"/>
    <w:rsid w:val="008B21FA"/>
    <w:rsid w:val="009147D1"/>
    <w:rsid w:val="00936463"/>
    <w:rsid w:val="009B143E"/>
    <w:rsid w:val="00A333D3"/>
    <w:rsid w:val="00A81FDF"/>
    <w:rsid w:val="00B25737"/>
    <w:rsid w:val="00B84AF6"/>
    <w:rsid w:val="00B92ECB"/>
    <w:rsid w:val="00BC0EFC"/>
    <w:rsid w:val="00BE66BF"/>
    <w:rsid w:val="00C114CB"/>
    <w:rsid w:val="00C82820"/>
    <w:rsid w:val="00C947F3"/>
    <w:rsid w:val="00CD6DF9"/>
    <w:rsid w:val="00D32227"/>
    <w:rsid w:val="00D70A35"/>
    <w:rsid w:val="00D84747"/>
    <w:rsid w:val="00DE0A2F"/>
    <w:rsid w:val="00E004CD"/>
    <w:rsid w:val="00E23FBA"/>
    <w:rsid w:val="00E70B6F"/>
    <w:rsid w:val="00ED1C9A"/>
    <w:rsid w:val="00EF1A6E"/>
    <w:rsid w:val="00F70714"/>
    <w:rsid w:val="00F802D2"/>
    <w:rsid w:val="00FC34AB"/>
    <w:rsid w:val="00FE3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126B07"/>
  <w15:docId w15:val="{FFE20EDC-B230-4350-89A4-22BE8F577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143E"/>
    <w:pPr>
      <w:spacing w:after="0" w:line="240" w:lineRule="auto"/>
    </w:pPr>
    <w:rPr>
      <w:kern w:val="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43E"/>
    <w:rPr>
      <w:rFonts w:ascii="Tahoma" w:hAnsi="Tahoma" w:cs="Tahoma"/>
      <w:sz w:val="16"/>
      <w:szCs w:val="16"/>
    </w:rPr>
  </w:style>
  <w:style w:type="paragraph" w:styleId="ListParagraph">
    <w:name w:val="List Paragraph"/>
    <w:basedOn w:val="Normal"/>
    <w:uiPriority w:val="34"/>
    <w:qFormat/>
    <w:rsid w:val="002C2E17"/>
    <w:pPr>
      <w:ind w:left="720"/>
      <w:contextualSpacing/>
    </w:pPr>
  </w:style>
  <w:style w:type="paragraph" w:styleId="Header">
    <w:name w:val="header"/>
    <w:basedOn w:val="Normal"/>
    <w:link w:val="HeaderChar"/>
    <w:uiPriority w:val="99"/>
    <w:unhideWhenUsed/>
    <w:rsid w:val="00183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588"/>
  </w:style>
  <w:style w:type="paragraph" w:styleId="Footer">
    <w:name w:val="footer"/>
    <w:basedOn w:val="Normal"/>
    <w:link w:val="FooterChar"/>
    <w:uiPriority w:val="99"/>
    <w:unhideWhenUsed/>
    <w:rsid w:val="00183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588"/>
  </w:style>
  <w:style w:type="character" w:styleId="Hyperlink">
    <w:name w:val="Hyperlink"/>
    <w:basedOn w:val="DefaultParagraphFont"/>
    <w:uiPriority w:val="99"/>
    <w:unhideWhenUsed/>
    <w:rsid w:val="00F802D2"/>
    <w:rPr>
      <w:color w:val="0000FF" w:themeColor="hyperlink"/>
      <w:u w:val="single"/>
    </w:rPr>
  </w:style>
  <w:style w:type="character" w:customStyle="1" w:styleId="UnresolvedMention1">
    <w:name w:val="Unresolved Mention1"/>
    <w:basedOn w:val="DefaultParagraphFont"/>
    <w:uiPriority w:val="99"/>
    <w:semiHidden/>
    <w:unhideWhenUsed/>
    <w:rsid w:val="00FE3F04"/>
    <w:rPr>
      <w:color w:val="605E5C"/>
      <w:shd w:val="clear" w:color="auto" w:fill="E1DFDD"/>
    </w:rPr>
  </w:style>
  <w:style w:type="paragraph" w:styleId="NormalWeb">
    <w:name w:val="Normal (Web)"/>
    <w:basedOn w:val="Normal"/>
    <w:uiPriority w:val="99"/>
    <w:semiHidden/>
    <w:unhideWhenUsed/>
    <w:rsid w:val="006010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257098">
      <w:bodyDiv w:val="1"/>
      <w:marLeft w:val="0"/>
      <w:marRight w:val="0"/>
      <w:marTop w:val="0"/>
      <w:marBottom w:val="0"/>
      <w:divBdr>
        <w:top w:val="none" w:sz="0" w:space="0" w:color="auto"/>
        <w:left w:val="none" w:sz="0" w:space="0" w:color="auto"/>
        <w:bottom w:val="none" w:sz="0" w:space="0" w:color="auto"/>
        <w:right w:val="none" w:sz="0" w:space="0" w:color="auto"/>
      </w:divBdr>
    </w:div>
    <w:div w:id="1228228759">
      <w:bodyDiv w:val="1"/>
      <w:marLeft w:val="0"/>
      <w:marRight w:val="0"/>
      <w:marTop w:val="0"/>
      <w:marBottom w:val="0"/>
      <w:divBdr>
        <w:top w:val="none" w:sz="0" w:space="0" w:color="auto"/>
        <w:left w:val="none" w:sz="0" w:space="0" w:color="auto"/>
        <w:bottom w:val="none" w:sz="0" w:space="0" w:color="auto"/>
        <w:right w:val="none" w:sz="0" w:space="0" w:color="auto"/>
      </w:divBdr>
    </w:div>
    <w:div w:id="1691254724">
      <w:bodyDiv w:val="1"/>
      <w:marLeft w:val="0"/>
      <w:marRight w:val="0"/>
      <w:marTop w:val="0"/>
      <w:marBottom w:val="0"/>
      <w:divBdr>
        <w:top w:val="none" w:sz="0" w:space="0" w:color="auto"/>
        <w:left w:val="none" w:sz="0" w:space="0" w:color="auto"/>
        <w:bottom w:val="none" w:sz="0" w:space="0" w:color="auto"/>
        <w:right w:val="none" w:sz="0" w:space="0" w:color="auto"/>
      </w:divBdr>
    </w:div>
    <w:div w:id="1811053784">
      <w:bodyDiv w:val="1"/>
      <w:marLeft w:val="0"/>
      <w:marRight w:val="0"/>
      <w:marTop w:val="0"/>
      <w:marBottom w:val="0"/>
      <w:divBdr>
        <w:top w:val="none" w:sz="0" w:space="0" w:color="auto"/>
        <w:left w:val="none" w:sz="0" w:space="0" w:color="auto"/>
        <w:bottom w:val="none" w:sz="0" w:space="0" w:color="auto"/>
        <w:right w:val="none" w:sz="0" w:space="0" w:color="auto"/>
      </w:divBdr>
    </w:div>
    <w:div w:id="1993946978">
      <w:bodyDiv w:val="1"/>
      <w:marLeft w:val="0"/>
      <w:marRight w:val="0"/>
      <w:marTop w:val="0"/>
      <w:marBottom w:val="0"/>
      <w:divBdr>
        <w:top w:val="none" w:sz="0" w:space="0" w:color="auto"/>
        <w:left w:val="none" w:sz="0" w:space="0" w:color="auto"/>
        <w:bottom w:val="none" w:sz="0" w:space="0" w:color="auto"/>
        <w:right w:val="none" w:sz="0" w:space="0" w:color="auto"/>
      </w:divBdr>
    </w:div>
    <w:div w:id="203399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play.google.com/store/apps/details?id=com.trustea.tec&amp;hl=en_I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32</Pages>
  <Words>10807</Words>
  <Characters>61601</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Atanu</dc:creator>
  <cp:keywords/>
  <dc:description/>
  <cp:lastModifiedBy>SDI 1183</cp:lastModifiedBy>
  <cp:revision>60</cp:revision>
  <dcterms:created xsi:type="dcterms:W3CDTF">2025-03-20T07:16:00Z</dcterms:created>
  <dcterms:modified xsi:type="dcterms:W3CDTF">2025-04-01T06:23:00Z</dcterms:modified>
</cp:coreProperties>
</file>