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EF45" w14:textId="77777777" w:rsidR="00754C9A" w:rsidRDefault="00754C9A" w:rsidP="00441B6F">
      <w:pPr>
        <w:pStyle w:val="Title"/>
        <w:spacing w:after="0"/>
        <w:jc w:val="both"/>
        <w:rPr>
          <w:rFonts w:ascii="Arial" w:hAnsi="Arial" w:cs="Arial"/>
        </w:rPr>
      </w:pPr>
      <w:bookmarkStart w:id="0" w:name="_Hlk189649853"/>
      <w:bookmarkEnd w:id="0"/>
    </w:p>
    <w:p w14:paraId="7AA6DCF1" w14:textId="339F2671" w:rsidR="00287ED5" w:rsidRPr="00EE04EB" w:rsidRDefault="00287ED5" w:rsidP="00287ED5">
      <w:pPr>
        <w:spacing w:line="276" w:lineRule="auto"/>
        <w:jc w:val="both"/>
        <w:rPr>
          <w:rFonts w:ascii="Arial" w:eastAsia="Calibri" w:hAnsi="Arial" w:cs="Arial"/>
          <w:b/>
          <w:bCs/>
          <w:kern w:val="2"/>
          <w:sz w:val="22"/>
          <w:szCs w:val="22"/>
          <w14:ligatures w14:val="standardContextual"/>
        </w:rPr>
      </w:pPr>
      <w:r w:rsidRPr="00EE04EB">
        <w:rPr>
          <w:rFonts w:ascii="Arial" w:eastAsia="Calibri" w:hAnsi="Arial" w:cs="Arial"/>
          <w:b/>
          <w:bCs/>
          <w:kern w:val="2"/>
          <w:sz w:val="22"/>
          <w:szCs w:val="22"/>
          <w14:ligatures w14:val="standardContextual"/>
        </w:rPr>
        <w:t xml:space="preserve">Assessing the adequacy of existing risk management programs for the safety of old dams: The case of </w:t>
      </w:r>
      <w:proofErr w:type="spellStart"/>
      <w:r w:rsidRPr="00EE04EB">
        <w:rPr>
          <w:rFonts w:ascii="Arial" w:eastAsia="Calibri" w:hAnsi="Arial" w:cs="Arial"/>
          <w:b/>
          <w:bCs/>
          <w:kern w:val="2"/>
          <w:sz w:val="22"/>
          <w:szCs w:val="22"/>
          <w14:ligatures w14:val="standardContextual"/>
        </w:rPr>
        <w:t>Mindu</w:t>
      </w:r>
      <w:proofErr w:type="spellEnd"/>
      <w:r w:rsidRPr="00EE04EB">
        <w:rPr>
          <w:rFonts w:ascii="Arial" w:eastAsia="Calibri" w:hAnsi="Arial" w:cs="Arial"/>
          <w:b/>
          <w:bCs/>
          <w:kern w:val="2"/>
          <w:sz w:val="22"/>
          <w:szCs w:val="22"/>
          <w14:ligatures w14:val="standardContextual"/>
        </w:rPr>
        <w:t xml:space="preserve"> dam in Morogoro Municipality</w:t>
      </w:r>
      <w:r w:rsidR="00770242">
        <w:rPr>
          <w:rFonts w:ascii="Arial" w:eastAsia="Calibri" w:hAnsi="Arial" w:cs="Arial"/>
          <w:b/>
          <w:bCs/>
          <w:kern w:val="2"/>
          <w:sz w:val="22"/>
          <w:szCs w:val="22"/>
          <w14:ligatures w14:val="standardContextual"/>
        </w:rPr>
        <w:t xml:space="preserve">, </w:t>
      </w:r>
      <w:r w:rsidR="00770242" w:rsidRPr="00770242">
        <w:rPr>
          <w:rFonts w:ascii="Arial" w:eastAsia="Calibri" w:hAnsi="Arial" w:cs="Arial"/>
          <w:b/>
          <w:bCs/>
          <w:kern w:val="2"/>
          <w:sz w:val="22"/>
          <w:szCs w:val="22"/>
          <w14:ligatures w14:val="standardContextual"/>
        </w:rPr>
        <w:t>Tanzania</w:t>
      </w:r>
    </w:p>
    <w:p w14:paraId="4F3E9886" w14:textId="77777777" w:rsidR="00790ADA" w:rsidRPr="00F54485" w:rsidRDefault="00790ADA" w:rsidP="00441B6F">
      <w:pPr>
        <w:pStyle w:val="Affiliation"/>
        <w:spacing w:after="0" w:line="240" w:lineRule="auto"/>
        <w:jc w:val="both"/>
        <w:rPr>
          <w:rFonts w:ascii="Arial" w:hAnsi="Arial" w:cs="Arial"/>
        </w:rPr>
      </w:pPr>
    </w:p>
    <w:p w14:paraId="747EAA21" w14:textId="77777777" w:rsidR="000E2D4C" w:rsidRPr="00F54485" w:rsidRDefault="000E2D4C" w:rsidP="00441B6F">
      <w:pPr>
        <w:pStyle w:val="Affiliation"/>
        <w:spacing w:after="0" w:line="240" w:lineRule="auto"/>
        <w:jc w:val="both"/>
        <w:rPr>
          <w:rFonts w:ascii="Arial" w:hAnsi="Arial" w:cs="Arial"/>
        </w:rPr>
      </w:pPr>
    </w:p>
    <w:p w14:paraId="2F6E349B" w14:textId="77777777" w:rsidR="00B01FCD" w:rsidRPr="00FB3A86" w:rsidRDefault="00FB3A86" w:rsidP="00441B6F">
      <w:pPr>
        <w:pStyle w:val="Copyright"/>
        <w:spacing w:after="0" w:line="240" w:lineRule="auto"/>
        <w:jc w:val="both"/>
        <w:rPr>
          <w:rFonts w:ascii="Arial" w:hAnsi="Arial" w:cs="Arial"/>
        </w:rPr>
        <w:sectPr w:rsidR="00B01FCD" w:rsidRPr="00FB3A86" w:rsidSect="000E2D4C">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rPr>
        <w:t>.</w:t>
      </w:r>
    </w:p>
    <w:p w14:paraId="31E4F5A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B1BF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54E96" w:rsidRPr="00454E96" w14:paraId="6ADF5EDB" w14:textId="77777777" w:rsidTr="00454E96">
        <w:tc>
          <w:tcPr>
            <w:tcW w:w="9576" w:type="dxa"/>
            <w:shd w:val="clear" w:color="auto" w:fill="F2F2F2"/>
          </w:tcPr>
          <w:p w14:paraId="47EC6167" w14:textId="760862C6" w:rsidR="00F9435F" w:rsidRPr="00224267" w:rsidRDefault="00F9435F" w:rsidP="00F9435F">
            <w:pPr>
              <w:spacing w:line="276" w:lineRule="auto"/>
              <w:contextualSpacing/>
              <w:rPr>
                <w:rFonts w:ascii="Arial" w:eastAsia="Calibri" w:hAnsi="Arial" w:cs="Arial"/>
                <w:kern w:val="2"/>
                <w14:ligatures w14:val="standardContextual"/>
              </w:rPr>
            </w:pPr>
            <w:r w:rsidRPr="00355F0D">
              <w:rPr>
                <w:rFonts w:ascii="Arial" w:eastAsia="Calibri" w:hAnsi="Arial" w:cs="Arial"/>
                <w:kern w:val="2"/>
                <w14:ligatures w14:val="standardContextual"/>
              </w:rPr>
              <w:t xml:space="preserve">While structural evaluations of medium-to-large government-managed dams are common, small public-owned dams like </w:t>
            </w:r>
            <w:proofErr w:type="spellStart"/>
            <w:r w:rsidRPr="00355F0D">
              <w:rPr>
                <w:rFonts w:ascii="Arial" w:eastAsia="Calibri" w:hAnsi="Arial" w:cs="Arial"/>
                <w:kern w:val="2"/>
                <w14:ligatures w14:val="standardContextual"/>
              </w:rPr>
              <w:t>Mindu</w:t>
            </w:r>
            <w:proofErr w:type="spellEnd"/>
            <w:r w:rsidRPr="00355F0D">
              <w:rPr>
                <w:rFonts w:ascii="Arial" w:eastAsia="Calibri" w:hAnsi="Arial" w:cs="Arial"/>
                <w:kern w:val="2"/>
                <w14:ligatures w14:val="standardContextual"/>
              </w:rPr>
              <w:t xml:space="preserve"> remain critically understudied despite their vulnerability to failures. This study evaluates the adequacy of existing risk management programs for aging dams in developing countries, with a focus on the </w:t>
            </w:r>
            <w:proofErr w:type="spellStart"/>
            <w:r w:rsidRPr="00355F0D">
              <w:rPr>
                <w:rFonts w:ascii="Arial" w:eastAsia="Calibri" w:hAnsi="Arial" w:cs="Arial"/>
                <w:kern w:val="2"/>
                <w14:ligatures w14:val="standardContextual"/>
              </w:rPr>
              <w:t>Mindu</w:t>
            </w:r>
            <w:proofErr w:type="spellEnd"/>
            <w:r w:rsidRPr="00355F0D">
              <w:rPr>
                <w:rFonts w:ascii="Arial" w:eastAsia="Calibri" w:hAnsi="Arial" w:cs="Arial"/>
                <w:kern w:val="2"/>
                <w14:ligatures w14:val="standardContextual"/>
              </w:rPr>
              <w:t xml:space="preserve"> Dam in Morogoro Municipality, Tanzania. The study's </w:t>
            </w:r>
            <w:r>
              <w:rPr>
                <w:rFonts w:ascii="Arial" w:eastAsia="Calibri" w:hAnsi="Arial" w:cs="Arial"/>
                <w:kern w:val="2"/>
                <w14:ligatures w14:val="standardContextual"/>
              </w:rPr>
              <w:t>three</w:t>
            </w:r>
            <w:r w:rsidRPr="00355F0D">
              <w:rPr>
                <w:rFonts w:ascii="Arial" w:eastAsia="Calibri" w:hAnsi="Arial" w:cs="Arial"/>
                <w:kern w:val="2"/>
                <w14:ligatures w14:val="standardContextual"/>
              </w:rPr>
              <w:t xml:space="preserve"> main goals are to: (1) determine whether </w:t>
            </w:r>
            <w:proofErr w:type="spellStart"/>
            <w:r w:rsidRPr="00355F0D">
              <w:rPr>
                <w:rFonts w:ascii="Arial" w:eastAsia="Calibri" w:hAnsi="Arial" w:cs="Arial"/>
                <w:kern w:val="2"/>
                <w14:ligatures w14:val="standardContextual"/>
              </w:rPr>
              <w:t>Mindu</w:t>
            </w:r>
            <w:proofErr w:type="spellEnd"/>
            <w:r w:rsidRPr="00355F0D">
              <w:rPr>
                <w:rFonts w:ascii="Arial" w:eastAsia="Calibri" w:hAnsi="Arial" w:cs="Arial"/>
                <w:kern w:val="2"/>
                <w14:ligatures w14:val="standardContextual"/>
              </w:rPr>
              <w:t xml:space="preserve"> Dam's safety practices comply with international standards, and (2) suggest context-sensitive policy improvements for aging dams in resource-constrained settings</w:t>
            </w:r>
            <w:r>
              <w:rPr>
                <w:rFonts w:ascii="Arial" w:eastAsia="Calibri" w:hAnsi="Arial" w:cs="Arial"/>
                <w:kern w:val="2"/>
                <w14:ligatures w14:val="standardContextual"/>
              </w:rPr>
              <w:t xml:space="preserve"> </w:t>
            </w:r>
            <w:proofErr w:type="gramStart"/>
            <w:r>
              <w:rPr>
                <w:rFonts w:ascii="Arial" w:eastAsia="Calibri" w:hAnsi="Arial" w:cs="Arial"/>
                <w:kern w:val="2"/>
                <w14:ligatures w14:val="standardContextual"/>
              </w:rPr>
              <w:t>and</w:t>
            </w:r>
            <w:r w:rsidR="002D0EB1">
              <w:rPr>
                <w:rFonts w:ascii="Arial" w:eastAsia="Calibri" w:hAnsi="Arial" w:cs="Arial"/>
                <w:kern w:val="2"/>
                <w14:ligatures w14:val="standardContextual"/>
              </w:rPr>
              <w:t>(</w:t>
            </w:r>
            <w:proofErr w:type="gramEnd"/>
            <w:r w:rsidR="002D0EB1">
              <w:rPr>
                <w:rFonts w:ascii="Arial" w:eastAsia="Calibri" w:hAnsi="Arial" w:cs="Arial"/>
                <w:kern w:val="2"/>
                <w14:ligatures w14:val="standardContextual"/>
              </w:rPr>
              <w:t>3)</w:t>
            </w:r>
            <w:r>
              <w:rPr>
                <w:rFonts w:ascii="Arial" w:eastAsia="Calibri" w:hAnsi="Arial" w:cs="Arial"/>
                <w:kern w:val="2"/>
                <w14:ligatures w14:val="standardContextual"/>
              </w:rPr>
              <w:t xml:space="preserve"> to identify </w:t>
            </w:r>
            <w:r w:rsidRPr="00224267">
              <w:rPr>
                <w:rFonts w:ascii="Arial" w:eastAsia="Calibri" w:hAnsi="Arial" w:cs="Arial"/>
                <w:kern w:val="2"/>
                <w14:ligatures w14:val="standardContextual"/>
              </w:rPr>
              <w:t xml:space="preserve">The Variables Influencing </w:t>
            </w:r>
            <w:proofErr w:type="spellStart"/>
            <w:r w:rsidRPr="00224267">
              <w:rPr>
                <w:rFonts w:ascii="Arial" w:eastAsia="Calibri" w:hAnsi="Arial" w:cs="Arial"/>
                <w:kern w:val="2"/>
                <w14:ligatures w14:val="standardContextual"/>
              </w:rPr>
              <w:t>Mindu</w:t>
            </w:r>
            <w:proofErr w:type="spellEnd"/>
            <w:r w:rsidRPr="00224267">
              <w:rPr>
                <w:rFonts w:ascii="Arial" w:eastAsia="Calibri" w:hAnsi="Arial" w:cs="Arial"/>
                <w:kern w:val="2"/>
                <w14:ligatures w14:val="standardContextual"/>
              </w:rPr>
              <w:t xml:space="preserve"> Dam Safety Issues</w:t>
            </w:r>
          </w:p>
          <w:p w14:paraId="52618821" w14:textId="77777777" w:rsidR="00F9435F" w:rsidRPr="00355F0D" w:rsidRDefault="00F9435F" w:rsidP="00F9435F">
            <w:pPr>
              <w:spacing w:line="276" w:lineRule="auto"/>
              <w:rPr>
                <w:rFonts w:ascii="Arial" w:eastAsia="Calibri" w:hAnsi="Arial" w:cs="Arial"/>
                <w:kern w:val="2"/>
                <w14:ligatures w14:val="standardContextual"/>
              </w:rPr>
            </w:pPr>
          </w:p>
          <w:p w14:paraId="02B0406B" w14:textId="77777777" w:rsidR="00F9435F" w:rsidRPr="00355F0D" w:rsidRDefault="00F9435F" w:rsidP="00F9435F">
            <w:pPr>
              <w:spacing w:line="276" w:lineRule="auto"/>
              <w:rPr>
                <w:rFonts w:ascii="Arial" w:eastAsia="Calibri" w:hAnsi="Arial" w:cs="Arial"/>
                <w:kern w:val="2"/>
                <w14:ligatures w14:val="standardContextual"/>
              </w:rPr>
            </w:pPr>
            <w:r w:rsidRPr="00355F0D">
              <w:rPr>
                <w:rFonts w:ascii="Arial" w:eastAsia="Calibri" w:hAnsi="Arial" w:cs="Arial"/>
                <w:kern w:val="2"/>
                <w14:ligatures w14:val="standardContextual"/>
              </w:rPr>
              <w:t xml:space="preserve">A prime example of neglected ageing infrastructure is </w:t>
            </w:r>
            <w:proofErr w:type="spellStart"/>
            <w:r w:rsidRPr="00355F0D">
              <w:rPr>
                <w:rFonts w:ascii="Arial" w:eastAsia="Calibri" w:hAnsi="Arial" w:cs="Arial"/>
                <w:kern w:val="2"/>
                <w14:ligatures w14:val="standardContextual"/>
              </w:rPr>
              <w:t>Mindu</w:t>
            </w:r>
            <w:proofErr w:type="spellEnd"/>
            <w:r w:rsidRPr="00355F0D">
              <w:rPr>
                <w:rFonts w:ascii="Arial" w:eastAsia="Calibri" w:hAnsi="Arial" w:cs="Arial"/>
                <w:kern w:val="2"/>
                <w14:ligatures w14:val="standardContextual"/>
              </w:rPr>
              <w:t xml:space="preserve"> Dam, a small, publicly owned project built in 1978 for irrigation and municipal water supply. Due to its deteriorating state, antiquated design guidelines, and close proximity to heavily populated areas, it has been designated as a "high-risk" dam. The study's methodology combines both quantitative and qualitative techniques: criteria for "minimum" to "best" standards are informed by a global policy evaluation of dam safety frameworks, such as World Bank guidelines. Field surveys, soil erosion evaluations, vegetation </w:t>
            </w:r>
            <w:r>
              <w:rPr>
                <w:rFonts w:ascii="Arial" w:eastAsia="Calibri" w:hAnsi="Arial" w:cs="Arial"/>
                <w:kern w:val="2"/>
                <w14:ligatures w14:val="standardContextual"/>
              </w:rPr>
              <w:t>observation,</w:t>
            </w:r>
            <w:r w:rsidRPr="00355F0D">
              <w:rPr>
                <w:rFonts w:ascii="Arial" w:eastAsia="Calibri" w:hAnsi="Arial" w:cs="Arial"/>
                <w:kern w:val="2"/>
                <w14:ligatures w14:val="standardContextual"/>
              </w:rPr>
              <w:t xml:space="preserve"> </w:t>
            </w:r>
            <w:r>
              <w:rPr>
                <w:rFonts w:ascii="Arial" w:eastAsia="Calibri" w:hAnsi="Arial" w:cs="Arial"/>
                <w:kern w:val="2"/>
                <w14:ligatures w14:val="standardContextual"/>
              </w:rPr>
              <w:t xml:space="preserve">through field </w:t>
            </w:r>
            <w:r w:rsidRPr="00355F0D">
              <w:rPr>
                <w:rFonts w:ascii="Arial" w:eastAsia="Calibri" w:hAnsi="Arial" w:cs="Arial"/>
                <w:kern w:val="2"/>
                <w14:ligatures w14:val="standardContextual"/>
              </w:rPr>
              <w:t>inspections</w:t>
            </w:r>
            <w:r>
              <w:rPr>
                <w:rFonts w:ascii="Arial" w:eastAsia="Calibri" w:hAnsi="Arial" w:cs="Arial"/>
                <w:kern w:val="2"/>
                <w14:ligatures w14:val="standardContextual"/>
              </w:rPr>
              <w:t xml:space="preserve"> which </w:t>
            </w:r>
            <w:r w:rsidRPr="00355F0D">
              <w:rPr>
                <w:rFonts w:ascii="Arial" w:eastAsia="Calibri" w:hAnsi="Arial" w:cs="Arial"/>
                <w:kern w:val="2"/>
                <w14:ligatures w14:val="standardContextual"/>
              </w:rPr>
              <w:t xml:space="preserve">were carried out for </w:t>
            </w:r>
            <w:proofErr w:type="spellStart"/>
            <w:r w:rsidRPr="00355F0D">
              <w:rPr>
                <w:rFonts w:ascii="Arial" w:eastAsia="Calibri" w:hAnsi="Arial" w:cs="Arial"/>
                <w:kern w:val="2"/>
                <w14:ligatures w14:val="standardContextual"/>
              </w:rPr>
              <w:t>Mindu</w:t>
            </w:r>
            <w:proofErr w:type="spellEnd"/>
            <w:r>
              <w:rPr>
                <w:rFonts w:ascii="Arial" w:eastAsia="Calibri" w:hAnsi="Arial" w:cs="Arial"/>
                <w:kern w:val="2"/>
                <w14:ligatures w14:val="standardContextual"/>
              </w:rPr>
              <w:t xml:space="preserve"> in 2023</w:t>
            </w:r>
            <w:r w:rsidRPr="00355F0D">
              <w:rPr>
                <w:rFonts w:ascii="Arial" w:eastAsia="Calibri" w:hAnsi="Arial" w:cs="Arial"/>
                <w:kern w:val="2"/>
                <w14:ligatures w14:val="standardContextual"/>
              </w:rPr>
              <w:t>. Technical data was augmented by structured interviews with 45 stakeholders, including local residents and dam operators.</w:t>
            </w:r>
          </w:p>
          <w:p w14:paraId="3EA407F6" w14:textId="77777777" w:rsidR="00F9435F" w:rsidRPr="00355F0D" w:rsidRDefault="00F9435F" w:rsidP="00F9435F">
            <w:pPr>
              <w:spacing w:line="276" w:lineRule="auto"/>
              <w:rPr>
                <w:rFonts w:ascii="Arial" w:eastAsia="Calibri" w:hAnsi="Arial" w:cs="Arial"/>
                <w:kern w:val="2"/>
                <w14:ligatures w14:val="standardContextual"/>
              </w:rPr>
            </w:pPr>
            <w:r w:rsidRPr="00EA1EA9">
              <w:rPr>
                <w:rFonts w:ascii="Arial" w:eastAsia="Calibri" w:hAnsi="Arial" w:cs="Arial"/>
                <w:kern w:val="2"/>
                <w14:ligatures w14:val="standardContextual"/>
              </w:rPr>
              <w:t>The findings indicate systemic deficiencies</w:t>
            </w:r>
            <w:r>
              <w:rPr>
                <w:rFonts w:ascii="Arial" w:eastAsia="Calibri" w:hAnsi="Arial" w:cs="Arial"/>
                <w:kern w:val="2"/>
                <w14:ligatures w14:val="standardContextual"/>
              </w:rPr>
              <w:t xml:space="preserve">, </w:t>
            </w:r>
            <w:r w:rsidRPr="00EA1EA9">
              <w:rPr>
                <w:rFonts w:ascii="Arial" w:eastAsia="Calibri" w:hAnsi="Arial" w:cs="Arial"/>
                <w:kern w:val="2"/>
                <w14:ligatures w14:val="standardContextual"/>
              </w:rPr>
              <w:t>80% of respondents identify that a reservoir perimeter experiences erosion from encroaching agricultural, 40% report that spillway capacity is below current flood projections, and 100% state that dam outlets show advanced corrosion. Because they lack regular monitoring and emergency response plans, risk management procedures fall short of even "minimum" criteria. The report incorporates World Bank recommendations into a tiered policy framework, giving institutional changes like required inspections for private dams and urgent repairs like outlet replacement priority.</w:t>
            </w:r>
          </w:p>
          <w:p w14:paraId="35D23FF6" w14:textId="77777777" w:rsidR="00F9435F" w:rsidRPr="00355F0D" w:rsidRDefault="00F9435F" w:rsidP="00F9435F">
            <w:pPr>
              <w:spacing w:line="276" w:lineRule="auto"/>
              <w:rPr>
                <w:rFonts w:ascii="Arial" w:eastAsia="Calibri" w:hAnsi="Arial" w:cs="Arial"/>
                <w:kern w:val="2"/>
                <w14:ligatures w14:val="standardContextual"/>
              </w:rPr>
            </w:pPr>
            <w:r w:rsidRPr="00355F0D">
              <w:rPr>
                <w:rFonts w:ascii="Arial" w:eastAsia="Calibri" w:hAnsi="Arial" w:cs="Arial"/>
                <w:kern w:val="2"/>
                <w14:ligatures w14:val="standardContextual"/>
              </w:rPr>
              <w:t>For ageing dams, this study emphasizes the need to switch from informal management to systematic risk-based methods. It offers policymakers in developing nations a repeatable model for addressing governance inadequacies in infrastructure by striking a balance between socioeconomic viability and technical rigor.</w:t>
            </w:r>
          </w:p>
          <w:p w14:paraId="2F36F846" w14:textId="77777777" w:rsidR="00505F06" w:rsidRPr="00454E96" w:rsidRDefault="00505F06" w:rsidP="00F9435F">
            <w:pPr>
              <w:spacing w:line="276" w:lineRule="auto"/>
              <w:rPr>
                <w:rFonts w:ascii="Arial" w:eastAsia="Calibri" w:hAnsi="Arial" w:cs="Arial"/>
                <w:szCs w:val="22"/>
              </w:rPr>
            </w:pPr>
          </w:p>
        </w:tc>
      </w:tr>
    </w:tbl>
    <w:p w14:paraId="1646F810" w14:textId="77777777" w:rsidR="00636EB2" w:rsidRDefault="00636EB2" w:rsidP="00441B6F">
      <w:pPr>
        <w:pStyle w:val="Body"/>
        <w:spacing w:after="0"/>
        <w:rPr>
          <w:rFonts w:ascii="Arial" w:hAnsi="Arial" w:cs="Arial"/>
          <w:i/>
        </w:rPr>
      </w:pPr>
    </w:p>
    <w:p w14:paraId="3BA74512" w14:textId="23516656" w:rsidR="00287ED5" w:rsidRPr="00D62A3B" w:rsidRDefault="00287ED5" w:rsidP="00287ED5">
      <w:pPr>
        <w:spacing w:line="276" w:lineRule="auto"/>
        <w:rPr>
          <w:rFonts w:ascii="Arial" w:eastAsia="Calibri" w:hAnsi="Arial" w:cs="Arial"/>
          <w:b/>
          <w:bCs/>
          <w:kern w:val="2"/>
          <w14:ligatures w14:val="standardContextual"/>
        </w:rPr>
      </w:pPr>
      <w:r w:rsidRPr="007F4CB2">
        <w:rPr>
          <w:rFonts w:ascii="Arial" w:eastAsia="Calibri" w:hAnsi="Arial" w:cs="Arial"/>
          <w:b/>
          <w:bCs/>
          <w:kern w:val="2"/>
          <w14:ligatures w14:val="standardContextual"/>
        </w:rPr>
        <w:t>Keywords:</w:t>
      </w:r>
      <w:r w:rsidRPr="007F4CB2">
        <w:rPr>
          <w:rFonts w:ascii="Arial" w:eastAsia="Calibri" w:hAnsi="Arial" w:cs="Arial"/>
          <w:kern w:val="2"/>
          <w14:ligatures w14:val="standardContextual"/>
        </w:rPr>
        <w:t xml:space="preserve"> </w:t>
      </w:r>
      <w:r w:rsidRPr="007F4CB2">
        <w:rPr>
          <w:rFonts w:ascii="Arial" w:eastAsia="Calibri" w:hAnsi="Arial" w:cs="Arial"/>
          <w:i/>
          <w:kern w:val="2"/>
          <w14:ligatures w14:val="standardContextual"/>
        </w:rPr>
        <w:t xml:space="preserve">Policy Benchmarks, Dam Safety, </w:t>
      </w:r>
      <w:proofErr w:type="spellStart"/>
      <w:r w:rsidRPr="007F4CB2">
        <w:rPr>
          <w:rFonts w:ascii="Arial" w:eastAsia="Calibri" w:hAnsi="Arial" w:cs="Arial"/>
          <w:i/>
          <w:kern w:val="2"/>
          <w14:ligatures w14:val="standardContextual"/>
        </w:rPr>
        <w:t>Mindu</w:t>
      </w:r>
      <w:proofErr w:type="spellEnd"/>
      <w:r w:rsidRPr="007F4CB2">
        <w:rPr>
          <w:rFonts w:ascii="Arial" w:eastAsia="Calibri" w:hAnsi="Arial" w:cs="Arial"/>
          <w:i/>
          <w:kern w:val="2"/>
          <w14:ligatures w14:val="standardContextual"/>
        </w:rPr>
        <w:t>-Morogoro, RUWA</w:t>
      </w:r>
      <w:r w:rsidR="00A34C5F">
        <w:rPr>
          <w:rFonts w:ascii="Arial" w:eastAsia="Calibri" w:hAnsi="Arial" w:cs="Arial"/>
          <w:i/>
          <w:kern w:val="2"/>
          <w14:ligatures w14:val="standardContextual"/>
        </w:rPr>
        <w:t>, I</w:t>
      </w:r>
      <w:r w:rsidR="00A34C5F" w:rsidRPr="00A34C5F">
        <w:rPr>
          <w:rFonts w:ascii="Arial" w:eastAsia="Calibri" w:hAnsi="Arial" w:cs="Arial"/>
          <w:i/>
          <w:kern w:val="2"/>
          <w14:ligatures w14:val="standardContextual"/>
        </w:rPr>
        <w:t>rrigation</w:t>
      </w:r>
    </w:p>
    <w:p w14:paraId="1B11936A" w14:textId="77777777" w:rsidR="00505F06" w:rsidRPr="00A24E7E" w:rsidRDefault="00505F06" w:rsidP="00441B6F">
      <w:pPr>
        <w:pStyle w:val="Body"/>
        <w:spacing w:after="0"/>
        <w:rPr>
          <w:rFonts w:ascii="Arial" w:hAnsi="Arial" w:cs="Arial"/>
          <w:i/>
        </w:rPr>
      </w:pPr>
    </w:p>
    <w:p w14:paraId="0C5115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87ED5">
        <w:rPr>
          <w:rFonts w:ascii="Arial" w:hAnsi="Arial" w:cs="Arial"/>
        </w:rPr>
        <w:t xml:space="preserve"> </w:t>
      </w:r>
    </w:p>
    <w:p w14:paraId="1DA3B794" w14:textId="77777777" w:rsidR="00790ADA" w:rsidRPr="00FB3A86" w:rsidRDefault="00790ADA" w:rsidP="00441B6F">
      <w:pPr>
        <w:pStyle w:val="AbstHead"/>
        <w:spacing w:after="0"/>
        <w:jc w:val="both"/>
        <w:rPr>
          <w:rFonts w:ascii="Arial" w:hAnsi="Arial" w:cs="Arial"/>
        </w:rPr>
      </w:pPr>
    </w:p>
    <w:p w14:paraId="4AE34711" w14:textId="77777777" w:rsidR="00F9435F" w:rsidRDefault="00F9435F" w:rsidP="00F9435F">
      <w:pPr>
        <w:spacing w:line="276" w:lineRule="auto"/>
        <w:rPr>
          <w:rFonts w:ascii="Arial" w:eastAsia="Calibri" w:hAnsi="Arial" w:cs="Arial"/>
          <w:kern w:val="2"/>
          <w14:ligatures w14:val="standardContextual"/>
        </w:rPr>
      </w:pPr>
      <w:r w:rsidRPr="007F4CB2">
        <w:rPr>
          <w:rFonts w:ascii="Arial" w:eastAsia="Calibri" w:hAnsi="Arial" w:cs="Arial"/>
          <w:kern w:val="2"/>
          <w14:ligatures w14:val="standardContextual"/>
        </w:rPr>
        <w:t xml:space="preserve">Dam safety is a critical global concern as the world continues to rely on dams for various purposes such as water storage, irrigation, hydropower generation, and flood control </w:t>
      </w:r>
      <w:r w:rsidRPr="007F4CB2">
        <w:rPr>
          <w:rFonts w:ascii="Arial" w:eastAsia="Calibri" w:hAnsi="Arial" w:cs="Arial"/>
          <w:kern w:val="2"/>
          <w14:ligatures w14:val="standardContextual"/>
        </w:rPr>
        <w:fldChar w:fldCharType="begin" w:fldLock="1"/>
      </w:r>
      <w:r w:rsidRPr="007F4CB2">
        <w:rPr>
          <w:rFonts w:ascii="Arial" w:eastAsia="Calibri" w:hAnsi="Arial" w:cs="Arial"/>
          <w:kern w:val="2"/>
          <w14:ligatures w14:val="standardContextual"/>
        </w:rPr>
        <w:instrText>ADDIN CSL_CITATION {"citationItems":[{"id":"ITEM-1","itemData":{"author":[{"dropping-particle":"","family":"Pisaniello","given":"John D","non-dropping-particle":"","parse-names":false,"suffix":""}],"container-title":"William &amp; Mary Environmental Law &amp; Policy Review","id":"ITEM-1","issue":"2","issued":{"date-parts":[["2011"]]},"title":"A Comparative Review of Environmental Policies and Laws Involving Hazardous Private Dams : ' Appropriate ' Practice Models for Safe Catchments","type":"article-journal","volume":"35"},"uris":["http://www.mendeley.com/documents/?uuid=31768a6d-26a4-4816-8251-e7bdde7539f4","http://www.mendeley.com/documents/?uuid=1d46ba74-2d6b-48cc-ac8e-a3eaa4f1e08e","http://www.mendeley.com/documents/?uuid=88c0a796-0df3-4bcb-8e57-5dc97b04ebc8"]},{"id":"ITEM-2","itemData":{"DOI":"10.1080/20964129.2018.1549510","ISSN":"23328878","abstract":"Introduction: The benefit of wetlands for reducing poverty depends on the effectiveness of governance systems that influence peoples’ behaviour in the wise use of wetlands. Objectives: This article critically analyses the current poverty reduction strategies, agrarian policies and economic investments governing wetland usage, especially in Tanzania, with regard to their impact on sustainable Ramsar wetlands management. Methodology: It analyses the management structure, domestic policies and legal framework relating to the protection of wetlands in Tanzania in accordance to the wise use concept of the Ramsar Convention. Outcomes: Tanzanian legal provisions for wetland protection are uncoordinated and too limited in their coverage and scope to sufficiently address the destruction of wetland ecosystems. There is no comprehensive national legal framework to guide sustainable management of Ramsar wetlands in Tanzania as laid out by the Ramsar Convention, which the country ratified in the year 2000. Conclusion: Without a sound legislative and policy-making framework, Tanzanian wetlands and their diverse ecosystem services will continue to degenerate with current strategies of increasing agribusiness and other developmental projects or economic investments. This paper provides critical baseline information to inform decision makers to develop appropriate policy and laws, which promote the wise use of wetlands in Tanzania.","author":[{"dropping-particle":"","family":"Materu","given":"Silvia Francis","non-dropping-particle":"","parse-names":false,"suffix":""},{"dropping-particle":"","family":"Urban","given":"Brigitte","non-dropping-particle":"","parse-names":false,"suffix":""},{"dropping-particle":"","family":"Heise","given":"Susanne","non-dropping-particle":"","parse-names":false,"suffix":""}],"container-title":"Ecosystem Health and Sustainability","id":"ITEM-2","issue":"12","issued":{"date-parts":[["2018"]]},"page":"310-320","publisher":"Taylor &amp; Francis","title":"A critical review of policies and legislation protecting Tanzanian wetlands","type":"article-journal","volume":"4"},"uris":["http://www.mendeley.com/documents/?uuid=25ce1bd3-b145-41e7-9bc4-5026e3220713","http://www.mendeley.com/documents/?uuid=4a9f4fb6-6de0-4fb3-91b3-244e9087c11f","http://www.mendeley.com/documents/?uuid=33f445c4-621f-41cb-8145-a8da99e0a3cf"]}],"mendeley":{"formattedCitation":"(Materu et al., 2018; Pisaniello, 2011)","plainTextFormattedCitation":"(Materu et al., 2018; Pisaniello, 2011)","previouslyFormattedCitation":"(Materu et al., 2018; Pisaniello, 2011)"},"properties":{"noteIndex":0},"schema":"https://github.com/citation-style-language/schema/raw/master/csl-citation.json"}</w:instrText>
      </w:r>
      <w:r w:rsidRPr="007F4CB2">
        <w:rPr>
          <w:rFonts w:ascii="Arial" w:eastAsia="Calibri" w:hAnsi="Arial" w:cs="Arial"/>
          <w:kern w:val="2"/>
          <w14:ligatures w14:val="standardContextual"/>
        </w:rPr>
        <w:fldChar w:fldCharType="separate"/>
      </w:r>
      <w:r w:rsidRPr="007F4CB2">
        <w:rPr>
          <w:rFonts w:ascii="Arial" w:eastAsia="Calibri" w:hAnsi="Arial" w:cs="Arial"/>
          <w:noProof/>
          <w:kern w:val="2"/>
          <w14:ligatures w14:val="standardContextual"/>
        </w:rPr>
        <w:t xml:space="preserve">(Materu </w:t>
      </w:r>
      <w:r w:rsidRPr="007F4CB2">
        <w:rPr>
          <w:rFonts w:ascii="Arial" w:eastAsia="Calibri" w:hAnsi="Arial" w:cs="Arial"/>
          <w:i/>
          <w:iCs/>
          <w:noProof/>
          <w:kern w:val="2"/>
          <w14:ligatures w14:val="standardContextual"/>
        </w:rPr>
        <w:t>et al</w:t>
      </w:r>
      <w:r w:rsidRPr="007F4CB2">
        <w:rPr>
          <w:rFonts w:ascii="Arial" w:eastAsia="Calibri" w:hAnsi="Arial" w:cs="Arial"/>
          <w:noProof/>
          <w:kern w:val="2"/>
          <w14:ligatures w14:val="standardContextual"/>
        </w:rPr>
        <w:t>., 2018; Pisaniello, 2011)</w:t>
      </w:r>
      <w:r w:rsidRPr="007F4CB2">
        <w:rPr>
          <w:rFonts w:ascii="Arial" w:eastAsia="Calibri" w:hAnsi="Arial" w:cs="Arial"/>
          <w:kern w:val="2"/>
          <w14:ligatures w14:val="standardContextual"/>
        </w:rPr>
        <w:fldChar w:fldCharType="end"/>
      </w:r>
      <w:r w:rsidRPr="007F4CB2">
        <w:rPr>
          <w:rFonts w:ascii="Arial" w:eastAsia="Calibri" w:hAnsi="Arial" w:cs="Arial"/>
          <w:kern w:val="2"/>
          <w14:ligatures w14:val="standardContextual"/>
        </w:rPr>
        <w:t>. Ensuring the integrity and safety of dams is paramount to prevent catastrophic failures that can lead to loss of lives, property damage, and environmental degradation. Dams play a crucial role in meeting the water and energy needs of many countries worldwide. According to the World Bank, there are over 57,000 large dams (height greater than 15 meters) across the globe, and countless smaller dams, serving a myriad of purposes</w:t>
      </w:r>
      <w:r w:rsidRPr="007F4CB2">
        <w:rPr>
          <w:rFonts w:ascii="Arial" w:eastAsia="Calibri" w:hAnsi="Arial" w:cs="Arial"/>
          <w:kern w:val="2"/>
          <w14:ligatures w14:val="standardContextual"/>
        </w:rPr>
        <w:fldChar w:fldCharType="begin" w:fldLock="1"/>
      </w:r>
      <w:r w:rsidRPr="007F4CB2">
        <w:rPr>
          <w:rFonts w:ascii="Arial" w:eastAsia="Calibri" w:hAnsi="Arial" w:cs="Arial"/>
          <w:kern w:val="2"/>
          <w14:ligatures w14:val="standardContextual"/>
        </w:rPr>
        <w:instrText>ADDIN CSL_CITATION {"citationItems":[{"id":"ITEM-1","itemData":{"ISSN":"1792-9040","abstract":"Dams construction is an old art practiced by man since thousands of years. History of dams shows great innovations in this field, but failure cases, however, indicate gaps in human knowledge of saf ...","author":[{"dropping-particle":"","family":"Adamo","given":"Nasrat","non-dropping-particle":"","parse-names":false,"suffix":""},{"dropping-particle":"","family":"Al-Ansari","given":"Nadhir","non-dropping-particle":"","parse-names":false,"suffix":""},{"dropping-particle":"","family":"Sissakian","given":"Varoujan","non-dropping-particle":"","parse-names":false,"suffix":""},{"dropping-particle":"","family":"Laue","given":"Jan","non-dropping-particle":"","parse-names":false,"suffix":""},{"dropping-particle":"","family":"Knutsson","given":"Sven","non-dropping-particle":"","parse-names":false,"suffix":""}],"container-title":"Journal of Earth Sciences and Geotechnical Engineering","id":"ITEM-1","issue":"6","issued":{"date-parts":[["2020"]]},"page":"1-21","title":"Dam Safety : General Considerations","type":"article-journal","volume":"10"},"uris":["http://www.mendeley.com/documents/?uuid=6cd9284f-68cb-4ba3-b5b1-55afe7d3f635","http://www.mendeley.com/documents/?uuid=3e9558ec-311b-40b9-8717-15b6c9504d38"]}],"mendeley":{"formattedCitation":"(Adamo et al., 2020)","plainTextFormattedCitation":"(Adamo et al., 2020)","previouslyFormattedCitation":"(Adamo et al., 2020)"},"properties":{"noteIndex":0},"schema":"https://github.com/citation-style-language/schema/raw/master/csl-citation.json"}</w:instrText>
      </w:r>
      <w:r w:rsidRPr="007F4CB2">
        <w:rPr>
          <w:rFonts w:ascii="Arial" w:eastAsia="Calibri" w:hAnsi="Arial" w:cs="Arial"/>
          <w:kern w:val="2"/>
          <w14:ligatures w14:val="standardContextual"/>
        </w:rPr>
        <w:fldChar w:fldCharType="separate"/>
      </w:r>
      <w:r w:rsidRPr="007F4CB2">
        <w:rPr>
          <w:rFonts w:ascii="Arial" w:eastAsia="Calibri" w:hAnsi="Arial" w:cs="Arial"/>
          <w:noProof/>
          <w:kern w:val="2"/>
          <w14:ligatures w14:val="standardContextual"/>
        </w:rPr>
        <w:t>(Adamo et al., 2020)</w:t>
      </w:r>
      <w:r w:rsidRPr="007F4CB2">
        <w:rPr>
          <w:rFonts w:ascii="Arial" w:eastAsia="Calibri" w:hAnsi="Arial" w:cs="Arial"/>
          <w:kern w:val="2"/>
          <w14:ligatures w14:val="standardContextual"/>
        </w:rPr>
        <w:fldChar w:fldCharType="end"/>
      </w:r>
      <w:r>
        <w:rPr>
          <w:rFonts w:ascii="Arial" w:eastAsia="Calibri" w:hAnsi="Arial" w:cs="Arial"/>
          <w:kern w:val="2"/>
          <w14:ligatures w14:val="standardContextual"/>
        </w:rPr>
        <w:t>.</w:t>
      </w:r>
    </w:p>
    <w:p w14:paraId="0C2A227B" w14:textId="77777777" w:rsidR="00F9435F" w:rsidRPr="007F4CB2" w:rsidRDefault="00F9435F" w:rsidP="00F9435F">
      <w:pPr>
        <w:spacing w:line="276" w:lineRule="auto"/>
        <w:rPr>
          <w:rFonts w:ascii="Arial" w:eastAsia="Calibri" w:hAnsi="Arial" w:cs="Arial"/>
          <w:kern w:val="2"/>
          <w14:ligatures w14:val="standardContextual"/>
        </w:rPr>
      </w:pPr>
      <w:r w:rsidRPr="007F4CB2">
        <w:rPr>
          <w:rFonts w:ascii="Arial" w:eastAsia="Calibri" w:hAnsi="Arial" w:cs="Arial"/>
          <w:kern w:val="2"/>
          <w14:ligatures w14:val="standardContextual"/>
        </w:rPr>
        <w:lastRenderedPageBreak/>
        <w:t xml:space="preserve"> A significant challenge in dam safety is the aging infrastructure. Many dams were constructed decades ago, and their structural integrity may be compromised over time </w:t>
      </w:r>
      <w:r w:rsidRPr="007F4CB2">
        <w:rPr>
          <w:rFonts w:ascii="Arial" w:eastAsia="Calibri" w:hAnsi="Arial" w:cs="Arial"/>
          <w:kern w:val="2"/>
          <w14:ligatures w14:val="standardContextual"/>
        </w:rPr>
        <w:fldChar w:fldCharType="begin" w:fldLock="1"/>
      </w:r>
      <w:r w:rsidRPr="007F4CB2">
        <w:rPr>
          <w:rFonts w:ascii="Arial" w:eastAsia="Calibri" w:hAnsi="Arial" w:cs="Arial"/>
          <w:kern w:val="2"/>
          <w14:ligatures w14:val="standardContextual"/>
        </w:rPr>
        <w:instrText>ADDIN CSL_CITATION {"citationItems":[{"id":"ITEM-1","itemData":{"author":[{"dropping-particle":"","family":"Thi","given":"Tuyet","non-dropping-particle":"","parse-names":false,"suffix":""},{"dropping-particle":"","family":"Burritt","given":"Roger L","non-dropping-particle":"","parse-names":false,"suffix":""},{"dropping-particle":"","family":"Pisaniello","given":"John D","non-dropping-particle":"","parse-names":false,"suffix":""}],"id":"ITEM-1","issued":{"date-parts":[["2012"]]},"page":"63-74","title":"Adequacy of policy and practices for small agricultural dam safety accountability and assurance in Vietnam","type":"article-journal","volume":"112"},"uris":["http://www.mendeley.com/documents/?uuid=0699a18a-07f0-4757-be92-0fb909d5bfd3","http://www.mendeley.com/documents/?uuid=b0236e87-193d-4758-9dc5-4a1a8b442594","http://www.mendeley.com/documents/?uuid=bfe80217-18ff-47c1-98e5-5d66e137ad1a"]},{"id":"ITEM-2","itemData":{"DOI":"10.1108/14635771111121720","ISSN":"14635771","abstract":"Purpose: Farm dam safety in Australia is being flouted and sustainability of catchments compromised because of the potential and severe consequences of dam failure. Hence, the purpose of this paper is to explore policy issues associated with safety of farm dam water storage through a comparison of developments in two Australian states against an analysis of international benchmarks and to provide an exemplar of best practice. Design/methodology/approach: A strategic review and content analysis is firstly undertaken to establish international dam safety policy benchmarks ranging from minimum to best practice as well as selection guidelines for varying circumstances, and to identify an exemplar best practice model. Longitudinal study over a 12-year period then provides the basis for case analysis in order to reinforce the established minimum level benchmark and to demonstrate the application of the benchmarked model policy selection guidelines. Findings: Research results show that in Australia, South Australia is lagging international benchmarks for on-farm dam safety management in a number of ways whilst a second state, Tasmania, provides leadership in this respect. The paper adds to the existing international benchmarking literature by identifying updated international best practice in private/farm dam safety assurance policy whilst establishing and providing longitudinal case study reinforcement for an acceptable minimum level benchmark in this area. The updated policy guidelines presented can be used to determine appropriate dam safety policy for any jurisdiction. Originality/value: The paper provides an original contribution of analysis, establishment and case study validation of international benchmarks and guidelines on developing appropriate dam safety management and assurance policy for varying jurisdictional circumstances. In addition, it provides an updated exemplar of how policy benchmarks can go towards addressing cumulative threats of smaller dams in catchments not previously addressed. © Emerald Group Publishing Limited.","author":[{"dropping-particle":"","family":"Tingey-Holyoak","given":"Joanne","non-dropping-particle":"","parse-names":false,"suffix":""},{"dropping-particle":"","family":"Pisaniello","given":"John D.","non-dropping-particle":"","parse-names":false,"suffix":""},{"dropping-particle":"","family":"Burritt","given":"Roger L.","non-dropping-particle":"","parse-names":false,"suffix":""}],"container-title":"Benchmarking","id":"ITEM-2","issue":"2","issued":{"date-parts":[["2011"]]},"page":"301-317","title":"Analysis and application of international dam safety policy benchmarks","type":"article-journal","volume":"18"},"uris":["http://www.mendeley.com/documents/?uuid=1751773a-65c1-4bc5-9821-3337ae6dc338","http://www.mendeley.com/documents/?uuid=6d7718d1-c9da-4979-bed5-07746a04dd21","http://www.mendeley.com/documents/?uuid=18b9fddf-693c-4d03-bec8-c057a4f5d646"]}],"mendeley":{"formattedCitation":"(Thi et al., 2012; Tingey-Holyoak et al., 2011)","plainTextFormattedCitation":"(Thi et al., 2012; Tingey-Holyoak et al., 2011)","previouslyFormattedCitation":"(Thi et al., 2012; Tingey-Holyoak et al., 2011)"},"properties":{"noteIndex":0},"schema":"https://github.com/citation-style-language/schema/raw/master/csl-citation.json"}</w:instrText>
      </w:r>
      <w:r w:rsidRPr="007F4CB2">
        <w:rPr>
          <w:rFonts w:ascii="Arial" w:eastAsia="Calibri" w:hAnsi="Arial" w:cs="Arial"/>
          <w:kern w:val="2"/>
          <w14:ligatures w14:val="standardContextual"/>
        </w:rPr>
        <w:fldChar w:fldCharType="separate"/>
      </w:r>
      <w:r w:rsidRPr="007F4CB2">
        <w:rPr>
          <w:rFonts w:ascii="Arial" w:eastAsia="Calibri" w:hAnsi="Arial" w:cs="Arial"/>
          <w:noProof/>
          <w:kern w:val="2"/>
          <w14:ligatures w14:val="standardContextual"/>
        </w:rPr>
        <w:t xml:space="preserve">(Thi </w:t>
      </w:r>
      <w:r w:rsidRPr="007F4CB2">
        <w:rPr>
          <w:rFonts w:ascii="Arial" w:eastAsia="Calibri" w:hAnsi="Arial" w:cs="Arial"/>
          <w:i/>
          <w:iCs/>
          <w:noProof/>
          <w:kern w:val="2"/>
          <w14:ligatures w14:val="standardContextual"/>
        </w:rPr>
        <w:t>et al</w:t>
      </w:r>
      <w:r w:rsidRPr="007F4CB2">
        <w:rPr>
          <w:rFonts w:ascii="Arial" w:eastAsia="Calibri" w:hAnsi="Arial" w:cs="Arial"/>
          <w:noProof/>
          <w:kern w:val="2"/>
          <w14:ligatures w14:val="standardContextual"/>
        </w:rPr>
        <w:t xml:space="preserve">., 2012; Tingey-Holyoak </w:t>
      </w:r>
      <w:r w:rsidRPr="007F4CB2">
        <w:rPr>
          <w:rFonts w:ascii="Arial" w:eastAsia="Calibri" w:hAnsi="Arial" w:cs="Arial"/>
          <w:i/>
          <w:iCs/>
          <w:noProof/>
          <w:kern w:val="2"/>
          <w14:ligatures w14:val="standardContextual"/>
        </w:rPr>
        <w:t>et al</w:t>
      </w:r>
      <w:r w:rsidRPr="007F4CB2">
        <w:rPr>
          <w:rFonts w:ascii="Arial" w:eastAsia="Calibri" w:hAnsi="Arial" w:cs="Arial"/>
          <w:noProof/>
          <w:kern w:val="2"/>
          <w14:ligatures w14:val="standardContextual"/>
        </w:rPr>
        <w:t>., 2011)</w:t>
      </w:r>
      <w:r w:rsidRPr="007F4CB2">
        <w:rPr>
          <w:rFonts w:ascii="Arial" w:eastAsia="Calibri" w:hAnsi="Arial" w:cs="Arial"/>
          <w:kern w:val="2"/>
          <w14:ligatures w14:val="standardContextual"/>
        </w:rPr>
        <w:fldChar w:fldCharType="end"/>
      </w:r>
      <w:r w:rsidRPr="007F4CB2">
        <w:rPr>
          <w:rFonts w:ascii="Arial" w:eastAsia="Calibri" w:hAnsi="Arial" w:cs="Arial"/>
          <w:kern w:val="2"/>
          <w14:ligatures w14:val="standardContextual"/>
        </w:rPr>
        <w:t xml:space="preserve">. The International Commission on Large Dams (ICOLD) estimates that over 60% of the world's large dams are more than 50 years old. Climate change and extreme weather events contribute to the increasing risk factors for dam safety, the frequency and intensity of storms, floods, and other natural disasters pose threats to the stability of dams, making it essential to reassess and reinforce existing safety measures. Dam failures and incidents have occurred globally, underscoring the urgency of prioritizing dam safety </w:t>
      </w:r>
      <w:r w:rsidRPr="007F4CB2">
        <w:rPr>
          <w:rFonts w:ascii="Arial" w:eastAsia="Calibri" w:hAnsi="Arial" w:cs="Arial"/>
          <w:kern w:val="2"/>
          <w14:ligatures w14:val="standardContextual"/>
        </w:rPr>
        <w:fldChar w:fldCharType="begin" w:fldLock="1"/>
      </w:r>
      <w:r w:rsidRPr="007F4CB2">
        <w:rPr>
          <w:rFonts w:ascii="Arial" w:eastAsia="Calibri" w:hAnsi="Arial" w:cs="Arial"/>
          <w:kern w:val="2"/>
          <w14:ligatures w14:val="standardContextual"/>
        </w:rPr>
        <w:instrText>ADDIN CSL_CITATION {"citationItems":[{"id":"ITEM-1","itemData":{"DOI":"10.1080/07900627.2010.489306","ISSN":"07900627","abstract":"The safety of medium- and large-scale dams is addressed in many countries, but limited attention is paid to problems associated with smaller farm dams, particularly potential cumulative threats posed in larger catchments. Farmers in Australia often overlook the common law obligation to review and design dams in line with current standards. The result is downstream communities, property and environment placed at risk. This paper demonstrates the significance of this problem with case studies undertaken in policy-absent South Australia, policy-driven Victoria and policy-strong New South Wales, including empirical evidence on attitudes and responses of landholders and key policy actors. This demonstrates need for supervision of small dams. Tasmania is included as a case study as it represents a policy-model state on how this can be best achieved in line with international best-practice. The four cases provide useful comparative lessons. Policy guidelines applicable to any jurisdiction are included; their application is illustrated with the case studies. The paper considers the policy implications of these lessons for Australia in particular and the world in general. © 2010 Taylor &amp; Francis.","author":[{"dropping-particle":"","family":"Pisaniello","given":"John D.","non-dropping-particle":"","parse-names":false,"suffix":""}],"container-title":"International Journal of Water Resources Development","id":"ITEM-1","issue":"3","issued":{"date-parts":[["2010"]]},"page":"381-402","title":"Attitudes and Policy Responses to Australian farm dam safety threats: Comparative lessons for water resources managers","type":"article-journal","volume":"26"},"uris":["http://www.mendeley.com/documents/?uuid=1c8724b7-25ec-4d70-b869-d9a844243d01","http://www.mendeley.com/documents/?uuid=b57a8500-2eab-4913-8955-1728b03628cb","http://www.mendeley.com/documents/?uuid=80449049-4332-4df0-884e-58df38633fd0"]}],"mendeley":{"formattedCitation":"(Pisaniello, 2010)","plainTextFormattedCitation":"(Pisaniello, 2010)","previouslyFormattedCitation":"(Pisaniello, 2010)"},"properties":{"noteIndex":0},"schema":"https://github.com/citation-style-language/schema/raw/master/csl-citation.json"}</w:instrText>
      </w:r>
      <w:r w:rsidRPr="007F4CB2">
        <w:rPr>
          <w:rFonts w:ascii="Arial" w:eastAsia="Calibri" w:hAnsi="Arial" w:cs="Arial"/>
          <w:kern w:val="2"/>
          <w14:ligatures w14:val="standardContextual"/>
        </w:rPr>
        <w:fldChar w:fldCharType="separate"/>
      </w:r>
      <w:r w:rsidRPr="007F4CB2">
        <w:rPr>
          <w:rFonts w:ascii="Arial" w:eastAsia="Calibri" w:hAnsi="Arial" w:cs="Arial"/>
          <w:noProof/>
          <w:kern w:val="2"/>
          <w14:ligatures w14:val="standardContextual"/>
        </w:rPr>
        <w:t>(Pisaniello, 2010)</w:t>
      </w:r>
      <w:r w:rsidRPr="007F4CB2">
        <w:rPr>
          <w:rFonts w:ascii="Arial" w:eastAsia="Calibri" w:hAnsi="Arial" w:cs="Arial"/>
          <w:kern w:val="2"/>
          <w14:ligatures w14:val="standardContextual"/>
        </w:rPr>
        <w:fldChar w:fldCharType="end"/>
      </w:r>
      <w:r w:rsidRPr="007F4CB2">
        <w:rPr>
          <w:rFonts w:ascii="Arial" w:eastAsia="Calibri" w:hAnsi="Arial" w:cs="Arial"/>
          <w:kern w:val="2"/>
          <w14:ligatures w14:val="standardContextual"/>
        </w:rPr>
        <w:t>. Historical events, such as</w:t>
      </w:r>
      <w:r>
        <w:rPr>
          <w:rFonts w:ascii="Arial" w:eastAsia="Calibri" w:hAnsi="Arial" w:cs="Arial"/>
          <w:kern w:val="2"/>
          <w14:ligatures w14:val="standardContextual"/>
        </w:rPr>
        <w:t xml:space="preserve"> that reported by Xu et al., 2008</w:t>
      </w:r>
      <w:r w:rsidRPr="00E656CF">
        <w:rPr>
          <w:rFonts w:ascii="Arial" w:eastAsia="Calibri" w:hAnsi="Arial" w:cs="Arial"/>
          <w:color w:val="000000" w:themeColor="text1"/>
          <w:kern w:val="2"/>
          <w14:ligatures w14:val="standardContextual"/>
        </w:rPr>
        <w:t xml:space="preserve"> have resulted in </w:t>
      </w:r>
      <w:r>
        <w:rPr>
          <w:rFonts w:ascii="Arial" w:eastAsia="Calibri" w:hAnsi="Arial" w:cs="Arial"/>
          <w:color w:val="000000" w:themeColor="text1"/>
          <w:kern w:val="2"/>
          <w14:ligatures w14:val="standardContextual"/>
        </w:rPr>
        <w:t xml:space="preserve">significant loss of life and highlighted the potential consequences of inadequate safety measures. Various countries and international </w:t>
      </w:r>
      <w:proofErr w:type="spellStart"/>
      <w:r>
        <w:rPr>
          <w:rFonts w:ascii="Arial" w:eastAsia="Calibri" w:hAnsi="Arial" w:cs="Arial"/>
          <w:color w:val="000000" w:themeColor="text1"/>
          <w:kern w:val="2"/>
          <w14:ligatures w14:val="standardContextual"/>
        </w:rPr>
        <w:t>organisations</w:t>
      </w:r>
      <w:proofErr w:type="spellEnd"/>
      <w:r>
        <w:rPr>
          <w:rFonts w:ascii="Arial" w:eastAsia="Calibri" w:hAnsi="Arial" w:cs="Arial"/>
          <w:color w:val="000000" w:themeColor="text1"/>
          <w:kern w:val="2"/>
          <w14:ligatures w14:val="standardContextual"/>
        </w:rPr>
        <w:t xml:space="preserve"> have established regulatory frameworks and safety standards for dams</w:t>
      </w:r>
      <w:r w:rsidRPr="00E656CF">
        <w:rPr>
          <w:rFonts w:ascii="Arial" w:eastAsia="Calibri" w:hAnsi="Arial" w:cs="Arial"/>
          <w:color w:val="000000" w:themeColor="text1"/>
          <w:kern w:val="2"/>
          <w14:ligatures w14:val="standardContextual"/>
        </w:rPr>
        <w:t xml:space="preserve">. </w:t>
      </w:r>
      <w:r w:rsidRPr="007F4CB2">
        <w:rPr>
          <w:rFonts w:ascii="Arial" w:eastAsia="Calibri" w:hAnsi="Arial" w:cs="Arial"/>
          <w:kern w:val="2"/>
          <w14:ligatures w14:val="standardContextual"/>
        </w:rPr>
        <w:t xml:space="preserve">However, the level of adherence and enforcement varies globally. The World Bank indicates that strengthening regulatory capacities is crucial for enhancing dam safety on a global scale </w:t>
      </w:r>
      <w:r w:rsidRPr="007F4CB2">
        <w:rPr>
          <w:rFonts w:ascii="Arial" w:eastAsia="Calibri" w:hAnsi="Arial" w:cs="Arial"/>
          <w:kern w:val="2"/>
          <w14:ligatures w14:val="standardContextual"/>
        </w:rPr>
        <w:fldChar w:fldCharType="begin" w:fldLock="1"/>
      </w:r>
      <w:r w:rsidRPr="007F4CB2">
        <w:rPr>
          <w:rFonts w:ascii="Arial" w:eastAsia="Calibri" w:hAnsi="Arial" w:cs="Arial"/>
          <w:kern w:val="2"/>
          <w14:ligatures w14:val="standardContextual"/>
        </w:rPr>
        <w:instrText>ADDIN CSL_CITATION {"citationItems":[{"id":"ITEM-1","itemData":{"abstract":"This study evaluates six different approaches to classifying and mapping fire severity using multi-temporal Landsat Thematic Mapper data. The six approaches tested include: two based on temporal image differencing and ratioing between pre-fire and post-fire images, two based on principal component analysis of pre-and post-fire imagery, and two based on artificial neural networks, one using just post-fire imagery and the other both pre-and post-fire imagery. Our results demonstrated the potential value for any of these methods to provide quantitative fire severity maps, but one of the image differencing methods (ND4/7) provided a flexible, robust, and analytically simple approach that could be applied anywhere in the Continental U.S. Based on the results of this test, the ND4/7 was implemented operationally to classify and map fire severity over","author":[{"dropping-particle":"","family":"Brewer","given":"C Kenneth","non-dropping-particle":"","parse-names":false,"suffix":""},{"dropping-particle":"","family":"Winne","given":"J Chris","non-dropping-particle":"","parse-names":false,"suffix":""},{"dropping-particle":"","family":"Redmond","given":"Roland L","non-dropping-particle":"","parse-names":false,"suffix":""},{"dropping-particle":"","family":"Opitz","given":"David W","non-dropping-particle":"","parse-names":false,"suffix":""},{"dropping-particle":"V","family":"Mangrich","given":"Mark","non-dropping-particle":"","parse-names":false,"suffix":""}],"container-title":"Photogrammetric Engineering and Remote Sensing","id":"ITEM-1","issue":"11","issued":{"date-parts":[["2005"]]},"page":"1311-1320","title":"04-001.Qxd","type":"article-journal","volume":"71"},"uris":["http://www.mendeley.com/documents/?uuid=e9d745d8-a98a-4450-b124-526131c58e28","http://www.mendeley.com/documents/?uuid=43927cbe-49a9-43b7-ad7f-b87cb5b48a62","http://www.mendeley.com/documents/?uuid=1b0e9ebe-523a-4862-900d-75af5e4fb1b4"]},{"id":"ITEM-2","itemData":{"DOI":"10.1016/j.agwat.2010.10.001","ISSN":"03783774","abstract":"In most countries, owner responsibility exists under Common Law to manage and maintain dams according to current standards. However, farm dam safety in Australia is being flouted and the sustainability of farming businesses compromised because of the potential and severe consequences of dam failure. This paper explores management and policy issues associated with safety of farm dam water storage through a comparison of developments in two Australian states against international benchmarks. Historical review and a longitudinal study over a 12-year period provides the basis for case analysis and demonstrates the application of the benchmarked model policy selection guidelines. Research results show South Australia is lagging international best practice in a number of ways whilst Tasmania provides leadership. The contribution of this paper is a regulatory mix analysis approach, incorporating a cost-effective spillway safety engineering/accounting tool, developed and demonstrated through Australian case studies, that can be applied by any jurisdiction wanting to check and/or improve its farm dam safety management and provide a clearer analysis of the social and environmental costs and threats associated with on-farm dam safety issues. © 2010.","author":[{"dropping-particle":"","family":"Pisaniello","given":"John D.","non-dropping-particle":"","parse-names":false,"suffix":""},{"dropping-particle":"","family":"Burritt","given":"Roger L.","non-dropping-particle":"","parse-names":false,"suffix":""},{"dropping-particle":"","family":"Tingey-Holyoak","given":"Joanne","non-dropping-particle":"","parse-names":false,"suffix":""}],"container-title":"Agricultural Water Management","id":"ITEM-2","issue":"4","issued":{"date-parts":[["2011"]]},"page":"507-516","publisher":"Elsevier B.V.","title":"Dam safety management for sustainable farming businesses and catchments","type":"article-journal","volume":"98"},"uris":["http://www.mendeley.com/documents/?uuid=46f985a8-d79f-441f-a488-cfd4ff1364b4","http://www.mendeley.com/documents/?uuid=1b1aac02-56cb-4710-811b-935d20a20d33","http://www.mendeley.com/documents/?uuid=8e61fb34-7a12-4b2d-b2f2-d3acf0fe2087"]}],"mendeley":{"formattedCitation":"(Brewer et al., 2005; Pisaniello et al., 2011)","plainTextFormattedCitation":"(Brewer et al., 2005; Pisaniello et al., 2011)","previouslyFormattedCitation":"(Brewer et al., 2005; Pisaniello et al., 2011)"},"properties":{"noteIndex":0},"schema":"https://github.com/citation-style-language/schema/raw/master/csl-citation.json"}</w:instrText>
      </w:r>
      <w:r w:rsidRPr="007F4CB2">
        <w:rPr>
          <w:rFonts w:ascii="Arial" w:eastAsia="Calibri" w:hAnsi="Arial" w:cs="Arial"/>
          <w:kern w:val="2"/>
          <w14:ligatures w14:val="standardContextual"/>
        </w:rPr>
        <w:fldChar w:fldCharType="separate"/>
      </w:r>
      <w:r w:rsidRPr="007F4CB2">
        <w:rPr>
          <w:rFonts w:ascii="Arial" w:eastAsia="Calibri" w:hAnsi="Arial" w:cs="Arial"/>
          <w:noProof/>
          <w:kern w:val="2"/>
          <w14:ligatures w14:val="standardContextual"/>
        </w:rPr>
        <w:t xml:space="preserve">(Brewer </w:t>
      </w:r>
      <w:r w:rsidRPr="007F4CB2">
        <w:rPr>
          <w:rFonts w:ascii="Arial" w:eastAsia="Calibri" w:hAnsi="Arial" w:cs="Arial"/>
          <w:i/>
          <w:iCs/>
          <w:noProof/>
          <w:kern w:val="2"/>
          <w14:ligatures w14:val="standardContextual"/>
        </w:rPr>
        <w:t>et al</w:t>
      </w:r>
      <w:r w:rsidRPr="007F4CB2">
        <w:rPr>
          <w:rFonts w:ascii="Arial" w:eastAsia="Calibri" w:hAnsi="Arial" w:cs="Arial"/>
          <w:noProof/>
          <w:kern w:val="2"/>
          <w14:ligatures w14:val="standardContextual"/>
        </w:rPr>
        <w:t xml:space="preserve">., 2005; Pisaniello </w:t>
      </w:r>
      <w:r w:rsidRPr="007F4CB2">
        <w:rPr>
          <w:rFonts w:ascii="Arial" w:eastAsia="Calibri" w:hAnsi="Arial" w:cs="Arial"/>
          <w:i/>
          <w:iCs/>
          <w:noProof/>
          <w:kern w:val="2"/>
          <w14:ligatures w14:val="standardContextual"/>
        </w:rPr>
        <w:t>et al</w:t>
      </w:r>
      <w:r w:rsidRPr="007F4CB2">
        <w:rPr>
          <w:rFonts w:ascii="Arial" w:eastAsia="Calibri" w:hAnsi="Arial" w:cs="Arial"/>
          <w:noProof/>
          <w:kern w:val="2"/>
          <w14:ligatures w14:val="standardContextual"/>
        </w:rPr>
        <w:t>., 2011)</w:t>
      </w:r>
      <w:r w:rsidRPr="007F4CB2">
        <w:rPr>
          <w:rFonts w:ascii="Arial" w:eastAsia="Calibri" w:hAnsi="Arial" w:cs="Arial"/>
          <w:kern w:val="2"/>
          <w14:ligatures w14:val="standardContextual"/>
        </w:rPr>
        <w:fldChar w:fldCharType="end"/>
      </w:r>
      <w:r w:rsidRPr="007F4CB2">
        <w:rPr>
          <w:rFonts w:ascii="Arial" w:eastAsia="Calibri" w:hAnsi="Arial" w:cs="Arial"/>
          <w:kern w:val="2"/>
          <w14:ligatures w14:val="standardContextual"/>
        </w:rPr>
        <w:t>.</w:t>
      </w:r>
    </w:p>
    <w:p w14:paraId="47799137" w14:textId="77777777" w:rsidR="00F9435F" w:rsidRPr="00720FBE" w:rsidRDefault="00F9435F" w:rsidP="00F9435F">
      <w:pPr>
        <w:spacing w:line="276" w:lineRule="auto"/>
        <w:rPr>
          <w:rFonts w:ascii="Arial" w:hAnsi="Arial" w:cs="Arial"/>
        </w:rPr>
      </w:pPr>
      <w:r w:rsidRPr="00720FBE">
        <w:rPr>
          <w:rFonts w:ascii="Arial" w:hAnsi="Arial" w:cs="Arial"/>
        </w:rPr>
        <w:t xml:space="preserve">In Africa, dam safety is a critical concern, given the continent's increasing reliance on dams for various purposes. However, the region faces several challenges related to dam safety, ranging from inadequate infrastructure and maintenance practices to the impact of climate change. A significant number of dams in Africa are aging and may not meet modern safety standards. The lack of proper maintenance and surveillance can lead to potential risks, threatening both </w:t>
      </w:r>
      <w:proofErr w:type="gramStart"/>
      <w:r w:rsidRPr="00720FBE">
        <w:rPr>
          <w:rFonts w:ascii="Arial" w:hAnsi="Arial" w:cs="Arial"/>
        </w:rPr>
        <w:t>human</w:t>
      </w:r>
      <w:proofErr w:type="gramEnd"/>
      <w:r w:rsidRPr="00720FBE">
        <w:rPr>
          <w:rFonts w:ascii="Arial" w:hAnsi="Arial" w:cs="Arial"/>
        </w:rPr>
        <w:t xml:space="preserve"> lives and the environment (</w:t>
      </w:r>
      <w:proofErr w:type="spellStart"/>
      <w:r w:rsidRPr="00720FBE">
        <w:rPr>
          <w:rFonts w:ascii="Arial" w:hAnsi="Arial" w:cs="Arial"/>
        </w:rPr>
        <w:t>Perera</w:t>
      </w:r>
      <w:proofErr w:type="spellEnd"/>
      <w:r w:rsidRPr="00720FBE">
        <w:rPr>
          <w:rFonts w:ascii="Arial" w:hAnsi="Arial" w:cs="Arial"/>
        </w:rPr>
        <w:t xml:space="preserve"> et al., 2021). According to the World Bank, a substantial percentage of dams in Africa are classified as having high or significant hazard potential, signifying the potential for severe consequences in case of failure. Climate change exacerbates these concerns, as extreme weather events, such as heavy rainfall and floods, become more frequent, inadequate funding and limited technical expertise contribute to the challenges in ensuring dam safety across the continent. Efforts are being made to address these issues, including capacity-building initiatives, collaboration with international organizations, and the development of regional guidelines for dam safety. However, the statistics underscore the urgent need for comprehensive strategies and investments to enhance dam safety in Africa and mitigate potential risks associated with aging infrastructure and the changing climate </w:t>
      </w:r>
      <w:r w:rsidRPr="00720FBE">
        <w:rPr>
          <w:rFonts w:ascii="Arial" w:hAnsi="Arial" w:cs="Arial"/>
        </w:rPr>
        <w:fldChar w:fldCharType="begin" w:fldLock="1"/>
      </w:r>
      <w:r w:rsidRPr="00720FBE">
        <w:rPr>
          <w:rFonts w:ascii="Arial" w:hAnsi="Arial" w:cs="Arial"/>
        </w:rPr>
        <w:instrText xml:space="preserve">ADDIN CSL_CITATION {"citationItems":[{"id":"ITEM-1","itemData":{"author":[{"dropping-particle":"","family":"Arslan et al","given":"","non-dropping-particle":"","parse-names":false,"suffix":""}],"container-title":"AgEcon Search","id":"ITEM-1","issued":{"date-parts":[["2016"]]},"page":"18","title":"This document is discoverable and free to researchers across the globe due to the work of AgEcon Search . Help ensure our sustainability . </w:instrText>
      </w:r>
      <w:r w:rsidRPr="00720FBE">
        <w:rPr>
          <w:rFonts w:ascii="Arial" w:eastAsia="MS Gothic" w:hAnsi="Arial" w:cs="Arial"/>
        </w:rPr>
        <w:instrText>ａ</w:instrText>
      </w:r>
      <w:r w:rsidRPr="00720FBE">
        <w:rPr>
          <w:rFonts w:ascii="Arial" w:hAnsi="Arial" w:cs="Arial"/>
        </w:rPr>
        <w:instrText xml:space="preserve"> </w:instrText>
      </w:r>
      <w:r w:rsidRPr="00720FBE">
        <w:rPr>
          <w:rFonts w:ascii="Arial" w:eastAsia="MS Gothic" w:hAnsi="Arial" w:cs="Arial"/>
        </w:rPr>
        <w:instrText>ｃ</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ｏ</w:instrText>
      </w:r>
      <w:r w:rsidRPr="00720FBE">
        <w:rPr>
          <w:rFonts w:ascii="Arial" w:hAnsi="Arial" w:cs="Arial"/>
        </w:rPr>
        <w:instrText xml:space="preserve"> </w:instrText>
      </w:r>
      <w:r w:rsidRPr="00720FBE">
        <w:rPr>
          <w:rFonts w:ascii="Arial" w:eastAsia="MS Gothic" w:hAnsi="Arial" w:cs="Arial"/>
        </w:rPr>
        <w:instrText>ｒ</w:instrText>
      </w:r>
      <w:r w:rsidRPr="00720FBE">
        <w:rPr>
          <w:rFonts w:ascii="Arial" w:hAnsi="Arial" w:cs="Arial"/>
        </w:rPr>
        <w:instrText xml:space="preserve"> </w:instrText>
      </w:r>
      <w:r w:rsidRPr="00720FBE">
        <w:rPr>
          <w:rFonts w:ascii="Arial" w:eastAsia="MS Gothic" w:hAnsi="Arial" w:cs="Arial"/>
        </w:rPr>
        <w:instrText>ｓＩ</w:instrText>
      </w:r>
      <w:r w:rsidRPr="00720FBE">
        <w:rPr>
          <w:rFonts w:ascii="Arial" w:hAnsi="Arial" w:cs="Arial"/>
        </w:rPr>
        <w:instrText xml:space="preserve"> </w:instrText>
      </w:r>
      <w:r w:rsidRPr="00720FBE">
        <w:rPr>
          <w:rFonts w:ascii="Arial" w:eastAsia="MS Gothic" w:hAnsi="Arial" w:cs="Arial"/>
        </w:rPr>
        <w:instrText>ｎ</w:instrText>
      </w:r>
      <w:r w:rsidRPr="00720FBE">
        <w:rPr>
          <w:rFonts w:ascii="Arial" w:hAnsi="Arial" w:cs="Arial"/>
        </w:rPr>
        <w:instrText xml:space="preserve"> </w:instrText>
      </w:r>
      <w:r w:rsidRPr="00720FBE">
        <w:rPr>
          <w:rFonts w:ascii="Arial" w:eastAsia="MS Gothic" w:hAnsi="Arial" w:cs="Arial"/>
        </w:rPr>
        <w:instrText>ｆ</w:instrText>
      </w:r>
      <w:r w:rsidRPr="00720FBE">
        <w:rPr>
          <w:rFonts w:ascii="Arial" w:hAnsi="Arial" w:cs="Arial"/>
        </w:rPr>
        <w:instrText xml:space="preserve"> </w:instrText>
      </w:r>
      <w:r w:rsidRPr="00720FBE">
        <w:rPr>
          <w:rFonts w:ascii="Arial" w:eastAsia="MS Gothic" w:hAnsi="Arial" w:cs="Arial"/>
        </w:rPr>
        <w:instrText>ｌ</w:instrText>
      </w:r>
      <w:r w:rsidRPr="00720FBE">
        <w:rPr>
          <w:rFonts w:ascii="Arial" w:hAnsi="Arial" w:cs="Arial"/>
        </w:rPr>
        <w:instrText xml:space="preserve"> </w:instrText>
      </w:r>
      <w:r w:rsidRPr="00720FBE">
        <w:rPr>
          <w:rFonts w:ascii="Arial" w:eastAsia="MS Gothic" w:hAnsi="Arial" w:cs="Arial"/>
        </w:rPr>
        <w:instrText>ｕ</w:instrText>
      </w:r>
      <w:r w:rsidRPr="00720FBE">
        <w:rPr>
          <w:rFonts w:ascii="Arial" w:hAnsi="Arial" w:cs="Arial"/>
        </w:rPr>
        <w:instrText xml:space="preserve"> </w:instrText>
      </w:r>
      <w:r w:rsidRPr="00720FBE">
        <w:rPr>
          <w:rFonts w:ascii="Arial" w:eastAsia="MS Gothic" w:hAnsi="Arial" w:cs="Arial"/>
        </w:rPr>
        <w:instrText>ｅ</w:instrText>
      </w:r>
      <w:r w:rsidRPr="00720FBE">
        <w:rPr>
          <w:rFonts w:ascii="Arial" w:hAnsi="Arial" w:cs="Arial"/>
        </w:rPr>
        <w:instrText xml:space="preserve"> </w:instrText>
      </w:r>
      <w:r w:rsidRPr="00720FBE">
        <w:rPr>
          <w:rFonts w:ascii="Arial" w:eastAsia="MS Gothic" w:hAnsi="Arial" w:cs="Arial"/>
        </w:rPr>
        <w:instrText>ｎ</w:instrText>
      </w:r>
      <w:r w:rsidRPr="00720FBE">
        <w:rPr>
          <w:rFonts w:ascii="Arial" w:hAnsi="Arial" w:cs="Arial"/>
        </w:rPr>
        <w:instrText xml:space="preserve"> </w:instrText>
      </w:r>
      <w:r w:rsidRPr="00720FBE">
        <w:rPr>
          <w:rFonts w:ascii="Arial" w:eastAsia="MS Gothic" w:hAnsi="Arial" w:cs="Arial"/>
        </w:rPr>
        <w:instrText>ｃ</w:instrText>
      </w:r>
      <w:r w:rsidRPr="00720FBE">
        <w:rPr>
          <w:rFonts w:ascii="Arial" w:hAnsi="Arial" w:cs="Arial"/>
        </w:rPr>
        <w:instrText xml:space="preserve"> </w:instrText>
      </w:r>
      <w:r w:rsidRPr="00720FBE">
        <w:rPr>
          <w:rFonts w:ascii="Arial" w:eastAsia="MS Gothic" w:hAnsi="Arial" w:cs="Arial"/>
        </w:rPr>
        <w:instrText>ｉ</w:instrText>
      </w:r>
      <w:r w:rsidRPr="00720FBE">
        <w:rPr>
          <w:rFonts w:ascii="Arial" w:hAnsi="Arial" w:cs="Arial"/>
        </w:rPr>
        <w:instrText xml:space="preserve"> </w:instrText>
      </w:r>
      <w:r w:rsidRPr="00720FBE">
        <w:rPr>
          <w:rFonts w:ascii="Arial" w:eastAsia="MS Gothic" w:hAnsi="Arial" w:cs="Arial"/>
        </w:rPr>
        <w:instrText>ｎ</w:instrText>
      </w:r>
      <w:r w:rsidRPr="00720FBE">
        <w:rPr>
          <w:rFonts w:ascii="Arial" w:hAnsi="Arial" w:cs="Arial"/>
        </w:rPr>
        <w:instrText xml:space="preserve"> </w:instrText>
      </w:r>
      <w:r w:rsidRPr="00720FBE">
        <w:rPr>
          <w:rFonts w:ascii="Arial" w:eastAsia="MS Gothic" w:hAnsi="Arial" w:cs="Arial"/>
        </w:rPr>
        <w:instrText>ｇＰ</w:instrText>
      </w:r>
      <w:r w:rsidRPr="00720FBE">
        <w:rPr>
          <w:rFonts w:ascii="Arial" w:hAnsi="Arial" w:cs="Arial"/>
        </w:rPr>
        <w:instrText xml:space="preserve"> </w:instrText>
      </w:r>
      <w:r w:rsidRPr="00720FBE">
        <w:rPr>
          <w:rFonts w:ascii="Arial" w:eastAsia="MS Gothic" w:hAnsi="Arial" w:cs="Arial"/>
        </w:rPr>
        <w:instrText>ｒ</w:instrText>
      </w:r>
      <w:r w:rsidRPr="00720FBE">
        <w:rPr>
          <w:rFonts w:ascii="Arial" w:hAnsi="Arial" w:cs="Arial"/>
        </w:rPr>
        <w:instrText xml:space="preserve"> </w:instrText>
      </w:r>
      <w:r w:rsidRPr="00720FBE">
        <w:rPr>
          <w:rFonts w:ascii="Arial" w:eastAsia="MS Gothic" w:hAnsi="Arial" w:cs="Arial"/>
        </w:rPr>
        <w:instrText>ｉ</w:instrText>
      </w:r>
      <w:r w:rsidRPr="00720FBE">
        <w:rPr>
          <w:rFonts w:ascii="Arial" w:hAnsi="Arial" w:cs="Arial"/>
        </w:rPr>
        <w:instrText xml:space="preserve"> </w:instrText>
      </w:r>
      <w:r w:rsidRPr="00720FBE">
        <w:rPr>
          <w:rFonts w:ascii="Arial" w:eastAsia="MS Gothic" w:hAnsi="Arial" w:cs="Arial"/>
        </w:rPr>
        <w:instrText>ｃ</w:instrText>
      </w:r>
      <w:r w:rsidRPr="00720FBE">
        <w:rPr>
          <w:rFonts w:ascii="Arial" w:hAnsi="Arial" w:cs="Arial"/>
        </w:rPr>
        <w:instrText xml:space="preserve"> </w:instrText>
      </w:r>
      <w:r w:rsidRPr="00720FBE">
        <w:rPr>
          <w:rFonts w:ascii="Arial" w:eastAsia="MS Gothic" w:hAnsi="Arial" w:cs="Arial"/>
        </w:rPr>
        <w:instrText>ｅｏ</w:instrText>
      </w:r>
      <w:r w:rsidRPr="00720FBE">
        <w:rPr>
          <w:rFonts w:ascii="Arial" w:hAnsi="Arial" w:cs="Arial"/>
        </w:rPr>
        <w:instrText xml:space="preserve"> </w:instrText>
      </w:r>
      <w:r w:rsidRPr="00720FBE">
        <w:rPr>
          <w:rFonts w:ascii="Arial" w:eastAsia="MS Gothic" w:hAnsi="Arial" w:cs="Arial"/>
        </w:rPr>
        <w:instrText>ｆＡ</w:instrText>
      </w:r>
      <w:r w:rsidRPr="00720FBE">
        <w:rPr>
          <w:rFonts w:ascii="Arial" w:hAnsi="Arial" w:cs="Arial"/>
        </w:rPr>
        <w:instrText xml:space="preserve"> </w:instrText>
      </w:r>
      <w:r w:rsidRPr="00720FBE">
        <w:rPr>
          <w:rFonts w:ascii="Arial" w:eastAsia="MS Gothic" w:hAnsi="Arial" w:cs="Arial"/>
        </w:rPr>
        <w:instrText>ｇ</w:instrText>
      </w:r>
      <w:r w:rsidRPr="00720FBE">
        <w:rPr>
          <w:rFonts w:ascii="Arial" w:hAnsi="Arial" w:cs="Arial"/>
        </w:rPr>
        <w:instrText xml:space="preserve"> </w:instrText>
      </w:r>
      <w:r w:rsidRPr="00720FBE">
        <w:rPr>
          <w:rFonts w:ascii="Arial" w:eastAsia="MS Gothic" w:hAnsi="Arial" w:cs="Arial"/>
        </w:rPr>
        <w:instrText>ｒ</w:instrText>
      </w:r>
      <w:r w:rsidRPr="00720FBE">
        <w:rPr>
          <w:rFonts w:ascii="Arial" w:hAnsi="Arial" w:cs="Arial"/>
        </w:rPr>
        <w:instrText xml:space="preserve"> </w:instrText>
      </w:r>
      <w:r w:rsidRPr="00720FBE">
        <w:rPr>
          <w:rFonts w:ascii="Arial" w:eastAsia="MS Gothic" w:hAnsi="Arial" w:cs="Arial"/>
        </w:rPr>
        <w:instrText>ｉ</w:instrText>
      </w:r>
      <w:r w:rsidRPr="00720FBE">
        <w:rPr>
          <w:rFonts w:ascii="Arial" w:hAnsi="Arial" w:cs="Arial"/>
        </w:rPr>
        <w:instrText xml:space="preserve"> </w:instrText>
      </w:r>
      <w:r w:rsidRPr="00720FBE">
        <w:rPr>
          <w:rFonts w:ascii="Arial" w:eastAsia="MS Gothic" w:hAnsi="Arial" w:cs="Arial"/>
        </w:rPr>
        <w:instrText>ｃ</w:instrText>
      </w:r>
      <w:r w:rsidRPr="00720FBE">
        <w:rPr>
          <w:rFonts w:ascii="Arial" w:hAnsi="Arial" w:cs="Arial"/>
        </w:rPr>
        <w:instrText xml:space="preserve"> </w:instrText>
      </w:r>
      <w:r w:rsidRPr="00720FBE">
        <w:rPr>
          <w:rFonts w:ascii="Arial" w:eastAsia="MS Gothic" w:hAnsi="Arial" w:cs="Arial"/>
        </w:rPr>
        <w:instrText>ｕ</w:instrText>
      </w:r>
      <w:r w:rsidRPr="00720FBE">
        <w:rPr>
          <w:rFonts w:ascii="Arial" w:hAnsi="Arial" w:cs="Arial"/>
        </w:rPr>
        <w:instrText xml:space="preserve"> </w:instrText>
      </w:r>
      <w:r w:rsidRPr="00720FBE">
        <w:rPr>
          <w:rFonts w:ascii="Arial" w:eastAsia="MS Gothic" w:hAnsi="Arial" w:cs="Arial"/>
        </w:rPr>
        <w:instrText>ｌ</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ｕ</w:instrText>
      </w:r>
      <w:r w:rsidRPr="00720FBE">
        <w:rPr>
          <w:rFonts w:ascii="Arial" w:hAnsi="Arial" w:cs="Arial"/>
        </w:rPr>
        <w:instrText xml:space="preserve"> </w:instrText>
      </w:r>
      <w:r w:rsidRPr="00720FBE">
        <w:rPr>
          <w:rFonts w:ascii="Arial" w:eastAsia="MS Gothic" w:hAnsi="Arial" w:cs="Arial"/>
        </w:rPr>
        <w:instrText>ｒ</w:instrText>
      </w:r>
      <w:r w:rsidRPr="00720FBE">
        <w:rPr>
          <w:rFonts w:ascii="Arial" w:hAnsi="Arial" w:cs="Arial"/>
        </w:rPr>
        <w:instrText xml:space="preserve"> </w:instrText>
      </w:r>
      <w:r w:rsidRPr="00720FBE">
        <w:rPr>
          <w:rFonts w:ascii="Arial" w:eastAsia="MS Gothic" w:hAnsi="Arial" w:cs="Arial"/>
        </w:rPr>
        <w:instrText>ａ</w:instrText>
      </w:r>
      <w:r w:rsidRPr="00720FBE">
        <w:rPr>
          <w:rFonts w:ascii="Arial" w:hAnsi="Arial" w:cs="Arial"/>
        </w:rPr>
        <w:instrText xml:space="preserve"> </w:instrText>
      </w:r>
      <w:r w:rsidRPr="00720FBE">
        <w:rPr>
          <w:rFonts w:ascii="Arial" w:eastAsia="MS Gothic" w:hAnsi="Arial" w:cs="Arial"/>
        </w:rPr>
        <w:instrText>ｌＰ</w:instrText>
      </w:r>
      <w:r w:rsidRPr="00720FBE">
        <w:rPr>
          <w:rFonts w:ascii="Arial" w:hAnsi="Arial" w:cs="Arial"/>
        </w:rPr>
        <w:instrText xml:space="preserve"> </w:instrText>
      </w:r>
      <w:r w:rsidRPr="00720FBE">
        <w:rPr>
          <w:rFonts w:ascii="Arial" w:eastAsia="MS Gothic" w:hAnsi="Arial" w:cs="Arial"/>
        </w:rPr>
        <w:instrText>ｒ</w:instrText>
      </w:r>
      <w:r w:rsidRPr="00720FBE">
        <w:rPr>
          <w:rFonts w:ascii="Arial" w:hAnsi="Arial" w:cs="Arial"/>
        </w:rPr>
        <w:instrText xml:space="preserve"> </w:instrText>
      </w:r>
      <w:r w:rsidRPr="00720FBE">
        <w:rPr>
          <w:rFonts w:ascii="Arial" w:eastAsia="MS Gothic" w:hAnsi="Arial" w:cs="Arial"/>
        </w:rPr>
        <w:instrText>ｏ</w:instrText>
      </w:r>
      <w:r w:rsidRPr="00720FBE">
        <w:rPr>
          <w:rFonts w:ascii="Arial" w:hAnsi="Arial" w:cs="Arial"/>
        </w:rPr>
        <w:instrText xml:space="preserve"> </w:instrText>
      </w:r>
      <w:r w:rsidRPr="00720FBE">
        <w:rPr>
          <w:rFonts w:ascii="Arial" w:eastAsia="MS Gothic" w:hAnsi="Arial" w:cs="Arial"/>
        </w:rPr>
        <w:instrText>ｄ</w:instrText>
      </w:r>
      <w:r w:rsidRPr="00720FBE">
        <w:rPr>
          <w:rFonts w:ascii="Arial" w:hAnsi="Arial" w:cs="Arial"/>
        </w:rPr>
        <w:instrText xml:space="preserve"> </w:instrText>
      </w:r>
      <w:r w:rsidRPr="00720FBE">
        <w:rPr>
          <w:rFonts w:ascii="Arial" w:eastAsia="MS Gothic" w:hAnsi="Arial" w:cs="Arial"/>
        </w:rPr>
        <w:instrText>ｕ</w:instrText>
      </w:r>
      <w:r w:rsidRPr="00720FBE">
        <w:rPr>
          <w:rFonts w:ascii="Arial" w:hAnsi="Arial" w:cs="Arial"/>
        </w:rPr>
        <w:instrText xml:space="preserve"> </w:instrText>
      </w:r>
      <w:r w:rsidRPr="00720FBE">
        <w:rPr>
          <w:rFonts w:ascii="Arial" w:eastAsia="MS Gothic" w:hAnsi="Arial" w:cs="Arial"/>
        </w:rPr>
        <w:instrText>ｃ</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ｓ</w:instrText>
      </w:r>
      <w:r w:rsidRPr="00720FBE">
        <w:rPr>
          <w:rFonts w:ascii="Arial" w:hAnsi="Arial" w:cs="Arial"/>
        </w:rPr>
        <w:instrText xml:space="preserve"> </w:instrText>
      </w:r>
      <w:r w:rsidRPr="00720FBE">
        <w:rPr>
          <w:rFonts w:ascii="Arial" w:eastAsia="MS Gothic" w:hAnsi="Arial" w:cs="Arial"/>
        </w:rPr>
        <w:instrText>ａ</w:instrText>
      </w:r>
      <w:r w:rsidRPr="00720FBE">
        <w:rPr>
          <w:rFonts w:ascii="Arial" w:hAnsi="Arial" w:cs="Arial"/>
        </w:rPr>
        <w:instrText xml:space="preserve"> </w:instrText>
      </w:r>
      <w:r w:rsidRPr="00720FBE">
        <w:rPr>
          <w:rFonts w:ascii="Arial" w:eastAsia="MS Gothic" w:hAnsi="Arial" w:cs="Arial"/>
        </w:rPr>
        <w:instrText>ｎ</w:instrText>
      </w:r>
      <w:r w:rsidRPr="00720FBE">
        <w:rPr>
          <w:rFonts w:ascii="Arial" w:hAnsi="Arial" w:cs="Arial"/>
        </w:rPr>
        <w:instrText xml:space="preserve"> </w:instrText>
      </w:r>
      <w:r w:rsidRPr="00720FBE">
        <w:rPr>
          <w:rFonts w:ascii="Arial" w:eastAsia="MS Gothic" w:hAnsi="Arial" w:cs="Arial"/>
        </w:rPr>
        <w:instrText>ｄＳ</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ａ</w:instrText>
      </w:r>
      <w:r w:rsidRPr="00720FBE">
        <w:rPr>
          <w:rFonts w:ascii="Arial" w:hAnsi="Arial" w:cs="Arial"/>
        </w:rPr>
        <w:instrText xml:space="preserve"> </w:instrText>
      </w:r>
      <w:r w:rsidRPr="00720FBE">
        <w:rPr>
          <w:rFonts w:ascii="Arial" w:eastAsia="MS Gothic" w:hAnsi="Arial" w:cs="Arial"/>
        </w:rPr>
        <w:instrText>ｂ</w:instrText>
      </w:r>
      <w:r w:rsidRPr="00720FBE">
        <w:rPr>
          <w:rFonts w:ascii="Arial" w:hAnsi="Arial" w:cs="Arial"/>
        </w:rPr>
        <w:instrText xml:space="preserve"> </w:instrText>
      </w:r>
      <w:r w:rsidRPr="00720FBE">
        <w:rPr>
          <w:rFonts w:ascii="Arial" w:eastAsia="MS Gothic" w:hAnsi="Arial" w:cs="Arial"/>
        </w:rPr>
        <w:instrText>ｉ</w:instrText>
      </w:r>
      <w:r w:rsidRPr="00720FBE">
        <w:rPr>
          <w:rFonts w:ascii="Arial" w:hAnsi="Arial" w:cs="Arial"/>
        </w:rPr>
        <w:instrText xml:space="preserve"> </w:instrText>
      </w:r>
      <w:r w:rsidRPr="00720FBE">
        <w:rPr>
          <w:rFonts w:ascii="Arial" w:eastAsia="MS Gothic" w:hAnsi="Arial" w:cs="Arial"/>
        </w:rPr>
        <w:instrText>ｌ</w:instrText>
      </w:r>
      <w:r w:rsidRPr="00720FBE">
        <w:rPr>
          <w:rFonts w:ascii="Arial" w:hAnsi="Arial" w:cs="Arial"/>
        </w:rPr>
        <w:instrText xml:space="preserve"> </w:instrText>
      </w:r>
      <w:r w:rsidRPr="00720FBE">
        <w:rPr>
          <w:rFonts w:ascii="Arial" w:eastAsia="MS Gothic" w:hAnsi="Arial" w:cs="Arial"/>
        </w:rPr>
        <w:instrText>ｉ</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ｙＣ</w:instrText>
      </w:r>
      <w:r w:rsidRPr="00720FBE">
        <w:rPr>
          <w:rFonts w:ascii="Arial" w:hAnsi="Arial" w:cs="Arial"/>
        </w:rPr>
        <w:instrText xml:space="preserve"> </w:instrText>
      </w:r>
      <w:r w:rsidRPr="00720FBE">
        <w:rPr>
          <w:rFonts w:ascii="Arial" w:eastAsia="MS Gothic" w:hAnsi="Arial" w:cs="Arial"/>
        </w:rPr>
        <w:instrText>ｏ</w:instrText>
      </w:r>
      <w:r w:rsidRPr="00720FBE">
        <w:rPr>
          <w:rFonts w:ascii="Arial" w:hAnsi="Arial" w:cs="Arial"/>
        </w:rPr>
        <w:instrText xml:space="preserve"> </w:instrText>
      </w:r>
      <w:r w:rsidRPr="00720FBE">
        <w:rPr>
          <w:rFonts w:ascii="Arial" w:eastAsia="MS Gothic" w:hAnsi="Arial" w:cs="Arial"/>
        </w:rPr>
        <w:instrText>ｕ</w:instrText>
      </w:r>
      <w:r w:rsidRPr="00720FBE">
        <w:rPr>
          <w:rFonts w:ascii="Arial" w:hAnsi="Arial" w:cs="Arial"/>
        </w:rPr>
        <w:instrText xml:space="preserve"> </w:instrText>
      </w:r>
      <w:r w:rsidRPr="00720FBE">
        <w:rPr>
          <w:rFonts w:ascii="Arial" w:eastAsia="MS Gothic" w:hAnsi="Arial" w:cs="Arial"/>
        </w:rPr>
        <w:instrText>ｎ</w:instrText>
      </w:r>
      <w:r w:rsidRPr="00720FBE">
        <w:rPr>
          <w:rFonts w:ascii="Arial" w:hAnsi="Arial" w:cs="Arial"/>
        </w:rPr>
        <w:instrText xml:space="preserve"> </w:instrText>
      </w:r>
      <w:r w:rsidRPr="00720FBE">
        <w:rPr>
          <w:rFonts w:ascii="Arial" w:eastAsia="MS Gothic" w:hAnsi="Arial" w:cs="Arial"/>
        </w:rPr>
        <w:instrText>ｔ</w:instrText>
      </w:r>
      <w:r w:rsidRPr="00720FBE">
        <w:rPr>
          <w:rFonts w:ascii="Arial" w:hAnsi="Arial" w:cs="Arial"/>
        </w:rPr>
        <w:instrText xml:space="preserve"> </w:instrText>
      </w:r>
      <w:r w:rsidRPr="00720FBE">
        <w:rPr>
          <w:rFonts w:ascii="Arial" w:eastAsia="MS Gothic" w:hAnsi="Arial" w:cs="Arial"/>
        </w:rPr>
        <w:instrText>ｅ</w:instrText>
      </w:r>
      <w:r w:rsidRPr="00720FBE">
        <w:rPr>
          <w:rFonts w:ascii="Arial" w:hAnsi="Arial" w:cs="Arial"/>
        </w:rPr>
        <w:instrText>","type":"article-journal"},"uris":["http://www.mendeley.com/documents/?uuid=06e0691d-f8e1-42af-9ef5-12d18bc55701","http://www.mendeley.com/documents/?uuid=7daab7b6-5985-4870-9b1e-9d60c0549431"]}],"mendeley":{"formattedCitation":"(Arslan et al, 2016)","plainTextFormattedCitation":"(Arslan et al, 2016)","previouslyFormattedCitation":"(Arslan et al, 2016)"},"properties":{"noteIndex":0},"schema":"https://github.com/citation-style-language/schema/raw/master/csl-citation.json"}</w:instrText>
      </w:r>
      <w:r w:rsidRPr="00720FBE">
        <w:rPr>
          <w:rFonts w:ascii="Arial" w:hAnsi="Arial" w:cs="Arial"/>
        </w:rPr>
        <w:fldChar w:fldCharType="separate"/>
      </w:r>
      <w:r w:rsidRPr="00720FBE">
        <w:rPr>
          <w:rFonts w:ascii="Arial" w:hAnsi="Arial" w:cs="Arial"/>
          <w:noProof/>
        </w:rPr>
        <w:t>(Arslan et al, 2016)</w:t>
      </w:r>
      <w:r w:rsidRPr="00720FBE">
        <w:rPr>
          <w:rFonts w:ascii="Arial" w:hAnsi="Arial" w:cs="Arial"/>
        </w:rPr>
        <w:fldChar w:fldCharType="end"/>
      </w:r>
      <w:r w:rsidRPr="00720FBE">
        <w:rPr>
          <w:rFonts w:ascii="Arial" w:hAnsi="Arial" w:cs="Arial"/>
        </w:rPr>
        <w:t>.</w:t>
      </w:r>
    </w:p>
    <w:p w14:paraId="1DC4BE3A" w14:textId="77777777" w:rsidR="00F9435F" w:rsidRPr="007F4CB2" w:rsidRDefault="00F9435F" w:rsidP="00F9435F">
      <w:pPr>
        <w:spacing w:line="276" w:lineRule="auto"/>
        <w:rPr>
          <w:rFonts w:ascii="Arial" w:eastAsia="Calibri" w:hAnsi="Arial" w:cs="Arial"/>
          <w:kern w:val="2"/>
          <w14:ligatures w14:val="standardContextual"/>
        </w:rPr>
      </w:pPr>
      <w:r w:rsidRPr="007F4CB2">
        <w:rPr>
          <w:rFonts w:ascii="Arial" w:eastAsia="Calibri" w:hAnsi="Arial" w:cs="Arial"/>
          <w:kern w:val="2"/>
          <w14:ligatures w14:val="standardContextual"/>
        </w:rPr>
        <w:t xml:space="preserve">Tanzania has experienced a growing demand for water resources and energy, leading to an increased number of dams and reservoirs. However, the aging infrastructure and inadequate maintenance have raised concerns about the overall safety of these structures. To address these challenges, Tanzania has been working on improving its dam safety policies and practices. The government has implemented regulations and guidelines to ensure that dams adhere to </w:t>
      </w:r>
      <w:r w:rsidRPr="002A1F5D">
        <w:rPr>
          <w:rFonts w:ascii="Arial" w:eastAsia="Calibri" w:hAnsi="Arial" w:cs="Arial"/>
          <w:kern w:val="2"/>
          <w14:ligatures w14:val="standardContextual"/>
        </w:rPr>
        <w:t xml:space="preserve">international </w:t>
      </w:r>
      <w:r w:rsidRPr="002A1F5D">
        <w:rPr>
          <w:rFonts w:ascii="Arial" w:hAnsi="Arial" w:cs="Arial"/>
        </w:rPr>
        <w:t>safety standards (</w:t>
      </w:r>
      <w:proofErr w:type="spellStart"/>
      <w:r w:rsidRPr="002A1F5D">
        <w:rPr>
          <w:rFonts w:ascii="Arial" w:hAnsi="Arial" w:cs="Arial"/>
        </w:rPr>
        <w:t>Iso</w:t>
      </w:r>
      <w:bookmarkStart w:id="1" w:name="_GoBack"/>
      <w:bookmarkEnd w:id="1"/>
      <w:r w:rsidRPr="002A1F5D">
        <w:rPr>
          <w:rFonts w:ascii="Arial" w:hAnsi="Arial" w:cs="Arial"/>
        </w:rPr>
        <w:t>maki</w:t>
      </w:r>
      <w:proofErr w:type="spellEnd"/>
      <w:r w:rsidRPr="002A1F5D">
        <w:rPr>
          <w:rFonts w:ascii="Arial" w:hAnsi="Arial" w:cs="Arial"/>
        </w:rPr>
        <w:t xml:space="preserve"> et al., 2012)</w:t>
      </w:r>
      <w:r w:rsidRPr="002A1F5D">
        <w:rPr>
          <w:rFonts w:ascii="Arial" w:eastAsia="Calibri" w:hAnsi="Arial" w:cs="Arial"/>
          <w:kern w:val="2"/>
          <w14:ligatures w14:val="standardContextual"/>
        </w:rPr>
        <w:t>. Collaborative efforts with stakeholders, including</w:t>
      </w:r>
      <w:r w:rsidRPr="007F4CB2">
        <w:rPr>
          <w:rFonts w:ascii="Arial" w:eastAsia="Calibri" w:hAnsi="Arial" w:cs="Arial"/>
          <w:kern w:val="2"/>
          <w14:ligatures w14:val="standardContextual"/>
        </w:rPr>
        <w:t xml:space="preserve"> local communities, engineers, and environmentalists, play a crucial role in monitoring and managing dam safety (</w:t>
      </w:r>
      <w:proofErr w:type="spellStart"/>
      <w:r w:rsidRPr="007F4CB2">
        <w:rPr>
          <w:rFonts w:ascii="Arial" w:eastAsia="Calibri" w:hAnsi="Arial" w:cs="Arial"/>
          <w:kern w:val="2"/>
          <w14:ligatures w14:val="standardContextual"/>
        </w:rPr>
        <w:t>Pisaniello</w:t>
      </w:r>
      <w:proofErr w:type="spellEnd"/>
      <w:r w:rsidRPr="007F4CB2">
        <w:rPr>
          <w:rFonts w:ascii="Arial" w:eastAsia="Calibri" w:hAnsi="Arial" w:cs="Arial"/>
          <w:kern w:val="2"/>
          <w14:ligatures w14:val="standardContextual"/>
        </w:rPr>
        <w:t>, 2010).</w:t>
      </w:r>
      <w:r>
        <w:rPr>
          <w:rFonts w:ascii="Arial" w:eastAsia="Calibri" w:hAnsi="Arial" w:cs="Arial"/>
          <w:kern w:val="2"/>
          <w14:ligatures w14:val="standardContextual"/>
        </w:rPr>
        <w:t xml:space="preserve"> However, there are limited evidence to whether the</w:t>
      </w:r>
      <w:r w:rsidRPr="00DC29E4">
        <w:rPr>
          <w:rFonts w:ascii="Arial" w:eastAsia="Calibri" w:hAnsi="Arial" w:cs="Arial"/>
          <w:kern w:val="2"/>
          <w14:ligatures w14:val="standardContextual"/>
        </w:rPr>
        <w:t xml:space="preserve"> current risk management programs</w:t>
      </w:r>
      <w:r>
        <w:rPr>
          <w:rFonts w:ascii="Arial" w:eastAsia="Calibri" w:hAnsi="Arial" w:cs="Arial"/>
          <w:kern w:val="2"/>
          <w14:ligatures w14:val="standardContextual"/>
        </w:rPr>
        <w:t xml:space="preserve"> are adequate to make Dams in Tanzania risk free.</w:t>
      </w:r>
    </w:p>
    <w:p w14:paraId="1FC28958" w14:textId="77777777" w:rsidR="00F9435F" w:rsidRPr="00100F20" w:rsidRDefault="00F9435F" w:rsidP="00F9435F">
      <w:pPr>
        <w:spacing w:line="276" w:lineRule="auto"/>
        <w:rPr>
          <w:rFonts w:ascii="Arial" w:hAnsi="Arial" w:cs="Arial"/>
        </w:rPr>
      </w:pPr>
      <w:r w:rsidRPr="007F4CB2">
        <w:rPr>
          <w:rFonts w:ascii="Arial" w:eastAsia="Calibri" w:hAnsi="Arial" w:cs="Arial"/>
          <w:kern w:val="2"/>
          <w14:ligatures w14:val="standardContextual"/>
        </w:rPr>
        <w:t xml:space="preserve"> This research aimed to evaluate the effectiveness and sufficiency of the current risk management programs, which are carried out in the old </w:t>
      </w:r>
      <w:proofErr w:type="spellStart"/>
      <w:r w:rsidRPr="007F4CB2">
        <w:rPr>
          <w:rFonts w:ascii="Arial" w:eastAsia="Calibri" w:hAnsi="Arial" w:cs="Arial"/>
          <w:kern w:val="2"/>
          <w14:ligatures w14:val="standardContextual"/>
        </w:rPr>
        <w:t>Mindu</w:t>
      </w:r>
      <w:proofErr w:type="spellEnd"/>
      <w:r w:rsidRPr="007F4CB2">
        <w:rPr>
          <w:rFonts w:ascii="Arial" w:eastAsia="Calibri" w:hAnsi="Arial" w:cs="Arial"/>
          <w:kern w:val="2"/>
          <w14:ligatures w14:val="standardContextual"/>
        </w:rPr>
        <w:t xml:space="preserve"> dam located in Morogoro municipality, Tanzania. The assessment covered a comprehensive examination of the existing strategies, policies, and </w:t>
      </w:r>
      <w:r w:rsidRPr="007C6149">
        <w:rPr>
          <w:rFonts w:ascii="Arial" w:eastAsia="Calibri" w:hAnsi="Arial" w:cs="Arial"/>
          <w:kern w:val="2"/>
          <w14:ligatures w14:val="standardContextual"/>
        </w:rPr>
        <w:t>practices in place to identify, mitigate, and manage various risks within the region's standards. Specifically, the study aimed to establish</w:t>
      </w:r>
      <w:r w:rsidRPr="00AF4765">
        <w:rPr>
          <w:rFonts w:ascii="Arial" w:eastAsia="Calibri" w:hAnsi="Arial" w:cs="Arial"/>
          <w:iCs/>
          <w:kern w:val="2"/>
          <w:lang w:val="en-GB"/>
          <w14:ligatures w14:val="standardContextual"/>
        </w:rPr>
        <w:t xml:space="preserve"> a dam safety policy benchmark for Tanzania, assess the rules and policies in place that control Tanzania's dam safety management </w:t>
      </w:r>
      <w:r w:rsidRPr="007C6149">
        <w:rPr>
          <w:rFonts w:ascii="Arial" w:eastAsia="Calibri" w:hAnsi="Arial" w:cs="Arial"/>
          <w:iCs/>
          <w:kern w:val="2"/>
          <w:lang w:val="en-GB"/>
          <w14:ligatures w14:val="standardContextual"/>
        </w:rPr>
        <w:t>and examine</w:t>
      </w:r>
      <w:r w:rsidRPr="00AF4765">
        <w:rPr>
          <w:rFonts w:ascii="Arial" w:eastAsia="Calibri" w:hAnsi="Arial" w:cs="Arial"/>
          <w:iCs/>
          <w:kern w:val="2"/>
          <w:lang w:val="en-GB"/>
          <w14:ligatures w14:val="standardContextual"/>
        </w:rPr>
        <w:t xml:space="preserve"> the variables that influence </w:t>
      </w:r>
      <w:proofErr w:type="spellStart"/>
      <w:r w:rsidRPr="00AF4765">
        <w:rPr>
          <w:rFonts w:ascii="Arial" w:eastAsia="Calibri" w:hAnsi="Arial" w:cs="Arial"/>
          <w:iCs/>
          <w:kern w:val="2"/>
          <w:lang w:val="en-GB"/>
          <w14:ligatures w14:val="standardContextual"/>
        </w:rPr>
        <w:t>Mindu</w:t>
      </w:r>
      <w:proofErr w:type="spellEnd"/>
      <w:r w:rsidRPr="00AF4765">
        <w:rPr>
          <w:rFonts w:ascii="Arial" w:eastAsia="Calibri" w:hAnsi="Arial" w:cs="Arial"/>
          <w:iCs/>
          <w:kern w:val="2"/>
          <w:lang w:val="en-GB"/>
          <w14:ligatures w14:val="standardContextual"/>
        </w:rPr>
        <w:t xml:space="preserve"> Dam Safety Issues.</w:t>
      </w:r>
    </w:p>
    <w:p w14:paraId="1A2AACCF" w14:textId="77777777" w:rsidR="00790ADA" w:rsidRPr="00F9435F" w:rsidRDefault="00790ADA" w:rsidP="00441B6F">
      <w:pPr>
        <w:pStyle w:val="Body"/>
        <w:spacing w:after="0"/>
        <w:rPr>
          <w:rFonts w:ascii="Arial" w:hAnsi="Arial" w:cs="Arial"/>
        </w:rPr>
      </w:pPr>
    </w:p>
    <w:p w14:paraId="7234362C"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80F1FEF" w14:textId="77777777" w:rsidR="00454E96" w:rsidRPr="00FB3A86" w:rsidRDefault="00454E96" w:rsidP="00441B6F">
      <w:pPr>
        <w:pStyle w:val="AbstHead"/>
        <w:spacing w:after="0"/>
        <w:jc w:val="both"/>
        <w:rPr>
          <w:rFonts w:ascii="Arial" w:hAnsi="Arial" w:cs="Arial"/>
        </w:rPr>
      </w:pPr>
    </w:p>
    <w:p w14:paraId="5748E7AB" w14:textId="77777777" w:rsidR="00287ED5" w:rsidRPr="00454E96" w:rsidRDefault="00287ED5" w:rsidP="00287ED5">
      <w:pPr>
        <w:spacing w:after="160" w:line="276" w:lineRule="auto"/>
        <w:ind w:left="360"/>
        <w:contextualSpacing/>
        <w:jc w:val="both"/>
        <w:rPr>
          <w:rFonts w:ascii="Arial" w:eastAsia="Calibri" w:hAnsi="Arial" w:cs="Arial"/>
          <w:b/>
          <w:kern w:val="2"/>
          <w14:ligatures w14:val="standardContextual"/>
        </w:rPr>
      </w:pPr>
      <w:r w:rsidRPr="00454E96">
        <w:rPr>
          <w:rFonts w:ascii="Arial" w:eastAsia="Calibri" w:hAnsi="Arial" w:cs="Arial"/>
          <w:b/>
          <w:kern w:val="2"/>
          <w14:ligatures w14:val="standardContextual"/>
        </w:rPr>
        <w:t>2.1. Description of the study area</w:t>
      </w:r>
    </w:p>
    <w:p w14:paraId="051F73AD" w14:textId="77777777" w:rsidR="00F9435F" w:rsidRPr="000939E4" w:rsidRDefault="00F9435F" w:rsidP="00F9435F">
      <w:pPr>
        <w:spacing w:line="276" w:lineRule="auto"/>
        <w:rPr>
          <w:rFonts w:ascii="Arial" w:hAnsi="Arial" w:cs="Arial"/>
        </w:rPr>
      </w:pPr>
      <w:r w:rsidRPr="00D62A3B">
        <w:rPr>
          <w:rFonts w:ascii="Arial" w:hAnsi="Arial" w:cs="Arial"/>
        </w:rPr>
        <w:t xml:space="preserve">This study was conducted at the </w:t>
      </w:r>
      <w:proofErr w:type="spellStart"/>
      <w:r w:rsidRPr="00D62A3B">
        <w:rPr>
          <w:rFonts w:ascii="Arial" w:hAnsi="Arial" w:cs="Arial"/>
        </w:rPr>
        <w:t>Mindu</w:t>
      </w:r>
      <w:proofErr w:type="spellEnd"/>
      <w:r w:rsidRPr="00D62A3B">
        <w:rPr>
          <w:rFonts w:ascii="Arial" w:hAnsi="Arial" w:cs="Arial"/>
        </w:rPr>
        <w:t xml:space="preserve"> dam, located in the Morogoro </w:t>
      </w:r>
      <w:proofErr w:type="spellStart"/>
      <w:r w:rsidRPr="00D62A3B">
        <w:rPr>
          <w:rFonts w:ascii="Arial" w:hAnsi="Arial" w:cs="Arial"/>
        </w:rPr>
        <w:t>region's</w:t>
      </w:r>
      <w:proofErr w:type="spellEnd"/>
      <w:r w:rsidRPr="00D62A3B">
        <w:rPr>
          <w:rFonts w:ascii="Arial" w:hAnsi="Arial" w:cs="Arial"/>
        </w:rPr>
        <w:t xml:space="preserve">, Morogoro Municipality. Situated in the </w:t>
      </w:r>
      <w:proofErr w:type="spellStart"/>
      <w:r w:rsidRPr="00D62A3B">
        <w:rPr>
          <w:rFonts w:ascii="Arial" w:hAnsi="Arial" w:cs="Arial"/>
        </w:rPr>
        <w:t>Ngerengere</w:t>
      </w:r>
      <w:proofErr w:type="spellEnd"/>
      <w:r w:rsidRPr="00D62A3B">
        <w:rPr>
          <w:rFonts w:ascii="Arial" w:hAnsi="Arial" w:cs="Arial"/>
        </w:rPr>
        <w:t xml:space="preserve"> River Valley, the </w:t>
      </w:r>
      <w:proofErr w:type="spellStart"/>
      <w:r w:rsidRPr="00D62A3B">
        <w:rPr>
          <w:rFonts w:ascii="Arial" w:hAnsi="Arial" w:cs="Arial"/>
        </w:rPr>
        <w:t>Mindu</w:t>
      </w:r>
      <w:proofErr w:type="spellEnd"/>
      <w:r w:rsidRPr="00D62A3B">
        <w:rPr>
          <w:rFonts w:ascii="Arial" w:hAnsi="Arial" w:cs="Arial"/>
        </w:rPr>
        <w:t xml:space="preserve"> dam is roughly 3.8 kilometers southwest of Morogoro town </w:t>
      </w:r>
      <w:r w:rsidRPr="00D62A3B">
        <w:rPr>
          <w:rFonts w:ascii="Arial" w:hAnsi="Arial" w:cs="Arial"/>
        </w:rPr>
        <w:fldChar w:fldCharType="begin" w:fldLock="1"/>
      </w:r>
      <w:r w:rsidRPr="00D62A3B">
        <w:rPr>
          <w:rFonts w:ascii="Arial" w:hAnsi="Arial" w:cs="Arial"/>
        </w:rPr>
        <w:instrText>ADDIN CSL_CITATION {"citationItems":[{"id":"ITEM-1","itemData":{"DOI":"10.1016/j.heliyon.2019.e02834","ISSN":"24058440","abstract":"The measurement of Chlorophyll-a in aquatic systems has usually correlated to harmful algae in water bodies. Harmful algal blooms (HABs) are as a result of massive proliferation of blue-green algae (Cyanobacteria). Harmful algal blooms (HABs) pose threats to both the environment as well as human health, and despite this well-known fact, their monitoring and management are still challenging. Climate change, extreme weather events, and hydrological changes are the main drivers and predicted to benefits HABs dynamics in most parts of the world. In Tanzania, studies of HABs proliferation and their possible correlation with variability in climate and hydrology still lag behind despite high demand for developing predicting tools and prevention of HABs proliferation. The present study reports on the retrospective analysis of HABs variation in Mindu Dam located in Morogoro, Tanzania using remote sensing techniques. In the present study comparison between in situ measurement and ocean color (OC2) Chlorophyll-a with the surface reflectance's (band and band combinations) of Landsat 7 and Landsat 8 Operational Land Imager (OLI), was performed. Another approach involved searching for patterns and trends, and teleconnection between Chlorophyll-a index (best band ration) and the climate and hydrological variations in the catchment. The findings demonstrated that minimum and maximum temperatures, solar radiation, Chlorophyll-a concentration registered significant increasing trends. Wind speed and directions, water levels for Mindu Dam showed a significant decreasing trend. On the other hand, rainfall showed no trend. The patterns suggest that there are link and causality between the HABs variations and meteorological parameters such as temperatures, solar radiations, and water levels. The study, therefore, contributes to the application of recent advances in remote sensing and retrospectively analysis of bloom dynamics and search for their link with climate and hydrological changes.","author":[{"dropping-particle":"","family":"Kimambo","given":"Offoro N.","non-dropping-particle":"","parse-names":false,"suffix":""},{"dropping-particle":"","family":"Chikoore","given":"Hector","non-dropping-particle":"","parse-names":false,"suffix":""},{"dropping-particle":"","family":"Gumbo","given":"Jabulani R.","non-dropping-particle":"","parse-names":false,"suffix":""},{"dropping-particle":"","family":"Msagati","given":"Titus A.M.","non-dropping-particle":"","parse-names":false,"suffix":""}],"container-title":"Heliyon","id":"ITEM-1","issue":"11","issued":{"date-parts":[["2019"]]},"page":"e02834","publisher":"Elsevier Ltd","title":"Retrospective analysis of Chlorophyll-a and its correlation with climate and hydrological variations in Mindu Dam, Morogoro, Tanzania","type":"article-journal","volume":"5"},"uris":["http://www.mendeley.com/documents/?uuid=dc8a1c12-cfeb-4bec-b6a8-8b903f3fafed","http://www.mendeley.com/documents/?uuid=4815537b-d8d4-42bf-8d04-61dffc691472"]}],"mendeley":{"formattedCitation":"(Kimambo et al., 2019)","plainTextFormattedCitation":"(Kimambo et al., 2019)","previouslyFormattedCitation":"(Kimambo et al., 2019)"},"properties":{"noteIndex":0},"schema":"https://github.com/citation-style-language/schema/raw/master/csl-citation.json"}</w:instrText>
      </w:r>
      <w:r w:rsidRPr="00D62A3B">
        <w:rPr>
          <w:rFonts w:ascii="Arial" w:hAnsi="Arial" w:cs="Arial"/>
        </w:rPr>
        <w:fldChar w:fldCharType="separate"/>
      </w:r>
      <w:r w:rsidRPr="00D62A3B">
        <w:rPr>
          <w:rFonts w:ascii="Arial" w:hAnsi="Arial" w:cs="Arial"/>
          <w:noProof/>
        </w:rPr>
        <w:t>(Kimambo et al., 2019)</w:t>
      </w:r>
      <w:r w:rsidRPr="00D62A3B">
        <w:rPr>
          <w:rFonts w:ascii="Arial" w:hAnsi="Arial" w:cs="Arial"/>
        </w:rPr>
        <w:fldChar w:fldCharType="end"/>
      </w:r>
      <w:r w:rsidRPr="00D62A3B">
        <w:rPr>
          <w:rFonts w:ascii="Arial" w:hAnsi="Arial" w:cs="Arial"/>
        </w:rPr>
        <w:t xml:space="preserve">. It is located at latitude 6.82°S and longitude 37.66°E (Figure 1). The area has a bimodal rainfall regime with short rains occurring between October and December (OND) and long rains from March to May (MAM) </w:t>
      </w:r>
      <w:r w:rsidRPr="00D62A3B">
        <w:rPr>
          <w:rFonts w:ascii="Arial" w:hAnsi="Arial" w:cs="Arial"/>
        </w:rPr>
        <w:fldChar w:fldCharType="begin" w:fldLock="1"/>
      </w:r>
      <w:r w:rsidRPr="00D62A3B">
        <w:rPr>
          <w:rFonts w:ascii="Arial" w:hAnsi="Arial" w:cs="Arial"/>
        </w:rPr>
        <w:instrText>ADDIN CSL_CITATION {"citationItems":[{"id":"ITEM-1","itemData":{"DOI":"10.2166/wpt.2023.067","ISSN":"1751231X","abstract":"Water pollution caused by land-use/cover change is one of the most pressing problems facing both industrialized and developing countries. Freshwater quality deterioration suggests the collective outcomes of natural courses and alterations in land-use/ cover. Understanding the correlation among land-use/cover and water quality parameters is vital for future water quality management. In this work, land-use/cover pattern and its effect on water quality in the Mindu Dam drainage area were analysed using Remote Sensing (RS) and Geographical Information System (GIS) techniques together with cellular automata–Markov model. The land-use/cover images between 1990 and 2020 were used to assess historical and spatial change of land-use/ cover change, and projected for 2030 and 2040. We discovered that the dynamics of land use and land cover during the study period were significant. A strong correlation was revealed between changes in the land-use/cover and water quality parameters. Furthermore, a strong correlation exists between cultivated land and measured nutrient (nitrate and phosphate) and chlorophyll-a concentration. The natural vegetation buffer around Mindu Dam should be sufficient to prevent long-term water quality degradation from agricultural runoff in order to manage water quality sustainably. Therefore, land-use/cover management practices must be considered for sustainable resource management and water quality monitoring.","author":[{"dropping-particle":"","family":"Gobry","given":"Josephine John","non-dropping-particle":"","parse-names":false,"suffix":""},{"dropping-particle":"","family":"Twisa","given":"Sekela Simon","non-dropping-particle":"","parse-names":false,"suffix":""},{"dropping-particle":"","family":"Ngassapa","given":"Faustin","non-dropping-particle":"","parse-names":false,"suffix":""},{"dropping-particle":"","family":"Kilulya","given":"Kessy F.","non-dropping-particle":"","parse-names":false,"suffix":""}],"container-title":"Water Practice and Technology","id":"ITEM-1","issue":"5","issued":{"date-parts":[["2023"]]},"page":"1086-1098","title":"Impact of land-use/cover change on water quality in the Mindu Dam drainage, Tanzania","type":"article-journal","volume":"18"},"uris":["http://www.mendeley.com/documents/?uuid=b4e264f4-0f38-4bdb-aef6-1419ec30c84e","http://www.mendeley.com/documents/?uuid=2289a532-a27e-4522-af6d-1dfb56ad2c75"]}],"mendeley":{"formattedCitation":"(Gobry et al., 2023)","plainTextFormattedCitation":"(Gobry et al., 2023)","previouslyFormattedCitation":"(Gobry et al., 2023)"},"properties":{"noteIndex":0},"schema":"https://github.com/citation-style-language/schema/raw/master/csl-citation.json"}</w:instrText>
      </w:r>
      <w:r w:rsidRPr="00D62A3B">
        <w:rPr>
          <w:rFonts w:ascii="Arial" w:hAnsi="Arial" w:cs="Arial"/>
        </w:rPr>
        <w:fldChar w:fldCharType="separate"/>
      </w:r>
      <w:r w:rsidRPr="00D62A3B">
        <w:rPr>
          <w:rFonts w:ascii="Arial" w:hAnsi="Arial" w:cs="Arial"/>
          <w:noProof/>
        </w:rPr>
        <w:t xml:space="preserve">(Gobry </w:t>
      </w:r>
      <w:r w:rsidRPr="00D62A3B">
        <w:rPr>
          <w:rFonts w:ascii="Arial" w:hAnsi="Arial" w:cs="Arial"/>
          <w:i/>
          <w:iCs/>
          <w:noProof/>
        </w:rPr>
        <w:t>et al</w:t>
      </w:r>
      <w:r w:rsidRPr="00D62A3B">
        <w:rPr>
          <w:rFonts w:ascii="Arial" w:hAnsi="Arial" w:cs="Arial"/>
          <w:noProof/>
        </w:rPr>
        <w:t>., 2023)</w:t>
      </w:r>
      <w:r w:rsidRPr="00D62A3B">
        <w:rPr>
          <w:rFonts w:ascii="Arial" w:hAnsi="Arial" w:cs="Arial"/>
        </w:rPr>
        <w:fldChar w:fldCharType="end"/>
      </w:r>
      <w:r w:rsidRPr="00D62A3B">
        <w:rPr>
          <w:rFonts w:ascii="Arial" w:hAnsi="Arial" w:cs="Arial"/>
        </w:rPr>
        <w:t xml:space="preserve">. With an annual rainfall of between 800 and 1500 mm, the </w:t>
      </w:r>
      <w:proofErr w:type="spellStart"/>
      <w:r w:rsidRPr="00D62A3B">
        <w:rPr>
          <w:rFonts w:ascii="Arial" w:hAnsi="Arial" w:cs="Arial"/>
        </w:rPr>
        <w:t>Uluguru</w:t>
      </w:r>
      <w:proofErr w:type="spellEnd"/>
      <w:r w:rsidRPr="00D62A3B">
        <w:rPr>
          <w:rFonts w:ascii="Arial" w:hAnsi="Arial" w:cs="Arial"/>
        </w:rPr>
        <w:t xml:space="preserve"> Mountains receive the most precipitation in the basin. The dam primarily supplies Morogoro town with water </w:t>
      </w:r>
      <w:r w:rsidRPr="00D62A3B">
        <w:rPr>
          <w:rFonts w:ascii="Arial" w:hAnsi="Arial" w:cs="Arial"/>
        </w:rPr>
        <w:fldChar w:fldCharType="begin" w:fldLock="1"/>
      </w:r>
      <w:r w:rsidRPr="00D62A3B">
        <w:rPr>
          <w:rFonts w:ascii="Arial" w:hAnsi="Arial" w:cs="Arial"/>
        </w:rPr>
        <w:instrText>ADDIN CSL_CITATION {"citationItems":[{"id":"ITEM-1","itemData":{"DOI":"10.1016/j.heliyon.2019.e02834","ISSN":"24058440","abstract":"The measurement of Chlorophyll-a in aquatic systems has usually correlated to harmful algae in water bodies. Harmful algal blooms (HABs) are as a result of massive proliferation of blue-green algae (Cyanobacteria). Harmful algal blooms (HABs) pose threats to both the environment as well as human health, and despite this well-known fact, their monitoring and management are still challenging. Climate change, extreme weather events, and hydrological changes are the main drivers and predicted to benefits HABs dynamics in most parts of the world. In Tanzania, studies of HABs proliferation and their possible correlation with variability in climate and hydrology still lag behind despite high demand for developing predicting tools and prevention of HABs proliferation. The present study reports on the retrospective analysis of HABs variation in Mindu Dam located in Morogoro, Tanzania using remote sensing techniques. In the present study comparison between in situ measurement and ocean color (OC2) Chlorophyll-a with the surface reflectance's (band and band combinations) of Landsat 7 and Landsat 8 Operational Land Imager (OLI), was performed. Another approach involved searching for patterns and trends, and teleconnection between Chlorophyll-a index (best band ration) and the climate and hydrological variations in the catchment. The findings demonstrated that minimum and maximum temperatures, solar radiation, Chlorophyll-a concentration registered significant increasing trends. Wind speed and directions, water levels for Mindu Dam showed a significant decreasing trend. On the other hand, rainfall showed no trend. The patterns suggest that there are link and causality between the HABs variations and meteorological parameters such as temperatures, solar radiations, and water levels. The study, therefore, contributes to the application of recent advances in remote sensing and retrospectively analysis of bloom dynamics and search for their link with climate and hydrological changes.","author":[{"dropping-particle":"","family":"Kimambo","given":"Offoro N.","non-dropping-particle":"","parse-names":false,"suffix":""},{"dropping-particle":"","family":"Chikoore","given":"Hector","non-dropping-particle":"","parse-names":false,"suffix":""},{"dropping-particle":"","family":"Gumbo","given":"Jabulani R.","non-dropping-particle":"","parse-names":false,"suffix":""},{"dropping-particle":"","family":"Msagati","given":"Titus A.M.","non-dropping-particle":"","parse-names":false,"suffix":""}],"container-title":"Heliyon","id":"ITEM-1","issue":"11","issued":{"date-parts":[["2019"]]},"page":"e02834","publisher":"Elsevier Ltd","title":"Retrospective analysis of Chlorophyll-a and its correlation with climate and hydrological variations in Mindu Dam, Morogoro, Tanzania","type":"article-journal","volume":"5"},"uris":["http://www.mendeley.com/documents/?uuid=4815537b-d8d4-42bf-8d04-61dffc691472","http://www.mendeley.com/documents/?uuid=dc8a1c12-cfeb-4bec-b6a8-8b903f3fafed"]}],"mendeley":{"formattedCitation":"(Kimambo et al., 2019)","plainTextFormattedCitation":"(Kimambo et al., 2019)","previouslyFormattedCitation":"(Kimambo et al., 2019)"},"properties":{"noteIndex":0},"schema":"https://github.com/citation-style-language/schema/raw/master/csl-citation.json"}</w:instrText>
      </w:r>
      <w:r w:rsidRPr="00D62A3B">
        <w:rPr>
          <w:rFonts w:ascii="Arial" w:hAnsi="Arial" w:cs="Arial"/>
        </w:rPr>
        <w:fldChar w:fldCharType="separate"/>
      </w:r>
      <w:r w:rsidRPr="00D62A3B">
        <w:rPr>
          <w:rFonts w:ascii="Arial" w:hAnsi="Arial" w:cs="Arial"/>
          <w:noProof/>
        </w:rPr>
        <w:t xml:space="preserve">(Kimambo </w:t>
      </w:r>
      <w:r w:rsidRPr="00D62A3B">
        <w:rPr>
          <w:rFonts w:ascii="Arial" w:hAnsi="Arial" w:cs="Arial"/>
          <w:i/>
          <w:iCs/>
          <w:noProof/>
        </w:rPr>
        <w:t>et al</w:t>
      </w:r>
      <w:r w:rsidRPr="00D62A3B">
        <w:rPr>
          <w:rFonts w:ascii="Arial" w:hAnsi="Arial" w:cs="Arial"/>
          <w:noProof/>
        </w:rPr>
        <w:t>., 2019)</w:t>
      </w:r>
      <w:r w:rsidRPr="00D62A3B">
        <w:rPr>
          <w:rFonts w:ascii="Arial" w:hAnsi="Arial" w:cs="Arial"/>
        </w:rPr>
        <w:fldChar w:fldCharType="end"/>
      </w:r>
      <w:r w:rsidRPr="00D62A3B">
        <w:rPr>
          <w:rFonts w:ascii="Arial" w:hAnsi="Arial" w:cs="Arial"/>
        </w:rPr>
        <w:t xml:space="preserve">. Its </w:t>
      </w:r>
      <w:r w:rsidRPr="00D62A3B">
        <w:rPr>
          <w:rFonts w:ascii="Arial" w:hAnsi="Arial" w:cs="Arial"/>
        </w:rPr>
        <w:lastRenderedPageBreak/>
        <w:t>construction started in 1983 and was finished in 1985 with a dam design storage capacity of 20 Million m</w:t>
      </w:r>
      <w:r w:rsidRPr="00D62A3B">
        <w:rPr>
          <w:rFonts w:ascii="Arial" w:hAnsi="Arial" w:cs="Arial"/>
          <w:vertAlign w:val="superscript"/>
        </w:rPr>
        <w:t>3</w:t>
      </w:r>
      <w:r w:rsidRPr="00D62A3B">
        <w:rPr>
          <w:rFonts w:ascii="Arial" w:hAnsi="Arial" w:cs="Arial"/>
          <w:vertAlign w:val="superscript"/>
        </w:rPr>
        <w:fldChar w:fldCharType="begin" w:fldLock="1"/>
      </w:r>
      <w:r w:rsidRPr="00D62A3B">
        <w:rPr>
          <w:rFonts w:ascii="Arial" w:hAnsi="Arial" w:cs="Arial"/>
          <w:vertAlign w:val="superscript"/>
        </w:rPr>
        <w:instrText>ADDIN CSL_CITATION {"citationItems":[{"id":"ITEM-1","itemData":{"DOI":"10.1136/bmj.318.7187.822","ISSN":"09598146","PMID":"10092238","author":[{"dropping-particle":"","family":"Stott","given":"R.","non-dropping-particle":"","parse-names":false,"suffix":""}],"container-title":"British Medical Journal","id":"ITEM-1","issue":"7187","issued":{"date-parts":[["1999"]]},"page":"822-823","title":"The World Bank","type":"article-journal","volume":"318"},"uris":["http://www.mendeley.com/documents/?uuid=2aa996a0-1e12-4991-b31a-f4fd28ad75b1","http://www.mendeley.com/documents/?uuid=f1dff638-c742-4e51-90e0-ef7788632f3b"]}],"mendeley":{"formattedCitation":"(Stott, 1999)","plainTextFormattedCitation":"(Stott, 1999)","previouslyFormattedCitation":"(Stott, 1999)"},"properties":{"noteIndex":0},"schema":"https://github.com/citation-style-language/schema/raw/master/csl-citation.json"}</w:instrText>
      </w:r>
      <w:r w:rsidRPr="00D62A3B">
        <w:rPr>
          <w:rFonts w:ascii="Arial" w:hAnsi="Arial" w:cs="Arial"/>
          <w:vertAlign w:val="superscript"/>
        </w:rPr>
        <w:fldChar w:fldCharType="separate"/>
      </w:r>
      <w:r w:rsidRPr="00D62A3B">
        <w:rPr>
          <w:rFonts w:ascii="Arial" w:hAnsi="Arial" w:cs="Arial"/>
          <w:noProof/>
        </w:rPr>
        <w:t>(Stott, 1999)</w:t>
      </w:r>
      <w:r w:rsidRPr="00D62A3B">
        <w:rPr>
          <w:rFonts w:ascii="Arial" w:hAnsi="Arial" w:cs="Arial"/>
          <w:vertAlign w:val="superscript"/>
        </w:rPr>
        <w:fldChar w:fldCharType="end"/>
      </w:r>
      <w:r>
        <w:rPr>
          <w:rFonts w:ascii="Arial" w:hAnsi="Arial" w:cs="Arial"/>
        </w:rPr>
        <w:t>.</w:t>
      </w:r>
    </w:p>
    <w:p w14:paraId="63629218" w14:textId="0D06D562" w:rsidR="00287ED5" w:rsidRPr="00D62A3B" w:rsidRDefault="00F9435F" w:rsidP="00287ED5">
      <w:pPr>
        <w:spacing w:line="276" w:lineRule="auto"/>
        <w:jc w:val="both"/>
        <w:rPr>
          <w:rFonts w:ascii="Arial" w:eastAsia="Calibri" w:hAnsi="Arial" w:cs="Arial"/>
          <w:kern w:val="2"/>
          <w14:ligatures w14:val="standardContextual"/>
        </w:rPr>
      </w:pPr>
      <w:r w:rsidRPr="00D62A3B">
        <w:rPr>
          <w:rFonts w:ascii="Arial" w:eastAsia="Calibri" w:hAnsi="Arial" w:cs="Arial"/>
          <w:noProof/>
          <w:kern w:val="2"/>
        </w:rPr>
        <w:drawing>
          <wp:inline distT="0" distB="0" distL="0" distR="0" wp14:anchorId="5A34C26D" wp14:editId="3513C7C9">
            <wp:extent cx="4612640" cy="3421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y are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32556" cy="3436152"/>
                    </a:xfrm>
                    <a:prstGeom prst="rect">
                      <a:avLst/>
                    </a:prstGeom>
                  </pic:spPr>
                </pic:pic>
              </a:graphicData>
            </a:graphic>
          </wp:inline>
        </w:drawing>
      </w:r>
    </w:p>
    <w:p w14:paraId="578B9FB3" w14:textId="77777777" w:rsidR="00B23916" w:rsidRPr="00D62A3B" w:rsidRDefault="00287ED5" w:rsidP="00287ED5">
      <w:pPr>
        <w:spacing w:after="200" w:line="276" w:lineRule="auto"/>
        <w:jc w:val="both"/>
        <w:rPr>
          <w:rFonts w:ascii="Arial" w:eastAsia="Calibri" w:hAnsi="Arial" w:cs="Arial"/>
          <w:kern w:val="2"/>
          <w14:ligatures w14:val="standardContextual"/>
        </w:rPr>
      </w:pPr>
      <w:r w:rsidRPr="00D62A3B">
        <w:rPr>
          <w:rFonts w:ascii="Arial" w:eastAsia="Calibri" w:hAnsi="Arial" w:cs="Arial"/>
          <w:kern w:val="2"/>
          <w14:ligatures w14:val="standardContextual"/>
        </w:rPr>
        <w:t xml:space="preserve">Figure </w:t>
      </w:r>
      <w:r w:rsidRPr="00D62A3B">
        <w:rPr>
          <w:rFonts w:ascii="Arial" w:eastAsia="Calibri" w:hAnsi="Arial" w:cs="Arial"/>
          <w:kern w:val="2"/>
          <w14:ligatures w14:val="standardContextual"/>
        </w:rPr>
        <w:fldChar w:fldCharType="begin"/>
      </w:r>
      <w:r w:rsidRPr="00D62A3B">
        <w:rPr>
          <w:rFonts w:ascii="Arial" w:eastAsia="Calibri" w:hAnsi="Arial" w:cs="Arial"/>
          <w:kern w:val="2"/>
          <w14:ligatures w14:val="standardContextual"/>
        </w:rPr>
        <w:instrText xml:space="preserve"> SEQ Figure \* ARABIC </w:instrText>
      </w:r>
      <w:r w:rsidRPr="00D62A3B">
        <w:rPr>
          <w:rFonts w:ascii="Arial" w:eastAsia="Calibri" w:hAnsi="Arial" w:cs="Arial"/>
          <w:kern w:val="2"/>
          <w14:ligatures w14:val="standardContextual"/>
        </w:rPr>
        <w:fldChar w:fldCharType="separate"/>
      </w:r>
      <w:r w:rsidRPr="00D62A3B">
        <w:rPr>
          <w:rFonts w:ascii="Arial" w:eastAsia="Calibri" w:hAnsi="Arial" w:cs="Arial"/>
          <w:kern w:val="2"/>
          <w14:ligatures w14:val="standardContextual"/>
        </w:rPr>
        <w:t>1</w:t>
      </w:r>
      <w:r w:rsidRPr="00D62A3B">
        <w:rPr>
          <w:rFonts w:ascii="Arial" w:eastAsia="Calibri" w:hAnsi="Arial" w:cs="Arial"/>
          <w:kern w:val="2"/>
          <w14:ligatures w14:val="standardContextual"/>
        </w:rPr>
        <w:fldChar w:fldCharType="end"/>
      </w:r>
      <w:r w:rsidRPr="00D62A3B">
        <w:rPr>
          <w:rFonts w:ascii="Arial" w:eastAsia="Calibri" w:hAnsi="Arial" w:cs="Arial"/>
          <w:kern w:val="2"/>
          <w14:ligatures w14:val="standardContextual"/>
        </w:rPr>
        <w:t xml:space="preserve">. Study area showing the location of </w:t>
      </w:r>
      <w:proofErr w:type="spellStart"/>
      <w:r w:rsidRPr="00D62A3B">
        <w:rPr>
          <w:rFonts w:ascii="Arial" w:eastAsia="Calibri" w:hAnsi="Arial" w:cs="Arial"/>
          <w:kern w:val="2"/>
          <w14:ligatures w14:val="standardContextual"/>
        </w:rPr>
        <w:t>Mindu</w:t>
      </w:r>
      <w:proofErr w:type="spellEnd"/>
      <w:r w:rsidRPr="00D62A3B">
        <w:rPr>
          <w:rFonts w:ascii="Arial" w:eastAsia="Calibri" w:hAnsi="Arial" w:cs="Arial"/>
          <w:kern w:val="2"/>
          <w14:ligatures w14:val="standardContextual"/>
        </w:rPr>
        <w:t xml:space="preserve"> Dam</w:t>
      </w:r>
    </w:p>
    <w:p w14:paraId="7863C9F4" w14:textId="77777777" w:rsidR="00F9435F" w:rsidRPr="00596384" w:rsidRDefault="00F9435F" w:rsidP="00F9435F">
      <w:pPr>
        <w:spacing w:after="200" w:line="276" w:lineRule="auto"/>
        <w:jc w:val="both"/>
        <w:rPr>
          <w:rFonts w:ascii="Arial" w:eastAsia="Calibri" w:hAnsi="Arial" w:cs="Arial"/>
          <w:b/>
          <w:bCs/>
          <w:kern w:val="2"/>
          <w14:ligatures w14:val="standardContextual"/>
        </w:rPr>
      </w:pPr>
      <w:r w:rsidRPr="00596384">
        <w:rPr>
          <w:rFonts w:ascii="Arial" w:eastAsia="Calibri" w:hAnsi="Arial" w:cs="Arial"/>
          <w:b/>
          <w:bCs/>
          <w:kern w:val="2"/>
          <w14:ligatures w14:val="standardContextual"/>
        </w:rPr>
        <w:t>Sample Size Selection</w:t>
      </w:r>
    </w:p>
    <w:p w14:paraId="274799E4" w14:textId="77777777" w:rsidR="00F9435F" w:rsidRDefault="00F9435F" w:rsidP="00F9435F">
      <w:pPr>
        <w:spacing w:after="200" w:line="276" w:lineRule="auto"/>
        <w:rPr>
          <w:rFonts w:ascii="Arial" w:eastAsia="Calibri" w:hAnsi="Arial" w:cs="Arial"/>
          <w:kern w:val="2"/>
          <w14:ligatures w14:val="standardContextual"/>
        </w:rPr>
      </w:pPr>
      <w:r w:rsidRPr="00596384">
        <w:rPr>
          <w:rFonts w:ascii="Arial" w:eastAsia="Calibri" w:hAnsi="Arial" w:cs="Arial"/>
          <w:kern w:val="2"/>
          <w14:ligatures w14:val="standardContextual"/>
        </w:rPr>
        <w:t xml:space="preserve">To make sure that important socioeconomic and demographic groups were represented, a stratified purposive sampling technique was used. Although the appropriate sample size for the vulnerable population (n=88) was determined using the Cochran Formula, the actual sample size was only 45 </w:t>
      </w:r>
      <w:proofErr w:type="gramStart"/>
      <w:r w:rsidRPr="00596384">
        <w:rPr>
          <w:rFonts w:ascii="Arial" w:eastAsia="Calibri" w:hAnsi="Arial" w:cs="Arial"/>
          <w:kern w:val="2"/>
          <w14:ligatures w14:val="standardContextual"/>
        </w:rPr>
        <w:t>due</w:t>
      </w:r>
      <w:proofErr w:type="gramEnd"/>
      <w:r w:rsidRPr="00596384">
        <w:rPr>
          <w:rFonts w:ascii="Arial" w:eastAsia="Calibri" w:hAnsi="Arial" w:cs="Arial"/>
          <w:kern w:val="2"/>
          <w14:ligatures w14:val="standardContextual"/>
        </w:rPr>
        <w:t xml:space="preserve"> to practical limitations. To give high-risk groups priority, 30 of these were purposefully selected from the vulnerable category, while 15 of these were drawn from the non-vulnerable population.</w:t>
      </w:r>
    </w:p>
    <w:p w14:paraId="00E78A3C" w14:textId="77777777" w:rsidR="00F9435F" w:rsidRDefault="00F9435F" w:rsidP="00F9435F">
      <w:pPr>
        <w:spacing w:after="200" w:line="276" w:lineRule="auto"/>
        <w:rPr>
          <w:rFonts w:ascii="Arial" w:eastAsia="Calibri" w:hAnsi="Arial" w:cs="Arial"/>
          <w:kern w:val="2"/>
          <w14:ligatures w14:val="standardContextual"/>
        </w:rPr>
      </w:pPr>
      <m:oMath>
        <m:r>
          <w:rPr>
            <w:rFonts w:ascii="Cambria Math" w:eastAsia="Calibri" w:hAnsi="Cambria Math" w:cs="Arial"/>
            <w:kern w:val="2"/>
            <w:sz w:val="28"/>
            <w:szCs w:val="28"/>
            <w14:ligatures w14:val="standardContextual"/>
          </w:rPr>
          <m:t>n=</m:t>
        </m:r>
        <m:f>
          <m:fPr>
            <m:ctrlPr>
              <w:rPr>
                <w:rFonts w:ascii="Cambria Math" w:eastAsia="Calibri" w:hAnsi="Cambria Math" w:cs="Arial"/>
                <w:i/>
                <w:kern w:val="2"/>
                <w:sz w:val="28"/>
                <w:szCs w:val="28"/>
                <w14:ligatures w14:val="standardContextual"/>
              </w:rPr>
            </m:ctrlPr>
          </m:fPr>
          <m:num>
            <m:sSup>
              <m:sSupPr>
                <m:ctrlPr>
                  <w:rPr>
                    <w:rFonts w:ascii="Cambria Math" w:eastAsia="Calibri" w:hAnsi="Cambria Math" w:cs="Arial"/>
                    <w:i/>
                    <w:kern w:val="2"/>
                    <w:sz w:val="28"/>
                    <w:szCs w:val="28"/>
                    <w14:ligatures w14:val="standardContextual"/>
                  </w:rPr>
                </m:ctrlPr>
              </m:sSupPr>
              <m:e>
                <m:r>
                  <w:rPr>
                    <w:rFonts w:ascii="Cambria Math" w:eastAsia="Calibri" w:hAnsi="Cambria Math" w:cs="Arial"/>
                    <w:kern w:val="2"/>
                    <w:sz w:val="28"/>
                    <w:szCs w:val="28"/>
                    <w14:ligatures w14:val="standardContextual"/>
                  </w:rPr>
                  <m:t>Z</m:t>
                </m:r>
              </m:e>
              <m:sup>
                <m:r>
                  <w:rPr>
                    <w:rFonts w:ascii="Cambria Math" w:eastAsia="Calibri" w:hAnsi="Cambria Math" w:cs="Arial"/>
                    <w:kern w:val="2"/>
                    <w:sz w:val="28"/>
                    <w:szCs w:val="28"/>
                    <w14:ligatures w14:val="standardContextual"/>
                  </w:rPr>
                  <m:t>2</m:t>
                </m:r>
              </m:sup>
            </m:sSup>
            <m:r>
              <w:rPr>
                <w:rFonts w:ascii="Cambria Math" w:eastAsia="Calibri" w:hAnsi="Cambria Math" w:cs="Arial"/>
                <w:kern w:val="2"/>
                <w:sz w:val="28"/>
                <w:szCs w:val="28"/>
                <w14:ligatures w14:val="standardContextual"/>
              </w:rPr>
              <m:t>.p.q</m:t>
            </m:r>
          </m:num>
          <m:den>
            <m:sSup>
              <m:sSupPr>
                <m:ctrlPr>
                  <w:rPr>
                    <w:rFonts w:ascii="Cambria Math" w:eastAsia="Calibri" w:hAnsi="Cambria Math" w:cs="Arial"/>
                    <w:i/>
                    <w:kern w:val="2"/>
                    <w:sz w:val="28"/>
                    <w:szCs w:val="28"/>
                    <w14:ligatures w14:val="standardContextual"/>
                  </w:rPr>
                </m:ctrlPr>
              </m:sSupPr>
              <m:e>
                <m:r>
                  <w:rPr>
                    <w:rFonts w:ascii="Cambria Math" w:eastAsia="Calibri" w:hAnsi="Cambria Math" w:cs="Arial"/>
                    <w:kern w:val="2"/>
                    <w:sz w:val="28"/>
                    <w:szCs w:val="28"/>
                    <w14:ligatures w14:val="standardContextual"/>
                  </w:rPr>
                  <m:t>e</m:t>
                </m:r>
              </m:e>
              <m:sup>
                <m:r>
                  <w:rPr>
                    <w:rFonts w:ascii="Cambria Math" w:eastAsia="Calibri" w:hAnsi="Cambria Math" w:cs="Arial"/>
                    <w:kern w:val="2"/>
                    <w:sz w:val="28"/>
                    <w:szCs w:val="28"/>
                    <w14:ligatures w14:val="standardContextual"/>
                  </w:rPr>
                  <m:t>2</m:t>
                </m:r>
              </m:sup>
            </m:sSup>
          </m:den>
        </m:f>
      </m:oMath>
      <w:r w:rsidRPr="00EE7A09">
        <w:rPr>
          <w:rFonts w:ascii="Arial" w:eastAsia="Calibri" w:hAnsi="Arial" w:cs="Arial"/>
          <w:kern w:val="2"/>
          <w14:ligatures w14:val="standardContextual"/>
        </w:rPr>
        <w:t>…….</w:t>
      </w:r>
      <w:r>
        <w:rPr>
          <w:rFonts w:ascii="Arial" w:eastAsia="Calibri" w:hAnsi="Arial" w:cs="Arial"/>
          <w:kern w:val="2"/>
          <w14:ligatures w14:val="standardContextual"/>
        </w:rPr>
        <w:t xml:space="preserve"> equation 1</w:t>
      </w:r>
    </w:p>
    <w:p w14:paraId="4DAEE16F" w14:textId="77777777" w:rsidR="00F9435F" w:rsidRPr="00EE7A09" w:rsidRDefault="00F9435F" w:rsidP="00F9435F">
      <w:pPr>
        <w:spacing w:after="200" w:line="276" w:lineRule="auto"/>
        <w:rPr>
          <w:rFonts w:ascii="Arial" w:eastAsia="Calibri" w:hAnsi="Arial" w:cs="Arial"/>
          <w:kern w:val="2"/>
          <w14:ligatures w14:val="standardContextual"/>
        </w:rPr>
      </w:pPr>
      <w:r w:rsidRPr="007C7855">
        <w:rPr>
          <w:rFonts w:ascii="Arial" w:eastAsia="Calibri" w:hAnsi="Arial" w:cs="Arial"/>
          <w:kern w:val="2"/>
          <w14:ligatures w14:val="standardContextual"/>
        </w:rPr>
        <w:t>Where</w:t>
      </w:r>
      <w:r>
        <w:rPr>
          <w:rFonts w:ascii="Arial" w:eastAsia="Calibri" w:hAnsi="Arial" w:cs="Arial"/>
          <w:kern w:val="2"/>
          <w14:ligatures w14:val="standardContextual"/>
        </w:rPr>
        <w:t xml:space="preserve"> by </w:t>
      </w:r>
    </w:p>
    <w:p w14:paraId="490B3DA9" w14:textId="77777777" w:rsidR="00F9435F" w:rsidRPr="00D62A3B" w:rsidRDefault="00F9435F" w:rsidP="00F9435F">
      <w:pPr>
        <w:spacing w:after="200" w:line="276" w:lineRule="auto"/>
        <w:rPr>
          <w:rFonts w:ascii="Arial" w:eastAsia="Calibri" w:hAnsi="Arial" w:cs="Arial"/>
          <w:kern w:val="2"/>
          <w14:ligatures w14:val="standardContextual"/>
        </w:rPr>
      </w:pPr>
      <w:r w:rsidRPr="00EE7A09">
        <w:rPr>
          <w:rFonts w:ascii="Arial" w:eastAsia="Calibri" w:hAnsi="Arial" w:cs="Arial"/>
          <w:kern w:val="2"/>
          <w14:ligatures w14:val="standardContextual"/>
        </w:rPr>
        <w:t>n = required sample size,</w:t>
      </w:r>
      <w:r>
        <w:rPr>
          <w:rFonts w:ascii="Arial" w:eastAsia="Calibri" w:hAnsi="Arial" w:cs="Arial"/>
          <w:kern w:val="2"/>
          <w14:ligatures w14:val="standardContextual"/>
        </w:rPr>
        <w:t xml:space="preserve"> Z</w:t>
      </w:r>
      <w:r w:rsidRPr="00EE7A09">
        <w:rPr>
          <w:rFonts w:ascii="Arial" w:eastAsia="Calibri" w:hAnsi="Arial" w:cs="Arial"/>
          <w:kern w:val="2"/>
          <w14:ligatures w14:val="standardContextual"/>
        </w:rPr>
        <w:t>= Z-score (critical value for the desired confidence level, e.g., 1.96 for 95% confidence)</w:t>
      </w:r>
      <w:r>
        <w:rPr>
          <w:rFonts w:ascii="Arial" w:eastAsia="Calibri" w:hAnsi="Arial" w:cs="Arial"/>
          <w:kern w:val="2"/>
          <w14:ligatures w14:val="standardContextual"/>
        </w:rPr>
        <w:t xml:space="preserve">, </w:t>
      </w:r>
      <w:r w:rsidRPr="00EE7A09">
        <w:rPr>
          <w:rFonts w:ascii="Arial" w:eastAsia="Calibri" w:hAnsi="Arial" w:cs="Arial"/>
          <w:kern w:val="2"/>
          <w14:ligatures w14:val="standardContextual"/>
        </w:rPr>
        <w:t>p = Estimated proportion of the population with a specific characteristic (use p=0.5</w:t>
      </w:r>
      <w:r w:rsidRPr="00EE7A09">
        <w:rPr>
          <w:rFonts w:ascii="Arial" w:eastAsia="Calibri" w:hAnsi="Arial" w:cs="Arial"/>
          <w:i/>
          <w:iCs/>
          <w:kern w:val="2"/>
          <w14:ligatures w14:val="standardContextual"/>
        </w:rPr>
        <w:t>p</w:t>
      </w:r>
      <w:r w:rsidRPr="00EE7A09">
        <w:rPr>
          <w:rFonts w:ascii="Arial" w:eastAsia="Calibri" w:hAnsi="Arial" w:cs="Arial"/>
          <w:kern w:val="2"/>
          <w14:ligatures w14:val="standardContextual"/>
        </w:rPr>
        <w:t>=0.5 for maximum variability if unknown)</w:t>
      </w:r>
      <w:r>
        <w:rPr>
          <w:rFonts w:ascii="Arial" w:eastAsia="Calibri" w:hAnsi="Arial" w:cs="Arial"/>
          <w:kern w:val="2"/>
          <w14:ligatures w14:val="standardContextual"/>
        </w:rPr>
        <w:t xml:space="preserve">, </w:t>
      </w:r>
      <w:r w:rsidRPr="00EE7A09">
        <w:rPr>
          <w:rFonts w:ascii="Arial" w:eastAsia="Calibri" w:hAnsi="Arial" w:cs="Arial"/>
          <w:kern w:val="2"/>
          <w14:ligatures w14:val="standardContextual"/>
        </w:rPr>
        <w:t>q=1−p</w:t>
      </w:r>
      <w:r>
        <w:rPr>
          <w:rFonts w:ascii="Arial" w:eastAsia="Calibri" w:hAnsi="Arial" w:cs="Arial"/>
          <w:kern w:val="2"/>
          <w14:ligatures w14:val="standardContextual"/>
        </w:rPr>
        <w:t xml:space="preserve">, </w:t>
      </w:r>
      <w:r w:rsidRPr="00EE7A09">
        <w:rPr>
          <w:rFonts w:ascii="Arial" w:eastAsia="Calibri" w:hAnsi="Arial" w:cs="Arial"/>
          <w:kern w:val="2"/>
          <w14:ligatures w14:val="standardContextual"/>
        </w:rPr>
        <w:t>e = Margin of error (decimal form, e.g., 0.05 for 5%).</w:t>
      </w:r>
    </w:p>
    <w:p w14:paraId="4F4955A2" w14:textId="77777777" w:rsidR="00F9435F" w:rsidRPr="00D62A3B" w:rsidRDefault="00F9435F" w:rsidP="00F9435F">
      <w:pPr>
        <w:numPr>
          <w:ilvl w:val="1"/>
          <w:numId w:val="31"/>
        </w:numPr>
        <w:spacing w:after="160" w:line="276" w:lineRule="auto"/>
        <w:contextualSpacing/>
        <w:rPr>
          <w:rFonts w:ascii="Arial" w:eastAsia="Calibri" w:hAnsi="Arial" w:cs="Arial"/>
          <w:b/>
          <w:kern w:val="2"/>
          <w14:ligatures w14:val="standardContextual"/>
        </w:rPr>
      </w:pPr>
      <w:r w:rsidRPr="00D62A3B">
        <w:rPr>
          <w:rFonts w:ascii="Arial" w:eastAsia="Calibri" w:hAnsi="Arial" w:cs="Arial"/>
          <w:b/>
          <w:kern w:val="2"/>
          <w14:ligatures w14:val="standardContextual"/>
        </w:rPr>
        <w:t>Research Design</w:t>
      </w:r>
    </w:p>
    <w:p w14:paraId="4B670E81" w14:textId="77777777" w:rsidR="00F9435F" w:rsidRPr="00D62A3B" w:rsidRDefault="00F9435F" w:rsidP="00F9435F">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 xml:space="preserve">The study adopted the cross-sectional research design whereby data were collected once from the six wards surrounding </w:t>
      </w:r>
      <w:proofErr w:type="spellStart"/>
      <w:r w:rsidRPr="00D62A3B">
        <w:rPr>
          <w:rFonts w:ascii="Arial" w:eastAsia="Calibri" w:hAnsi="Arial" w:cs="Arial"/>
          <w:kern w:val="2"/>
          <w14:ligatures w14:val="standardContextual"/>
        </w:rPr>
        <w:t>Mindu</w:t>
      </w:r>
      <w:proofErr w:type="spellEnd"/>
      <w:r w:rsidRPr="00D62A3B">
        <w:rPr>
          <w:rFonts w:ascii="Arial" w:eastAsia="Calibri" w:hAnsi="Arial" w:cs="Arial"/>
          <w:kern w:val="2"/>
          <w14:ligatures w14:val="standardContextual"/>
        </w:rPr>
        <w:t xml:space="preserve"> dam, namely </w:t>
      </w:r>
      <w:proofErr w:type="spellStart"/>
      <w:r w:rsidRPr="00D62A3B">
        <w:rPr>
          <w:rFonts w:ascii="Arial" w:eastAsia="Calibri" w:hAnsi="Arial" w:cs="Arial"/>
          <w:kern w:val="2"/>
          <w14:ligatures w14:val="standardContextual"/>
        </w:rPr>
        <w:t>Kauzeni</w:t>
      </w:r>
      <w:proofErr w:type="spellEnd"/>
      <w:r w:rsidRPr="00D62A3B">
        <w:rPr>
          <w:rFonts w:ascii="Arial" w:eastAsia="Calibri" w:hAnsi="Arial" w:cs="Arial"/>
          <w:kern w:val="2"/>
          <w14:ligatures w14:val="standardContextual"/>
        </w:rPr>
        <w:t xml:space="preserve">, </w:t>
      </w:r>
      <w:proofErr w:type="spellStart"/>
      <w:r w:rsidRPr="00D62A3B">
        <w:rPr>
          <w:rFonts w:ascii="Arial" w:eastAsia="Calibri" w:hAnsi="Arial" w:cs="Arial"/>
          <w:kern w:val="2"/>
          <w14:ligatures w14:val="standardContextual"/>
        </w:rPr>
        <w:t>Mindu</w:t>
      </w:r>
      <w:proofErr w:type="spellEnd"/>
      <w:r w:rsidRPr="00D62A3B">
        <w:rPr>
          <w:rFonts w:ascii="Arial" w:eastAsia="Calibri" w:hAnsi="Arial" w:cs="Arial"/>
          <w:kern w:val="2"/>
          <w14:ligatures w14:val="standardContextual"/>
        </w:rPr>
        <w:t xml:space="preserve">, </w:t>
      </w:r>
      <w:proofErr w:type="spellStart"/>
      <w:r w:rsidRPr="00D62A3B">
        <w:rPr>
          <w:rFonts w:ascii="Arial" w:eastAsia="Calibri" w:hAnsi="Arial" w:cs="Arial"/>
          <w:kern w:val="2"/>
          <w14:ligatures w14:val="standardContextual"/>
        </w:rPr>
        <w:t>Magadu</w:t>
      </w:r>
      <w:proofErr w:type="spellEnd"/>
      <w:r w:rsidRPr="00D62A3B">
        <w:rPr>
          <w:rFonts w:ascii="Arial" w:eastAsia="Calibri" w:hAnsi="Arial" w:cs="Arial"/>
          <w:kern w:val="2"/>
          <w14:ligatures w14:val="standardContextual"/>
        </w:rPr>
        <w:t xml:space="preserve">, </w:t>
      </w:r>
      <w:proofErr w:type="spellStart"/>
      <w:r w:rsidRPr="00D62A3B">
        <w:rPr>
          <w:rFonts w:ascii="Arial" w:eastAsia="Calibri" w:hAnsi="Arial" w:cs="Arial"/>
          <w:kern w:val="2"/>
          <w14:ligatures w14:val="standardContextual"/>
        </w:rPr>
        <w:t>Mlimani</w:t>
      </w:r>
      <w:proofErr w:type="spellEnd"/>
      <w:r w:rsidRPr="00D62A3B">
        <w:rPr>
          <w:rFonts w:ascii="Arial" w:eastAsia="Calibri" w:hAnsi="Arial" w:cs="Arial"/>
          <w:kern w:val="2"/>
          <w14:ligatures w14:val="standardContextual"/>
        </w:rPr>
        <w:t xml:space="preserve">, </w:t>
      </w:r>
      <w:proofErr w:type="spellStart"/>
      <w:r w:rsidRPr="00D62A3B">
        <w:rPr>
          <w:rFonts w:ascii="Arial" w:eastAsia="Calibri" w:hAnsi="Arial" w:cs="Arial"/>
          <w:kern w:val="2"/>
          <w14:ligatures w14:val="standardContextual"/>
        </w:rPr>
        <w:t>Luhungo</w:t>
      </w:r>
      <w:proofErr w:type="spellEnd"/>
      <w:r w:rsidRPr="00D62A3B">
        <w:rPr>
          <w:rFonts w:ascii="Arial" w:eastAsia="Calibri" w:hAnsi="Arial" w:cs="Arial"/>
          <w:kern w:val="2"/>
          <w14:ligatures w14:val="standardContextual"/>
        </w:rPr>
        <w:t xml:space="preserve">, and </w:t>
      </w:r>
      <w:proofErr w:type="spellStart"/>
      <w:r w:rsidRPr="00D62A3B">
        <w:rPr>
          <w:rFonts w:ascii="Arial" w:eastAsia="Calibri" w:hAnsi="Arial" w:cs="Arial"/>
          <w:kern w:val="2"/>
          <w14:ligatures w14:val="standardContextual"/>
        </w:rPr>
        <w:t>Mzinga</w:t>
      </w:r>
      <w:proofErr w:type="spellEnd"/>
      <w:r w:rsidRPr="00D62A3B">
        <w:rPr>
          <w:rFonts w:ascii="Arial" w:eastAsia="Calibri" w:hAnsi="Arial" w:cs="Arial"/>
          <w:kern w:val="2"/>
          <w14:ligatures w14:val="standardContextual"/>
        </w:rPr>
        <w:t>.</w:t>
      </w:r>
      <w:r w:rsidRPr="00D62A3B" w:rsidDel="0007591A">
        <w:rPr>
          <w:rFonts w:ascii="Arial" w:eastAsia="Calibri" w:hAnsi="Arial" w:cs="Arial"/>
          <w:kern w:val="2"/>
          <w14:ligatures w14:val="standardContextual"/>
        </w:rPr>
        <w:t xml:space="preserve"> </w:t>
      </w:r>
      <w:r w:rsidRPr="00D62A3B">
        <w:rPr>
          <w:rFonts w:ascii="Arial" w:eastAsia="Calibri" w:hAnsi="Arial" w:cs="Arial"/>
          <w:kern w:val="2"/>
          <w14:ligatures w14:val="standardContextual"/>
        </w:rPr>
        <w:t xml:space="preserve">The design allowed the collection of both quantitative and qualitative data within a short period by visiting the experts for more information based on the study subject. In addition, the design allows for cost, human and time effectiveness when it comes to data collection </w:t>
      </w:r>
      <w:r w:rsidRPr="00D62A3B">
        <w:rPr>
          <w:rFonts w:ascii="Arial" w:eastAsia="Calibri" w:hAnsi="Arial" w:cs="Arial"/>
          <w:kern w:val="2"/>
          <w14:ligatures w14:val="standardContextual"/>
        </w:rPr>
        <w:fldChar w:fldCharType="begin" w:fldLock="1"/>
      </w:r>
      <w:r w:rsidRPr="00D62A3B">
        <w:rPr>
          <w:rFonts w:ascii="Arial" w:eastAsia="Calibri" w:hAnsi="Arial" w:cs="Arial"/>
          <w:kern w:val="2"/>
          <w14:ligatures w14:val="standardContextual"/>
        </w:rPr>
        <w:instrText>ADDIN CSL_CITATION {"citationItems":[{"id":"ITEM-1","itemData":{"DOI":"10.1177/0340035220958022","ISSN":"17452651","abstract":"The purpose of this study was to investigate the status of district-level public libraries in West Bengal, India. The study focused on staff as well as services against the backdrop of collection development policy. It also investigated the problems faced by librarians and suggested measures to overcome these difficulties. The researchers used a mixed-methods approach – quantitative and qualitative methods – to obtain the data. However, the primary means of data collection was a survey method using a structured questionnaire. Additionally, interviews were carried out with librarians in order to bring more subjectivity to the results. The findings suggest that no selection committees have taken place to recruit new staff in different public libraries; hence, libraries have been suffering from a shortage of staff. Due to severe shortage of library staff, book database has not been completed in Libsys library management software in any surveyed library. Public libraries are established to provide a variety of services to their users. Thus, services are the main product of the public library system. The findings reveal that different kinds of services – such as children’s, career guidance and community information services – are provided by the surveyed libraries to benefit their user communities.","author":[{"dropping-particle":"","family":"Munshi","given":"Shamim Aktar","non-dropping-particle":"","parse-names":false,"suffix":""},{"dropping-particle":"","family":"Ansari","given":"Mehtab Alam","non-dropping-particle":"","parse-names":false,"suffix":""}],"container-title":"IFLA Journal","id":"ITEM-1","issue":"2","issued":{"date-parts":[["2021"]]},"page":"250-262","title":"Collections and services of public libraries in West Bengal, India: An evaluative study against the backdrop of the IFLA guidelines","type":"article-journal","volume":"47"},"uris":["http://www.mendeley.com/documents/?uuid=a648ac78-2e48-4d0b-ac7c-a4070b395589","http://www.mendeley.com/documents/?uuid=11559df8-925e-492c-86e8-15d6bfd0b8dd","http://www.mendeley.com/documents/?uuid=5e098d2c-e33e-4732-bdca-1fa5c41bfac2"]}],"mendeley":{"formattedCitation":"(Munshi &amp; Ansari, 2021)","plainTextFormattedCitation":"(Munshi &amp; Ansari, 2021)","previouslyFormattedCitation":"(Munshi &amp; Ansari, 2021)"},"properties":{"noteIndex":0},"schema":"https://github.com/citation-style-language/schema/raw/master/csl-citation.json"}</w:instrText>
      </w:r>
      <w:r w:rsidRPr="00D62A3B">
        <w:rPr>
          <w:rFonts w:ascii="Arial" w:eastAsia="Calibri" w:hAnsi="Arial" w:cs="Arial"/>
          <w:kern w:val="2"/>
          <w14:ligatures w14:val="standardContextual"/>
        </w:rPr>
        <w:fldChar w:fldCharType="separate"/>
      </w:r>
      <w:r w:rsidRPr="00D62A3B">
        <w:rPr>
          <w:rFonts w:ascii="Arial" w:eastAsia="Calibri" w:hAnsi="Arial" w:cs="Arial"/>
          <w:noProof/>
          <w:kern w:val="2"/>
          <w14:ligatures w14:val="standardContextual"/>
        </w:rPr>
        <w:t>(Munshi &amp; Ansari, 2021)</w:t>
      </w:r>
      <w:r w:rsidRPr="00D62A3B">
        <w:rPr>
          <w:rFonts w:ascii="Arial" w:eastAsia="Calibri" w:hAnsi="Arial" w:cs="Arial"/>
          <w:kern w:val="2"/>
          <w14:ligatures w14:val="standardContextual"/>
        </w:rPr>
        <w:fldChar w:fldCharType="end"/>
      </w:r>
      <w:r w:rsidRPr="00D62A3B">
        <w:rPr>
          <w:rFonts w:ascii="Arial" w:eastAsia="Calibri" w:hAnsi="Arial" w:cs="Arial"/>
          <w:kern w:val="2"/>
          <w14:ligatures w14:val="standardContextual"/>
        </w:rPr>
        <w:t xml:space="preserve">. Furthermore, the collected information is used in a variety of ways including to determine the association between variables as well as to approve and disapprove assumptions/hypotheses </w:t>
      </w:r>
      <w:r w:rsidRPr="00D62A3B">
        <w:rPr>
          <w:rFonts w:ascii="Arial" w:eastAsia="Calibri" w:hAnsi="Arial" w:cs="Arial"/>
          <w:kern w:val="2"/>
          <w14:ligatures w14:val="standardContextual"/>
        </w:rPr>
        <w:fldChar w:fldCharType="begin" w:fldLock="1"/>
      </w:r>
      <w:r w:rsidRPr="00D62A3B">
        <w:rPr>
          <w:rFonts w:ascii="Arial" w:eastAsia="Calibri" w:hAnsi="Arial" w:cs="Arial"/>
          <w:kern w:val="2"/>
          <w14:ligatures w14:val="standardContextual"/>
        </w:rPr>
        <w:instrText>ADDIN CSL_CITATION {"citationItems":[{"id":"ITEM-1","itemData":{"DOI":"10.1177/0340035220958022","ISSN":"17452651","abstract":"The purpose of this study was to investigate the status of district-level public libraries in West Bengal, India. The study focused on staff as well as services against the backdrop of collection development policy. It also investigated the problems faced by librarians and suggested measures to overcome these difficulties. The researchers used a mixed-methods approach – quantitative and qualitative methods – to obtain the data. However, the primary means of data collection was a survey method using a structured questionnaire. Additionally, interviews were carried out with librarians in order to bring more subjectivity to the results. The findings suggest that no selection committees have taken place to recruit new staff in different public libraries; hence, libraries have been suffering from a shortage of staff. Due to severe shortage of library staff, book database has not been completed in Libsys library management software in any surveyed library. Public libraries are established to provide a variety of services to their users. Thus, services are the main product of the public library system. The findings reveal that different kinds of services – such as children’s, career guidance and community information services – are provided by the surveyed libraries to benefit their user communities.","author":[{"dropping-particle":"","family":"Munshi","given":"Shamim Aktar","non-dropping-particle":"","parse-names":false,"suffix":""},{"dropping-particle":"","family":"Ansari","given":"Mehtab Alam","non-dropping-particle":"","parse-names":false,"suffix":""}],"container-title":"IFLA Journal","id":"ITEM-1","issue":"2","issued":{"date-parts":[["2021"]]},"page":"250-262","title":"Collections and services of public libraries in West Bengal, India: An evaluative study against the backdrop of the IFLA guidelines","type":"article-journal","volume":"47"},"uris":["http://www.mendeley.com/documents/?uuid=5e098d2c-e33e-4732-bdca-1fa5c41bfac2","http://www.mendeley.com/documents/?uuid=11559df8-925e-492c-86e8-15d6bfd0b8dd","http://www.mendeley.com/documents/?uuid=a648ac78-2e48-4d0b-ac7c-a4070b395589"]}],"mendeley":{"formattedCitation":"(Munshi &amp; Ansari, 2021)","manualFormatting":"(Munshi &amp; Ansari, 2021","plainTextFormattedCitation":"(Munshi &amp; Ansari, 2021)","previouslyFormattedCitation":"(Munshi &amp; Ansari, 2021)"},"properties":{"noteIndex":0},"schema":"https://github.com/citation-style-language/schema/raw/master/csl-citation.json"}</w:instrText>
      </w:r>
      <w:r w:rsidRPr="00D62A3B">
        <w:rPr>
          <w:rFonts w:ascii="Arial" w:eastAsia="Calibri" w:hAnsi="Arial" w:cs="Arial"/>
          <w:kern w:val="2"/>
          <w14:ligatures w14:val="standardContextual"/>
        </w:rPr>
        <w:fldChar w:fldCharType="separate"/>
      </w:r>
      <w:r w:rsidRPr="00D62A3B">
        <w:rPr>
          <w:rFonts w:ascii="Arial" w:eastAsia="Calibri" w:hAnsi="Arial" w:cs="Arial"/>
          <w:noProof/>
          <w:kern w:val="2"/>
          <w14:ligatures w14:val="standardContextual"/>
        </w:rPr>
        <w:t>(Munshi &amp; Ansari, 2021</w:t>
      </w:r>
      <w:r w:rsidRPr="00D62A3B">
        <w:rPr>
          <w:rFonts w:ascii="Arial" w:eastAsia="Calibri" w:hAnsi="Arial" w:cs="Arial"/>
          <w:kern w:val="2"/>
          <w14:ligatures w14:val="standardContextual"/>
        </w:rPr>
        <w:fldChar w:fldCharType="end"/>
      </w:r>
      <w:r w:rsidRPr="00D62A3B">
        <w:rPr>
          <w:rFonts w:ascii="Arial" w:eastAsia="Calibri" w:hAnsi="Arial" w:cs="Arial"/>
          <w:kern w:val="2"/>
          <w14:ligatures w14:val="standardContextual"/>
        </w:rPr>
        <w:t xml:space="preserve">; </w:t>
      </w:r>
      <w:r w:rsidRPr="00D62A3B">
        <w:rPr>
          <w:rFonts w:ascii="Arial" w:eastAsia="Calibri" w:hAnsi="Arial" w:cs="Arial"/>
          <w:kern w:val="2"/>
          <w14:ligatures w14:val="standardContextual"/>
        </w:rPr>
        <w:fldChar w:fldCharType="begin" w:fldLock="1"/>
      </w:r>
      <w:r w:rsidRPr="00D62A3B">
        <w:rPr>
          <w:rFonts w:ascii="Arial" w:eastAsia="Calibri" w:hAnsi="Arial" w:cs="Arial"/>
          <w:kern w:val="2"/>
          <w14:ligatures w14:val="standardContextual"/>
        </w:rPr>
        <w:instrText>ADDIN CSL_CITATION {"citationItems":[{"id":"ITEM-1","itemData":{"DOI":"10.1056/nejmoa2102214","ISSN":"0028-4793","PMID":"33725432","abstract":"BACKGROUND Assessment of the safety and efficacy of vaccines against the severe acute respiratory syndrome coronavirus 2 (SARS-CoV-2) in different populations is essential, as is investigation of the efficacy of the vaccines against emerging SARS-CoV-2 variants of concern, including the B.1.351 (501Y.V2) variant first identified in South Africa. METHODS We conducted a multicenter, double-blind, randomized, controlled trial to assess the safety and efficacy of the ChAdOx1 nCoV-19 vaccine (AZD1222) in people not infected with the human immunodeficiency virus (HIV) in South Africa. Participants 18 to less than 65 years of age were assigned in a 1:1 ratio to receive two doses of vaccine containing 5×1010 viral particles or placebo (0.9% sodium chloride solution) 21 to 35 days apart. Serum samples obtained from 25 participants after the second dose were tested by pseudovirus and live-virus neutralization assays against the original D614G virus and the B.1.351 variant. The primary end points were safety and efficacy of the vaccine against laboratory-confirmed symptomatic coronavirus 2019 illness (Covid-19) more than 14 days after the second dose. RESULTS Between June 24 and November 9, 2020, we enrolled 2026 HIV-negative adults (median age, 30 years); 1010 and 1011 participants received at least one dose of placebo or vaccine, respectively. Both the pseudovirus and the live-virus neutralization assays showed greater resistance to the B.1.351 variant in serum samples obtained from vaccine recipients than in samples from placebo recipients. In the primary end-point analysis, mild-to-moderate Covid-19 developed in 23 of 717 placebo recipients (3.2%) and in 19 of 750 vaccine recipients (2.5%), for an efficacy of 21.9% (95% confidence interval [CI], -49.9 to 59.8). Among the 42 participants with Covid-19, 39 cases (92.9%) were caused by the B.1.351 variant; vaccine efficacy against this variant, analyzed as a secondary end point, was 10.4% (95% CI, -76.8 to 54.8). The incidence of serious adverse events was balanced between the vaccine and placebo groups. CONCLUSIONS A two-dose regimen of the ChAdOx1 nCoV-19 vaccine did not show protection against mild-to-moderate Covid-19 due to the B.1.351 variant. (Funded by the Bill and Melinda Gates Foundation and others; ClinicalTrials.gov number, NCT04444674; Pan African Clinical Trials Registry number, PACTR202006922165132).","author":[{"dropping-particle":"","family":"Madhi","given":"Shabir A.","non-dropping-particle":"","parse-names":false,"suffix":""},{"dropping-particle":"","family":"Baillie","given":"Vicky","non-dropping-particle":"","parse-names":false,"suffix":""},{"dropping-particle":"","family":"Cutland","given":"Clare L.","non-dropping-particle":"","parse-names":false,"suffix":""},{"dropping-particle":"","family":"Voysey","given":"Merryn","non-dropping-particle":"","parse-names":false,"suffix":""},{"dropping-particle":"","family":"Koen","given":"Anthonet L.","non-dropping-particle":"","parse-names":false,"suffix":""},{"dropping-particle":"","family":"Fairlie","given":"Lee","non-dropping-particle":"","parse-names":false,"suffix":""},{"dropping-particle":"","family":"Padayachee","given":"Sherman D.","non-dropping-particle":"","parse-names":false,"suffix":""},{"dropping-particle":"","family":"Dheda","given":"Keertan","non-dropping-particle":"","parse-names":false,"suffix":""},{"dropping-particle":"","family":"Barnabas","given":"Shaun L.","non-dropping-particle":"","parse-names":false,"suffix":""},{"dropping-particle":"","family":"Bhorat","given":"Qasim E.","non-dropping-particle":"","parse-names":false,"suffix":""},{"dropping-particle":"","family":"Briner","given":"Carmen","non-dropping-particle":"","parse-names":false,"suffix":""},{"dropping-particle":"","family":"Kwatra","given":"Gaurav","non-dropping-particle":"","parse-names":false,"suffix":""},{"dropping-particle":"","family":"Ahmed","given":"Khatija","non-dropping-particle":"","parse-names":false,"suffix":""},{"dropping-particle":"","family":"Aley","given":"Parvinder","non-dropping-particle":"","parse-names":false,"suffix":""},{"dropping-particle":"","family":"Bhikha","given":"Sutika","non-dropping-particle":"","parse-names":false,"suffix":""},{"dropping-particle":"","family":"Bhiman","given":"Jinal N.","non-dropping-particle":"","parse-names":false,"suffix":""},{"dropping-particle":"","family":"Bhorat","given":"As’ad E.","non-dropping-particle":"","parse-names":false,"suffix":""},{"dropping-particle":"","family":"Plessis","given":"Jeanine","non-dropping-particle":"du","parse-names":false,"suffix":""},{"dropping-particle":"","family":"Esmail","given":"Aliasgar","non-dropping-particle":"","parse-names":false,"suffix":""},{"dropping-particle":"","family":"Groenewald","given":"Marisa","non-dropping-particle":"","parse-names":false,"suffix":""},{"dropping-particle":"","family":"Horne","given":"Elizea","non-dropping-particle":"","parse-names":false,"suffix":""},{"dropping-particle":"","family":"Hwa","given":"Shi-Hsia","non-dropping-particle":"","parse-names":false,"suffix":""},{"dropping-particle":"","family":"Jose","given":"Aylin","non-dropping-particle":"","parse-names":false,"suffix":""},{"dropping-particle":"","family":"Lambe","given":"Teresa","non-dropping-particle":"","parse-names":false,"suffix":""},{"dropping-particle":"","family":"Laubscher","given":"Matt","non-dropping-particle":"","parse-names":false,"suffix":""},{"dropping-particle":"","family":"Malahleha","given":"Mookho","non-dropping-particle":"","parse-names":false,"suffix":""},{"dropping-particle":"","family":"Masenya","given":"Masebole","non-dropping-particle":"","parse-names":false,"suffix":""},{"dropping-particle":"","family":"Masilela","given":"Mduduzi","non-dropping-particle":"","parse-names":false,"suffix":""},{"dropping-particle":"","family":"McKenzie","given":"Shakeel","non-dropping-particle":"","parse-names":false,"suffix":""},{"dropping-particle":"","family":"Molapo","given":"Kgaogelo","non-dropping-particle":"","parse-names":false,"suffix":""},{"dropping-particle":"","family":"Moultrie","given":"Andrew","non-dropping-particle":"","parse-names":false,"suffix":""},{"dropping-particle":"","family":"Oelofse","given":"Suzette","non-dropping-particle":"","parse-names":false,"suffix":""},{"dropping-particle":"","family":"Patel","given":"Faeezah","non-dropping-particle":"","parse-names":false,"suffix":""},{"dropping-particle":"","family":"Pillay","given":"Sureshnee","non-dropping-particle":"","parse-names":false,"suffix":""},{"dropping-particle":"","family":"Rhead","given":"Sarah","non-dropping-particle":"","parse-names":false,"suffix":""},{"dropping-particle":"","family":"Rodel","given":"Hylton","non-dropping-particle":"","parse-names":false,"suffix":""},{"dropping-particle":"","family":"Rossouw","given":"Lindie","non-dropping-particle":"","parse-names":false,"suffix":""},{"dropping-particle":"","family":"Taoushanis","given":"Carol","non-dropping-particle":"","parse-names":false,"suffix":""},{"dropping-particle":"","family":"Tegally","given":"Houriiyah","non-dropping-particle":"","parse-names":false,"suffix":""},{"dropping-particle":"","family":"Thombrayil","given":"Asha","non-dropping-particle":"","parse-names":false,"suffix":""},{"dropping-particle":"","family":"Eck","given":"Samuel","non-dropping-particle":"van","parse-names":false,"suffix":""},{"dropping-particle":"","family":"Wibmer","given":"Constantinos K.","non-dropping-particle":"","parse-names":false,"suffix":""},{"dropping-particle":"","family":"Durham","given":"Nicholas M.","non-dropping-particle":"","parse-names":false,"suffix":""},{"dropping-particle":"","family":"Kelly","given":"Elizabeth J.","non-dropping-particle":"","parse-names":false,"suffix":""},{"dropping-particle":"","family":"Villafana","given":"Tonya L.","non-dropping-particle":"","parse-names":false,"suffix":""},{"dropping-particle":"","family":"Gilbert","given":"Sarah","non-dropping-particle":"","parse-names":false,"suffix":""},{"dropping-particle":"","family":"Pollard","given":"Andrew J.","non-dropping-particle":"","parse-names":false,"suffix":""},{"dropping-particle":"","family":"Oliveira","given":"Tulio","non-dropping-particle":"de","parse-names":false,"suffix":""},{"dropping-particle":"","family":"Moore","given":"Penny L.","non-dropping-particle":"","parse-names":false,"suffix":""},{"dropping-particle":"","family":"Sigal","given":"Alex","non-dropping-particle":"","parse-names":false,"suffix":""},{"dropping-particle":"","family":"Izu","given":"Alane","non-dropping-particle":"","parse-names":false,"suffix":""}],"container-title":"New England Journal of Medicine","id":"ITEM-1","issue":"20","issued":{"date-parts":[["2021"]]},"page":"1885-1898","title":"Efficacy of the ChAdOx1 nCoV-19 Covid-19 Vaccine against the B.1.351 Variant","type":"article-journal","volume":"384"},"uris":["http://www.mendeley.com/documents/?uuid=95a565c5-f2c0-4bb7-8f05-04988b40cbe0","http://www.mendeley.com/documents/?uuid=166eb960-bd8d-49d2-9a1a-e235b04e46c7","http://www.mendeley.com/documents/?uuid=3df14442-2712-4432-8158-e5a29c450005"]}],"mendeley":{"formattedCitation":"(Madhi et al., 2021)","manualFormatting":"Madhi et al., 2021)","plainTextFormattedCitation":"(Madhi et al., 2021)","previouslyFormattedCitation":"(Madhi et al., 2021)"},"properties":{"noteIndex":0},"schema":"https://github.com/citation-style-language/schema/raw/master/csl-citation.json"}</w:instrText>
      </w:r>
      <w:r w:rsidRPr="00D62A3B">
        <w:rPr>
          <w:rFonts w:ascii="Arial" w:eastAsia="Calibri" w:hAnsi="Arial" w:cs="Arial"/>
          <w:kern w:val="2"/>
          <w14:ligatures w14:val="standardContextual"/>
        </w:rPr>
        <w:fldChar w:fldCharType="separate"/>
      </w:r>
      <w:r w:rsidRPr="00D62A3B">
        <w:rPr>
          <w:rFonts w:ascii="Arial" w:eastAsia="Calibri" w:hAnsi="Arial" w:cs="Arial"/>
          <w:noProof/>
          <w:kern w:val="2"/>
          <w14:ligatures w14:val="standardContextual"/>
        </w:rPr>
        <w:t xml:space="preserve">Madhi </w:t>
      </w:r>
      <w:r w:rsidRPr="00D62A3B">
        <w:rPr>
          <w:rFonts w:ascii="Arial" w:eastAsia="Calibri" w:hAnsi="Arial" w:cs="Arial"/>
          <w:i/>
          <w:iCs/>
          <w:noProof/>
          <w:kern w:val="2"/>
          <w14:ligatures w14:val="standardContextual"/>
        </w:rPr>
        <w:t>et al</w:t>
      </w:r>
      <w:r w:rsidRPr="00D62A3B">
        <w:rPr>
          <w:rFonts w:ascii="Arial" w:eastAsia="Calibri" w:hAnsi="Arial" w:cs="Arial"/>
          <w:noProof/>
          <w:kern w:val="2"/>
          <w14:ligatures w14:val="standardContextual"/>
        </w:rPr>
        <w:t>., 2021)</w:t>
      </w:r>
      <w:r w:rsidRPr="00D62A3B">
        <w:rPr>
          <w:rFonts w:ascii="Arial" w:eastAsia="Calibri" w:hAnsi="Arial" w:cs="Arial"/>
          <w:kern w:val="2"/>
          <w14:ligatures w14:val="standardContextual"/>
        </w:rPr>
        <w:fldChar w:fldCharType="end"/>
      </w:r>
      <w:r w:rsidRPr="00D62A3B">
        <w:rPr>
          <w:rFonts w:ascii="Arial" w:eastAsia="Calibri" w:hAnsi="Arial" w:cs="Arial"/>
          <w:kern w:val="2"/>
          <w14:ligatures w14:val="standardContextual"/>
        </w:rPr>
        <w:t>.</w:t>
      </w:r>
    </w:p>
    <w:p w14:paraId="4BA43EDC" w14:textId="77777777" w:rsidR="00F9435F" w:rsidRPr="00D62A3B" w:rsidRDefault="00F9435F" w:rsidP="00F9435F">
      <w:pPr>
        <w:numPr>
          <w:ilvl w:val="1"/>
          <w:numId w:val="31"/>
        </w:numPr>
        <w:spacing w:after="160" w:line="276" w:lineRule="auto"/>
        <w:contextualSpacing/>
        <w:rPr>
          <w:rFonts w:ascii="Arial" w:eastAsia="DengXian" w:hAnsi="Arial" w:cs="Arial"/>
          <w:b/>
          <w:kern w:val="2"/>
          <w:lang w:val="en-GB"/>
          <w14:ligatures w14:val="standardContextual"/>
        </w:rPr>
      </w:pPr>
      <w:r w:rsidRPr="00D62A3B">
        <w:rPr>
          <w:rFonts w:ascii="Arial" w:eastAsia="DengXian" w:hAnsi="Arial" w:cs="Arial"/>
          <w:b/>
          <w:kern w:val="2"/>
          <w:lang w:val="en-GB"/>
          <w14:ligatures w14:val="standardContextual"/>
        </w:rPr>
        <w:lastRenderedPageBreak/>
        <w:t xml:space="preserve">Data Collection </w:t>
      </w:r>
    </w:p>
    <w:p w14:paraId="770C4926" w14:textId="77777777" w:rsidR="00F9435F" w:rsidRPr="00D62A3B" w:rsidRDefault="00F9435F" w:rsidP="00F9435F">
      <w:pPr>
        <w:spacing w:line="276" w:lineRule="auto"/>
        <w:rPr>
          <w:rFonts w:ascii="Arial" w:eastAsia="DengXian" w:hAnsi="Arial" w:cs="Arial"/>
          <w:kern w:val="2"/>
          <w:lang w:val="en-GB"/>
          <w14:ligatures w14:val="standardContextual"/>
        </w:rPr>
      </w:pPr>
      <w:r w:rsidRPr="00D62A3B">
        <w:rPr>
          <w:rFonts w:ascii="Arial" w:eastAsia="DengXian" w:hAnsi="Arial" w:cs="Arial"/>
          <w:kern w:val="2"/>
          <w:lang w:val="en-GB"/>
          <w14:ligatures w14:val="standardContextual"/>
        </w:rPr>
        <w:t>This study was conducted in various phases as described below:</w:t>
      </w:r>
    </w:p>
    <w:p w14:paraId="2D5F1EBB" w14:textId="77777777" w:rsidR="00F9435F" w:rsidRPr="00D62A3B" w:rsidRDefault="00F9435F" w:rsidP="00F9435F">
      <w:pPr>
        <w:spacing w:line="276" w:lineRule="auto"/>
        <w:rPr>
          <w:rFonts w:ascii="Arial" w:eastAsia="DengXian" w:hAnsi="Arial" w:cs="Arial"/>
          <w:kern w:val="2"/>
          <w:lang w:val="en-GB"/>
          <w14:ligatures w14:val="standardContextual"/>
        </w:rPr>
      </w:pPr>
      <w:r w:rsidRPr="00D62A3B">
        <w:rPr>
          <w:rFonts w:ascii="Arial" w:eastAsia="DengXian" w:hAnsi="Arial" w:cs="Arial"/>
          <w:b/>
          <w:kern w:val="2"/>
          <w:lang w:val="en-GB"/>
          <w14:ligatures w14:val="standardContextual"/>
        </w:rPr>
        <w:t>Phase One:</w:t>
      </w:r>
      <w:r w:rsidRPr="00D62A3B">
        <w:rPr>
          <w:rFonts w:ascii="Arial" w:eastAsia="DengXian" w:hAnsi="Arial" w:cs="Arial"/>
          <w:kern w:val="2"/>
          <w:lang w:val="en-GB"/>
          <w14:ligatures w14:val="standardContextual"/>
        </w:rPr>
        <w:t xml:space="preserve"> To establish relevant benchmarks for comparing the sampled dams, a literature review was undertaken to explore global practices in benchmarking for dam safety.</w:t>
      </w:r>
    </w:p>
    <w:p w14:paraId="352AC360" w14:textId="77777777" w:rsidR="00F9435F" w:rsidRPr="00D62A3B" w:rsidRDefault="00F9435F" w:rsidP="00F9435F">
      <w:pPr>
        <w:spacing w:line="276" w:lineRule="auto"/>
        <w:rPr>
          <w:rFonts w:ascii="Arial" w:eastAsia="DengXian" w:hAnsi="Arial" w:cs="Arial"/>
          <w:kern w:val="2"/>
          <w:lang w:val="en-GB"/>
          <w14:ligatures w14:val="standardContextual"/>
        </w:rPr>
      </w:pPr>
      <w:r w:rsidRPr="00D62A3B">
        <w:rPr>
          <w:rFonts w:ascii="Arial" w:eastAsia="DengXian" w:hAnsi="Arial" w:cs="Arial"/>
          <w:b/>
          <w:kern w:val="2"/>
          <w:lang w:val="en-GB"/>
          <w14:ligatures w14:val="standardContextual"/>
        </w:rPr>
        <w:t>Phase Two:</w:t>
      </w:r>
      <w:r w:rsidRPr="00D62A3B">
        <w:rPr>
          <w:rFonts w:ascii="Arial" w:eastAsia="DengXian" w:hAnsi="Arial" w:cs="Arial"/>
          <w:kern w:val="2"/>
          <w:lang w:val="en-GB"/>
          <w14:ligatures w14:val="standardContextual"/>
        </w:rPr>
        <w:t xml:space="preserve"> Conducting ten on-site  surveys as part of an embedded case study focusing on deliberately selected </w:t>
      </w:r>
      <w:proofErr w:type="spellStart"/>
      <w:r w:rsidRPr="00D62A3B">
        <w:rPr>
          <w:rFonts w:ascii="Arial" w:eastAsia="DengXian" w:hAnsi="Arial" w:cs="Arial"/>
          <w:kern w:val="2"/>
          <w:lang w:val="en-GB"/>
          <w14:ligatures w14:val="standardContextual"/>
        </w:rPr>
        <w:t>Mindu</w:t>
      </w:r>
      <w:proofErr w:type="spellEnd"/>
      <w:r w:rsidRPr="00D62A3B">
        <w:rPr>
          <w:rFonts w:ascii="Arial" w:eastAsia="DengXian" w:hAnsi="Arial" w:cs="Arial"/>
          <w:kern w:val="2"/>
          <w:lang w:val="en-GB"/>
          <w14:ligatures w14:val="standardContextual"/>
        </w:rPr>
        <w:t xml:space="preserve"> dam in Morogoro  Municipality, Morogoro Region, Tanzania </w:t>
      </w:r>
      <w:r w:rsidRPr="00D62A3B">
        <w:rPr>
          <w:rFonts w:ascii="Arial" w:eastAsia="DengXian" w:hAnsi="Arial" w:cs="Arial"/>
          <w:kern w:val="2"/>
          <w:lang w:val="en-GB"/>
          <w14:ligatures w14:val="standardContextual"/>
        </w:rPr>
        <w:fldChar w:fldCharType="begin" w:fldLock="1"/>
      </w:r>
      <w:r w:rsidRPr="00D62A3B">
        <w:rPr>
          <w:rFonts w:ascii="Arial" w:eastAsia="DengXian" w:hAnsi="Arial" w:cs="Arial"/>
          <w:kern w:val="2"/>
          <w:lang w:val="en-GB"/>
          <w14:ligatures w14:val="standardContextual"/>
        </w:rPr>
        <w:instrText>ADDIN CSL_CITATION {"citationItems":[{"id":"ITEM-1","itemData":{"DOI":"10.1016/j.agwat.2012.12.003","ISSN":"03783774","abstract":"Farm dams in catchments create cumulative threats to downstream farmers, communities, and environments and if not managed individually, the problem will aggregate at the catchment level creating \"dual-extreme cumulative impacts and threats\". The aim is to explore the concept of dual-extreme cumulative impacts and threats to downstream communities and environments arising from inappropriate on-farm water storage within the Australian setting: a setting comprising high inter-annual rainfall variation creating dual hydrologic extremes of floods and droughts. The problem is explored through comparative case studies undertaken with ground-based photographic interpretation providing supporting empirical evidence. We find farmers storing more water than they are entitled to, with downstream users and the environment potentially suffering and at threat because of unsafe dams. Results indicate a need for integrated safe and equitable farm dam management accountability and assurance policy, and its effective implementation. We add to existing international dam policy literature by introducing the dual-extreme concept and demonstrating the critical need for effective integrated policy. Guidance is provided for jurisdictions seeking improved farm dams management for sustainable and safe catchments. © 2012.","author":[{"dropping-particle":"","family":"Pisaniello","given":"John D.","non-dropping-particle":"","parse-names":false,"suffix":""},{"dropping-particle":"","family":"Tingey-Holyoak","given":"Joanne L.","non-dropping-particle":"","parse-names":false,"suffix":""},{"dropping-particle":"","family":"Burritt","given":"Roger L.","non-dropping-particle":"","parse-names":false,"suffix":""}],"container-title":"Agricultural Water Management","id":"ITEM-1","issue":"2013","issued":{"date-parts":[["2013"]]},"page":"103-112","publisher":"Elsevier B.V.","title":"Dual-extreme cumulative impacts and threats in agricultural catchments: The need for effective integrated policy","type":"article-journal","volume":"118"},"uris":["http://www.mendeley.com/documents/?uuid=bda4af63-4c08-42f2-864c-8152c7d5330a","http://www.mendeley.com/documents/?uuid=73b5a447-1691-4d78-9da0-040b31003a24","http://www.mendeley.com/documents/?uuid=ce5c24e2-6c6a-466a-bb3f-13ffd01d71c9"]}],"mendeley":{"formattedCitation":"(Pisaniello et al., 2013)","plainTextFormattedCitation":"(Pisaniello et al., 2013)","previouslyFormattedCitation":"(Pisaniello et al., 2013)"},"properties":{"noteIndex":0},"schema":"https://github.com/citation-style-language/schema/raw/master/csl-citation.json"}</w:instrText>
      </w:r>
      <w:r w:rsidRPr="00D62A3B">
        <w:rPr>
          <w:rFonts w:ascii="Arial" w:eastAsia="DengXian" w:hAnsi="Arial" w:cs="Arial"/>
          <w:kern w:val="2"/>
          <w:lang w:val="en-GB"/>
          <w14:ligatures w14:val="standardContextual"/>
        </w:rPr>
        <w:fldChar w:fldCharType="separate"/>
      </w:r>
      <w:r w:rsidRPr="00D62A3B">
        <w:rPr>
          <w:rFonts w:ascii="Arial" w:eastAsia="DengXian" w:hAnsi="Arial" w:cs="Arial"/>
          <w:noProof/>
          <w:kern w:val="2"/>
          <w:lang w:val="en-GB"/>
          <w14:ligatures w14:val="standardContextual"/>
        </w:rPr>
        <w:t xml:space="preserve">(Pisaniello </w:t>
      </w:r>
      <w:r w:rsidRPr="00D62A3B">
        <w:rPr>
          <w:rFonts w:ascii="Arial" w:eastAsia="DengXian" w:hAnsi="Arial" w:cs="Arial"/>
          <w:i/>
          <w:iCs/>
          <w:noProof/>
          <w:kern w:val="2"/>
          <w:lang w:val="en-GB"/>
          <w14:ligatures w14:val="standardContextual"/>
        </w:rPr>
        <w:t>et a</w:t>
      </w:r>
      <w:r w:rsidRPr="00D62A3B">
        <w:rPr>
          <w:rFonts w:ascii="Arial" w:eastAsia="DengXian" w:hAnsi="Arial" w:cs="Arial"/>
          <w:noProof/>
          <w:kern w:val="2"/>
          <w:lang w:val="en-GB"/>
          <w14:ligatures w14:val="standardContextual"/>
        </w:rPr>
        <w:t>l., 2013)</w:t>
      </w:r>
      <w:r w:rsidRPr="00D62A3B">
        <w:rPr>
          <w:rFonts w:ascii="Arial" w:eastAsia="DengXian" w:hAnsi="Arial" w:cs="Arial"/>
          <w:kern w:val="2"/>
          <w:lang w:val="en-GB"/>
          <w14:ligatures w14:val="standardContextual"/>
        </w:rPr>
        <w:fldChar w:fldCharType="end"/>
      </w:r>
      <w:r w:rsidRPr="00D62A3B">
        <w:rPr>
          <w:rFonts w:ascii="Arial" w:eastAsia="DengXian" w:hAnsi="Arial" w:cs="Arial"/>
          <w:kern w:val="2"/>
          <w:lang w:val="en-GB"/>
          <w14:ligatures w14:val="standardContextual"/>
        </w:rPr>
        <w:t xml:space="preserve">. </w:t>
      </w:r>
      <w:proofErr w:type="spellStart"/>
      <w:r w:rsidRPr="00D62A3B">
        <w:rPr>
          <w:rFonts w:ascii="Arial" w:eastAsia="DengXian" w:hAnsi="Arial" w:cs="Arial"/>
          <w:kern w:val="2"/>
          <w:lang w:val="en-GB"/>
          <w14:ligatures w14:val="standardContextual"/>
        </w:rPr>
        <w:t>Mindu</w:t>
      </w:r>
      <w:proofErr w:type="spellEnd"/>
      <w:r w:rsidRPr="00D62A3B">
        <w:rPr>
          <w:rFonts w:ascii="Arial" w:eastAsia="DengXian" w:hAnsi="Arial" w:cs="Arial"/>
          <w:kern w:val="2"/>
          <w:lang w:val="en-GB"/>
          <w14:ligatures w14:val="standardContextual"/>
        </w:rPr>
        <w:t xml:space="preserve"> dam was selected because it fulfilled the following two criteria: (1) being classified as "Significant" or "High" hazard based on an initial assessment of factors such as dam size, human habitation, and economic development in the downstream inundation area </w:t>
      </w:r>
      <w:r w:rsidRPr="00D62A3B">
        <w:rPr>
          <w:rFonts w:ascii="Arial" w:eastAsia="DengXian" w:hAnsi="Arial" w:cs="Arial"/>
          <w:kern w:val="2"/>
          <w:lang w:val="en-GB"/>
          <w14:ligatures w14:val="standardContextual"/>
        </w:rPr>
        <w:fldChar w:fldCharType="begin" w:fldLock="1"/>
      </w:r>
      <w:r w:rsidRPr="00D62A3B">
        <w:rPr>
          <w:rFonts w:ascii="Arial" w:eastAsia="DengXian" w:hAnsi="Arial" w:cs="Arial"/>
          <w:kern w:val="2"/>
          <w:lang w:val="en-GB"/>
          <w14:ligatures w14:val="standardContextual"/>
        </w:rPr>
        <w:instrText>ADDIN CSL_CITATION {"citationItems":[{"id":"ITEM-1","itemData":{"DOI":"10.1080/02508060308691668","ISSN":"02508060","abstract":"The largest dams are generally built and managed by Governments; individual owners build small dams. Over time, many dam safety aspects have changed, such as population distributions, meteorological information, engineering methods and design standards, together with the condition of the dams, raising serious doubts about dam adequacy. For the larger dams response has been to spend vast amounts on remedial works. Unfortunately, only a few countries have developed mature safety assurance schemes for smaller dams: these are comparatively reviewed here identifying elements of “minimum” and “best” practice, and providing policy models and guidelines of “appropriate” practice for varying circumstances. Farmers often overlook common law obligation to review/design dams in line with current standards because of high engineering consulting costs. A cost-effective spillway design/review procedure that is applicable to South Eastern Australia, but is transferable to any other region world-wide, is also reported here: this procedure is integrated with the policy models and guidelines, aiming to minimize cost burdens to dam owners, encourage better dam safety management, and provide an acceptable level of safety assurance to downstream communities. © 2003 Taylor &amp; Francis Group, LLC.","author":[{"dropping-particle":"","family":"Pisaniello","given":"John D.","non-dropping-particle":"","parse-names":false,"suffix":""},{"dropping-particle":"","family":"McKay","given":"Jennifer M.","non-dropping-particle":"","parse-names":false,"suffix":""}],"container-title":"Water International","id":"ITEM-1","issue":"1","issued":{"date-parts":[["2003"]]},"page":"90-102","title":"A Farmer-Friendly Dam Safety Evaluation Procedure As A Key Part of Modern Australian Water Laws","type":"article-journal","volume":"28"},"uris":["http://www.mendeley.com/documents/?uuid=91937363-99e6-4b51-83b5-d8406f5d62fd","http://www.mendeley.com/documents/?uuid=901f5d27-e903-4bf3-a23d-358ecdbaae59","http://www.mendeley.com/documents/?uuid=6d6ab1ec-0ca2-43e8-82e1-ff359ecfc3d8"]},{"id":"ITEM-2","itemData":{"DOI":"10.1023/a:1008291411492","ISSN":"09246460","abstract":"Disclosure strategies, which involve public and/or private attempts to increase the availability of information on pollution, form the basis for what some have called the third wave in pollution control policy (after legal regulation - the first wave - and market-based instruments the second wave). While these strategies have become common in natural resource settings (forest certification and organic farming, for example), they are less familiar in a pollution control context. Yet the number of applications in that context is now growing in both OECD and developing countries. This survey will review what we know and don't know about the use of disclosure strategies to control pollution and conclude with the author's sense of where further research would be particularly helpful.","author":[{"dropping-particle":"","family":"Tietenberg","given":"Tom","non-dropping-particle":"","parse-names":false,"suffix":""}],"container-title":"Environmental and Resource Economics","id":"ITEM-2","issue":"3-4","issued":{"date-parts":[["1998"]]},"page":"587-602","title":"Disclosure strategies for pollution control","type":"article-journal","volume":"11"},"uris":["http://www.mendeley.com/documents/?uuid=be99acd2-9115-4d5e-ab93-39e5e66bc627","http://www.mendeley.com/documents/?uuid=9c97f50a-7197-4505-8fa4-50b798db7d25","http://www.mendeley.com/documents/?uuid=72d57c32-98f5-43a4-ae75-7a23a00ec978"]}],"mendeley":{"formattedCitation":"(Pisaniello &amp; McKay, 2003; Tietenberg, 1998)","plainTextFormattedCitation":"(Pisaniello &amp; McKay, 2003; Tietenberg, 1998)","previouslyFormattedCitation":"(Pisaniello &amp; McKay, 2003; Tietenberg, 1998)"},"properties":{"noteIndex":0},"schema":"https://github.com/citation-style-language/schema/raw/master/csl-citation.json"}</w:instrText>
      </w:r>
      <w:r w:rsidRPr="00D62A3B">
        <w:rPr>
          <w:rFonts w:ascii="Arial" w:eastAsia="DengXian" w:hAnsi="Arial" w:cs="Arial"/>
          <w:kern w:val="2"/>
          <w:lang w:val="en-GB"/>
          <w14:ligatures w14:val="standardContextual"/>
        </w:rPr>
        <w:fldChar w:fldCharType="separate"/>
      </w:r>
      <w:r w:rsidRPr="00D62A3B">
        <w:rPr>
          <w:rFonts w:ascii="Arial" w:eastAsia="DengXian" w:hAnsi="Arial" w:cs="Arial"/>
          <w:noProof/>
          <w:kern w:val="2"/>
          <w:lang w:val="en-GB"/>
          <w14:ligatures w14:val="standardContextual"/>
        </w:rPr>
        <w:t>(Pisaniello &amp; McKay, 2003; Tietenberg, 1998)</w:t>
      </w:r>
      <w:r w:rsidRPr="00D62A3B">
        <w:rPr>
          <w:rFonts w:ascii="Arial" w:eastAsia="DengXian" w:hAnsi="Arial" w:cs="Arial"/>
          <w:kern w:val="2"/>
          <w:lang w:val="en-GB"/>
          <w14:ligatures w14:val="standardContextual"/>
        </w:rPr>
        <w:fldChar w:fldCharType="end"/>
      </w:r>
      <w:r w:rsidRPr="00D62A3B">
        <w:rPr>
          <w:rFonts w:ascii="Arial" w:eastAsia="DengXian" w:hAnsi="Arial" w:cs="Arial"/>
          <w:kern w:val="2"/>
          <w:lang w:val="en-GB"/>
          <w14:ligatures w14:val="standardContextual"/>
        </w:rPr>
        <w:t>; and (2) qualifying as small dams</w:t>
      </w:r>
      <w:r w:rsidRPr="00D62A3B">
        <w:rPr>
          <w:rFonts w:ascii="Arial" w:eastAsia="DengXian" w:hAnsi="Arial" w:cs="Arial"/>
          <w:kern w:val="2"/>
          <w:lang w:val="en-GB"/>
          <w14:ligatures w14:val="standardContextual"/>
        </w:rPr>
        <w:fldChar w:fldCharType="begin" w:fldLock="1"/>
      </w:r>
      <w:r w:rsidRPr="00D62A3B">
        <w:rPr>
          <w:rFonts w:ascii="Arial" w:eastAsia="DengXian" w:hAnsi="Arial" w:cs="Arial"/>
          <w:kern w:val="2"/>
          <w:lang w:val="en-GB"/>
          <w14:ligatures w14:val="standardContextual"/>
        </w:rPr>
        <w:instrText>ADDIN CSL_CITATION {"citationItems":[{"id":"ITEM-1","itemData":{"DOI":"10.24840/2183-6493_009-003_001968","ISBN":"0000000322102","ISSN":"21836493","abstract":"The Brazilian National Policy on Dam Safety (PNSB) was enacted in 2010 and there are still many actions to be carried out, especially the classification of dams as to associated hazard potential (PHA) and risk category (RC). The analysis conducted based on the Dam Safety Report 2020 informsthat there are 21953 dams distributed throughout the Brazilian territory registered in National Dam Information System (SNISB). However, 14849 (67.64%) of the dams were not classified as RC and 13475 (61.38%) of the dams were not classified as PHA. There are 3724 dams classified as high PHA, 2407 (64.64%) of which are considered small in terms of reservoir capacity. Considering this scenario, bibliographic research was conducted on dam classification criteria used in Brazil, Portugal, International Commission on Large (ICOLD) and United States. In addition, bibliographic research was conducted on two studies that used artificial intelligence-based tools to forecast PHA classification. As a result, this study recommends future research with indicated classification criteria and with applications based on artificial intelligence to forecast PHA classification in Brazil.","author":[{"dropping-particle":"","family":"Salgado","given":"Sérgio Ricardo Toledo","non-dropping-particle":"","parse-names":false,"suffix":""},{"dropping-particle":"da","family":"Silva Carvalho","given":"Elsa Maria","non-dropping-particle":"","parse-names":false,"suffix":""}],"container-title":"U.Porto Journal of Engineering","id":"ITEM-1","issue":"3","issued":{"date-parts":[["2023"]]},"page":"223-239","title":"Recommendations for the process of classification of dams in Brazil","type":"article-journal","volume":"9"},"uris":["http://www.mendeley.com/documents/?uuid=598d50ed-477b-46bb-bf48-e6f92eddb21a","http://www.mendeley.com/documents/?uuid=a8a45a64-a1cc-4ff5-a47d-65ff7eb268e2"]}],"mendeley":{"formattedCitation":"(Salgado &amp; Silva Carvalho, 2023)","plainTextFormattedCitation":"(Salgado &amp; Silva Carvalho, 2023)","previouslyFormattedCitation":"(Salgado &amp; Silva Carvalho, 2023)"},"properties":{"noteIndex":0},"schema":"https://github.com/citation-style-language/schema/raw/master/csl-citation.json"}</w:instrText>
      </w:r>
      <w:r w:rsidRPr="00D62A3B">
        <w:rPr>
          <w:rFonts w:ascii="Arial" w:eastAsia="DengXian" w:hAnsi="Arial" w:cs="Arial"/>
          <w:kern w:val="2"/>
          <w:lang w:val="en-GB"/>
          <w14:ligatures w14:val="standardContextual"/>
        </w:rPr>
        <w:fldChar w:fldCharType="separate"/>
      </w:r>
      <w:r w:rsidRPr="00D62A3B">
        <w:rPr>
          <w:rFonts w:ascii="Arial" w:eastAsia="DengXian" w:hAnsi="Arial" w:cs="Arial"/>
          <w:noProof/>
          <w:kern w:val="2"/>
          <w:lang w:val="en-GB"/>
          <w14:ligatures w14:val="standardContextual"/>
        </w:rPr>
        <w:t>(Salgado &amp; Silva Carvalho, 2023)</w:t>
      </w:r>
      <w:r w:rsidRPr="00D62A3B">
        <w:rPr>
          <w:rFonts w:ascii="Arial" w:eastAsia="DengXian" w:hAnsi="Arial" w:cs="Arial"/>
          <w:kern w:val="2"/>
          <w:lang w:val="en-GB"/>
          <w14:ligatures w14:val="standardContextual"/>
        </w:rPr>
        <w:fldChar w:fldCharType="end"/>
      </w:r>
      <w:r w:rsidRPr="00D62A3B">
        <w:rPr>
          <w:rFonts w:ascii="Arial" w:eastAsia="DengXian" w:hAnsi="Arial" w:cs="Arial"/>
          <w:kern w:val="2"/>
          <w:lang w:val="en-GB"/>
          <w14:ligatures w14:val="standardContextual"/>
        </w:rPr>
        <w:t xml:space="preserve">. The on-site dam examination involved utilizing a dam inspection checklist sourced from the following periodicals: (1) "Your dam your responsibility: a guide to managing the safety of farm dams" released by the Department of Sustainability and Environment (DSE, 2007) in Victoria, (2) "Dam safety guidelines: inspection and maintenance of dams" published by the Water Management Branch of the Ministry of Environment, Lands and Parks, British Columbia </w:t>
      </w:r>
      <w:r w:rsidRPr="00D62A3B">
        <w:rPr>
          <w:rFonts w:ascii="Arial" w:eastAsia="DengXian" w:hAnsi="Arial" w:cs="Arial"/>
          <w:kern w:val="2"/>
          <w:lang w:val="en-GB"/>
          <w14:ligatures w14:val="standardContextual"/>
        </w:rPr>
        <w:fldChar w:fldCharType="begin" w:fldLock="1"/>
      </w:r>
      <w:r w:rsidRPr="00D62A3B">
        <w:rPr>
          <w:rFonts w:ascii="Arial" w:eastAsia="DengXian" w:hAnsi="Arial" w:cs="Arial"/>
          <w:kern w:val="2"/>
          <w:lang w:val="en-GB"/>
          <w14:ligatures w14:val="standardContextual"/>
        </w:rPr>
        <w:instrText>ADDIN CSL_CITATION {"citationItems":[{"id":"ITEM-1","itemData":{"DOI":"10.1016/j.jenvman.2006.11.009","ISSN":"03014797","PMID":"17208349","abstract":"A variety of tools can be employed in support of environmental policy objectives, but achieving preferred outcomes also requires the cooperation of private landholders and others with vested interests in the land. The Land Stewardship project in the state of Victoria, Australia, is an initiative devoted to exploring the ways in which private landholders could be encouraged towards more sustainable land management. Following the view that the success of policy initiatives is contingent on effective stakeholder engagement, a component of the Land Stewardship project involved a dialogue with landholders about policy tools (e.g., regulation, economic instruments) that might be deployed to encourage improved land management practices. This paper provides an account of the views and attitudes of landholders, as revealed in a series of three workshops, which consisted of discussions about the factors influencing agriculture, participants' interpretations of sustainability, and policy methods. The focus of the paper is on what landholders believe to be the strengths and limitations of standard policy tools, and the essential requirements for these tools to deliver the best land management outcomes. One of the main findings of the project was a 'preference hierarchy' in respect of policy methods, according to which the strongest support was expressed for voluntary and education-based tools, followed by market-based instruments, with command-and-control regulation identified as a measure of 'last resort'. In the paper we reflect also on how the views and outlook of landholders should be positioned relative to other inputs in the design of policy interventions. © 2006 Elsevier Ltd. All rights reserved.","author":[{"dropping-particle":"","family":"Cocklin","given":"Chris","non-dropping-particle":"","parse-names":false,"suffix":""},{"dropping-particle":"","family":"Mautner","given":"Naomi","non-dropping-particle":"","parse-names":false,"suffix":""},{"dropping-particle":"","family":"Dibden","given":"Jacqui","non-dropping-particle":"","parse-names":false,"suffix":""}],"container-title":"Journal of Environmental Management","id":"ITEM-1","issue":"4","issued":{"date-parts":[["2007"]]},"page":"986-998","title":"Public policy, private landholders: Perspectives on policy mechanisms for sustainable land management","type":"article-journal","volume":"85"},"uris":["http://www.mendeley.com/documents/?uuid=6f66a906-680b-494e-be1b-6e3fff1ab408","http://www.mendeley.com/documents/?uuid=8b9e043a-9454-4624-b917-54aaa8853eff","http://www.mendeley.com/documents/?uuid=cca252bc-1b57-41db-8bc8-b1a35fe9b3f1"]},{"id":"ITEM-2","itemData":{"DOI":"10.13140/2.1.3606.8806","abstract":"Recognizing a need to provide a consistent approach for the design, construction, inspection and maintenance of the 255 dams that Parks Canada Agency owns and operates in every province in Canada (with the exception of Prince Edward Island) a decision was …","author":[{"dropping-particle":"","family":"Donnelly","given":"C. Richard","non-dropping-particle":"","parse-names":false,"suffix":""},{"dropping-particle":"","family":"Bechai","given":"Mona","non-dropping-particle":"","parse-names":false,"suffix":""},{"dropping-particle":"","family":"Trias","given":"Margaret","non-dropping-particle":"","parse-names":false,"suffix":""},{"dropping-particle":"","family":"Vaillancourt","given":"Jacques","non-dropping-particle":"","parse-names":false,"suffix":""},{"dropping-particle":"","family":"Roy","given":"Andre","non-dropping-particle":"","parse-names":false,"suffix":""}],"container-title":"CDA 2009 Annual Conference","id":"ITEM-2","issue":"October 2009","issued":{"date-parts":[["2009"]]},"page":"21","title":"The Development of A National Dam Safety Standard for Parks Canada","type":"article-journal"},"uris":["http://www.mendeley.com/documents/?uuid=4f704bb9-fb5f-4c4d-bd16-b204968aa34a","http://www.mendeley.com/documents/?uuid=a99376ba-75a4-494e-a10c-5050463f6ae3","http://www.mendeley.com/documents/?uuid=a4f28974-cde1-4830-b183-854aef30da7a"]}],"mendeley":{"formattedCitation":"(Cocklin et al., 2007; Donnelly et al., 2009)","plainTextFormattedCitation":"(Cocklin et al., 2007; Donnelly et al., 2009)","previouslyFormattedCitation":"(Cocklin et al., 2007; Donnelly et al., 2009)"},"properties":{"noteIndex":0},"schema":"https://github.com/citation-style-language/schema/raw/master/csl-citation.json"}</w:instrText>
      </w:r>
      <w:r w:rsidRPr="00D62A3B">
        <w:rPr>
          <w:rFonts w:ascii="Arial" w:eastAsia="DengXian" w:hAnsi="Arial" w:cs="Arial"/>
          <w:kern w:val="2"/>
          <w:lang w:val="en-GB"/>
          <w14:ligatures w14:val="standardContextual"/>
        </w:rPr>
        <w:fldChar w:fldCharType="separate"/>
      </w:r>
      <w:r w:rsidRPr="00D62A3B">
        <w:rPr>
          <w:rFonts w:ascii="Arial" w:eastAsia="DengXian" w:hAnsi="Arial" w:cs="Arial"/>
          <w:noProof/>
          <w:kern w:val="2"/>
          <w:lang w:val="en-GB"/>
          <w14:ligatures w14:val="standardContextual"/>
        </w:rPr>
        <w:t xml:space="preserve">(Cocklin </w:t>
      </w:r>
      <w:r w:rsidRPr="00D62A3B">
        <w:rPr>
          <w:rFonts w:ascii="Arial" w:eastAsia="DengXian" w:hAnsi="Arial" w:cs="Arial"/>
          <w:i/>
          <w:iCs/>
          <w:noProof/>
          <w:kern w:val="2"/>
          <w:lang w:val="en-GB"/>
          <w14:ligatures w14:val="standardContextual"/>
        </w:rPr>
        <w:t>et al</w:t>
      </w:r>
      <w:r w:rsidRPr="00D62A3B">
        <w:rPr>
          <w:rFonts w:ascii="Arial" w:eastAsia="DengXian" w:hAnsi="Arial" w:cs="Arial"/>
          <w:noProof/>
          <w:kern w:val="2"/>
          <w:lang w:val="en-GB"/>
          <w14:ligatures w14:val="standardContextual"/>
        </w:rPr>
        <w:t xml:space="preserve">., 2007; Donnelly </w:t>
      </w:r>
      <w:r w:rsidRPr="00D62A3B">
        <w:rPr>
          <w:rFonts w:ascii="Arial" w:eastAsia="DengXian" w:hAnsi="Arial" w:cs="Arial"/>
          <w:i/>
          <w:iCs/>
          <w:noProof/>
          <w:kern w:val="2"/>
          <w:lang w:val="en-GB"/>
          <w14:ligatures w14:val="standardContextual"/>
        </w:rPr>
        <w:t>et al</w:t>
      </w:r>
      <w:r w:rsidRPr="00D62A3B">
        <w:rPr>
          <w:rFonts w:ascii="Arial" w:eastAsia="DengXian" w:hAnsi="Arial" w:cs="Arial"/>
          <w:noProof/>
          <w:kern w:val="2"/>
          <w:lang w:val="en-GB"/>
          <w14:ligatures w14:val="standardContextual"/>
        </w:rPr>
        <w:t>., 2009)</w:t>
      </w:r>
      <w:r w:rsidRPr="00D62A3B">
        <w:rPr>
          <w:rFonts w:ascii="Arial" w:eastAsia="DengXian" w:hAnsi="Arial" w:cs="Arial"/>
          <w:kern w:val="2"/>
          <w:lang w:val="en-GB"/>
          <w14:ligatures w14:val="standardContextual"/>
        </w:rPr>
        <w:fldChar w:fldCharType="end"/>
      </w:r>
      <w:r w:rsidRPr="00D62A3B">
        <w:rPr>
          <w:rFonts w:ascii="Arial" w:eastAsia="DengXian" w:hAnsi="Arial" w:cs="Arial"/>
          <w:kern w:val="2"/>
          <w:lang w:val="en-GB"/>
          <w14:ligatures w14:val="standardContextual"/>
        </w:rPr>
        <w:t xml:space="preserve"> and (3) The global recommendations for the evaluation and examination of small earthen dams as outlined in the publications by </w:t>
      </w:r>
      <w:proofErr w:type="spellStart"/>
      <w:r w:rsidRPr="00D62A3B">
        <w:rPr>
          <w:rFonts w:ascii="Arial" w:eastAsia="DengXian" w:hAnsi="Arial" w:cs="Arial"/>
          <w:kern w:val="2"/>
          <w:lang w:val="en-GB"/>
          <w14:ligatures w14:val="standardContextual"/>
        </w:rPr>
        <w:t>Pisaniello</w:t>
      </w:r>
      <w:proofErr w:type="spellEnd"/>
      <w:r w:rsidRPr="00D62A3B">
        <w:rPr>
          <w:rFonts w:ascii="Arial" w:eastAsia="DengXian" w:hAnsi="Arial" w:cs="Arial"/>
          <w:kern w:val="2"/>
          <w:lang w:val="en-GB"/>
          <w14:ligatures w14:val="standardContextual"/>
        </w:rPr>
        <w:t xml:space="preserve">, 2010a, b; </w:t>
      </w:r>
      <w:proofErr w:type="spellStart"/>
      <w:r w:rsidRPr="00D62A3B">
        <w:rPr>
          <w:rFonts w:ascii="Arial" w:eastAsia="DengXian" w:hAnsi="Arial" w:cs="Arial"/>
          <w:kern w:val="2"/>
          <w:lang w:val="en-GB"/>
          <w14:ligatures w14:val="standardContextual"/>
        </w:rPr>
        <w:t>Pisaniello</w:t>
      </w:r>
      <w:proofErr w:type="spellEnd"/>
      <w:r w:rsidRPr="00D62A3B">
        <w:rPr>
          <w:rFonts w:ascii="Arial" w:eastAsia="DengXian" w:hAnsi="Arial" w:cs="Arial"/>
          <w:kern w:val="2"/>
          <w:lang w:val="en-GB"/>
          <w14:ligatures w14:val="standardContextual"/>
        </w:rPr>
        <w:t xml:space="preserve"> and </w:t>
      </w:r>
      <w:proofErr w:type="spellStart"/>
      <w:r w:rsidRPr="00D62A3B">
        <w:rPr>
          <w:rFonts w:ascii="Arial" w:eastAsia="DengXian" w:hAnsi="Arial" w:cs="Arial"/>
          <w:kern w:val="2"/>
          <w:lang w:val="en-GB"/>
          <w14:ligatures w14:val="standardContextual"/>
        </w:rPr>
        <w:t>McCay</w:t>
      </w:r>
      <w:proofErr w:type="spellEnd"/>
      <w:r w:rsidRPr="00D62A3B">
        <w:rPr>
          <w:rFonts w:ascii="Arial" w:eastAsia="DengXian" w:hAnsi="Arial" w:cs="Arial"/>
          <w:kern w:val="2"/>
          <w:lang w:val="en-GB"/>
          <w14:ligatures w14:val="standardContextual"/>
        </w:rPr>
        <w:t>, 2006.</w:t>
      </w:r>
    </w:p>
    <w:p w14:paraId="449612BD" w14:textId="77777777" w:rsidR="00F9435F" w:rsidRPr="00AA0262" w:rsidRDefault="00F9435F" w:rsidP="00F9435F">
      <w:pPr>
        <w:spacing w:line="276" w:lineRule="auto"/>
        <w:rPr>
          <w:rFonts w:ascii="Arial" w:hAnsi="Arial" w:cs="Arial"/>
        </w:rPr>
      </w:pPr>
      <w:r w:rsidRPr="00AA0262">
        <w:rPr>
          <w:rFonts w:ascii="Arial" w:hAnsi="Arial" w:cs="Arial"/>
          <w:b/>
        </w:rPr>
        <w:t>Phase Three:</w:t>
      </w:r>
      <w:r w:rsidRPr="00AA0262">
        <w:rPr>
          <w:rFonts w:ascii="Arial" w:hAnsi="Arial" w:cs="Arial"/>
        </w:rPr>
        <w:t xml:space="preserve"> The qualitative semi-structured interviews were conducted with representatives from thirty significant stakeholders. The in-person interviews took place between April 10 and October 11, 2023, to capture enough information on both rainy and dry season conditions of the dam.</w:t>
      </w:r>
    </w:p>
    <w:p w14:paraId="4C59C6D5" w14:textId="77777777" w:rsidR="00F9435F" w:rsidRDefault="00F9435F" w:rsidP="00F9435F">
      <w:pPr>
        <w:spacing w:line="276" w:lineRule="auto"/>
        <w:rPr>
          <w:rFonts w:ascii="Arial" w:eastAsia="DengXian" w:hAnsi="Arial" w:cs="Arial"/>
          <w:kern w:val="2"/>
          <w:lang w:val="en-GB"/>
          <w14:ligatures w14:val="standardContextual"/>
        </w:rPr>
      </w:pPr>
      <w:r w:rsidRPr="00D62A3B">
        <w:rPr>
          <w:rFonts w:ascii="Arial" w:eastAsia="DengXian" w:hAnsi="Arial" w:cs="Arial"/>
          <w:kern w:val="2"/>
          <w:lang w:val="en-GB"/>
          <w14:ligatures w14:val="standardContextual"/>
        </w:rPr>
        <w:t xml:space="preserve">The study employed the mixed methods approach in data collection whereby quantitative and qualitative data were collected concurrently to get more information to help answer the research questions. Primary data were collected using a structured questionnaire; key informant interviews (KIIs) and focus group discussions (FGDs). The KIIs and the FGDs were guided by a checklist and an FGD guide respectively. A total of 10 key informants occupying different positions including engineers and policymakers were interviewed. Moreover, ten FGDs, each involving </w:t>
      </w:r>
      <w:r>
        <w:rPr>
          <w:rFonts w:ascii="Arial" w:eastAsia="DengXian" w:hAnsi="Arial" w:cs="Arial"/>
          <w:kern w:val="2"/>
          <w:lang w:val="en-GB"/>
          <w14:ligatures w14:val="standardContextual"/>
        </w:rPr>
        <w:t>30</w:t>
      </w:r>
      <w:r w:rsidRPr="00D62A3B">
        <w:rPr>
          <w:rFonts w:ascii="Arial" w:eastAsia="DengXian" w:hAnsi="Arial" w:cs="Arial"/>
          <w:kern w:val="2"/>
          <w:lang w:val="en-GB"/>
          <w14:ligatures w14:val="standardContextual"/>
        </w:rPr>
        <w:t xml:space="preserve"> participants, were conducted.</w:t>
      </w:r>
    </w:p>
    <w:p w14:paraId="4B88B855" w14:textId="77777777" w:rsidR="00287ED5" w:rsidRDefault="00287ED5" w:rsidP="00F9435F">
      <w:pPr>
        <w:spacing w:line="276" w:lineRule="auto"/>
        <w:rPr>
          <w:rFonts w:ascii="Arial" w:eastAsia="DengXian" w:hAnsi="Arial" w:cs="Arial"/>
          <w:kern w:val="2"/>
          <w:lang w:val="en-GB"/>
          <w14:ligatures w14:val="standardContextual"/>
        </w:rPr>
      </w:pPr>
    </w:p>
    <w:p w14:paraId="571477A2" w14:textId="77777777" w:rsidR="00287ED5" w:rsidRDefault="00287ED5" w:rsidP="00F9435F">
      <w:pPr>
        <w:spacing w:after="160" w:line="276" w:lineRule="auto"/>
        <w:ind w:left="360"/>
        <w:contextualSpacing/>
        <w:rPr>
          <w:rFonts w:ascii="Arial" w:eastAsia="DengXian" w:hAnsi="Arial" w:cs="Arial"/>
          <w:b/>
          <w:kern w:val="2"/>
          <w:lang w:val="en-GB"/>
          <w14:ligatures w14:val="standardContextual"/>
        </w:rPr>
      </w:pPr>
      <w:r>
        <w:rPr>
          <w:rFonts w:ascii="Arial" w:eastAsia="DengXian" w:hAnsi="Arial" w:cs="Arial"/>
          <w:b/>
          <w:kern w:val="2"/>
          <w:lang w:val="en-GB"/>
          <w14:ligatures w14:val="standardContextual"/>
        </w:rPr>
        <w:t>2.4</w:t>
      </w:r>
      <w:r w:rsidR="00B23916">
        <w:rPr>
          <w:rFonts w:ascii="Arial" w:eastAsia="DengXian" w:hAnsi="Arial" w:cs="Arial"/>
          <w:b/>
          <w:kern w:val="2"/>
          <w:lang w:val="en-GB"/>
          <w14:ligatures w14:val="standardContextual"/>
        </w:rPr>
        <w:t>.</w:t>
      </w:r>
      <w:r w:rsidR="00B23916" w:rsidRPr="006B40FA">
        <w:rPr>
          <w:rFonts w:ascii="Arial" w:eastAsia="DengXian" w:hAnsi="Arial" w:cs="Arial"/>
          <w:b/>
          <w:kern w:val="2"/>
          <w:lang w:val="en-GB"/>
          <w14:ligatures w14:val="standardContextual"/>
        </w:rPr>
        <w:t xml:space="preserve"> Data</w:t>
      </w:r>
      <w:r w:rsidRPr="006B40FA">
        <w:rPr>
          <w:rFonts w:ascii="Arial" w:eastAsia="DengXian" w:hAnsi="Arial" w:cs="Arial"/>
          <w:b/>
          <w:kern w:val="2"/>
          <w:lang w:val="en-GB"/>
          <w14:ligatures w14:val="standardContextual"/>
        </w:rPr>
        <w:t xml:space="preserve"> analysis</w:t>
      </w:r>
    </w:p>
    <w:p w14:paraId="473E6B20" w14:textId="77777777" w:rsidR="00454E96" w:rsidRPr="00B23916" w:rsidRDefault="00454E96" w:rsidP="00F9435F">
      <w:pPr>
        <w:spacing w:after="160" w:line="276" w:lineRule="auto"/>
        <w:ind w:left="360"/>
        <w:contextualSpacing/>
        <w:rPr>
          <w:rFonts w:ascii="Arial" w:eastAsia="DengXian" w:hAnsi="Arial" w:cs="Arial"/>
          <w:b/>
          <w:kern w:val="2"/>
          <w:lang w:val="en-GB"/>
          <w14:ligatures w14:val="standardContextual"/>
        </w:rPr>
      </w:pPr>
    </w:p>
    <w:p w14:paraId="1577838B" w14:textId="77777777" w:rsidR="00F9435F" w:rsidRDefault="00F9435F" w:rsidP="00F9435F">
      <w:pPr>
        <w:spacing w:line="276" w:lineRule="auto"/>
        <w:rPr>
          <w:rFonts w:ascii="Arial" w:hAnsi="Arial" w:cs="Arial"/>
        </w:rPr>
      </w:pPr>
      <w:r w:rsidRPr="000A4E58">
        <w:rPr>
          <w:rFonts w:ascii="Arial" w:hAnsi="Arial" w:cs="Arial"/>
        </w:rPr>
        <w:t>Data collected from literature review, observations (on site surveys),</w:t>
      </w:r>
      <w:r w:rsidRPr="000A4E58">
        <w:rPr>
          <w:rFonts w:ascii="Arial" w:eastAsia="DengXian" w:hAnsi="Arial" w:cs="Arial"/>
          <w:kern w:val="2"/>
          <w:lang w:val="en-GB"/>
          <w14:ligatures w14:val="standardContextual"/>
        </w:rPr>
        <w:t xml:space="preserve"> semi-structured interviews </w:t>
      </w:r>
      <w:r w:rsidRPr="000A4E58">
        <w:rPr>
          <w:rFonts w:ascii="Arial" w:hAnsi="Arial" w:cs="Arial"/>
        </w:rPr>
        <w:t xml:space="preserve">regarding different applied coping strategies in farmers’ fields and observable risk of </w:t>
      </w:r>
      <w:proofErr w:type="spellStart"/>
      <w:r w:rsidRPr="000A4E58">
        <w:rPr>
          <w:rFonts w:ascii="Arial" w:hAnsi="Arial" w:cs="Arial"/>
        </w:rPr>
        <w:t>mindu</w:t>
      </w:r>
      <w:proofErr w:type="spellEnd"/>
      <w:r w:rsidRPr="000A4E58">
        <w:rPr>
          <w:rFonts w:ascii="Arial" w:hAnsi="Arial" w:cs="Arial"/>
        </w:rPr>
        <w:t xml:space="preserve"> dam in Morogoro, plus information collected from the household survey were </w:t>
      </w:r>
      <w:proofErr w:type="spellStart"/>
      <w:r w:rsidRPr="000A4E58">
        <w:rPr>
          <w:rFonts w:ascii="Arial" w:hAnsi="Arial" w:cs="Arial"/>
        </w:rPr>
        <w:t>analysed</w:t>
      </w:r>
      <w:proofErr w:type="spellEnd"/>
      <w:r w:rsidRPr="000A4E58">
        <w:rPr>
          <w:rFonts w:ascii="Arial" w:hAnsi="Arial" w:cs="Arial"/>
        </w:rPr>
        <w:t xml:space="preserve"> using descriptive statistics. </w:t>
      </w:r>
      <w:r>
        <w:rPr>
          <w:rFonts w:ascii="Arial" w:hAnsi="Arial" w:cs="Arial"/>
        </w:rPr>
        <w:t>R</w:t>
      </w:r>
      <w:r w:rsidRPr="000A4E58">
        <w:rPr>
          <w:rFonts w:ascii="Arial" w:hAnsi="Arial" w:cs="Arial"/>
        </w:rPr>
        <w:t xml:space="preserve"> and Excel were used to generate frequency tables, percentages, charts and graphs to summarize, present and interpret survey results. </w:t>
      </w:r>
    </w:p>
    <w:p w14:paraId="6A346D52" w14:textId="77777777" w:rsidR="00790ADA" w:rsidRPr="00FB3A86" w:rsidRDefault="00790ADA" w:rsidP="00441B6F">
      <w:pPr>
        <w:pStyle w:val="Body"/>
        <w:spacing w:after="0"/>
        <w:rPr>
          <w:rFonts w:ascii="Arial" w:hAnsi="Arial" w:cs="Arial"/>
        </w:rPr>
      </w:pPr>
    </w:p>
    <w:p w14:paraId="7852D7D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2EAF38" w14:textId="77777777" w:rsidR="00790ADA" w:rsidRPr="00FB3A86" w:rsidRDefault="00790ADA" w:rsidP="00441B6F">
      <w:pPr>
        <w:pStyle w:val="Head1"/>
        <w:spacing w:after="0"/>
        <w:jc w:val="both"/>
        <w:rPr>
          <w:rFonts w:ascii="Arial" w:hAnsi="Arial" w:cs="Arial"/>
        </w:rPr>
      </w:pPr>
    </w:p>
    <w:p w14:paraId="2304AAAC" w14:textId="77777777" w:rsidR="003941BF" w:rsidRDefault="003941BF" w:rsidP="003941BF">
      <w:pPr>
        <w:spacing w:after="160" w:line="276" w:lineRule="auto"/>
        <w:ind w:left="360"/>
        <w:contextualSpacing/>
        <w:jc w:val="both"/>
        <w:rPr>
          <w:rFonts w:ascii="Arial" w:eastAsia="Calibri" w:hAnsi="Arial" w:cs="Arial"/>
          <w:b/>
          <w:iCs/>
          <w:kern w:val="2"/>
          <w:lang w:val="en-GB"/>
          <w14:ligatures w14:val="standardContextual"/>
        </w:rPr>
      </w:pPr>
      <w:r>
        <w:rPr>
          <w:rFonts w:ascii="Arial" w:eastAsia="Calibri" w:hAnsi="Arial" w:cs="Arial"/>
          <w:b/>
          <w:iCs/>
          <w:kern w:val="2"/>
          <w:lang w:val="en-GB"/>
          <w14:ligatures w14:val="standardContextual"/>
        </w:rPr>
        <w:t>3.1.</w:t>
      </w:r>
      <w:r w:rsidRPr="00D62A3B">
        <w:rPr>
          <w:rFonts w:ascii="Arial" w:eastAsia="Calibri" w:hAnsi="Arial" w:cs="Arial"/>
          <w:b/>
          <w:iCs/>
          <w:kern w:val="2"/>
          <w:lang w:val="en-GB"/>
          <w14:ligatures w14:val="standardContextual"/>
        </w:rPr>
        <w:t xml:space="preserve"> Establishment of a global dam safety policy benchmark</w:t>
      </w:r>
    </w:p>
    <w:p w14:paraId="05144C39" w14:textId="77777777" w:rsidR="003941BF" w:rsidRPr="00D62A3B" w:rsidRDefault="003941BF" w:rsidP="003941BF">
      <w:pPr>
        <w:spacing w:after="160" w:line="276" w:lineRule="auto"/>
        <w:ind w:left="360"/>
        <w:contextualSpacing/>
        <w:jc w:val="both"/>
        <w:rPr>
          <w:rFonts w:ascii="Arial" w:eastAsia="Calibri" w:hAnsi="Arial" w:cs="Arial"/>
          <w:b/>
          <w:iCs/>
          <w:kern w:val="2"/>
          <w:lang w:val="en-GB"/>
          <w14:ligatures w14:val="standardContextual"/>
        </w:rPr>
      </w:pPr>
    </w:p>
    <w:p w14:paraId="7D89DCE7" w14:textId="77777777" w:rsidR="00F9435F" w:rsidRPr="00D62A3B" w:rsidRDefault="00F9435F"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The assessment of adequate policy required a benchmark, which would be used for comparison purposes for the Tanzania reservoir in Morogoro.  This global analysis demonstrates how different countries have different management plans for managing dam safety. Nonetheless, it is possible to identify essential elements of some techniques. Common law, command and control procedures, management, reservoir registration and categorization, monitoring, bookkeeping, and reporting, rules and/or standards of behaviour, readiness and education for residents, punitive enforcement, and owner instruction and direction are some of these. According to an analysis of the aforementioned international evaluation criteria, there are three primary independent ways to give the public more comfort about dam safety:</w:t>
      </w:r>
    </w:p>
    <w:p w14:paraId="2CEC8627" w14:textId="77777777" w:rsidR="00F9435F" w:rsidRPr="00D62A3B" w:rsidRDefault="00F9435F" w:rsidP="00ED20E9">
      <w:pPr>
        <w:spacing w:line="276" w:lineRule="auto"/>
        <w:rPr>
          <w:rFonts w:ascii="Arial" w:eastAsia="Calibri" w:hAnsi="Arial" w:cs="Arial"/>
          <w:kern w:val="2"/>
          <w:lang w:val="en-GB"/>
          <w14:ligatures w14:val="standardContextual"/>
        </w:rPr>
      </w:pPr>
      <w:r w:rsidRPr="00D62A3B">
        <w:rPr>
          <w:rFonts w:ascii="Arial" w:eastAsia="Calibri" w:hAnsi="Arial" w:cs="Arial"/>
          <w:b/>
          <w:kern w:val="2"/>
          <w:lang w:val="en-GB"/>
          <w14:ligatures w14:val="standardContextual"/>
        </w:rPr>
        <w:t>Approach 1:</w:t>
      </w:r>
      <w:r w:rsidRPr="00D62A3B">
        <w:rPr>
          <w:rFonts w:ascii="Arial" w:eastAsia="Calibri" w:hAnsi="Arial" w:cs="Arial"/>
          <w:kern w:val="2"/>
          <w:lang w:val="en-GB"/>
          <w14:ligatures w14:val="standardContextual"/>
        </w:rPr>
        <w:t xml:space="preserve"> Owner instruction, support, and direction. Supplying dam owners with informational documents and guidelines in the hopes that they will behave responsibly and according to common law requirements (</w:t>
      </w:r>
      <w:proofErr w:type="spellStart"/>
      <w:r w:rsidRPr="00D62A3B">
        <w:rPr>
          <w:rFonts w:ascii="Arial" w:eastAsia="Calibri" w:hAnsi="Arial" w:cs="Arial"/>
          <w:kern w:val="2"/>
          <w:lang w:val="en-GB"/>
          <w14:ligatures w14:val="standardContextual"/>
        </w:rPr>
        <w:t>Gunningham</w:t>
      </w:r>
      <w:proofErr w:type="spellEnd"/>
      <w:r w:rsidRPr="00D62A3B">
        <w:rPr>
          <w:rFonts w:ascii="Arial" w:eastAsia="Calibri" w:hAnsi="Arial" w:cs="Arial"/>
          <w:kern w:val="2"/>
          <w:lang w:val="en-GB"/>
          <w14:ligatures w14:val="standardContextual"/>
        </w:rPr>
        <w:t xml:space="preserve"> and Sinclair, 1999, 2002;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{"citationItems":[{"id":"ITEM-1","itemData":{"ISBN":"0801439620","ISSN":"0029-5582","abstract":"We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evaluation.","author":[{"dropping-particle":"","family":"Zivie-Cohce","given":"C","non-dropping-particle":"","parse-names":false,"suffix":""}],"container-title":"Nucl. Phys.","id":"ITEM-1","issue":"1","issued":{"date-parts":[["1997"]]},"page":"1-122","title":"No Titleیلیب","type":"article-journal","volume":"13"},"uris":["http://www.mendeley.com/documents/?uuid=c7fdbbf4-1c0a-460d-b0dd-59d338be3894","http://www.mendeley.com/documents/?uuid=7cdae122-49d2-44da-9eb9-374ad79fc810","http://www.mendeley.com/documents/?uuid=1fba983e-e583-4409-bca3-ed533a8a3554"]}],"mendeley":{"formattedCitation":"(Zivie-Cohce, 1997)","manualFormatting":"Zivie-Cohce, 1997)","plainTextFormattedCitation":"(Zivie-Cohce, 1997)","previouslyFormattedCitation":"(Zivie-Cohce, 1997)"},"properties":{"noteIndex":0},"schema":"https://github.com/citation-style-language/schema/raw/master/csl-citation.json"}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Zivie-Cohce, 1997)</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w:t>
      </w:r>
    </w:p>
    <w:p w14:paraId="08E33FF1" w14:textId="77777777" w:rsidR="00F9435F" w:rsidRPr="00D62A3B" w:rsidRDefault="00F9435F" w:rsidP="00ED20E9">
      <w:pPr>
        <w:spacing w:line="276" w:lineRule="auto"/>
        <w:rPr>
          <w:rFonts w:ascii="Arial" w:eastAsia="Calibri" w:hAnsi="Arial" w:cs="Arial"/>
          <w:kern w:val="2"/>
          <w:lang w:val="en-GB"/>
          <w14:ligatures w14:val="standardContextual"/>
        </w:rPr>
      </w:pPr>
      <w:r w:rsidRPr="00D62A3B">
        <w:rPr>
          <w:rFonts w:ascii="Arial" w:eastAsia="Calibri" w:hAnsi="Arial" w:cs="Arial"/>
          <w:b/>
          <w:kern w:val="2"/>
          <w:lang w:val="en-GB"/>
          <w14:ligatures w14:val="standardContextual"/>
        </w:rPr>
        <w:lastRenderedPageBreak/>
        <w:t>Approach 2:</w:t>
      </w:r>
      <w:r w:rsidRPr="00D62A3B">
        <w:rPr>
          <w:rFonts w:ascii="Arial" w:eastAsia="Calibri" w:hAnsi="Arial" w:cs="Arial"/>
          <w:kern w:val="2"/>
          <w:lang w:val="en-GB"/>
          <w14:ligatures w14:val="standardContextual"/>
        </w:rPr>
        <w:t xml:space="preserve"> Using emergency action plans (EAPs) to organize the community. Making EAPs a requirement for all dam owners may be necessary under legislation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and McKay, 2007). To mandate the creation and upkeep of increasingly sophisticated plans for increasing hazard potential and to monitor the overall state of reservoir safety management, it is also necessary for the government to establish and maintain a reservoir registration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and McKay, 2007). Because downstream populations are informed of the dangers and hazards they face and are given the option to evacuate in the event of a dam failure, this law respects the principle of the "Community Right to Know" (</w:t>
      </w:r>
      <w:proofErr w:type="spellStart"/>
      <w:r w:rsidRPr="00D62A3B">
        <w:rPr>
          <w:rFonts w:ascii="Arial" w:eastAsia="Calibri" w:hAnsi="Arial" w:cs="Arial"/>
          <w:kern w:val="2"/>
          <w:lang w:val="en-GB"/>
          <w14:ligatures w14:val="standardContextual"/>
        </w:rPr>
        <w:t>Gunningham</w:t>
      </w:r>
      <w:proofErr w:type="spellEnd"/>
      <w:r w:rsidRPr="00D62A3B">
        <w:rPr>
          <w:rFonts w:ascii="Arial" w:eastAsia="Calibri" w:hAnsi="Arial" w:cs="Arial"/>
          <w:kern w:val="2"/>
          <w:lang w:val="en-GB"/>
          <w14:ligatures w14:val="standardContextual"/>
        </w:rPr>
        <w:t xml:space="preserve"> and </w:t>
      </w:r>
      <w:proofErr w:type="spellStart"/>
      <w:r w:rsidRPr="00D62A3B">
        <w:rPr>
          <w:rFonts w:ascii="Arial" w:eastAsia="Calibri" w:hAnsi="Arial" w:cs="Arial"/>
          <w:kern w:val="2"/>
          <w:lang w:val="en-GB"/>
          <w14:ligatures w14:val="standardContextual"/>
        </w:rPr>
        <w:t>Grabosky</w:t>
      </w:r>
      <w:proofErr w:type="spellEnd"/>
      <w:r w:rsidRPr="00D62A3B">
        <w:rPr>
          <w:rFonts w:ascii="Arial" w:eastAsia="Calibri" w:hAnsi="Arial" w:cs="Arial"/>
          <w:kern w:val="2"/>
          <w:lang w:val="en-GB"/>
          <w14:ligatures w14:val="standardContextual"/>
        </w:rPr>
        <w:t>, 1998).</w:t>
      </w:r>
    </w:p>
    <w:p w14:paraId="1118B5C1" w14:textId="77777777" w:rsidR="00F9435F" w:rsidRPr="00D62A3B" w:rsidRDefault="00F9435F" w:rsidP="00ED20E9">
      <w:pPr>
        <w:spacing w:line="276" w:lineRule="auto"/>
        <w:rPr>
          <w:rFonts w:ascii="Arial" w:eastAsia="Calibri" w:hAnsi="Arial" w:cs="Arial"/>
          <w:kern w:val="2"/>
          <w:lang w:val="en-GB"/>
          <w14:ligatures w14:val="standardContextual"/>
        </w:rPr>
      </w:pPr>
      <w:r w:rsidRPr="00D62A3B">
        <w:rPr>
          <w:rFonts w:ascii="Arial" w:eastAsia="Calibri" w:hAnsi="Arial" w:cs="Arial"/>
          <w:b/>
          <w:kern w:val="2"/>
          <w:lang w:val="en-GB"/>
          <w14:ligatures w14:val="standardContextual"/>
        </w:rPr>
        <w:t>Approach 3:</w:t>
      </w:r>
      <w:r w:rsidRPr="00D62A3B">
        <w:rPr>
          <w:rFonts w:ascii="Arial" w:eastAsia="Calibri" w:hAnsi="Arial" w:cs="Arial"/>
          <w:kern w:val="2"/>
          <w:lang w:val="en-GB"/>
          <w14:ligatures w14:val="standardContextual"/>
        </w:rPr>
        <w:t xml:space="preserve"> Command and Control - stringent oversight and regulation through the application of dam safety laws. </w:t>
      </w:r>
      <w:proofErr w:type="spellStart"/>
      <w:r w:rsidRPr="00D62A3B">
        <w:rPr>
          <w:rFonts w:ascii="Arial" w:eastAsia="Calibri" w:hAnsi="Arial" w:cs="Arial"/>
          <w:kern w:val="2"/>
          <w:lang w:val="en-GB"/>
          <w14:ligatures w14:val="standardContextual"/>
        </w:rPr>
        <w:t>Gunningham</w:t>
      </w:r>
      <w:proofErr w:type="spellEnd"/>
      <w:r w:rsidRPr="00D62A3B">
        <w:rPr>
          <w:rFonts w:ascii="Arial" w:eastAsia="Calibri" w:hAnsi="Arial" w:cs="Arial"/>
          <w:kern w:val="2"/>
          <w:lang w:val="en-GB"/>
          <w14:ligatures w14:val="standardContextual"/>
        </w:rPr>
        <w:t xml:space="preserve"> and </w:t>
      </w:r>
      <w:proofErr w:type="spellStart"/>
      <w:r w:rsidRPr="00D62A3B">
        <w:rPr>
          <w:rFonts w:ascii="Arial" w:eastAsia="Calibri" w:hAnsi="Arial" w:cs="Arial"/>
          <w:kern w:val="2"/>
          <w:lang w:val="en-GB"/>
          <w14:ligatures w14:val="standardContextual"/>
        </w:rPr>
        <w:t>Grabosky</w:t>
      </w:r>
      <w:proofErr w:type="spellEnd"/>
      <w:r w:rsidRPr="00D62A3B">
        <w:rPr>
          <w:rFonts w:ascii="Arial" w:eastAsia="Calibri" w:hAnsi="Arial" w:cs="Arial"/>
          <w:kern w:val="2"/>
          <w:lang w:val="en-GB"/>
          <w14:ligatures w14:val="standardContextual"/>
        </w:rPr>
        <w:t xml:space="preserve"> (1998) and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{"citationItems":[{"id":"ITEM-1","itemData":{"DOI":"10.4324/9780203019078-25","ISSN":"15298094","abstract":"My subject is what the practice of education can learn from the arts. I describe the forms of thinking the arts evoke and their relevance for re-framing conceptions of what education can accomplish.","author":[{"dropping-particle":"","family":"Eisner","given":"Elliot W.","non-dropping-particle":"","parse-names":false,"suffix":""}],"container-title":"International Journal of Education and the Arts","id":"ITEM-1","issue":"4","issued":{"date-parts":[["2004"]]},"page":"1-13","title":"What can education learn from the arts about the practice of education?","type":"article-journal","volume":"5"},"uris":["http://www.mendeley.com/documents/?uuid=c14d5cf6-356a-4422-97dc-e5a7145e31af","http://www.mendeley.com/documents/?uuid=8befecf0-1c8e-4e13-bcaf-0a43addb7f16","http://www.mendeley.com/documents/?uuid=71c37b29-121f-462f-b632-5f4fea499276"]}],"mendeley":{"formattedCitation":"(Eisner, 2004)","manualFormatting":"Eisner (2004)","plainTextFormattedCitation":"(Eisner, 2004)","previouslyFormattedCitation":"(Eisner, 2004)"},"properties":{"noteIndex":0},"schema":"https://github.com/citation-style-language/schema/raw/master/csl-citation.json"}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Eisner (2004)</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 xml:space="preserve"> discussed the establishment of legal requirements for reservoir owners to adhere to specific rules, de facto standards, codes, and regulations on dam safety management, as well as the provision of supervision to guarantee compliance and provide a degree of regulatory certainty. All of these studies (Bradlow </w:t>
      </w:r>
      <w:r w:rsidRPr="00D62A3B">
        <w:rPr>
          <w:rFonts w:ascii="Arial" w:eastAsia="Calibri" w:hAnsi="Arial" w:cs="Arial"/>
          <w:i/>
          <w:iCs/>
          <w:kern w:val="2"/>
          <w:lang w:val="en-GB"/>
          <w14:ligatures w14:val="standardContextual"/>
        </w:rPr>
        <w:t>et al</w:t>
      </w:r>
      <w:r w:rsidRPr="00D62A3B">
        <w:rPr>
          <w:rFonts w:ascii="Arial" w:eastAsia="Calibri" w:hAnsi="Arial" w:cs="Arial"/>
          <w:kern w:val="2"/>
          <w:lang w:val="en-GB"/>
          <w14:ligatures w14:val="standardContextual"/>
        </w:rPr>
        <w:t xml:space="preserve">., 2002; </w:t>
      </w:r>
      <w:proofErr w:type="spellStart"/>
      <w:r w:rsidRPr="00D62A3B">
        <w:rPr>
          <w:rFonts w:ascii="Arial" w:eastAsia="Calibri" w:hAnsi="Arial" w:cs="Arial"/>
          <w:kern w:val="2"/>
          <w:lang w:val="en-GB"/>
          <w14:ligatures w14:val="standardContextual"/>
        </w:rPr>
        <w:t>Tigey-Holyoak</w:t>
      </w:r>
      <w:proofErr w:type="spellEnd"/>
      <w:r w:rsidRPr="00D62A3B">
        <w:rPr>
          <w:rFonts w:ascii="Arial" w:eastAsia="Calibri" w:hAnsi="Arial" w:cs="Arial"/>
          <w:kern w:val="2"/>
          <w:lang w:val="en-GB"/>
          <w14:ligatures w14:val="standardContextual"/>
        </w:rPr>
        <w:t xml:space="preserve"> </w:t>
      </w:r>
      <w:r w:rsidRPr="00D62A3B">
        <w:rPr>
          <w:rFonts w:ascii="Arial" w:eastAsia="Calibri" w:hAnsi="Arial" w:cs="Arial"/>
          <w:i/>
          <w:iCs/>
          <w:kern w:val="2"/>
          <w:lang w:val="en-GB"/>
          <w14:ligatures w14:val="standardContextual"/>
        </w:rPr>
        <w:t>et al</w:t>
      </w:r>
      <w:r w:rsidRPr="00D62A3B">
        <w:rPr>
          <w:rFonts w:ascii="Arial" w:eastAsia="Calibri" w:hAnsi="Arial" w:cs="Arial"/>
          <w:kern w:val="2"/>
          <w:lang w:val="en-GB"/>
          <w14:ligatures w14:val="standardContextual"/>
        </w:rPr>
        <w:t xml:space="preserve">., 2011;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w:t>
      </w:r>
      <w:r w:rsidRPr="00D62A3B">
        <w:rPr>
          <w:rFonts w:ascii="Arial" w:eastAsia="Calibri" w:hAnsi="Arial" w:cs="Arial"/>
          <w:i/>
          <w:iCs/>
          <w:kern w:val="2"/>
          <w:lang w:val="en-GB"/>
          <w14:ligatures w14:val="standardContextual"/>
        </w:rPr>
        <w:t>et al</w:t>
      </w:r>
      <w:r w:rsidRPr="00D62A3B">
        <w:rPr>
          <w:rFonts w:ascii="Arial" w:eastAsia="Calibri" w:hAnsi="Arial" w:cs="Arial"/>
          <w:kern w:val="2"/>
          <w:lang w:val="en-GB"/>
          <w14:ligatures w14:val="standardContextual"/>
        </w:rPr>
        <w:t xml:space="preserve">., 2011;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2010;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and Burritt, 2010;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and McKay, 2003) </w:t>
      </w:r>
      <w:r w:rsidRPr="00D62A3B">
        <w:rPr>
          <w:rFonts w:ascii="Arial" w:eastAsia="Calibri" w:hAnsi="Arial" w:cs="Arial"/>
          <w:kern w:val="2"/>
          <w14:ligatures w14:val="standardContextual"/>
        </w:rPr>
        <w:t>have a primary focus on ensuring newly built dams are appropriately conceived and constructed, while also promoting proper maintenance and collecting information on risk assessment of existing dams. </w:t>
      </w:r>
      <w:r w:rsidRPr="00D62A3B">
        <w:rPr>
          <w:rFonts w:ascii="Arial" w:eastAsia="Calibri" w:hAnsi="Arial" w:cs="Arial"/>
          <w:kern w:val="2"/>
          <w:lang w:val="en-GB"/>
          <w14:ligatures w14:val="standardContextual"/>
        </w:rPr>
        <w:t xml:space="preserve">These studies have led to the establishment of international dam safety benchmarks. It is advised to use three general models of dam safety management policy, which range from "minimum practice" to "best practice," to give the public greater confidence regarding dam safety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{"citationItems":[{"id":"ITEM-1","itemData":{"DOI":"10.1080/07900627.2010.489306","ISSN":"07900627","abstract":"The safety of medium- and large-scale dams is addressed in many countries, but limited attention is paid to problems associated with smaller farm dams, particularly potential cumulative threats posed in larger catchments. Farmers in Australia often overlook the common law obligation to review and design dams in line with current standards. The result is downstream communities, property and environment placed at risk. This paper demonstrates the significance of this problem with case studies undertaken in policy-absent South Australia, policy-driven Victoria and policy-strong New South Wales, including empirical evidence on attitudes and responses of landholders and key policy actors. This demonstrates need for supervision of small dams. Tasmania is included as a case study as it represents a policy-model state on how this can be best achieved in line with international best-practice. The four cases provide useful comparative lessons. Policy guidelines applicable to any jurisdiction are included; their application is illustrated with the case studies. The paper considers the policy implications of these lessons for Australia in particular and the world in general. © 2010 Taylor &amp; Francis.","author":[{"dropping-particle":"","family":"Pisaniello","given":"John D.","non-dropping-particle":"","parse-names":false,"suffix":""}],"container-title":"International Journal of Water Resources Development","id":"ITEM-1","issue":"3","issued":{"date-parts":[["2010"]]},"page":"381-402","title":"Attitudes and Policy Responses to Australian farm dam safety threats: Comparative lessons for water resources managers","type":"article-journal","volume":"26"},"uris":["http://www.mendeley.com/documents/?uuid=80449049-4332-4df0-884e-58df38633fd0","http://www.mendeley.com/documents/?uuid=b57a8500-2eab-4913-8955-1728b03628cb","http://www.mendeley.com/documents/?uuid=1c8724b7-25ec-4d70-b869-d9a844243d01"]}],"mendeley":{"formattedCitation":"(Pisaniello, 2010)","plainTextFormattedCitation":"(Pisaniello, 2010)","previouslyFormattedCitation":"(Pisaniello, 2010)"},"properties":{"noteIndex":0},"schema":"https://github.com/citation-style-language/schema/raw/master/csl-citation.json"}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(Pisaniello, 2010)</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 xml:space="preserve">. These models are known as the global models. </w:t>
      </w:r>
    </w:p>
    <w:p w14:paraId="7C015F3D" w14:textId="77777777" w:rsidR="00F9435F" w:rsidRPr="00D62A3B" w:rsidRDefault="00F9435F" w:rsidP="00ED20E9">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 xml:space="preserve">The models consist of the following: </w:t>
      </w:r>
    </w:p>
    <w:p w14:paraId="5BAF94DB" w14:textId="77777777" w:rsidR="00F9435F" w:rsidRPr="00D62A3B" w:rsidRDefault="00F9435F" w:rsidP="00ED20E9">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 xml:space="preserve">Minimum practice = approach 1 + approach 2 (i.e., the minimum level benchmark).  </w:t>
      </w:r>
    </w:p>
    <w:p w14:paraId="79EE6C66" w14:textId="77777777" w:rsidR="00F9435F" w:rsidRPr="00D62A3B" w:rsidRDefault="00F9435F" w:rsidP="00ED20E9">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Average practice = approach 1 + approach 2 + some element(s) of 3.</w:t>
      </w:r>
    </w:p>
    <w:p w14:paraId="4AC172E6" w14:textId="77777777" w:rsidR="00F9435F" w:rsidRDefault="00F9435F" w:rsidP="00ED20E9">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Best practice = approach 1+ approach 2 + approach 3 (i.e., the best practice benchmark).</w:t>
      </w:r>
    </w:p>
    <w:p w14:paraId="7C5CB6B9" w14:textId="77777777" w:rsidR="00B23916" w:rsidRPr="00D62A3B" w:rsidRDefault="00B23916" w:rsidP="00EE04EB">
      <w:pPr>
        <w:spacing w:line="276" w:lineRule="auto"/>
        <w:rPr>
          <w:rFonts w:ascii="Arial" w:eastAsia="Calibri" w:hAnsi="Arial" w:cs="Arial"/>
          <w:kern w:val="2"/>
          <w14:ligatures w14:val="standardContextual"/>
        </w:rPr>
      </w:pPr>
    </w:p>
    <w:p w14:paraId="7C5C8B5B" w14:textId="77777777" w:rsidR="00ED20E9" w:rsidRPr="00F04866" w:rsidRDefault="00ED20E9" w:rsidP="00ED20E9">
      <w:pPr>
        <w:spacing w:line="276" w:lineRule="auto"/>
        <w:jc w:val="both"/>
        <w:rPr>
          <w:rFonts w:ascii="Arial" w:eastAsia="Calibri" w:hAnsi="Arial" w:cs="Arial"/>
          <w:kern w:val="2"/>
          <w14:ligatures w14:val="standardContextual"/>
        </w:rPr>
      </w:pPr>
      <w:r w:rsidRPr="00AB7E50">
        <w:rPr>
          <w:rFonts w:ascii="Arial" w:eastAsia="Calibri" w:hAnsi="Arial" w:cs="Arial"/>
          <w:b/>
          <w:kern w:val="2"/>
          <w14:ligatures w14:val="standardContextual"/>
        </w:rPr>
        <w:t xml:space="preserve">Table </w:t>
      </w:r>
      <w:r w:rsidRPr="00AB7E50">
        <w:rPr>
          <w:rFonts w:ascii="Arial" w:eastAsia="Calibri" w:hAnsi="Arial" w:cs="Arial"/>
          <w:b/>
          <w:kern w:val="2"/>
          <w14:ligatures w14:val="standardContextual"/>
        </w:rPr>
        <w:fldChar w:fldCharType="begin"/>
      </w:r>
      <w:r w:rsidRPr="00AB7E50">
        <w:rPr>
          <w:rFonts w:ascii="Arial" w:eastAsia="Calibri" w:hAnsi="Arial" w:cs="Arial"/>
          <w:b/>
          <w:kern w:val="2"/>
          <w14:ligatures w14:val="standardContextual"/>
        </w:rPr>
        <w:instrText xml:space="preserve"> SEQ Table \* ARABIC </w:instrText>
      </w:r>
      <w:r w:rsidRPr="00AB7E50">
        <w:rPr>
          <w:rFonts w:ascii="Arial" w:eastAsia="Calibri" w:hAnsi="Arial" w:cs="Arial"/>
          <w:b/>
          <w:kern w:val="2"/>
          <w14:ligatures w14:val="standardContextual"/>
        </w:rPr>
        <w:fldChar w:fldCharType="separate"/>
      </w:r>
      <w:r w:rsidRPr="00AB7E50">
        <w:rPr>
          <w:rFonts w:ascii="Arial" w:eastAsia="Calibri" w:hAnsi="Arial" w:cs="Arial"/>
          <w:b/>
          <w:kern w:val="2"/>
          <w14:ligatures w14:val="standardContextual"/>
        </w:rPr>
        <w:t>1</w:t>
      </w:r>
      <w:r w:rsidRPr="00AB7E50">
        <w:rPr>
          <w:rFonts w:ascii="Arial" w:eastAsia="Calibri" w:hAnsi="Arial" w:cs="Arial"/>
          <w:b/>
          <w:kern w:val="2"/>
          <w14:ligatures w14:val="standardContextual"/>
        </w:rPr>
        <w:fldChar w:fldCharType="end"/>
      </w:r>
      <w:r w:rsidRPr="005A5C81">
        <w:rPr>
          <w:rFonts w:ascii="Arial" w:eastAsia="Calibri" w:hAnsi="Arial" w:cs="Arial"/>
          <w:kern w:val="2"/>
          <w14:ligatures w14:val="standardContextual"/>
        </w:rPr>
        <w:t>.International policy levels of practices</w:t>
      </w:r>
    </w:p>
    <w:tbl>
      <w:tblPr>
        <w:tblStyle w:val="TableGrid"/>
        <w:tblW w:w="0" w:type="auto"/>
        <w:tblLook w:val="04A0" w:firstRow="1" w:lastRow="0" w:firstColumn="1" w:lastColumn="0" w:noHBand="0" w:noVBand="1"/>
      </w:tblPr>
      <w:tblGrid>
        <w:gridCol w:w="3528"/>
        <w:gridCol w:w="5714"/>
      </w:tblGrid>
      <w:tr w:rsidR="00ED20E9" w:rsidRPr="004406D9" w14:paraId="25C7FD8B" w14:textId="77777777" w:rsidTr="00ED20E9">
        <w:tc>
          <w:tcPr>
            <w:tcW w:w="3528" w:type="dxa"/>
          </w:tcPr>
          <w:p w14:paraId="055B2590" w14:textId="77777777" w:rsidR="00ED20E9" w:rsidRPr="004406D9" w:rsidRDefault="00ED20E9" w:rsidP="00ED20E9">
            <w:pPr>
              <w:spacing w:after="160" w:line="276" w:lineRule="auto"/>
              <w:jc w:val="both"/>
              <w:rPr>
                <w:rFonts w:ascii="Arial" w:hAnsi="Arial" w:cs="Arial"/>
                <w:b/>
                <w:bCs/>
                <w:kern w:val="2"/>
                <w:lang w:val="en-GB"/>
                <w14:ligatures w14:val="standardContextual"/>
              </w:rPr>
            </w:pPr>
            <w:r w:rsidRPr="004406D9">
              <w:rPr>
                <w:rFonts w:ascii="Arial" w:hAnsi="Arial" w:cs="Arial"/>
                <w:b/>
                <w:bCs/>
                <w:kern w:val="2"/>
                <w:lang w:val="en-GB"/>
                <w14:ligatures w14:val="standardContextual"/>
              </w:rPr>
              <w:t>Model category</w:t>
            </w:r>
          </w:p>
        </w:tc>
        <w:tc>
          <w:tcPr>
            <w:tcW w:w="5714" w:type="dxa"/>
          </w:tcPr>
          <w:p w14:paraId="14BCB066" w14:textId="77777777" w:rsidR="00ED20E9" w:rsidRPr="004406D9" w:rsidRDefault="00ED20E9" w:rsidP="00ED20E9">
            <w:pPr>
              <w:spacing w:after="160" w:line="276" w:lineRule="auto"/>
              <w:jc w:val="both"/>
              <w:rPr>
                <w:rFonts w:ascii="Arial" w:hAnsi="Arial" w:cs="Arial"/>
                <w:b/>
                <w:bCs/>
                <w:kern w:val="2"/>
                <w:lang w:val="en-GB"/>
                <w14:ligatures w14:val="standardContextual"/>
              </w:rPr>
            </w:pPr>
            <w:r w:rsidRPr="004406D9">
              <w:rPr>
                <w:rFonts w:ascii="Arial" w:hAnsi="Arial" w:cs="Arial"/>
                <w:b/>
                <w:bCs/>
                <w:kern w:val="2"/>
                <w:lang w:val="en-GB"/>
                <w14:ligatures w14:val="standardContextual"/>
              </w:rPr>
              <w:t>Crucial element</w:t>
            </w:r>
          </w:p>
        </w:tc>
      </w:tr>
      <w:tr w:rsidR="00ED20E9" w:rsidRPr="004406D9" w14:paraId="4C2D7607" w14:textId="77777777" w:rsidTr="00ED20E9">
        <w:trPr>
          <w:trHeight w:val="3936"/>
        </w:trPr>
        <w:tc>
          <w:tcPr>
            <w:tcW w:w="3528" w:type="dxa"/>
          </w:tcPr>
          <w:p w14:paraId="045671BA"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‘Best Practices’</w:t>
            </w:r>
          </w:p>
        </w:tc>
        <w:tc>
          <w:tcPr>
            <w:tcW w:w="5714" w:type="dxa"/>
          </w:tcPr>
          <w:p w14:paraId="035590D7"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The objectives of legal regulations</w:t>
            </w:r>
          </w:p>
          <w:p w14:paraId="04A2384A"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Implementation through administrative measures</w:t>
            </w:r>
          </w:p>
          <w:p w14:paraId="5E561A7D"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Categorization and documentation of dams</w:t>
            </w:r>
          </w:p>
          <w:p w14:paraId="284322AD"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Surveillance, scrutiny, and assessment of safety</w:t>
            </w:r>
          </w:p>
          <w:p w14:paraId="32960497"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Preparedness and education within the community</w:t>
            </w:r>
          </w:p>
          <w:p w14:paraId="403AE21B"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Responsibility of dam managers to furnish information</w:t>
            </w:r>
          </w:p>
          <w:p w14:paraId="2E010A10"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Guidance and oversight for dam managers</w:t>
            </w:r>
          </w:p>
          <w:p w14:paraId="78EBE2FF"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Application of sanctions for enforcement</w:t>
            </w:r>
          </w:p>
          <w:p w14:paraId="0C705304"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Inclusion of the federal or central government</w:t>
            </w:r>
          </w:p>
        </w:tc>
      </w:tr>
      <w:tr w:rsidR="00ED20E9" w:rsidRPr="004406D9" w14:paraId="635FBED0" w14:textId="77777777" w:rsidTr="00ED20E9">
        <w:trPr>
          <w:trHeight w:val="2160"/>
        </w:trPr>
        <w:tc>
          <w:tcPr>
            <w:tcW w:w="3528" w:type="dxa"/>
          </w:tcPr>
          <w:p w14:paraId="0715BF84" w14:textId="77777777" w:rsidR="00ED20E9" w:rsidRPr="00E0659C"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lastRenderedPageBreak/>
              <w:t>‘Average practice’</w:t>
            </w:r>
          </w:p>
        </w:tc>
        <w:tc>
          <w:tcPr>
            <w:tcW w:w="5714" w:type="dxa"/>
          </w:tcPr>
          <w:p w14:paraId="6860DDAD"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The objectives of legal provisions</w:t>
            </w:r>
          </w:p>
          <w:p w14:paraId="672534ED"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Categorization and documentation of dams</w:t>
            </w:r>
          </w:p>
          <w:p w14:paraId="196C4456"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Preparedness and educational initiatives within communities</w:t>
            </w:r>
          </w:p>
          <w:p w14:paraId="698661B8" w14:textId="77777777" w:rsidR="00ED20E9" w:rsidRPr="00E0659C"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Guidance and oversight for those responsible for managing dams</w:t>
            </w:r>
          </w:p>
        </w:tc>
      </w:tr>
      <w:tr w:rsidR="00ED20E9" w:rsidRPr="004406D9" w14:paraId="3C622FFD" w14:textId="77777777" w:rsidTr="00ED20E9">
        <w:trPr>
          <w:trHeight w:val="1548"/>
        </w:trPr>
        <w:tc>
          <w:tcPr>
            <w:tcW w:w="3528" w:type="dxa"/>
          </w:tcPr>
          <w:p w14:paraId="6B280BC6" w14:textId="77777777" w:rsidR="00ED20E9" w:rsidRPr="00E0659C"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‘Minimum practice’</w:t>
            </w:r>
          </w:p>
        </w:tc>
        <w:tc>
          <w:tcPr>
            <w:tcW w:w="5714" w:type="dxa"/>
          </w:tcPr>
          <w:p w14:paraId="7A589F71" w14:textId="77777777" w:rsidR="00ED20E9" w:rsidRPr="004406D9" w:rsidRDefault="00ED20E9" w:rsidP="00ED20E9">
            <w:pPr>
              <w:spacing w:after="160" w:line="276" w:lineRule="auto"/>
              <w:jc w:val="both"/>
              <w:rPr>
                <w:rFonts w:ascii="Arial" w:hAnsi="Arial" w:cs="Arial"/>
                <w:kern w:val="2"/>
                <w:lang w:val="en-GB"/>
                <w14:ligatures w14:val="standardContextual"/>
              </w:rPr>
            </w:pPr>
          </w:p>
          <w:p w14:paraId="34E99D46"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Enrolment and categorization of dams</w:t>
            </w:r>
          </w:p>
          <w:p w14:paraId="01435D93" w14:textId="77777777" w:rsidR="00ED20E9" w:rsidRPr="004406D9"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Community awareness and readiness</w:t>
            </w:r>
          </w:p>
          <w:p w14:paraId="10698D66" w14:textId="77777777" w:rsidR="00ED20E9" w:rsidRPr="00E0659C" w:rsidRDefault="00ED20E9" w:rsidP="00ED20E9">
            <w:pPr>
              <w:spacing w:after="160" w:line="276" w:lineRule="auto"/>
              <w:jc w:val="both"/>
              <w:rPr>
                <w:rFonts w:ascii="Arial" w:hAnsi="Arial" w:cs="Arial"/>
                <w:kern w:val="2"/>
                <w:lang w:val="en-GB"/>
                <w14:ligatures w14:val="standardContextual"/>
              </w:rPr>
            </w:pPr>
            <w:r w:rsidRPr="004406D9">
              <w:rPr>
                <w:rFonts w:ascii="Arial" w:hAnsi="Arial" w:cs="Arial"/>
                <w:kern w:val="2"/>
                <w:lang w:val="en-GB"/>
                <w14:ligatures w14:val="standardContextual"/>
              </w:rPr>
              <w:t>Training and direction for those overseeing dams</w:t>
            </w:r>
          </w:p>
        </w:tc>
      </w:tr>
    </w:tbl>
    <w:p w14:paraId="1DD7C927" w14:textId="77777777" w:rsidR="00ED20E9" w:rsidRPr="001C2EE1" w:rsidRDefault="00ED20E9" w:rsidP="00ED20E9">
      <w:pPr>
        <w:spacing w:line="276" w:lineRule="auto"/>
        <w:jc w:val="both"/>
        <w:rPr>
          <w:rFonts w:ascii="Arial" w:eastAsia="Calibri" w:hAnsi="Arial" w:cs="Arial"/>
          <w:kern w:val="2"/>
          <w:lang w:val="fr-FR"/>
          <w14:ligatures w14:val="standardContextual"/>
        </w:rPr>
      </w:pPr>
      <w:r w:rsidRPr="00224267">
        <w:rPr>
          <w:rFonts w:ascii="Arial" w:eastAsia="Calibri" w:hAnsi="Arial" w:cs="Arial"/>
          <w:kern w:val="2"/>
          <w:lang w:val="fr-FR"/>
          <w14:ligatures w14:val="standardContextual"/>
        </w:rPr>
        <w:t xml:space="preserve">Source: </w:t>
      </w:r>
      <w:r w:rsidRPr="00DC0C2E">
        <w:rPr>
          <w:rFonts w:ascii="Arial" w:eastAsia="Calibri" w:hAnsi="Arial" w:cs="Arial"/>
          <w:kern w:val="2"/>
          <w:lang w:val="en-GB"/>
          <w14:ligatures w14:val="standardContextual"/>
        </w:rPr>
        <w:fldChar w:fldCharType="begin" w:fldLock="1"/>
      </w:r>
      <w:r w:rsidRPr="00224267">
        <w:rPr>
          <w:rFonts w:ascii="Arial" w:eastAsia="Calibri" w:hAnsi="Arial" w:cs="Arial"/>
          <w:kern w:val="2"/>
          <w:lang w:val="fr-FR"/>
          <w14:ligatures w14:val="standardContextual"/>
        </w:rPr>
        <w:instrText>ADDIN CSL_CITATION {"citationItems":[{"id":"ITEM-1","itemData":{"author":[{"dropping-particle":"","family":"Thi","given":"Tuyet","non-dropping-particle":"","parse-names":false,"suffix":""},{"dropping-particle":"","family":"Burritt","given":"Roger L","non-dropping-particle":"","parse-names":false,"suffix":""},{"dropping-particle":"","family":"Pisaniello","given":"John D","non-dropping-particle":"","parse-names":false,"suffix":""}],"id":"ITEM-1","issued":{"date-parts":[["2012"]]},"page":"63-74","title":"Adequacy of policy and practices for small agricultural dam safety accountability and assurance in Vietnam","type":"article-journal","volume":"112"},"uris":["http://www.mendeley.com/documents/?uuid=0699a18a-07f0-4757-be92-0fb909d5bfd3"]},{"id":"ITEM-2","itemData":{"DOI":"10.1016/j.agwat.2010.10.001","ISSN":"03783774","abstract":"In most countries, owner responsibility exists under Common Law to manage and maintain dams according to current standards. However, farm dam safety in Australia is being flouted and the sustainability of farming businesses compromised because of the potential and severe consequences of dam failure. This paper explores management and policy issues associated with safety of farm dam water storage through a comparison of developments in two Australian states against international benchmarks. Historical review and a longitudinal study over a 12-year period provides the basis for case analysis and demonstrates the application of the benchmarked model policy selection guidelines. Research results show South Australia is lagging international best practice in a number of ways whilst Tasmania provides leadership. The contribution of this paper is a regulatory mix analysis approach, incorporating a cost-effective spillway safety engineering/accounting tool, developed and demonstrated through Australian case studies, that can be applied by any jurisdiction wanting to check and/or improve its farm dam safety management and provide a clearer analysis of the social and environmental costs and threats associated with on-farm dam safety issues. © 2010.","author":[{"dropping-particle":"","family":"Pisaniello","given":"John D.","non-dropping-particle":"","parse-names":false,"suffix":""},{"dropping-particle":"","family":"Burritt","given":"Roger L.","non-dropping-particle":"","parse-names":false,"suffix":""},{"dropping-particle":"","family":"Tingey-Holyoak","given":"Joanne","non-dropping-particle":"","parse-names":false,"suffix":""}],"container-title":"Agricultural Water Management","id":"ITEM-2","issue":"4","issued":{"date-parts":[["2011"]]},"page":"507-516","publisher":"Elsevier B.V.","title":"Dam safety management for sustainable farming businesses and catchments","type":"article-journal","volume":"98"},"uris":["http://www.mendeley.com/documents/?uuid=46f985a8-d79f-441f-a488-cfd4ff1364b4"]}],"mendeley":{"formattedCitation":"(J. D. Pisaniello et al., 2011; Thi et al., 2012)","plainTextFormattedCitation":"(J. D. Pisaniello et al., 2011; Thi et al., 2012)","previouslyFormattedCitation":"(J. D. Pisaniello et al., 2011; Thi et al., 2012)"},"properties":{"noteIndex":0},"schema":"https://github.com/citation-style-language/schema/raw/master/csl-citation.json"}</w:instrText>
      </w:r>
      <w:r w:rsidRPr="00DC0C2E">
        <w:rPr>
          <w:rFonts w:ascii="Arial" w:eastAsia="Calibri" w:hAnsi="Arial" w:cs="Arial"/>
          <w:kern w:val="2"/>
          <w:lang w:val="en-GB"/>
          <w14:ligatures w14:val="standardContextual"/>
        </w:rPr>
        <w:fldChar w:fldCharType="separate"/>
      </w:r>
      <w:r w:rsidRPr="00224267">
        <w:rPr>
          <w:rFonts w:ascii="Arial" w:eastAsia="Calibri" w:hAnsi="Arial" w:cs="Arial"/>
          <w:kern w:val="2"/>
          <w:lang w:val="fr-FR"/>
          <w14:ligatures w14:val="standardContextual"/>
        </w:rPr>
        <w:t>(J. D. Pisaniello et al., 2011; Thi et al., 2012)</w:t>
      </w:r>
      <w:r w:rsidRPr="00DC0C2E">
        <w:rPr>
          <w:rFonts w:ascii="Arial" w:eastAsia="Calibri" w:hAnsi="Arial" w:cs="Arial"/>
          <w:kern w:val="2"/>
          <w14:ligatures w14:val="standardContextual"/>
        </w:rPr>
        <w:fldChar w:fldCharType="end"/>
      </w:r>
    </w:p>
    <w:p w14:paraId="682A6688" w14:textId="77777777" w:rsidR="00ED20E9" w:rsidRPr="00224267" w:rsidRDefault="00ED20E9" w:rsidP="00ED20E9">
      <w:pPr>
        <w:spacing w:line="276" w:lineRule="auto"/>
        <w:jc w:val="both"/>
        <w:rPr>
          <w:rFonts w:ascii="Arial" w:eastAsia="Calibri" w:hAnsi="Arial" w:cs="Arial"/>
          <w:kern w:val="2"/>
          <w:lang w:val="fr-FR"/>
          <w14:ligatures w14:val="standardContextual"/>
        </w:rPr>
      </w:pPr>
    </w:p>
    <w:p w14:paraId="7A4C9CDB" w14:textId="77777777" w:rsidR="00ED20E9" w:rsidRPr="00D62A3B" w:rsidRDefault="00ED20E9" w:rsidP="00ED20E9">
      <w:pPr>
        <w:spacing w:line="276" w:lineRule="auto"/>
        <w:rPr>
          <w:rFonts w:ascii="Arial" w:eastAsia="Calibri" w:hAnsi="Arial" w:cs="Arial"/>
          <w:kern w:val="2"/>
          <w:lang w:val="en-GB"/>
          <w14:ligatures w14:val="standardContextual"/>
        </w:rPr>
      </w:pPr>
      <w:proofErr w:type="spellStart"/>
      <w:r w:rsidRPr="002D0EB1">
        <w:rPr>
          <w:rFonts w:ascii="Arial" w:eastAsia="Calibri" w:hAnsi="Arial" w:cs="Arial"/>
          <w:kern w:val="2"/>
          <w:lang w:val="fr-FR"/>
          <w14:ligatures w14:val="standardContextual"/>
        </w:rPr>
        <w:t>Together</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with</w:t>
      </w:r>
      <w:proofErr w:type="spellEnd"/>
      <w:r w:rsidRPr="002D0EB1">
        <w:rPr>
          <w:rFonts w:ascii="Arial" w:eastAsia="Calibri" w:hAnsi="Arial" w:cs="Arial"/>
          <w:kern w:val="2"/>
          <w:lang w:val="fr-FR"/>
          <w14:ligatures w14:val="standardContextual"/>
        </w:rPr>
        <w:t xml:space="preserve"> the </w:t>
      </w:r>
      <w:proofErr w:type="spellStart"/>
      <w:r w:rsidRPr="002D0EB1">
        <w:rPr>
          <w:rFonts w:ascii="Arial" w:eastAsia="Calibri" w:hAnsi="Arial" w:cs="Arial"/>
          <w:kern w:val="2"/>
          <w:lang w:val="fr-FR"/>
          <w14:ligatures w14:val="standardContextual"/>
        </w:rPr>
        <w:t>three</w:t>
      </w:r>
      <w:proofErr w:type="spellEnd"/>
      <w:r w:rsidRPr="002D0EB1">
        <w:rPr>
          <w:rFonts w:ascii="Arial" w:eastAsia="Calibri" w:hAnsi="Arial" w:cs="Arial"/>
          <w:kern w:val="2"/>
          <w:lang w:val="fr-FR"/>
          <w14:ligatures w14:val="standardContextual"/>
        </w:rPr>
        <w:t xml:space="preserve"> global </w:t>
      </w:r>
      <w:proofErr w:type="spellStart"/>
      <w:r w:rsidRPr="002D0EB1">
        <w:rPr>
          <w:rFonts w:ascii="Arial" w:eastAsia="Calibri" w:hAnsi="Arial" w:cs="Arial"/>
          <w:kern w:val="2"/>
          <w:lang w:val="fr-FR"/>
          <w14:ligatures w14:val="standardContextual"/>
        </w:rPr>
        <w:t>models</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Bradlow</w:t>
      </w:r>
      <w:proofErr w:type="spellEnd"/>
      <w:r w:rsidRPr="002D0EB1">
        <w:rPr>
          <w:rFonts w:ascii="Arial" w:eastAsia="Calibri" w:hAnsi="Arial" w:cs="Arial"/>
          <w:kern w:val="2"/>
          <w:lang w:val="fr-FR"/>
          <w14:ligatures w14:val="standardContextual"/>
        </w:rPr>
        <w:t xml:space="preserve"> </w:t>
      </w:r>
      <w:r w:rsidRPr="002D0EB1">
        <w:rPr>
          <w:rFonts w:ascii="Arial" w:eastAsia="Calibri" w:hAnsi="Arial" w:cs="Arial"/>
          <w:i/>
          <w:iCs/>
          <w:kern w:val="2"/>
          <w:lang w:val="fr-FR"/>
          <w14:ligatures w14:val="standardContextual"/>
        </w:rPr>
        <w:t>et al</w:t>
      </w:r>
      <w:r w:rsidRPr="002D0EB1">
        <w:rPr>
          <w:rFonts w:ascii="Arial" w:eastAsia="Calibri" w:hAnsi="Arial" w:cs="Arial"/>
          <w:kern w:val="2"/>
          <w:lang w:val="fr-FR"/>
          <w14:ligatures w14:val="standardContextual"/>
        </w:rPr>
        <w:t xml:space="preserve">. </w:t>
      </w:r>
      <w:r w:rsidRPr="00ED20E9">
        <w:rPr>
          <w:rFonts w:ascii="Arial" w:eastAsia="Calibri" w:hAnsi="Arial" w:cs="Arial"/>
          <w:kern w:val="2"/>
          <w:lang w:val="fr-FR"/>
          <w14:ligatures w14:val="standardContextual"/>
        </w:rPr>
        <w:t xml:space="preserve">(2002) </w:t>
      </w:r>
      <w:proofErr w:type="spellStart"/>
      <w:r w:rsidRPr="00ED20E9">
        <w:rPr>
          <w:rFonts w:ascii="Arial" w:eastAsia="Calibri" w:hAnsi="Arial" w:cs="Arial"/>
          <w:kern w:val="2"/>
          <w:lang w:val="fr-FR"/>
          <w14:ligatures w14:val="standardContextual"/>
        </w:rPr>
        <w:t>developed</w:t>
      </w:r>
      <w:proofErr w:type="spellEnd"/>
      <w:r w:rsidRPr="00ED20E9">
        <w:rPr>
          <w:rFonts w:ascii="Arial" w:eastAsia="Calibri" w:hAnsi="Arial" w:cs="Arial"/>
          <w:kern w:val="2"/>
          <w:lang w:val="fr-FR"/>
          <w14:ligatures w14:val="standardContextual"/>
        </w:rPr>
        <w:t xml:space="preserve"> by the "World Bank </w:t>
      </w:r>
      <w:proofErr w:type="spellStart"/>
      <w:r w:rsidRPr="00ED20E9">
        <w:rPr>
          <w:rFonts w:ascii="Arial" w:eastAsia="Calibri" w:hAnsi="Arial" w:cs="Arial"/>
          <w:kern w:val="2"/>
          <w:lang w:val="fr-FR"/>
          <w14:ligatures w14:val="standardContextual"/>
        </w:rPr>
        <w:t>frameworks</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which</w:t>
      </w:r>
      <w:proofErr w:type="spellEnd"/>
      <w:r w:rsidRPr="00ED20E9">
        <w:rPr>
          <w:rFonts w:ascii="Arial" w:eastAsia="Calibri" w:hAnsi="Arial" w:cs="Arial"/>
          <w:kern w:val="2"/>
          <w:lang w:val="fr-FR"/>
          <w14:ligatures w14:val="standardContextual"/>
        </w:rPr>
        <w:t xml:space="preserve"> are guidelines for dam </w:t>
      </w:r>
      <w:proofErr w:type="spellStart"/>
      <w:r w:rsidRPr="00ED20E9">
        <w:rPr>
          <w:rFonts w:ascii="Arial" w:eastAsia="Calibri" w:hAnsi="Arial" w:cs="Arial"/>
          <w:kern w:val="2"/>
          <w:lang w:val="fr-FR"/>
          <w14:ligatures w14:val="standardContextual"/>
        </w:rPr>
        <w:t>safety</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regulations</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sponsored</w:t>
      </w:r>
      <w:proofErr w:type="spellEnd"/>
      <w:r w:rsidRPr="00ED20E9">
        <w:rPr>
          <w:rFonts w:ascii="Arial" w:eastAsia="Calibri" w:hAnsi="Arial" w:cs="Arial"/>
          <w:kern w:val="2"/>
          <w:lang w:val="fr-FR"/>
          <w14:ligatures w14:val="standardContextual"/>
        </w:rPr>
        <w:t xml:space="preserve"> by the World Bank and </w:t>
      </w:r>
      <w:proofErr w:type="spellStart"/>
      <w:r w:rsidRPr="00ED20E9">
        <w:rPr>
          <w:rFonts w:ascii="Arial" w:eastAsia="Calibri" w:hAnsi="Arial" w:cs="Arial"/>
          <w:kern w:val="2"/>
          <w:lang w:val="fr-FR"/>
          <w14:ligatures w14:val="standardContextual"/>
        </w:rPr>
        <w:t>also</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referred</w:t>
      </w:r>
      <w:proofErr w:type="spellEnd"/>
      <w:r w:rsidRPr="00ED20E9">
        <w:rPr>
          <w:rFonts w:ascii="Arial" w:eastAsia="Calibri" w:hAnsi="Arial" w:cs="Arial"/>
          <w:kern w:val="2"/>
          <w:lang w:val="fr-FR"/>
          <w14:ligatures w14:val="standardContextual"/>
        </w:rPr>
        <w:t xml:space="preserve"> to as </w:t>
      </w:r>
      <w:proofErr w:type="spellStart"/>
      <w:r w:rsidRPr="00ED20E9">
        <w:rPr>
          <w:rFonts w:ascii="Arial" w:eastAsia="Calibri" w:hAnsi="Arial" w:cs="Arial"/>
          <w:kern w:val="2"/>
          <w:lang w:val="fr-FR"/>
          <w14:ligatures w14:val="standardContextual"/>
        </w:rPr>
        <w:t>regulatory</w:t>
      </w:r>
      <w:proofErr w:type="spellEnd"/>
      <w:r w:rsidRPr="00ED20E9">
        <w:rPr>
          <w:rFonts w:ascii="Arial" w:eastAsia="Calibri" w:hAnsi="Arial" w:cs="Arial"/>
          <w:kern w:val="2"/>
          <w:lang w:val="fr-FR"/>
          <w14:ligatures w14:val="standardContextual"/>
        </w:rPr>
        <w:t xml:space="preserve"> standards. </w:t>
      </w:r>
      <w:r w:rsidRPr="002D0EB1">
        <w:rPr>
          <w:rFonts w:ascii="Arial" w:eastAsia="Calibri" w:hAnsi="Arial" w:cs="Arial"/>
          <w:kern w:val="2"/>
          <w:lang w:val="fr-FR"/>
          <w14:ligatures w14:val="standardContextual"/>
        </w:rPr>
        <w:t xml:space="preserve">As </w:t>
      </w:r>
      <w:proofErr w:type="spellStart"/>
      <w:r w:rsidRPr="002D0EB1">
        <w:rPr>
          <w:rFonts w:ascii="Arial" w:eastAsia="Calibri" w:hAnsi="Arial" w:cs="Arial"/>
          <w:kern w:val="2"/>
          <w:lang w:val="fr-FR"/>
          <w14:ligatures w14:val="standardContextual"/>
        </w:rPr>
        <w:t>proposed</w:t>
      </w:r>
      <w:proofErr w:type="spellEnd"/>
      <w:r w:rsidRPr="002D0EB1">
        <w:rPr>
          <w:rFonts w:ascii="Arial" w:eastAsia="Calibri" w:hAnsi="Arial" w:cs="Arial"/>
          <w:kern w:val="2"/>
          <w:lang w:val="fr-FR"/>
          <w14:ligatures w14:val="standardContextual"/>
        </w:rPr>
        <w:t xml:space="preserve"> by </w:t>
      </w:r>
      <w:proofErr w:type="spellStart"/>
      <w:r w:rsidRPr="002D0EB1">
        <w:rPr>
          <w:rFonts w:ascii="Arial" w:eastAsia="Calibri" w:hAnsi="Arial" w:cs="Arial"/>
          <w:kern w:val="2"/>
          <w:lang w:val="fr-FR"/>
          <w14:ligatures w14:val="standardContextual"/>
        </w:rPr>
        <w:t>Gunningham</w:t>
      </w:r>
      <w:proofErr w:type="spellEnd"/>
      <w:r w:rsidRPr="002D0EB1">
        <w:rPr>
          <w:rFonts w:ascii="Arial" w:eastAsia="Calibri" w:hAnsi="Arial" w:cs="Arial"/>
          <w:kern w:val="2"/>
          <w:lang w:val="fr-FR"/>
          <w14:ligatures w14:val="standardContextual"/>
        </w:rPr>
        <w:t xml:space="preserve"> and </w:t>
      </w:r>
      <w:proofErr w:type="spellStart"/>
      <w:r w:rsidRPr="002D0EB1">
        <w:rPr>
          <w:rFonts w:ascii="Arial" w:eastAsia="Calibri" w:hAnsi="Arial" w:cs="Arial"/>
          <w:kern w:val="2"/>
          <w:lang w:val="fr-FR"/>
          <w14:ligatures w14:val="standardContextual"/>
        </w:rPr>
        <w:t>Grabosky</w:t>
      </w:r>
      <w:proofErr w:type="spellEnd"/>
      <w:r w:rsidRPr="002D0EB1">
        <w:rPr>
          <w:rFonts w:ascii="Arial" w:eastAsia="Calibri" w:hAnsi="Arial" w:cs="Arial"/>
          <w:kern w:val="2"/>
          <w:lang w:val="fr-FR"/>
          <w14:ligatures w14:val="standardContextual"/>
        </w:rPr>
        <w:t xml:space="preserve"> (1998), a </w:t>
      </w:r>
      <w:proofErr w:type="spellStart"/>
      <w:r w:rsidRPr="002D0EB1">
        <w:rPr>
          <w:rFonts w:ascii="Arial" w:eastAsia="Calibri" w:hAnsi="Arial" w:cs="Arial"/>
          <w:kern w:val="2"/>
          <w:lang w:val="fr-FR"/>
          <w14:ligatures w14:val="standardContextual"/>
        </w:rPr>
        <w:t>suitable</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regulatory</w:t>
      </w:r>
      <w:proofErr w:type="spellEnd"/>
      <w:r w:rsidRPr="002D0EB1">
        <w:rPr>
          <w:rFonts w:ascii="Arial" w:eastAsia="Calibri" w:hAnsi="Arial" w:cs="Arial"/>
          <w:kern w:val="2"/>
          <w:lang w:val="fr-FR"/>
          <w14:ligatures w14:val="standardContextual"/>
        </w:rPr>
        <w:t xml:space="preserve"> mix </w:t>
      </w:r>
      <w:proofErr w:type="spellStart"/>
      <w:r w:rsidRPr="002D0EB1">
        <w:rPr>
          <w:rFonts w:ascii="Arial" w:eastAsia="Calibri" w:hAnsi="Arial" w:cs="Arial"/>
          <w:kern w:val="2"/>
          <w:lang w:val="fr-FR"/>
          <w14:ligatures w14:val="standardContextual"/>
        </w:rPr>
        <w:t>that</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incorporates</w:t>
      </w:r>
      <w:proofErr w:type="spellEnd"/>
      <w:r w:rsidRPr="002D0EB1">
        <w:rPr>
          <w:rFonts w:ascii="Arial" w:eastAsia="Calibri" w:hAnsi="Arial" w:cs="Arial"/>
          <w:kern w:val="2"/>
          <w:lang w:val="fr-FR"/>
          <w14:ligatures w14:val="standardContextual"/>
        </w:rPr>
        <w:t xml:space="preserve"> multiple </w:t>
      </w:r>
      <w:proofErr w:type="spellStart"/>
      <w:r w:rsidRPr="002D0EB1">
        <w:rPr>
          <w:rFonts w:ascii="Arial" w:eastAsia="Calibri" w:hAnsi="Arial" w:cs="Arial"/>
          <w:kern w:val="2"/>
          <w:lang w:val="fr-FR"/>
          <w14:ligatures w14:val="standardContextual"/>
        </w:rPr>
        <w:t>mechanisms</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is</w:t>
      </w:r>
      <w:proofErr w:type="spellEnd"/>
      <w:r w:rsidRPr="002D0EB1">
        <w:rPr>
          <w:rFonts w:ascii="Arial" w:eastAsia="Calibri" w:hAnsi="Arial" w:cs="Arial"/>
          <w:kern w:val="2"/>
          <w:lang w:val="fr-FR"/>
          <w14:ligatures w14:val="standardContextual"/>
        </w:rPr>
        <w:t xml:space="preserve"> </w:t>
      </w:r>
      <w:proofErr w:type="spellStart"/>
      <w:r w:rsidRPr="002D0EB1">
        <w:rPr>
          <w:rFonts w:ascii="Arial" w:eastAsia="Calibri" w:hAnsi="Arial" w:cs="Arial"/>
          <w:kern w:val="2"/>
          <w:lang w:val="fr-FR"/>
          <w14:ligatures w14:val="standardContextual"/>
        </w:rPr>
        <w:t>meant</w:t>
      </w:r>
      <w:proofErr w:type="spellEnd"/>
      <w:r w:rsidRPr="002D0EB1">
        <w:rPr>
          <w:rFonts w:ascii="Arial" w:eastAsia="Calibri" w:hAnsi="Arial" w:cs="Arial"/>
          <w:kern w:val="2"/>
          <w:lang w:val="fr-FR"/>
          <w14:ligatures w14:val="standardContextual"/>
        </w:rPr>
        <w:t xml:space="preserve"> to </w:t>
      </w:r>
      <w:proofErr w:type="spellStart"/>
      <w:r w:rsidRPr="002D0EB1">
        <w:rPr>
          <w:rFonts w:ascii="Arial" w:eastAsia="Calibri" w:hAnsi="Arial" w:cs="Arial"/>
          <w:kern w:val="2"/>
          <w:lang w:val="fr-FR"/>
          <w14:ligatures w14:val="standardContextual"/>
        </w:rPr>
        <w:t>create</w:t>
      </w:r>
      <w:proofErr w:type="spellEnd"/>
      <w:r w:rsidRPr="002D0EB1">
        <w:rPr>
          <w:rFonts w:ascii="Arial" w:eastAsia="Calibri" w:hAnsi="Arial" w:cs="Arial"/>
          <w:kern w:val="2"/>
          <w:lang w:val="fr-FR"/>
          <w14:ligatures w14:val="standardContextual"/>
        </w:rPr>
        <w:t xml:space="preserve"> a global standard or benchmark. </w:t>
      </w:r>
      <w:r w:rsidRPr="00ED20E9">
        <w:rPr>
          <w:rFonts w:ascii="Arial" w:eastAsia="Calibri" w:hAnsi="Arial" w:cs="Arial"/>
          <w:kern w:val="2"/>
          <w:lang w:val="fr-FR"/>
          <w14:ligatures w14:val="standardContextual"/>
        </w:rPr>
        <w:t xml:space="preserve">This benchmark </w:t>
      </w:r>
      <w:proofErr w:type="spellStart"/>
      <w:r w:rsidRPr="00ED20E9">
        <w:rPr>
          <w:rFonts w:ascii="Arial" w:eastAsia="Calibri" w:hAnsi="Arial" w:cs="Arial"/>
          <w:kern w:val="2"/>
          <w:lang w:val="fr-FR"/>
          <w14:ligatures w14:val="standardContextual"/>
        </w:rPr>
        <w:t>is</w:t>
      </w:r>
      <w:proofErr w:type="spellEnd"/>
      <w:r w:rsidRPr="00ED20E9">
        <w:rPr>
          <w:rFonts w:ascii="Arial" w:eastAsia="Calibri" w:hAnsi="Arial" w:cs="Arial"/>
          <w:kern w:val="2"/>
          <w:lang w:val="fr-FR"/>
          <w14:ligatures w14:val="standardContextual"/>
        </w:rPr>
        <w:t xml:space="preserve"> essential for </w:t>
      </w:r>
      <w:proofErr w:type="spellStart"/>
      <w:r w:rsidRPr="00ED20E9">
        <w:rPr>
          <w:rFonts w:ascii="Arial" w:eastAsia="Calibri" w:hAnsi="Arial" w:cs="Arial"/>
          <w:kern w:val="2"/>
          <w:lang w:val="fr-FR"/>
          <w14:ligatures w14:val="standardContextual"/>
        </w:rPr>
        <w:t>evaluating</w:t>
      </w:r>
      <w:proofErr w:type="spellEnd"/>
      <w:r w:rsidRPr="00ED20E9">
        <w:rPr>
          <w:rFonts w:ascii="Arial" w:eastAsia="Calibri" w:hAnsi="Arial" w:cs="Arial"/>
          <w:kern w:val="2"/>
          <w:lang w:val="fr-FR"/>
          <w14:ligatures w14:val="standardContextual"/>
        </w:rPr>
        <w:t xml:space="preserve"> the </w:t>
      </w:r>
      <w:proofErr w:type="spellStart"/>
      <w:r w:rsidRPr="00ED20E9">
        <w:rPr>
          <w:rFonts w:ascii="Arial" w:eastAsia="Calibri" w:hAnsi="Arial" w:cs="Arial"/>
          <w:kern w:val="2"/>
          <w:lang w:val="fr-FR"/>
          <w14:ligatures w14:val="standardContextual"/>
        </w:rPr>
        <w:t>effectiveness</w:t>
      </w:r>
      <w:proofErr w:type="spellEnd"/>
      <w:r w:rsidRPr="00ED20E9">
        <w:rPr>
          <w:rFonts w:ascii="Arial" w:eastAsia="Calibri" w:hAnsi="Arial" w:cs="Arial"/>
          <w:kern w:val="2"/>
          <w:lang w:val="fr-FR"/>
          <w14:ligatures w14:val="standardContextual"/>
        </w:rPr>
        <w:t xml:space="preserve"> of on-</w:t>
      </w:r>
      <w:proofErr w:type="spellStart"/>
      <w:r w:rsidRPr="00ED20E9">
        <w:rPr>
          <w:rFonts w:ascii="Arial" w:eastAsia="Calibri" w:hAnsi="Arial" w:cs="Arial"/>
          <w:kern w:val="2"/>
          <w:lang w:val="fr-FR"/>
          <w14:ligatures w14:val="standardContextual"/>
        </w:rPr>
        <w:t>farm</w:t>
      </w:r>
      <w:proofErr w:type="spellEnd"/>
      <w:r w:rsidRPr="00ED20E9">
        <w:rPr>
          <w:rFonts w:ascii="Arial" w:eastAsia="Calibri" w:hAnsi="Arial" w:cs="Arial"/>
          <w:kern w:val="2"/>
          <w:lang w:val="fr-FR"/>
          <w14:ligatures w14:val="standardContextual"/>
        </w:rPr>
        <w:t xml:space="preserve"> water </w:t>
      </w:r>
      <w:proofErr w:type="spellStart"/>
      <w:r w:rsidRPr="00ED20E9">
        <w:rPr>
          <w:rFonts w:ascii="Arial" w:eastAsia="Calibri" w:hAnsi="Arial" w:cs="Arial"/>
          <w:kern w:val="2"/>
          <w:lang w:val="fr-FR"/>
          <w14:ligatures w14:val="standardContextual"/>
        </w:rPr>
        <w:t>storage</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safety</w:t>
      </w:r>
      <w:proofErr w:type="spellEnd"/>
      <w:r w:rsidRPr="00ED20E9">
        <w:rPr>
          <w:rFonts w:ascii="Arial" w:eastAsia="Calibri" w:hAnsi="Arial" w:cs="Arial"/>
          <w:kern w:val="2"/>
          <w:lang w:val="fr-FR"/>
          <w14:ligatures w14:val="standardContextual"/>
        </w:rPr>
        <w:t xml:space="preserve"> management in </w:t>
      </w:r>
      <w:proofErr w:type="spellStart"/>
      <w:r w:rsidRPr="00ED20E9">
        <w:rPr>
          <w:rFonts w:ascii="Arial" w:eastAsia="Calibri" w:hAnsi="Arial" w:cs="Arial"/>
          <w:kern w:val="2"/>
          <w:lang w:val="fr-FR"/>
          <w14:ligatures w14:val="standardContextual"/>
        </w:rPr>
        <w:t>various</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legal</w:t>
      </w:r>
      <w:proofErr w:type="spellEnd"/>
      <w:r w:rsidRPr="00ED20E9">
        <w:rPr>
          <w:rFonts w:ascii="Arial" w:eastAsia="Calibri" w:hAnsi="Arial" w:cs="Arial"/>
          <w:kern w:val="2"/>
          <w:lang w:val="fr-FR"/>
          <w14:ligatures w14:val="standardContextual"/>
        </w:rPr>
        <w:t xml:space="preserve"> </w:t>
      </w:r>
      <w:proofErr w:type="spellStart"/>
      <w:r w:rsidRPr="00ED20E9">
        <w:rPr>
          <w:rFonts w:ascii="Arial" w:eastAsia="Calibri" w:hAnsi="Arial" w:cs="Arial"/>
          <w:kern w:val="2"/>
          <w:lang w:val="fr-FR"/>
          <w14:ligatures w14:val="standardContextual"/>
        </w:rPr>
        <w:t>contexts</w:t>
      </w:r>
      <w:proofErr w:type="spellEnd"/>
      <w:r w:rsidRPr="00ED20E9">
        <w:rPr>
          <w:rFonts w:ascii="Arial" w:eastAsia="Calibri" w:hAnsi="Arial" w:cs="Arial"/>
          <w:kern w:val="2"/>
          <w:lang w:val="fr-FR"/>
          <w14:ligatures w14:val="standardContextual"/>
        </w:rPr>
        <w:t xml:space="preserve"> </w:t>
      </w:r>
      <w:r w:rsidRPr="00D62A3B">
        <w:rPr>
          <w:rFonts w:ascii="Arial" w:eastAsia="Calibri" w:hAnsi="Arial" w:cs="Arial"/>
          <w:kern w:val="2"/>
          <w:lang w:val="en-GB"/>
          <w14:ligatures w14:val="standardContextual"/>
        </w:rPr>
        <w:fldChar w:fldCharType="begin" w:fldLock="1"/>
      </w:r>
      <w:r w:rsidRPr="00ED20E9">
        <w:rPr>
          <w:rFonts w:ascii="Arial" w:eastAsia="Calibri" w:hAnsi="Arial" w:cs="Arial"/>
          <w:kern w:val="2"/>
          <w:lang w:val="fr-FR"/>
          <w14:ligatures w14:val="standardContextual"/>
        </w:rPr>
        <w:instrText>ADDIN CSL_CITATION {"citationItems":[{"id":"ITEM-1","itemData":{"DOI":"10.9774/GLEAF.3062.2003.wi.00003","ISSN":"09669671","abstract":"In summary, this special issue of Greener Management International hopefully provides a concise overview of the current status and an insight into recent new work on the debate and practice of the relationship b</w:instrText>
      </w:r>
      <w:r w:rsidRPr="002D0EB1">
        <w:rPr>
          <w:rFonts w:ascii="Arial" w:eastAsia="Calibri" w:hAnsi="Arial" w:cs="Arial"/>
          <w:kern w:val="2"/>
          <w14:ligatures w14:val="standardContextual"/>
        </w:rPr>
        <w:instrText>etween sustainability performance, business competitiveness, with a particular focus on empirical evidence and on a wide geographical and industrial scope. In particular the geographical spread of the research, from, America to Asia and from northern via western to Southern Europe, and into developing and emerging economies, impressively reflects the truly global nature of the issues at the heart of sustainability and the topic of this special issue.","author":[{"dropping-particle":"","family":"Wagner","given":"Marcus","non-dropping-particle":"","parse-names":false,"suffix":""}</w:instrText>
      </w:r>
      <w:r w:rsidRPr="00ED20E9">
        <w:rPr>
          <w:rFonts w:ascii="Arial" w:eastAsia="Calibri" w:hAnsi="Arial" w:cs="Arial"/>
          <w:kern w:val="2"/>
          <w14:ligatures w14:val="standardContextual"/>
        </w:rPr>
        <w:instrText>,</w:instrText>
      </w:r>
      <w:r w:rsidRPr="00D62A3B">
        <w:rPr>
          <w:rFonts w:ascii="Arial" w:eastAsia="Calibri" w:hAnsi="Arial" w:cs="Arial"/>
          <w:kern w:val="2"/>
          <w:lang w:val="en-GB"/>
          <w14:ligatures w14:val="standardContextual"/>
        </w:rPr>
        <w:instrText>{"dropping-particle":"","family":"Schaltegger","given":"Stefan","non-dropping-particle":"","parse-names":false,"suffix":""}],"container-title":"Greener Management International","id":"ITEM-1","issue":"44","issued":{"date-parts":[["2003"]]},"page":"5-16","title":"How does sustainability performance relate to business competitiveness?","type":"article-journal"},"uris":["http://www.mendeley.com/documents/?uuid=c7da5b0b-8c55-48b8-9e26-35c076786448","http://www.mendeley.com/documents/?uuid=64902017-5676-4b3f-994b-247bce5aab90","http://www.mendeley.com/documents/?uuid=b3ffcf1c-1754-4967-a6ab-07cb6d1a6982"]}],"mendeley":{"formattedCitation":"(Wagner &amp; Schaltegger, 2003)","plainTextFormattedCitation":"(Wagner &amp; Schaltegger, 2003)","previouslyFormattedCitation":"(Wagner &amp; Schaltegger, 2003)"},"properties":{"noteIndex":0},"schema":"https://github.com/citation-style-language/schema/raw/master/csl-citation.json"}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(Wagner &amp; Schaltegger, 2003)</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 xml:space="preserve">. In the event of a crisis, the public would be most assured and best practices would be established by a dam safety assurance policy that incorporates all three models. That being said,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{"citationItems":[{"id":"ITEM-1","itemData":{"DOI":"10.1111/j.1747-4469.1999.tb00407.x","ISSN":"08976546","abstract":"This article builds on recent field research to articulate a principle-based approach to environmental regulatory design that is applicable to a wide variety of circumstances, irrespective of political and social particularities. At its core, this approach recognizes that an excessive reliance on \"single-instrument\" policies is misguided, because all instruments have strengths and weaknesses, and none is sufficiently flexible and resilient to successfully address all environmental problems in all contexts. A better strategy is to harness the strengths of individual mechanisms while compensating for their weaknesses by the use of additional instruments. That is, in the large majority of circumstances, a mix of regulatory instruments is required, tailored to specific policy goals. The article identifies a series of regulatory design principles that sequentially address the problems and opportunities arising from the application of multi-instrument mixes and engaging a variety of first-, second-, and third-party participants in the regulatory process. The importance of choosing inherently complementary instrument combinations is also highlighted, with practical guidance provided to policymakers. Although the focus of the article is on environmental regulation, the general principles articulated should also be applicable to other areas of social regulation.","author":[{"dropping-particle":"","family":"Gunningham","given":"Neil","non-dropping-particle":"","parse-names":false,"suffix":""},{"dropping-particle":"","family":"Sinclair","given":"Darren","non-dropping-particle":"","parse-names":false,"suffix":""}],"container-title":"Law and Social Inquiry","id":"ITEM-1","issue":"4","issued":{"date-parts":[["1999"]]},"page":"853-896","title":"Integrative regulation: A principle-based approach to environmental policy","type":"article-journal","volume":"24"},"uris":["http://www.mendeley.com/documents/?uuid=e4fe8541-36ea-419c-a602-1339ff81502b","http://www.mendeley.com/documents/?uuid=8ae1c0c5-1742-4842-9e40-354e765eda4b","http://www.mendeley.com/documents/?uuid=09938012-d0fd-4ee1-b539-d1a96385aacd"]}],"mendeley":{"formattedCitation":"(Gunningham &amp; Sinclair, 1999)","manualFormatting":"Gunningham and Sinclai (1999)","plainTextFormattedCitation":"(Gunningham &amp; Sinclair, 1999)","previouslyFormattedCitation":"(Gunningham &amp; Sinclair, 1999)"},"properties":{"noteIndex":0},"schema":"https://github.com/citation-style-language/schema/raw/master/csl-citation.json"}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Gunningham and Sinclai (1999)</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 xml:space="preserve"> suggest that it could theoretically be feasible to start and continue operations only using model 1's lowest benchmark. </w:t>
      </w:r>
      <w:r w:rsidRPr="00D62A3B">
        <w:rPr>
          <w:rFonts w:ascii="Arial" w:eastAsia="Calibri" w:hAnsi="Arial" w:cs="Arial"/>
          <w:kern w:val="2"/>
          <w14:ligatures w14:val="standardContextual"/>
        </w:rPr>
        <w:t xml:space="preserve">According to </w:t>
      </w:r>
      <w:proofErr w:type="spellStart"/>
      <w:r w:rsidRPr="00D62A3B">
        <w:rPr>
          <w:rFonts w:ascii="Arial" w:eastAsia="Calibri" w:hAnsi="Arial" w:cs="Arial"/>
          <w:kern w:val="2"/>
          <w14:ligatures w14:val="standardContextual"/>
        </w:rPr>
        <w:t>Pisaniello</w:t>
      </w:r>
      <w:proofErr w:type="spellEnd"/>
      <w:r w:rsidRPr="00D62A3B">
        <w:rPr>
          <w:rFonts w:ascii="Arial" w:eastAsia="Calibri" w:hAnsi="Arial" w:cs="Arial"/>
          <w:kern w:val="2"/>
          <w14:ligatures w14:val="standardContextual"/>
        </w:rPr>
        <w:t xml:space="preserve"> </w:t>
      </w:r>
      <w:r w:rsidRPr="00D62A3B">
        <w:rPr>
          <w:rFonts w:ascii="Arial" w:eastAsia="Calibri" w:hAnsi="Arial" w:cs="Arial"/>
          <w:i/>
          <w:iCs/>
          <w:kern w:val="2"/>
          <w14:ligatures w14:val="standardContextual"/>
        </w:rPr>
        <w:t>et al</w:t>
      </w:r>
      <w:r w:rsidRPr="00D62A3B">
        <w:rPr>
          <w:rFonts w:ascii="Arial" w:eastAsia="Calibri" w:hAnsi="Arial" w:cs="Arial"/>
          <w:kern w:val="2"/>
          <w14:ligatures w14:val="standardContextual"/>
        </w:rPr>
        <w:t xml:space="preserve">. </w:t>
      </w:r>
      <w:r w:rsidRPr="00D62A3B">
        <w:rPr>
          <w:rFonts w:ascii="Arial" w:eastAsia="Calibri" w:hAnsi="Arial" w:cs="Arial"/>
          <w:kern w:val="2"/>
          <w:lang w:val="en-GB"/>
          <w14:ligatures w14:val="standardContextual"/>
        </w:rPr>
        <w:t xml:space="preserve">(2011) and </w:t>
      </w:r>
      <w:proofErr w:type="spellStart"/>
      <w:r w:rsidRPr="00D62A3B">
        <w:rPr>
          <w:rFonts w:ascii="Arial" w:eastAsia="Calibri" w:hAnsi="Arial" w:cs="Arial"/>
          <w:kern w:val="2"/>
          <w:lang w:val="en-GB"/>
          <w14:ligatures w14:val="standardContextual"/>
        </w:rPr>
        <w:t>Pisaniello</w:t>
      </w:r>
      <w:proofErr w:type="spellEnd"/>
      <w:r w:rsidRPr="00D62A3B">
        <w:rPr>
          <w:rFonts w:ascii="Arial" w:eastAsia="Calibri" w:hAnsi="Arial" w:cs="Arial"/>
          <w:kern w:val="2"/>
          <w:lang w:val="en-GB"/>
          <w14:ligatures w14:val="standardContextual"/>
        </w:rPr>
        <w:t xml:space="preserve"> and McKay (2007), benchmark models are complementary to one another and can be used in concert to create thorough guidelines and crucial elements for establishing successful dam safety management policies in any jurisdiction. Table 1 integrates insights from the three international models and the World Bank frameworks to present key elements derived from international benchmarks. The international benchmarks mentioned earlier serve as the foundational standards for this paper's objective assessment of the suitability of the dam safety policy in Tanzania. The evaluation covers both central and local elements, including the overall policy enacted through laws and regulations, as well as practices and policy application on-site.</w:t>
      </w:r>
    </w:p>
    <w:p w14:paraId="65DCE502" w14:textId="77777777" w:rsidR="00B23916" w:rsidRPr="00D62A3B" w:rsidRDefault="00B23916" w:rsidP="00ED20E9">
      <w:pPr>
        <w:spacing w:line="276" w:lineRule="auto"/>
        <w:rPr>
          <w:rFonts w:ascii="Arial" w:eastAsia="Calibri" w:hAnsi="Arial" w:cs="Arial"/>
          <w:kern w:val="2"/>
          <w:lang w:val="en-GB"/>
          <w14:ligatures w14:val="standardContextual"/>
        </w:rPr>
      </w:pPr>
    </w:p>
    <w:p w14:paraId="664A7BE7" w14:textId="77777777" w:rsidR="003941BF" w:rsidRDefault="003941BF" w:rsidP="00ED20E9">
      <w:pPr>
        <w:spacing w:after="160" w:line="276" w:lineRule="auto"/>
        <w:ind w:left="360"/>
        <w:contextualSpacing/>
        <w:rPr>
          <w:rFonts w:ascii="Arial" w:eastAsia="Calibri" w:hAnsi="Arial" w:cs="Arial"/>
          <w:b/>
          <w:iCs/>
          <w:kern w:val="2"/>
          <w:lang w:val="en-GB"/>
          <w14:ligatures w14:val="standardContextual"/>
        </w:rPr>
      </w:pPr>
      <w:r>
        <w:rPr>
          <w:rFonts w:ascii="Arial" w:eastAsia="Calibri" w:hAnsi="Arial" w:cs="Arial"/>
          <w:b/>
          <w:iCs/>
          <w:kern w:val="2"/>
          <w:lang w:val="en-GB"/>
          <w14:ligatures w14:val="standardContextual"/>
        </w:rPr>
        <w:t>3.2.</w:t>
      </w:r>
      <w:r w:rsidRPr="00D62A3B">
        <w:rPr>
          <w:rFonts w:ascii="Arial" w:eastAsia="Calibri" w:hAnsi="Arial" w:cs="Arial"/>
          <w:b/>
          <w:iCs/>
          <w:kern w:val="2"/>
          <w:lang w:val="en-GB"/>
          <w14:ligatures w14:val="standardContextual"/>
        </w:rPr>
        <w:t xml:space="preserve"> An assessment of the rules and policies in place that control Tanzania's dam safety management</w:t>
      </w:r>
    </w:p>
    <w:p w14:paraId="528048A0" w14:textId="77777777" w:rsidR="00B23916" w:rsidRPr="00D62A3B" w:rsidRDefault="00B23916" w:rsidP="00ED20E9">
      <w:pPr>
        <w:spacing w:after="160" w:line="276" w:lineRule="auto"/>
        <w:ind w:left="360"/>
        <w:contextualSpacing/>
        <w:rPr>
          <w:rFonts w:ascii="Arial" w:eastAsia="Calibri" w:hAnsi="Arial" w:cs="Arial"/>
          <w:b/>
          <w:iCs/>
          <w:kern w:val="2"/>
          <w:lang w:val="en-GB"/>
          <w14:ligatures w14:val="standardContextual"/>
        </w:rPr>
      </w:pPr>
    </w:p>
    <w:p w14:paraId="2205F3B7" w14:textId="77777777" w:rsidR="00ED20E9" w:rsidRPr="00D62A3B" w:rsidRDefault="00ED20E9" w:rsidP="00ED20E9">
      <w:pPr>
        <w:spacing w:line="276" w:lineRule="auto"/>
        <w:rPr>
          <w:rFonts w:ascii="Arial" w:eastAsia="Calibri" w:hAnsi="Arial" w:cs="Arial"/>
          <w:kern w:val="2"/>
          <w:lang w:val="en-GB"/>
          <w14:ligatures w14:val="standardContextual"/>
        </w:rPr>
      </w:pPr>
      <w:r w:rsidRPr="00AE2755">
        <w:rPr>
          <w:rFonts w:ascii="Arial" w:eastAsia="Calibri" w:hAnsi="Arial" w:cs="Arial"/>
          <w:kern w:val="2"/>
          <w:lang w:val="en-GB"/>
          <w14:ligatures w14:val="standardContextual"/>
        </w:rPr>
        <w:t xml:space="preserve">In this section, we seek to lay the foundation for a comparative analysis of current laws and regulations against globally accepted </w:t>
      </w:r>
      <w:r w:rsidRPr="00224267">
        <w:rPr>
          <w:rFonts w:ascii="Arial" w:eastAsia="Calibri" w:hAnsi="Arial" w:cs="Arial"/>
          <w:kern w:val="2"/>
          <w:lang w:val="en-GB"/>
          <w14:ligatures w14:val="standardContextual"/>
        </w:rPr>
        <w:t>standards.</w:t>
      </w:r>
      <w:r w:rsidRPr="00D62A3B">
        <w:rPr>
          <w:rFonts w:ascii="Arial" w:eastAsia="Calibri" w:hAnsi="Arial" w:cs="Arial"/>
          <w:kern w:val="2"/>
          <w:lang w:val="en-GB"/>
          <w14:ligatures w14:val="standardContextual"/>
        </w:rPr>
        <w:t xml:space="preserve"> The National Water Policy of 1991 was thoroughly revised after a protracted consultation process resulting in the new National Water Policy (NAWAPO), which was approved by the Cabinet in July 2002, marking the end of this process. It is thought that the NAWAPO addressed and fixed the flaws in the prior policy. In addition, it instituted the decentralization of water supply management, by Agenda 21 from the 1992 United Nations Environment Meeting in Rio de Janeiro. The "subsidiarity principle," which promotes managing water supplies at the most suitable local level, was highlighted in this agenda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{"citationItems":[{"id":"ITEM-1","itemData":{"DOI":"10.2166/wp.2009.024","ISSN":"13667017","abstract":"The paper presents and discusses different approaches to water management, termed \"state centred\", \"market-ased\" and \"community-based\". Each provides different answers to how and by whom limited water resources best could and should be managed. They are based on different development ideologies and advocated by different professions. The article elaborates on the strengths, limitations and compatibility of the three models. These models provide a basis for discussing national water policy and water management reforms in Tanzania as well as the more practical implications of this in one of the main river basins in the country: the Pangani River Basin. Central to the water management problem in this basin are conflicts between communities and the water bureaucracy over what constitutes \"proper\" management of water. The policy and the activities of the river basin authorities continue to reflect a traditional top-down bureaucratic approach to water management, with colonial roots. The water legislation and the formal water management system seem neither to be set up to facilitate the active participation of local communities in water management, nor to facilitate the development of a water market. © IWA Publishing 2009.","author":[{"dropping-particle":"","family":"Lein","given":"Haakon","non-dropping-particle":"","parse-names":false,"suffix":""},{"dropping-particle":"","family":"Tagseth","given":"Mattias","non-dropping-particle":"","parse-names":false,"suffix":""}],"container-title":"Water Policy","id":"ITEM-1","issue":"2","issued":{"date-parts":[["2009"]]},"page":"203-220","title":"Tanzanian water policy reforms - Between principles and practical applications","type":"article-journal","volume":"11"},"uris":["http://www.mendeley.com/documents/?uuid=f4e1b5ad-b446-420e-be3c-af6525546878","http://www.mendeley.com/documents/?uuid=7b35cfb7-0e48-4373-9c9f-7cec977f34f5","http://www.mendeley.com/documents/?uuid=de98c625-67d9-4c5c-930f-ab1c59860c9f"]},{"id":"ITEM-2","itemData":{"DOI":"10.1080/20964129.2018.1549510","ISSN":"23328878","abstract":"Introduction: The benefit of wetlands for reducing poverty depends on the effectiveness of governance systems that influence peoples’ behaviour in the wise use of wetlands. Objectives: This article critically analyses the current poverty reduction strategies, agrarian policies and economic investments governing wetland usage, especially in Tanzania, with regard to their impact on sustainable Ramsar wetlands management. Methodology: It analyses the management structure, domestic policies and legal framework relating to the protection of wetlands in Tanzania in accordance to the wise use concept of the Ramsar Convention. Outcomes: Tanzanian legal provisions for wetland protection are uncoordinated and too limited in their coverage and scope to sufficiently address the destruction of wetland ecosystems. There is no comprehensive national legal framework to guide sustainable management of Ramsar wetlands in Tanzania as laid out by the Ramsar Convention, which the country ratified in the year 2000. Conclusion: Without a sound legislative and policy-making framework, Tanzanian wetlands and their diverse ecosystem services will continue to degenerate with current strategies of increasing agribusiness and other developmental projects or economic investments. This paper provides critical baseline information to inform decision makers to develop appropriate policy and laws, which promote the wise use of wetlands in Tanzania.","author":[{"dropping-particle":"","family":"Materu","given":"Silvia Francis","non-dropping-particle":"","parse-names":false,"suffix":""},{"dropping-particle":"","family":"Urban","given":"Brigitte","non-dropping-particle":"","parse-names":false,"suffix":""},{"dropping-particle":"","family":"Heise","given":"Susanne","non-dropping-particle":"","parse-names":false,"suffix":""}],"container-title":"Ecosystem Health and Sustainability","id":"ITEM-2","issue":"12","issued":{"date-parts":[["2018"]]},"page":"310-320","publisher":"Taylor &amp; Francis","title":"A critical review of policies and legislation protecting Tanzanian wetlands","type":"article-journal","volume":"4"},"uris":["http://www.mendeley.com/documents/?uuid=33f445c4-621f-41cb-8145-a8da99e0a3cf","http://www.mendeley.com/documents/?uuid=4a9f4fb6-6de0-4fb3-91b3-244e9087c11f","http://www.mendeley.com/documents/?uuid=25ce1bd3-b145-41e7-9bc4-5026e3220713"]}],"mendeley":{"formattedCitation":"(Lein &amp; Tagseth, 2009; Materu et al., 2018)","plainTextFormattedCitation":"(Lein &amp; Tagseth, 2009; Materu et al., 2018)","previouslyFormattedCitation":"(Lein &amp; Tagseth, 2009; Materu et al., 2018)"},"properties":{"noteIndex":0},"schema":"https://github.com/citation-style-language/schema/raw/master/csl-citation.json"}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 xml:space="preserve">(Lein &amp; Tagseth, 2009; Materu </w:t>
      </w:r>
      <w:r w:rsidRPr="00D62A3B">
        <w:rPr>
          <w:rFonts w:ascii="Arial" w:eastAsia="Calibri" w:hAnsi="Arial" w:cs="Arial"/>
          <w:i/>
          <w:iCs/>
          <w:noProof/>
          <w:kern w:val="2"/>
          <w:lang w:val="en-GB"/>
          <w14:ligatures w14:val="standardContextual"/>
        </w:rPr>
        <w:t>et al</w:t>
      </w:r>
      <w:r w:rsidRPr="00D62A3B">
        <w:rPr>
          <w:rFonts w:ascii="Arial" w:eastAsia="Calibri" w:hAnsi="Arial" w:cs="Arial"/>
          <w:noProof/>
          <w:kern w:val="2"/>
          <w:lang w:val="en-GB"/>
          <w14:ligatures w14:val="standardContextual"/>
        </w:rPr>
        <w:t>., 2018)</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w:t>
      </w:r>
    </w:p>
    <w:p w14:paraId="596368E7" w14:textId="77777777" w:rsidR="00ED20E9" w:rsidRPr="00D62A3B"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The current initiatives of the Ministry of Water and Irrigation as well as the projects of its sub-sector have not followed the traditional rational order of policy, strategy, and planning. These include the development of the National Strategy for Improvement of Urban Water Supply and Sewerage, the National Rural Water Supply and Sanitation Programme, and the evaluation of laws about water resources, urban water supply, rural water supply, </w:t>
      </w:r>
      <w:r w:rsidRPr="00D62A3B">
        <w:rPr>
          <w:rFonts w:ascii="Arial" w:eastAsia="Calibri" w:hAnsi="Arial" w:cs="Arial"/>
          <w:kern w:val="2"/>
          <w:lang w:val="en-GB"/>
          <w14:ligatures w14:val="standardContextual"/>
        </w:rPr>
        <w:lastRenderedPageBreak/>
        <w:t>and sewerage. Due to this deviation from the typical order, possible problems like duplications or omissions may arise. Addressing the requirements of small towns, defining "sanitation," explaining the differing roles of the Ministry of Water and Irrigation and the Ministry of Health, and establishing institutional and legal frameworks are a few particular challenges</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author":[{"dropping-particle":"","family":"Phiri","given":"I.M.G","non-dropping-particle":"","parse-names":false,"suffix":""},{"dropping-particle":"","family":"Phiri","given":"S.K","non-dropping-particle":"","parse-names":false,"suffix":""},{"dropping-particle":"","family":"Saka","given":"A.R","non-dropping-particle":"","parse-names":false,"suffix":""}],"id":"ITEM-1","issued":{"date-parts":[["2007"]]},"title":"Rapid Appraisal of Policies &amp; Institutional Frameworks for Agricultural Water Management","type":"article-journal"},"uris":["http://www.mendeley.com/documents/?uuid=4a86a064-a31e-4a8c-9044-efeb6337c874","http://www.mendeley.com/documents/?uuid=644a9b4a-9731-4ed4-9f83-90da64bdd5b4"]},{"id":"ITEM-2","itemData":{"author":[{"dropping-particle":"","family":"Thi","given":"Tuyet","non-dropping-particle":"","parse-names":false,"suffix":""},{"dropping-particle":"","family":"Burritt","given":"Roger L","non-dropping-particle":"","parse-names":false,"suffix":""},{"dropping-particle":"","family":"Pisaniello","given":"John D","non-dropping-particle":"","parse-names":false,"suffix":""}],"id":"ITEM-2","issued":{"date-parts":[["2012"]]},"page":"63-74","title":"Adequacy of policy and practices for small agricultural dam safety accountability and assurance in Vietnam","type":"article-journal","volume":"112"},"uris":["http://www.mendeley.com/documents/?uuid=bfe80217-18ff-47c1-98e5-5d66e137ad1a","http://www.mendeley.com/documents/?uuid=b0236e87-193d-4758-9dc5-4a1a8b442594"]}],"mendeley":{"formattedCitation":"(Phiri et al., 2007; Thi et al., 2012)","plainTextFormattedCitation":"(Phiri et al., 2007; Thi et al., 2012)","previouslyFormattedCitation":"(Phiri et al., 2007; Thi et al., 2012)"},"properties":{"noteIndex":0},"schema":"https://github.com/citation-style-language/schema/raw/master/csl-citation.json"}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(Phiri et al., 2007; Thi et al., 2012)</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w:t>
      </w:r>
    </w:p>
    <w:p w14:paraId="55BC5350" w14:textId="77777777" w:rsidR="00ED20E9"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The Morogoro Water Supply and Sanitation Authority (MORUWASA) and other organizations have passed laws that form the basis for the country's dam safety management systems. Circulars, Instructions, Directives, and Decisions from pertinent Ministries or Provincial People's Committees are examples of by-law documents that are also available. In particular, (1) the Law on Water Resources Management (also known as the LWRM, Water Utilization (Control and Regulation) Act No. 42 of 1974, as amended by Acts No. 10 of 1981 and No.17 of 1989, </w:t>
      </w:r>
      <w:r w:rsidRPr="00D62A3B">
        <w:rPr>
          <w:rFonts w:ascii="Arial" w:eastAsia="Calibri" w:hAnsi="Arial" w:cs="Arial"/>
          <w:kern w:val="2"/>
          <w14:ligatures w14:val="standardContextual"/>
        </w:rPr>
        <w:t>Water Laws (Miscellaneous Amendments) Act No.8 of 1997, and Water Laws (Miscellaneous Amendments) Act of 1999</w:t>
      </w:r>
      <w:r w:rsidRPr="00D62A3B">
        <w:rPr>
          <w:rFonts w:ascii="Arial" w:eastAsia="Calibri" w:hAnsi="Arial" w:cs="Arial"/>
          <w:kern w:val="2"/>
          <w:lang w:val="en-GB"/>
          <w14:ligatures w14:val="standardContextual"/>
        </w:rPr>
        <w:t xml:space="preserve">), (2) </w:t>
      </w:r>
      <w:r w:rsidRPr="00D62A3B">
        <w:rPr>
          <w:rFonts w:ascii="Arial" w:eastAsia="Calibri" w:hAnsi="Arial" w:cs="Arial"/>
          <w:kern w:val="2"/>
          <w14:ligatures w14:val="standardContextual"/>
        </w:rPr>
        <w:t>Water Supply Aspects are governed by</w:t>
      </w:r>
      <w:r w:rsidRPr="00D62A3B">
        <w:rPr>
          <w:rFonts w:ascii="Arial" w:eastAsia="Calibri" w:hAnsi="Arial" w:cs="Arial"/>
          <w:kern w:val="2"/>
          <w:lang w:val="en-GB"/>
          <w14:ligatures w14:val="standardContextual"/>
        </w:rPr>
        <w:t xml:space="preserve"> Urban Water Act No. 7 of 1981, Water Laws (Miscellaneous Amendments) Act No. 8 of 1997 and Water Laws (Miscellaneous Amendments) Act of 1999 </w:t>
      </w:r>
      <w:r w:rsidRPr="00D62A3B">
        <w:rPr>
          <w:rFonts w:ascii="Arial" w:eastAsia="Calibri" w:hAnsi="Arial" w:cs="Arial"/>
          <w:kern w:val="2"/>
          <w:lang w:val="en-GB"/>
          <w14:ligatures w14:val="standardContextual"/>
        </w:rPr>
        <w:fldChar w:fldCharType="begin" w:fldLock="1"/>
      </w:r>
      <w:r w:rsidRPr="00D62A3B">
        <w:rPr>
          <w:rFonts w:ascii="Arial" w:eastAsia="Calibri" w:hAnsi="Arial" w:cs="Arial"/>
          <w:kern w:val="2"/>
          <w:lang w:val="en-GB"/>
          <w14:ligatures w14:val="standardContextual"/>
        </w:rPr>
        <w:instrText>ADDIN CSL_CITATION {"citationItems":[{"id":"ITEM-1","itemData":{"abstract":"This paper examines how water is perceived and managed according to the two major sources of water law in Ghana. From the perspectives of statutory and customary law, the paper deals with various issues relating to the nature of water, its management, its conservation and its regulation. There is a close relationship between sanitation and water management. Consequently, the paper also deals with the management of sanitation, in particular with the impact that water law has on ensuring that clean water and sanitation is available to poor people in rural and urban areas of Ghana. The paper discusses the statutory legal framework for providing water and sanitation to urban and rural communities in Ghana and the institutions set up to provide water for domestic purposes. It also discusses the regulatory institutions established to regulate the water sector and the nature and status of the customary regime for providing water. An assessment follows of the various regimes according to how they deal with the problems enumerated above. The enabling conditions and the constraints that face the provision of clean water to poor people in Ghana are discussed and the paper concludes by making recommendations about how water and sanitation provision can be improved in Ghana. \\n","author":[{"dropping-particle":"","family":"Mwaka","given":"Ismail","non-dropping-particle":"","parse-names":false,"suffix":""}],"container-title":"Dfid","id":"ITEM-1","issue":"August","issued":{"date-parts":[["1999"]]},"title":"Water Law , Water Rights and Water Supply ( Africa ) Tanzania - study country report","type":"article-journal"},"uris":["http://www.mendeley.com/documents/?uuid=2c94fcbd-b06a-4981-b360-c32898ee7978","http://www.mendeley.com/documents/?uuid=8d2ddedc-5d6e-4cdc-b670-d65114ea093a","http://www.mendeley.com/documents/?uuid=f6517b60-7756-4648-89f5-5bc6247a6d67"]},{"id":"ITEM-2","itemData":{"ISBN":"9180236014","abstract":"Change detection is the measure of the distinct data framework and thematic change information that can guide to more tangible insights into underlying process involving land cover and land use changes than the information obtained from continuous change. Digital change detection is the process that helps in determining the changes associated with landuse and land cover properties with reference to geo-registered multitemporal remote sensing data. It helps in identifying change between two (or more) dates that is uncharacterised of normal variation. Change detection is useful in many applications such as landuse changes, habitat fragmentation, rate of deforestation, coastal change, urban sprawl, and other cumulative changes through spatial and temporal analysis techniques such as GIS (Geographic Information System) and Remote Sensing along with digital image processing techniques. GIS is the systematic introduction of numerous different disciplinary spatial and statistical data, that can be used in inventorying the environment, observation of change and constituent processes and prediction based on current practices and management plans. Remote Sensing helps in acquiring multi spectral spatial and temporal data through space borne remote sensors. Image processing technique helps in analyzing the dynamic changes associated with the earth resources such as land and water using remote sensing data. Thus, spatial and temporal analysis technologies are very useful in generating scientifically based statistical spatial data for understanding the land ecosystem dynamics. Successful utilization of remotely sensed data for land cover and landuse change detection requires careful selection of appropriate data set. This paper discusses the land use/land cover analysis and change detection techniques using GRDSS (Geographic Resources Decision Support System) for Kolar district considering temporal multispectral data (1998 and 2002) of the IRS 1C / 1D (Indian Remote Sensing Satellites). GRDSS is a freeware GIS Graphic user interface (GUI) developed in Tcl/Tk is based on command line arguments of GRASS (Geographic Resources Analysis Support System). It has the capabilities to capture, store, process, display, organize, and prioritize spatial and temporal data. GRDSS serves as a decision support system for decision making and resource planning. It has functionality for raster analysis, vector analysis, site analysis, image processing, modeling and graphics visualisati…","author":[{"dropping-particle":"V","family":"Ramachandra","given":"T","non-dropping-particle":"","parse-names":false,"suffix":""},{"dropping-particle":"","family":"Kumar","given":"U","non-dropping-particle":"","parse-names":false,"suffix":""}],"container-title":"Proceedings of the FOSS/GRASS Users Conference","id":"ITEM-2","issue":"September","issued":{"date-parts":[["2004"]]},"page":"15","title":"Geographic Resources Decision Support System for land use, land cover dynamics analysis","type":"article-journal"},"uris":["http://www.mendeley.com/documents/?uuid=5b7dfcfb-63ff-4d68-bda6-cf8d5938ee5e","http://www.mendeley.com/documents/?uuid=4265cea5-a541-40e3-bb0e-2543e826b22e","http://www.mendeley.com/documents/?uuid=2317f957-52a3-41ea-914f-db6b05f73e53"]}],"mendeley":{"formattedCitation":"(Mwaka, 1999; Ramachandra &amp; Kumar, 2004)","plainTextFormattedCitation":"(Mwaka, 1999; Ramachandra &amp; Kumar, 2004)","previouslyFormattedCitation":"(Mwaka, 1999; Ramachandra &amp; Kumar, 2004)"},"properties":{"noteIndex":0},"schema":"https://github.com/citation-style-language/schema/raw/master/csl-citation.json"}</w:instrText>
      </w:r>
      <w:r w:rsidRPr="00D62A3B">
        <w:rPr>
          <w:rFonts w:ascii="Arial" w:eastAsia="Calibri" w:hAnsi="Arial" w:cs="Arial"/>
          <w:kern w:val="2"/>
          <w:lang w:val="en-GB"/>
          <w14:ligatures w14:val="standardContextual"/>
        </w:rPr>
        <w:fldChar w:fldCharType="separate"/>
      </w:r>
      <w:r w:rsidRPr="00D62A3B">
        <w:rPr>
          <w:rFonts w:ascii="Arial" w:eastAsia="Calibri" w:hAnsi="Arial" w:cs="Arial"/>
          <w:noProof/>
          <w:kern w:val="2"/>
          <w:lang w:val="en-GB"/>
          <w14:ligatures w14:val="standardContextual"/>
        </w:rPr>
        <w:t>(Mwaka, 1999; Ramachandra &amp; Kumar, 2004)</w:t>
      </w:r>
      <w:r w:rsidRPr="00D62A3B">
        <w:rPr>
          <w:rFonts w:ascii="Arial" w:eastAsia="Calibri" w:hAnsi="Arial" w:cs="Arial"/>
          <w:kern w:val="2"/>
          <w:lang w:val="en-GB"/>
          <w14:ligatures w14:val="standardContextual"/>
        </w:rPr>
        <w:fldChar w:fldCharType="end"/>
      </w:r>
      <w:r w:rsidRPr="00D62A3B">
        <w:rPr>
          <w:rFonts w:ascii="Arial" w:eastAsia="Calibri" w:hAnsi="Arial" w:cs="Arial"/>
          <w:kern w:val="2"/>
          <w:lang w:val="en-GB"/>
          <w14:ligatures w14:val="standardContextual"/>
        </w:rPr>
        <w:t>.</w:t>
      </w:r>
    </w:p>
    <w:p w14:paraId="1B85CE77" w14:textId="77777777" w:rsidR="00ED20E9" w:rsidRDefault="00ED20E9" w:rsidP="00ED20E9">
      <w:pPr>
        <w:spacing w:line="276" w:lineRule="auto"/>
        <w:rPr>
          <w:rFonts w:ascii="Arial" w:eastAsia="Calibri" w:hAnsi="Arial" w:cs="Arial"/>
          <w:kern w:val="2"/>
          <w:lang w:val="en-GB"/>
          <w14:ligatures w14:val="standardContextual"/>
        </w:rPr>
      </w:pPr>
    </w:p>
    <w:p w14:paraId="4C51D8CE" w14:textId="77777777" w:rsidR="00ED20E9" w:rsidRPr="006C0932" w:rsidRDefault="00ED20E9" w:rsidP="00ED20E9">
      <w:pPr>
        <w:spacing w:line="276" w:lineRule="auto"/>
        <w:jc w:val="both"/>
        <w:rPr>
          <w:rFonts w:ascii="Arial" w:eastAsia="Calibri" w:hAnsi="Arial" w:cs="Arial"/>
        </w:rPr>
      </w:pPr>
      <w:r w:rsidRPr="00AB7E50">
        <w:rPr>
          <w:rFonts w:ascii="Arial" w:eastAsia="Calibri" w:hAnsi="Arial" w:cs="Arial"/>
          <w:b/>
        </w:rPr>
        <w:t xml:space="preserve">Table </w:t>
      </w:r>
      <w:r w:rsidRPr="00AB7E50">
        <w:rPr>
          <w:rFonts w:ascii="Arial" w:eastAsia="Calibri" w:hAnsi="Arial" w:cs="Arial"/>
          <w:b/>
        </w:rPr>
        <w:fldChar w:fldCharType="begin"/>
      </w:r>
      <w:r w:rsidRPr="00AB7E50">
        <w:rPr>
          <w:rFonts w:ascii="Arial" w:eastAsia="Calibri" w:hAnsi="Arial" w:cs="Arial"/>
          <w:b/>
        </w:rPr>
        <w:instrText xml:space="preserve"> SEQ Table \* ARABIC </w:instrText>
      </w:r>
      <w:r w:rsidRPr="00AB7E50">
        <w:rPr>
          <w:rFonts w:ascii="Arial" w:eastAsia="Calibri" w:hAnsi="Arial" w:cs="Arial"/>
          <w:b/>
        </w:rPr>
        <w:fldChar w:fldCharType="separate"/>
      </w:r>
      <w:r w:rsidRPr="00AB7E50">
        <w:rPr>
          <w:rFonts w:ascii="Arial" w:eastAsia="Calibri" w:hAnsi="Arial" w:cs="Arial"/>
          <w:b/>
        </w:rPr>
        <w:t>2</w:t>
      </w:r>
      <w:r w:rsidRPr="00AB7E50">
        <w:rPr>
          <w:rFonts w:ascii="Arial" w:eastAsia="Calibri" w:hAnsi="Arial" w:cs="Arial"/>
          <w:b/>
        </w:rPr>
        <w:fldChar w:fldCharType="end"/>
      </w:r>
      <w:r w:rsidRPr="006C0932">
        <w:rPr>
          <w:rFonts w:ascii="Arial" w:eastAsia="Calibri" w:hAnsi="Arial" w:cs="Arial"/>
        </w:rPr>
        <w:t xml:space="preserve">.Inter-Institutional Cooperation in Dam Risk Management a case of </w:t>
      </w:r>
      <w:proofErr w:type="spellStart"/>
      <w:r w:rsidRPr="006C0932">
        <w:rPr>
          <w:rFonts w:ascii="Arial" w:eastAsia="Calibri" w:hAnsi="Arial" w:cs="Arial"/>
        </w:rPr>
        <w:t>Mindu</w:t>
      </w:r>
      <w:proofErr w:type="spellEnd"/>
      <w:r w:rsidRPr="006C0932">
        <w:rPr>
          <w:rFonts w:ascii="Arial" w:eastAsia="Calibri" w:hAnsi="Arial" w:cs="Arial"/>
        </w:rPr>
        <w:t xml:space="preserve"> dam, Tanzania</w:t>
      </w:r>
    </w:p>
    <w:tbl>
      <w:tblPr>
        <w:tblStyle w:val="TableGrid"/>
        <w:tblW w:w="0" w:type="auto"/>
        <w:tblLook w:val="04A0" w:firstRow="1" w:lastRow="0" w:firstColumn="1" w:lastColumn="0" w:noHBand="0" w:noVBand="1"/>
      </w:tblPr>
      <w:tblGrid>
        <w:gridCol w:w="1950"/>
        <w:gridCol w:w="2478"/>
        <w:gridCol w:w="2992"/>
        <w:gridCol w:w="2650"/>
      </w:tblGrid>
      <w:tr w:rsidR="00ED20E9" w:rsidRPr="004406D9" w14:paraId="67250D11" w14:textId="77777777" w:rsidTr="00ED20E9">
        <w:tc>
          <w:tcPr>
            <w:tcW w:w="0" w:type="auto"/>
            <w:hideMark/>
          </w:tcPr>
          <w:p w14:paraId="7AF72AAD" w14:textId="77777777" w:rsidR="00ED20E9" w:rsidRPr="004406D9" w:rsidRDefault="00ED20E9" w:rsidP="00ED20E9">
            <w:pPr>
              <w:spacing w:after="160" w:line="276" w:lineRule="auto"/>
              <w:jc w:val="both"/>
              <w:rPr>
                <w:rFonts w:ascii="Arial" w:hAnsi="Arial" w:cs="Arial"/>
                <w:b/>
                <w:bCs/>
              </w:rPr>
            </w:pPr>
            <w:r w:rsidRPr="004406D9">
              <w:rPr>
                <w:rFonts w:ascii="Arial" w:hAnsi="Arial" w:cs="Arial"/>
                <w:b/>
                <w:bCs/>
              </w:rPr>
              <w:t>Institution</w:t>
            </w:r>
          </w:p>
        </w:tc>
        <w:tc>
          <w:tcPr>
            <w:tcW w:w="0" w:type="auto"/>
            <w:hideMark/>
          </w:tcPr>
          <w:p w14:paraId="772D38DD" w14:textId="77777777" w:rsidR="00ED20E9" w:rsidRPr="004406D9" w:rsidRDefault="00ED20E9" w:rsidP="00ED20E9">
            <w:pPr>
              <w:spacing w:after="160" w:line="276" w:lineRule="auto"/>
              <w:jc w:val="both"/>
              <w:rPr>
                <w:rFonts w:ascii="Arial" w:hAnsi="Arial" w:cs="Arial"/>
                <w:b/>
                <w:bCs/>
              </w:rPr>
            </w:pPr>
            <w:r w:rsidRPr="004406D9">
              <w:rPr>
                <w:rFonts w:ascii="Arial" w:hAnsi="Arial" w:cs="Arial"/>
                <w:b/>
                <w:bCs/>
              </w:rPr>
              <w:t>Role in Dam Risk Management</w:t>
            </w:r>
          </w:p>
        </w:tc>
        <w:tc>
          <w:tcPr>
            <w:tcW w:w="0" w:type="auto"/>
            <w:hideMark/>
          </w:tcPr>
          <w:p w14:paraId="1CEB669B" w14:textId="77777777" w:rsidR="00ED20E9" w:rsidRPr="004406D9" w:rsidRDefault="00ED20E9" w:rsidP="00ED20E9">
            <w:pPr>
              <w:spacing w:after="160" w:line="276" w:lineRule="auto"/>
              <w:jc w:val="both"/>
              <w:rPr>
                <w:rFonts w:ascii="Arial" w:hAnsi="Arial" w:cs="Arial"/>
                <w:b/>
                <w:bCs/>
              </w:rPr>
            </w:pPr>
            <w:r w:rsidRPr="004406D9">
              <w:rPr>
                <w:rFonts w:ascii="Arial" w:hAnsi="Arial" w:cs="Arial"/>
                <w:b/>
                <w:bCs/>
              </w:rPr>
              <w:t>Example of Cooperation</w:t>
            </w:r>
          </w:p>
        </w:tc>
        <w:tc>
          <w:tcPr>
            <w:tcW w:w="0" w:type="auto"/>
            <w:hideMark/>
          </w:tcPr>
          <w:p w14:paraId="0DCC0694" w14:textId="77777777" w:rsidR="00ED20E9" w:rsidRPr="004406D9" w:rsidRDefault="00ED20E9" w:rsidP="00ED20E9">
            <w:pPr>
              <w:spacing w:after="160" w:line="276" w:lineRule="auto"/>
              <w:jc w:val="both"/>
              <w:rPr>
                <w:rFonts w:ascii="Arial" w:hAnsi="Arial" w:cs="Arial"/>
                <w:b/>
                <w:bCs/>
              </w:rPr>
            </w:pPr>
            <w:r w:rsidRPr="004406D9">
              <w:rPr>
                <w:rFonts w:ascii="Arial" w:hAnsi="Arial" w:cs="Arial"/>
                <w:b/>
                <w:bCs/>
              </w:rPr>
              <w:t>Outcome</w:t>
            </w:r>
          </w:p>
        </w:tc>
      </w:tr>
      <w:tr w:rsidR="00ED20E9" w:rsidRPr="004406D9" w14:paraId="786B051D" w14:textId="77777777" w:rsidTr="00ED20E9">
        <w:tc>
          <w:tcPr>
            <w:tcW w:w="0" w:type="auto"/>
            <w:hideMark/>
          </w:tcPr>
          <w:p w14:paraId="137332F3" w14:textId="77777777" w:rsidR="00ED20E9" w:rsidRPr="004406D9" w:rsidRDefault="00ED20E9" w:rsidP="00ED20E9">
            <w:pPr>
              <w:spacing w:after="160" w:line="276" w:lineRule="auto"/>
              <w:jc w:val="both"/>
              <w:rPr>
                <w:rFonts w:ascii="Arial" w:hAnsi="Arial" w:cs="Arial"/>
              </w:rPr>
            </w:pPr>
            <w:r w:rsidRPr="004406D9">
              <w:rPr>
                <w:rFonts w:ascii="Arial" w:hAnsi="Arial" w:cs="Arial"/>
              </w:rPr>
              <w:t>Morogoro Municipal Council</w:t>
            </w:r>
          </w:p>
        </w:tc>
        <w:tc>
          <w:tcPr>
            <w:tcW w:w="0" w:type="auto"/>
            <w:hideMark/>
          </w:tcPr>
          <w:p w14:paraId="45764BB9" w14:textId="77777777" w:rsidR="00ED20E9" w:rsidRPr="004406D9" w:rsidRDefault="00ED20E9" w:rsidP="00ED20E9">
            <w:pPr>
              <w:spacing w:after="160" w:line="276" w:lineRule="auto"/>
              <w:jc w:val="both"/>
              <w:rPr>
                <w:rFonts w:ascii="Arial" w:hAnsi="Arial" w:cs="Arial"/>
              </w:rPr>
            </w:pPr>
            <w:r w:rsidRPr="004406D9">
              <w:rPr>
                <w:rFonts w:ascii="Arial" w:hAnsi="Arial" w:cs="Arial"/>
              </w:rPr>
              <w:t>Local enforcement of buffer zone policies, community engagement, and land-use planning.</w:t>
            </w:r>
          </w:p>
        </w:tc>
        <w:tc>
          <w:tcPr>
            <w:tcW w:w="0" w:type="auto"/>
            <w:hideMark/>
          </w:tcPr>
          <w:p w14:paraId="6643E1EE" w14:textId="77777777" w:rsidR="00ED20E9" w:rsidRPr="004406D9" w:rsidRDefault="00ED20E9" w:rsidP="00ED20E9">
            <w:pPr>
              <w:spacing w:after="160" w:line="276" w:lineRule="auto"/>
              <w:jc w:val="both"/>
              <w:rPr>
                <w:rFonts w:ascii="Arial" w:hAnsi="Arial" w:cs="Arial"/>
              </w:rPr>
            </w:pPr>
            <w:r w:rsidRPr="004406D9">
              <w:rPr>
                <w:rFonts w:ascii="Arial" w:hAnsi="Arial" w:cs="Arial"/>
              </w:rPr>
              <w:t>Collaborated with MORUWASA to relocate residents in risk zones and enforce restrictions on human activities in buffer areas.</w:t>
            </w:r>
          </w:p>
        </w:tc>
        <w:tc>
          <w:tcPr>
            <w:tcW w:w="0" w:type="auto"/>
            <w:hideMark/>
          </w:tcPr>
          <w:p w14:paraId="553F4C9D" w14:textId="77777777" w:rsidR="00ED20E9" w:rsidRPr="004406D9" w:rsidRDefault="00ED20E9" w:rsidP="00ED20E9">
            <w:pPr>
              <w:spacing w:after="160" w:line="276" w:lineRule="auto"/>
              <w:jc w:val="both"/>
              <w:rPr>
                <w:rFonts w:ascii="Arial" w:hAnsi="Arial" w:cs="Arial"/>
              </w:rPr>
            </w:pPr>
            <w:r w:rsidRPr="004406D9">
              <w:rPr>
                <w:rFonts w:ascii="Arial" w:hAnsi="Arial" w:cs="Arial"/>
              </w:rPr>
              <w:t>Reduced encroachment, minimized immediate risks to dam integrity, and protected local ecology.</w:t>
            </w:r>
          </w:p>
        </w:tc>
      </w:tr>
      <w:tr w:rsidR="00ED20E9" w:rsidRPr="004406D9" w14:paraId="464D5017" w14:textId="77777777" w:rsidTr="00ED20E9">
        <w:tc>
          <w:tcPr>
            <w:tcW w:w="0" w:type="auto"/>
            <w:hideMark/>
          </w:tcPr>
          <w:p w14:paraId="3CB020D2" w14:textId="77777777" w:rsidR="00ED20E9" w:rsidRPr="004406D9" w:rsidRDefault="00ED20E9" w:rsidP="00ED20E9">
            <w:pPr>
              <w:spacing w:after="160" w:line="276" w:lineRule="auto"/>
              <w:jc w:val="both"/>
              <w:rPr>
                <w:rFonts w:ascii="Arial" w:hAnsi="Arial" w:cs="Arial"/>
              </w:rPr>
            </w:pPr>
            <w:r w:rsidRPr="004406D9">
              <w:rPr>
                <w:rFonts w:ascii="Arial" w:hAnsi="Arial" w:cs="Arial"/>
              </w:rPr>
              <w:t>MORUWASA</w:t>
            </w:r>
          </w:p>
        </w:tc>
        <w:tc>
          <w:tcPr>
            <w:tcW w:w="0" w:type="auto"/>
            <w:hideMark/>
          </w:tcPr>
          <w:p w14:paraId="4BE7F8B9" w14:textId="77777777" w:rsidR="00ED20E9" w:rsidRPr="004406D9" w:rsidRDefault="00ED20E9" w:rsidP="00ED20E9">
            <w:pPr>
              <w:spacing w:after="160" w:line="276" w:lineRule="auto"/>
              <w:jc w:val="both"/>
              <w:rPr>
                <w:rFonts w:ascii="Arial" w:hAnsi="Arial" w:cs="Arial"/>
              </w:rPr>
            </w:pPr>
            <w:r w:rsidRPr="004406D9">
              <w:rPr>
                <w:rFonts w:ascii="Arial" w:hAnsi="Arial" w:cs="Arial"/>
              </w:rPr>
              <w:t>Technical oversight of dam safety, water resource management, and infrastructure maintenance.</w:t>
            </w:r>
          </w:p>
        </w:tc>
        <w:tc>
          <w:tcPr>
            <w:tcW w:w="0" w:type="auto"/>
            <w:hideMark/>
          </w:tcPr>
          <w:p w14:paraId="1D3DA248" w14:textId="77777777" w:rsidR="00ED20E9" w:rsidRPr="004406D9" w:rsidRDefault="00ED20E9" w:rsidP="00ED20E9">
            <w:pPr>
              <w:spacing w:after="160" w:line="276" w:lineRule="auto"/>
              <w:jc w:val="both"/>
              <w:rPr>
                <w:rFonts w:ascii="Arial" w:hAnsi="Arial" w:cs="Arial"/>
              </w:rPr>
            </w:pPr>
            <w:r w:rsidRPr="004406D9">
              <w:rPr>
                <w:rFonts w:ascii="Arial" w:hAnsi="Arial" w:cs="Arial"/>
              </w:rPr>
              <w:t>Provided expertise on risk zones, supported relocation efforts, and implemented buffer zone demarcation with the Council.</w:t>
            </w:r>
          </w:p>
        </w:tc>
        <w:tc>
          <w:tcPr>
            <w:tcW w:w="0" w:type="auto"/>
            <w:hideMark/>
          </w:tcPr>
          <w:p w14:paraId="60876C29" w14:textId="77777777" w:rsidR="00ED20E9" w:rsidRPr="004406D9" w:rsidRDefault="00ED20E9" w:rsidP="00ED20E9">
            <w:pPr>
              <w:spacing w:after="160" w:line="276" w:lineRule="auto"/>
              <w:jc w:val="both"/>
              <w:rPr>
                <w:rFonts w:ascii="Arial" w:hAnsi="Arial" w:cs="Arial"/>
              </w:rPr>
            </w:pPr>
            <w:r w:rsidRPr="004406D9">
              <w:rPr>
                <w:rFonts w:ascii="Arial" w:hAnsi="Arial" w:cs="Arial"/>
              </w:rPr>
              <w:t>Enhanced dam safety protocols and aligned local actions with national water resource goals.</w:t>
            </w:r>
          </w:p>
        </w:tc>
      </w:tr>
      <w:tr w:rsidR="00ED20E9" w:rsidRPr="004406D9" w14:paraId="6B9DE163" w14:textId="77777777" w:rsidTr="00ED20E9">
        <w:tc>
          <w:tcPr>
            <w:tcW w:w="0" w:type="auto"/>
            <w:hideMark/>
          </w:tcPr>
          <w:p w14:paraId="1F064B1D" w14:textId="77777777" w:rsidR="00ED20E9" w:rsidRPr="004406D9" w:rsidRDefault="00ED20E9" w:rsidP="00ED20E9">
            <w:pPr>
              <w:spacing w:after="160" w:line="276" w:lineRule="auto"/>
              <w:jc w:val="both"/>
              <w:rPr>
                <w:rFonts w:ascii="Arial" w:hAnsi="Arial" w:cs="Arial"/>
              </w:rPr>
            </w:pPr>
            <w:r w:rsidRPr="004406D9">
              <w:rPr>
                <w:rFonts w:ascii="Arial" w:hAnsi="Arial" w:cs="Arial"/>
              </w:rPr>
              <w:t>National Environment Management Council (NEMC)</w:t>
            </w:r>
          </w:p>
        </w:tc>
        <w:tc>
          <w:tcPr>
            <w:tcW w:w="0" w:type="auto"/>
            <w:hideMark/>
          </w:tcPr>
          <w:p w14:paraId="4F7C5952" w14:textId="77777777" w:rsidR="00ED20E9" w:rsidRPr="004406D9" w:rsidRDefault="00ED20E9" w:rsidP="00ED20E9">
            <w:pPr>
              <w:spacing w:after="160" w:line="276" w:lineRule="auto"/>
              <w:jc w:val="both"/>
              <w:rPr>
                <w:rFonts w:ascii="Arial" w:hAnsi="Arial" w:cs="Arial"/>
              </w:rPr>
            </w:pPr>
            <w:r w:rsidRPr="004406D9">
              <w:rPr>
                <w:rFonts w:ascii="Arial" w:hAnsi="Arial" w:cs="Arial"/>
              </w:rPr>
              <w:t>Regulatory oversight of environmental compliance (e.g., buffer zones, riverine ecosystems).</w:t>
            </w:r>
          </w:p>
        </w:tc>
        <w:tc>
          <w:tcPr>
            <w:tcW w:w="0" w:type="auto"/>
            <w:hideMark/>
          </w:tcPr>
          <w:p w14:paraId="707B8B0F" w14:textId="77777777" w:rsidR="00ED20E9" w:rsidRPr="004406D9" w:rsidRDefault="00ED20E9" w:rsidP="00ED20E9">
            <w:pPr>
              <w:spacing w:after="160" w:line="276" w:lineRule="auto"/>
              <w:jc w:val="both"/>
              <w:rPr>
                <w:rFonts w:ascii="Arial" w:hAnsi="Arial" w:cs="Arial"/>
              </w:rPr>
            </w:pPr>
            <w:r w:rsidRPr="004406D9">
              <w:rPr>
                <w:rFonts w:ascii="Arial" w:hAnsi="Arial" w:cs="Arial"/>
              </w:rPr>
              <w:t xml:space="preserve">Reviewed environmental impact assessments, guided restoration of Mount </w:t>
            </w:r>
            <w:proofErr w:type="spellStart"/>
            <w:r w:rsidRPr="004406D9">
              <w:rPr>
                <w:rFonts w:ascii="Arial" w:hAnsi="Arial" w:cs="Arial"/>
              </w:rPr>
              <w:t>Uluguru</w:t>
            </w:r>
            <w:proofErr w:type="spellEnd"/>
            <w:r w:rsidRPr="004406D9">
              <w:rPr>
                <w:rFonts w:ascii="Arial" w:hAnsi="Arial" w:cs="Arial"/>
              </w:rPr>
              <w:t xml:space="preserve"> riverine areas, and monitored compliance.</w:t>
            </w:r>
          </w:p>
        </w:tc>
        <w:tc>
          <w:tcPr>
            <w:tcW w:w="0" w:type="auto"/>
            <w:hideMark/>
          </w:tcPr>
          <w:p w14:paraId="4E92AA58" w14:textId="77777777" w:rsidR="00ED20E9" w:rsidRPr="004406D9" w:rsidRDefault="00ED20E9" w:rsidP="00ED20E9">
            <w:pPr>
              <w:spacing w:after="160" w:line="276" w:lineRule="auto"/>
              <w:jc w:val="both"/>
              <w:rPr>
                <w:rFonts w:ascii="Arial" w:hAnsi="Arial" w:cs="Arial"/>
              </w:rPr>
            </w:pPr>
            <w:r w:rsidRPr="004406D9">
              <w:rPr>
                <w:rFonts w:ascii="Arial" w:hAnsi="Arial" w:cs="Arial"/>
              </w:rPr>
              <w:t>Strengthened legal adherence, preserved biodiversity, and mitigated sedimentation risks.</w:t>
            </w:r>
          </w:p>
        </w:tc>
      </w:tr>
      <w:tr w:rsidR="00ED20E9" w:rsidRPr="004406D9" w14:paraId="6F794CD7" w14:textId="77777777" w:rsidTr="00ED20E9">
        <w:trPr>
          <w:trHeight w:val="1617"/>
        </w:trPr>
        <w:tc>
          <w:tcPr>
            <w:tcW w:w="0" w:type="auto"/>
            <w:hideMark/>
          </w:tcPr>
          <w:p w14:paraId="22DC70A1" w14:textId="77777777" w:rsidR="00ED20E9" w:rsidRPr="004406D9" w:rsidRDefault="00ED20E9" w:rsidP="00ED20E9">
            <w:pPr>
              <w:spacing w:after="160" w:line="276" w:lineRule="auto"/>
              <w:jc w:val="both"/>
              <w:rPr>
                <w:rFonts w:ascii="Arial" w:hAnsi="Arial" w:cs="Arial"/>
              </w:rPr>
            </w:pPr>
            <w:r w:rsidRPr="004406D9">
              <w:rPr>
                <w:rFonts w:ascii="Arial" w:hAnsi="Arial" w:cs="Arial"/>
              </w:rPr>
              <w:t xml:space="preserve">Ministry of Water </w:t>
            </w:r>
            <w:proofErr w:type="gramStart"/>
            <w:r w:rsidRPr="004406D9">
              <w:rPr>
                <w:rFonts w:ascii="Arial" w:hAnsi="Arial" w:cs="Arial"/>
              </w:rPr>
              <w:t xml:space="preserve">and </w:t>
            </w:r>
            <w:r w:rsidRPr="004406D9">
              <w:rPr>
                <w:rFonts w:ascii="Arial" w:hAnsi="Arial" w:cs="Arial"/>
                <w:color w:val="1F1F1F"/>
                <w:shd w:val="clear" w:color="auto" w:fill="FFFFFF"/>
              </w:rPr>
              <w:t xml:space="preserve"> </w:t>
            </w:r>
            <w:r w:rsidRPr="004406D9">
              <w:rPr>
                <w:rFonts w:ascii="Arial" w:hAnsi="Arial" w:cs="Arial"/>
              </w:rPr>
              <w:t>Irrigation</w:t>
            </w:r>
            <w:proofErr w:type="gramEnd"/>
          </w:p>
        </w:tc>
        <w:tc>
          <w:tcPr>
            <w:tcW w:w="0" w:type="auto"/>
            <w:hideMark/>
          </w:tcPr>
          <w:p w14:paraId="7DD9860F" w14:textId="77777777" w:rsidR="00ED20E9" w:rsidRPr="004406D9" w:rsidRDefault="00ED20E9" w:rsidP="00ED20E9">
            <w:pPr>
              <w:spacing w:after="160" w:line="276" w:lineRule="auto"/>
              <w:jc w:val="both"/>
              <w:rPr>
                <w:rFonts w:ascii="Arial" w:hAnsi="Arial" w:cs="Arial"/>
              </w:rPr>
            </w:pPr>
            <w:r w:rsidRPr="004406D9">
              <w:rPr>
                <w:rFonts w:ascii="Arial" w:hAnsi="Arial" w:cs="Arial"/>
              </w:rPr>
              <w:t>National policy formulation, funding allocation, and coordination of inter-agency initiatives.</w:t>
            </w:r>
          </w:p>
        </w:tc>
        <w:tc>
          <w:tcPr>
            <w:tcW w:w="0" w:type="auto"/>
            <w:hideMark/>
          </w:tcPr>
          <w:p w14:paraId="1CF8E8C9" w14:textId="77777777" w:rsidR="00ED20E9" w:rsidRPr="004406D9" w:rsidRDefault="00ED20E9" w:rsidP="00ED20E9">
            <w:pPr>
              <w:spacing w:after="160" w:line="276" w:lineRule="auto"/>
              <w:jc w:val="both"/>
              <w:rPr>
                <w:rFonts w:ascii="Arial" w:hAnsi="Arial" w:cs="Arial"/>
              </w:rPr>
            </w:pPr>
            <w:r w:rsidRPr="004406D9">
              <w:rPr>
                <w:rFonts w:ascii="Arial" w:hAnsi="Arial" w:cs="Arial"/>
              </w:rPr>
              <w:t>Issued guidelines for buffer zone enforcement, funded MORUWASA’s technical interventions, and facilitated multi-stakeholder dialogues.</w:t>
            </w:r>
          </w:p>
        </w:tc>
        <w:tc>
          <w:tcPr>
            <w:tcW w:w="0" w:type="auto"/>
            <w:hideMark/>
          </w:tcPr>
          <w:p w14:paraId="140719E6" w14:textId="77777777" w:rsidR="00ED20E9" w:rsidRPr="004406D9" w:rsidRDefault="00ED20E9" w:rsidP="00ED20E9">
            <w:pPr>
              <w:spacing w:after="160" w:line="276" w:lineRule="auto"/>
              <w:jc w:val="both"/>
              <w:rPr>
                <w:rFonts w:ascii="Arial" w:hAnsi="Arial" w:cs="Arial"/>
              </w:rPr>
            </w:pPr>
            <w:r w:rsidRPr="004406D9">
              <w:rPr>
                <w:rFonts w:ascii="Arial" w:hAnsi="Arial" w:cs="Arial"/>
              </w:rPr>
              <w:t>Streamlined national-local alignment, ensured resource availability, and institutionalized best practices.</w:t>
            </w:r>
          </w:p>
        </w:tc>
      </w:tr>
    </w:tbl>
    <w:p w14:paraId="5EFA8875" w14:textId="77777777" w:rsidR="00ED20E9" w:rsidRPr="00ED20E9" w:rsidRDefault="00ED20E9" w:rsidP="00ED20E9">
      <w:pPr>
        <w:spacing w:line="276" w:lineRule="auto"/>
        <w:rPr>
          <w:rFonts w:ascii="Arial" w:eastAsia="Calibri" w:hAnsi="Arial" w:cs="Arial"/>
          <w:kern w:val="2"/>
          <w14:ligatures w14:val="standardContextual"/>
        </w:rPr>
      </w:pPr>
    </w:p>
    <w:p w14:paraId="27C843DE" w14:textId="77777777" w:rsidR="00E8111D" w:rsidRDefault="00E8111D" w:rsidP="003941BF">
      <w:pPr>
        <w:spacing w:line="276" w:lineRule="auto"/>
        <w:jc w:val="both"/>
        <w:rPr>
          <w:rFonts w:ascii="Arial" w:eastAsia="Calibri" w:hAnsi="Arial" w:cs="Arial"/>
          <w:kern w:val="2"/>
          <w:lang w:val="en-GB"/>
          <w14:ligatures w14:val="standardContextual"/>
        </w:rPr>
      </w:pPr>
    </w:p>
    <w:p w14:paraId="774E7688" w14:textId="77777777" w:rsidR="00ED20E9" w:rsidRDefault="00ED20E9" w:rsidP="003941BF">
      <w:pPr>
        <w:spacing w:line="276" w:lineRule="auto"/>
        <w:jc w:val="both"/>
        <w:rPr>
          <w:rFonts w:ascii="Arial" w:eastAsia="Calibri" w:hAnsi="Arial" w:cs="Arial"/>
          <w:kern w:val="2"/>
          <w:lang w:val="en-GB"/>
          <w14:ligatures w14:val="standardContextual"/>
        </w:rPr>
      </w:pPr>
    </w:p>
    <w:p w14:paraId="18262E4E" w14:textId="77777777" w:rsidR="00ED20E9" w:rsidRDefault="00ED20E9" w:rsidP="003941BF">
      <w:pPr>
        <w:spacing w:line="276" w:lineRule="auto"/>
        <w:jc w:val="both"/>
        <w:rPr>
          <w:rFonts w:ascii="Arial" w:eastAsia="Calibri" w:hAnsi="Arial" w:cs="Arial"/>
          <w:kern w:val="2"/>
          <w:lang w:val="en-GB"/>
          <w14:ligatures w14:val="standardContextual"/>
        </w:rPr>
      </w:pPr>
    </w:p>
    <w:p w14:paraId="0BCB1339" w14:textId="77777777" w:rsidR="00ED20E9" w:rsidRDefault="00ED20E9" w:rsidP="003941BF">
      <w:pPr>
        <w:spacing w:line="276" w:lineRule="auto"/>
        <w:jc w:val="both"/>
        <w:rPr>
          <w:rFonts w:ascii="Arial" w:eastAsia="Calibri" w:hAnsi="Arial" w:cs="Arial"/>
          <w:kern w:val="2"/>
          <w:lang w:val="en-GB"/>
          <w14:ligatures w14:val="standardContextual"/>
        </w:rPr>
      </w:pPr>
    </w:p>
    <w:p w14:paraId="48E07064" w14:textId="77777777" w:rsidR="003941BF" w:rsidRDefault="003941BF" w:rsidP="003941BF">
      <w:pPr>
        <w:spacing w:line="276" w:lineRule="auto"/>
        <w:jc w:val="both"/>
        <w:rPr>
          <w:rFonts w:ascii="Arial" w:eastAsia="Calibri" w:hAnsi="Arial" w:cs="Arial"/>
          <w:b/>
          <w:iCs/>
          <w:kern w:val="2"/>
          <w:lang w:val="en-GB"/>
          <w14:ligatures w14:val="standardContextual"/>
        </w:rPr>
      </w:pPr>
      <w:r w:rsidRPr="00D62A3B">
        <w:rPr>
          <w:rFonts w:ascii="Arial" w:eastAsia="Calibri" w:hAnsi="Arial" w:cs="Arial"/>
          <w:b/>
          <w:iCs/>
          <w:kern w:val="2"/>
          <w:lang w:val="en-GB"/>
          <w14:ligatures w14:val="standardContextual"/>
        </w:rPr>
        <w:lastRenderedPageBreak/>
        <w:t>3.2.1 Registration and classification of dams</w:t>
      </w:r>
    </w:p>
    <w:p w14:paraId="654496E0" w14:textId="77777777" w:rsidR="003941BF" w:rsidRPr="00D62A3B" w:rsidRDefault="003941BF" w:rsidP="003941BF">
      <w:pPr>
        <w:spacing w:line="276" w:lineRule="auto"/>
        <w:contextualSpacing/>
        <w:jc w:val="both"/>
        <w:rPr>
          <w:rFonts w:ascii="Arial" w:eastAsia="Calibri" w:hAnsi="Arial" w:cs="Arial"/>
          <w:b/>
          <w:iCs/>
          <w:kern w:val="2"/>
          <w:lang w:val="en-GB"/>
          <w14:ligatures w14:val="standardContextual"/>
        </w:rPr>
      </w:pPr>
    </w:p>
    <w:p w14:paraId="2183AAD2" w14:textId="77777777" w:rsidR="00ED20E9" w:rsidRPr="00D62A3B"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For dam registration it’s a Mandates of the local government such as municipal council or Responsible authority do the following:(</w:t>
      </w:r>
      <w:proofErr w:type="spellStart"/>
      <w:r w:rsidRPr="00D62A3B">
        <w:rPr>
          <w:rFonts w:ascii="Arial" w:eastAsia="Calibri" w:hAnsi="Arial" w:cs="Arial"/>
          <w:kern w:val="2"/>
          <w:lang w:val="en-GB"/>
          <w14:ligatures w14:val="standardContextual"/>
        </w:rPr>
        <w:t>i</w:t>
      </w:r>
      <w:proofErr w:type="spellEnd"/>
      <w:r w:rsidRPr="00D62A3B">
        <w:rPr>
          <w:rFonts w:ascii="Arial" w:eastAsia="Calibri" w:hAnsi="Arial" w:cs="Arial"/>
          <w:kern w:val="2"/>
          <w:lang w:val="en-GB"/>
          <w14:ligatures w14:val="standardContextual"/>
        </w:rPr>
        <w:t>) keep a record of major dams (i.e., Tanzania's "prescribed" classification system) inside their jurisdictions; and (ii) assign subjective hazard ratings based on the state's three-tiered hazard rating system. For the government to monitor the density of potentially dangerous dams and, consequently, the severity of the dam safety issue</w:t>
      </w:r>
    </w:p>
    <w:p w14:paraId="533D090A" w14:textId="77777777" w:rsidR="00ED20E9"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The Second Schedule of the International Commission on Large Dams (ICOLD) guideline specifies the criteria that must be followed when categorizing dams and tailings dams. The following levels of external risks are to be used for categorization: (a) very high-risk (b) high risk (c) low risk and (d) very low risk. </w:t>
      </w:r>
    </w:p>
    <w:p w14:paraId="52404FA8" w14:textId="77777777" w:rsidR="003941BF" w:rsidRPr="00D62A3B" w:rsidRDefault="003941BF" w:rsidP="003941BF">
      <w:pPr>
        <w:spacing w:line="276" w:lineRule="auto"/>
        <w:jc w:val="both"/>
        <w:rPr>
          <w:rFonts w:ascii="Arial" w:eastAsia="Calibri" w:hAnsi="Arial" w:cs="Arial"/>
          <w:kern w:val="2"/>
          <w:lang w:val="en-GB"/>
          <w14:ligatures w14:val="standardContextual"/>
        </w:rPr>
      </w:pPr>
    </w:p>
    <w:p w14:paraId="0D55BC29" w14:textId="77777777" w:rsidR="00ED20E9" w:rsidRDefault="00ED20E9" w:rsidP="00ED20E9">
      <w:pPr>
        <w:spacing w:line="276" w:lineRule="auto"/>
        <w:jc w:val="both"/>
        <w:rPr>
          <w:rFonts w:ascii="Arial" w:eastAsia="Calibri" w:hAnsi="Arial" w:cs="Arial"/>
          <w:kern w:val="2"/>
          <w:lang w:val="en-GB"/>
          <w14:ligatures w14:val="standardContextual"/>
        </w:rPr>
      </w:pPr>
      <w:r w:rsidRPr="00AB7E50">
        <w:rPr>
          <w:rFonts w:ascii="Arial" w:eastAsia="Calibri" w:hAnsi="Arial" w:cs="Arial"/>
          <w:b/>
          <w:kern w:val="2"/>
          <w:lang w:val="en-GB"/>
          <w14:ligatures w14:val="standardContextual"/>
        </w:rPr>
        <w:t xml:space="preserve">Table </w:t>
      </w:r>
      <w:r w:rsidRPr="00AB7E50">
        <w:rPr>
          <w:rFonts w:ascii="Arial" w:eastAsia="Calibri" w:hAnsi="Arial" w:cs="Arial"/>
          <w:b/>
          <w:kern w:val="2"/>
          <w:lang w:val="en-GB"/>
          <w14:ligatures w14:val="standardContextual"/>
        </w:rPr>
        <w:fldChar w:fldCharType="begin"/>
      </w:r>
      <w:r w:rsidRPr="00AB7E50">
        <w:rPr>
          <w:rFonts w:ascii="Arial" w:eastAsia="Calibri" w:hAnsi="Arial" w:cs="Arial"/>
          <w:b/>
          <w:kern w:val="2"/>
          <w:lang w:val="en-GB"/>
          <w14:ligatures w14:val="standardContextual"/>
        </w:rPr>
        <w:instrText xml:space="preserve"> SEQ Table \* ARABIC </w:instrText>
      </w:r>
      <w:r w:rsidRPr="00AB7E50">
        <w:rPr>
          <w:rFonts w:ascii="Arial" w:eastAsia="Calibri" w:hAnsi="Arial" w:cs="Arial"/>
          <w:b/>
          <w:kern w:val="2"/>
          <w:lang w:val="en-GB"/>
          <w14:ligatures w14:val="standardContextual"/>
        </w:rPr>
        <w:fldChar w:fldCharType="separate"/>
      </w:r>
      <w:r w:rsidRPr="00AB7E50">
        <w:rPr>
          <w:rFonts w:ascii="Arial" w:eastAsia="Calibri" w:hAnsi="Arial" w:cs="Arial"/>
          <w:b/>
          <w:noProof/>
          <w:kern w:val="2"/>
          <w:lang w:val="en-GB"/>
          <w14:ligatures w14:val="standardContextual"/>
        </w:rPr>
        <w:t>3</w:t>
      </w:r>
      <w:r w:rsidRPr="00AB7E50">
        <w:rPr>
          <w:rFonts w:ascii="Arial" w:eastAsia="Calibri" w:hAnsi="Arial" w:cs="Arial"/>
          <w:b/>
          <w:kern w:val="2"/>
          <w:lang w:val="en-GB"/>
          <w14:ligatures w14:val="standardContextual"/>
        </w:rPr>
        <w:fldChar w:fldCharType="end"/>
      </w:r>
      <w:r w:rsidRPr="00AB7E50">
        <w:rPr>
          <w:rFonts w:ascii="Arial" w:eastAsia="Calibri" w:hAnsi="Arial" w:cs="Arial"/>
          <w:b/>
          <w:kern w:val="2"/>
          <w:lang w:val="en-GB"/>
          <w14:ligatures w14:val="standardContextual"/>
        </w:rPr>
        <w:t>.</w:t>
      </w:r>
      <w:r w:rsidRPr="00F31F7D">
        <w:rPr>
          <w:rFonts w:ascii="Arial" w:eastAsia="Calibri" w:hAnsi="Arial" w:cs="Arial"/>
          <w:kern w:val="2"/>
          <w:lang w:val="en-GB"/>
          <w14:ligatures w14:val="standardContextual"/>
        </w:rPr>
        <w:t>Criteria for classifying dam</w:t>
      </w:r>
    </w:p>
    <w:p w14:paraId="13FF7EFF" w14:textId="77777777" w:rsidR="00ED20E9" w:rsidRPr="00D62A3B" w:rsidRDefault="00ED20E9" w:rsidP="00ED20E9">
      <w:pPr>
        <w:spacing w:line="276" w:lineRule="auto"/>
        <w:jc w:val="both"/>
        <w:rPr>
          <w:rFonts w:ascii="Arial" w:eastAsia="Calibri" w:hAnsi="Arial" w:cs="Arial"/>
          <w:kern w:val="2"/>
          <w:lang w:val="en-GB"/>
          <w14:ligatures w14:val="standardContextual"/>
        </w:rPr>
      </w:pPr>
    </w:p>
    <w:tbl>
      <w:tblPr>
        <w:tblStyle w:val="TableGrid"/>
        <w:tblW w:w="9915" w:type="dxa"/>
        <w:tblInd w:w="-20" w:type="dxa"/>
        <w:tblLook w:val="04A0" w:firstRow="1" w:lastRow="0" w:firstColumn="1" w:lastColumn="0" w:noHBand="0" w:noVBand="1"/>
      </w:tblPr>
      <w:tblGrid>
        <w:gridCol w:w="1482"/>
        <w:gridCol w:w="3332"/>
        <w:gridCol w:w="2266"/>
        <w:gridCol w:w="2835"/>
      </w:tblGrid>
      <w:tr w:rsidR="00ED20E9" w:rsidRPr="00EA5B46" w14:paraId="06C8E1FE" w14:textId="77777777" w:rsidTr="00ED20E9">
        <w:tc>
          <w:tcPr>
            <w:tcW w:w="1482" w:type="dxa"/>
          </w:tcPr>
          <w:p w14:paraId="2D2025F2"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Rating Category</w:t>
            </w:r>
            <w:r w:rsidRPr="00EA5B46">
              <w:rPr>
                <w:rFonts w:ascii="Arial" w:hAnsi="Arial" w:cs="Arial"/>
                <w:kern w:val="2"/>
                <w:vertAlign w:val="superscript"/>
                <w:lang w:val="en-GB"/>
                <w14:ligatures w14:val="standardContextual"/>
              </w:rPr>
              <w:t>4</w:t>
            </w:r>
          </w:p>
        </w:tc>
        <w:tc>
          <w:tcPr>
            <w:tcW w:w="3332" w:type="dxa"/>
          </w:tcPr>
          <w:p w14:paraId="455C7F78"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Loss of life</w:t>
            </w:r>
          </w:p>
        </w:tc>
        <w:tc>
          <w:tcPr>
            <w:tcW w:w="2266" w:type="dxa"/>
          </w:tcPr>
          <w:p w14:paraId="0892EE2C"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Economic and social loss</w:t>
            </w:r>
          </w:p>
          <w:p w14:paraId="07C7BDB8" w14:textId="77777777" w:rsidR="00ED20E9" w:rsidRPr="00EA5B46" w:rsidRDefault="00ED20E9" w:rsidP="00ED20E9">
            <w:pPr>
              <w:spacing w:line="276" w:lineRule="auto"/>
              <w:jc w:val="both"/>
              <w:rPr>
                <w:rFonts w:ascii="Arial" w:hAnsi="Arial" w:cs="Arial"/>
                <w:kern w:val="2"/>
                <w:lang w:val="en-GB"/>
                <w14:ligatures w14:val="standardContextual"/>
              </w:rPr>
            </w:pPr>
          </w:p>
        </w:tc>
        <w:tc>
          <w:tcPr>
            <w:tcW w:w="2835" w:type="dxa"/>
          </w:tcPr>
          <w:p w14:paraId="14C5E402"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Environmental and cultural loss</w:t>
            </w:r>
          </w:p>
        </w:tc>
      </w:tr>
      <w:tr w:rsidR="00ED20E9" w:rsidRPr="00EA5B46" w14:paraId="5B63C98A" w14:textId="77777777" w:rsidTr="00ED20E9">
        <w:trPr>
          <w:trHeight w:val="3468"/>
        </w:trPr>
        <w:tc>
          <w:tcPr>
            <w:tcW w:w="1482" w:type="dxa"/>
          </w:tcPr>
          <w:p w14:paraId="639288C4"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Very high</w:t>
            </w:r>
          </w:p>
          <w:p w14:paraId="0795A996"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“A “</w:t>
            </w:r>
          </w:p>
        </w:tc>
        <w:tc>
          <w:tcPr>
            <w:tcW w:w="3332" w:type="dxa"/>
          </w:tcPr>
          <w:p w14:paraId="1397A5EE"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There is a big chance that residents and the working, travelling, and/or recreational public will die in multiple ways.</w:t>
            </w:r>
          </w:p>
          <w:p w14:paraId="3BC5450C"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Development often included towns, sizable business and industrial zones, major thoroughfares, railroads, and areas with high concentrations of recreational activity within inundation areas (the region that could be submerged in the event of a dam failure).</w:t>
            </w:r>
          </w:p>
          <w:p w14:paraId="19F6AFEF"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Over a hundred deaths are estimated.</w:t>
            </w:r>
          </w:p>
        </w:tc>
        <w:tc>
          <w:tcPr>
            <w:tcW w:w="2266" w:type="dxa"/>
          </w:tcPr>
          <w:p w14:paraId="27C81DBF"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Significant financial loss affecting public, commercial, and infrastructure assets both inside and outside the flooded area. </w:t>
            </w:r>
          </w:p>
          <w:p w14:paraId="4329EB86" w14:textId="77777777" w:rsidR="00ED20E9" w:rsidRPr="00EA5B46" w:rsidRDefault="00ED20E9" w:rsidP="00ED20E9">
            <w:pPr>
              <w:spacing w:line="276" w:lineRule="auto"/>
              <w:jc w:val="both"/>
              <w:rPr>
                <w:rFonts w:ascii="Arial" w:hAnsi="Arial" w:cs="Arial"/>
                <w:kern w:val="2"/>
                <w:lang w:val="en-GB"/>
                <w14:ligatures w14:val="standardContextual"/>
              </w:rPr>
            </w:pPr>
          </w:p>
        </w:tc>
        <w:tc>
          <w:tcPr>
            <w:tcW w:w="2835" w:type="dxa"/>
          </w:tcPr>
          <w:p w14:paraId="3A3D43EE"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Significant loss or degradation of habitat for wildlife, rare and/or endangered species, distinctive landscapes, or sites with cultural significance.</w:t>
            </w:r>
          </w:p>
        </w:tc>
      </w:tr>
      <w:tr w:rsidR="00ED20E9" w:rsidRPr="00EA5B46" w14:paraId="323D8A2C" w14:textId="77777777" w:rsidTr="00ED20E9">
        <w:trPr>
          <w:trHeight w:val="2460"/>
        </w:trPr>
        <w:tc>
          <w:tcPr>
            <w:tcW w:w="1482" w:type="dxa"/>
          </w:tcPr>
          <w:p w14:paraId="1E37A94C"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High “B”</w:t>
            </w:r>
          </w:p>
        </w:tc>
        <w:tc>
          <w:tcPr>
            <w:tcW w:w="3332" w:type="dxa"/>
          </w:tcPr>
          <w:p w14:paraId="58668D3E" w14:textId="77777777" w:rsidR="00ED20E9" w:rsidRPr="00EA5B46" w:rsidRDefault="00ED20E9" w:rsidP="00ED20E9">
            <w:pPr>
              <w:spacing w:line="276" w:lineRule="auto"/>
              <w:jc w:val="both"/>
              <w:rPr>
                <w:rFonts w:ascii="Arial" w:hAnsi="Arial" w:cs="Arial"/>
                <w:kern w:val="2"/>
                <w:lang w:val="en-GB"/>
                <w14:ligatures w14:val="standardContextual"/>
              </w:rPr>
            </w:pPr>
          </w:p>
          <w:p w14:paraId="71456C0C"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There is a chance that residents who work, travel, or engage in public recreation might forfeit several lives. Development in areas prone to flooding usually consists of roads and railroads, business and industrial zones, </w:t>
            </w:r>
          </w:p>
        </w:tc>
        <w:tc>
          <w:tcPr>
            <w:tcW w:w="2266" w:type="dxa"/>
          </w:tcPr>
          <w:p w14:paraId="0F4EF11D"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Severe financial losses impact public, private, and infrastructure properties both inside and outside the flooded area. </w:t>
            </w:r>
          </w:p>
          <w:p w14:paraId="6284969D"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w:t>
            </w:r>
          </w:p>
          <w:p w14:paraId="1392DDE7" w14:textId="77777777" w:rsidR="00ED20E9" w:rsidRPr="00EA5B46" w:rsidRDefault="00ED20E9" w:rsidP="00ED20E9">
            <w:pPr>
              <w:spacing w:line="276" w:lineRule="auto"/>
              <w:jc w:val="both"/>
              <w:rPr>
                <w:rFonts w:ascii="Arial" w:hAnsi="Arial" w:cs="Arial"/>
                <w:kern w:val="2"/>
                <w:lang w:val="en-GB"/>
                <w14:ligatures w14:val="standardContextual"/>
              </w:rPr>
            </w:pPr>
          </w:p>
        </w:tc>
        <w:tc>
          <w:tcPr>
            <w:tcW w:w="2835" w:type="dxa"/>
          </w:tcPr>
          <w:p w14:paraId="0457AABB"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Habitat loss or significant degradation for rare and/or endangered species, wildlife, unique landscapes, culturally significant locations, and important national or provincial fisheries (including water quality).</w:t>
            </w:r>
          </w:p>
        </w:tc>
      </w:tr>
      <w:tr w:rsidR="00ED20E9" w:rsidRPr="00EA5B46" w14:paraId="0647191E" w14:textId="77777777" w:rsidTr="00ED20E9">
        <w:trPr>
          <w:trHeight w:val="2940"/>
        </w:trPr>
        <w:tc>
          <w:tcPr>
            <w:tcW w:w="1482" w:type="dxa"/>
          </w:tcPr>
          <w:p w14:paraId="7DEA8356"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lastRenderedPageBreak/>
              <w:t>Low “C”</w:t>
            </w:r>
          </w:p>
        </w:tc>
        <w:tc>
          <w:tcPr>
            <w:tcW w:w="3332" w:type="dxa"/>
          </w:tcPr>
          <w:p w14:paraId="28BD73C7"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Reduced possibility of multiple fatalities; inundation area is usually undeveloped, aside from small roads, briefly inhabited areas, non-residential farms, and rural activities. If a larger development is present, there needs to be a trustworthy component of natural warning.</w:t>
            </w:r>
          </w:p>
          <w:p w14:paraId="070F64C0" w14:textId="77777777" w:rsidR="00ED20E9" w:rsidRPr="00EA5B46" w:rsidRDefault="00ED20E9" w:rsidP="00ED20E9">
            <w:pPr>
              <w:spacing w:line="276" w:lineRule="auto"/>
              <w:jc w:val="both"/>
              <w:rPr>
                <w:rFonts w:ascii="Arial" w:hAnsi="Arial" w:cs="Arial"/>
                <w:kern w:val="2"/>
                <w:lang w:val="en-GB"/>
                <w14:ligatures w14:val="standardContextual"/>
              </w:rPr>
            </w:pPr>
          </w:p>
          <w:p w14:paraId="7498C9DA" w14:textId="77777777" w:rsidR="00ED20E9" w:rsidRPr="00EA5B46" w:rsidRDefault="00ED20E9" w:rsidP="00ED20E9">
            <w:pPr>
              <w:spacing w:line="276" w:lineRule="auto"/>
              <w:jc w:val="both"/>
              <w:rPr>
                <w:rFonts w:ascii="Arial" w:hAnsi="Arial" w:cs="Arial"/>
                <w:kern w:val="2"/>
                <w:lang w:val="en-GB"/>
                <w14:ligatures w14:val="standardContextual"/>
              </w:rPr>
            </w:pPr>
          </w:p>
        </w:tc>
        <w:tc>
          <w:tcPr>
            <w:tcW w:w="2266" w:type="dxa"/>
          </w:tcPr>
          <w:p w14:paraId="2484A190"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Minimal financial losses as a result of fewer public, private, and commercial activities. The estimates expenses </w:t>
            </w:r>
            <w:proofErr w:type="gramStart"/>
            <w:r w:rsidRPr="00EA5B46">
              <w:rPr>
                <w:rFonts w:ascii="Arial" w:hAnsi="Arial" w:cs="Arial"/>
                <w:kern w:val="2"/>
                <w:lang w:val="en-GB"/>
                <w14:ligatures w14:val="standardContextual"/>
              </w:rPr>
              <w:t>whether  direct</w:t>
            </w:r>
            <w:proofErr w:type="gramEnd"/>
            <w:r w:rsidRPr="00EA5B46">
              <w:rPr>
                <w:rFonts w:ascii="Arial" w:hAnsi="Arial" w:cs="Arial"/>
                <w:kern w:val="2"/>
                <w:lang w:val="en-GB"/>
                <w14:ligatures w14:val="standardContextual"/>
              </w:rPr>
              <w:t xml:space="preserve"> or indirect are minimal under this category  </w:t>
            </w:r>
          </w:p>
        </w:tc>
        <w:tc>
          <w:tcPr>
            <w:tcW w:w="2835" w:type="dxa"/>
          </w:tcPr>
          <w:p w14:paraId="0F36E469" w14:textId="77777777" w:rsidR="00ED20E9" w:rsidRPr="00EA5B46" w:rsidRDefault="00ED20E9" w:rsidP="00ED20E9">
            <w:pPr>
              <w:spacing w:line="276" w:lineRule="auto"/>
              <w:jc w:val="both"/>
              <w:rPr>
                <w:rFonts w:ascii="Arial" w:hAnsi="Arial" w:cs="Arial"/>
                <w:kern w:val="2"/>
                <w:lang w:val="en-GB"/>
                <w14:ligatures w14:val="standardContextual"/>
              </w:rPr>
            </w:pPr>
          </w:p>
          <w:p w14:paraId="47E5547B" w14:textId="77777777" w:rsidR="00ED20E9" w:rsidRPr="00EA5B46" w:rsidRDefault="00ED20E9" w:rsidP="00ED20E9">
            <w:pPr>
              <w:spacing w:line="276" w:lineRule="auto"/>
              <w:jc w:val="both"/>
              <w:rPr>
                <w:rFonts w:ascii="Arial" w:hAnsi="Arial" w:cs="Arial"/>
                <w:kern w:val="2"/>
                <w:lang w:val="en-GB"/>
                <w14:ligatures w14:val="standardContextual"/>
              </w:rPr>
            </w:pPr>
          </w:p>
          <w:p w14:paraId="43E6BF56"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The disappearance or serious degradation of habitats supporting rare and/or endangered species, distinctive landscapes, places of cultural significance, wildlife habitat, and regionally significant fisheries.</w:t>
            </w:r>
          </w:p>
        </w:tc>
      </w:tr>
      <w:tr w:rsidR="00ED20E9" w:rsidRPr="00EA5B46" w14:paraId="737D5826" w14:textId="77777777" w:rsidTr="00ED20E9">
        <w:trPr>
          <w:trHeight w:val="1524"/>
        </w:trPr>
        <w:tc>
          <w:tcPr>
            <w:tcW w:w="1482" w:type="dxa"/>
          </w:tcPr>
          <w:p w14:paraId="709B4353"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Very low</w:t>
            </w:r>
          </w:p>
          <w:p w14:paraId="0F72C689"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“D”</w:t>
            </w:r>
          </w:p>
        </w:tc>
        <w:tc>
          <w:tcPr>
            <w:tcW w:w="3332" w:type="dxa"/>
          </w:tcPr>
          <w:p w14:paraId="41372127"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Very little chance of a catastrophe. An area that is flooded is usually underdeveloped.</w:t>
            </w:r>
          </w:p>
          <w:p w14:paraId="7AFFB586" w14:textId="77777777" w:rsidR="00ED20E9" w:rsidRPr="00EA5B46" w:rsidRDefault="00ED20E9" w:rsidP="00ED20E9">
            <w:pPr>
              <w:spacing w:line="276" w:lineRule="auto"/>
              <w:jc w:val="both"/>
              <w:rPr>
                <w:rFonts w:ascii="Arial" w:hAnsi="Arial" w:cs="Arial"/>
                <w:kern w:val="2"/>
                <w:lang w:val="en-GB"/>
                <w14:ligatures w14:val="standardContextual"/>
              </w:rPr>
            </w:pPr>
          </w:p>
        </w:tc>
        <w:tc>
          <w:tcPr>
            <w:tcW w:w="2266" w:type="dxa"/>
          </w:tcPr>
          <w:p w14:paraId="3EE3C626"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Little financial losses that are normally contained on the property of the owners </w:t>
            </w:r>
          </w:p>
        </w:tc>
        <w:tc>
          <w:tcPr>
            <w:tcW w:w="2835" w:type="dxa"/>
          </w:tcPr>
          <w:p w14:paraId="43356C02" w14:textId="77777777" w:rsidR="00ED20E9" w:rsidRPr="00EA5B46" w:rsidRDefault="00ED20E9" w:rsidP="00ED20E9">
            <w:pPr>
              <w:spacing w:line="276" w:lineRule="auto"/>
              <w:jc w:val="both"/>
              <w:rPr>
                <w:rFonts w:ascii="Arial" w:hAnsi="Arial" w:cs="Arial"/>
                <w:kern w:val="2"/>
                <w:lang w:val="en-GB"/>
                <w14:ligatures w14:val="standardContextual"/>
              </w:rPr>
            </w:pPr>
            <w:r w:rsidRPr="00EA5B46">
              <w:rPr>
                <w:rFonts w:ascii="Arial" w:hAnsi="Arial" w:cs="Arial"/>
                <w:kern w:val="2"/>
                <w:lang w:val="en-GB"/>
                <w14:ligatures w14:val="standardContextual"/>
              </w:rPr>
              <w:t xml:space="preserve">There is not a noticeable decline in the number of fisheries inhabitants, wildlife habitat, or uncommon or endangered species, </w:t>
            </w:r>
          </w:p>
        </w:tc>
      </w:tr>
    </w:tbl>
    <w:p w14:paraId="2AAB9853" w14:textId="77777777" w:rsidR="00ED20E9" w:rsidRDefault="00ED20E9"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vertAlign w:val="superscript"/>
          <w:lang w:val="en-GB"/>
          <w14:ligatures w14:val="standardContextual"/>
        </w:rPr>
        <w:t>4</w:t>
      </w:r>
      <w:r w:rsidRPr="00D62A3B">
        <w:rPr>
          <w:rFonts w:ascii="Arial" w:eastAsia="Calibri" w:hAnsi="Arial" w:cs="Arial"/>
          <w:kern w:val="2"/>
          <w14:ligatures w14:val="standardContextual"/>
        </w:rPr>
        <w:t xml:space="preserve"> </w:t>
      </w:r>
      <w:r w:rsidRPr="00D62A3B">
        <w:rPr>
          <w:rFonts w:ascii="Arial" w:eastAsia="Calibri" w:hAnsi="Arial" w:cs="Arial"/>
          <w:kern w:val="2"/>
          <w:lang w:val="en-GB"/>
          <w14:ligatures w14:val="standardContextual"/>
        </w:rPr>
        <w:t>The classification of the rating category is established based on external risks that could occur downstream in the event of dam failure.</w:t>
      </w:r>
    </w:p>
    <w:p w14:paraId="63EB97AD" w14:textId="77777777" w:rsidR="00ED20E9" w:rsidRDefault="00ED20E9" w:rsidP="00ED20E9">
      <w:pPr>
        <w:spacing w:line="276" w:lineRule="auto"/>
        <w:jc w:val="both"/>
        <w:rPr>
          <w:rFonts w:ascii="Arial" w:eastAsia="Calibri" w:hAnsi="Arial" w:cs="Arial"/>
          <w:kern w:val="2"/>
          <w:lang w:val="en-GB"/>
          <w14:ligatures w14:val="standardContextual"/>
        </w:rPr>
      </w:pPr>
    </w:p>
    <w:p w14:paraId="46D8FA4E" w14:textId="77777777" w:rsidR="00ED20E9" w:rsidRDefault="00ED20E9" w:rsidP="00ED20E9">
      <w:pPr>
        <w:spacing w:line="276" w:lineRule="auto"/>
        <w:rPr>
          <w:rFonts w:ascii="Arial" w:eastAsia="Calibri" w:hAnsi="Arial" w:cs="Arial"/>
          <w:kern w:val="2"/>
          <w14:ligatures w14:val="standardContextual"/>
        </w:rPr>
      </w:pPr>
      <w:r w:rsidRPr="00973700">
        <w:rPr>
          <w:rFonts w:ascii="Arial" w:eastAsia="Calibri" w:hAnsi="Arial" w:cs="Arial"/>
          <w:kern w:val="2"/>
          <w14:ligatures w14:val="standardContextual"/>
        </w:rPr>
        <w:t xml:space="preserve">Field data and institutional standards were used to determine </w:t>
      </w:r>
      <w:proofErr w:type="spellStart"/>
      <w:r w:rsidRPr="00973700">
        <w:rPr>
          <w:rFonts w:ascii="Arial" w:eastAsia="Calibri" w:hAnsi="Arial" w:cs="Arial"/>
          <w:kern w:val="2"/>
          <w14:ligatures w14:val="standardContextual"/>
        </w:rPr>
        <w:t>Mindu</w:t>
      </w:r>
      <w:proofErr w:type="spellEnd"/>
      <w:r w:rsidRPr="00973700">
        <w:rPr>
          <w:rFonts w:ascii="Arial" w:eastAsia="Calibri" w:hAnsi="Arial" w:cs="Arial"/>
          <w:kern w:val="2"/>
          <w14:ligatures w14:val="standardContextual"/>
        </w:rPr>
        <w:t xml:space="preserve"> Dam's "high hazard" categorization. Records from the Morogoro Municipal Council (2023) were used to determine the downstream population exposure (more than 1,000 inhabitants), which was then confirmed by home surveys. Using a checklist interview, the MORUWASA engineer found structural weaknesses, such as spillway capacity shortages. Interviews with representatives of the Morogoro Urban Water and Sanitation Authority (MURUWASA) confirmed the dam's vital role in the city's water supply. Globally, the categorization is consistent with the World Bank's (2010) definition of high-hazard dams, which are those that provide a "significant risk to essential infrastructure or human life.</w:t>
      </w:r>
    </w:p>
    <w:p w14:paraId="5CC905DA" w14:textId="77777777" w:rsidR="00ED20E9" w:rsidRDefault="00ED20E9" w:rsidP="00ED20E9">
      <w:pPr>
        <w:spacing w:line="276" w:lineRule="auto"/>
        <w:rPr>
          <w:rFonts w:ascii="Arial" w:eastAsia="Calibri" w:hAnsi="Arial" w:cs="Arial"/>
          <w:kern w:val="2"/>
          <w14:ligatures w14:val="standardContextual"/>
        </w:rPr>
      </w:pPr>
    </w:p>
    <w:p w14:paraId="7760E78E" w14:textId="17CBBE2B" w:rsidR="00ED20E9" w:rsidRDefault="00ED20E9" w:rsidP="00ED20E9">
      <w:pPr>
        <w:spacing w:line="276" w:lineRule="auto"/>
        <w:jc w:val="both"/>
        <w:rPr>
          <w:rFonts w:ascii="Arial" w:eastAsia="Calibri" w:hAnsi="Arial" w:cs="Arial"/>
          <w:kern w:val="2"/>
          <w:lang w:val="en-GB"/>
          <w14:ligatures w14:val="standardContextual"/>
        </w:rPr>
      </w:pPr>
      <w:r w:rsidRPr="00AB7E50">
        <w:rPr>
          <w:rFonts w:ascii="Arial" w:eastAsia="Calibri" w:hAnsi="Arial" w:cs="Arial"/>
          <w:b/>
          <w:kern w:val="2"/>
          <w:lang w:val="en-GB"/>
          <w14:ligatures w14:val="standardContextual"/>
        </w:rPr>
        <w:t xml:space="preserve">Table </w:t>
      </w:r>
      <w:r w:rsidRPr="00AB7E50">
        <w:rPr>
          <w:rFonts w:ascii="Arial" w:eastAsia="Calibri" w:hAnsi="Arial" w:cs="Arial"/>
          <w:b/>
          <w:kern w:val="2"/>
          <w:lang w:val="en-GB"/>
          <w14:ligatures w14:val="standardContextual"/>
        </w:rPr>
        <w:fldChar w:fldCharType="begin"/>
      </w:r>
      <w:r w:rsidRPr="00AB7E50">
        <w:rPr>
          <w:rFonts w:ascii="Arial" w:eastAsia="Calibri" w:hAnsi="Arial" w:cs="Arial"/>
          <w:b/>
          <w:kern w:val="2"/>
          <w:lang w:val="en-GB"/>
          <w14:ligatures w14:val="standardContextual"/>
        </w:rPr>
        <w:instrText xml:space="preserve"> SEQ Table \* ARABIC </w:instrText>
      </w:r>
      <w:r w:rsidRPr="00AB7E50">
        <w:rPr>
          <w:rFonts w:ascii="Arial" w:eastAsia="Calibri" w:hAnsi="Arial" w:cs="Arial"/>
          <w:b/>
          <w:kern w:val="2"/>
          <w:lang w:val="en-GB"/>
          <w14:ligatures w14:val="standardContextual"/>
        </w:rPr>
        <w:fldChar w:fldCharType="separate"/>
      </w:r>
      <w:r w:rsidRPr="00AB7E50">
        <w:rPr>
          <w:rFonts w:ascii="Arial" w:eastAsia="Calibri" w:hAnsi="Arial" w:cs="Arial"/>
          <w:b/>
          <w:noProof/>
          <w:kern w:val="2"/>
          <w:lang w:val="en-GB"/>
          <w14:ligatures w14:val="standardContextual"/>
        </w:rPr>
        <w:t>4</w:t>
      </w:r>
      <w:r w:rsidRPr="00AB7E50">
        <w:rPr>
          <w:rFonts w:ascii="Arial" w:eastAsia="Calibri" w:hAnsi="Arial" w:cs="Arial"/>
          <w:b/>
          <w:kern w:val="2"/>
          <w:lang w:val="en-GB"/>
          <w14:ligatures w14:val="standardContextual"/>
        </w:rPr>
        <w:fldChar w:fldCharType="end"/>
      </w:r>
      <w:r w:rsidRPr="00AB7E50">
        <w:rPr>
          <w:rFonts w:ascii="Arial" w:eastAsia="Calibri" w:hAnsi="Arial" w:cs="Arial"/>
          <w:b/>
          <w:kern w:val="2"/>
          <w:lang w:val="en-GB"/>
          <w14:ligatures w14:val="standardContextual"/>
        </w:rPr>
        <w:t>.</w:t>
      </w:r>
      <w:r w:rsidR="00AB7E50">
        <w:rPr>
          <w:rFonts w:ascii="Arial" w:eastAsia="Calibri" w:hAnsi="Arial" w:cs="Arial"/>
          <w:kern w:val="2"/>
          <w:lang w:val="en-GB"/>
          <w14:ligatures w14:val="standardContextual"/>
        </w:rPr>
        <w:t xml:space="preserve"> </w:t>
      </w:r>
      <w:proofErr w:type="spellStart"/>
      <w:r w:rsidRPr="00846F49">
        <w:rPr>
          <w:rFonts w:ascii="Arial" w:eastAsia="Calibri" w:hAnsi="Arial" w:cs="Arial"/>
          <w:kern w:val="2"/>
          <w:lang w:val="en-GB"/>
          <w14:ligatures w14:val="standardContextual"/>
        </w:rPr>
        <w:t>Mindu</w:t>
      </w:r>
      <w:proofErr w:type="spellEnd"/>
      <w:r w:rsidRPr="00846F49">
        <w:rPr>
          <w:rFonts w:ascii="Arial" w:eastAsia="Calibri" w:hAnsi="Arial" w:cs="Arial"/>
          <w:kern w:val="2"/>
          <w:lang w:val="en-GB"/>
          <w14:ligatures w14:val="standardContextual"/>
        </w:rPr>
        <w:t xml:space="preserve"> Dam</w:t>
      </w:r>
      <w:r>
        <w:rPr>
          <w:rFonts w:ascii="Arial" w:eastAsia="Calibri" w:hAnsi="Arial" w:cs="Arial"/>
          <w:kern w:val="2"/>
          <w:lang w:val="en-GB"/>
          <w14:ligatures w14:val="standardContextual"/>
        </w:rPr>
        <w:t xml:space="preserve"> risk</w:t>
      </w:r>
      <w:r w:rsidRPr="00846F49">
        <w:rPr>
          <w:rFonts w:ascii="Arial" w:eastAsia="Calibri" w:hAnsi="Arial" w:cs="Arial"/>
          <w:kern w:val="2"/>
          <w:lang w:val="en-GB"/>
          <w14:ligatures w14:val="standardContextual"/>
        </w:rPr>
        <w:t xml:space="preserve"> Classification Status</w:t>
      </w:r>
    </w:p>
    <w:p w14:paraId="26F255E3" w14:textId="77777777" w:rsidR="00ED20E9" w:rsidRDefault="00ED20E9" w:rsidP="00ED20E9">
      <w:pPr>
        <w:spacing w:line="276" w:lineRule="auto"/>
        <w:jc w:val="both"/>
        <w:rPr>
          <w:rFonts w:ascii="Arial" w:eastAsia="Calibri" w:hAnsi="Arial" w:cs="Arial"/>
          <w:kern w:val="2"/>
          <w:lang w:val="en-GB"/>
          <w14:ligatures w14:val="standardContextual"/>
        </w:rPr>
      </w:pPr>
    </w:p>
    <w:tbl>
      <w:tblPr>
        <w:tblStyle w:val="TableGrid"/>
        <w:tblW w:w="0" w:type="auto"/>
        <w:tblLook w:val="04A0" w:firstRow="1" w:lastRow="0" w:firstColumn="1" w:lastColumn="0" w:noHBand="0" w:noVBand="1"/>
      </w:tblPr>
      <w:tblGrid>
        <w:gridCol w:w="1999"/>
        <w:gridCol w:w="3004"/>
        <w:gridCol w:w="2318"/>
        <w:gridCol w:w="2749"/>
      </w:tblGrid>
      <w:tr w:rsidR="00ED20E9" w:rsidRPr="00E70409" w14:paraId="64DFC074" w14:textId="77777777" w:rsidTr="00ED20E9">
        <w:tc>
          <w:tcPr>
            <w:tcW w:w="0" w:type="auto"/>
            <w:hideMark/>
          </w:tcPr>
          <w:p w14:paraId="5BA0351C" w14:textId="77777777" w:rsidR="00ED20E9" w:rsidRPr="00E70409" w:rsidRDefault="00ED20E9" w:rsidP="00ED20E9">
            <w:pPr>
              <w:spacing w:after="160" w:line="276" w:lineRule="auto"/>
              <w:jc w:val="both"/>
              <w:rPr>
                <w:rFonts w:ascii="Arial" w:hAnsi="Arial" w:cs="Arial"/>
                <w:b/>
                <w:bCs/>
              </w:rPr>
            </w:pPr>
            <w:r w:rsidRPr="00E70409">
              <w:rPr>
                <w:rFonts w:ascii="Arial" w:hAnsi="Arial" w:cs="Arial"/>
                <w:b/>
                <w:bCs/>
              </w:rPr>
              <w:t>Hazard Criterion</w:t>
            </w:r>
          </w:p>
        </w:tc>
        <w:tc>
          <w:tcPr>
            <w:tcW w:w="0" w:type="auto"/>
            <w:hideMark/>
          </w:tcPr>
          <w:p w14:paraId="2C225D32" w14:textId="77777777" w:rsidR="00ED20E9" w:rsidRPr="00E70409" w:rsidRDefault="00ED20E9" w:rsidP="00ED20E9">
            <w:pPr>
              <w:spacing w:after="160" w:line="276" w:lineRule="auto"/>
              <w:jc w:val="both"/>
              <w:rPr>
                <w:rFonts w:ascii="Arial" w:hAnsi="Arial" w:cs="Arial"/>
                <w:b/>
                <w:bCs/>
              </w:rPr>
            </w:pPr>
            <w:r w:rsidRPr="00E70409">
              <w:rPr>
                <w:rFonts w:ascii="Arial" w:hAnsi="Arial" w:cs="Arial"/>
                <w:b/>
                <w:bCs/>
              </w:rPr>
              <w:t>Threshold for "High Hazard"</w:t>
            </w:r>
          </w:p>
        </w:tc>
        <w:tc>
          <w:tcPr>
            <w:tcW w:w="0" w:type="auto"/>
            <w:hideMark/>
          </w:tcPr>
          <w:p w14:paraId="3D5E21D4" w14:textId="77777777" w:rsidR="00ED20E9" w:rsidRPr="00E70409" w:rsidRDefault="00ED20E9" w:rsidP="00ED20E9">
            <w:pPr>
              <w:spacing w:after="160" w:line="276" w:lineRule="auto"/>
              <w:jc w:val="both"/>
              <w:rPr>
                <w:rFonts w:ascii="Arial" w:hAnsi="Arial" w:cs="Arial"/>
                <w:b/>
                <w:bCs/>
              </w:rPr>
            </w:pPr>
            <w:r w:rsidRPr="00E70409">
              <w:rPr>
                <w:rFonts w:ascii="Arial" w:hAnsi="Arial" w:cs="Arial"/>
                <w:b/>
                <w:bCs/>
              </w:rPr>
              <w:t>Data Source</w:t>
            </w:r>
          </w:p>
        </w:tc>
        <w:tc>
          <w:tcPr>
            <w:tcW w:w="0" w:type="auto"/>
            <w:hideMark/>
          </w:tcPr>
          <w:p w14:paraId="5F44939C" w14:textId="77777777" w:rsidR="00ED20E9" w:rsidRPr="00E70409" w:rsidRDefault="00ED20E9" w:rsidP="00ED20E9">
            <w:pPr>
              <w:spacing w:after="160" w:line="276" w:lineRule="auto"/>
              <w:jc w:val="both"/>
              <w:rPr>
                <w:rFonts w:ascii="Arial" w:hAnsi="Arial" w:cs="Arial"/>
                <w:b/>
                <w:bCs/>
              </w:rPr>
            </w:pPr>
            <w:proofErr w:type="spellStart"/>
            <w:r w:rsidRPr="00E70409">
              <w:rPr>
                <w:rFonts w:ascii="Arial" w:hAnsi="Arial" w:cs="Arial"/>
                <w:b/>
                <w:bCs/>
              </w:rPr>
              <w:t>Mindu</w:t>
            </w:r>
            <w:proofErr w:type="spellEnd"/>
            <w:r w:rsidRPr="00E70409">
              <w:rPr>
                <w:rFonts w:ascii="Arial" w:hAnsi="Arial" w:cs="Arial"/>
                <w:b/>
                <w:bCs/>
              </w:rPr>
              <w:t xml:space="preserve"> Dam Status</w:t>
            </w:r>
          </w:p>
        </w:tc>
      </w:tr>
      <w:tr w:rsidR="00ED20E9" w:rsidRPr="00E70409" w14:paraId="2E91736D" w14:textId="77777777" w:rsidTr="00ED20E9">
        <w:tc>
          <w:tcPr>
            <w:tcW w:w="0" w:type="auto"/>
            <w:hideMark/>
          </w:tcPr>
          <w:p w14:paraId="76E71AD9" w14:textId="77777777" w:rsidR="00ED20E9" w:rsidRPr="00E70409" w:rsidRDefault="00ED20E9" w:rsidP="00ED20E9">
            <w:pPr>
              <w:spacing w:after="160" w:line="276" w:lineRule="auto"/>
              <w:jc w:val="both"/>
              <w:rPr>
                <w:rFonts w:ascii="Arial" w:hAnsi="Arial" w:cs="Arial"/>
              </w:rPr>
            </w:pPr>
            <w:r w:rsidRPr="00E70409">
              <w:rPr>
                <w:rFonts w:ascii="Arial" w:hAnsi="Arial" w:cs="Arial"/>
              </w:rPr>
              <w:t>Downstream population</w:t>
            </w:r>
          </w:p>
        </w:tc>
        <w:tc>
          <w:tcPr>
            <w:tcW w:w="0" w:type="auto"/>
            <w:hideMark/>
          </w:tcPr>
          <w:p w14:paraId="1AFDE893" w14:textId="77777777" w:rsidR="00ED20E9" w:rsidRPr="00E70409" w:rsidRDefault="00ED20E9" w:rsidP="00ED20E9">
            <w:pPr>
              <w:spacing w:after="160" w:line="276" w:lineRule="auto"/>
              <w:jc w:val="both"/>
              <w:rPr>
                <w:rFonts w:ascii="Arial" w:hAnsi="Arial" w:cs="Arial"/>
              </w:rPr>
            </w:pPr>
            <w:r w:rsidRPr="00EA5B46">
              <w:rPr>
                <w:rFonts w:ascii="Arial" w:hAnsi="Arial" w:cs="Arial"/>
                <w:bCs/>
              </w:rPr>
              <w:t>50 to 200</w:t>
            </w:r>
            <w:r w:rsidRPr="00D50422">
              <w:rPr>
                <w:rFonts w:ascii="Arial" w:hAnsi="Arial" w:cs="Arial"/>
                <w:b/>
                <w:bCs/>
              </w:rPr>
              <w:t xml:space="preserve"> </w:t>
            </w:r>
            <w:r w:rsidRPr="00EA5B46">
              <w:rPr>
                <w:rFonts w:ascii="Arial" w:hAnsi="Arial" w:cs="Arial"/>
                <w:bCs/>
              </w:rPr>
              <w:t>meters</w:t>
            </w:r>
            <w:r w:rsidRPr="00D50422">
              <w:rPr>
                <w:rFonts w:ascii="Arial" w:hAnsi="Arial" w:cs="Arial"/>
              </w:rPr>
              <w:t> </w:t>
            </w:r>
            <w:r w:rsidRPr="00E70409">
              <w:rPr>
                <w:rFonts w:ascii="Arial" w:hAnsi="Arial" w:cs="Arial"/>
              </w:rPr>
              <w:t xml:space="preserve">buffer </w:t>
            </w:r>
            <w:proofErr w:type="gramStart"/>
            <w:r w:rsidRPr="00E70409">
              <w:rPr>
                <w:rFonts w:ascii="Arial" w:hAnsi="Arial" w:cs="Arial"/>
              </w:rPr>
              <w:t>zone  (</w:t>
            </w:r>
            <w:proofErr w:type="gramEnd"/>
            <w:r w:rsidRPr="00E70409">
              <w:rPr>
                <w:rFonts w:ascii="Arial" w:hAnsi="Arial" w:cs="Arial"/>
              </w:rPr>
              <w:t xml:space="preserve">Tanzania </w:t>
            </w:r>
            <w:r>
              <w:rPr>
                <w:rFonts w:ascii="Arial" w:hAnsi="Arial" w:cs="Arial"/>
              </w:rPr>
              <w:t>NEMC</w:t>
            </w:r>
            <w:r w:rsidRPr="00E70409">
              <w:rPr>
                <w:rFonts w:ascii="Arial" w:hAnsi="Arial" w:cs="Arial"/>
              </w:rPr>
              <w:t xml:space="preserve">, </w:t>
            </w:r>
            <w:r w:rsidRPr="00D50422">
              <w:rPr>
                <w:rFonts w:ascii="Arial" w:hAnsi="Arial" w:cs="Arial"/>
                <w:b/>
                <w:bCs/>
              </w:rPr>
              <w:t>2004</w:t>
            </w:r>
            <w:r w:rsidRPr="00E70409">
              <w:rPr>
                <w:rFonts w:ascii="Arial" w:hAnsi="Arial" w:cs="Arial"/>
              </w:rPr>
              <w:t>)</w:t>
            </w:r>
          </w:p>
        </w:tc>
        <w:tc>
          <w:tcPr>
            <w:tcW w:w="0" w:type="auto"/>
            <w:hideMark/>
          </w:tcPr>
          <w:p w14:paraId="19D01F0E" w14:textId="77777777" w:rsidR="00ED20E9" w:rsidRPr="00E70409" w:rsidRDefault="00ED20E9" w:rsidP="00ED20E9">
            <w:pPr>
              <w:spacing w:after="160" w:line="276" w:lineRule="auto"/>
              <w:jc w:val="both"/>
              <w:rPr>
                <w:rFonts w:ascii="Arial" w:hAnsi="Arial" w:cs="Arial"/>
              </w:rPr>
            </w:pPr>
            <w:r w:rsidRPr="00E70409">
              <w:rPr>
                <w:rFonts w:ascii="Arial" w:hAnsi="Arial" w:cs="Arial"/>
              </w:rPr>
              <w:t>Morogoro Municipal Council (2023)</w:t>
            </w:r>
          </w:p>
        </w:tc>
        <w:tc>
          <w:tcPr>
            <w:tcW w:w="0" w:type="auto"/>
            <w:hideMark/>
          </w:tcPr>
          <w:p w14:paraId="604412C8" w14:textId="77777777" w:rsidR="00ED20E9" w:rsidRPr="00E70409" w:rsidRDefault="00ED20E9" w:rsidP="00ED20E9">
            <w:pPr>
              <w:spacing w:after="160" w:line="276" w:lineRule="auto"/>
              <w:jc w:val="both"/>
              <w:rPr>
                <w:rFonts w:ascii="Arial" w:hAnsi="Arial" w:cs="Arial"/>
              </w:rPr>
            </w:pPr>
            <w:r>
              <w:rPr>
                <w:rFonts w:ascii="Arial" w:hAnsi="Arial" w:cs="Arial"/>
              </w:rPr>
              <w:t>1</w:t>
            </w:r>
            <w:r w:rsidRPr="00E70409">
              <w:rPr>
                <w:rFonts w:ascii="Arial" w:hAnsi="Arial" w:cs="Arial"/>
              </w:rPr>
              <w:t>,000 residents within flood zone</w:t>
            </w:r>
          </w:p>
        </w:tc>
      </w:tr>
      <w:tr w:rsidR="00ED20E9" w:rsidRPr="00E70409" w14:paraId="6169D406" w14:textId="77777777" w:rsidTr="00ED20E9">
        <w:tc>
          <w:tcPr>
            <w:tcW w:w="0" w:type="auto"/>
            <w:hideMark/>
          </w:tcPr>
          <w:p w14:paraId="1D05DE3D" w14:textId="77777777" w:rsidR="00ED20E9" w:rsidRPr="00E70409" w:rsidRDefault="00ED20E9" w:rsidP="00ED20E9">
            <w:pPr>
              <w:spacing w:after="160" w:line="276" w:lineRule="auto"/>
              <w:jc w:val="both"/>
              <w:rPr>
                <w:rFonts w:ascii="Arial" w:hAnsi="Arial" w:cs="Arial"/>
              </w:rPr>
            </w:pPr>
            <w:r w:rsidRPr="00E70409">
              <w:rPr>
                <w:rFonts w:ascii="Arial" w:hAnsi="Arial" w:cs="Arial"/>
              </w:rPr>
              <w:t>Critical infrastructure</w:t>
            </w:r>
          </w:p>
        </w:tc>
        <w:tc>
          <w:tcPr>
            <w:tcW w:w="0" w:type="auto"/>
            <w:hideMark/>
          </w:tcPr>
          <w:p w14:paraId="052B8223" w14:textId="77777777" w:rsidR="00ED20E9" w:rsidRPr="00E70409" w:rsidRDefault="00ED20E9" w:rsidP="00ED20E9">
            <w:pPr>
              <w:spacing w:after="160" w:line="276" w:lineRule="auto"/>
              <w:jc w:val="both"/>
              <w:rPr>
                <w:rFonts w:ascii="Arial" w:hAnsi="Arial" w:cs="Arial"/>
              </w:rPr>
            </w:pPr>
            <w:r w:rsidRPr="00E70409">
              <w:rPr>
                <w:rFonts w:ascii="Arial" w:hAnsi="Arial" w:cs="Arial"/>
              </w:rPr>
              <w:t>Impacts water supply, roads, hospitals</w:t>
            </w:r>
          </w:p>
        </w:tc>
        <w:tc>
          <w:tcPr>
            <w:tcW w:w="0" w:type="auto"/>
            <w:hideMark/>
          </w:tcPr>
          <w:p w14:paraId="712C2020" w14:textId="77777777" w:rsidR="00ED20E9" w:rsidRPr="00E70409" w:rsidRDefault="00ED20E9" w:rsidP="00ED20E9">
            <w:pPr>
              <w:spacing w:after="160" w:line="276" w:lineRule="auto"/>
              <w:jc w:val="both"/>
              <w:rPr>
                <w:rFonts w:ascii="Arial" w:hAnsi="Arial" w:cs="Arial"/>
              </w:rPr>
            </w:pPr>
            <w:r w:rsidRPr="00E70409">
              <w:rPr>
                <w:rFonts w:ascii="Arial" w:hAnsi="Arial" w:cs="Arial"/>
              </w:rPr>
              <w:t>MORUWASA records (2023)</w:t>
            </w:r>
          </w:p>
        </w:tc>
        <w:tc>
          <w:tcPr>
            <w:tcW w:w="0" w:type="auto"/>
            <w:hideMark/>
          </w:tcPr>
          <w:p w14:paraId="44D95A4B" w14:textId="77777777" w:rsidR="00ED20E9" w:rsidRPr="00E70409" w:rsidRDefault="00ED20E9" w:rsidP="00ED20E9">
            <w:pPr>
              <w:spacing w:after="160" w:line="276" w:lineRule="auto"/>
              <w:jc w:val="both"/>
              <w:rPr>
                <w:rFonts w:ascii="Arial" w:hAnsi="Arial" w:cs="Arial"/>
              </w:rPr>
            </w:pPr>
            <w:r w:rsidRPr="00E70409">
              <w:rPr>
                <w:rFonts w:ascii="Arial" w:hAnsi="Arial" w:cs="Arial"/>
              </w:rPr>
              <w:t>Primary water source for Morogoro city</w:t>
            </w:r>
          </w:p>
        </w:tc>
      </w:tr>
      <w:tr w:rsidR="00ED20E9" w:rsidRPr="00E70409" w14:paraId="493D6EB6" w14:textId="77777777" w:rsidTr="00ED20E9">
        <w:tc>
          <w:tcPr>
            <w:tcW w:w="0" w:type="auto"/>
            <w:hideMark/>
          </w:tcPr>
          <w:p w14:paraId="33F7CFC9" w14:textId="77777777" w:rsidR="00ED20E9" w:rsidRPr="00E70409" w:rsidRDefault="00ED20E9" w:rsidP="00ED20E9">
            <w:pPr>
              <w:spacing w:after="160" w:line="276" w:lineRule="auto"/>
              <w:jc w:val="both"/>
              <w:rPr>
                <w:rFonts w:ascii="Arial" w:hAnsi="Arial" w:cs="Arial"/>
              </w:rPr>
            </w:pPr>
            <w:r w:rsidRPr="00E70409">
              <w:rPr>
                <w:rFonts w:ascii="Arial" w:hAnsi="Arial" w:cs="Arial"/>
              </w:rPr>
              <w:t>Structural condition</w:t>
            </w:r>
          </w:p>
        </w:tc>
        <w:tc>
          <w:tcPr>
            <w:tcW w:w="0" w:type="auto"/>
            <w:hideMark/>
          </w:tcPr>
          <w:p w14:paraId="44EB112F" w14:textId="77777777" w:rsidR="00ED20E9" w:rsidRPr="00E70409" w:rsidRDefault="00ED20E9" w:rsidP="00ED20E9">
            <w:pPr>
              <w:spacing w:after="160" w:line="276" w:lineRule="auto"/>
              <w:jc w:val="both"/>
              <w:rPr>
                <w:rFonts w:ascii="Arial" w:hAnsi="Arial" w:cs="Arial"/>
              </w:rPr>
            </w:pPr>
            <w:r w:rsidRPr="00E70409">
              <w:rPr>
                <w:rFonts w:ascii="Arial" w:hAnsi="Arial" w:cs="Arial"/>
              </w:rPr>
              <w:t>Severe deficiencies (ICOLD, 2005)</w:t>
            </w:r>
          </w:p>
        </w:tc>
        <w:tc>
          <w:tcPr>
            <w:tcW w:w="0" w:type="auto"/>
            <w:hideMark/>
          </w:tcPr>
          <w:p w14:paraId="08FF16A3" w14:textId="77777777" w:rsidR="00ED20E9" w:rsidRPr="00E70409" w:rsidRDefault="00ED20E9" w:rsidP="00ED20E9">
            <w:pPr>
              <w:spacing w:after="160" w:line="276" w:lineRule="auto"/>
              <w:rPr>
                <w:rFonts w:ascii="Arial" w:hAnsi="Arial" w:cs="Arial"/>
              </w:rPr>
            </w:pPr>
            <w:r w:rsidRPr="00E70409">
              <w:rPr>
                <w:rFonts w:ascii="Arial" w:hAnsi="Arial" w:cs="Arial"/>
              </w:rPr>
              <w:t>Field inspections (2023);</w:t>
            </w:r>
          </w:p>
        </w:tc>
        <w:tc>
          <w:tcPr>
            <w:tcW w:w="0" w:type="auto"/>
            <w:hideMark/>
          </w:tcPr>
          <w:p w14:paraId="3D142788" w14:textId="77777777" w:rsidR="00ED20E9" w:rsidRPr="00E70409" w:rsidRDefault="00ED20E9" w:rsidP="00ED20E9">
            <w:pPr>
              <w:spacing w:after="160" w:line="276" w:lineRule="auto"/>
              <w:jc w:val="both"/>
              <w:rPr>
                <w:rFonts w:ascii="Arial" w:hAnsi="Arial" w:cs="Arial"/>
              </w:rPr>
            </w:pPr>
            <w:r w:rsidRPr="00E70409">
              <w:rPr>
                <w:rFonts w:ascii="Arial" w:hAnsi="Arial" w:cs="Arial"/>
              </w:rPr>
              <w:t>Outlet corrosion (100%); spillway deficit</w:t>
            </w:r>
          </w:p>
        </w:tc>
      </w:tr>
      <w:tr w:rsidR="00ED20E9" w:rsidRPr="00E70409" w14:paraId="353F69C2" w14:textId="77777777" w:rsidTr="00ED20E9">
        <w:tc>
          <w:tcPr>
            <w:tcW w:w="0" w:type="auto"/>
            <w:hideMark/>
          </w:tcPr>
          <w:p w14:paraId="54CD21F2" w14:textId="77777777" w:rsidR="00ED20E9" w:rsidRPr="00E70409" w:rsidRDefault="00ED20E9" w:rsidP="00ED20E9">
            <w:pPr>
              <w:spacing w:after="160" w:line="276" w:lineRule="auto"/>
              <w:jc w:val="both"/>
              <w:rPr>
                <w:rFonts w:ascii="Arial" w:hAnsi="Arial" w:cs="Arial"/>
              </w:rPr>
            </w:pPr>
            <w:r w:rsidRPr="00E70409">
              <w:rPr>
                <w:rFonts w:ascii="Arial" w:hAnsi="Arial" w:cs="Arial"/>
              </w:rPr>
              <w:t>Environmental sensitivity</w:t>
            </w:r>
          </w:p>
        </w:tc>
        <w:tc>
          <w:tcPr>
            <w:tcW w:w="0" w:type="auto"/>
            <w:hideMark/>
          </w:tcPr>
          <w:p w14:paraId="5C9C14FB" w14:textId="77777777" w:rsidR="00ED20E9" w:rsidRPr="00E70409" w:rsidRDefault="00ED20E9" w:rsidP="00ED20E9">
            <w:pPr>
              <w:spacing w:after="160" w:line="276" w:lineRule="auto"/>
              <w:jc w:val="both"/>
              <w:rPr>
                <w:rFonts w:ascii="Arial" w:hAnsi="Arial" w:cs="Arial"/>
              </w:rPr>
            </w:pPr>
            <w:r w:rsidRPr="00E70409">
              <w:rPr>
                <w:rFonts w:ascii="Arial" w:hAnsi="Arial" w:cs="Arial"/>
              </w:rPr>
              <w:t>Threat to protected ecosystems</w:t>
            </w:r>
          </w:p>
        </w:tc>
        <w:tc>
          <w:tcPr>
            <w:tcW w:w="0" w:type="auto"/>
            <w:hideMark/>
          </w:tcPr>
          <w:p w14:paraId="6ADDD9BE" w14:textId="77777777" w:rsidR="00ED20E9" w:rsidRPr="00E70409" w:rsidRDefault="00ED20E9" w:rsidP="00ED20E9">
            <w:pPr>
              <w:spacing w:after="160" w:line="276" w:lineRule="auto"/>
              <w:jc w:val="both"/>
              <w:rPr>
                <w:rFonts w:ascii="Arial" w:hAnsi="Arial" w:cs="Arial"/>
              </w:rPr>
            </w:pPr>
            <w:r w:rsidRPr="00E70409">
              <w:rPr>
                <w:rFonts w:ascii="Arial" w:hAnsi="Arial" w:cs="Arial"/>
              </w:rPr>
              <w:t>Tanzania NEMC (2015)</w:t>
            </w:r>
          </w:p>
        </w:tc>
        <w:tc>
          <w:tcPr>
            <w:tcW w:w="0" w:type="auto"/>
            <w:hideMark/>
          </w:tcPr>
          <w:p w14:paraId="5BF731D4" w14:textId="77777777" w:rsidR="00ED20E9" w:rsidRPr="00E70409" w:rsidRDefault="00ED20E9" w:rsidP="00ED20E9">
            <w:pPr>
              <w:spacing w:after="160" w:line="276" w:lineRule="auto"/>
              <w:jc w:val="both"/>
              <w:rPr>
                <w:rFonts w:ascii="Arial" w:hAnsi="Arial" w:cs="Arial"/>
              </w:rPr>
            </w:pPr>
            <w:r w:rsidRPr="00E70409">
              <w:rPr>
                <w:rFonts w:ascii="Arial" w:hAnsi="Arial" w:cs="Arial"/>
              </w:rPr>
              <w:t xml:space="preserve">Adjacent to </w:t>
            </w:r>
            <w:proofErr w:type="spellStart"/>
            <w:r w:rsidRPr="00E70409">
              <w:rPr>
                <w:rFonts w:ascii="Arial" w:hAnsi="Arial" w:cs="Arial"/>
              </w:rPr>
              <w:t>Uluguru</w:t>
            </w:r>
            <w:proofErr w:type="spellEnd"/>
            <w:r w:rsidRPr="00E70409">
              <w:rPr>
                <w:rFonts w:ascii="Arial" w:hAnsi="Arial" w:cs="Arial"/>
              </w:rPr>
              <w:t xml:space="preserve"> Mountains biodiversity hotspot</w:t>
            </w:r>
          </w:p>
        </w:tc>
      </w:tr>
    </w:tbl>
    <w:p w14:paraId="2D19C4CB" w14:textId="77777777" w:rsidR="003941BF" w:rsidRDefault="003941BF" w:rsidP="00ED20E9">
      <w:pPr>
        <w:spacing w:after="160" w:line="276" w:lineRule="auto"/>
        <w:contextualSpacing/>
        <w:jc w:val="both"/>
        <w:rPr>
          <w:rFonts w:ascii="Arial" w:eastAsia="Calibri" w:hAnsi="Arial" w:cs="Arial"/>
          <w:b/>
          <w:iCs/>
          <w:kern w:val="2"/>
          <w:lang w:val="en-GB"/>
          <w14:ligatures w14:val="standardContextual"/>
        </w:rPr>
      </w:pPr>
      <w:r>
        <w:rPr>
          <w:rFonts w:ascii="Arial" w:eastAsia="Calibri" w:hAnsi="Arial" w:cs="Arial"/>
          <w:b/>
          <w:iCs/>
          <w:kern w:val="2"/>
          <w:lang w:val="en-GB"/>
          <w14:ligatures w14:val="standardContextual"/>
        </w:rPr>
        <w:lastRenderedPageBreak/>
        <w:t>3.3.</w:t>
      </w:r>
      <w:r w:rsidRPr="00D62A3B">
        <w:rPr>
          <w:rFonts w:ascii="Arial" w:eastAsia="Calibri" w:hAnsi="Arial" w:cs="Arial"/>
          <w:b/>
          <w:iCs/>
          <w:kern w:val="2"/>
          <w:lang w:val="en-GB"/>
          <w14:ligatures w14:val="standardContextual"/>
        </w:rPr>
        <w:t xml:space="preserve"> The Variables Influencing </w:t>
      </w:r>
      <w:proofErr w:type="spellStart"/>
      <w:r w:rsidRPr="00D62A3B">
        <w:rPr>
          <w:rFonts w:ascii="Arial" w:eastAsia="Calibri" w:hAnsi="Arial" w:cs="Arial"/>
          <w:b/>
          <w:iCs/>
          <w:kern w:val="2"/>
          <w:lang w:val="en-GB"/>
          <w14:ligatures w14:val="standardContextual"/>
        </w:rPr>
        <w:t>Mindu</w:t>
      </w:r>
      <w:proofErr w:type="spellEnd"/>
      <w:r w:rsidRPr="00D62A3B">
        <w:rPr>
          <w:rFonts w:ascii="Arial" w:eastAsia="Calibri" w:hAnsi="Arial" w:cs="Arial"/>
          <w:b/>
          <w:iCs/>
          <w:kern w:val="2"/>
          <w:lang w:val="en-GB"/>
          <w14:ligatures w14:val="standardContextual"/>
        </w:rPr>
        <w:t xml:space="preserve"> Dam Safety Issues</w:t>
      </w:r>
    </w:p>
    <w:p w14:paraId="509F765D" w14:textId="77777777" w:rsidR="003941BF" w:rsidRPr="00D62A3B" w:rsidRDefault="003941BF" w:rsidP="003941BF">
      <w:pPr>
        <w:spacing w:after="160" w:line="276" w:lineRule="auto"/>
        <w:ind w:left="360"/>
        <w:contextualSpacing/>
        <w:jc w:val="both"/>
        <w:rPr>
          <w:rFonts w:ascii="Arial" w:eastAsia="Calibri" w:hAnsi="Arial" w:cs="Arial"/>
          <w:b/>
          <w:iCs/>
          <w:kern w:val="2"/>
          <w:lang w:val="en-GB"/>
          <w14:ligatures w14:val="standardContextual"/>
        </w:rPr>
      </w:pPr>
    </w:p>
    <w:p w14:paraId="7D287C4E" w14:textId="77777777" w:rsidR="00ED20E9" w:rsidRPr="00D62A3B"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Given the Natural factors i.e. flooding, erosion, structural</w:t>
      </w:r>
      <w:r>
        <w:rPr>
          <w:rFonts w:ascii="Arial" w:eastAsia="Calibri" w:hAnsi="Arial" w:cs="Arial"/>
          <w:kern w:val="2"/>
          <w:lang w:val="en-GB"/>
          <w14:ligatures w14:val="standardContextual"/>
        </w:rPr>
        <w:t xml:space="preserve"> deterioration</w:t>
      </w:r>
      <w:r w:rsidRPr="00D62A3B">
        <w:rPr>
          <w:rFonts w:ascii="Arial" w:eastAsia="Calibri" w:hAnsi="Arial" w:cs="Arial"/>
          <w:kern w:val="2"/>
          <w:lang w:val="en-GB"/>
          <w14:ligatures w14:val="standardContextual"/>
        </w:rPr>
        <w:t xml:space="preserve"> i.e. Spillway capacity and other human factors such as vandalism associated with dam safety this study explores the factors contributing to the identification of safety issues with dams in Morogoro. According to feedback from and household interviews of various stakeholders, a significant number of dam failures occur during extreme weather events, notably floods and heavy rainfall, often coinciding with each other refer to Table 4. The majority of respondents expressed the belief that floods and heavy rains were prominent contributors to dam failures. Additionally, landslides were identified as another factor leading to dam failures, particularly in areas with mountainous terrain, such as the </w:t>
      </w:r>
      <w:proofErr w:type="spellStart"/>
      <w:r w:rsidRPr="00D62A3B">
        <w:rPr>
          <w:rFonts w:ascii="Arial" w:eastAsia="Calibri" w:hAnsi="Arial" w:cs="Arial"/>
          <w:kern w:val="2"/>
          <w:lang w:val="en-GB"/>
          <w14:ligatures w14:val="standardContextual"/>
        </w:rPr>
        <w:t>Uluguru</w:t>
      </w:r>
      <w:proofErr w:type="spellEnd"/>
      <w:r w:rsidRPr="00D62A3B">
        <w:rPr>
          <w:rFonts w:ascii="Arial" w:eastAsia="Calibri" w:hAnsi="Arial" w:cs="Arial"/>
          <w:kern w:val="2"/>
          <w:lang w:val="en-GB"/>
          <w14:ligatures w14:val="standardContextual"/>
        </w:rPr>
        <w:t xml:space="preserve"> Mountains. The age of dams was highlighted as a crucial determinant of their stability, with dams constructed over 40 years ago being more susceptible to failures. These insights were gleaned from both the questionnaires and interviews conducted as part of the study. The compromised safety resulted from inadequate design and construction, posing a threat to the inherent safety of these dams.</w:t>
      </w:r>
    </w:p>
    <w:p w14:paraId="1535B187" w14:textId="77777777" w:rsidR="00ED20E9" w:rsidRPr="00D62A3B"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Stakeholders have conveyed the viewpoint that the main reason behind the present inadequate level of dam safety and instances of dam failures predominantly stems from subjective (human) factors. These key stakeholders emphasize that human factors are deemed as equally, if not more, significant than natural disasters and the age of dams in the context of ensuring dam safety (refer to Table 5).</w:t>
      </w:r>
    </w:p>
    <w:p w14:paraId="47E83ED1" w14:textId="77777777" w:rsidR="00ED20E9" w:rsidRPr="00D62A3B" w:rsidRDefault="00ED20E9" w:rsidP="00ED20E9">
      <w:pPr>
        <w:spacing w:line="276" w:lineRule="auto"/>
        <w:rPr>
          <w:rFonts w:ascii="Arial" w:eastAsia="Calibri" w:hAnsi="Arial" w:cs="Arial"/>
          <w:kern w:val="2"/>
          <w14:ligatures w14:val="standardContextual"/>
        </w:rPr>
      </w:pPr>
      <w:r w:rsidRPr="00D62A3B">
        <w:rPr>
          <w:rFonts w:ascii="Arial" w:eastAsia="Calibri" w:hAnsi="Arial" w:cs="Arial"/>
          <w:kern w:val="2"/>
          <w:lang w:val="en-GB"/>
          <w14:ligatures w14:val="standardContextual"/>
        </w:rPr>
        <w:t xml:space="preserve">The frequently cited factor contributing to dam safety issues is the lack of a risk-based assessment for dam safety. </w:t>
      </w:r>
    </w:p>
    <w:p w14:paraId="0D2DBF5F" w14:textId="77777777" w:rsidR="003941BF" w:rsidRPr="00D62A3B" w:rsidRDefault="003941BF" w:rsidP="003941BF">
      <w:pPr>
        <w:spacing w:line="276" w:lineRule="auto"/>
        <w:jc w:val="both"/>
        <w:rPr>
          <w:rFonts w:ascii="Arial" w:eastAsia="Calibri" w:hAnsi="Arial" w:cs="Arial"/>
          <w:kern w:val="2"/>
          <w14:ligatures w14:val="standardContextual"/>
        </w:rPr>
      </w:pPr>
    </w:p>
    <w:p w14:paraId="44A46891" w14:textId="77777777" w:rsidR="00ED20E9" w:rsidRDefault="00ED20E9" w:rsidP="00ED20E9">
      <w:pPr>
        <w:spacing w:line="276" w:lineRule="auto"/>
        <w:jc w:val="both"/>
        <w:rPr>
          <w:rFonts w:ascii="Arial" w:eastAsia="Calibri" w:hAnsi="Arial" w:cs="Arial"/>
          <w:kern w:val="2"/>
          <w:lang w:val="en-GB"/>
          <w14:ligatures w14:val="standardContextual"/>
        </w:rPr>
      </w:pPr>
      <w:r w:rsidRPr="00AB7E50">
        <w:rPr>
          <w:rFonts w:ascii="Arial" w:eastAsia="Calibri" w:hAnsi="Arial" w:cs="Arial"/>
          <w:b/>
          <w:kern w:val="2"/>
          <w:lang w:val="en-GB"/>
          <w14:ligatures w14:val="standardContextual"/>
        </w:rPr>
        <w:t xml:space="preserve">Table </w:t>
      </w:r>
      <w:r w:rsidRPr="00AB7E50">
        <w:rPr>
          <w:rFonts w:ascii="Arial" w:eastAsia="Calibri" w:hAnsi="Arial" w:cs="Arial"/>
          <w:b/>
          <w:kern w:val="2"/>
          <w:lang w:val="en-GB"/>
          <w14:ligatures w14:val="standardContextual"/>
        </w:rPr>
        <w:fldChar w:fldCharType="begin"/>
      </w:r>
      <w:r w:rsidRPr="00AB7E50">
        <w:rPr>
          <w:rFonts w:ascii="Arial" w:eastAsia="Calibri" w:hAnsi="Arial" w:cs="Arial"/>
          <w:b/>
          <w:kern w:val="2"/>
          <w:lang w:val="en-GB"/>
          <w14:ligatures w14:val="standardContextual"/>
        </w:rPr>
        <w:instrText xml:space="preserve"> SEQ Table \* ARABIC </w:instrText>
      </w:r>
      <w:r w:rsidRPr="00AB7E50">
        <w:rPr>
          <w:rFonts w:ascii="Arial" w:eastAsia="Calibri" w:hAnsi="Arial" w:cs="Arial"/>
          <w:b/>
          <w:kern w:val="2"/>
          <w:lang w:val="en-GB"/>
          <w14:ligatures w14:val="standardContextual"/>
        </w:rPr>
        <w:fldChar w:fldCharType="separate"/>
      </w:r>
      <w:r w:rsidRPr="00AB7E50">
        <w:rPr>
          <w:rFonts w:ascii="Arial" w:eastAsia="Calibri" w:hAnsi="Arial" w:cs="Arial"/>
          <w:b/>
          <w:noProof/>
          <w:kern w:val="2"/>
          <w:lang w:val="en-GB"/>
          <w14:ligatures w14:val="standardContextual"/>
        </w:rPr>
        <w:t>5</w:t>
      </w:r>
      <w:r w:rsidRPr="00AB7E50">
        <w:rPr>
          <w:rFonts w:ascii="Arial" w:eastAsia="Calibri" w:hAnsi="Arial" w:cs="Arial"/>
          <w:b/>
          <w:kern w:val="2"/>
          <w:lang w:val="en-GB"/>
          <w14:ligatures w14:val="standardContextual"/>
        </w:rPr>
        <w:fldChar w:fldCharType="end"/>
      </w:r>
      <w:r w:rsidRPr="00D62A3B">
        <w:rPr>
          <w:rFonts w:ascii="Arial" w:eastAsia="Calibri" w:hAnsi="Arial" w:cs="Arial"/>
          <w:kern w:val="2"/>
          <w:lang w:val="en-GB"/>
          <w14:ligatures w14:val="standardContextual"/>
        </w:rPr>
        <w:t xml:space="preserve"> Common problems facing the </w:t>
      </w:r>
      <w:proofErr w:type="spellStart"/>
      <w:r w:rsidRPr="00D62A3B">
        <w:rPr>
          <w:rFonts w:ascii="Arial" w:eastAsia="Calibri" w:hAnsi="Arial" w:cs="Arial"/>
          <w:kern w:val="2"/>
          <w:lang w:val="en-GB"/>
          <w14:ligatures w14:val="standardContextual"/>
        </w:rPr>
        <w:t>Mindu</w:t>
      </w:r>
      <w:proofErr w:type="spellEnd"/>
      <w:r w:rsidRPr="00D62A3B">
        <w:rPr>
          <w:rFonts w:ascii="Arial" w:eastAsia="Calibri" w:hAnsi="Arial" w:cs="Arial"/>
          <w:kern w:val="2"/>
          <w:lang w:val="en-GB"/>
          <w14:ligatures w14:val="standardContextual"/>
        </w:rPr>
        <w:t xml:space="preserve"> dam in Morogoro.</w:t>
      </w:r>
    </w:p>
    <w:p w14:paraId="195E34E6" w14:textId="77777777" w:rsidR="00ED20E9" w:rsidRPr="00D62A3B" w:rsidRDefault="00ED20E9" w:rsidP="00ED20E9">
      <w:pPr>
        <w:spacing w:line="276" w:lineRule="auto"/>
        <w:jc w:val="both"/>
        <w:rPr>
          <w:rFonts w:ascii="Arial" w:eastAsia="Calibri" w:hAnsi="Arial" w:cs="Arial"/>
          <w:kern w:val="2"/>
          <w:lang w:val="en-GB"/>
          <w14:ligatures w14:val="standardContextual"/>
        </w:rPr>
      </w:pPr>
    </w:p>
    <w:tbl>
      <w:tblPr>
        <w:tblStyle w:val="TableGrid"/>
        <w:tblW w:w="0" w:type="auto"/>
        <w:tblLook w:val="04A0" w:firstRow="1" w:lastRow="0" w:firstColumn="1" w:lastColumn="0" w:noHBand="0" w:noVBand="1"/>
      </w:tblPr>
      <w:tblGrid>
        <w:gridCol w:w="2874"/>
        <w:gridCol w:w="1638"/>
        <w:gridCol w:w="2603"/>
        <w:gridCol w:w="2235"/>
      </w:tblGrid>
      <w:tr w:rsidR="00ED20E9" w:rsidRPr="00DE0D93" w14:paraId="4D9FD704" w14:textId="77777777" w:rsidTr="00ED20E9">
        <w:tc>
          <w:tcPr>
            <w:tcW w:w="2874" w:type="dxa"/>
          </w:tcPr>
          <w:p w14:paraId="724C63C8" w14:textId="77777777" w:rsidR="00ED20E9" w:rsidRPr="00DE0D93" w:rsidRDefault="00ED20E9" w:rsidP="00ED20E9">
            <w:pPr>
              <w:spacing w:line="276" w:lineRule="auto"/>
              <w:jc w:val="both"/>
              <w:rPr>
                <w:rFonts w:ascii="Arial" w:hAnsi="Arial" w:cs="Arial"/>
                <w:b/>
                <w:kern w:val="2"/>
                <w:lang w:val="en-GB"/>
                <w14:ligatures w14:val="standardContextual"/>
              </w:rPr>
            </w:pPr>
            <w:proofErr w:type="gramStart"/>
            <w:r w:rsidRPr="00DE0D93">
              <w:rPr>
                <w:rFonts w:ascii="Arial" w:hAnsi="Arial" w:cs="Arial"/>
                <w:b/>
                <w:kern w:val="2"/>
                <w:lang w:val="en-GB"/>
                <w14:ligatures w14:val="standardContextual"/>
              </w:rPr>
              <w:t>Frequency(</w:t>
            </w:r>
            <w:proofErr w:type="gramEnd"/>
            <w:r w:rsidRPr="00DE0D93">
              <w:rPr>
                <w:rFonts w:ascii="Arial" w:hAnsi="Arial" w:cs="Arial"/>
                <w:b/>
                <w:kern w:val="2"/>
                <w:lang w:val="en-GB"/>
                <w14:ligatures w14:val="standardContextual"/>
              </w:rPr>
              <w:t>Key Participants)</w:t>
            </w:r>
          </w:p>
        </w:tc>
        <w:tc>
          <w:tcPr>
            <w:tcW w:w="1638" w:type="dxa"/>
          </w:tcPr>
          <w:p w14:paraId="779CD914" w14:textId="77777777" w:rsidR="00ED20E9" w:rsidRPr="00DE0D93" w:rsidRDefault="00ED20E9" w:rsidP="00ED20E9">
            <w:pPr>
              <w:spacing w:line="276" w:lineRule="auto"/>
              <w:jc w:val="both"/>
              <w:rPr>
                <w:rFonts w:ascii="Arial" w:hAnsi="Arial" w:cs="Arial"/>
                <w:b/>
                <w:kern w:val="2"/>
                <w:lang w:val="en-GB"/>
                <w14:ligatures w14:val="standardContextual"/>
              </w:rPr>
            </w:pPr>
            <w:r w:rsidRPr="00DE0D93">
              <w:rPr>
                <w:rFonts w:ascii="Arial" w:hAnsi="Arial" w:cs="Arial"/>
                <w:b/>
                <w:kern w:val="2"/>
                <w:lang w:val="en-GB"/>
                <w14:ligatures w14:val="standardContextual"/>
              </w:rPr>
              <w:t>Percentile (%)</w:t>
            </w:r>
          </w:p>
        </w:tc>
        <w:tc>
          <w:tcPr>
            <w:tcW w:w="2603" w:type="dxa"/>
          </w:tcPr>
          <w:p w14:paraId="5740C3FC" w14:textId="77777777" w:rsidR="00ED20E9" w:rsidRPr="00DE0D93" w:rsidRDefault="00ED20E9" w:rsidP="00ED20E9">
            <w:pPr>
              <w:spacing w:line="276" w:lineRule="auto"/>
              <w:jc w:val="both"/>
              <w:rPr>
                <w:rFonts w:ascii="Arial" w:hAnsi="Arial" w:cs="Arial"/>
                <w:b/>
                <w:kern w:val="2"/>
                <w:lang w:val="en-GB"/>
                <w14:ligatures w14:val="standardContextual"/>
              </w:rPr>
            </w:pPr>
            <w:r w:rsidRPr="00DE0D93">
              <w:rPr>
                <w:rFonts w:ascii="Arial" w:hAnsi="Arial" w:cs="Arial"/>
                <w:b/>
                <w:kern w:val="2"/>
                <w:lang w:val="en-GB"/>
                <w14:ligatures w14:val="standardContextual"/>
              </w:rPr>
              <w:t>Principal issues relating to dam safety</w:t>
            </w:r>
          </w:p>
        </w:tc>
        <w:tc>
          <w:tcPr>
            <w:tcW w:w="2235" w:type="dxa"/>
          </w:tcPr>
          <w:p w14:paraId="6AAB6DCA" w14:textId="77777777" w:rsidR="00ED20E9" w:rsidRPr="00DE0D93" w:rsidRDefault="00ED20E9" w:rsidP="00ED20E9">
            <w:pPr>
              <w:spacing w:line="276" w:lineRule="auto"/>
              <w:jc w:val="both"/>
              <w:rPr>
                <w:rFonts w:ascii="Arial" w:hAnsi="Arial" w:cs="Arial"/>
                <w:b/>
                <w:kern w:val="2"/>
                <w:lang w:val="en-GB"/>
                <w14:ligatures w14:val="standardContextual"/>
              </w:rPr>
            </w:pPr>
            <w:r w:rsidRPr="00DE0D93">
              <w:rPr>
                <w:rFonts w:ascii="Arial" w:hAnsi="Arial" w:cs="Arial"/>
                <w:b/>
                <w:bCs/>
                <w:kern w:val="2"/>
                <w14:ligatures w14:val="standardContextual"/>
              </w:rPr>
              <w:t>Source/Standard</w:t>
            </w:r>
          </w:p>
        </w:tc>
      </w:tr>
      <w:tr w:rsidR="00ED20E9" w:rsidRPr="00DE0D93" w14:paraId="716EC878" w14:textId="77777777" w:rsidTr="00ED20E9">
        <w:tc>
          <w:tcPr>
            <w:tcW w:w="2874" w:type="dxa"/>
          </w:tcPr>
          <w:p w14:paraId="08089F3B"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25</w:t>
            </w:r>
          </w:p>
        </w:tc>
        <w:tc>
          <w:tcPr>
            <w:tcW w:w="1638" w:type="dxa"/>
          </w:tcPr>
          <w:p w14:paraId="4DD147B1"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83.3</w:t>
            </w:r>
          </w:p>
        </w:tc>
        <w:tc>
          <w:tcPr>
            <w:tcW w:w="2603" w:type="dxa"/>
          </w:tcPr>
          <w:p w14:paraId="70B8200C"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Significant erosion is evident on both the upstream and downstream faces.</w:t>
            </w:r>
          </w:p>
        </w:tc>
        <w:tc>
          <w:tcPr>
            <w:tcW w:w="2235" w:type="dxa"/>
          </w:tcPr>
          <w:p w14:paraId="62B268E3"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 xml:space="preserve">Field survey </w:t>
            </w:r>
            <w:proofErr w:type="gramStart"/>
            <w:r w:rsidRPr="00DE0D93">
              <w:rPr>
                <w:rFonts w:ascii="Arial" w:hAnsi="Arial" w:cs="Arial"/>
                <w:kern w:val="2"/>
                <w:lang w:val="en-GB"/>
                <w14:ligatures w14:val="standardContextual"/>
              </w:rPr>
              <w:t>and  Local</w:t>
            </w:r>
            <w:proofErr w:type="gramEnd"/>
            <w:r w:rsidRPr="00DE0D93">
              <w:rPr>
                <w:rFonts w:ascii="Arial" w:hAnsi="Arial" w:cs="Arial"/>
                <w:kern w:val="2"/>
                <w:lang w:val="en-GB"/>
                <w14:ligatures w14:val="standardContextual"/>
              </w:rPr>
              <w:t xml:space="preserve"> interviews, (2023);</w:t>
            </w:r>
          </w:p>
        </w:tc>
      </w:tr>
      <w:tr w:rsidR="00ED20E9" w:rsidRPr="00DE0D93" w14:paraId="76B100F4" w14:textId="77777777" w:rsidTr="00ED20E9">
        <w:tc>
          <w:tcPr>
            <w:tcW w:w="2874" w:type="dxa"/>
          </w:tcPr>
          <w:p w14:paraId="420D9509"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26</w:t>
            </w:r>
          </w:p>
        </w:tc>
        <w:tc>
          <w:tcPr>
            <w:tcW w:w="1638" w:type="dxa"/>
          </w:tcPr>
          <w:p w14:paraId="1E1B5469"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86.7</w:t>
            </w:r>
          </w:p>
        </w:tc>
        <w:tc>
          <w:tcPr>
            <w:tcW w:w="2603" w:type="dxa"/>
          </w:tcPr>
          <w:p w14:paraId="19820754"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The top has been affected by traffic, resulting in an uneven summit with depressions.</w:t>
            </w:r>
          </w:p>
        </w:tc>
        <w:tc>
          <w:tcPr>
            <w:tcW w:w="2235" w:type="dxa"/>
          </w:tcPr>
          <w:p w14:paraId="2C5FEA6C"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ICOLD (2005); Field inspection (2023)</w:t>
            </w:r>
          </w:p>
        </w:tc>
      </w:tr>
      <w:tr w:rsidR="00ED20E9" w:rsidRPr="00DE0D93" w14:paraId="60F49B51" w14:textId="77777777" w:rsidTr="00ED20E9">
        <w:tc>
          <w:tcPr>
            <w:tcW w:w="2874" w:type="dxa"/>
          </w:tcPr>
          <w:p w14:paraId="7F7E9B08"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30</w:t>
            </w:r>
          </w:p>
        </w:tc>
        <w:tc>
          <w:tcPr>
            <w:tcW w:w="1638" w:type="dxa"/>
          </w:tcPr>
          <w:p w14:paraId="370E6EA1"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100</w:t>
            </w:r>
          </w:p>
        </w:tc>
        <w:tc>
          <w:tcPr>
            <w:tcW w:w="2603" w:type="dxa"/>
          </w:tcPr>
          <w:p w14:paraId="3FB6DF8B"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The outlet is aged, damaged, and cracked.</w:t>
            </w:r>
          </w:p>
        </w:tc>
        <w:tc>
          <w:tcPr>
            <w:tcW w:w="2235" w:type="dxa"/>
          </w:tcPr>
          <w:p w14:paraId="65AAB528"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inspection (2023)</w:t>
            </w:r>
          </w:p>
        </w:tc>
      </w:tr>
      <w:tr w:rsidR="00ED20E9" w:rsidRPr="00DE0D93" w14:paraId="78648185" w14:textId="77777777" w:rsidTr="00ED20E9">
        <w:tc>
          <w:tcPr>
            <w:tcW w:w="2874" w:type="dxa"/>
          </w:tcPr>
          <w:p w14:paraId="22F75FD3"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18</w:t>
            </w:r>
          </w:p>
        </w:tc>
        <w:tc>
          <w:tcPr>
            <w:tcW w:w="1638" w:type="dxa"/>
          </w:tcPr>
          <w:p w14:paraId="0723DCA0"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60</w:t>
            </w:r>
          </w:p>
        </w:tc>
        <w:tc>
          <w:tcPr>
            <w:tcW w:w="2603" w:type="dxa"/>
          </w:tcPr>
          <w:p w14:paraId="05D397BB"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 xml:space="preserve">Landslide occurrences in downstream </w:t>
            </w:r>
          </w:p>
        </w:tc>
        <w:tc>
          <w:tcPr>
            <w:tcW w:w="2235" w:type="dxa"/>
          </w:tcPr>
          <w:p w14:paraId="21709DDA"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World Bank (2010)</w:t>
            </w:r>
          </w:p>
        </w:tc>
      </w:tr>
      <w:tr w:rsidR="00ED20E9" w:rsidRPr="00DE0D93" w14:paraId="4676BA2A" w14:textId="77777777" w:rsidTr="00ED20E9">
        <w:tc>
          <w:tcPr>
            <w:tcW w:w="2874" w:type="dxa"/>
          </w:tcPr>
          <w:p w14:paraId="42C9B68A"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30</w:t>
            </w:r>
          </w:p>
        </w:tc>
        <w:tc>
          <w:tcPr>
            <w:tcW w:w="1638" w:type="dxa"/>
          </w:tcPr>
          <w:p w14:paraId="4F6CA346"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100</w:t>
            </w:r>
          </w:p>
        </w:tc>
        <w:tc>
          <w:tcPr>
            <w:tcW w:w="2603" w:type="dxa"/>
          </w:tcPr>
          <w:p w14:paraId="15C097CA"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Vegetation on both the upstream and downstream sides of the dam.</w:t>
            </w:r>
          </w:p>
        </w:tc>
        <w:tc>
          <w:tcPr>
            <w:tcW w:w="2235" w:type="dxa"/>
          </w:tcPr>
          <w:p w14:paraId="188BCE51"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Tanzania NEMC (2015); Field survey (2023)</w:t>
            </w:r>
          </w:p>
        </w:tc>
      </w:tr>
      <w:tr w:rsidR="00ED20E9" w:rsidRPr="00DE0D93" w14:paraId="7AE9ED4C" w14:textId="77777777" w:rsidTr="00ED20E9">
        <w:tc>
          <w:tcPr>
            <w:tcW w:w="2874" w:type="dxa"/>
          </w:tcPr>
          <w:p w14:paraId="53D0B4B3"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30</w:t>
            </w:r>
          </w:p>
        </w:tc>
        <w:tc>
          <w:tcPr>
            <w:tcW w:w="1638" w:type="dxa"/>
          </w:tcPr>
          <w:p w14:paraId="08B10FE5"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color w:val="000000"/>
              </w:rPr>
              <w:t>100</w:t>
            </w:r>
          </w:p>
        </w:tc>
        <w:tc>
          <w:tcPr>
            <w:tcW w:w="2603" w:type="dxa"/>
          </w:tcPr>
          <w:p w14:paraId="0BBB8801"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lang w:val="en-GB"/>
                <w14:ligatures w14:val="standardContextual"/>
              </w:rPr>
              <w:t>The spillway is obstructed and insufficiently sized.</w:t>
            </w:r>
          </w:p>
        </w:tc>
        <w:tc>
          <w:tcPr>
            <w:tcW w:w="2235" w:type="dxa"/>
          </w:tcPr>
          <w:p w14:paraId="345D509A" w14:textId="77777777" w:rsidR="00ED20E9" w:rsidRPr="00DE0D93" w:rsidRDefault="00ED20E9" w:rsidP="00ED20E9">
            <w:pPr>
              <w:spacing w:line="276" w:lineRule="auto"/>
              <w:jc w:val="both"/>
              <w:rPr>
                <w:rFonts w:ascii="Arial" w:hAnsi="Arial" w:cs="Arial"/>
                <w:kern w:val="2"/>
                <w:lang w:val="en-GB"/>
                <w14:ligatures w14:val="standardContextual"/>
              </w:rPr>
            </w:pPr>
            <w:r w:rsidRPr="00DE0D93">
              <w:rPr>
                <w:rFonts w:ascii="Arial" w:hAnsi="Arial" w:cs="Arial"/>
                <w:kern w:val="2"/>
                <w14:ligatures w14:val="standardContextual"/>
              </w:rPr>
              <w:t>FEMA (2013); World Bank (2010)</w:t>
            </w:r>
          </w:p>
        </w:tc>
      </w:tr>
    </w:tbl>
    <w:p w14:paraId="7B417624" w14:textId="77777777" w:rsidR="00ED20E9" w:rsidRDefault="00ED20E9"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b/>
          <w:bCs/>
          <w:kern w:val="2"/>
          <w:lang w:val="en-GB"/>
          <w14:ligatures w14:val="standardContextual"/>
        </w:rPr>
        <w:t>N.B:</w:t>
      </w:r>
      <w:r w:rsidRPr="00D62A3B">
        <w:rPr>
          <w:rFonts w:ascii="Arial" w:eastAsia="Calibri" w:hAnsi="Arial" w:cs="Arial"/>
          <w:kern w:val="2"/>
          <w:lang w:val="en-GB"/>
          <w14:ligatures w14:val="standardContextual"/>
        </w:rPr>
        <w:t xml:space="preserve"> Due to the proximity of numerous residences downstream and adjacent to the dam, the dam carries a significant risk rating.</w:t>
      </w:r>
    </w:p>
    <w:p w14:paraId="05ACC990" w14:textId="77777777" w:rsidR="003941BF" w:rsidRDefault="003941BF" w:rsidP="003941BF">
      <w:pPr>
        <w:spacing w:line="276" w:lineRule="auto"/>
        <w:jc w:val="both"/>
        <w:rPr>
          <w:rFonts w:ascii="Arial" w:eastAsia="Calibri" w:hAnsi="Arial" w:cs="Arial"/>
          <w:b/>
          <w:bCs/>
          <w:kern w:val="2"/>
          <w:lang w:val="en-GB"/>
          <w14:ligatures w14:val="standardContextual"/>
        </w:rPr>
      </w:pPr>
    </w:p>
    <w:p w14:paraId="0F726990" w14:textId="7FACEE95" w:rsidR="00ED20E9" w:rsidRDefault="00ED20E9" w:rsidP="00ED20E9">
      <w:pPr>
        <w:spacing w:line="276" w:lineRule="auto"/>
        <w:jc w:val="both"/>
        <w:rPr>
          <w:rFonts w:ascii="Arial" w:eastAsia="Calibri" w:hAnsi="Arial" w:cs="Arial"/>
          <w:kern w:val="2"/>
          <w:lang w:val="en-GB"/>
          <w14:ligatures w14:val="standardContextual"/>
        </w:rPr>
      </w:pPr>
      <w:r>
        <w:rPr>
          <w:rFonts w:ascii="Arial" w:eastAsia="Calibri" w:hAnsi="Arial" w:cs="Arial"/>
          <w:noProof/>
          <w:kern w:val="2"/>
        </w:rPr>
        <w:lastRenderedPageBreak/>
        <w:drawing>
          <wp:inline distT="0" distB="0" distL="0" distR="0" wp14:anchorId="4FE7C7FE" wp14:editId="55867997">
            <wp:extent cx="5943600" cy="279579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n problem.png"/>
                    <pic:cNvPicPr/>
                  </pic:nvPicPr>
                  <pic:blipFill rotWithShape="1">
                    <a:blip r:embed="rId15">
                      <a:extLst>
                        <a:ext uri="{28A0092B-C50C-407E-A947-70E740481C1C}">
                          <a14:useLocalDpi xmlns:a14="http://schemas.microsoft.com/office/drawing/2010/main" val="0"/>
                        </a:ext>
                      </a:extLst>
                    </a:blip>
                    <a:srcRect t="8102"/>
                    <a:stretch/>
                  </pic:blipFill>
                  <pic:spPr bwMode="auto">
                    <a:xfrm>
                      <a:off x="0" y="0"/>
                      <a:ext cx="5943600" cy="2795795"/>
                    </a:xfrm>
                    <a:prstGeom prst="rect">
                      <a:avLst/>
                    </a:prstGeom>
                    <a:ln>
                      <a:noFill/>
                    </a:ln>
                    <a:extLst>
                      <a:ext uri="{53640926-AAD7-44D8-BBD7-CCE9431645EC}">
                        <a14:shadowObscured xmlns:a14="http://schemas.microsoft.com/office/drawing/2010/main"/>
                      </a:ext>
                    </a:extLst>
                  </pic:spPr>
                </pic:pic>
              </a:graphicData>
            </a:graphic>
          </wp:inline>
        </w:drawing>
      </w:r>
    </w:p>
    <w:p w14:paraId="3DFAC0D9" w14:textId="52FD6B20" w:rsidR="00ED20E9" w:rsidRDefault="00ED20E9" w:rsidP="00ED20E9">
      <w:pPr>
        <w:spacing w:line="276" w:lineRule="auto"/>
        <w:jc w:val="both"/>
        <w:rPr>
          <w:rFonts w:ascii="Arial" w:eastAsia="Calibri" w:hAnsi="Arial" w:cs="Arial"/>
          <w:kern w:val="2"/>
          <w:lang w:val="en-GB"/>
          <w14:ligatures w14:val="standardContextual"/>
        </w:rPr>
      </w:pPr>
      <w:r w:rsidRPr="00AB7E50">
        <w:rPr>
          <w:rFonts w:ascii="Arial" w:eastAsia="Calibri" w:hAnsi="Arial" w:cs="Arial"/>
          <w:b/>
          <w:kern w:val="2"/>
          <w:lang w:val="en-GB"/>
          <w14:ligatures w14:val="standardContextual"/>
        </w:rPr>
        <w:t xml:space="preserve">Figure </w:t>
      </w:r>
      <w:r w:rsidRPr="00AB7E50">
        <w:rPr>
          <w:rFonts w:ascii="Arial" w:eastAsia="Calibri" w:hAnsi="Arial" w:cs="Arial"/>
          <w:b/>
          <w:kern w:val="2"/>
          <w:lang w:val="en-GB"/>
          <w14:ligatures w14:val="standardContextual"/>
        </w:rPr>
        <w:fldChar w:fldCharType="begin"/>
      </w:r>
      <w:r w:rsidRPr="00AB7E50">
        <w:rPr>
          <w:rFonts w:ascii="Arial" w:eastAsia="Calibri" w:hAnsi="Arial" w:cs="Arial"/>
          <w:b/>
          <w:kern w:val="2"/>
          <w:lang w:val="en-GB"/>
          <w14:ligatures w14:val="standardContextual"/>
        </w:rPr>
        <w:instrText xml:space="preserve"> SEQ Figure \* ARABIC </w:instrText>
      </w:r>
      <w:r w:rsidRPr="00AB7E50">
        <w:rPr>
          <w:rFonts w:ascii="Arial" w:eastAsia="Calibri" w:hAnsi="Arial" w:cs="Arial"/>
          <w:b/>
          <w:kern w:val="2"/>
          <w:lang w:val="en-GB"/>
          <w14:ligatures w14:val="standardContextual"/>
        </w:rPr>
        <w:fldChar w:fldCharType="separate"/>
      </w:r>
      <w:r w:rsidRPr="00AB7E50">
        <w:rPr>
          <w:rFonts w:ascii="Arial" w:eastAsia="Calibri" w:hAnsi="Arial" w:cs="Arial"/>
          <w:b/>
          <w:kern w:val="2"/>
          <w:lang w:val="en-GB"/>
          <w14:ligatures w14:val="standardContextual"/>
        </w:rPr>
        <w:t>2</w:t>
      </w:r>
      <w:r w:rsidRPr="00AB7E50">
        <w:rPr>
          <w:rFonts w:ascii="Arial" w:eastAsia="Calibri" w:hAnsi="Arial" w:cs="Arial"/>
          <w:b/>
          <w:kern w:val="2"/>
          <w:lang w:val="en-GB"/>
          <w14:ligatures w14:val="standardContextual"/>
        </w:rPr>
        <w:fldChar w:fldCharType="end"/>
      </w:r>
      <w:r w:rsidRPr="00AB7E50">
        <w:rPr>
          <w:rFonts w:ascii="Arial" w:eastAsia="Calibri" w:hAnsi="Arial" w:cs="Arial"/>
          <w:b/>
          <w:kern w:val="2"/>
          <w:lang w:val="en-GB"/>
          <w14:ligatures w14:val="standardContextual"/>
        </w:rPr>
        <w:t>.</w:t>
      </w:r>
      <w:r w:rsidRPr="00973700">
        <w:rPr>
          <w:rFonts w:ascii="Arial" w:eastAsia="Calibri" w:hAnsi="Arial" w:cs="Arial"/>
          <w:kern w:val="2"/>
          <w:lang w:val="en-GB"/>
          <w14:ligatures w14:val="standardContextual"/>
        </w:rPr>
        <w:t>Common problem facing</w:t>
      </w:r>
      <w:r w:rsidR="00AB7E50">
        <w:rPr>
          <w:rFonts w:ascii="Arial" w:eastAsia="Calibri" w:hAnsi="Arial" w:cs="Arial"/>
          <w:kern w:val="2"/>
          <w:lang w:val="en-GB"/>
          <w14:ligatures w14:val="standardContextual"/>
        </w:rPr>
        <w:t xml:space="preserve"> the</w:t>
      </w:r>
      <w:r w:rsidRPr="00973700">
        <w:rPr>
          <w:rFonts w:ascii="Arial" w:eastAsia="Calibri" w:hAnsi="Arial" w:cs="Arial"/>
          <w:kern w:val="2"/>
          <w:lang w:val="en-GB"/>
          <w14:ligatures w14:val="standardContextual"/>
        </w:rPr>
        <w:t xml:space="preserve"> </w:t>
      </w:r>
      <w:proofErr w:type="spellStart"/>
      <w:r w:rsidRPr="00973700">
        <w:rPr>
          <w:rFonts w:ascii="Arial" w:eastAsia="Calibri" w:hAnsi="Arial" w:cs="Arial"/>
          <w:kern w:val="2"/>
          <w:lang w:val="en-GB"/>
          <w14:ligatures w14:val="standardContextual"/>
        </w:rPr>
        <w:t>Mindu</w:t>
      </w:r>
      <w:proofErr w:type="spellEnd"/>
      <w:r w:rsidRPr="00973700">
        <w:rPr>
          <w:rFonts w:ascii="Arial" w:eastAsia="Calibri" w:hAnsi="Arial" w:cs="Arial"/>
          <w:kern w:val="2"/>
          <w:lang w:val="en-GB"/>
          <w14:ligatures w14:val="standardContextual"/>
        </w:rPr>
        <w:t xml:space="preserve"> dam</w:t>
      </w:r>
      <w:r>
        <w:rPr>
          <w:rFonts w:ascii="Arial" w:eastAsia="Calibri" w:hAnsi="Arial" w:cs="Arial"/>
          <w:kern w:val="2"/>
          <w:lang w:val="en-GB"/>
          <w14:ligatures w14:val="standardContextual"/>
        </w:rPr>
        <w:t>.</w:t>
      </w:r>
    </w:p>
    <w:p w14:paraId="2849BEA5" w14:textId="77777777" w:rsidR="00ED20E9" w:rsidRPr="00D62A3B" w:rsidRDefault="00ED20E9" w:rsidP="00ED20E9">
      <w:pPr>
        <w:spacing w:line="276" w:lineRule="auto"/>
        <w:jc w:val="both"/>
        <w:rPr>
          <w:rFonts w:ascii="Arial" w:eastAsia="Calibri" w:hAnsi="Arial" w:cs="Arial"/>
          <w:kern w:val="2"/>
          <w:lang w:val="en-GB"/>
          <w14:ligatures w14:val="standardContextual"/>
        </w:rPr>
      </w:pPr>
    </w:p>
    <w:p w14:paraId="57C51D8C" w14:textId="77777777" w:rsidR="00ED20E9" w:rsidRPr="00B337CE" w:rsidRDefault="00ED20E9" w:rsidP="00ED20E9">
      <w:pPr>
        <w:spacing w:line="276" w:lineRule="auto"/>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Several common problems facing the </w:t>
      </w:r>
      <w:proofErr w:type="spellStart"/>
      <w:r w:rsidRPr="00D62A3B">
        <w:rPr>
          <w:rFonts w:ascii="Arial" w:eastAsia="Calibri" w:hAnsi="Arial" w:cs="Arial"/>
          <w:kern w:val="2"/>
          <w:lang w:val="en-GB"/>
          <w14:ligatures w14:val="standardContextual"/>
        </w:rPr>
        <w:t>Mindu</w:t>
      </w:r>
      <w:proofErr w:type="spellEnd"/>
      <w:r w:rsidRPr="00D62A3B">
        <w:rPr>
          <w:rFonts w:ascii="Arial" w:eastAsia="Calibri" w:hAnsi="Arial" w:cs="Arial"/>
          <w:kern w:val="2"/>
          <w:lang w:val="en-GB"/>
          <w14:ligatures w14:val="standardContextual"/>
        </w:rPr>
        <w:t xml:space="preserve"> dam were identified from a field survey conducted through this study using 3</w:t>
      </w:r>
      <w:r>
        <w:rPr>
          <w:rFonts w:ascii="Arial" w:eastAsia="Calibri" w:hAnsi="Arial" w:cs="Arial"/>
          <w:kern w:val="2"/>
          <w:lang w:val="en-GB"/>
          <w14:ligatures w14:val="standardContextual"/>
        </w:rPr>
        <w:t>0</w:t>
      </w:r>
      <w:r w:rsidRPr="00D62A3B">
        <w:rPr>
          <w:rFonts w:ascii="Arial" w:eastAsia="Calibri" w:hAnsi="Arial" w:cs="Arial"/>
          <w:kern w:val="2"/>
          <w:lang w:val="en-GB"/>
          <w14:ligatures w14:val="standardContextual"/>
        </w:rPr>
        <w:t xml:space="preserve"> respondents from the field. 100% of all households interviewed agreed that the aging of the outlet of the dam, dense vegetation cover upstream and downstream of the dam and insufficient capacity and damage to the spillway are the leading problems facing the dam. Another leading problem facing </w:t>
      </w:r>
      <w:proofErr w:type="spellStart"/>
      <w:r w:rsidRPr="00D62A3B">
        <w:rPr>
          <w:rFonts w:ascii="Arial" w:eastAsia="Calibri" w:hAnsi="Arial" w:cs="Arial"/>
          <w:kern w:val="2"/>
          <w:lang w:val="en-GB"/>
          <w14:ligatures w14:val="standardContextual"/>
        </w:rPr>
        <w:t>Mindu</w:t>
      </w:r>
      <w:proofErr w:type="spellEnd"/>
      <w:r w:rsidRPr="00D62A3B">
        <w:rPr>
          <w:rFonts w:ascii="Arial" w:eastAsia="Calibri" w:hAnsi="Arial" w:cs="Arial"/>
          <w:kern w:val="2"/>
          <w:lang w:val="en-GB"/>
          <w14:ligatures w14:val="standardContextual"/>
        </w:rPr>
        <w:t xml:space="preserve"> dam is that it was observed with 86.7% agreement from household interviews that the dam top has been affected by human activities such as settlement which is attracted by the passage of trunk road it was also observed that the surrounding area of the dam has a lot of pit holes and depression caused by human activities encroachment. Not only that but also erosion was observed upstream and downstream of the dam and 83.3% percentage of the respondents agreed that this is the problem facing the dam and 60% of the respondents </w:t>
      </w:r>
      <w:r w:rsidRPr="00B337CE">
        <w:rPr>
          <w:rFonts w:ascii="Arial" w:eastAsia="Calibri" w:hAnsi="Arial" w:cs="Arial"/>
          <w:kern w:val="2"/>
          <w:lang w:val="en-GB"/>
          <w14:ligatures w14:val="standardContextual"/>
        </w:rPr>
        <w:t xml:space="preserve">identified that the landside occurrences downstream are another problem facing the dam. </w:t>
      </w:r>
    </w:p>
    <w:p w14:paraId="0BD854CC" w14:textId="664346A9" w:rsidR="003941BF" w:rsidRDefault="003941BF" w:rsidP="001B34AF">
      <w:pPr>
        <w:spacing w:line="276" w:lineRule="auto"/>
        <w:rPr>
          <w:rFonts w:ascii="Arial" w:eastAsia="Calibri" w:hAnsi="Arial" w:cs="Arial"/>
          <w:kern w:val="2"/>
          <w:lang w:val="en-GB"/>
          <w14:ligatures w14:val="standardContextual"/>
        </w:rPr>
      </w:pPr>
    </w:p>
    <w:p w14:paraId="0539C3E5" w14:textId="77777777" w:rsidR="003941BF" w:rsidRPr="00D62A3B" w:rsidRDefault="003941BF" w:rsidP="003941BF">
      <w:pPr>
        <w:spacing w:line="276" w:lineRule="auto"/>
        <w:jc w:val="both"/>
        <w:rPr>
          <w:rFonts w:ascii="Arial" w:eastAsia="Calibri" w:hAnsi="Arial" w:cs="Arial"/>
          <w:kern w:val="2"/>
          <w:lang w:val="en-GB"/>
          <w14:ligatures w14:val="standardContextual"/>
        </w:rPr>
      </w:pPr>
    </w:p>
    <w:p w14:paraId="141CDAFF" w14:textId="703BEF65" w:rsidR="003941BF" w:rsidRPr="00D62A3B" w:rsidRDefault="003941BF" w:rsidP="003941BF">
      <w:pPr>
        <w:spacing w:line="276" w:lineRule="auto"/>
        <w:jc w:val="both"/>
        <w:rPr>
          <w:rFonts w:ascii="Arial" w:eastAsia="Calibri" w:hAnsi="Arial" w:cs="Arial"/>
          <w:kern w:val="2"/>
          <w:lang w:val="en-GB"/>
          <w14:ligatures w14:val="standardContextual"/>
        </w:rPr>
      </w:pPr>
      <w:r w:rsidRPr="00AB7E50">
        <w:rPr>
          <w:rFonts w:ascii="Arial" w:eastAsia="Calibri" w:hAnsi="Arial" w:cs="Arial"/>
          <w:b/>
          <w:kern w:val="2"/>
          <w:lang w:val="en-GB"/>
          <w14:ligatures w14:val="standardContextual"/>
        </w:rPr>
        <w:t xml:space="preserve">Table </w:t>
      </w:r>
      <w:r w:rsidR="00AB7E50">
        <w:rPr>
          <w:rFonts w:ascii="Arial" w:eastAsia="Calibri" w:hAnsi="Arial" w:cs="Arial"/>
          <w:b/>
          <w:kern w:val="2"/>
          <w:lang w:val="en-GB"/>
          <w14:ligatures w14:val="standardContextual"/>
        </w:rPr>
        <w:t>6</w:t>
      </w:r>
      <w:r w:rsidRPr="00AB7E50">
        <w:rPr>
          <w:rFonts w:ascii="Arial" w:eastAsia="Calibri" w:hAnsi="Arial" w:cs="Arial"/>
          <w:b/>
          <w:kern w:val="2"/>
          <w:lang w:val="en-GB"/>
          <w14:ligatures w14:val="standardContextual"/>
        </w:rPr>
        <w:t>.</w:t>
      </w:r>
      <w:r w:rsidRPr="00D62A3B">
        <w:rPr>
          <w:rFonts w:ascii="Arial" w:eastAsia="Calibri" w:hAnsi="Arial" w:cs="Arial"/>
          <w:kern w:val="2"/>
          <w:lang w:val="en-GB"/>
          <w14:ligatures w14:val="standardContextual"/>
        </w:rPr>
        <w:t xml:space="preserve"> Expertise Opinions on the Dam Conditions.</w:t>
      </w:r>
    </w:p>
    <w:tbl>
      <w:tblPr>
        <w:tblW w:w="7600" w:type="dxa"/>
        <w:jc w:val="center"/>
        <w:tblLook w:val="04A0" w:firstRow="1" w:lastRow="0" w:firstColumn="1" w:lastColumn="0" w:noHBand="0" w:noVBand="1"/>
      </w:tblPr>
      <w:tblGrid>
        <w:gridCol w:w="960"/>
        <w:gridCol w:w="4100"/>
        <w:gridCol w:w="1240"/>
        <w:gridCol w:w="1300"/>
      </w:tblGrid>
      <w:tr w:rsidR="003941BF" w:rsidRPr="00D62A3B" w14:paraId="5B068C27" w14:textId="77777777" w:rsidTr="00ED20E9">
        <w:trPr>
          <w:trHeight w:val="288"/>
          <w:jc w:val="center"/>
        </w:trPr>
        <w:tc>
          <w:tcPr>
            <w:tcW w:w="960" w:type="dxa"/>
            <w:shd w:val="clear" w:color="auto" w:fill="auto"/>
            <w:noWrap/>
            <w:vAlign w:val="bottom"/>
            <w:hideMark/>
          </w:tcPr>
          <w:p w14:paraId="320A21F5" w14:textId="77777777" w:rsidR="003941BF" w:rsidRPr="00D62A3B" w:rsidRDefault="003941BF" w:rsidP="00ED20E9">
            <w:pPr>
              <w:spacing w:line="276" w:lineRule="auto"/>
              <w:jc w:val="both"/>
              <w:rPr>
                <w:rFonts w:ascii="Arial" w:eastAsia="Calibri" w:hAnsi="Arial" w:cs="Arial"/>
                <w:b/>
                <w:kern w:val="2"/>
                <w:lang w:val="en-GB"/>
                <w14:ligatures w14:val="standardContextual"/>
              </w:rPr>
            </w:pPr>
            <w:r w:rsidRPr="00D62A3B">
              <w:rPr>
                <w:rFonts w:ascii="Arial" w:eastAsia="Calibri" w:hAnsi="Arial" w:cs="Arial"/>
                <w:b/>
                <w:kern w:val="2"/>
                <w:lang w:val="en-GB"/>
                <w14:ligatures w14:val="standardContextual"/>
              </w:rPr>
              <w:t>Sn</w:t>
            </w:r>
          </w:p>
        </w:tc>
        <w:tc>
          <w:tcPr>
            <w:tcW w:w="4100" w:type="dxa"/>
            <w:shd w:val="clear" w:color="auto" w:fill="auto"/>
            <w:noWrap/>
            <w:vAlign w:val="bottom"/>
            <w:hideMark/>
          </w:tcPr>
          <w:p w14:paraId="49C58C1F" w14:textId="77777777" w:rsidR="003941BF" w:rsidRPr="00D62A3B" w:rsidRDefault="003941BF" w:rsidP="00ED20E9">
            <w:pPr>
              <w:spacing w:line="276" w:lineRule="auto"/>
              <w:jc w:val="both"/>
              <w:rPr>
                <w:rFonts w:ascii="Arial" w:eastAsia="Calibri" w:hAnsi="Arial" w:cs="Arial"/>
                <w:b/>
                <w:kern w:val="2"/>
                <w:lang w:val="en-GB"/>
                <w14:ligatures w14:val="standardContextual"/>
              </w:rPr>
            </w:pPr>
            <w:r w:rsidRPr="00D62A3B">
              <w:rPr>
                <w:rFonts w:ascii="Arial" w:eastAsia="Calibri" w:hAnsi="Arial" w:cs="Arial"/>
                <w:b/>
                <w:kern w:val="2"/>
                <w:lang w:val="en-GB"/>
                <w14:ligatures w14:val="standardContextual"/>
              </w:rPr>
              <w:t>Issue</w:t>
            </w:r>
          </w:p>
        </w:tc>
        <w:tc>
          <w:tcPr>
            <w:tcW w:w="1240" w:type="dxa"/>
            <w:shd w:val="clear" w:color="auto" w:fill="auto"/>
            <w:noWrap/>
            <w:vAlign w:val="bottom"/>
            <w:hideMark/>
          </w:tcPr>
          <w:p w14:paraId="3A9D4C1E" w14:textId="77777777" w:rsidR="003941BF" w:rsidRPr="00D62A3B" w:rsidRDefault="003941BF" w:rsidP="00ED20E9">
            <w:pPr>
              <w:spacing w:line="276" w:lineRule="auto"/>
              <w:jc w:val="both"/>
              <w:rPr>
                <w:rFonts w:ascii="Arial" w:eastAsia="Calibri" w:hAnsi="Arial" w:cs="Arial"/>
                <w:b/>
                <w:kern w:val="2"/>
                <w:lang w:val="en-GB"/>
                <w14:ligatures w14:val="standardContextual"/>
              </w:rPr>
            </w:pPr>
            <w:r w:rsidRPr="00D62A3B">
              <w:rPr>
                <w:rFonts w:ascii="Arial" w:eastAsia="Calibri" w:hAnsi="Arial" w:cs="Arial"/>
                <w:b/>
                <w:kern w:val="2"/>
                <w:lang w:val="en-GB"/>
                <w14:ligatures w14:val="standardContextual"/>
              </w:rPr>
              <w:t>No of Expert</w:t>
            </w:r>
          </w:p>
        </w:tc>
        <w:tc>
          <w:tcPr>
            <w:tcW w:w="1300" w:type="dxa"/>
            <w:shd w:val="clear" w:color="auto" w:fill="auto"/>
            <w:noWrap/>
            <w:vAlign w:val="bottom"/>
            <w:hideMark/>
          </w:tcPr>
          <w:p w14:paraId="3F7DDFFC" w14:textId="77777777" w:rsidR="003941BF" w:rsidRPr="00D62A3B" w:rsidRDefault="003941BF" w:rsidP="00ED20E9">
            <w:pPr>
              <w:spacing w:line="276" w:lineRule="auto"/>
              <w:jc w:val="both"/>
              <w:rPr>
                <w:rFonts w:ascii="Arial" w:eastAsia="Calibri" w:hAnsi="Arial" w:cs="Arial"/>
                <w:b/>
                <w:kern w:val="2"/>
                <w:lang w:val="en-GB"/>
                <w14:ligatures w14:val="standardContextual"/>
              </w:rPr>
            </w:pPr>
            <w:r w:rsidRPr="00D62A3B">
              <w:rPr>
                <w:rFonts w:ascii="Arial" w:eastAsia="Calibri" w:hAnsi="Arial" w:cs="Arial"/>
                <w:b/>
                <w:kern w:val="2"/>
                <w:lang w:val="en-GB"/>
                <w14:ligatures w14:val="standardContextual"/>
              </w:rPr>
              <w:t>Percentile (%)</w:t>
            </w:r>
          </w:p>
        </w:tc>
      </w:tr>
      <w:tr w:rsidR="003941BF" w:rsidRPr="00D62A3B" w14:paraId="4ABC53A9" w14:textId="77777777" w:rsidTr="00ED20E9">
        <w:trPr>
          <w:trHeight w:val="288"/>
          <w:jc w:val="center"/>
        </w:trPr>
        <w:tc>
          <w:tcPr>
            <w:tcW w:w="960" w:type="dxa"/>
            <w:shd w:val="clear" w:color="auto" w:fill="auto"/>
            <w:noWrap/>
            <w:vAlign w:val="bottom"/>
            <w:hideMark/>
          </w:tcPr>
          <w:p w14:paraId="253BAA8E"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w:t>
            </w:r>
          </w:p>
        </w:tc>
        <w:tc>
          <w:tcPr>
            <w:tcW w:w="4100" w:type="dxa"/>
            <w:shd w:val="clear" w:color="auto" w:fill="auto"/>
            <w:noWrap/>
            <w:vAlign w:val="bottom"/>
            <w:hideMark/>
          </w:tcPr>
          <w:p w14:paraId="7D0AE31F"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Visible Holes/Cracks</w:t>
            </w:r>
          </w:p>
        </w:tc>
        <w:tc>
          <w:tcPr>
            <w:tcW w:w="1240" w:type="dxa"/>
            <w:shd w:val="clear" w:color="auto" w:fill="auto"/>
            <w:noWrap/>
            <w:vAlign w:val="bottom"/>
            <w:hideMark/>
          </w:tcPr>
          <w:p w14:paraId="25B81ECA"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w:t>
            </w:r>
          </w:p>
        </w:tc>
        <w:tc>
          <w:tcPr>
            <w:tcW w:w="1300" w:type="dxa"/>
            <w:shd w:val="clear" w:color="auto" w:fill="auto"/>
            <w:noWrap/>
            <w:vAlign w:val="bottom"/>
            <w:hideMark/>
          </w:tcPr>
          <w:p w14:paraId="2381EF0C"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80</w:t>
            </w:r>
          </w:p>
        </w:tc>
      </w:tr>
      <w:tr w:rsidR="003941BF" w:rsidRPr="00D62A3B" w14:paraId="1A62AD18" w14:textId="77777777" w:rsidTr="00ED20E9">
        <w:trPr>
          <w:trHeight w:val="288"/>
          <w:jc w:val="center"/>
        </w:trPr>
        <w:tc>
          <w:tcPr>
            <w:tcW w:w="960" w:type="dxa"/>
            <w:shd w:val="clear" w:color="auto" w:fill="auto"/>
            <w:noWrap/>
            <w:vAlign w:val="bottom"/>
            <w:hideMark/>
          </w:tcPr>
          <w:p w14:paraId="35E24BFE"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2</w:t>
            </w:r>
          </w:p>
        </w:tc>
        <w:tc>
          <w:tcPr>
            <w:tcW w:w="4100" w:type="dxa"/>
            <w:shd w:val="clear" w:color="auto" w:fill="auto"/>
            <w:noWrap/>
            <w:vAlign w:val="bottom"/>
            <w:hideMark/>
          </w:tcPr>
          <w:p w14:paraId="458A21B2"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Sign for erosion occurrences </w:t>
            </w:r>
          </w:p>
        </w:tc>
        <w:tc>
          <w:tcPr>
            <w:tcW w:w="1240" w:type="dxa"/>
            <w:shd w:val="clear" w:color="auto" w:fill="auto"/>
            <w:noWrap/>
            <w:vAlign w:val="bottom"/>
            <w:hideMark/>
          </w:tcPr>
          <w:p w14:paraId="5F3B7C02"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w:t>
            </w:r>
          </w:p>
        </w:tc>
        <w:tc>
          <w:tcPr>
            <w:tcW w:w="1300" w:type="dxa"/>
            <w:shd w:val="clear" w:color="auto" w:fill="auto"/>
            <w:noWrap/>
            <w:vAlign w:val="bottom"/>
            <w:hideMark/>
          </w:tcPr>
          <w:p w14:paraId="08114A79"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100</w:t>
            </w:r>
          </w:p>
        </w:tc>
      </w:tr>
      <w:tr w:rsidR="003941BF" w:rsidRPr="00D62A3B" w14:paraId="1EC739AE" w14:textId="77777777" w:rsidTr="00ED20E9">
        <w:trPr>
          <w:trHeight w:val="288"/>
          <w:jc w:val="center"/>
        </w:trPr>
        <w:tc>
          <w:tcPr>
            <w:tcW w:w="960" w:type="dxa"/>
            <w:shd w:val="clear" w:color="auto" w:fill="auto"/>
            <w:noWrap/>
            <w:vAlign w:val="bottom"/>
            <w:hideMark/>
          </w:tcPr>
          <w:p w14:paraId="569740D8"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3</w:t>
            </w:r>
          </w:p>
        </w:tc>
        <w:tc>
          <w:tcPr>
            <w:tcW w:w="4100" w:type="dxa"/>
            <w:shd w:val="clear" w:color="auto" w:fill="auto"/>
            <w:noWrap/>
            <w:vAlign w:val="bottom"/>
            <w:hideMark/>
          </w:tcPr>
          <w:p w14:paraId="039F711E"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water seepage </w:t>
            </w:r>
          </w:p>
        </w:tc>
        <w:tc>
          <w:tcPr>
            <w:tcW w:w="1240" w:type="dxa"/>
            <w:shd w:val="clear" w:color="auto" w:fill="auto"/>
            <w:noWrap/>
            <w:vAlign w:val="bottom"/>
            <w:hideMark/>
          </w:tcPr>
          <w:p w14:paraId="16C34CCA"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7</w:t>
            </w:r>
          </w:p>
        </w:tc>
        <w:tc>
          <w:tcPr>
            <w:tcW w:w="1300" w:type="dxa"/>
            <w:shd w:val="clear" w:color="auto" w:fill="auto"/>
            <w:noWrap/>
            <w:vAlign w:val="bottom"/>
            <w:hideMark/>
          </w:tcPr>
          <w:p w14:paraId="5D65A065"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70</w:t>
            </w:r>
          </w:p>
        </w:tc>
      </w:tr>
      <w:tr w:rsidR="003941BF" w:rsidRPr="00D62A3B" w14:paraId="04790086" w14:textId="77777777" w:rsidTr="00ED20E9">
        <w:trPr>
          <w:trHeight w:val="288"/>
          <w:jc w:val="center"/>
        </w:trPr>
        <w:tc>
          <w:tcPr>
            <w:tcW w:w="960" w:type="dxa"/>
            <w:shd w:val="clear" w:color="auto" w:fill="auto"/>
            <w:noWrap/>
            <w:vAlign w:val="bottom"/>
            <w:hideMark/>
          </w:tcPr>
          <w:p w14:paraId="5BFC8CC5"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4</w:t>
            </w:r>
          </w:p>
        </w:tc>
        <w:tc>
          <w:tcPr>
            <w:tcW w:w="4100" w:type="dxa"/>
            <w:shd w:val="clear" w:color="auto" w:fill="auto"/>
            <w:noWrap/>
            <w:vAlign w:val="bottom"/>
            <w:hideMark/>
          </w:tcPr>
          <w:p w14:paraId="02B14321"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outlet pipe damage </w:t>
            </w:r>
          </w:p>
        </w:tc>
        <w:tc>
          <w:tcPr>
            <w:tcW w:w="1240" w:type="dxa"/>
            <w:shd w:val="clear" w:color="auto" w:fill="auto"/>
            <w:noWrap/>
            <w:vAlign w:val="bottom"/>
            <w:hideMark/>
          </w:tcPr>
          <w:p w14:paraId="6568E921"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w:t>
            </w:r>
          </w:p>
        </w:tc>
        <w:tc>
          <w:tcPr>
            <w:tcW w:w="1300" w:type="dxa"/>
            <w:shd w:val="clear" w:color="auto" w:fill="auto"/>
            <w:noWrap/>
            <w:vAlign w:val="bottom"/>
            <w:hideMark/>
          </w:tcPr>
          <w:p w14:paraId="04C49446"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80</w:t>
            </w:r>
          </w:p>
        </w:tc>
      </w:tr>
      <w:tr w:rsidR="003941BF" w:rsidRPr="00D62A3B" w14:paraId="08CB924A" w14:textId="77777777" w:rsidTr="00ED20E9">
        <w:trPr>
          <w:trHeight w:val="288"/>
          <w:jc w:val="center"/>
        </w:trPr>
        <w:tc>
          <w:tcPr>
            <w:tcW w:w="960" w:type="dxa"/>
            <w:shd w:val="clear" w:color="auto" w:fill="auto"/>
            <w:noWrap/>
            <w:vAlign w:val="bottom"/>
            <w:hideMark/>
          </w:tcPr>
          <w:p w14:paraId="3115C5E9"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5</w:t>
            </w:r>
          </w:p>
        </w:tc>
        <w:tc>
          <w:tcPr>
            <w:tcW w:w="4100" w:type="dxa"/>
            <w:shd w:val="clear" w:color="auto" w:fill="auto"/>
            <w:noWrap/>
            <w:vAlign w:val="bottom"/>
            <w:hideMark/>
          </w:tcPr>
          <w:p w14:paraId="2B563C16"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vegetation blockage </w:t>
            </w:r>
          </w:p>
        </w:tc>
        <w:tc>
          <w:tcPr>
            <w:tcW w:w="1240" w:type="dxa"/>
            <w:shd w:val="clear" w:color="auto" w:fill="auto"/>
            <w:noWrap/>
            <w:vAlign w:val="bottom"/>
            <w:hideMark/>
          </w:tcPr>
          <w:p w14:paraId="264BD390"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w:t>
            </w:r>
          </w:p>
        </w:tc>
        <w:tc>
          <w:tcPr>
            <w:tcW w:w="1300" w:type="dxa"/>
            <w:shd w:val="clear" w:color="auto" w:fill="auto"/>
            <w:noWrap/>
            <w:vAlign w:val="bottom"/>
            <w:hideMark/>
          </w:tcPr>
          <w:p w14:paraId="45FFFE4C"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100</w:t>
            </w:r>
          </w:p>
        </w:tc>
      </w:tr>
      <w:tr w:rsidR="003941BF" w:rsidRPr="00D62A3B" w14:paraId="008ED9F3" w14:textId="77777777" w:rsidTr="00ED20E9">
        <w:trPr>
          <w:trHeight w:val="288"/>
          <w:jc w:val="center"/>
        </w:trPr>
        <w:tc>
          <w:tcPr>
            <w:tcW w:w="960" w:type="dxa"/>
            <w:shd w:val="clear" w:color="auto" w:fill="auto"/>
            <w:noWrap/>
            <w:vAlign w:val="bottom"/>
            <w:hideMark/>
          </w:tcPr>
          <w:p w14:paraId="04B7CAD9"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6</w:t>
            </w:r>
          </w:p>
        </w:tc>
        <w:tc>
          <w:tcPr>
            <w:tcW w:w="4100" w:type="dxa"/>
            <w:shd w:val="clear" w:color="auto" w:fill="auto"/>
            <w:noWrap/>
            <w:vAlign w:val="bottom"/>
            <w:hideMark/>
          </w:tcPr>
          <w:p w14:paraId="19ED8F85"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animal damage </w:t>
            </w:r>
          </w:p>
        </w:tc>
        <w:tc>
          <w:tcPr>
            <w:tcW w:w="1240" w:type="dxa"/>
            <w:shd w:val="clear" w:color="auto" w:fill="auto"/>
            <w:noWrap/>
            <w:vAlign w:val="bottom"/>
            <w:hideMark/>
          </w:tcPr>
          <w:p w14:paraId="49A7ACFE"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w:t>
            </w:r>
          </w:p>
        </w:tc>
        <w:tc>
          <w:tcPr>
            <w:tcW w:w="1300" w:type="dxa"/>
            <w:shd w:val="clear" w:color="auto" w:fill="auto"/>
            <w:noWrap/>
            <w:vAlign w:val="bottom"/>
            <w:hideMark/>
          </w:tcPr>
          <w:p w14:paraId="40A477A5"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80</w:t>
            </w:r>
          </w:p>
        </w:tc>
      </w:tr>
      <w:tr w:rsidR="003941BF" w:rsidRPr="00D62A3B" w14:paraId="54A73B24" w14:textId="77777777" w:rsidTr="00ED20E9">
        <w:trPr>
          <w:trHeight w:val="288"/>
          <w:jc w:val="center"/>
        </w:trPr>
        <w:tc>
          <w:tcPr>
            <w:tcW w:w="960" w:type="dxa"/>
            <w:shd w:val="clear" w:color="auto" w:fill="auto"/>
            <w:noWrap/>
            <w:vAlign w:val="bottom"/>
            <w:hideMark/>
          </w:tcPr>
          <w:p w14:paraId="034BED10"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7</w:t>
            </w:r>
          </w:p>
        </w:tc>
        <w:tc>
          <w:tcPr>
            <w:tcW w:w="4100" w:type="dxa"/>
            <w:shd w:val="clear" w:color="auto" w:fill="auto"/>
            <w:noWrap/>
            <w:vAlign w:val="bottom"/>
            <w:hideMark/>
          </w:tcPr>
          <w:p w14:paraId="12D2319E"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Flood occurrence </w:t>
            </w:r>
          </w:p>
        </w:tc>
        <w:tc>
          <w:tcPr>
            <w:tcW w:w="1240" w:type="dxa"/>
            <w:shd w:val="clear" w:color="auto" w:fill="auto"/>
            <w:noWrap/>
            <w:vAlign w:val="bottom"/>
            <w:hideMark/>
          </w:tcPr>
          <w:p w14:paraId="24C63F38"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w:t>
            </w:r>
          </w:p>
        </w:tc>
        <w:tc>
          <w:tcPr>
            <w:tcW w:w="1300" w:type="dxa"/>
            <w:shd w:val="clear" w:color="auto" w:fill="auto"/>
            <w:noWrap/>
            <w:vAlign w:val="bottom"/>
            <w:hideMark/>
          </w:tcPr>
          <w:p w14:paraId="6474171A"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100</w:t>
            </w:r>
          </w:p>
        </w:tc>
      </w:tr>
      <w:tr w:rsidR="003941BF" w:rsidRPr="00D62A3B" w14:paraId="59D41560" w14:textId="77777777" w:rsidTr="00ED20E9">
        <w:trPr>
          <w:trHeight w:val="288"/>
          <w:jc w:val="center"/>
        </w:trPr>
        <w:tc>
          <w:tcPr>
            <w:tcW w:w="960" w:type="dxa"/>
            <w:shd w:val="clear" w:color="auto" w:fill="auto"/>
            <w:noWrap/>
            <w:vAlign w:val="bottom"/>
            <w:hideMark/>
          </w:tcPr>
          <w:p w14:paraId="2E94AB72"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8</w:t>
            </w:r>
          </w:p>
        </w:tc>
        <w:tc>
          <w:tcPr>
            <w:tcW w:w="4100" w:type="dxa"/>
            <w:shd w:val="clear" w:color="auto" w:fill="auto"/>
            <w:noWrap/>
            <w:vAlign w:val="bottom"/>
            <w:hideMark/>
          </w:tcPr>
          <w:p w14:paraId="18820650"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Compliance with the dam safety procedures </w:t>
            </w:r>
          </w:p>
        </w:tc>
        <w:tc>
          <w:tcPr>
            <w:tcW w:w="1240" w:type="dxa"/>
            <w:shd w:val="clear" w:color="auto" w:fill="auto"/>
            <w:noWrap/>
            <w:vAlign w:val="bottom"/>
            <w:hideMark/>
          </w:tcPr>
          <w:p w14:paraId="4F38F2FE"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5</w:t>
            </w:r>
          </w:p>
        </w:tc>
        <w:tc>
          <w:tcPr>
            <w:tcW w:w="1300" w:type="dxa"/>
            <w:shd w:val="clear" w:color="auto" w:fill="auto"/>
            <w:noWrap/>
            <w:vAlign w:val="bottom"/>
            <w:hideMark/>
          </w:tcPr>
          <w:p w14:paraId="56CEE27F" w14:textId="77777777" w:rsidR="003941BF" w:rsidRPr="00D62A3B" w:rsidRDefault="003941BF" w:rsidP="00ED20E9">
            <w:pPr>
              <w:spacing w:line="276" w:lineRule="auto"/>
              <w:jc w:val="center"/>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50</w:t>
            </w:r>
          </w:p>
        </w:tc>
      </w:tr>
      <w:tr w:rsidR="003941BF" w:rsidRPr="00D62A3B" w14:paraId="50FE6CE2" w14:textId="77777777" w:rsidTr="00ED20E9">
        <w:trPr>
          <w:trHeight w:val="300"/>
          <w:jc w:val="center"/>
        </w:trPr>
        <w:tc>
          <w:tcPr>
            <w:tcW w:w="960" w:type="dxa"/>
            <w:shd w:val="clear" w:color="auto" w:fill="auto"/>
            <w:noWrap/>
            <w:vAlign w:val="bottom"/>
            <w:hideMark/>
          </w:tcPr>
          <w:p w14:paraId="3844EBA7"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w:t>
            </w:r>
          </w:p>
        </w:tc>
        <w:tc>
          <w:tcPr>
            <w:tcW w:w="4100" w:type="dxa"/>
            <w:shd w:val="clear" w:color="auto" w:fill="auto"/>
            <w:noWrap/>
            <w:vAlign w:val="bottom"/>
            <w:hideMark/>
          </w:tcPr>
          <w:p w14:paraId="47112F19"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w:t>
            </w:r>
          </w:p>
        </w:tc>
        <w:tc>
          <w:tcPr>
            <w:tcW w:w="1240" w:type="dxa"/>
            <w:shd w:val="clear" w:color="auto" w:fill="auto"/>
            <w:noWrap/>
            <w:vAlign w:val="bottom"/>
            <w:hideMark/>
          </w:tcPr>
          <w:p w14:paraId="7948AC38"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w:t>
            </w:r>
          </w:p>
        </w:tc>
        <w:tc>
          <w:tcPr>
            <w:tcW w:w="1300" w:type="dxa"/>
            <w:shd w:val="clear" w:color="auto" w:fill="auto"/>
            <w:noWrap/>
            <w:vAlign w:val="bottom"/>
            <w:hideMark/>
          </w:tcPr>
          <w:p w14:paraId="7403CDE3" w14:textId="77777777" w:rsidR="003941BF" w:rsidRPr="00D62A3B" w:rsidRDefault="003941BF" w:rsidP="00ED20E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w:t>
            </w:r>
          </w:p>
        </w:tc>
      </w:tr>
    </w:tbl>
    <w:p w14:paraId="60C48469" w14:textId="789993FE" w:rsidR="003941BF" w:rsidRPr="00D62A3B" w:rsidRDefault="00235DA9" w:rsidP="003941BF">
      <w:pPr>
        <w:spacing w:line="276" w:lineRule="auto"/>
        <w:jc w:val="both"/>
        <w:rPr>
          <w:rFonts w:ascii="Arial" w:eastAsia="Calibri" w:hAnsi="Arial" w:cs="Arial"/>
          <w:kern w:val="2"/>
          <w:lang w:val="en-GB"/>
          <w14:ligatures w14:val="standardContextual"/>
        </w:rPr>
      </w:pPr>
      <w:r>
        <w:rPr>
          <w:rFonts w:ascii="Arial" w:eastAsia="Calibri" w:hAnsi="Arial" w:cs="Arial"/>
          <w:noProof/>
          <w:kern w:val="2"/>
        </w:rPr>
        <w:lastRenderedPageBreak/>
        <w:drawing>
          <wp:inline distT="0" distB="0" distL="0" distR="0" wp14:anchorId="36CF64BF" wp14:editId="7DAFBB8D">
            <wp:extent cx="5791200" cy="28046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xpet opinion on dam condtion.png"/>
                    <pic:cNvPicPr/>
                  </pic:nvPicPr>
                  <pic:blipFill rotWithShape="1">
                    <a:blip r:embed="rId16">
                      <a:extLst>
                        <a:ext uri="{28A0092B-C50C-407E-A947-70E740481C1C}">
                          <a14:useLocalDpi xmlns:a14="http://schemas.microsoft.com/office/drawing/2010/main" val="0"/>
                        </a:ext>
                      </a:extLst>
                    </a:blip>
                    <a:srcRect t="8556"/>
                    <a:stretch/>
                  </pic:blipFill>
                  <pic:spPr bwMode="auto">
                    <a:xfrm>
                      <a:off x="0" y="0"/>
                      <a:ext cx="5792008" cy="2805048"/>
                    </a:xfrm>
                    <a:prstGeom prst="rect">
                      <a:avLst/>
                    </a:prstGeom>
                    <a:ln>
                      <a:noFill/>
                    </a:ln>
                    <a:extLst>
                      <a:ext uri="{53640926-AAD7-44D8-BBD7-CCE9431645EC}">
                        <a14:shadowObscured xmlns:a14="http://schemas.microsoft.com/office/drawing/2010/main"/>
                      </a:ext>
                    </a:extLst>
                  </pic:spPr>
                </pic:pic>
              </a:graphicData>
            </a:graphic>
          </wp:inline>
        </w:drawing>
      </w:r>
    </w:p>
    <w:p w14:paraId="77AD6F86" w14:textId="77777777" w:rsidR="00235DA9" w:rsidRDefault="00235DA9" w:rsidP="00235DA9">
      <w:pPr>
        <w:spacing w:line="276" w:lineRule="auto"/>
        <w:jc w:val="both"/>
        <w:rPr>
          <w:rFonts w:ascii="Arial" w:eastAsia="Calibri" w:hAnsi="Arial" w:cs="Arial"/>
          <w:kern w:val="2"/>
          <w:lang w:val="en-GB"/>
          <w14:ligatures w14:val="standardContextual"/>
        </w:rPr>
      </w:pPr>
      <w:r w:rsidRPr="00727AC6">
        <w:rPr>
          <w:rFonts w:ascii="Arial" w:eastAsia="Calibri" w:hAnsi="Arial" w:cs="Arial"/>
          <w:kern w:val="2"/>
          <w:lang w:val="en-GB"/>
          <w14:ligatures w14:val="standardContextual"/>
        </w:rPr>
        <w:t xml:space="preserve">Figure </w:t>
      </w:r>
      <w:r w:rsidRPr="00727AC6">
        <w:rPr>
          <w:rFonts w:ascii="Arial" w:eastAsia="Calibri" w:hAnsi="Arial" w:cs="Arial"/>
          <w:kern w:val="2"/>
          <w:lang w:val="en-GB"/>
          <w14:ligatures w14:val="standardContextual"/>
        </w:rPr>
        <w:fldChar w:fldCharType="begin"/>
      </w:r>
      <w:r w:rsidRPr="00727AC6">
        <w:rPr>
          <w:rFonts w:ascii="Arial" w:eastAsia="Calibri" w:hAnsi="Arial" w:cs="Arial"/>
          <w:kern w:val="2"/>
          <w:lang w:val="en-GB"/>
          <w14:ligatures w14:val="standardContextual"/>
        </w:rPr>
        <w:instrText xml:space="preserve"> SEQ Figure \* ARABIC </w:instrText>
      </w:r>
      <w:r w:rsidRPr="00727AC6">
        <w:rPr>
          <w:rFonts w:ascii="Arial" w:eastAsia="Calibri" w:hAnsi="Arial" w:cs="Arial"/>
          <w:kern w:val="2"/>
          <w:lang w:val="en-GB"/>
          <w14:ligatures w14:val="standardContextual"/>
        </w:rPr>
        <w:fldChar w:fldCharType="separate"/>
      </w:r>
      <w:r w:rsidRPr="00727AC6">
        <w:rPr>
          <w:rFonts w:ascii="Arial" w:eastAsia="Calibri" w:hAnsi="Arial" w:cs="Arial"/>
          <w:kern w:val="2"/>
          <w:lang w:val="en-GB"/>
          <w14:ligatures w14:val="standardContextual"/>
        </w:rPr>
        <w:t>3</w:t>
      </w:r>
      <w:r w:rsidRPr="00727AC6">
        <w:rPr>
          <w:rFonts w:ascii="Arial" w:eastAsia="Calibri" w:hAnsi="Arial" w:cs="Arial"/>
          <w:kern w:val="2"/>
          <w:lang w:val="en-GB"/>
          <w14:ligatures w14:val="standardContextual"/>
        </w:rPr>
        <w:fldChar w:fldCharType="end"/>
      </w:r>
      <w:r w:rsidRPr="00727AC6">
        <w:rPr>
          <w:rFonts w:ascii="Arial" w:eastAsia="Calibri" w:hAnsi="Arial" w:cs="Arial"/>
          <w:kern w:val="2"/>
          <w:lang w:val="en-GB"/>
          <w14:ligatures w14:val="standardContextual"/>
        </w:rPr>
        <w:t xml:space="preserve">.Expertise opinions on the </w:t>
      </w:r>
      <w:proofErr w:type="spellStart"/>
      <w:r w:rsidRPr="00727AC6">
        <w:rPr>
          <w:rFonts w:ascii="Arial" w:eastAsia="Calibri" w:hAnsi="Arial" w:cs="Arial"/>
          <w:kern w:val="2"/>
          <w:lang w:val="en-GB"/>
          <w14:ligatures w14:val="standardContextual"/>
        </w:rPr>
        <w:t>Mindu</w:t>
      </w:r>
      <w:proofErr w:type="spellEnd"/>
      <w:r w:rsidRPr="00727AC6">
        <w:rPr>
          <w:rFonts w:ascii="Arial" w:eastAsia="Calibri" w:hAnsi="Arial" w:cs="Arial"/>
          <w:kern w:val="2"/>
          <w:lang w:val="en-GB"/>
          <w14:ligatures w14:val="standardContextual"/>
        </w:rPr>
        <w:t xml:space="preserve"> dam condition</w:t>
      </w:r>
    </w:p>
    <w:p w14:paraId="539C61BD" w14:textId="77777777" w:rsidR="00235DA9" w:rsidRDefault="00235DA9" w:rsidP="00235DA9">
      <w:pPr>
        <w:spacing w:line="276" w:lineRule="auto"/>
        <w:jc w:val="both"/>
        <w:rPr>
          <w:rFonts w:ascii="Arial" w:eastAsia="Calibri" w:hAnsi="Arial" w:cs="Arial"/>
          <w:kern w:val="2"/>
          <w:lang w:val="en-GB"/>
          <w14:ligatures w14:val="standardContextual"/>
        </w:rPr>
      </w:pPr>
    </w:p>
    <w:p w14:paraId="315E6574" w14:textId="77777777" w:rsidR="00235DA9" w:rsidRDefault="00235DA9" w:rsidP="00235DA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A comprehensive assessment of key issues affecting dam safety, through expertise from the responsible authority in managing the </w:t>
      </w:r>
      <w:proofErr w:type="spellStart"/>
      <w:r w:rsidRPr="00D62A3B">
        <w:rPr>
          <w:rFonts w:ascii="Arial" w:eastAsia="Calibri" w:hAnsi="Arial" w:cs="Arial"/>
          <w:kern w:val="2"/>
          <w:lang w:val="en-GB"/>
          <w14:ligatures w14:val="standardContextual"/>
        </w:rPr>
        <w:t>Mindu</w:t>
      </w:r>
      <w:proofErr w:type="spellEnd"/>
      <w:r w:rsidRPr="00D62A3B">
        <w:rPr>
          <w:rFonts w:ascii="Arial" w:eastAsia="Calibri" w:hAnsi="Arial" w:cs="Arial"/>
          <w:kern w:val="2"/>
          <w:lang w:val="en-GB"/>
          <w14:ligatures w14:val="standardContextual"/>
        </w:rPr>
        <w:t xml:space="preserve"> dam (MORUWASA) was conducted to highlight several critical factors affecting the safety of the dam like erosion, vegetation blockage, and flood occurrence. From the findings, it was observed that erosion, vegetation blockage and flood occurrence are the key factors affecting the dam. </w:t>
      </w:r>
    </w:p>
    <w:p w14:paraId="0D8E05B7" w14:textId="77777777" w:rsidR="00235DA9" w:rsidRPr="00D62A3B" w:rsidRDefault="00235DA9" w:rsidP="00235DA9">
      <w:pPr>
        <w:spacing w:line="276" w:lineRule="auto"/>
        <w:jc w:val="both"/>
        <w:rPr>
          <w:rFonts w:ascii="Arial" w:eastAsia="Calibri" w:hAnsi="Arial" w:cs="Arial"/>
          <w:kern w:val="2"/>
          <w:lang w:val="en-GB"/>
          <w14:ligatures w14:val="standardContextual"/>
        </w:rPr>
      </w:pPr>
    </w:p>
    <w:p w14:paraId="459BE3B4" w14:textId="5355693C" w:rsidR="00AB7E50" w:rsidRPr="00D62A3B" w:rsidRDefault="00235DA9" w:rsidP="00235DA9">
      <w:pPr>
        <w:spacing w:line="276" w:lineRule="auto"/>
        <w:jc w:val="both"/>
        <w:rPr>
          <w:rFonts w:ascii="Arial" w:eastAsia="Calibri" w:hAnsi="Arial" w:cs="Arial"/>
          <w:kern w:val="2"/>
          <w:lang w:val="en-GB"/>
          <w14:ligatures w14:val="standardContextual"/>
        </w:rPr>
      </w:pPr>
      <w:r w:rsidRPr="00D62A3B">
        <w:rPr>
          <w:rFonts w:ascii="Arial" w:eastAsia="Calibri" w:hAnsi="Arial" w:cs="Arial"/>
          <w:kern w:val="2"/>
          <w:lang w:val="en-GB"/>
          <w14:ligatures w14:val="standardContextual"/>
        </w:rPr>
        <w:t xml:space="preserve">Table </w:t>
      </w:r>
      <w:r>
        <w:rPr>
          <w:rFonts w:ascii="Arial" w:eastAsia="Calibri" w:hAnsi="Arial" w:cs="Arial"/>
          <w:kern w:val="2"/>
          <w:lang w:val="en-GB"/>
          <w14:ligatures w14:val="standardContextual"/>
        </w:rPr>
        <w:t>7</w:t>
      </w:r>
      <w:r w:rsidRPr="00D62A3B">
        <w:rPr>
          <w:rFonts w:ascii="Arial" w:eastAsia="Calibri" w:hAnsi="Arial" w:cs="Arial"/>
          <w:kern w:val="2"/>
          <w:lang w:val="en-GB"/>
          <w14:ligatures w14:val="standardContextual"/>
        </w:rPr>
        <w:t>.</w:t>
      </w:r>
      <w:r w:rsidR="00AB7E50">
        <w:rPr>
          <w:rFonts w:ascii="Arial" w:eastAsia="Calibri" w:hAnsi="Arial" w:cs="Arial"/>
          <w:kern w:val="2"/>
          <w:lang w:val="en-GB"/>
          <w14:ligatures w14:val="standardContextual"/>
        </w:rPr>
        <w:t xml:space="preserve"> </w:t>
      </w:r>
      <w:r w:rsidRPr="00D62A3B">
        <w:rPr>
          <w:rFonts w:ascii="Arial" w:eastAsia="Calibri" w:hAnsi="Arial" w:cs="Arial"/>
          <w:kern w:val="2"/>
          <w:lang w:val="en-GB"/>
          <w14:ligatures w14:val="standardContextual"/>
        </w:rPr>
        <w:t>Physical elements that are thought to be causing the present dam safety issues</w:t>
      </w:r>
    </w:p>
    <w:tbl>
      <w:tblPr>
        <w:tblStyle w:val="TableGrid"/>
        <w:tblpPr w:leftFromText="180" w:rightFromText="180" w:vertAnchor="text" w:horzAnchor="margin" w:tblpXSpec="center" w:tblpY="55"/>
        <w:tblW w:w="0" w:type="auto"/>
        <w:tblLook w:val="04A0" w:firstRow="1" w:lastRow="0" w:firstColumn="1" w:lastColumn="0" w:noHBand="0" w:noVBand="1"/>
      </w:tblPr>
      <w:tblGrid>
        <w:gridCol w:w="3081"/>
        <w:gridCol w:w="3081"/>
        <w:gridCol w:w="3081"/>
      </w:tblGrid>
      <w:tr w:rsidR="00235DA9" w:rsidRPr="00D62A3B" w14:paraId="7826B71E" w14:textId="77777777" w:rsidTr="00AB7E50">
        <w:tc>
          <w:tcPr>
            <w:tcW w:w="3081" w:type="dxa"/>
          </w:tcPr>
          <w:p w14:paraId="2951F8FE"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Element</w:t>
            </w:r>
          </w:p>
        </w:tc>
        <w:tc>
          <w:tcPr>
            <w:tcW w:w="3081" w:type="dxa"/>
          </w:tcPr>
          <w:p w14:paraId="48C9F573" w14:textId="77777777" w:rsidR="00235DA9" w:rsidRPr="00D62A3B" w:rsidRDefault="00235DA9" w:rsidP="00AB7E50">
            <w:pPr>
              <w:spacing w:line="276" w:lineRule="auto"/>
              <w:jc w:val="both"/>
              <w:rPr>
                <w:rFonts w:ascii="Arial" w:hAnsi="Arial" w:cs="Arial"/>
                <w:kern w:val="2"/>
                <w:lang w:val="en-GB"/>
                <w14:ligatures w14:val="standardContextual"/>
              </w:rPr>
            </w:pPr>
            <w:proofErr w:type="spellStart"/>
            <w:proofErr w:type="gramStart"/>
            <w:r w:rsidRPr="00D62A3B">
              <w:rPr>
                <w:rFonts w:ascii="Arial" w:hAnsi="Arial" w:cs="Arial"/>
                <w:kern w:val="2"/>
                <w:lang w:val="en-GB"/>
                <w14:ligatures w14:val="standardContextual"/>
              </w:rPr>
              <w:t>No.of</w:t>
            </w:r>
            <w:proofErr w:type="spellEnd"/>
            <w:proofErr w:type="gramEnd"/>
            <w:r w:rsidRPr="00D62A3B">
              <w:rPr>
                <w:rFonts w:ascii="Arial" w:hAnsi="Arial" w:cs="Arial"/>
                <w:kern w:val="2"/>
                <w:lang w:val="en-GB"/>
                <w14:ligatures w14:val="standardContextual"/>
              </w:rPr>
              <w:t xml:space="preserve"> key participants(n=30)</w:t>
            </w:r>
          </w:p>
        </w:tc>
        <w:tc>
          <w:tcPr>
            <w:tcW w:w="3081" w:type="dxa"/>
          </w:tcPr>
          <w:p w14:paraId="06DA1A11"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Percentile (%)</w:t>
            </w:r>
          </w:p>
        </w:tc>
      </w:tr>
      <w:tr w:rsidR="00235DA9" w:rsidRPr="00D62A3B" w14:paraId="4BE96B40" w14:textId="77777777" w:rsidTr="00AB7E50">
        <w:tc>
          <w:tcPr>
            <w:tcW w:w="3081" w:type="dxa"/>
          </w:tcPr>
          <w:p w14:paraId="004BFBE7"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Flooding occurrences</w:t>
            </w:r>
          </w:p>
        </w:tc>
        <w:tc>
          <w:tcPr>
            <w:tcW w:w="3081" w:type="dxa"/>
          </w:tcPr>
          <w:p w14:paraId="7E0B8616"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26</w:t>
            </w:r>
          </w:p>
        </w:tc>
        <w:tc>
          <w:tcPr>
            <w:tcW w:w="3081" w:type="dxa"/>
            <w:shd w:val="clear" w:color="auto" w:fill="auto"/>
          </w:tcPr>
          <w:p w14:paraId="1B23EA8A"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color w:val="000000"/>
              </w:rPr>
              <w:t>86.7</w:t>
            </w:r>
          </w:p>
        </w:tc>
      </w:tr>
      <w:tr w:rsidR="00235DA9" w:rsidRPr="00D62A3B" w14:paraId="068834B3" w14:textId="77777777" w:rsidTr="00AB7E50">
        <w:tc>
          <w:tcPr>
            <w:tcW w:w="3081" w:type="dxa"/>
          </w:tcPr>
          <w:p w14:paraId="54C45C27"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Intense rainfall</w:t>
            </w:r>
          </w:p>
        </w:tc>
        <w:tc>
          <w:tcPr>
            <w:tcW w:w="3081" w:type="dxa"/>
          </w:tcPr>
          <w:p w14:paraId="0C101F36"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28</w:t>
            </w:r>
          </w:p>
        </w:tc>
        <w:tc>
          <w:tcPr>
            <w:tcW w:w="3081" w:type="dxa"/>
            <w:shd w:val="clear" w:color="auto" w:fill="auto"/>
          </w:tcPr>
          <w:p w14:paraId="618A0254"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color w:val="000000"/>
              </w:rPr>
              <w:t>93.3</w:t>
            </w:r>
          </w:p>
        </w:tc>
      </w:tr>
      <w:tr w:rsidR="00235DA9" w:rsidRPr="00D62A3B" w14:paraId="521D98E9" w14:textId="77777777" w:rsidTr="00AB7E50">
        <w:tc>
          <w:tcPr>
            <w:tcW w:w="3081" w:type="dxa"/>
          </w:tcPr>
          <w:p w14:paraId="325A64E2"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Dam impairment</w:t>
            </w:r>
          </w:p>
        </w:tc>
        <w:tc>
          <w:tcPr>
            <w:tcW w:w="3081" w:type="dxa"/>
          </w:tcPr>
          <w:p w14:paraId="50DD123C"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30</w:t>
            </w:r>
          </w:p>
        </w:tc>
        <w:tc>
          <w:tcPr>
            <w:tcW w:w="3081" w:type="dxa"/>
            <w:shd w:val="clear" w:color="auto" w:fill="auto"/>
          </w:tcPr>
          <w:p w14:paraId="4C11635C"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color w:val="000000"/>
              </w:rPr>
              <w:t>100.0</w:t>
            </w:r>
          </w:p>
        </w:tc>
      </w:tr>
      <w:tr w:rsidR="00235DA9" w:rsidRPr="00D62A3B" w14:paraId="4E210FC1" w14:textId="77777777" w:rsidTr="00AB7E50">
        <w:tc>
          <w:tcPr>
            <w:tcW w:w="3081" w:type="dxa"/>
          </w:tcPr>
          <w:p w14:paraId="54801057"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Landslide incidents</w:t>
            </w:r>
          </w:p>
        </w:tc>
        <w:tc>
          <w:tcPr>
            <w:tcW w:w="3081" w:type="dxa"/>
          </w:tcPr>
          <w:p w14:paraId="4FFFB072" w14:textId="77777777" w:rsidR="00235DA9" w:rsidRPr="00D62A3B" w:rsidRDefault="00235DA9" w:rsidP="00AB7E50">
            <w:pPr>
              <w:spacing w:line="276" w:lineRule="auto"/>
              <w:jc w:val="both"/>
              <w:rPr>
                <w:rFonts w:ascii="Arial" w:hAnsi="Arial" w:cs="Arial"/>
                <w:kern w:val="2"/>
                <w:lang w:val="en-GB"/>
                <w14:ligatures w14:val="standardContextual"/>
              </w:rPr>
            </w:pPr>
            <w:r w:rsidRPr="00D62A3B">
              <w:rPr>
                <w:rFonts w:ascii="Arial" w:hAnsi="Arial" w:cs="Arial"/>
                <w:kern w:val="2"/>
                <w:lang w:val="en-GB"/>
                <w14:ligatures w14:val="standardContextual"/>
              </w:rPr>
              <w:t>20</w:t>
            </w:r>
          </w:p>
        </w:tc>
        <w:tc>
          <w:tcPr>
            <w:tcW w:w="3081" w:type="dxa"/>
            <w:shd w:val="clear" w:color="auto" w:fill="auto"/>
          </w:tcPr>
          <w:p w14:paraId="1F20F343" w14:textId="77777777" w:rsidR="00235DA9" w:rsidRPr="00D62A3B" w:rsidRDefault="00235DA9" w:rsidP="00AB7E50">
            <w:pPr>
              <w:spacing w:line="276" w:lineRule="auto"/>
              <w:jc w:val="both"/>
              <w:rPr>
                <w:rFonts w:ascii="Arial" w:hAnsi="Arial" w:cs="Arial"/>
                <w:color w:val="000000"/>
              </w:rPr>
            </w:pPr>
            <w:r w:rsidRPr="00D62A3B">
              <w:rPr>
                <w:rFonts w:ascii="Arial" w:hAnsi="Arial" w:cs="Arial"/>
                <w:color w:val="000000"/>
              </w:rPr>
              <w:t>66.7</w:t>
            </w:r>
          </w:p>
        </w:tc>
      </w:tr>
    </w:tbl>
    <w:p w14:paraId="656644B7" w14:textId="77777777" w:rsidR="00235DA9" w:rsidRDefault="00235DA9" w:rsidP="00235DA9">
      <w:pPr>
        <w:spacing w:line="276" w:lineRule="auto"/>
        <w:jc w:val="both"/>
        <w:rPr>
          <w:rFonts w:ascii="Arial" w:eastAsia="Calibri" w:hAnsi="Arial" w:cs="Arial"/>
          <w:kern w:val="2"/>
          <w:lang w:val="en-GB"/>
          <w14:ligatures w14:val="standardContextual"/>
        </w:rPr>
      </w:pPr>
    </w:p>
    <w:p w14:paraId="5B73824B" w14:textId="77777777" w:rsidR="00235DA9" w:rsidRDefault="00235DA9" w:rsidP="00235DA9">
      <w:pPr>
        <w:spacing w:line="276" w:lineRule="auto"/>
        <w:jc w:val="both"/>
        <w:rPr>
          <w:rFonts w:ascii="Arial" w:eastAsia="Calibri" w:hAnsi="Arial" w:cs="Arial"/>
          <w:kern w:val="2"/>
          <w:lang w:val="en-GB"/>
          <w14:ligatures w14:val="standardContextual"/>
        </w:rPr>
      </w:pPr>
      <w:r>
        <w:rPr>
          <w:rFonts w:ascii="Arial" w:eastAsia="Calibri" w:hAnsi="Arial" w:cs="Arial"/>
          <w:noProof/>
          <w:kern w:val="2"/>
        </w:rPr>
        <w:drawing>
          <wp:inline distT="0" distB="0" distL="0" distR="0" wp14:anchorId="5F60E734" wp14:editId="3C68308D">
            <wp:extent cx="4699779" cy="22098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ysical element cz dam condtion.png"/>
                    <pic:cNvPicPr/>
                  </pic:nvPicPr>
                  <pic:blipFill rotWithShape="1">
                    <a:blip r:embed="rId17">
                      <a:extLst>
                        <a:ext uri="{28A0092B-C50C-407E-A947-70E740481C1C}">
                          <a14:useLocalDpi xmlns:a14="http://schemas.microsoft.com/office/drawing/2010/main" val="0"/>
                        </a:ext>
                      </a:extLst>
                    </a:blip>
                    <a:srcRect t="8141"/>
                    <a:stretch/>
                  </pic:blipFill>
                  <pic:spPr bwMode="auto">
                    <a:xfrm>
                      <a:off x="0" y="0"/>
                      <a:ext cx="4705043" cy="2212275"/>
                    </a:xfrm>
                    <a:prstGeom prst="rect">
                      <a:avLst/>
                    </a:prstGeom>
                    <a:ln>
                      <a:noFill/>
                    </a:ln>
                    <a:extLst>
                      <a:ext uri="{53640926-AAD7-44D8-BBD7-CCE9431645EC}">
                        <a14:shadowObscured xmlns:a14="http://schemas.microsoft.com/office/drawing/2010/main"/>
                      </a:ext>
                    </a:extLst>
                  </pic:spPr>
                </pic:pic>
              </a:graphicData>
            </a:graphic>
          </wp:inline>
        </w:drawing>
      </w:r>
      <w:r w:rsidRPr="00235DA9">
        <w:rPr>
          <w:rFonts w:ascii="Arial" w:eastAsia="Calibri" w:hAnsi="Arial" w:cs="Arial"/>
          <w:kern w:val="2"/>
          <w:lang w:val="en-GB"/>
          <w14:ligatures w14:val="standardContextual"/>
        </w:rPr>
        <w:t xml:space="preserve"> </w:t>
      </w:r>
    </w:p>
    <w:p w14:paraId="42FDD8E1" w14:textId="795A6B15" w:rsidR="00235DA9" w:rsidRDefault="00235DA9" w:rsidP="00235DA9">
      <w:pPr>
        <w:spacing w:line="276" w:lineRule="auto"/>
        <w:jc w:val="both"/>
        <w:rPr>
          <w:rFonts w:ascii="Arial" w:eastAsia="Calibri" w:hAnsi="Arial" w:cs="Arial"/>
          <w:kern w:val="2"/>
          <w:lang w:val="en-GB"/>
          <w14:ligatures w14:val="standardContextual"/>
        </w:rPr>
      </w:pPr>
      <w:r w:rsidRPr="00DE0D93">
        <w:rPr>
          <w:rFonts w:ascii="Arial" w:eastAsia="Calibri" w:hAnsi="Arial" w:cs="Arial"/>
          <w:kern w:val="2"/>
          <w:lang w:val="en-GB"/>
          <w14:ligatures w14:val="standardContextual"/>
        </w:rPr>
        <w:t xml:space="preserve">Figure </w:t>
      </w:r>
      <w:r w:rsidRPr="00DE0D93">
        <w:rPr>
          <w:rFonts w:ascii="Arial" w:eastAsia="Calibri" w:hAnsi="Arial" w:cs="Arial"/>
          <w:kern w:val="2"/>
          <w:lang w:val="en-GB"/>
          <w14:ligatures w14:val="standardContextual"/>
        </w:rPr>
        <w:fldChar w:fldCharType="begin"/>
      </w:r>
      <w:r w:rsidRPr="00DE0D93">
        <w:rPr>
          <w:rFonts w:ascii="Arial" w:eastAsia="Calibri" w:hAnsi="Arial" w:cs="Arial"/>
          <w:kern w:val="2"/>
          <w:lang w:val="en-GB"/>
          <w14:ligatures w14:val="standardContextual"/>
        </w:rPr>
        <w:instrText xml:space="preserve"> SEQ Figure \* ARABIC </w:instrText>
      </w:r>
      <w:r w:rsidRPr="00DE0D93">
        <w:rPr>
          <w:rFonts w:ascii="Arial" w:eastAsia="Calibri" w:hAnsi="Arial" w:cs="Arial"/>
          <w:kern w:val="2"/>
          <w:lang w:val="en-GB"/>
          <w14:ligatures w14:val="standardContextual"/>
        </w:rPr>
        <w:fldChar w:fldCharType="separate"/>
      </w:r>
      <w:r w:rsidRPr="00DE0D93">
        <w:rPr>
          <w:rFonts w:ascii="Arial" w:eastAsia="Calibri" w:hAnsi="Arial" w:cs="Arial"/>
          <w:kern w:val="2"/>
          <w:lang w:val="en-GB"/>
          <w14:ligatures w14:val="standardContextual"/>
        </w:rPr>
        <w:t>4</w:t>
      </w:r>
      <w:r w:rsidRPr="00DE0D93">
        <w:rPr>
          <w:rFonts w:ascii="Arial" w:eastAsia="Calibri" w:hAnsi="Arial" w:cs="Arial"/>
          <w:kern w:val="2"/>
          <w:lang w:val="en-GB"/>
          <w14:ligatures w14:val="standardContextual"/>
        </w:rPr>
        <w:fldChar w:fldCharType="end"/>
      </w:r>
      <w:r w:rsidRPr="00DE0D93">
        <w:rPr>
          <w:rFonts w:ascii="Arial" w:eastAsia="Calibri" w:hAnsi="Arial" w:cs="Arial"/>
          <w:kern w:val="2"/>
          <w:lang w:val="en-GB"/>
          <w14:ligatures w14:val="standardContextual"/>
        </w:rPr>
        <w:t>.Physical element causing current dam safety issues.</w:t>
      </w:r>
    </w:p>
    <w:p w14:paraId="1CCAFDCA" w14:textId="77777777" w:rsidR="00235DA9" w:rsidRPr="00DE0D93" w:rsidRDefault="00235DA9" w:rsidP="00235DA9">
      <w:pPr>
        <w:spacing w:line="276" w:lineRule="auto"/>
        <w:jc w:val="both"/>
        <w:rPr>
          <w:rFonts w:ascii="Arial" w:eastAsia="Calibri" w:hAnsi="Arial" w:cs="Arial"/>
          <w:kern w:val="2"/>
          <w:lang w:val="en-GB"/>
          <w14:ligatures w14:val="standardContextual"/>
        </w:rPr>
      </w:pPr>
    </w:p>
    <w:p w14:paraId="62622F1C" w14:textId="0DED66B4" w:rsidR="00235DA9" w:rsidRDefault="00235DA9" w:rsidP="00235DA9">
      <w:pPr>
        <w:spacing w:line="276" w:lineRule="auto"/>
        <w:rPr>
          <w:rFonts w:ascii="Arial" w:eastAsia="Calibri" w:hAnsi="Arial" w:cs="Arial"/>
          <w:kern w:val="2"/>
          <w:lang w:val="en-GB"/>
          <w14:ligatures w14:val="standardContextual"/>
        </w:rPr>
      </w:pPr>
      <w:r w:rsidRPr="00E0659C">
        <w:rPr>
          <w:rFonts w:ascii="Arial" w:eastAsia="Calibri" w:hAnsi="Arial" w:cs="Arial"/>
          <w:kern w:val="2"/>
          <w:lang w:val="en-GB"/>
          <w14:ligatures w14:val="standardContextual"/>
        </w:rPr>
        <w:t xml:space="preserve">Physical element causing current dam safety </w:t>
      </w:r>
      <w:r w:rsidRPr="001052B8">
        <w:rPr>
          <w:rFonts w:ascii="Arial" w:eastAsia="Calibri" w:hAnsi="Arial" w:cs="Arial"/>
          <w:kern w:val="2"/>
          <w:lang w:val="en-GB"/>
          <w14:ligatures w14:val="standardContextual"/>
        </w:rPr>
        <w:t>issues</w:t>
      </w:r>
      <w:r w:rsidRPr="00D62A3B">
        <w:rPr>
          <w:rFonts w:ascii="Arial" w:eastAsia="Calibri" w:hAnsi="Arial" w:cs="Arial"/>
          <w:kern w:val="2"/>
          <w:lang w:val="en-GB"/>
          <w14:ligatures w14:val="standardContextual"/>
        </w:rPr>
        <w:t xml:space="preserve"> From the field interview of the experience of the respondents, it was observed that dam impairment downstream 100% agreed is the major causing present dam issues today </w:t>
      </w:r>
      <w:r w:rsidRPr="00D62A3B">
        <w:rPr>
          <w:rFonts w:ascii="Arial" w:eastAsia="Calibri" w:hAnsi="Arial" w:cs="Arial"/>
          <w:kern w:val="2"/>
          <w:lang w:val="en-GB"/>
          <w14:ligatures w14:val="standardContextual"/>
        </w:rPr>
        <w:lastRenderedPageBreak/>
        <w:t xml:space="preserve">due to poor maintenance and repairing of the downstream infrastructure, while 93.3% of dam safety issues are caused by high rainfall occurrence due to climate change, 86.7% of the damage were noticed to be caused by flooding caused by the occurrences of high rainfall in upstream along the mount </w:t>
      </w:r>
      <w:proofErr w:type="spellStart"/>
      <w:r w:rsidRPr="00D62A3B">
        <w:rPr>
          <w:rFonts w:ascii="Arial" w:eastAsia="Calibri" w:hAnsi="Arial" w:cs="Arial"/>
          <w:kern w:val="2"/>
          <w:lang w:val="en-GB"/>
          <w14:ligatures w14:val="standardContextual"/>
        </w:rPr>
        <w:t>Uluguru</w:t>
      </w:r>
      <w:proofErr w:type="spellEnd"/>
      <w:r w:rsidRPr="00D62A3B">
        <w:rPr>
          <w:rFonts w:ascii="Arial" w:eastAsia="Calibri" w:hAnsi="Arial" w:cs="Arial"/>
          <w:kern w:val="2"/>
          <w:lang w:val="en-GB"/>
          <w14:ligatures w14:val="standardContextual"/>
        </w:rPr>
        <w:t xml:space="preserve">. Soil and landslide occurrence along the upstream </w:t>
      </w:r>
      <w:proofErr w:type="gramStart"/>
      <w:r w:rsidRPr="00D62A3B">
        <w:rPr>
          <w:rFonts w:ascii="Arial" w:eastAsia="Calibri" w:hAnsi="Arial" w:cs="Arial"/>
          <w:kern w:val="2"/>
          <w:lang w:val="en-GB"/>
          <w14:ligatures w14:val="standardContextual"/>
        </w:rPr>
        <w:t>was</w:t>
      </w:r>
      <w:proofErr w:type="gramEnd"/>
      <w:r w:rsidRPr="00D62A3B">
        <w:rPr>
          <w:rFonts w:ascii="Arial" w:eastAsia="Calibri" w:hAnsi="Arial" w:cs="Arial"/>
          <w:kern w:val="2"/>
          <w:lang w:val="en-GB"/>
          <w14:ligatures w14:val="standardContextual"/>
        </w:rPr>
        <w:t xml:space="preserve"> agreed by 66.7% of the respondents to another cause of dam damage.</w:t>
      </w:r>
    </w:p>
    <w:p w14:paraId="31BAB298" w14:textId="53327847" w:rsidR="00235DA9" w:rsidRDefault="00235DA9" w:rsidP="00235DA9">
      <w:pPr>
        <w:spacing w:after="200" w:line="276" w:lineRule="auto"/>
        <w:jc w:val="both"/>
        <w:rPr>
          <w:rFonts w:ascii="Arial" w:eastAsia="Calibri" w:hAnsi="Arial" w:cs="Arial"/>
          <w:kern w:val="2"/>
          <w14:ligatures w14:val="standardContextual"/>
        </w:rPr>
      </w:pPr>
    </w:p>
    <w:tbl>
      <w:tblPr>
        <w:tblStyle w:val="TableGrid"/>
        <w:tblpPr w:leftFromText="180" w:rightFromText="180" w:vertAnchor="text" w:horzAnchor="margin" w:tblpY="725"/>
        <w:tblW w:w="0" w:type="auto"/>
        <w:tblLook w:val="04A0" w:firstRow="1" w:lastRow="0" w:firstColumn="1" w:lastColumn="0" w:noHBand="0" w:noVBand="1"/>
      </w:tblPr>
      <w:tblGrid>
        <w:gridCol w:w="3441"/>
        <w:gridCol w:w="3212"/>
        <w:gridCol w:w="2707"/>
      </w:tblGrid>
      <w:tr w:rsidR="00235DA9" w:rsidRPr="00D62A3B" w14:paraId="1BAB6613" w14:textId="77777777" w:rsidTr="00AB7E50">
        <w:tc>
          <w:tcPr>
            <w:tcW w:w="3441" w:type="dxa"/>
          </w:tcPr>
          <w:p w14:paraId="436FAB7A"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Element</w:t>
            </w:r>
          </w:p>
        </w:tc>
        <w:tc>
          <w:tcPr>
            <w:tcW w:w="3212" w:type="dxa"/>
          </w:tcPr>
          <w:p w14:paraId="2E124F8C" w14:textId="77777777" w:rsidR="00235DA9" w:rsidRPr="00D62A3B" w:rsidRDefault="00235DA9" w:rsidP="00AB7E50">
            <w:pPr>
              <w:spacing w:line="276" w:lineRule="auto"/>
              <w:jc w:val="both"/>
              <w:rPr>
                <w:rFonts w:ascii="Arial" w:hAnsi="Arial" w:cs="Arial"/>
                <w:kern w:val="2"/>
                <w14:ligatures w14:val="standardContextual"/>
              </w:rPr>
            </w:pPr>
            <w:proofErr w:type="spellStart"/>
            <w:proofErr w:type="gramStart"/>
            <w:r w:rsidRPr="00D62A3B">
              <w:rPr>
                <w:rFonts w:ascii="Arial" w:hAnsi="Arial" w:cs="Arial"/>
                <w:kern w:val="2"/>
                <w:lang w:val="en-GB"/>
                <w14:ligatures w14:val="standardContextual"/>
              </w:rPr>
              <w:t>No.of</w:t>
            </w:r>
            <w:proofErr w:type="spellEnd"/>
            <w:proofErr w:type="gramEnd"/>
            <w:r w:rsidRPr="00D62A3B">
              <w:rPr>
                <w:rFonts w:ascii="Arial" w:hAnsi="Arial" w:cs="Arial"/>
                <w:kern w:val="2"/>
                <w:lang w:val="en-GB"/>
                <w14:ligatures w14:val="standardContextual"/>
              </w:rPr>
              <w:t xml:space="preserve"> key participants(n=30)</w:t>
            </w:r>
          </w:p>
        </w:tc>
        <w:tc>
          <w:tcPr>
            <w:tcW w:w="2707" w:type="dxa"/>
          </w:tcPr>
          <w:p w14:paraId="0F827ABD"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Percentile (%)</w:t>
            </w:r>
          </w:p>
        </w:tc>
      </w:tr>
      <w:tr w:rsidR="00235DA9" w:rsidRPr="00D62A3B" w14:paraId="5669D2E7" w14:textId="77777777" w:rsidTr="00AB7E50">
        <w:tc>
          <w:tcPr>
            <w:tcW w:w="3441" w:type="dxa"/>
          </w:tcPr>
          <w:p w14:paraId="1977B056"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Insufficient risk-based assessment of dam safety</w:t>
            </w:r>
          </w:p>
        </w:tc>
        <w:tc>
          <w:tcPr>
            <w:tcW w:w="3212" w:type="dxa"/>
          </w:tcPr>
          <w:p w14:paraId="1FB48705"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25</w:t>
            </w:r>
          </w:p>
        </w:tc>
        <w:tc>
          <w:tcPr>
            <w:tcW w:w="2707" w:type="dxa"/>
          </w:tcPr>
          <w:p w14:paraId="6BAC91FF"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83.3</w:t>
            </w:r>
          </w:p>
        </w:tc>
      </w:tr>
      <w:tr w:rsidR="00235DA9" w:rsidRPr="00D62A3B" w14:paraId="7F210108" w14:textId="77777777" w:rsidTr="00AB7E50">
        <w:tc>
          <w:tcPr>
            <w:tcW w:w="3441" w:type="dxa"/>
          </w:tcPr>
          <w:p w14:paraId="34CCDE15"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Local management of dam safety is deficient</w:t>
            </w:r>
          </w:p>
        </w:tc>
        <w:tc>
          <w:tcPr>
            <w:tcW w:w="3212" w:type="dxa"/>
          </w:tcPr>
          <w:p w14:paraId="32709044"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30</w:t>
            </w:r>
          </w:p>
        </w:tc>
        <w:tc>
          <w:tcPr>
            <w:tcW w:w="2707" w:type="dxa"/>
          </w:tcPr>
          <w:p w14:paraId="235B42DE"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100.0</w:t>
            </w:r>
          </w:p>
        </w:tc>
      </w:tr>
      <w:tr w:rsidR="00235DA9" w:rsidRPr="00D62A3B" w14:paraId="14F2AF26" w14:textId="77777777" w:rsidTr="00AB7E50">
        <w:tc>
          <w:tcPr>
            <w:tcW w:w="3441" w:type="dxa"/>
          </w:tcPr>
          <w:p w14:paraId="30318D90"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Absence of centrally located dam governance</w:t>
            </w:r>
          </w:p>
        </w:tc>
        <w:tc>
          <w:tcPr>
            <w:tcW w:w="3212" w:type="dxa"/>
          </w:tcPr>
          <w:p w14:paraId="78109850"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20</w:t>
            </w:r>
          </w:p>
        </w:tc>
        <w:tc>
          <w:tcPr>
            <w:tcW w:w="2707" w:type="dxa"/>
          </w:tcPr>
          <w:p w14:paraId="2FB02E73"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66.7</w:t>
            </w:r>
          </w:p>
        </w:tc>
      </w:tr>
      <w:tr w:rsidR="00235DA9" w:rsidRPr="00D62A3B" w14:paraId="26796C79" w14:textId="77777777" w:rsidTr="00AB7E50">
        <w:tc>
          <w:tcPr>
            <w:tcW w:w="3441" w:type="dxa"/>
          </w:tcPr>
          <w:p w14:paraId="3D35EF37"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Lack of accountability</w:t>
            </w:r>
          </w:p>
        </w:tc>
        <w:tc>
          <w:tcPr>
            <w:tcW w:w="3212" w:type="dxa"/>
          </w:tcPr>
          <w:p w14:paraId="5926E37A"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24</w:t>
            </w:r>
          </w:p>
        </w:tc>
        <w:tc>
          <w:tcPr>
            <w:tcW w:w="2707" w:type="dxa"/>
          </w:tcPr>
          <w:p w14:paraId="43F198A3"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80.0</w:t>
            </w:r>
          </w:p>
        </w:tc>
      </w:tr>
      <w:tr w:rsidR="00235DA9" w:rsidRPr="00D62A3B" w14:paraId="3893079E" w14:textId="77777777" w:rsidTr="00AB7E50">
        <w:tc>
          <w:tcPr>
            <w:tcW w:w="3441" w:type="dxa"/>
          </w:tcPr>
          <w:p w14:paraId="1B432DD5"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The value of life is deemed low</w:t>
            </w:r>
          </w:p>
        </w:tc>
        <w:tc>
          <w:tcPr>
            <w:tcW w:w="3212" w:type="dxa"/>
          </w:tcPr>
          <w:p w14:paraId="7B420FFA"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18</w:t>
            </w:r>
          </w:p>
        </w:tc>
        <w:tc>
          <w:tcPr>
            <w:tcW w:w="2707" w:type="dxa"/>
          </w:tcPr>
          <w:p w14:paraId="306BF497" w14:textId="77777777" w:rsidR="00235DA9" w:rsidRPr="00D62A3B" w:rsidRDefault="00235DA9" w:rsidP="00AB7E50">
            <w:pPr>
              <w:spacing w:line="276" w:lineRule="auto"/>
              <w:jc w:val="both"/>
              <w:rPr>
                <w:rFonts w:ascii="Arial" w:hAnsi="Arial" w:cs="Arial"/>
                <w:kern w:val="2"/>
                <w14:ligatures w14:val="standardContextual"/>
              </w:rPr>
            </w:pPr>
            <w:r w:rsidRPr="00D62A3B">
              <w:rPr>
                <w:rFonts w:ascii="Arial" w:hAnsi="Arial" w:cs="Arial"/>
                <w:kern w:val="2"/>
                <w14:ligatures w14:val="standardContextual"/>
              </w:rPr>
              <w:t>18.0</w:t>
            </w:r>
          </w:p>
        </w:tc>
      </w:tr>
    </w:tbl>
    <w:p w14:paraId="589D6F47" w14:textId="76FC67AF" w:rsidR="003941BF" w:rsidRDefault="003941BF" w:rsidP="003941BF">
      <w:pPr>
        <w:spacing w:after="200" w:line="276" w:lineRule="auto"/>
        <w:jc w:val="both"/>
        <w:rPr>
          <w:rFonts w:ascii="Arial" w:eastAsia="Calibri" w:hAnsi="Arial" w:cs="Arial"/>
          <w:kern w:val="2"/>
          <w14:ligatures w14:val="standardContextual"/>
        </w:rPr>
      </w:pPr>
      <w:r w:rsidRPr="00D62A3B">
        <w:rPr>
          <w:rFonts w:ascii="Arial" w:eastAsia="Calibri" w:hAnsi="Arial" w:cs="Arial"/>
          <w:kern w:val="2"/>
          <w14:ligatures w14:val="standardContextual"/>
        </w:rPr>
        <w:t xml:space="preserve">Table </w:t>
      </w:r>
      <w:r w:rsidR="00235DA9">
        <w:rPr>
          <w:rFonts w:ascii="Arial" w:eastAsia="Calibri" w:hAnsi="Arial" w:cs="Arial"/>
          <w:kern w:val="2"/>
          <w14:ligatures w14:val="standardContextual"/>
        </w:rPr>
        <w:t>8</w:t>
      </w:r>
      <w:r w:rsidRPr="00D62A3B">
        <w:rPr>
          <w:rFonts w:ascii="Arial" w:eastAsia="Calibri" w:hAnsi="Arial" w:cs="Arial"/>
          <w:kern w:val="2"/>
          <w14:ligatures w14:val="standardContextual"/>
        </w:rPr>
        <w:t>.</w:t>
      </w:r>
      <w:r w:rsidR="00AB7E50">
        <w:rPr>
          <w:rFonts w:ascii="Arial" w:eastAsia="Calibri" w:hAnsi="Arial" w:cs="Arial"/>
          <w:kern w:val="2"/>
          <w14:ligatures w14:val="standardContextual"/>
        </w:rPr>
        <w:t xml:space="preserve"> </w:t>
      </w:r>
      <w:proofErr w:type="gramStart"/>
      <w:r w:rsidRPr="00D62A3B">
        <w:rPr>
          <w:rFonts w:ascii="Arial" w:eastAsia="Calibri" w:hAnsi="Arial" w:cs="Arial"/>
          <w:kern w:val="2"/>
          <w14:ligatures w14:val="standardContextual"/>
        </w:rPr>
        <w:t>Examined</w:t>
      </w:r>
      <w:proofErr w:type="gramEnd"/>
      <w:r w:rsidRPr="00D62A3B">
        <w:rPr>
          <w:rFonts w:ascii="Arial" w:eastAsia="Calibri" w:hAnsi="Arial" w:cs="Arial"/>
          <w:kern w:val="2"/>
          <w14:ligatures w14:val="standardContextual"/>
        </w:rPr>
        <w:t xml:space="preserve"> human elements contributing to the current challenges in dam safety</w:t>
      </w:r>
    </w:p>
    <w:p w14:paraId="523D1C60" w14:textId="77777777" w:rsidR="00235DA9" w:rsidRDefault="00235DA9" w:rsidP="003941BF">
      <w:pPr>
        <w:spacing w:after="200" w:line="276" w:lineRule="auto"/>
        <w:jc w:val="both"/>
        <w:rPr>
          <w:rFonts w:ascii="Arial" w:eastAsia="Calibri" w:hAnsi="Arial" w:cs="Arial"/>
          <w:kern w:val="2"/>
          <w14:ligatures w14:val="standardContextual"/>
        </w:rPr>
      </w:pPr>
    </w:p>
    <w:p w14:paraId="0D766DE3" w14:textId="77777777" w:rsidR="00235DA9" w:rsidRDefault="00235DA9" w:rsidP="003941BF">
      <w:pPr>
        <w:spacing w:after="200" w:line="276" w:lineRule="auto"/>
        <w:jc w:val="both"/>
        <w:rPr>
          <w:rFonts w:ascii="Arial" w:eastAsia="Calibri" w:hAnsi="Arial" w:cs="Arial"/>
          <w:kern w:val="2"/>
          <w14:ligatures w14:val="standardContextual"/>
        </w:rPr>
      </w:pPr>
    </w:p>
    <w:p w14:paraId="13625D3B" w14:textId="77777777" w:rsidR="00235DA9" w:rsidRDefault="00235DA9" w:rsidP="003941BF">
      <w:pPr>
        <w:spacing w:after="200" w:line="276" w:lineRule="auto"/>
        <w:jc w:val="both"/>
        <w:rPr>
          <w:rFonts w:ascii="Arial" w:eastAsia="Calibri" w:hAnsi="Arial" w:cs="Arial"/>
          <w:kern w:val="2"/>
          <w14:ligatures w14:val="standardContextual"/>
        </w:rPr>
      </w:pPr>
    </w:p>
    <w:p w14:paraId="3F9F6A03" w14:textId="77777777" w:rsidR="00235DA9" w:rsidRDefault="00235DA9" w:rsidP="003941BF">
      <w:pPr>
        <w:spacing w:after="200" w:line="276" w:lineRule="auto"/>
        <w:jc w:val="both"/>
        <w:rPr>
          <w:rFonts w:ascii="Arial" w:eastAsia="Calibri" w:hAnsi="Arial" w:cs="Arial"/>
          <w:kern w:val="2"/>
          <w14:ligatures w14:val="standardContextual"/>
        </w:rPr>
      </w:pPr>
    </w:p>
    <w:p w14:paraId="61B2DD2A" w14:textId="77777777" w:rsidR="00235DA9" w:rsidRDefault="00235DA9" w:rsidP="003941BF">
      <w:pPr>
        <w:spacing w:after="200" w:line="276" w:lineRule="auto"/>
        <w:jc w:val="both"/>
        <w:rPr>
          <w:rFonts w:ascii="Arial" w:eastAsia="Calibri" w:hAnsi="Arial" w:cs="Arial"/>
          <w:kern w:val="2"/>
          <w14:ligatures w14:val="standardContextual"/>
        </w:rPr>
      </w:pPr>
    </w:p>
    <w:p w14:paraId="25DB7990" w14:textId="77777777" w:rsidR="00235DA9" w:rsidRDefault="00235DA9" w:rsidP="003941BF">
      <w:pPr>
        <w:spacing w:after="200" w:line="276" w:lineRule="auto"/>
        <w:jc w:val="both"/>
        <w:rPr>
          <w:rFonts w:ascii="Arial" w:eastAsia="Calibri" w:hAnsi="Arial" w:cs="Arial"/>
          <w:kern w:val="2"/>
          <w14:ligatures w14:val="standardContextual"/>
        </w:rPr>
      </w:pPr>
    </w:p>
    <w:p w14:paraId="6FD352F7" w14:textId="77777777" w:rsidR="00235DA9" w:rsidRDefault="00235DA9" w:rsidP="003941BF">
      <w:pPr>
        <w:spacing w:after="200" w:line="276" w:lineRule="auto"/>
        <w:jc w:val="both"/>
        <w:rPr>
          <w:rFonts w:ascii="Arial" w:eastAsia="Calibri" w:hAnsi="Arial" w:cs="Arial"/>
          <w:kern w:val="2"/>
          <w14:ligatures w14:val="standardContextual"/>
        </w:rPr>
      </w:pPr>
    </w:p>
    <w:p w14:paraId="0759B72D" w14:textId="230CD44D" w:rsidR="00E8111D" w:rsidRDefault="00235DA9" w:rsidP="003941BF">
      <w:pPr>
        <w:spacing w:after="200" w:line="276" w:lineRule="auto"/>
        <w:jc w:val="both"/>
        <w:rPr>
          <w:rFonts w:ascii="Arial" w:eastAsia="Calibri" w:hAnsi="Arial" w:cs="Arial"/>
          <w:kern w:val="2"/>
          <w14:ligatures w14:val="standardContextual"/>
        </w:rPr>
      </w:pPr>
      <w:r>
        <w:rPr>
          <w:rFonts w:ascii="Arial" w:eastAsia="Calibri" w:hAnsi="Arial" w:cs="Arial"/>
          <w:noProof/>
          <w:kern w:val="2"/>
        </w:rPr>
        <w:drawing>
          <wp:inline distT="0" distB="0" distL="0" distR="0" wp14:anchorId="3E3960EB" wp14:editId="184A8677">
            <wp:extent cx="5747385" cy="3295478"/>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or affecting dam.png"/>
                    <pic:cNvPicPr/>
                  </pic:nvPicPr>
                  <pic:blipFill rotWithShape="1">
                    <a:blip r:embed="rId18">
                      <a:extLst>
                        <a:ext uri="{28A0092B-C50C-407E-A947-70E740481C1C}">
                          <a14:useLocalDpi xmlns:a14="http://schemas.microsoft.com/office/drawing/2010/main" val="0"/>
                        </a:ext>
                      </a:extLst>
                    </a:blip>
                    <a:srcRect t="9897"/>
                    <a:stretch/>
                  </pic:blipFill>
                  <pic:spPr bwMode="auto">
                    <a:xfrm>
                      <a:off x="0" y="0"/>
                      <a:ext cx="5768105" cy="3307359"/>
                    </a:xfrm>
                    <a:prstGeom prst="rect">
                      <a:avLst/>
                    </a:prstGeom>
                    <a:ln>
                      <a:noFill/>
                    </a:ln>
                    <a:extLst>
                      <a:ext uri="{53640926-AAD7-44D8-BBD7-CCE9431645EC}">
                        <a14:shadowObscured xmlns:a14="http://schemas.microsoft.com/office/drawing/2010/main"/>
                      </a:ext>
                    </a:extLst>
                  </pic:spPr>
                </pic:pic>
              </a:graphicData>
            </a:graphic>
          </wp:inline>
        </w:drawing>
      </w:r>
    </w:p>
    <w:p w14:paraId="7B5DC52C" w14:textId="77777777" w:rsidR="00235DA9" w:rsidRDefault="00235DA9" w:rsidP="00235DA9">
      <w:pPr>
        <w:spacing w:after="200" w:line="276" w:lineRule="auto"/>
        <w:jc w:val="both"/>
        <w:rPr>
          <w:rFonts w:ascii="Arial" w:eastAsia="Calibri" w:hAnsi="Arial" w:cs="Arial"/>
          <w:kern w:val="2"/>
          <w14:ligatures w14:val="standardContextual"/>
        </w:rPr>
      </w:pPr>
      <w:r w:rsidRPr="00727AC6">
        <w:rPr>
          <w:rFonts w:ascii="Arial" w:eastAsia="Calibri" w:hAnsi="Arial" w:cs="Arial"/>
          <w:kern w:val="2"/>
          <w14:ligatures w14:val="standardContextual"/>
        </w:rPr>
        <w:t xml:space="preserve">Figure </w:t>
      </w:r>
      <w:r w:rsidRPr="00727AC6">
        <w:rPr>
          <w:rFonts w:ascii="Arial" w:eastAsia="Calibri" w:hAnsi="Arial" w:cs="Arial"/>
          <w:kern w:val="2"/>
          <w14:ligatures w14:val="standardContextual"/>
        </w:rPr>
        <w:fldChar w:fldCharType="begin"/>
      </w:r>
      <w:r w:rsidRPr="00727AC6">
        <w:rPr>
          <w:rFonts w:ascii="Arial" w:eastAsia="Calibri" w:hAnsi="Arial" w:cs="Arial"/>
          <w:kern w:val="2"/>
          <w14:ligatures w14:val="standardContextual"/>
        </w:rPr>
        <w:instrText xml:space="preserve"> SEQ Figure \* ARABIC </w:instrText>
      </w:r>
      <w:r w:rsidRPr="00727AC6">
        <w:rPr>
          <w:rFonts w:ascii="Arial" w:eastAsia="Calibri" w:hAnsi="Arial" w:cs="Arial"/>
          <w:kern w:val="2"/>
          <w14:ligatures w14:val="standardContextual"/>
        </w:rPr>
        <w:fldChar w:fldCharType="separate"/>
      </w:r>
      <w:r w:rsidRPr="00727AC6">
        <w:rPr>
          <w:rFonts w:ascii="Arial" w:eastAsia="Calibri" w:hAnsi="Arial" w:cs="Arial"/>
          <w:kern w:val="2"/>
          <w14:ligatures w14:val="standardContextual"/>
        </w:rPr>
        <w:t>5</w:t>
      </w:r>
      <w:r w:rsidRPr="00727AC6">
        <w:rPr>
          <w:rFonts w:ascii="Arial" w:eastAsia="Calibri" w:hAnsi="Arial" w:cs="Arial"/>
          <w:kern w:val="2"/>
          <w14:ligatures w14:val="standardContextual"/>
        </w:rPr>
        <w:fldChar w:fldCharType="end"/>
      </w:r>
      <w:r w:rsidRPr="00727AC6">
        <w:rPr>
          <w:rFonts w:ascii="Arial" w:eastAsia="Calibri" w:hAnsi="Arial" w:cs="Arial"/>
          <w:kern w:val="2"/>
          <w14:ligatures w14:val="standardContextual"/>
        </w:rPr>
        <w:t>.Factor contributing the current challenges the dam safety</w:t>
      </w:r>
    </w:p>
    <w:p w14:paraId="57621D59" w14:textId="77777777" w:rsidR="00235DA9" w:rsidRDefault="00235DA9" w:rsidP="00235DA9">
      <w:pPr>
        <w:spacing w:after="200"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All 30 participants unanimously agreed that the local management of dam safety is deficient.</w:t>
      </w:r>
      <w:r w:rsidRPr="00D62A3B">
        <w:rPr>
          <w:rFonts w:ascii="Arial" w:hAnsi="Arial" w:cs="Arial"/>
        </w:rPr>
        <w:t xml:space="preserve"> </w:t>
      </w:r>
      <w:r w:rsidRPr="00D62A3B">
        <w:rPr>
          <w:rFonts w:ascii="Arial" w:eastAsia="Calibri" w:hAnsi="Arial" w:cs="Arial"/>
          <w:kern w:val="2"/>
          <w14:ligatures w14:val="standardContextual"/>
        </w:rPr>
        <w:t>This represents 100% agreement among participants, showing a unanimous concern about the competence and effectiveness of local management in ensuring dam safety by the concerned authority. 83.3% of the participants believe that the current methods used to evaluate the safety risks of dams are inadequate.</w:t>
      </w:r>
      <w:r w:rsidRPr="00D62A3B">
        <w:rPr>
          <w:rFonts w:ascii="Arial" w:hAnsi="Arial" w:cs="Arial"/>
        </w:rPr>
        <w:t xml:space="preserve"> While </w:t>
      </w:r>
      <w:r w:rsidRPr="00D62A3B">
        <w:rPr>
          <w:rFonts w:ascii="Arial" w:eastAsia="Calibri" w:hAnsi="Arial" w:cs="Arial"/>
          <w:kern w:val="2"/>
          <w14:ligatures w14:val="standardContextual"/>
        </w:rPr>
        <w:t>66.7% of the participants see the lack of a central authority as a significant issue in managing dam safety effectively. In addition, 18% agreement among participants, suggests that a minority perceives a disregard for human life in dam safety considerations.</w:t>
      </w:r>
    </w:p>
    <w:p w14:paraId="4ED9F1F8" w14:textId="45727441" w:rsidR="00DE3490" w:rsidRPr="003E2E67" w:rsidRDefault="00DE3490" w:rsidP="00DE3490">
      <w:pPr>
        <w:spacing w:line="276" w:lineRule="auto"/>
        <w:jc w:val="both"/>
        <w:rPr>
          <w:rFonts w:ascii="Arial" w:eastAsia="Calibri" w:hAnsi="Arial" w:cs="Arial"/>
          <w:kern w:val="2"/>
          <w:lang w:val="en-GB"/>
          <w14:ligatures w14:val="standardContextual"/>
        </w:rPr>
      </w:pPr>
      <w:r w:rsidRPr="003E2E67">
        <w:rPr>
          <w:rFonts w:ascii="Arial" w:eastAsia="Calibri" w:hAnsi="Arial" w:cs="Arial"/>
          <w:kern w:val="2"/>
          <w:lang w:val="en-GB"/>
          <w14:ligatures w14:val="standardContextual"/>
        </w:rPr>
        <w:lastRenderedPageBreak/>
        <w:t xml:space="preserve">Table </w:t>
      </w:r>
      <w:proofErr w:type="gramStart"/>
      <w:r>
        <w:rPr>
          <w:rFonts w:ascii="Arial" w:eastAsia="Calibri" w:hAnsi="Arial" w:cs="Arial"/>
          <w:kern w:val="2"/>
          <w:lang w:val="en-GB"/>
          <w14:ligatures w14:val="standardContextual"/>
        </w:rPr>
        <w:t>9</w:t>
      </w:r>
      <w:r w:rsidRPr="003E2E67">
        <w:rPr>
          <w:rFonts w:ascii="Arial" w:eastAsia="Calibri" w:hAnsi="Arial" w:cs="Arial"/>
          <w:kern w:val="2"/>
          <w:lang w:val="en-GB"/>
          <w14:ligatures w14:val="standardContextual"/>
        </w:rPr>
        <w:t>.Key</w:t>
      </w:r>
      <w:proofErr w:type="gramEnd"/>
      <w:r w:rsidRPr="003E2E67">
        <w:rPr>
          <w:rFonts w:ascii="Arial" w:eastAsia="Calibri" w:hAnsi="Arial" w:cs="Arial"/>
          <w:kern w:val="2"/>
          <w:lang w:val="en-GB"/>
          <w14:ligatures w14:val="standardContextual"/>
        </w:rPr>
        <w:t xml:space="preserve"> stakeholders’ shared concerns about the </w:t>
      </w:r>
      <w:proofErr w:type="spellStart"/>
      <w:r w:rsidRPr="003E2E67">
        <w:rPr>
          <w:rFonts w:ascii="Arial" w:eastAsia="Calibri" w:hAnsi="Arial" w:cs="Arial"/>
          <w:kern w:val="2"/>
          <w:lang w:val="en-GB"/>
          <w14:ligatures w14:val="standardContextual"/>
        </w:rPr>
        <w:t>Mindu</w:t>
      </w:r>
      <w:proofErr w:type="spellEnd"/>
      <w:r w:rsidRPr="003E2E67">
        <w:rPr>
          <w:rFonts w:ascii="Arial" w:eastAsia="Calibri" w:hAnsi="Arial" w:cs="Arial"/>
          <w:kern w:val="2"/>
          <w:lang w:val="en-GB"/>
          <w14:ligatures w14:val="standardContextual"/>
        </w:rPr>
        <w:t xml:space="preserve"> dam</w:t>
      </w:r>
    </w:p>
    <w:tbl>
      <w:tblPr>
        <w:tblStyle w:val="TableGrid"/>
        <w:tblW w:w="10268" w:type="dxa"/>
        <w:tblLook w:val="04A0" w:firstRow="1" w:lastRow="0" w:firstColumn="1" w:lastColumn="0" w:noHBand="0" w:noVBand="1"/>
      </w:tblPr>
      <w:tblGrid>
        <w:gridCol w:w="5102"/>
        <w:gridCol w:w="2940"/>
        <w:gridCol w:w="2226"/>
      </w:tblGrid>
      <w:tr w:rsidR="00DE3490" w:rsidRPr="00B337CE" w14:paraId="75E1F5AF" w14:textId="77777777" w:rsidTr="00AB7E50">
        <w:trPr>
          <w:trHeight w:val="774"/>
        </w:trPr>
        <w:tc>
          <w:tcPr>
            <w:tcW w:w="5102" w:type="dxa"/>
          </w:tcPr>
          <w:p w14:paraId="1A24A1B8" w14:textId="53124D31"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Problems associated with the dam</w:t>
            </w:r>
          </w:p>
        </w:tc>
        <w:tc>
          <w:tcPr>
            <w:tcW w:w="2940" w:type="dxa"/>
          </w:tcPr>
          <w:p w14:paraId="0A5CD588" w14:textId="77777777" w:rsidR="00DE3490" w:rsidRPr="00B337CE" w:rsidRDefault="00DE3490" w:rsidP="00AB7E50">
            <w:pPr>
              <w:spacing w:line="276" w:lineRule="auto"/>
              <w:jc w:val="both"/>
              <w:rPr>
                <w:rFonts w:ascii="Arial" w:hAnsi="Arial" w:cs="Arial"/>
                <w:kern w:val="2"/>
                <w14:ligatures w14:val="standardContextual"/>
              </w:rPr>
            </w:pPr>
            <w:proofErr w:type="spellStart"/>
            <w:proofErr w:type="gramStart"/>
            <w:r w:rsidRPr="00B337CE">
              <w:rPr>
                <w:rFonts w:ascii="Arial" w:hAnsi="Arial" w:cs="Arial"/>
                <w:kern w:val="2"/>
                <w14:ligatures w14:val="standardContextual"/>
              </w:rPr>
              <w:t>No.of</w:t>
            </w:r>
            <w:proofErr w:type="spellEnd"/>
            <w:proofErr w:type="gramEnd"/>
            <w:r w:rsidRPr="00B337CE">
              <w:rPr>
                <w:rFonts w:ascii="Arial" w:hAnsi="Arial" w:cs="Arial"/>
                <w:kern w:val="2"/>
                <w14:ligatures w14:val="standardContextual"/>
              </w:rPr>
              <w:t xml:space="preserve"> key participants (n=30)</w:t>
            </w:r>
          </w:p>
        </w:tc>
        <w:tc>
          <w:tcPr>
            <w:tcW w:w="2226" w:type="dxa"/>
          </w:tcPr>
          <w:p w14:paraId="26787309" w14:textId="77777777" w:rsidR="00DE3490" w:rsidRPr="00B337CE" w:rsidRDefault="00DE3490" w:rsidP="00AB7E50">
            <w:pPr>
              <w:spacing w:line="276" w:lineRule="auto"/>
              <w:jc w:val="both"/>
              <w:rPr>
                <w:rFonts w:ascii="Arial" w:hAnsi="Arial" w:cs="Arial"/>
                <w:b/>
                <w:kern w:val="2"/>
                <w14:ligatures w14:val="standardContextual"/>
              </w:rPr>
            </w:pPr>
            <w:r w:rsidRPr="00B337CE">
              <w:rPr>
                <w:rFonts w:ascii="Arial" w:hAnsi="Arial" w:cs="Arial"/>
                <w:b/>
                <w:kern w:val="2"/>
                <w14:ligatures w14:val="standardContextual"/>
              </w:rPr>
              <w:t>Percentile (%)</w:t>
            </w:r>
          </w:p>
        </w:tc>
      </w:tr>
      <w:tr w:rsidR="00DE3490" w:rsidRPr="00B337CE" w14:paraId="222A6AA0" w14:textId="77777777" w:rsidTr="00AB7E50">
        <w:trPr>
          <w:trHeight w:val="377"/>
        </w:trPr>
        <w:tc>
          <w:tcPr>
            <w:tcW w:w="5102" w:type="dxa"/>
          </w:tcPr>
          <w:p w14:paraId="789B3D79"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Water seepage</w:t>
            </w:r>
          </w:p>
        </w:tc>
        <w:tc>
          <w:tcPr>
            <w:tcW w:w="2940" w:type="dxa"/>
          </w:tcPr>
          <w:p w14:paraId="76923162"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15</w:t>
            </w:r>
          </w:p>
        </w:tc>
        <w:tc>
          <w:tcPr>
            <w:tcW w:w="2226" w:type="dxa"/>
          </w:tcPr>
          <w:p w14:paraId="617D6221"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50.0</w:t>
            </w:r>
          </w:p>
        </w:tc>
      </w:tr>
      <w:tr w:rsidR="00DE3490" w:rsidRPr="00B337CE" w14:paraId="409F9464" w14:textId="77777777" w:rsidTr="00AB7E50">
        <w:trPr>
          <w:trHeight w:val="377"/>
        </w:trPr>
        <w:tc>
          <w:tcPr>
            <w:tcW w:w="5102" w:type="dxa"/>
          </w:tcPr>
          <w:p w14:paraId="50493F69"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Soil Erosion</w:t>
            </w:r>
          </w:p>
        </w:tc>
        <w:tc>
          <w:tcPr>
            <w:tcW w:w="2940" w:type="dxa"/>
          </w:tcPr>
          <w:p w14:paraId="25127D55"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28</w:t>
            </w:r>
          </w:p>
        </w:tc>
        <w:tc>
          <w:tcPr>
            <w:tcW w:w="2226" w:type="dxa"/>
          </w:tcPr>
          <w:p w14:paraId="515EE5B8"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93.3</w:t>
            </w:r>
          </w:p>
        </w:tc>
      </w:tr>
      <w:tr w:rsidR="00DE3490" w:rsidRPr="00B337CE" w14:paraId="5A8D21D0" w14:textId="77777777" w:rsidTr="00AB7E50">
        <w:trPr>
          <w:trHeight w:val="377"/>
        </w:trPr>
        <w:tc>
          <w:tcPr>
            <w:tcW w:w="5102" w:type="dxa"/>
          </w:tcPr>
          <w:p w14:paraId="450CA448"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Breaking</w:t>
            </w:r>
          </w:p>
        </w:tc>
        <w:tc>
          <w:tcPr>
            <w:tcW w:w="2940" w:type="dxa"/>
          </w:tcPr>
          <w:p w14:paraId="110743D6"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20</w:t>
            </w:r>
          </w:p>
        </w:tc>
        <w:tc>
          <w:tcPr>
            <w:tcW w:w="2226" w:type="dxa"/>
          </w:tcPr>
          <w:p w14:paraId="5EC22EE0"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66.7</w:t>
            </w:r>
          </w:p>
        </w:tc>
      </w:tr>
      <w:tr w:rsidR="00DE3490" w:rsidRPr="00B337CE" w14:paraId="7553287F" w14:textId="77777777" w:rsidTr="00AB7E50">
        <w:trPr>
          <w:trHeight w:val="377"/>
        </w:trPr>
        <w:tc>
          <w:tcPr>
            <w:tcW w:w="5102" w:type="dxa"/>
          </w:tcPr>
          <w:p w14:paraId="73570B9D" w14:textId="005AEF3A"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 xml:space="preserve">Incapacity due to sedimentation and/or losses </w:t>
            </w:r>
          </w:p>
        </w:tc>
        <w:tc>
          <w:tcPr>
            <w:tcW w:w="2940" w:type="dxa"/>
          </w:tcPr>
          <w:p w14:paraId="6D658B2E"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30</w:t>
            </w:r>
          </w:p>
        </w:tc>
        <w:tc>
          <w:tcPr>
            <w:tcW w:w="2226" w:type="dxa"/>
          </w:tcPr>
          <w:p w14:paraId="6B995B5E"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100.0</w:t>
            </w:r>
          </w:p>
        </w:tc>
      </w:tr>
      <w:tr w:rsidR="00DE3490" w:rsidRPr="00B337CE" w14:paraId="2D7312C4" w14:textId="77777777" w:rsidTr="00AB7E50">
        <w:trPr>
          <w:trHeight w:val="377"/>
        </w:trPr>
        <w:tc>
          <w:tcPr>
            <w:tcW w:w="5102" w:type="dxa"/>
          </w:tcPr>
          <w:p w14:paraId="12457A03"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blocked exit</w:t>
            </w:r>
          </w:p>
        </w:tc>
        <w:tc>
          <w:tcPr>
            <w:tcW w:w="2940" w:type="dxa"/>
          </w:tcPr>
          <w:p w14:paraId="0E6691E5"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15</w:t>
            </w:r>
          </w:p>
        </w:tc>
        <w:tc>
          <w:tcPr>
            <w:tcW w:w="2226" w:type="dxa"/>
          </w:tcPr>
          <w:p w14:paraId="0FF7B8A4"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50.0</w:t>
            </w:r>
          </w:p>
        </w:tc>
      </w:tr>
      <w:tr w:rsidR="00DE3490" w:rsidRPr="00B337CE" w14:paraId="0685529E" w14:textId="77777777" w:rsidTr="00AB7E50">
        <w:trPr>
          <w:trHeight w:val="377"/>
        </w:trPr>
        <w:tc>
          <w:tcPr>
            <w:tcW w:w="5102" w:type="dxa"/>
          </w:tcPr>
          <w:p w14:paraId="32A3C2F8"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An improperly constructed spillway</w:t>
            </w:r>
          </w:p>
        </w:tc>
        <w:tc>
          <w:tcPr>
            <w:tcW w:w="2940" w:type="dxa"/>
          </w:tcPr>
          <w:p w14:paraId="4F7B6ECC"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20</w:t>
            </w:r>
          </w:p>
        </w:tc>
        <w:tc>
          <w:tcPr>
            <w:tcW w:w="2226" w:type="dxa"/>
          </w:tcPr>
          <w:p w14:paraId="4D56659F"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66.7</w:t>
            </w:r>
          </w:p>
        </w:tc>
      </w:tr>
      <w:tr w:rsidR="00DE3490" w:rsidRPr="00B337CE" w14:paraId="07FFE564" w14:textId="77777777" w:rsidTr="00AB7E50">
        <w:trPr>
          <w:trHeight w:val="377"/>
        </w:trPr>
        <w:tc>
          <w:tcPr>
            <w:tcW w:w="5102" w:type="dxa"/>
          </w:tcPr>
          <w:p w14:paraId="43BF204F"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Unlawful activity (sabotage or vandalism)</w:t>
            </w:r>
          </w:p>
        </w:tc>
        <w:tc>
          <w:tcPr>
            <w:tcW w:w="2940" w:type="dxa"/>
          </w:tcPr>
          <w:p w14:paraId="16475749"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19</w:t>
            </w:r>
          </w:p>
        </w:tc>
        <w:tc>
          <w:tcPr>
            <w:tcW w:w="2226" w:type="dxa"/>
          </w:tcPr>
          <w:p w14:paraId="49EC442A"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63.3</w:t>
            </w:r>
          </w:p>
        </w:tc>
      </w:tr>
      <w:tr w:rsidR="00DE3490" w:rsidRPr="00B337CE" w14:paraId="5F3A737E" w14:textId="77777777" w:rsidTr="00AB7E50">
        <w:trPr>
          <w:trHeight w:val="377"/>
        </w:trPr>
        <w:tc>
          <w:tcPr>
            <w:tcW w:w="5102" w:type="dxa"/>
          </w:tcPr>
          <w:p w14:paraId="7F0FD08A"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 xml:space="preserve">Excessing growing of vegetation/ trees </w:t>
            </w:r>
          </w:p>
        </w:tc>
        <w:tc>
          <w:tcPr>
            <w:tcW w:w="2940" w:type="dxa"/>
          </w:tcPr>
          <w:p w14:paraId="1CC04C93"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29</w:t>
            </w:r>
          </w:p>
        </w:tc>
        <w:tc>
          <w:tcPr>
            <w:tcW w:w="2226" w:type="dxa"/>
          </w:tcPr>
          <w:p w14:paraId="1846626B"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96.7</w:t>
            </w:r>
          </w:p>
        </w:tc>
      </w:tr>
      <w:tr w:rsidR="00DE3490" w:rsidRPr="00B337CE" w14:paraId="39B9DEE6" w14:textId="77777777" w:rsidTr="00AB7E50">
        <w:trPr>
          <w:trHeight w:val="377"/>
        </w:trPr>
        <w:tc>
          <w:tcPr>
            <w:tcW w:w="5102" w:type="dxa"/>
          </w:tcPr>
          <w:p w14:paraId="606D93B2"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A sinkhole</w:t>
            </w:r>
          </w:p>
        </w:tc>
        <w:tc>
          <w:tcPr>
            <w:tcW w:w="2940" w:type="dxa"/>
          </w:tcPr>
          <w:p w14:paraId="66C7F538"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20</w:t>
            </w:r>
          </w:p>
        </w:tc>
        <w:tc>
          <w:tcPr>
            <w:tcW w:w="2226" w:type="dxa"/>
          </w:tcPr>
          <w:p w14:paraId="20175238"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66.7</w:t>
            </w:r>
          </w:p>
        </w:tc>
      </w:tr>
      <w:tr w:rsidR="00DE3490" w:rsidRPr="00B337CE" w14:paraId="5BB059C0" w14:textId="77777777" w:rsidTr="00AB7E50">
        <w:trPr>
          <w:trHeight w:val="377"/>
        </w:trPr>
        <w:tc>
          <w:tcPr>
            <w:tcW w:w="5102" w:type="dxa"/>
          </w:tcPr>
          <w:p w14:paraId="2AA8EC02"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Land/Soil slides</w:t>
            </w:r>
          </w:p>
        </w:tc>
        <w:tc>
          <w:tcPr>
            <w:tcW w:w="2940" w:type="dxa"/>
          </w:tcPr>
          <w:p w14:paraId="2D72C306"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30</w:t>
            </w:r>
          </w:p>
        </w:tc>
        <w:tc>
          <w:tcPr>
            <w:tcW w:w="2226" w:type="dxa"/>
          </w:tcPr>
          <w:p w14:paraId="26B07CCC" w14:textId="77777777" w:rsidR="00DE3490" w:rsidRPr="00B337CE" w:rsidRDefault="00DE3490" w:rsidP="00AB7E50">
            <w:pPr>
              <w:spacing w:line="276" w:lineRule="auto"/>
              <w:jc w:val="both"/>
              <w:rPr>
                <w:rFonts w:ascii="Arial" w:hAnsi="Arial" w:cs="Arial"/>
                <w:kern w:val="2"/>
                <w14:ligatures w14:val="standardContextual"/>
              </w:rPr>
            </w:pPr>
            <w:r w:rsidRPr="00B337CE">
              <w:rPr>
                <w:rFonts w:ascii="Arial" w:hAnsi="Arial" w:cs="Arial"/>
                <w:kern w:val="2"/>
                <w14:ligatures w14:val="standardContextual"/>
              </w:rPr>
              <w:t>100.0</w:t>
            </w:r>
          </w:p>
        </w:tc>
      </w:tr>
    </w:tbl>
    <w:p w14:paraId="46ABFB71" w14:textId="649C2CB3" w:rsidR="00DE3490" w:rsidRDefault="00DE3490" w:rsidP="00235DA9">
      <w:pPr>
        <w:spacing w:after="200" w:line="276" w:lineRule="auto"/>
      </w:pPr>
    </w:p>
    <w:p w14:paraId="0F40C955" w14:textId="566BA8DE" w:rsidR="00DE3490" w:rsidRDefault="00AB7E50" w:rsidP="00235DA9">
      <w:pPr>
        <w:spacing w:after="200" w:line="276" w:lineRule="auto"/>
      </w:pPr>
      <w:r w:rsidRPr="00B337CE">
        <w:rPr>
          <w:rFonts w:ascii="Arial" w:eastAsia="Calibri" w:hAnsi="Arial" w:cs="Arial"/>
          <w:noProof/>
          <w:kern w:val="2"/>
        </w:rPr>
        <w:drawing>
          <wp:anchor distT="0" distB="0" distL="114300" distR="114300" simplePos="0" relativeHeight="251659264" behindDoc="0" locked="0" layoutInCell="1" allowOverlap="1" wp14:anchorId="190021AD" wp14:editId="59ED5DE2">
            <wp:simplePos x="0" y="0"/>
            <wp:positionH relativeFrom="margin">
              <wp:posOffset>-76200</wp:posOffset>
            </wp:positionH>
            <wp:positionV relativeFrom="page">
              <wp:posOffset>4571365</wp:posOffset>
            </wp:positionV>
            <wp:extent cx="5791835" cy="2809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ystakeholder concern.png"/>
                    <pic:cNvPicPr/>
                  </pic:nvPicPr>
                  <pic:blipFill rotWithShape="1">
                    <a:blip r:embed="rId19">
                      <a:extLst>
                        <a:ext uri="{28A0092B-C50C-407E-A947-70E740481C1C}">
                          <a14:useLocalDpi xmlns:a14="http://schemas.microsoft.com/office/drawing/2010/main" val="0"/>
                        </a:ext>
                      </a:extLst>
                    </a:blip>
                    <a:srcRect t="8385"/>
                    <a:stretch/>
                  </pic:blipFill>
                  <pic:spPr bwMode="auto">
                    <a:xfrm>
                      <a:off x="0" y="0"/>
                      <a:ext cx="5791835" cy="2809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8E3F9D" w14:textId="5C0CA336" w:rsidR="00DE3490" w:rsidRDefault="00DE3490" w:rsidP="00235DA9">
      <w:pPr>
        <w:spacing w:after="200" w:line="276" w:lineRule="auto"/>
      </w:pPr>
    </w:p>
    <w:p w14:paraId="412B4BBE" w14:textId="77777777" w:rsidR="00DE3490" w:rsidRDefault="00DE3490" w:rsidP="00235DA9">
      <w:pPr>
        <w:spacing w:after="200" w:line="276" w:lineRule="auto"/>
      </w:pPr>
    </w:p>
    <w:p w14:paraId="35058C78" w14:textId="77777777" w:rsidR="00DE3490" w:rsidRDefault="00DE3490" w:rsidP="00235DA9">
      <w:pPr>
        <w:spacing w:after="200" w:line="276" w:lineRule="auto"/>
      </w:pPr>
    </w:p>
    <w:p w14:paraId="30EAA645" w14:textId="77777777" w:rsidR="00DE3490" w:rsidRDefault="00DE3490" w:rsidP="00235DA9">
      <w:pPr>
        <w:spacing w:after="200" w:line="276" w:lineRule="auto"/>
      </w:pPr>
    </w:p>
    <w:p w14:paraId="34F97444" w14:textId="77777777" w:rsidR="00DE3490" w:rsidRDefault="00DE3490" w:rsidP="00235DA9">
      <w:pPr>
        <w:spacing w:after="200" w:line="276" w:lineRule="auto"/>
      </w:pPr>
    </w:p>
    <w:p w14:paraId="60EE2E51" w14:textId="77777777" w:rsidR="00DE3490" w:rsidRDefault="00DE3490" w:rsidP="00235DA9">
      <w:pPr>
        <w:spacing w:after="200" w:line="276" w:lineRule="auto"/>
      </w:pPr>
    </w:p>
    <w:p w14:paraId="2C73BC8F" w14:textId="77777777" w:rsidR="00DE3490" w:rsidRDefault="00DE3490" w:rsidP="00235DA9">
      <w:pPr>
        <w:spacing w:after="200" w:line="276" w:lineRule="auto"/>
      </w:pPr>
    </w:p>
    <w:p w14:paraId="6F157956" w14:textId="77777777" w:rsidR="00DE3490" w:rsidRDefault="00DE3490" w:rsidP="00235DA9">
      <w:pPr>
        <w:spacing w:after="200" w:line="276" w:lineRule="auto"/>
      </w:pPr>
    </w:p>
    <w:p w14:paraId="25DCCBB5" w14:textId="77777777" w:rsidR="00DE3490" w:rsidRDefault="00DE3490" w:rsidP="00235DA9">
      <w:pPr>
        <w:spacing w:after="200" w:line="276" w:lineRule="auto"/>
      </w:pPr>
    </w:p>
    <w:p w14:paraId="5F20C5BA" w14:textId="77777777" w:rsidR="008E567A" w:rsidRDefault="008E567A" w:rsidP="003941BF">
      <w:pPr>
        <w:spacing w:after="200" w:line="276" w:lineRule="auto"/>
        <w:jc w:val="both"/>
      </w:pPr>
    </w:p>
    <w:p w14:paraId="2619741B" w14:textId="77777777" w:rsidR="00DE3490" w:rsidRDefault="00DE3490" w:rsidP="00DE3490">
      <w:pPr>
        <w:spacing w:line="276" w:lineRule="auto"/>
        <w:jc w:val="both"/>
        <w:rPr>
          <w:rFonts w:ascii="Arial" w:eastAsia="Calibri" w:hAnsi="Arial" w:cs="Arial"/>
          <w:kern w:val="2"/>
          <w14:ligatures w14:val="standardContextual"/>
        </w:rPr>
      </w:pPr>
      <w:r w:rsidRPr="00727AC6">
        <w:rPr>
          <w:rFonts w:ascii="Arial" w:eastAsia="Calibri" w:hAnsi="Arial" w:cs="Arial"/>
          <w:kern w:val="2"/>
          <w14:ligatures w14:val="standardContextual"/>
        </w:rPr>
        <w:t>Figure</w:t>
      </w:r>
      <w:r>
        <w:rPr>
          <w:rFonts w:ascii="Arial" w:eastAsia="Calibri" w:hAnsi="Arial" w:cs="Arial"/>
          <w:kern w:val="2"/>
          <w14:ligatures w14:val="standardContextual"/>
        </w:rPr>
        <w:t xml:space="preserve"> 6</w:t>
      </w:r>
      <w:r w:rsidRPr="00727AC6">
        <w:rPr>
          <w:rFonts w:ascii="Arial" w:eastAsia="Calibri" w:hAnsi="Arial" w:cs="Arial"/>
          <w:kern w:val="2"/>
          <w14:ligatures w14:val="standardContextual"/>
        </w:rPr>
        <w:t>. Stakeholders</w:t>
      </w:r>
      <w:r w:rsidRPr="0054467E">
        <w:rPr>
          <w:rFonts w:ascii="Arial" w:eastAsia="Calibri" w:hAnsi="Arial" w:cs="Arial"/>
          <w:kern w:val="2"/>
          <w14:ligatures w14:val="standardContextual"/>
        </w:rPr>
        <w:t xml:space="preserve"> concerning on problem affecting the </w:t>
      </w:r>
      <w:proofErr w:type="spellStart"/>
      <w:r w:rsidRPr="00727AC6">
        <w:rPr>
          <w:rFonts w:ascii="Arial" w:eastAsia="Calibri" w:hAnsi="Arial" w:cs="Arial"/>
          <w:kern w:val="2"/>
          <w14:ligatures w14:val="standardContextual"/>
        </w:rPr>
        <w:t>Mindu</w:t>
      </w:r>
      <w:proofErr w:type="spellEnd"/>
      <w:r w:rsidRPr="00DE0D93">
        <w:rPr>
          <w:rFonts w:ascii="Arial" w:eastAsia="Calibri" w:hAnsi="Arial" w:cs="Arial"/>
          <w:kern w:val="2"/>
          <w14:ligatures w14:val="standardContextual"/>
        </w:rPr>
        <w:t xml:space="preserve"> dam.</w:t>
      </w:r>
    </w:p>
    <w:p w14:paraId="1B912186" w14:textId="77777777" w:rsidR="00DE3490" w:rsidRPr="001052B8" w:rsidRDefault="00DE3490" w:rsidP="00DE3490">
      <w:pPr>
        <w:spacing w:line="276" w:lineRule="auto"/>
        <w:jc w:val="both"/>
        <w:rPr>
          <w:rFonts w:ascii="Arial" w:eastAsia="Calibri" w:hAnsi="Arial" w:cs="Arial"/>
          <w:kern w:val="2"/>
          <w14:ligatures w14:val="standardContextual"/>
        </w:rPr>
      </w:pPr>
    </w:p>
    <w:p w14:paraId="3987E7DB" w14:textId="77777777" w:rsidR="00DE3490" w:rsidRDefault="00DE3490" w:rsidP="00DE3490">
      <w:pPr>
        <w:spacing w:line="276" w:lineRule="auto"/>
        <w:rPr>
          <w:rFonts w:ascii="Arial" w:eastAsia="Calibri" w:hAnsi="Arial" w:cs="Arial"/>
          <w:kern w:val="2"/>
          <w14:ligatures w14:val="standardContextual"/>
        </w:rPr>
      </w:pPr>
      <w:r w:rsidRPr="00D62A3B">
        <w:rPr>
          <w:rFonts w:ascii="Arial" w:eastAsia="Calibri" w:hAnsi="Arial" w:cs="Arial"/>
          <w:kern w:val="2"/>
          <w14:ligatures w14:val="standardContextual"/>
        </w:rPr>
        <w:t>100% of all stakeholders agree that sedimentation and material losses reduce the dam's capacity to hold water, affecting its efficiency and longevity. (93.3%) of the household are worried about soil erosion around the dam area. 93.3% of the respondents agreed that</w:t>
      </w:r>
      <w:r w:rsidRPr="00D62A3B">
        <w:rPr>
          <w:rFonts w:ascii="Arial" w:hAnsi="Arial" w:cs="Arial"/>
        </w:rPr>
        <w:t xml:space="preserve"> </w:t>
      </w:r>
      <w:r w:rsidRPr="00D62A3B">
        <w:rPr>
          <w:rFonts w:ascii="Arial" w:eastAsia="Calibri" w:hAnsi="Arial" w:cs="Arial"/>
          <w:kern w:val="2"/>
          <w14:ligatures w14:val="standardContextual"/>
        </w:rPr>
        <w:t>Erosion can undermine the dam’s foundation, leading to structural instability.50% of the households interviewed are concerned about water seeping through the dam, which can weaken the structure and lead to potential failures.66.7%</w:t>
      </w:r>
      <w:r w:rsidRPr="00D62A3B">
        <w:rPr>
          <w:rFonts w:ascii="Arial" w:hAnsi="Arial" w:cs="Arial"/>
        </w:rPr>
        <w:t xml:space="preserve"> </w:t>
      </w:r>
      <w:r w:rsidRPr="00D62A3B">
        <w:rPr>
          <w:rFonts w:ascii="Arial" w:eastAsia="Calibri" w:hAnsi="Arial" w:cs="Arial"/>
          <w:kern w:val="2"/>
          <w14:ligatures w14:val="standardContextual"/>
        </w:rPr>
        <w:t>of the participants are concerned about the dam breaking. This reflects fears of catastrophic failure resulting in flooding and extensive damage downstream.</w:t>
      </w:r>
    </w:p>
    <w:p w14:paraId="1BF877D2" w14:textId="77777777" w:rsidR="00DE3490" w:rsidRDefault="00DE3490" w:rsidP="003941BF">
      <w:pPr>
        <w:spacing w:after="200" w:line="276" w:lineRule="auto"/>
        <w:jc w:val="both"/>
        <w:rPr>
          <w:rFonts w:ascii="Arial" w:eastAsia="Calibri" w:hAnsi="Arial" w:cs="Arial"/>
          <w:kern w:val="2"/>
          <w14:ligatures w14:val="standardContextual"/>
        </w:rPr>
      </w:pPr>
    </w:p>
    <w:p w14:paraId="0567A27C" w14:textId="02379C4B" w:rsidR="00DE3490" w:rsidRPr="00AB691A" w:rsidRDefault="00DE3490" w:rsidP="00DE3490">
      <w:pPr>
        <w:spacing w:line="276" w:lineRule="auto"/>
        <w:jc w:val="both"/>
        <w:rPr>
          <w:rFonts w:ascii="Arial" w:eastAsia="Calibri" w:hAnsi="Arial" w:cs="Arial"/>
          <w:bCs/>
          <w:kern w:val="2"/>
          <w14:ligatures w14:val="standardContextual"/>
        </w:rPr>
      </w:pPr>
      <w:r>
        <w:rPr>
          <w:rFonts w:ascii="Arial" w:eastAsia="Calibri" w:hAnsi="Arial" w:cs="Arial"/>
          <w:bCs/>
          <w:kern w:val="2"/>
          <w14:ligatures w14:val="standardContextual"/>
        </w:rPr>
        <w:lastRenderedPageBreak/>
        <w:t>Table 10.</w:t>
      </w:r>
      <w:r w:rsidR="00AB7E50">
        <w:rPr>
          <w:rFonts w:ascii="Arial" w:eastAsia="Calibri" w:hAnsi="Arial" w:cs="Arial"/>
          <w:bCs/>
          <w:kern w:val="2"/>
          <w14:ligatures w14:val="standardContextual"/>
        </w:rPr>
        <w:t xml:space="preserve"> </w:t>
      </w:r>
      <w:proofErr w:type="gramStart"/>
      <w:r w:rsidRPr="00AB691A">
        <w:rPr>
          <w:rFonts w:ascii="Arial" w:eastAsia="Calibri" w:hAnsi="Arial" w:cs="Arial"/>
          <w:bCs/>
          <w:kern w:val="2"/>
          <w14:ligatures w14:val="standardContextual"/>
        </w:rPr>
        <w:t>Most</w:t>
      </w:r>
      <w:proofErr w:type="gramEnd"/>
      <w:r w:rsidRPr="00AB691A">
        <w:rPr>
          <w:rFonts w:ascii="Arial" w:eastAsia="Calibri" w:hAnsi="Arial" w:cs="Arial"/>
          <w:bCs/>
          <w:kern w:val="2"/>
          <w14:ligatures w14:val="standardContextual"/>
        </w:rPr>
        <w:t xml:space="preserve"> Vulnerable Social Groups Affected by Dam Risks</w:t>
      </w:r>
    </w:p>
    <w:tbl>
      <w:tblPr>
        <w:tblStyle w:val="TableGrid1"/>
        <w:tblW w:w="9350" w:type="dxa"/>
        <w:tblLook w:val="04A0" w:firstRow="1" w:lastRow="0" w:firstColumn="1" w:lastColumn="0" w:noHBand="0" w:noVBand="1"/>
      </w:tblPr>
      <w:tblGrid>
        <w:gridCol w:w="1908"/>
        <w:gridCol w:w="1993"/>
        <w:gridCol w:w="1689"/>
        <w:gridCol w:w="1754"/>
        <w:gridCol w:w="2006"/>
      </w:tblGrid>
      <w:tr w:rsidR="00DE3490" w:rsidRPr="00E0659C" w14:paraId="5DEE8C98" w14:textId="77777777" w:rsidTr="00AB7E50">
        <w:tc>
          <w:tcPr>
            <w:tcW w:w="1930" w:type="dxa"/>
            <w:hideMark/>
          </w:tcPr>
          <w:p w14:paraId="73D12F8F"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Vulnerable Social Group</w:t>
            </w:r>
          </w:p>
        </w:tc>
        <w:tc>
          <w:tcPr>
            <w:tcW w:w="2023" w:type="dxa"/>
            <w:hideMark/>
          </w:tcPr>
          <w:p w14:paraId="3B1A69D9"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Vulnerability</w:t>
            </w:r>
          </w:p>
        </w:tc>
        <w:tc>
          <w:tcPr>
            <w:tcW w:w="1702" w:type="dxa"/>
            <w:hideMark/>
          </w:tcPr>
          <w:p w14:paraId="7F5B8F0E"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Group community</w:t>
            </w:r>
          </w:p>
        </w:tc>
        <w:tc>
          <w:tcPr>
            <w:tcW w:w="1766" w:type="dxa"/>
            <w:hideMark/>
          </w:tcPr>
          <w:p w14:paraId="768C1B7F"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Protection Strategies</w:t>
            </w:r>
          </w:p>
        </w:tc>
        <w:tc>
          <w:tcPr>
            <w:tcW w:w="1929" w:type="dxa"/>
          </w:tcPr>
          <w:p w14:paraId="7807CA73" w14:textId="77777777" w:rsidR="00DE3490" w:rsidRPr="00E0659C" w:rsidRDefault="00DE3490" w:rsidP="00AB7E50">
            <w:pPr>
              <w:tabs>
                <w:tab w:val="left" w:pos="1560"/>
              </w:tabs>
              <w:rPr>
                <w:rFonts w:ascii="Arial" w:hAnsi="Arial" w:cs="Arial"/>
                <w:b/>
                <w:bCs/>
                <w:sz w:val="20"/>
                <w:szCs w:val="20"/>
              </w:rPr>
            </w:pPr>
            <w:r w:rsidRPr="00E0659C">
              <w:rPr>
                <w:rFonts w:ascii="Arial" w:hAnsi="Arial" w:cs="Arial"/>
                <w:b/>
                <w:bCs/>
                <w:sz w:val="20"/>
                <w:szCs w:val="20"/>
              </w:rPr>
              <w:t>Protection Strategies (General)</w:t>
            </w:r>
          </w:p>
        </w:tc>
      </w:tr>
      <w:tr w:rsidR="00DE3490" w:rsidRPr="00E0659C" w14:paraId="1CFB4F8B" w14:textId="77777777" w:rsidTr="00AB7E50">
        <w:tc>
          <w:tcPr>
            <w:tcW w:w="1930" w:type="dxa"/>
            <w:hideMark/>
          </w:tcPr>
          <w:p w14:paraId="239495F0"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1. Low-Income Households</w:t>
            </w:r>
          </w:p>
        </w:tc>
        <w:tc>
          <w:tcPr>
            <w:tcW w:w="2023" w:type="dxa"/>
            <w:hideMark/>
          </w:tcPr>
          <w:p w14:paraId="1648CF30"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Reside in high-risk zones due to limited and unequal land access.</w:t>
            </w:r>
          </w:p>
        </w:tc>
        <w:tc>
          <w:tcPr>
            <w:tcW w:w="1702" w:type="dxa"/>
            <w:hideMark/>
          </w:tcPr>
          <w:p w14:paraId="0241245B"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xml:space="preserve">Informal settlers near </w:t>
            </w:r>
            <w:proofErr w:type="spellStart"/>
            <w:r w:rsidRPr="00E0659C">
              <w:rPr>
                <w:rFonts w:ascii="Arial" w:hAnsi="Arial" w:cs="Arial"/>
                <w:sz w:val="20"/>
                <w:szCs w:val="20"/>
              </w:rPr>
              <w:t>Mindu</w:t>
            </w:r>
            <w:proofErr w:type="spellEnd"/>
            <w:r w:rsidRPr="00E0659C">
              <w:rPr>
                <w:rFonts w:ascii="Arial" w:hAnsi="Arial" w:cs="Arial"/>
                <w:sz w:val="20"/>
                <w:szCs w:val="20"/>
              </w:rPr>
              <w:t xml:space="preserve"> Dam face displacement.</w:t>
            </w:r>
          </w:p>
        </w:tc>
        <w:tc>
          <w:tcPr>
            <w:tcW w:w="1766" w:type="dxa"/>
            <w:hideMark/>
          </w:tcPr>
          <w:p w14:paraId="181C6837"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Social Safety Nets: Cash transfers, subsidized relocation.</w:t>
            </w:r>
          </w:p>
          <w:p w14:paraId="14D6BF75"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xml:space="preserve"> - Legal Safeguards: Enforce land tenure rights.</w:t>
            </w:r>
          </w:p>
        </w:tc>
        <w:tc>
          <w:tcPr>
            <w:tcW w:w="1929" w:type="dxa"/>
          </w:tcPr>
          <w:p w14:paraId="0D7B9BD6" w14:textId="77777777" w:rsidR="00DE3490" w:rsidRPr="00E0659C" w:rsidRDefault="00DE3490" w:rsidP="00AB7E50">
            <w:pPr>
              <w:tabs>
                <w:tab w:val="left" w:pos="1560"/>
              </w:tabs>
              <w:rPr>
                <w:rFonts w:ascii="Arial" w:hAnsi="Arial" w:cs="Arial"/>
                <w:b/>
                <w:bCs/>
                <w:sz w:val="20"/>
                <w:szCs w:val="20"/>
              </w:rPr>
            </w:pPr>
            <w:r w:rsidRPr="00E0659C">
              <w:rPr>
                <w:rFonts w:ascii="Arial" w:hAnsi="Arial" w:cs="Arial"/>
                <w:b/>
                <w:bCs/>
                <w:sz w:val="20"/>
                <w:szCs w:val="20"/>
              </w:rPr>
              <w:t>Participatory Risk Assessments</w:t>
            </w:r>
          </w:p>
          <w:p w14:paraId="5A161A49"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Involve vulnerable groups in mapping risks and solutions</w:t>
            </w:r>
            <w:r w:rsidRPr="00E0659C">
              <w:rPr>
                <w:rFonts w:ascii="Arial" w:hAnsi="Arial" w:cs="Arial"/>
                <w:b/>
                <w:bCs/>
                <w:sz w:val="20"/>
                <w:szCs w:val="20"/>
              </w:rPr>
              <w:t>.</w:t>
            </w:r>
          </w:p>
        </w:tc>
      </w:tr>
      <w:tr w:rsidR="00DE3490" w:rsidRPr="00E0659C" w14:paraId="427A48A3" w14:textId="77777777" w:rsidTr="00AB7E50">
        <w:tc>
          <w:tcPr>
            <w:tcW w:w="1930" w:type="dxa"/>
            <w:hideMark/>
          </w:tcPr>
          <w:p w14:paraId="702745FC"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2. Subsistence Farmers and Fisher folk</w:t>
            </w:r>
          </w:p>
        </w:tc>
        <w:tc>
          <w:tcPr>
            <w:tcW w:w="2023" w:type="dxa"/>
            <w:hideMark/>
          </w:tcPr>
          <w:p w14:paraId="2DB4C11F"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Depend on ecosystems disrupted by dam operations (e.g., altered water flow, reduced fish stocks).</w:t>
            </w:r>
          </w:p>
        </w:tc>
        <w:tc>
          <w:tcPr>
            <w:tcW w:w="1702" w:type="dxa"/>
            <w:hideMark/>
          </w:tcPr>
          <w:p w14:paraId="0A617D62"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xml:space="preserve">Farmers along </w:t>
            </w:r>
            <w:proofErr w:type="spellStart"/>
            <w:r w:rsidRPr="00E0659C">
              <w:rPr>
                <w:rFonts w:ascii="Arial" w:hAnsi="Arial" w:cs="Arial"/>
                <w:sz w:val="20"/>
                <w:szCs w:val="20"/>
              </w:rPr>
              <w:t>Uluguru</w:t>
            </w:r>
            <w:proofErr w:type="spellEnd"/>
            <w:r w:rsidRPr="00E0659C">
              <w:rPr>
                <w:rFonts w:ascii="Arial" w:hAnsi="Arial" w:cs="Arial"/>
                <w:sz w:val="20"/>
                <w:szCs w:val="20"/>
              </w:rPr>
              <w:t xml:space="preserve"> Mountains facing crop failure.</w:t>
            </w:r>
          </w:p>
        </w:tc>
        <w:tc>
          <w:tcPr>
            <w:tcW w:w="1766" w:type="dxa"/>
            <w:hideMark/>
          </w:tcPr>
          <w:p w14:paraId="5913D824"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Livelihood Diversification: Climate-resilient farming. - Ecosystem Restoration: Rehabilitate riparian zones.</w:t>
            </w:r>
          </w:p>
        </w:tc>
        <w:tc>
          <w:tcPr>
            <w:tcW w:w="1929" w:type="dxa"/>
          </w:tcPr>
          <w:p w14:paraId="6957B81D"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Legal/Policy Frameworks</w:t>
            </w:r>
          </w:p>
          <w:p w14:paraId="653F24F9"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w:t>
            </w:r>
            <w:r w:rsidRPr="00E0659C">
              <w:rPr>
                <w:rFonts w:ascii="Arial" w:hAnsi="Arial" w:cs="Arial"/>
                <w:sz w:val="20"/>
                <w:szCs w:val="20"/>
              </w:rPr>
              <w:t xml:space="preserve"> Enforce buffer zones and equitable compensation laws.</w:t>
            </w:r>
          </w:p>
        </w:tc>
      </w:tr>
      <w:tr w:rsidR="00DE3490" w:rsidRPr="00E0659C" w14:paraId="4FA3F507" w14:textId="77777777" w:rsidTr="00AB7E50">
        <w:tc>
          <w:tcPr>
            <w:tcW w:w="1930" w:type="dxa"/>
            <w:hideMark/>
          </w:tcPr>
          <w:p w14:paraId="6841696F"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3. Indigenous Communities</w:t>
            </w:r>
          </w:p>
        </w:tc>
        <w:tc>
          <w:tcPr>
            <w:tcW w:w="2023" w:type="dxa"/>
            <w:hideMark/>
          </w:tcPr>
          <w:p w14:paraId="3076A775"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Displacement erodes cultural heritage and traditional knowledge.</w:t>
            </w:r>
          </w:p>
        </w:tc>
        <w:tc>
          <w:tcPr>
            <w:tcW w:w="1702" w:type="dxa"/>
            <w:hideMark/>
          </w:tcPr>
          <w:p w14:paraId="53030F11"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Communities near Rufiji River lost sacred sites due to a hydropower project.</w:t>
            </w:r>
          </w:p>
        </w:tc>
        <w:tc>
          <w:tcPr>
            <w:tcW w:w="1766" w:type="dxa"/>
            <w:hideMark/>
          </w:tcPr>
          <w:p w14:paraId="3765D7AB"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FPIC: Mandate community consent. - Cultural Impact Assessments: Include traditional knowledge.</w:t>
            </w:r>
          </w:p>
        </w:tc>
        <w:tc>
          <w:tcPr>
            <w:tcW w:w="1929" w:type="dxa"/>
          </w:tcPr>
          <w:p w14:paraId="590F8274"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Social Safety Nets</w:t>
            </w:r>
          </w:p>
          <w:p w14:paraId="430C72FC"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-Provide financial aid and livelihood support post-disaster.</w:t>
            </w:r>
          </w:p>
        </w:tc>
      </w:tr>
      <w:tr w:rsidR="00DE3490" w:rsidRPr="00E0659C" w14:paraId="372BD75E" w14:textId="77777777" w:rsidTr="00AB7E50">
        <w:tc>
          <w:tcPr>
            <w:tcW w:w="1930" w:type="dxa"/>
            <w:hideMark/>
          </w:tcPr>
          <w:p w14:paraId="5FFBF252"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4. Women and Children</w:t>
            </w:r>
          </w:p>
        </w:tc>
        <w:tc>
          <w:tcPr>
            <w:tcW w:w="2023" w:type="dxa"/>
            <w:hideMark/>
          </w:tcPr>
          <w:p w14:paraId="5F8C1964"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Females face caregiving burdens post-disaster, and teen-agers involvement higher mortality and interrupted education.</w:t>
            </w:r>
          </w:p>
        </w:tc>
        <w:tc>
          <w:tcPr>
            <w:tcW w:w="1702" w:type="dxa"/>
            <w:hideMark/>
          </w:tcPr>
          <w:p w14:paraId="1CB6F6DC"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Post-flooding in Morogoro, women struggled to access clean water.</w:t>
            </w:r>
          </w:p>
        </w:tc>
        <w:tc>
          <w:tcPr>
            <w:tcW w:w="1766" w:type="dxa"/>
            <w:hideMark/>
          </w:tcPr>
          <w:p w14:paraId="32290E1F"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Gender-Sensitive DRR: Include women in planning. - Child-Centered Evacuation: Safe shelters, school continuity.</w:t>
            </w:r>
          </w:p>
        </w:tc>
        <w:tc>
          <w:tcPr>
            <w:tcW w:w="1929" w:type="dxa"/>
          </w:tcPr>
          <w:p w14:paraId="6C0F7794"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Ecosystem-Based Adaptation</w:t>
            </w:r>
          </w:p>
          <w:p w14:paraId="286B4B13"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w:t>
            </w:r>
            <w:r w:rsidRPr="00E0659C">
              <w:rPr>
                <w:rFonts w:ascii="Arial" w:hAnsi="Arial" w:cs="Arial"/>
                <w:sz w:val="20"/>
                <w:szCs w:val="20"/>
              </w:rPr>
              <w:t>Restore ecosystems (wetlands/forests) to buffer flood impacts.</w:t>
            </w:r>
          </w:p>
        </w:tc>
      </w:tr>
      <w:tr w:rsidR="00DE3490" w:rsidRPr="00E0659C" w14:paraId="678D071A" w14:textId="77777777" w:rsidTr="00AB7E50">
        <w:tc>
          <w:tcPr>
            <w:tcW w:w="1930" w:type="dxa"/>
            <w:hideMark/>
          </w:tcPr>
          <w:p w14:paraId="27F20538"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5. Elderly and Persons with Disabilities</w:t>
            </w:r>
          </w:p>
        </w:tc>
        <w:tc>
          <w:tcPr>
            <w:tcW w:w="2023" w:type="dxa"/>
            <w:hideMark/>
          </w:tcPr>
          <w:p w14:paraId="0ABF078B"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Mobility constraints hinder evacuation and aid access.</w:t>
            </w:r>
          </w:p>
        </w:tc>
        <w:tc>
          <w:tcPr>
            <w:tcW w:w="1702" w:type="dxa"/>
            <w:hideMark/>
          </w:tcPr>
          <w:p w14:paraId="5D911CF0"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w:t>
            </w:r>
          </w:p>
        </w:tc>
        <w:tc>
          <w:tcPr>
            <w:tcW w:w="1766" w:type="dxa"/>
            <w:hideMark/>
          </w:tcPr>
          <w:p w14:paraId="230FFAEE"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Inclusive Early Warning Systems: Tailored alerts. - Community-Based Support Networks: Train locals to assist.</w:t>
            </w:r>
          </w:p>
        </w:tc>
        <w:tc>
          <w:tcPr>
            <w:tcW w:w="1929" w:type="dxa"/>
          </w:tcPr>
          <w:p w14:paraId="371A4AD6"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b/>
                <w:bCs/>
                <w:sz w:val="20"/>
                <w:szCs w:val="20"/>
              </w:rPr>
              <w:t>Gender-Responsive Planning</w:t>
            </w:r>
          </w:p>
          <w:p w14:paraId="06B5CD6F"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-Prioritize women’s leadership in disaster planning</w:t>
            </w:r>
          </w:p>
          <w:p w14:paraId="0796DF10" w14:textId="77777777" w:rsidR="00DE3490" w:rsidRPr="00E0659C" w:rsidRDefault="00DE3490" w:rsidP="00AB7E50">
            <w:pPr>
              <w:tabs>
                <w:tab w:val="left" w:pos="1560"/>
              </w:tabs>
              <w:spacing w:line="259" w:lineRule="auto"/>
              <w:rPr>
                <w:rFonts w:ascii="Arial" w:hAnsi="Arial" w:cs="Arial"/>
                <w:b/>
                <w:bCs/>
                <w:sz w:val="20"/>
                <w:szCs w:val="20"/>
              </w:rPr>
            </w:pPr>
            <w:r w:rsidRPr="00E0659C">
              <w:rPr>
                <w:rFonts w:ascii="Arial" w:hAnsi="Arial" w:cs="Arial"/>
                <w:b/>
                <w:bCs/>
                <w:sz w:val="20"/>
                <w:szCs w:val="20"/>
              </w:rPr>
              <w:t>Policy Recommendations for Morogoro</w:t>
            </w:r>
          </w:p>
          <w:p w14:paraId="41F82415" w14:textId="77777777" w:rsidR="00DE3490" w:rsidRPr="00E0659C" w:rsidRDefault="00DE3490" w:rsidP="00AB7E50">
            <w:pPr>
              <w:tabs>
                <w:tab w:val="left" w:pos="1560"/>
              </w:tabs>
              <w:spacing w:line="259" w:lineRule="auto"/>
              <w:rPr>
                <w:rFonts w:ascii="Arial" w:hAnsi="Arial" w:cs="Arial"/>
                <w:sz w:val="20"/>
                <w:szCs w:val="20"/>
              </w:rPr>
            </w:pPr>
            <w:r w:rsidRPr="00E0659C">
              <w:rPr>
                <w:rFonts w:ascii="Arial" w:hAnsi="Arial" w:cs="Arial"/>
                <w:sz w:val="20"/>
                <w:szCs w:val="20"/>
              </w:rPr>
              <w:t xml:space="preserve">- Strengthen Buffer Zone Governance - Community-Led Early Warning Systems - </w:t>
            </w:r>
          </w:p>
        </w:tc>
      </w:tr>
    </w:tbl>
    <w:p w14:paraId="746A59EF" w14:textId="77777777" w:rsidR="00DE3490" w:rsidRDefault="00DE3490" w:rsidP="00441B6F">
      <w:pPr>
        <w:pStyle w:val="Body"/>
        <w:spacing w:after="0"/>
        <w:rPr>
          <w:rFonts w:ascii="Arial" w:hAnsi="Arial" w:cs="Arial"/>
        </w:rPr>
      </w:pPr>
    </w:p>
    <w:p w14:paraId="70E77426" w14:textId="77777777" w:rsidR="00790ADA" w:rsidRPr="00FB3A86" w:rsidRDefault="00790ADA" w:rsidP="00441B6F">
      <w:pPr>
        <w:pStyle w:val="Body"/>
        <w:spacing w:after="0"/>
        <w:rPr>
          <w:rFonts w:ascii="Arial" w:hAnsi="Arial" w:cs="Arial"/>
        </w:rPr>
      </w:pPr>
    </w:p>
    <w:p w14:paraId="7A5FD9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2EB610" w14:textId="77777777" w:rsidR="00790ADA" w:rsidRPr="00FB3A86" w:rsidRDefault="00790ADA" w:rsidP="00441B6F">
      <w:pPr>
        <w:pStyle w:val="ConcHead"/>
        <w:spacing w:after="0"/>
        <w:jc w:val="both"/>
        <w:rPr>
          <w:rFonts w:ascii="Arial" w:hAnsi="Arial" w:cs="Arial"/>
        </w:rPr>
      </w:pPr>
    </w:p>
    <w:p w14:paraId="522890C8" w14:textId="77777777" w:rsidR="00DE3490" w:rsidRDefault="00DE3490" w:rsidP="00DE3490">
      <w:pPr>
        <w:spacing w:line="276" w:lineRule="auto"/>
        <w:rPr>
          <w:rFonts w:ascii="Arial" w:eastAsia="Calibri" w:hAnsi="Arial" w:cs="Arial"/>
          <w:kern w:val="2"/>
          <w14:ligatures w14:val="standardContextual"/>
        </w:rPr>
      </w:pPr>
      <w:r w:rsidRPr="001A0885">
        <w:rPr>
          <w:rFonts w:ascii="Arial" w:eastAsia="Calibri" w:hAnsi="Arial" w:cs="Arial"/>
          <w:kern w:val="2"/>
          <w14:ligatures w14:val="standardContextual"/>
        </w:rPr>
        <w:t xml:space="preserve">"The </w:t>
      </w:r>
      <w:proofErr w:type="spellStart"/>
      <w:r w:rsidRPr="001A0885">
        <w:rPr>
          <w:rFonts w:ascii="Arial" w:eastAsia="Calibri" w:hAnsi="Arial" w:cs="Arial"/>
          <w:kern w:val="2"/>
          <w14:ligatures w14:val="standardContextual"/>
        </w:rPr>
        <w:t>Mindu</w:t>
      </w:r>
      <w:proofErr w:type="spellEnd"/>
      <w:r w:rsidRPr="001A0885">
        <w:rPr>
          <w:rFonts w:ascii="Arial" w:eastAsia="Calibri" w:hAnsi="Arial" w:cs="Arial"/>
          <w:kern w:val="2"/>
          <w14:ligatures w14:val="standardContextual"/>
        </w:rPr>
        <w:t xml:space="preserve"> Dam’s classification as a ‘high-hazard’ structure (Table 3) is validated by severe structural deficiencies (100% outlet corrosion, 40% spillway deficit) and environmental risks (93.3% erosion, Table 7). These findings reflect Tanzania’s broader failure to adopt even minimum global standards (Approach 1 + 2), particularly in emergency preparedness (0% EAP compliance) and governance (66.7% lack of central oversight, Table 6). Immediate upgrades to spillways and outlets, paired with mandatory EAPs under the Tanzanian Water Act (2009), are critical to mitigating flood risks for </w:t>
      </w:r>
      <w:r>
        <w:rPr>
          <w:rFonts w:ascii="Arial" w:eastAsia="Calibri" w:hAnsi="Arial" w:cs="Arial"/>
          <w:kern w:val="2"/>
          <w14:ligatures w14:val="standardContextual"/>
        </w:rPr>
        <w:t>1</w:t>
      </w:r>
      <w:r w:rsidRPr="001A0885">
        <w:rPr>
          <w:rFonts w:ascii="Arial" w:eastAsia="Calibri" w:hAnsi="Arial" w:cs="Arial"/>
          <w:kern w:val="2"/>
          <w14:ligatures w14:val="standardContextual"/>
        </w:rPr>
        <w:t>,000 downstream residents. Long-term solutions require institutional reforms, including a national dam safety authority and IoT-based monitoring systems to address sedimentation (100% capacity loss, Table 7) and climate-driven flooding (86.7% linkage, Table 5). This case study underscores the urgency of adapting global frameworks to local contexts, offering a model for aging dam management in developing regions.</w:t>
      </w:r>
    </w:p>
    <w:p w14:paraId="79473620" w14:textId="77777777" w:rsidR="00DE3490" w:rsidRDefault="00DE3490" w:rsidP="00DE3490">
      <w:pPr>
        <w:spacing w:line="276" w:lineRule="auto"/>
        <w:rPr>
          <w:rFonts w:ascii="Arial" w:eastAsia="Calibri" w:hAnsi="Arial" w:cs="Arial"/>
          <w:kern w:val="2"/>
          <w14:ligatures w14:val="standardContextual"/>
        </w:rPr>
      </w:pPr>
      <w:r w:rsidRPr="001A0885">
        <w:rPr>
          <w:rFonts w:ascii="Arial" w:eastAsia="Calibri" w:hAnsi="Arial" w:cs="Arial"/>
          <w:kern w:val="2"/>
          <w14:ligatures w14:val="standardContextual"/>
        </w:rPr>
        <w:t>To strengthen the study’s applicability, we propose a follow-up phase involving collaboration with Tanzanian dam operators, policymakers, and communities to co-develop a draft National Dam Safety Policy. This would incorporate findings from this study while addressing contextual distinctions</w:t>
      </w:r>
    </w:p>
    <w:p w14:paraId="17AF0B39" w14:textId="77777777" w:rsidR="00910788" w:rsidRDefault="00910788" w:rsidP="00DE3490">
      <w:pPr>
        <w:spacing w:line="276" w:lineRule="auto"/>
        <w:rPr>
          <w:rFonts w:ascii="Arial" w:eastAsia="Calibri" w:hAnsi="Arial" w:cs="Arial"/>
          <w:kern w:val="2"/>
          <w14:ligatures w14:val="standardContextual"/>
        </w:rPr>
      </w:pPr>
    </w:p>
    <w:p w14:paraId="2A6FA238" w14:textId="77777777" w:rsidR="00910788" w:rsidRDefault="00910788" w:rsidP="00910788">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314E4B1F" w14:textId="77777777" w:rsidR="00910788" w:rsidRDefault="00910788" w:rsidP="00910788">
      <w:pPr>
        <w:pStyle w:val="AcknHead"/>
        <w:spacing w:after="0"/>
        <w:jc w:val="both"/>
        <w:rPr>
          <w:rFonts w:ascii="Arial" w:hAnsi="Arial" w:cs="Arial"/>
        </w:rPr>
      </w:pPr>
    </w:p>
    <w:p w14:paraId="58F2A4CC" w14:textId="0188626B" w:rsidR="00910788" w:rsidRPr="00513E7D" w:rsidRDefault="00910788" w:rsidP="00513E7D">
      <w:pPr>
        <w:rPr>
          <w:rFonts w:ascii="Arial" w:eastAsia="Calibri" w:hAnsi="Arial" w:cs="Arial"/>
          <w:kern w:val="2"/>
          <w14:ligatures w14:val="standardContextual"/>
        </w:rPr>
      </w:pPr>
      <w:r w:rsidRPr="00513E7D">
        <w:t xml:space="preserve">I sincerely thank the </w:t>
      </w:r>
      <w:r w:rsidRPr="00513E7D">
        <w:rPr>
          <w:rStyle w:val="Strong"/>
          <w:b w:val="0"/>
        </w:rPr>
        <w:t xml:space="preserve">East Africa Community Scholarship </w:t>
      </w:r>
      <w:proofErr w:type="spellStart"/>
      <w:r w:rsidRPr="00513E7D">
        <w:rPr>
          <w:rStyle w:val="Strong"/>
          <w:b w:val="0"/>
        </w:rPr>
        <w:t>Programme</w:t>
      </w:r>
      <w:proofErr w:type="spellEnd"/>
      <w:r w:rsidRPr="00513E7D">
        <w:t xml:space="preserve">, sponsored by </w:t>
      </w:r>
      <w:r w:rsidRPr="00513E7D">
        <w:rPr>
          <w:rStyle w:val="Strong"/>
          <w:b w:val="0"/>
        </w:rPr>
        <w:t>KFW Germany Bank</w:t>
      </w:r>
      <w:r w:rsidRPr="00513E7D">
        <w:t xml:space="preserve"> and administered by the </w:t>
      </w:r>
      <w:r w:rsidRPr="00513E7D">
        <w:rPr>
          <w:rStyle w:val="Strong"/>
          <w:b w:val="0"/>
        </w:rPr>
        <w:t>Inter-University Council for East Africa</w:t>
      </w:r>
      <w:r w:rsidRPr="00513E7D">
        <w:rPr>
          <w:b/>
        </w:rPr>
        <w:t>,</w:t>
      </w:r>
      <w:r w:rsidRPr="00513E7D">
        <w:t xml:space="preserve"> for funding this research. Special thanks to </w:t>
      </w:r>
      <w:r w:rsidRPr="00513E7D">
        <w:rPr>
          <w:rStyle w:val="Strong"/>
          <w:b w:val="0"/>
        </w:rPr>
        <w:t>Adroit Consult International</w:t>
      </w:r>
      <w:r w:rsidRPr="00513E7D">
        <w:t xml:space="preserve"> for its support. I am also grateful to my </w:t>
      </w:r>
      <w:r w:rsidRPr="00513E7D">
        <w:rPr>
          <w:rStyle w:val="Strong"/>
          <w:b w:val="0"/>
        </w:rPr>
        <w:t>classmates</w:t>
      </w:r>
      <w:r w:rsidRPr="00513E7D">
        <w:t xml:space="preserve"> for their collaboration and encouragement. Heartfelt appreciation goes to my</w:t>
      </w:r>
      <w:r w:rsidRPr="00513E7D">
        <w:rPr>
          <w:b/>
        </w:rPr>
        <w:t xml:space="preserve"> </w:t>
      </w:r>
      <w:r w:rsidRPr="00513E7D">
        <w:rPr>
          <w:rStyle w:val="Strong"/>
          <w:b w:val="0"/>
        </w:rPr>
        <w:t>family</w:t>
      </w:r>
      <w:r w:rsidRPr="00513E7D">
        <w:t xml:space="preserve"> for their unwavering love and support.</w:t>
      </w:r>
    </w:p>
    <w:p w14:paraId="3BFC7774" w14:textId="77777777" w:rsidR="000C56B0" w:rsidRPr="000C56B0" w:rsidRDefault="000C56B0" w:rsidP="003941BF">
      <w:pPr>
        <w:pStyle w:val="Body"/>
        <w:spacing w:after="0"/>
        <w:rPr>
          <w:rFonts w:ascii="Arial" w:eastAsia="Calibri" w:hAnsi="Arial" w:cs="Arial"/>
          <w:kern w:val="2"/>
          <w14:ligatures w14:val="standardContextual"/>
        </w:rPr>
      </w:pPr>
    </w:p>
    <w:p w14:paraId="5F7F6B37" w14:textId="77777777" w:rsidR="003941BF" w:rsidRPr="00FB3A86" w:rsidRDefault="003941BF" w:rsidP="003941BF">
      <w:pPr>
        <w:pStyle w:val="Body"/>
        <w:spacing w:after="0"/>
        <w:rPr>
          <w:rFonts w:ascii="Arial" w:hAnsi="Arial" w:cs="Arial"/>
        </w:rPr>
      </w:pPr>
    </w:p>
    <w:p w14:paraId="72E0CA9F" w14:textId="77777777" w:rsidR="00F54485" w:rsidRPr="00513E7D" w:rsidRDefault="00F54485" w:rsidP="00F54485">
      <w:pPr>
        <w:spacing w:after="200" w:line="276" w:lineRule="auto"/>
        <w:rPr>
          <w:rFonts w:ascii="Arial" w:eastAsia="Calibri" w:hAnsi="Arial" w:cs="Arial"/>
          <w:b/>
          <w:kern w:val="2"/>
          <w:sz w:val="22"/>
          <w:szCs w:val="22"/>
        </w:rPr>
      </w:pPr>
      <w:bookmarkStart w:id="2" w:name="_Hlk180402183"/>
      <w:bookmarkStart w:id="3" w:name="_Hlk183680988"/>
      <w:r w:rsidRPr="00513E7D">
        <w:rPr>
          <w:rFonts w:ascii="Arial" w:eastAsia="Calibri" w:hAnsi="Arial" w:cs="Arial"/>
          <w:b/>
          <w:kern w:val="2"/>
          <w:sz w:val="22"/>
          <w:szCs w:val="22"/>
        </w:rPr>
        <w:t>Disclaimer (Artificial intelligence)</w:t>
      </w:r>
    </w:p>
    <w:p w14:paraId="4A183269" w14:textId="77777777" w:rsidR="00F54485" w:rsidRPr="00DE3490" w:rsidRDefault="00F54485" w:rsidP="00F54485">
      <w:pPr>
        <w:spacing w:after="200" w:line="276" w:lineRule="auto"/>
        <w:rPr>
          <w:rFonts w:ascii="Arial" w:eastAsia="Calibri" w:hAnsi="Arial" w:cs="Arial"/>
          <w:kern w:val="2"/>
          <w:sz w:val="22"/>
          <w:szCs w:val="22"/>
        </w:rPr>
      </w:pPr>
      <w:r w:rsidRPr="00DE3490">
        <w:rPr>
          <w:rFonts w:ascii="Arial" w:eastAsia="Calibri" w:hAnsi="Arial" w:cs="Arial"/>
          <w:kern w:val="2"/>
          <w:sz w:val="22"/>
          <w:szCs w:val="22"/>
        </w:rPr>
        <w:t>Author(s) hereby declare that NO generative AI technologies such as Large Language Models (</w:t>
      </w:r>
      <w:proofErr w:type="spellStart"/>
      <w:r w:rsidRPr="00DE3490">
        <w:rPr>
          <w:rFonts w:ascii="Arial" w:eastAsia="Calibri" w:hAnsi="Arial" w:cs="Arial"/>
          <w:kern w:val="2"/>
          <w:sz w:val="22"/>
          <w:szCs w:val="22"/>
        </w:rPr>
        <w:t>ChatGPT</w:t>
      </w:r>
      <w:proofErr w:type="spellEnd"/>
      <w:r w:rsidRPr="00DE3490">
        <w:rPr>
          <w:rFonts w:ascii="Arial" w:eastAsia="Calibri" w:hAnsi="Arial" w:cs="Arial"/>
          <w:kern w:val="2"/>
          <w:sz w:val="22"/>
          <w:szCs w:val="22"/>
        </w:rPr>
        <w:t xml:space="preserve">, COPILOT, etc.) and text-to-image generators have been used during the writing or editing of this manuscript. </w:t>
      </w:r>
    </w:p>
    <w:bookmarkEnd w:id="2"/>
    <w:p w14:paraId="274BE56F" w14:textId="77777777" w:rsidR="00F54485" w:rsidRDefault="00F54485" w:rsidP="00F54485">
      <w:pPr>
        <w:spacing w:after="200" w:line="276" w:lineRule="auto"/>
        <w:rPr>
          <w:rFonts w:ascii="Calibri" w:eastAsia="Calibri" w:hAnsi="Calibri"/>
          <w:kern w:val="2"/>
          <w:sz w:val="22"/>
          <w:szCs w:val="22"/>
        </w:rPr>
      </w:pPr>
    </w:p>
    <w:p w14:paraId="04CC1471" w14:textId="77777777" w:rsidR="001C2EE1" w:rsidRDefault="001C2EE1" w:rsidP="00F54485">
      <w:pPr>
        <w:spacing w:after="200" w:line="276" w:lineRule="auto"/>
        <w:rPr>
          <w:rFonts w:ascii="Calibri" w:eastAsia="Calibri" w:hAnsi="Calibri"/>
          <w:kern w:val="2"/>
          <w:sz w:val="22"/>
          <w:szCs w:val="22"/>
        </w:rPr>
      </w:pPr>
    </w:p>
    <w:p w14:paraId="68E2AB20" w14:textId="77777777" w:rsidR="001C2EE1" w:rsidRDefault="001C2EE1" w:rsidP="00F54485">
      <w:pPr>
        <w:spacing w:after="200" w:line="276" w:lineRule="auto"/>
        <w:rPr>
          <w:rFonts w:ascii="Calibri" w:eastAsia="Calibri" w:hAnsi="Calibri"/>
          <w:kern w:val="2"/>
          <w:sz w:val="22"/>
          <w:szCs w:val="22"/>
        </w:rPr>
      </w:pPr>
    </w:p>
    <w:p w14:paraId="51D02499" w14:textId="77777777" w:rsidR="001C2EE1" w:rsidRDefault="001C2EE1" w:rsidP="00F54485">
      <w:pPr>
        <w:spacing w:after="200" w:line="276" w:lineRule="auto"/>
        <w:rPr>
          <w:rFonts w:ascii="Calibri" w:eastAsia="Calibri" w:hAnsi="Calibri"/>
          <w:kern w:val="2"/>
          <w:sz w:val="22"/>
          <w:szCs w:val="22"/>
        </w:rPr>
      </w:pPr>
    </w:p>
    <w:p w14:paraId="3A714C07" w14:textId="77777777" w:rsidR="001C2EE1" w:rsidRDefault="001C2EE1" w:rsidP="00F54485">
      <w:pPr>
        <w:spacing w:after="200" w:line="276" w:lineRule="auto"/>
        <w:rPr>
          <w:rFonts w:ascii="Calibri" w:eastAsia="Calibri" w:hAnsi="Calibri"/>
          <w:kern w:val="2"/>
          <w:sz w:val="22"/>
          <w:szCs w:val="22"/>
        </w:rPr>
      </w:pPr>
    </w:p>
    <w:p w14:paraId="2E579993" w14:textId="77777777" w:rsidR="001C2EE1" w:rsidRDefault="001C2EE1" w:rsidP="00F54485">
      <w:pPr>
        <w:spacing w:after="200" w:line="276" w:lineRule="auto"/>
        <w:rPr>
          <w:rFonts w:ascii="Calibri" w:eastAsia="Calibri" w:hAnsi="Calibri"/>
          <w:kern w:val="2"/>
          <w:sz w:val="22"/>
          <w:szCs w:val="22"/>
        </w:rPr>
      </w:pPr>
    </w:p>
    <w:p w14:paraId="71AB6E39" w14:textId="77777777" w:rsidR="001C2EE1" w:rsidRDefault="001C2EE1" w:rsidP="00F54485">
      <w:pPr>
        <w:spacing w:after="200" w:line="276" w:lineRule="auto"/>
        <w:rPr>
          <w:rFonts w:ascii="Calibri" w:eastAsia="Calibri" w:hAnsi="Calibri"/>
          <w:kern w:val="2"/>
          <w:sz w:val="22"/>
          <w:szCs w:val="22"/>
        </w:rPr>
      </w:pPr>
    </w:p>
    <w:p w14:paraId="58B06808" w14:textId="77777777" w:rsidR="001C2EE1" w:rsidRDefault="001C2EE1" w:rsidP="00F54485">
      <w:pPr>
        <w:spacing w:after="200" w:line="276" w:lineRule="auto"/>
        <w:rPr>
          <w:rFonts w:ascii="Calibri" w:eastAsia="Calibri" w:hAnsi="Calibri"/>
          <w:kern w:val="2"/>
          <w:sz w:val="22"/>
          <w:szCs w:val="22"/>
        </w:rPr>
      </w:pPr>
    </w:p>
    <w:p w14:paraId="0293E755" w14:textId="77777777" w:rsidR="001C2EE1" w:rsidRDefault="001C2EE1" w:rsidP="00F54485">
      <w:pPr>
        <w:spacing w:after="200" w:line="276" w:lineRule="auto"/>
        <w:rPr>
          <w:rFonts w:ascii="Calibri" w:eastAsia="Calibri" w:hAnsi="Calibri"/>
          <w:kern w:val="2"/>
          <w:sz w:val="22"/>
          <w:szCs w:val="22"/>
        </w:rPr>
      </w:pPr>
    </w:p>
    <w:p w14:paraId="7F1E54FB" w14:textId="77777777" w:rsidR="001C2EE1" w:rsidRDefault="001C2EE1" w:rsidP="00F54485">
      <w:pPr>
        <w:spacing w:after="200" w:line="276" w:lineRule="auto"/>
        <w:rPr>
          <w:rFonts w:ascii="Calibri" w:eastAsia="Calibri" w:hAnsi="Calibri"/>
          <w:kern w:val="2"/>
          <w:sz w:val="22"/>
          <w:szCs w:val="22"/>
        </w:rPr>
      </w:pPr>
    </w:p>
    <w:p w14:paraId="49AF2EBA" w14:textId="77777777" w:rsidR="001C2EE1" w:rsidRDefault="001C2EE1" w:rsidP="00F54485">
      <w:pPr>
        <w:spacing w:after="200" w:line="276" w:lineRule="auto"/>
        <w:rPr>
          <w:rFonts w:ascii="Calibri" w:eastAsia="Calibri" w:hAnsi="Calibri"/>
          <w:kern w:val="2"/>
          <w:sz w:val="22"/>
          <w:szCs w:val="22"/>
        </w:rPr>
      </w:pPr>
    </w:p>
    <w:p w14:paraId="60A0649E" w14:textId="77777777" w:rsidR="001C2EE1" w:rsidRDefault="001C2EE1" w:rsidP="00F54485">
      <w:pPr>
        <w:spacing w:after="200" w:line="276" w:lineRule="auto"/>
        <w:rPr>
          <w:rFonts w:ascii="Calibri" w:eastAsia="Calibri" w:hAnsi="Calibri"/>
          <w:kern w:val="2"/>
          <w:sz w:val="22"/>
          <w:szCs w:val="22"/>
        </w:rPr>
      </w:pPr>
    </w:p>
    <w:p w14:paraId="0440F371" w14:textId="77777777" w:rsidR="001C2EE1" w:rsidRDefault="001C2EE1" w:rsidP="00F54485">
      <w:pPr>
        <w:spacing w:after="200" w:line="276" w:lineRule="auto"/>
        <w:rPr>
          <w:rFonts w:ascii="Calibri" w:eastAsia="Calibri" w:hAnsi="Calibri"/>
          <w:kern w:val="2"/>
          <w:sz w:val="22"/>
          <w:szCs w:val="22"/>
        </w:rPr>
      </w:pPr>
    </w:p>
    <w:p w14:paraId="4AC7FB0F" w14:textId="77777777" w:rsidR="001C2EE1" w:rsidRPr="00F54485" w:rsidRDefault="001C2EE1" w:rsidP="00F54485">
      <w:pPr>
        <w:spacing w:after="200" w:line="276" w:lineRule="auto"/>
        <w:rPr>
          <w:rFonts w:ascii="Calibri" w:eastAsia="Calibri" w:hAnsi="Calibri"/>
          <w:kern w:val="2"/>
          <w:sz w:val="22"/>
          <w:szCs w:val="22"/>
        </w:rPr>
      </w:pPr>
    </w:p>
    <w:bookmarkEnd w:id="3"/>
    <w:p w14:paraId="56E52866" w14:textId="77777777" w:rsidR="00E8111D" w:rsidRDefault="00E8111D" w:rsidP="00441B6F">
      <w:pPr>
        <w:pStyle w:val="ReferHead"/>
        <w:spacing w:after="0"/>
        <w:jc w:val="both"/>
        <w:rPr>
          <w:b w:val="0"/>
          <w:caps w:val="0"/>
          <w:sz w:val="20"/>
        </w:rPr>
      </w:pPr>
    </w:p>
    <w:p w14:paraId="74F75373" w14:textId="77777777" w:rsidR="001C2EE1" w:rsidRPr="00F469F0" w:rsidRDefault="001C2EE1" w:rsidP="00441B6F">
      <w:pPr>
        <w:pStyle w:val="ReferHead"/>
        <w:spacing w:after="0"/>
        <w:jc w:val="both"/>
        <w:rPr>
          <w:rFonts w:ascii="Arial" w:hAnsi="Arial" w:cs="Arial"/>
          <w:b w:val="0"/>
          <w:caps w:val="0"/>
          <w:sz w:val="20"/>
          <w:u w:val="single"/>
        </w:rPr>
      </w:pPr>
    </w:p>
    <w:p w14:paraId="304BA846" w14:textId="77777777" w:rsidR="00860000" w:rsidRDefault="00860000" w:rsidP="00441B6F">
      <w:pPr>
        <w:pStyle w:val="ReferHead"/>
        <w:spacing w:after="0"/>
        <w:jc w:val="both"/>
        <w:rPr>
          <w:rFonts w:ascii="Arial" w:hAnsi="Arial" w:cs="Arial"/>
        </w:rPr>
      </w:pPr>
    </w:p>
    <w:p w14:paraId="61834963" w14:textId="77777777" w:rsidR="00B01FCD" w:rsidRDefault="001731B8" w:rsidP="00441B6F">
      <w:pPr>
        <w:pStyle w:val="ReferHead"/>
        <w:spacing w:after="0"/>
        <w:jc w:val="both"/>
        <w:rPr>
          <w:rFonts w:ascii="Arial" w:hAnsi="Arial" w:cs="Arial"/>
        </w:rPr>
      </w:pPr>
      <w:r>
        <w:rPr>
          <w:rFonts w:ascii="Arial" w:hAnsi="Arial" w:cs="Arial"/>
        </w:rPr>
        <w:t xml:space="preserve">6. </w:t>
      </w:r>
      <w:r w:rsidR="00B01FCD" w:rsidRPr="00FB3A86">
        <w:rPr>
          <w:rFonts w:ascii="Arial" w:hAnsi="Arial" w:cs="Arial"/>
        </w:rPr>
        <w:t>References</w:t>
      </w:r>
    </w:p>
    <w:p w14:paraId="04A35181" w14:textId="77777777" w:rsidR="00790ADA" w:rsidRPr="00FB3A86" w:rsidRDefault="00790ADA" w:rsidP="00441B6F">
      <w:pPr>
        <w:pStyle w:val="ReferHead"/>
        <w:spacing w:after="0"/>
        <w:jc w:val="both"/>
        <w:rPr>
          <w:rFonts w:ascii="Arial" w:hAnsi="Arial" w:cs="Arial"/>
        </w:rPr>
      </w:pPr>
    </w:p>
    <w:p w14:paraId="08CB17B7"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62A3B">
        <w:rPr>
          <w:rFonts w:ascii="Arial" w:eastAsia="Calibri" w:hAnsi="Arial" w:cs="Arial"/>
          <w:kern w:val="2"/>
          <w14:ligatures w14:val="standardContextual"/>
        </w:rPr>
        <w:fldChar w:fldCharType="begin" w:fldLock="1"/>
      </w:r>
      <w:r w:rsidRPr="00D62A3B">
        <w:rPr>
          <w:rFonts w:ascii="Arial" w:eastAsia="Calibri" w:hAnsi="Arial" w:cs="Arial"/>
          <w:kern w:val="2"/>
          <w:lang w:val="it-IT"/>
          <w14:ligatures w14:val="standardContextual"/>
        </w:rPr>
        <w:instrText xml:space="preserve">ADDIN Mendeley Bibliography CSL_BIBLIOGRAPHY </w:instrText>
      </w:r>
      <w:r w:rsidRPr="00D62A3B">
        <w:rPr>
          <w:rFonts w:ascii="Arial" w:eastAsia="Calibri" w:hAnsi="Arial" w:cs="Arial"/>
          <w:kern w:val="2"/>
          <w14:ligatures w14:val="standardContextual"/>
        </w:rPr>
        <w:fldChar w:fldCharType="separate"/>
      </w:r>
      <w:r w:rsidRPr="00DB423C">
        <w:rPr>
          <w:rFonts w:ascii="Arial" w:hAnsi="Arial" w:cs="Arial"/>
          <w:noProof/>
          <w:szCs w:val="24"/>
        </w:rPr>
        <w:t xml:space="preserve">Adamo, N., Al-Ansari, N., Sissakian, V., Laue, J., &amp; Knutsson, S. (2020). Dam Safety : General Considerations. </w:t>
      </w:r>
      <w:r w:rsidRPr="00DB423C">
        <w:rPr>
          <w:rFonts w:ascii="Arial" w:hAnsi="Arial" w:cs="Arial"/>
          <w:i/>
          <w:iCs/>
          <w:noProof/>
          <w:szCs w:val="24"/>
        </w:rPr>
        <w:t>Journal of Earth Sciences and Geotechnical Engineering</w:t>
      </w:r>
      <w:r w:rsidRPr="00DB423C">
        <w:rPr>
          <w:rFonts w:ascii="Arial" w:hAnsi="Arial" w:cs="Arial"/>
          <w:noProof/>
          <w:szCs w:val="24"/>
        </w:rPr>
        <w:t xml:space="preserve">, </w:t>
      </w:r>
      <w:r w:rsidRPr="00DB423C">
        <w:rPr>
          <w:rFonts w:ascii="Arial" w:hAnsi="Arial" w:cs="Arial"/>
          <w:i/>
          <w:iCs/>
          <w:noProof/>
          <w:szCs w:val="24"/>
        </w:rPr>
        <w:t>10</w:t>
      </w:r>
      <w:r w:rsidRPr="00DB423C">
        <w:rPr>
          <w:rFonts w:ascii="Arial" w:hAnsi="Arial" w:cs="Arial"/>
          <w:noProof/>
          <w:szCs w:val="24"/>
        </w:rPr>
        <w:t>(6), 1–21.</w:t>
      </w:r>
    </w:p>
    <w:p w14:paraId="7259854B"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Arslan et al. (2016). This document is discoverable and free to researchers across the globe due to the work of AgEcon Search . Help ensure our sustainability . </w:t>
      </w:r>
    </w:p>
    <w:p w14:paraId="6F5B88D4"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Brewer, C. K., Winne, J. C., Redmond, R. L., Opitz, D. W., &amp; Mangrich, M. V. (2005). 04-001.Qxd. </w:t>
      </w:r>
      <w:r w:rsidRPr="00DB423C">
        <w:rPr>
          <w:rFonts w:ascii="Arial" w:hAnsi="Arial" w:cs="Arial"/>
          <w:i/>
          <w:iCs/>
          <w:noProof/>
          <w:szCs w:val="24"/>
        </w:rPr>
        <w:t>Photogrammetric Engineering and Remote Sensing</w:t>
      </w:r>
      <w:r w:rsidRPr="00DB423C">
        <w:rPr>
          <w:rFonts w:ascii="Arial" w:hAnsi="Arial" w:cs="Arial"/>
          <w:noProof/>
          <w:szCs w:val="24"/>
        </w:rPr>
        <w:t xml:space="preserve">, </w:t>
      </w:r>
      <w:r w:rsidRPr="00DB423C">
        <w:rPr>
          <w:rFonts w:ascii="Arial" w:hAnsi="Arial" w:cs="Arial"/>
          <w:i/>
          <w:iCs/>
          <w:noProof/>
          <w:szCs w:val="24"/>
        </w:rPr>
        <w:t>71</w:t>
      </w:r>
      <w:r w:rsidRPr="00DB423C">
        <w:rPr>
          <w:rFonts w:ascii="Arial" w:hAnsi="Arial" w:cs="Arial"/>
          <w:noProof/>
          <w:szCs w:val="24"/>
        </w:rPr>
        <w:t>(11), 1311–1320.</w:t>
      </w:r>
    </w:p>
    <w:p w14:paraId="259D0D27"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Cocklin, C., Mautner, N., &amp; Dibden, J. (2007). Public policy, private landholders: Perspectives on policy mechanisms for sustainable land management. </w:t>
      </w:r>
      <w:r w:rsidRPr="00DB423C">
        <w:rPr>
          <w:rFonts w:ascii="Arial" w:hAnsi="Arial" w:cs="Arial"/>
          <w:i/>
          <w:iCs/>
          <w:noProof/>
          <w:szCs w:val="24"/>
        </w:rPr>
        <w:t>Journal of Environmental Management</w:t>
      </w:r>
      <w:r w:rsidRPr="00DB423C">
        <w:rPr>
          <w:rFonts w:ascii="Arial" w:hAnsi="Arial" w:cs="Arial"/>
          <w:noProof/>
          <w:szCs w:val="24"/>
        </w:rPr>
        <w:t xml:space="preserve">, </w:t>
      </w:r>
      <w:r w:rsidRPr="00DB423C">
        <w:rPr>
          <w:rFonts w:ascii="Arial" w:hAnsi="Arial" w:cs="Arial"/>
          <w:i/>
          <w:iCs/>
          <w:noProof/>
          <w:szCs w:val="24"/>
        </w:rPr>
        <w:t>85</w:t>
      </w:r>
      <w:r w:rsidRPr="00DB423C">
        <w:rPr>
          <w:rFonts w:ascii="Arial" w:hAnsi="Arial" w:cs="Arial"/>
          <w:noProof/>
          <w:szCs w:val="24"/>
        </w:rPr>
        <w:t>(4), 986–998. https://doi.org/10.1016/j.jenvman.2006.11.009</w:t>
      </w:r>
    </w:p>
    <w:p w14:paraId="150E4672"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Donnelly, C. R., Bechai, M., Trias, M., Vaillancourt, J., &amp; Roy, A. (2009). The Development of A National Dam Safety Standard for Parks Canada. </w:t>
      </w:r>
      <w:r w:rsidRPr="00DB423C">
        <w:rPr>
          <w:rFonts w:ascii="Arial" w:hAnsi="Arial" w:cs="Arial"/>
          <w:i/>
          <w:iCs/>
          <w:noProof/>
          <w:szCs w:val="24"/>
        </w:rPr>
        <w:t>CDA 2009 Annual Conference</w:t>
      </w:r>
      <w:r w:rsidRPr="00DB423C">
        <w:rPr>
          <w:rFonts w:ascii="Arial" w:hAnsi="Arial" w:cs="Arial"/>
          <w:noProof/>
          <w:szCs w:val="24"/>
        </w:rPr>
        <w:t xml:space="preserve">, </w:t>
      </w:r>
      <w:r w:rsidRPr="00DB423C">
        <w:rPr>
          <w:rFonts w:ascii="Arial" w:hAnsi="Arial" w:cs="Arial"/>
          <w:i/>
          <w:iCs/>
          <w:noProof/>
          <w:szCs w:val="24"/>
        </w:rPr>
        <w:t>October 2009</w:t>
      </w:r>
      <w:r w:rsidRPr="00DB423C">
        <w:rPr>
          <w:rFonts w:ascii="Arial" w:hAnsi="Arial" w:cs="Arial"/>
          <w:noProof/>
          <w:szCs w:val="24"/>
        </w:rPr>
        <w:t>, 21. https://doi.org/10.13140/2.1.3606.8806</w:t>
      </w:r>
    </w:p>
    <w:p w14:paraId="5FB13C82"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Eisner, E. W. (2004). What can education learn from the arts about the practice of education? </w:t>
      </w:r>
      <w:r w:rsidRPr="00DB423C">
        <w:rPr>
          <w:rFonts w:ascii="Arial" w:hAnsi="Arial" w:cs="Arial"/>
          <w:i/>
          <w:iCs/>
          <w:noProof/>
          <w:szCs w:val="24"/>
        </w:rPr>
        <w:t>International Journal of Education and the Arts</w:t>
      </w:r>
      <w:r w:rsidRPr="00DB423C">
        <w:rPr>
          <w:rFonts w:ascii="Arial" w:hAnsi="Arial" w:cs="Arial"/>
          <w:noProof/>
          <w:szCs w:val="24"/>
        </w:rPr>
        <w:t xml:space="preserve">, </w:t>
      </w:r>
      <w:r w:rsidRPr="00DB423C">
        <w:rPr>
          <w:rFonts w:ascii="Arial" w:hAnsi="Arial" w:cs="Arial"/>
          <w:i/>
          <w:iCs/>
          <w:noProof/>
          <w:szCs w:val="24"/>
        </w:rPr>
        <w:t>5</w:t>
      </w:r>
      <w:r w:rsidRPr="00DB423C">
        <w:rPr>
          <w:rFonts w:ascii="Arial" w:hAnsi="Arial" w:cs="Arial"/>
          <w:noProof/>
          <w:szCs w:val="24"/>
        </w:rPr>
        <w:t>(4), 1–13. https://doi.org/10.4324/9780203019078-25</w:t>
      </w:r>
    </w:p>
    <w:p w14:paraId="2D6B30CD"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Gobry, J. J., Twisa, S. S., Ngassapa, F., &amp; Kilulya, K. F. (2023). Impact of land-use/cover change on water quality in the Mindu Dam drainage, Tanzania. </w:t>
      </w:r>
      <w:r w:rsidRPr="00DB423C">
        <w:rPr>
          <w:rFonts w:ascii="Arial" w:hAnsi="Arial" w:cs="Arial"/>
          <w:i/>
          <w:iCs/>
          <w:noProof/>
          <w:szCs w:val="24"/>
        </w:rPr>
        <w:t>Water Practice and Technology</w:t>
      </w:r>
      <w:r w:rsidRPr="00DB423C">
        <w:rPr>
          <w:rFonts w:ascii="Arial" w:hAnsi="Arial" w:cs="Arial"/>
          <w:noProof/>
          <w:szCs w:val="24"/>
        </w:rPr>
        <w:t xml:space="preserve">, </w:t>
      </w:r>
      <w:r w:rsidRPr="00DB423C">
        <w:rPr>
          <w:rFonts w:ascii="Arial" w:hAnsi="Arial" w:cs="Arial"/>
          <w:i/>
          <w:iCs/>
          <w:noProof/>
          <w:szCs w:val="24"/>
        </w:rPr>
        <w:t>18</w:t>
      </w:r>
      <w:r w:rsidRPr="00DB423C">
        <w:rPr>
          <w:rFonts w:ascii="Arial" w:hAnsi="Arial" w:cs="Arial"/>
          <w:noProof/>
          <w:szCs w:val="24"/>
        </w:rPr>
        <w:t>(5), 1086–1098. https://doi.org/10.2166/wpt.2023.067</w:t>
      </w:r>
    </w:p>
    <w:p w14:paraId="043BFFB1"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Gunningham, N., &amp; Sinclair, D. (1999). Integrative regulation: A principle-based approach to environmental policy. </w:t>
      </w:r>
      <w:r w:rsidRPr="00DB423C">
        <w:rPr>
          <w:rFonts w:ascii="Arial" w:hAnsi="Arial" w:cs="Arial"/>
          <w:i/>
          <w:iCs/>
          <w:noProof/>
          <w:szCs w:val="24"/>
        </w:rPr>
        <w:t>Law and Social Inquiry</w:t>
      </w:r>
      <w:r w:rsidRPr="00DB423C">
        <w:rPr>
          <w:rFonts w:ascii="Arial" w:hAnsi="Arial" w:cs="Arial"/>
          <w:noProof/>
          <w:szCs w:val="24"/>
        </w:rPr>
        <w:t xml:space="preserve">, </w:t>
      </w:r>
      <w:r w:rsidRPr="00DB423C">
        <w:rPr>
          <w:rFonts w:ascii="Arial" w:hAnsi="Arial" w:cs="Arial"/>
          <w:i/>
          <w:iCs/>
          <w:noProof/>
          <w:szCs w:val="24"/>
        </w:rPr>
        <w:t>24</w:t>
      </w:r>
      <w:r w:rsidRPr="00DB423C">
        <w:rPr>
          <w:rFonts w:ascii="Arial" w:hAnsi="Arial" w:cs="Arial"/>
          <w:noProof/>
          <w:szCs w:val="24"/>
        </w:rPr>
        <w:t>(4), 853–896. https://doi.org/10.1111/j.1747-4469.1999.tb00407.x</w:t>
      </w:r>
    </w:p>
    <w:p w14:paraId="0CCCED44"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Isomäki, E., Maijala, T., Sulkakoski, M., &amp; Torkkel, M. (2012). Dam safety guide. In </w:t>
      </w:r>
      <w:r w:rsidRPr="00DB423C">
        <w:rPr>
          <w:rFonts w:ascii="Arial" w:hAnsi="Arial" w:cs="Arial"/>
          <w:i/>
          <w:iCs/>
          <w:noProof/>
          <w:szCs w:val="24"/>
        </w:rPr>
        <w:t>Ely</w:t>
      </w:r>
      <w:r w:rsidRPr="00DB423C">
        <w:rPr>
          <w:rFonts w:ascii="Arial" w:hAnsi="Arial" w:cs="Arial"/>
          <w:noProof/>
          <w:szCs w:val="24"/>
        </w:rPr>
        <w:t>. http://www.doria.fi/handle/10024/98859</w:t>
      </w:r>
    </w:p>
    <w:p w14:paraId="2CB6F384"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Kimambo, O. N., Chikoore, H., Gumbo, J. R., &amp; Msagati, T. A. M. (2019). Retrospective analysis of Chlorophyll-a and its correlation with climate and hydrological variations in Mindu Dam, Morogoro, Tanzania. </w:t>
      </w:r>
      <w:r w:rsidRPr="00DB423C">
        <w:rPr>
          <w:rFonts w:ascii="Arial" w:hAnsi="Arial" w:cs="Arial"/>
          <w:i/>
          <w:iCs/>
          <w:noProof/>
          <w:szCs w:val="24"/>
        </w:rPr>
        <w:t>Heliyon</w:t>
      </w:r>
      <w:r w:rsidRPr="00DB423C">
        <w:rPr>
          <w:rFonts w:ascii="Arial" w:hAnsi="Arial" w:cs="Arial"/>
          <w:noProof/>
          <w:szCs w:val="24"/>
        </w:rPr>
        <w:t xml:space="preserve">, </w:t>
      </w:r>
      <w:r w:rsidRPr="00DB423C">
        <w:rPr>
          <w:rFonts w:ascii="Arial" w:hAnsi="Arial" w:cs="Arial"/>
          <w:i/>
          <w:iCs/>
          <w:noProof/>
          <w:szCs w:val="24"/>
        </w:rPr>
        <w:t>5</w:t>
      </w:r>
      <w:r w:rsidRPr="00DB423C">
        <w:rPr>
          <w:rFonts w:ascii="Arial" w:hAnsi="Arial" w:cs="Arial"/>
          <w:noProof/>
          <w:szCs w:val="24"/>
        </w:rPr>
        <w:t>(11), e02834. https://doi.org/10.1016/j.heliyon.2019.e02834</w:t>
      </w:r>
    </w:p>
    <w:p w14:paraId="01A8D012"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Lein, H., &amp; Tagseth, M. (2009). Tanzanian water policy reforms - Between principles and practical applications. </w:t>
      </w:r>
      <w:r w:rsidRPr="00DB423C">
        <w:rPr>
          <w:rFonts w:ascii="Arial" w:hAnsi="Arial" w:cs="Arial"/>
          <w:i/>
          <w:iCs/>
          <w:noProof/>
          <w:szCs w:val="24"/>
        </w:rPr>
        <w:t>Water Policy</w:t>
      </w:r>
      <w:r w:rsidRPr="00DB423C">
        <w:rPr>
          <w:rFonts w:ascii="Arial" w:hAnsi="Arial" w:cs="Arial"/>
          <w:noProof/>
          <w:szCs w:val="24"/>
        </w:rPr>
        <w:t xml:space="preserve">, </w:t>
      </w:r>
      <w:r w:rsidRPr="00DB423C">
        <w:rPr>
          <w:rFonts w:ascii="Arial" w:hAnsi="Arial" w:cs="Arial"/>
          <w:i/>
          <w:iCs/>
          <w:noProof/>
          <w:szCs w:val="24"/>
        </w:rPr>
        <w:t>11</w:t>
      </w:r>
      <w:r w:rsidRPr="00DB423C">
        <w:rPr>
          <w:rFonts w:ascii="Arial" w:hAnsi="Arial" w:cs="Arial"/>
          <w:noProof/>
          <w:szCs w:val="24"/>
        </w:rPr>
        <w:t>(2), 203–220. https://doi.org/10.2166/wp.2009.024</w:t>
      </w:r>
    </w:p>
    <w:p w14:paraId="4442F018"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Madhi, S. A., Baillie, V., Cutland, C. L., Voysey, M., Koen, A. L., Fairlie, L., Padayachee, S. D., Dheda, K., Barnabas, S. L., Bhorat, Q. E., Briner, C., Kwatra, G., Ahmed, K., Aley, P., Bhikha, S., Bhiman, J. N., Bhorat, A. E., du Plessis, J., Esmail, A., … Izu, A. (2021). Efficacy of the ChAdOx1 nCoV-19 Covid-19 Vaccine against the B.1.351 Variant. </w:t>
      </w:r>
      <w:r w:rsidRPr="00DB423C">
        <w:rPr>
          <w:rFonts w:ascii="Arial" w:hAnsi="Arial" w:cs="Arial"/>
          <w:i/>
          <w:iCs/>
          <w:noProof/>
          <w:szCs w:val="24"/>
        </w:rPr>
        <w:t>New England Journal of Medicine</w:t>
      </w:r>
      <w:r w:rsidRPr="00DB423C">
        <w:rPr>
          <w:rFonts w:ascii="Arial" w:hAnsi="Arial" w:cs="Arial"/>
          <w:noProof/>
          <w:szCs w:val="24"/>
        </w:rPr>
        <w:t xml:space="preserve">, </w:t>
      </w:r>
      <w:r w:rsidRPr="00DB423C">
        <w:rPr>
          <w:rFonts w:ascii="Arial" w:hAnsi="Arial" w:cs="Arial"/>
          <w:i/>
          <w:iCs/>
          <w:noProof/>
          <w:szCs w:val="24"/>
        </w:rPr>
        <w:t>384</w:t>
      </w:r>
      <w:r w:rsidRPr="00DB423C">
        <w:rPr>
          <w:rFonts w:ascii="Arial" w:hAnsi="Arial" w:cs="Arial"/>
          <w:noProof/>
          <w:szCs w:val="24"/>
        </w:rPr>
        <w:t>(20), 1885–1898. https://doi.org/10.1056/nejmoa2102214</w:t>
      </w:r>
    </w:p>
    <w:p w14:paraId="5701B357"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Materu, S. F., Urban, B., &amp; Heise, S. (2018). A critical review of policies and legislation protecting Tanzanian wetlands. </w:t>
      </w:r>
      <w:r w:rsidRPr="00DB423C">
        <w:rPr>
          <w:rFonts w:ascii="Arial" w:hAnsi="Arial" w:cs="Arial"/>
          <w:i/>
          <w:iCs/>
          <w:noProof/>
          <w:szCs w:val="24"/>
        </w:rPr>
        <w:t>Ecosystem Health and Sustainability</w:t>
      </w:r>
      <w:r w:rsidRPr="00DB423C">
        <w:rPr>
          <w:rFonts w:ascii="Arial" w:hAnsi="Arial" w:cs="Arial"/>
          <w:noProof/>
          <w:szCs w:val="24"/>
        </w:rPr>
        <w:t xml:space="preserve">, </w:t>
      </w:r>
      <w:r w:rsidRPr="00DB423C">
        <w:rPr>
          <w:rFonts w:ascii="Arial" w:hAnsi="Arial" w:cs="Arial"/>
          <w:i/>
          <w:iCs/>
          <w:noProof/>
          <w:szCs w:val="24"/>
        </w:rPr>
        <w:t>4</w:t>
      </w:r>
      <w:r w:rsidRPr="00DB423C">
        <w:rPr>
          <w:rFonts w:ascii="Arial" w:hAnsi="Arial" w:cs="Arial"/>
          <w:noProof/>
          <w:szCs w:val="24"/>
        </w:rPr>
        <w:t>(12), 310–320. https://doi.org/10.1080/20964129.2018.1549510</w:t>
      </w:r>
    </w:p>
    <w:p w14:paraId="774A081D"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Munshi, S. A., &amp; Ansari, M. A. (2021). Collections and services of public libraries in West Bengal, India: An evaluative study against the backdrop of the IFLA guidelines. </w:t>
      </w:r>
      <w:r w:rsidRPr="00DB423C">
        <w:rPr>
          <w:rFonts w:ascii="Arial" w:hAnsi="Arial" w:cs="Arial"/>
          <w:i/>
          <w:iCs/>
          <w:noProof/>
          <w:szCs w:val="24"/>
        </w:rPr>
        <w:t>IFLA Journal</w:t>
      </w:r>
      <w:r w:rsidRPr="00DB423C">
        <w:rPr>
          <w:rFonts w:ascii="Arial" w:hAnsi="Arial" w:cs="Arial"/>
          <w:noProof/>
          <w:szCs w:val="24"/>
        </w:rPr>
        <w:t xml:space="preserve">, </w:t>
      </w:r>
      <w:r w:rsidRPr="00DB423C">
        <w:rPr>
          <w:rFonts w:ascii="Arial" w:hAnsi="Arial" w:cs="Arial"/>
          <w:i/>
          <w:iCs/>
          <w:noProof/>
          <w:szCs w:val="24"/>
        </w:rPr>
        <w:t>47</w:t>
      </w:r>
      <w:r w:rsidRPr="00DB423C">
        <w:rPr>
          <w:rFonts w:ascii="Arial" w:hAnsi="Arial" w:cs="Arial"/>
          <w:noProof/>
          <w:szCs w:val="24"/>
        </w:rPr>
        <w:t>(2), 250–262. https://doi.org/10.1177/0340035220958022</w:t>
      </w:r>
    </w:p>
    <w:p w14:paraId="6E2635DF"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Mwaka, I. (1999). Water Law , Water Rights and Water Supply ( Africa ) Tanzania - study country report. </w:t>
      </w:r>
      <w:r w:rsidRPr="00DB423C">
        <w:rPr>
          <w:rFonts w:ascii="Arial" w:hAnsi="Arial" w:cs="Arial"/>
          <w:i/>
          <w:iCs/>
          <w:noProof/>
          <w:szCs w:val="24"/>
        </w:rPr>
        <w:t>Dfid</w:t>
      </w:r>
      <w:r w:rsidRPr="00DB423C">
        <w:rPr>
          <w:rFonts w:ascii="Arial" w:hAnsi="Arial" w:cs="Arial"/>
          <w:noProof/>
          <w:szCs w:val="24"/>
        </w:rPr>
        <w:t xml:space="preserve">, </w:t>
      </w:r>
      <w:r w:rsidRPr="00DB423C">
        <w:rPr>
          <w:rFonts w:ascii="Arial" w:hAnsi="Arial" w:cs="Arial"/>
          <w:i/>
          <w:iCs/>
          <w:noProof/>
          <w:szCs w:val="24"/>
        </w:rPr>
        <w:t>August</w:t>
      </w:r>
      <w:r w:rsidRPr="00DB423C">
        <w:rPr>
          <w:rFonts w:ascii="Arial" w:hAnsi="Arial" w:cs="Arial"/>
          <w:noProof/>
          <w:szCs w:val="24"/>
        </w:rPr>
        <w:t>.</w:t>
      </w:r>
    </w:p>
    <w:p w14:paraId="4AED973C"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Phiri, I. M. ., Phiri, S. ., &amp; Saka, A. . (2007). </w:t>
      </w:r>
      <w:r w:rsidRPr="00DB423C">
        <w:rPr>
          <w:rFonts w:ascii="Arial" w:hAnsi="Arial" w:cs="Arial"/>
          <w:i/>
          <w:iCs/>
          <w:noProof/>
          <w:szCs w:val="24"/>
        </w:rPr>
        <w:t>Rapid Appraisal of Policies &amp; Institutional Frameworks for Agricultural Water Management</w:t>
      </w:r>
      <w:r w:rsidRPr="00DB423C">
        <w:rPr>
          <w:rFonts w:ascii="Arial" w:hAnsi="Arial" w:cs="Arial"/>
          <w:noProof/>
          <w:szCs w:val="24"/>
        </w:rPr>
        <w:t>.</w:t>
      </w:r>
    </w:p>
    <w:p w14:paraId="17CFAFF1"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Pisaniello, J. D. (2010). Attitudes and Policy Responses to Australian farm dam safety threats: Comparative </w:t>
      </w:r>
      <w:r w:rsidRPr="00DB423C">
        <w:rPr>
          <w:rFonts w:ascii="Arial" w:hAnsi="Arial" w:cs="Arial"/>
          <w:noProof/>
          <w:szCs w:val="24"/>
        </w:rPr>
        <w:lastRenderedPageBreak/>
        <w:t xml:space="preserve">lessons for water resources managers. </w:t>
      </w:r>
      <w:r w:rsidRPr="00DB423C">
        <w:rPr>
          <w:rFonts w:ascii="Arial" w:hAnsi="Arial" w:cs="Arial"/>
          <w:i/>
          <w:iCs/>
          <w:noProof/>
          <w:szCs w:val="24"/>
        </w:rPr>
        <w:t>International Journal of Water Resources Development</w:t>
      </w:r>
      <w:r w:rsidRPr="00DB423C">
        <w:rPr>
          <w:rFonts w:ascii="Arial" w:hAnsi="Arial" w:cs="Arial"/>
          <w:noProof/>
          <w:szCs w:val="24"/>
        </w:rPr>
        <w:t xml:space="preserve">, </w:t>
      </w:r>
      <w:r w:rsidRPr="00DB423C">
        <w:rPr>
          <w:rFonts w:ascii="Arial" w:hAnsi="Arial" w:cs="Arial"/>
          <w:i/>
          <w:iCs/>
          <w:noProof/>
          <w:szCs w:val="24"/>
        </w:rPr>
        <w:t>26</w:t>
      </w:r>
      <w:r w:rsidRPr="00DB423C">
        <w:rPr>
          <w:rFonts w:ascii="Arial" w:hAnsi="Arial" w:cs="Arial"/>
          <w:noProof/>
          <w:szCs w:val="24"/>
        </w:rPr>
        <w:t>(3), 381–402. https://doi.org/10.1080/07900627.2010.489306</w:t>
      </w:r>
    </w:p>
    <w:p w14:paraId="159D6D8C"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Pisaniello, J. D. (2011). A Comparative Review of Environmental Policies and Laws Involving Hazardous Private Dams : ’ Appropriate ’ Practice Models for Safe Catchments. </w:t>
      </w:r>
      <w:r w:rsidRPr="00DB423C">
        <w:rPr>
          <w:rFonts w:ascii="Arial" w:hAnsi="Arial" w:cs="Arial"/>
          <w:i/>
          <w:iCs/>
          <w:noProof/>
          <w:szCs w:val="24"/>
        </w:rPr>
        <w:t>William &amp; Mary Environmental Law &amp; Policy Review</w:t>
      </w:r>
      <w:r w:rsidRPr="00DB423C">
        <w:rPr>
          <w:rFonts w:ascii="Arial" w:hAnsi="Arial" w:cs="Arial"/>
          <w:noProof/>
          <w:szCs w:val="24"/>
        </w:rPr>
        <w:t xml:space="preserve">, </w:t>
      </w:r>
      <w:r w:rsidRPr="00DB423C">
        <w:rPr>
          <w:rFonts w:ascii="Arial" w:hAnsi="Arial" w:cs="Arial"/>
          <w:i/>
          <w:iCs/>
          <w:noProof/>
          <w:szCs w:val="24"/>
        </w:rPr>
        <w:t>35</w:t>
      </w:r>
      <w:r w:rsidRPr="00DB423C">
        <w:rPr>
          <w:rFonts w:ascii="Arial" w:hAnsi="Arial" w:cs="Arial"/>
          <w:noProof/>
          <w:szCs w:val="24"/>
        </w:rPr>
        <w:t>(2).</w:t>
      </w:r>
    </w:p>
    <w:p w14:paraId="538041CA"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Pisaniello, J. D., Burritt, R. L., &amp; Tingey-Holyoak, J. (2011). Dam safety management for sustainable farming businesses and catchments. </w:t>
      </w:r>
      <w:r w:rsidRPr="00DB423C">
        <w:rPr>
          <w:rFonts w:ascii="Arial" w:hAnsi="Arial" w:cs="Arial"/>
          <w:i/>
          <w:iCs/>
          <w:noProof/>
          <w:szCs w:val="24"/>
        </w:rPr>
        <w:t>Agricultural Water Management</w:t>
      </w:r>
      <w:r w:rsidRPr="00DB423C">
        <w:rPr>
          <w:rFonts w:ascii="Arial" w:hAnsi="Arial" w:cs="Arial"/>
          <w:noProof/>
          <w:szCs w:val="24"/>
        </w:rPr>
        <w:t xml:space="preserve">, </w:t>
      </w:r>
      <w:r w:rsidRPr="00DB423C">
        <w:rPr>
          <w:rFonts w:ascii="Arial" w:hAnsi="Arial" w:cs="Arial"/>
          <w:i/>
          <w:iCs/>
          <w:noProof/>
          <w:szCs w:val="24"/>
        </w:rPr>
        <w:t>98</w:t>
      </w:r>
      <w:r w:rsidRPr="00DB423C">
        <w:rPr>
          <w:rFonts w:ascii="Arial" w:hAnsi="Arial" w:cs="Arial"/>
          <w:noProof/>
          <w:szCs w:val="24"/>
        </w:rPr>
        <w:t>(4), 507–516. https://doi.org/10.1016/j.agwat.2010.10.001</w:t>
      </w:r>
    </w:p>
    <w:p w14:paraId="7A68C97B"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Pisaniello, J. D., &amp; McKay, J. M. (2003). A Farmer-Friendly Dam Safety Evaluation Procedure As A Key Part of Modern Australian Water Laws. </w:t>
      </w:r>
      <w:r w:rsidRPr="00DB423C">
        <w:rPr>
          <w:rFonts w:ascii="Arial" w:hAnsi="Arial" w:cs="Arial"/>
          <w:i/>
          <w:iCs/>
          <w:noProof/>
          <w:szCs w:val="24"/>
        </w:rPr>
        <w:t>Water International</w:t>
      </w:r>
      <w:r w:rsidRPr="00DB423C">
        <w:rPr>
          <w:rFonts w:ascii="Arial" w:hAnsi="Arial" w:cs="Arial"/>
          <w:noProof/>
          <w:szCs w:val="24"/>
        </w:rPr>
        <w:t xml:space="preserve">, </w:t>
      </w:r>
      <w:r w:rsidRPr="00DB423C">
        <w:rPr>
          <w:rFonts w:ascii="Arial" w:hAnsi="Arial" w:cs="Arial"/>
          <w:i/>
          <w:iCs/>
          <w:noProof/>
          <w:szCs w:val="24"/>
        </w:rPr>
        <w:t>28</w:t>
      </w:r>
      <w:r w:rsidRPr="00DB423C">
        <w:rPr>
          <w:rFonts w:ascii="Arial" w:hAnsi="Arial" w:cs="Arial"/>
          <w:noProof/>
          <w:szCs w:val="24"/>
        </w:rPr>
        <w:t>(1), 90–102. https://doi.org/10.1080/02508060308691668</w:t>
      </w:r>
    </w:p>
    <w:p w14:paraId="2106717E"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Pisaniello, J. D., Tingey-Holyoak, J. L., &amp; Burritt, R. L. (2013). Dual-extreme cumulative impacts and threats in agricultural catchments: The need for effective integrated policy. </w:t>
      </w:r>
      <w:r w:rsidRPr="00DB423C">
        <w:rPr>
          <w:rFonts w:ascii="Arial" w:hAnsi="Arial" w:cs="Arial"/>
          <w:i/>
          <w:iCs/>
          <w:noProof/>
          <w:szCs w:val="24"/>
        </w:rPr>
        <w:t>Agricultural Water Management</w:t>
      </w:r>
      <w:r w:rsidRPr="00DB423C">
        <w:rPr>
          <w:rFonts w:ascii="Arial" w:hAnsi="Arial" w:cs="Arial"/>
          <w:noProof/>
          <w:szCs w:val="24"/>
        </w:rPr>
        <w:t xml:space="preserve">, </w:t>
      </w:r>
      <w:r w:rsidRPr="00DB423C">
        <w:rPr>
          <w:rFonts w:ascii="Arial" w:hAnsi="Arial" w:cs="Arial"/>
          <w:i/>
          <w:iCs/>
          <w:noProof/>
          <w:szCs w:val="24"/>
        </w:rPr>
        <w:t>118</w:t>
      </w:r>
      <w:r w:rsidRPr="00DB423C">
        <w:rPr>
          <w:rFonts w:ascii="Arial" w:hAnsi="Arial" w:cs="Arial"/>
          <w:noProof/>
          <w:szCs w:val="24"/>
        </w:rPr>
        <w:t>(2013), 103–112. https://doi.org/10.1016/j.agwat.2012.12.003</w:t>
      </w:r>
    </w:p>
    <w:p w14:paraId="0F3CA15A"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Ramachandra, T. V, &amp; Kumar, U. (2004). Geographic Resources Decision Support System for land use, land cover dynamics analysis. </w:t>
      </w:r>
      <w:r w:rsidRPr="00DB423C">
        <w:rPr>
          <w:rFonts w:ascii="Arial" w:hAnsi="Arial" w:cs="Arial"/>
          <w:i/>
          <w:iCs/>
          <w:noProof/>
          <w:szCs w:val="24"/>
        </w:rPr>
        <w:t>Proceedings of the FOSS/GRASS Users Conference</w:t>
      </w:r>
      <w:r w:rsidRPr="00DB423C">
        <w:rPr>
          <w:rFonts w:ascii="Arial" w:hAnsi="Arial" w:cs="Arial"/>
          <w:noProof/>
          <w:szCs w:val="24"/>
        </w:rPr>
        <w:t xml:space="preserve">, </w:t>
      </w:r>
      <w:r w:rsidRPr="00DB423C">
        <w:rPr>
          <w:rFonts w:ascii="Arial" w:hAnsi="Arial" w:cs="Arial"/>
          <w:i/>
          <w:iCs/>
          <w:noProof/>
          <w:szCs w:val="24"/>
        </w:rPr>
        <w:t>September</w:t>
      </w:r>
      <w:r w:rsidRPr="00DB423C">
        <w:rPr>
          <w:rFonts w:ascii="Arial" w:hAnsi="Arial" w:cs="Arial"/>
          <w:noProof/>
          <w:szCs w:val="24"/>
        </w:rPr>
        <w:t>, 15.</w:t>
      </w:r>
    </w:p>
    <w:p w14:paraId="2406C47A"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Salgado, S. R. T., &amp; Silva Carvalho, E. M. da. (2023). Recommendations for the process of classification of dams in Brazil. </w:t>
      </w:r>
      <w:r w:rsidRPr="00DB423C">
        <w:rPr>
          <w:rFonts w:ascii="Arial" w:hAnsi="Arial" w:cs="Arial"/>
          <w:i/>
          <w:iCs/>
          <w:noProof/>
          <w:szCs w:val="24"/>
        </w:rPr>
        <w:t>U.Porto Journal of Engineering</w:t>
      </w:r>
      <w:r w:rsidRPr="00DB423C">
        <w:rPr>
          <w:rFonts w:ascii="Arial" w:hAnsi="Arial" w:cs="Arial"/>
          <w:noProof/>
          <w:szCs w:val="24"/>
        </w:rPr>
        <w:t xml:space="preserve">, </w:t>
      </w:r>
      <w:r w:rsidRPr="00DB423C">
        <w:rPr>
          <w:rFonts w:ascii="Arial" w:hAnsi="Arial" w:cs="Arial"/>
          <w:i/>
          <w:iCs/>
          <w:noProof/>
          <w:szCs w:val="24"/>
        </w:rPr>
        <w:t>9</w:t>
      </w:r>
      <w:r w:rsidRPr="00DB423C">
        <w:rPr>
          <w:rFonts w:ascii="Arial" w:hAnsi="Arial" w:cs="Arial"/>
          <w:noProof/>
          <w:szCs w:val="24"/>
        </w:rPr>
        <w:t>(3), 223–239. https://doi.org/10.24840/2183-6493_009-003_001968</w:t>
      </w:r>
    </w:p>
    <w:p w14:paraId="32AC3A70"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Stott, R. (1999). The World Bank. </w:t>
      </w:r>
      <w:r w:rsidRPr="00DB423C">
        <w:rPr>
          <w:rFonts w:ascii="Arial" w:hAnsi="Arial" w:cs="Arial"/>
          <w:i/>
          <w:iCs/>
          <w:noProof/>
          <w:szCs w:val="24"/>
        </w:rPr>
        <w:t>British Medical Journal</w:t>
      </w:r>
      <w:r w:rsidRPr="00DB423C">
        <w:rPr>
          <w:rFonts w:ascii="Arial" w:hAnsi="Arial" w:cs="Arial"/>
          <w:noProof/>
          <w:szCs w:val="24"/>
        </w:rPr>
        <w:t xml:space="preserve">, </w:t>
      </w:r>
      <w:r w:rsidRPr="00DB423C">
        <w:rPr>
          <w:rFonts w:ascii="Arial" w:hAnsi="Arial" w:cs="Arial"/>
          <w:i/>
          <w:iCs/>
          <w:noProof/>
          <w:szCs w:val="24"/>
        </w:rPr>
        <w:t>318</w:t>
      </w:r>
      <w:r w:rsidRPr="00DB423C">
        <w:rPr>
          <w:rFonts w:ascii="Arial" w:hAnsi="Arial" w:cs="Arial"/>
          <w:noProof/>
          <w:szCs w:val="24"/>
        </w:rPr>
        <w:t>(7187), 822–823. https://doi.org/10.1136/bmj.318.7187.822</w:t>
      </w:r>
    </w:p>
    <w:p w14:paraId="144AA46C"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6B40FA">
        <w:rPr>
          <w:rFonts w:ascii="Arial" w:hAnsi="Arial" w:cs="Arial"/>
          <w:noProof/>
          <w:szCs w:val="24"/>
          <w:lang w:val="fr-FR"/>
        </w:rPr>
        <w:t xml:space="preserve">Thi, T., Burritt, R. L., &amp; Pisaniello, J. D. (2012). </w:t>
      </w:r>
      <w:r w:rsidRPr="00DB423C">
        <w:rPr>
          <w:rFonts w:ascii="Arial" w:hAnsi="Arial" w:cs="Arial"/>
          <w:i/>
          <w:iCs/>
          <w:noProof/>
          <w:szCs w:val="24"/>
        </w:rPr>
        <w:t>Adequacy of policy and practices for small agricultural dam safety accountability and assurance in Vietnam</w:t>
      </w:r>
      <w:r w:rsidRPr="00DB423C">
        <w:rPr>
          <w:rFonts w:ascii="Arial" w:hAnsi="Arial" w:cs="Arial"/>
          <w:noProof/>
          <w:szCs w:val="24"/>
        </w:rPr>
        <w:t xml:space="preserve">. </w:t>
      </w:r>
      <w:r w:rsidRPr="00DB423C">
        <w:rPr>
          <w:rFonts w:ascii="Arial" w:hAnsi="Arial" w:cs="Arial"/>
          <w:i/>
          <w:iCs/>
          <w:noProof/>
          <w:szCs w:val="24"/>
        </w:rPr>
        <w:t>112</w:t>
      </w:r>
      <w:r w:rsidRPr="00DB423C">
        <w:rPr>
          <w:rFonts w:ascii="Arial" w:hAnsi="Arial" w:cs="Arial"/>
          <w:noProof/>
          <w:szCs w:val="24"/>
        </w:rPr>
        <w:t>, 63–74.</w:t>
      </w:r>
    </w:p>
    <w:p w14:paraId="0E926C86"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Tietenberg, T. (1998). Disclosure strategies for pollution control. </w:t>
      </w:r>
      <w:r w:rsidRPr="00DB423C">
        <w:rPr>
          <w:rFonts w:ascii="Arial" w:hAnsi="Arial" w:cs="Arial"/>
          <w:i/>
          <w:iCs/>
          <w:noProof/>
          <w:szCs w:val="24"/>
        </w:rPr>
        <w:t>Environmental and Resource Economics</w:t>
      </w:r>
      <w:r w:rsidRPr="00DB423C">
        <w:rPr>
          <w:rFonts w:ascii="Arial" w:hAnsi="Arial" w:cs="Arial"/>
          <w:noProof/>
          <w:szCs w:val="24"/>
        </w:rPr>
        <w:t xml:space="preserve">, </w:t>
      </w:r>
      <w:r w:rsidRPr="00DB423C">
        <w:rPr>
          <w:rFonts w:ascii="Arial" w:hAnsi="Arial" w:cs="Arial"/>
          <w:i/>
          <w:iCs/>
          <w:noProof/>
          <w:szCs w:val="24"/>
        </w:rPr>
        <w:t>11</w:t>
      </w:r>
      <w:r w:rsidRPr="00DB423C">
        <w:rPr>
          <w:rFonts w:ascii="Arial" w:hAnsi="Arial" w:cs="Arial"/>
          <w:noProof/>
          <w:szCs w:val="24"/>
        </w:rPr>
        <w:t>(3–4), 587–602. https://doi.org/10.1023/a:1008291411492</w:t>
      </w:r>
    </w:p>
    <w:p w14:paraId="225A0761"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Tingey-Holyoak, J., Pisaniello, J. D., &amp; Burritt, R. L. (2011). Analysis and application of international dam safety policy benchmarks. </w:t>
      </w:r>
      <w:r w:rsidRPr="00DB423C">
        <w:rPr>
          <w:rFonts w:ascii="Arial" w:hAnsi="Arial" w:cs="Arial"/>
          <w:i/>
          <w:iCs/>
          <w:noProof/>
          <w:szCs w:val="24"/>
        </w:rPr>
        <w:t>Benchmarking</w:t>
      </w:r>
      <w:r w:rsidRPr="00DB423C">
        <w:rPr>
          <w:rFonts w:ascii="Arial" w:hAnsi="Arial" w:cs="Arial"/>
          <w:noProof/>
          <w:szCs w:val="24"/>
        </w:rPr>
        <w:t xml:space="preserve">, </w:t>
      </w:r>
      <w:r w:rsidRPr="00DB423C">
        <w:rPr>
          <w:rFonts w:ascii="Arial" w:hAnsi="Arial" w:cs="Arial"/>
          <w:i/>
          <w:iCs/>
          <w:noProof/>
          <w:szCs w:val="24"/>
        </w:rPr>
        <w:t>18</w:t>
      </w:r>
      <w:r w:rsidRPr="00DB423C">
        <w:rPr>
          <w:rFonts w:ascii="Arial" w:hAnsi="Arial" w:cs="Arial"/>
          <w:noProof/>
          <w:szCs w:val="24"/>
        </w:rPr>
        <w:t>(2), 301–317. https://doi.org/10.1108/14635771111121720</w:t>
      </w:r>
    </w:p>
    <w:p w14:paraId="72D9DEA4" w14:textId="77777777" w:rsidR="00DE3490" w:rsidRPr="00DB423C" w:rsidRDefault="00DE3490" w:rsidP="00DE3490">
      <w:pPr>
        <w:widowControl w:val="0"/>
        <w:autoSpaceDE w:val="0"/>
        <w:autoSpaceDN w:val="0"/>
        <w:adjustRightInd w:val="0"/>
        <w:ind w:left="480" w:hanging="480"/>
        <w:rPr>
          <w:rFonts w:ascii="Arial" w:hAnsi="Arial" w:cs="Arial"/>
          <w:noProof/>
          <w:szCs w:val="24"/>
        </w:rPr>
      </w:pPr>
      <w:r w:rsidRPr="00DB423C">
        <w:rPr>
          <w:rFonts w:ascii="Arial" w:hAnsi="Arial" w:cs="Arial"/>
          <w:noProof/>
          <w:szCs w:val="24"/>
        </w:rPr>
        <w:t xml:space="preserve">Wagner, M., &amp; Schaltegger, S. (2003). How does sustainability performance relate to business competitiveness? </w:t>
      </w:r>
      <w:r w:rsidRPr="00DB423C">
        <w:rPr>
          <w:rFonts w:ascii="Arial" w:hAnsi="Arial" w:cs="Arial"/>
          <w:i/>
          <w:iCs/>
          <w:noProof/>
          <w:szCs w:val="24"/>
        </w:rPr>
        <w:t>Greener Management International</w:t>
      </w:r>
      <w:r w:rsidRPr="00DB423C">
        <w:rPr>
          <w:rFonts w:ascii="Arial" w:hAnsi="Arial" w:cs="Arial"/>
          <w:noProof/>
          <w:szCs w:val="24"/>
        </w:rPr>
        <w:t xml:space="preserve">, </w:t>
      </w:r>
      <w:r w:rsidRPr="00DB423C">
        <w:rPr>
          <w:rFonts w:ascii="Arial" w:hAnsi="Arial" w:cs="Arial"/>
          <w:i/>
          <w:iCs/>
          <w:noProof/>
          <w:szCs w:val="24"/>
        </w:rPr>
        <w:t>44</w:t>
      </w:r>
      <w:r w:rsidRPr="00DB423C">
        <w:rPr>
          <w:rFonts w:ascii="Arial" w:hAnsi="Arial" w:cs="Arial"/>
          <w:noProof/>
          <w:szCs w:val="24"/>
        </w:rPr>
        <w:t>, 5–16. https://doi.org/10.9774/GLEAF.3062.2003.wi.00003</w:t>
      </w:r>
    </w:p>
    <w:p w14:paraId="2B3F2195" w14:textId="77777777" w:rsidR="00DE3490" w:rsidRPr="00DB423C" w:rsidRDefault="00DE3490" w:rsidP="00DE3490">
      <w:pPr>
        <w:widowControl w:val="0"/>
        <w:autoSpaceDE w:val="0"/>
        <w:autoSpaceDN w:val="0"/>
        <w:adjustRightInd w:val="0"/>
        <w:ind w:left="480" w:hanging="480"/>
        <w:rPr>
          <w:rFonts w:ascii="Arial" w:hAnsi="Arial" w:cs="Arial"/>
          <w:noProof/>
        </w:rPr>
      </w:pPr>
      <w:r w:rsidRPr="00DB423C">
        <w:rPr>
          <w:rFonts w:ascii="Arial" w:hAnsi="Arial" w:cs="Arial"/>
          <w:noProof/>
          <w:szCs w:val="24"/>
        </w:rPr>
        <w:t xml:space="preserve">Zivie-Cohce, C. (1997). No Titleیلیب. </w:t>
      </w:r>
      <w:r w:rsidRPr="00DB423C">
        <w:rPr>
          <w:rFonts w:ascii="Arial" w:hAnsi="Arial" w:cs="Arial"/>
          <w:i/>
          <w:iCs/>
          <w:noProof/>
          <w:szCs w:val="24"/>
        </w:rPr>
        <w:t>Nucl. Phys.</w:t>
      </w:r>
      <w:r w:rsidRPr="00DB423C">
        <w:rPr>
          <w:rFonts w:ascii="Arial" w:hAnsi="Arial" w:cs="Arial"/>
          <w:noProof/>
          <w:szCs w:val="24"/>
        </w:rPr>
        <w:t xml:space="preserve">, </w:t>
      </w:r>
      <w:r w:rsidRPr="00DB423C">
        <w:rPr>
          <w:rFonts w:ascii="Arial" w:hAnsi="Arial" w:cs="Arial"/>
          <w:i/>
          <w:iCs/>
          <w:noProof/>
          <w:szCs w:val="24"/>
        </w:rPr>
        <w:t>13</w:t>
      </w:r>
      <w:r w:rsidRPr="00DB423C">
        <w:rPr>
          <w:rFonts w:ascii="Arial" w:hAnsi="Arial" w:cs="Arial"/>
          <w:noProof/>
          <w:szCs w:val="24"/>
        </w:rPr>
        <w:t>(1), 1–122.</w:t>
      </w:r>
    </w:p>
    <w:p w14:paraId="2DA36B31" w14:textId="2FF8091A" w:rsidR="00B01FCD" w:rsidRPr="00FB3A86" w:rsidRDefault="00DE3490" w:rsidP="00DE3490">
      <w:pPr>
        <w:pStyle w:val="Appendix"/>
        <w:spacing w:after="0"/>
        <w:jc w:val="both"/>
        <w:rPr>
          <w:rFonts w:ascii="Arial" w:hAnsi="Arial" w:cs="Arial"/>
          <w:b w:val="0"/>
        </w:rPr>
      </w:pPr>
      <w:r w:rsidRPr="00D62A3B">
        <w:rPr>
          <w:rFonts w:ascii="Arial" w:eastAsia="Calibri" w:hAnsi="Arial" w:cs="Arial"/>
          <w:kern w:val="2"/>
          <w14:ligatures w14:val="standardContextual"/>
        </w:rPr>
        <w:fldChar w:fldCharType="end"/>
      </w:r>
    </w:p>
    <w:sectPr w:rsidR="00B01FCD" w:rsidRPr="00FB3A86" w:rsidSect="000E2D4C">
      <w:headerReference w:type="even" r:id="rId20"/>
      <w:headerReference w:type="default" r:id="rId21"/>
      <w:footerReference w:type="default" r:id="rId22"/>
      <w:headerReference w:type="first" r:id="rId2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F631" w14:textId="77777777" w:rsidR="00784ED1" w:rsidRDefault="00784ED1" w:rsidP="00C37E61">
      <w:r>
        <w:separator/>
      </w:r>
    </w:p>
  </w:endnote>
  <w:endnote w:type="continuationSeparator" w:id="0">
    <w:p w14:paraId="7018A815" w14:textId="77777777" w:rsidR="00784ED1" w:rsidRDefault="00784E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AE65" w14:textId="77777777" w:rsidR="00AB7E50" w:rsidRDefault="00AB7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AF3F" w14:textId="77777777" w:rsidR="00AB7E50" w:rsidRDefault="00AB7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0FE3" w14:textId="77777777" w:rsidR="00AB7E50" w:rsidRDefault="00AB7E50">
    <w:pPr>
      <w:pStyle w:val="Footer"/>
      <w:rPr>
        <w:rFonts w:ascii="Arial" w:hAnsi="Arial" w:cs="Arial"/>
        <w:sz w:val="16"/>
      </w:rPr>
    </w:pPr>
  </w:p>
  <w:p w14:paraId="30183249" w14:textId="77777777" w:rsidR="00AB7E50" w:rsidRDefault="00AB7E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B4DE48D" w14:textId="77777777" w:rsidR="00AB7E50" w:rsidRDefault="00AB7E50">
    <w:pPr>
      <w:pStyle w:val="Footer"/>
      <w:rPr>
        <w:rFonts w:ascii="Arial" w:hAnsi="Arial" w:cs="Arial"/>
        <w:sz w:val="16"/>
      </w:rPr>
    </w:pPr>
  </w:p>
  <w:p w14:paraId="6645BA61" w14:textId="77777777" w:rsidR="00AB7E50" w:rsidRPr="009E048A" w:rsidRDefault="00AB7E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C69E" w14:textId="77777777" w:rsidR="00AB7E50" w:rsidRPr="00C37E61" w:rsidRDefault="00AB7E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AEF46" w14:textId="77777777" w:rsidR="00784ED1" w:rsidRDefault="00784ED1" w:rsidP="00C37E61">
      <w:r>
        <w:separator/>
      </w:r>
    </w:p>
  </w:footnote>
  <w:footnote w:type="continuationSeparator" w:id="0">
    <w:p w14:paraId="5FF22C9B" w14:textId="77777777" w:rsidR="00784ED1" w:rsidRDefault="00784E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325E" w14:textId="606A8635" w:rsidR="00AB7E50" w:rsidRDefault="00AB7E50">
    <w:pPr>
      <w:pStyle w:val="Header"/>
    </w:pPr>
    <w:r>
      <w:rPr>
        <w:noProof/>
      </w:rPr>
      <w:pict w14:anchorId="3062F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2"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4FF5" w14:textId="0D076410" w:rsidR="00AB7E50" w:rsidRDefault="00AB7E50">
    <w:pPr>
      <w:pStyle w:val="Header"/>
    </w:pPr>
    <w:r>
      <w:rPr>
        <w:noProof/>
      </w:rPr>
      <w:pict w14:anchorId="2CCB4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3"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95FC" w14:textId="40E1FCAE" w:rsidR="00AB7E50" w:rsidRPr="00296529" w:rsidRDefault="00AB7E50" w:rsidP="00296529">
    <w:pPr>
      <w:ind w:left="2160"/>
      <w:jc w:val="center"/>
      <w:rPr>
        <w:rFonts w:ascii="Times New Roman" w:eastAsia="Calibri" w:hAnsi="Times New Roman"/>
        <w:i/>
        <w:sz w:val="18"/>
        <w:szCs w:val="22"/>
      </w:rPr>
    </w:pPr>
    <w:r>
      <w:rPr>
        <w:noProof/>
      </w:rPr>
      <w:pict w14:anchorId="0B01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1" o:spid="_x0000_s2049" type="#_x0000_t136" style="position:absolute;left:0;text-align:left;margin-left:0;margin-top:0;width:639.45pt;height:71.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D59B52" w14:textId="77777777" w:rsidR="00AB7E50" w:rsidRPr="00296529" w:rsidRDefault="00AB7E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B46A28" w14:textId="77777777" w:rsidR="00AB7E50" w:rsidRPr="00296529" w:rsidRDefault="00AB7E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598AC6" w14:textId="77777777" w:rsidR="00AB7E50" w:rsidRPr="00296529" w:rsidRDefault="00AB7E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2DACB7" w14:textId="77777777" w:rsidR="00AB7E50" w:rsidRDefault="00AB7E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47B9B4" w14:textId="77777777" w:rsidR="00AB7E50" w:rsidRDefault="00AB7E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AC0456" w14:textId="77777777" w:rsidR="00AB7E50" w:rsidRDefault="00AB7E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E1348" w14:textId="72BC700B" w:rsidR="00AB7E50" w:rsidRDefault="00AB7E50">
    <w:pPr>
      <w:pStyle w:val="Header"/>
    </w:pPr>
    <w:r>
      <w:rPr>
        <w:noProof/>
      </w:rPr>
      <w:pict w14:anchorId="26E9C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5" o:spid="_x0000_s2053" type="#_x0000_t136" style="position:absolute;margin-left:0;margin-top:0;width:639.45pt;height:71.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2631" w14:textId="21F210C1" w:rsidR="00AB7E50" w:rsidRDefault="00AB7E50">
    <w:pPr>
      <w:pStyle w:val="Header"/>
    </w:pPr>
    <w:r>
      <w:rPr>
        <w:noProof/>
      </w:rPr>
      <w:pict w14:anchorId="30F42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6" o:spid="_x0000_s2054" type="#_x0000_t136" style="position:absolute;margin-left:0;margin-top:0;width:639.45pt;height:71.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7F7B" w14:textId="240264CF" w:rsidR="00AB7E50" w:rsidRDefault="00AB7E50">
    <w:pPr>
      <w:pStyle w:val="Header"/>
    </w:pPr>
    <w:r>
      <w:rPr>
        <w:noProof/>
      </w:rPr>
      <w:pict w14:anchorId="6E148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567284" o:spid="_x0000_s2052" type="#_x0000_t136" style="position:absolute;margin-left:0;margin-top:0;width:639.45pt;height:71.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702A7"/>
    <w:multiLevelType w:val="multilevel"/>
    <w:tmpl w:val="57E702A7"/>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2C4F"/>
    <w:rsid w:val="000A47FA"/>
    <w:rsid w:val="000A65D3"/>
    <w:rsid w:val="000B1E33"/>
    <w:rsid w:val="000C56B0"/>
    <w:rsid w:val="000D636D"/>
    <w:rsid w:val="000D689F"/>
    <w:rsid w:val="000E2D4C"/>
    <w:rsid w:val="000E7B7B"/>
    <w:rsid w:val="000E7D62"/>
    <w:rsid w:val="00103357"/>
    <w:rsid w:val="001234D1"/>
    <w:rsid w:val="00123C9F"/>
    <w:rsid w:val="00126190"/>
    <w:rsid w:val="00130F17"/>
    <w:rsid w:val="001320BF"/>
    <w:rsid w:val="00163BC4"/>
    <w:rsid w:val="001731B8"/>
    <w:rsid w:val="0018105A"/>
    <w:rsid w:val="00191062"/>
    <w:rsid w:val="00192B72"/>
    <w:rsid w:val="001A29D8"/>
    <w:rsid w:val="001A5CAA"/>
    <w:rsid w:val="001B0427"/>
    <w:rsid w:val="001B34AF"/>
    <w:rsid w:val="001C097D"/>
    <w:rsid w:val="001C2EE1"/>
    <w:rsid w:val="001D3A51"/>
    <w:rsid w:val="001E10D2"/>
    <w:rsid w:val="001E25B4"/>
    <w:rsid w:val="001E44FE"/>
    <w:rsid w:val="00200595"/>
    <w:rsid w:val="00204835"/>
    <w:rsid w:val="00231920"/>
    <w:rsid w:val="0023195C"/>
    <w:rsid w:val="00235DA9"/>
    <w:rsid w:val="0024282C"/>
    <w:rsid w:val="002460DC"/>
    <w:rsid w:val="00250985"/>
    <w:rsid w:val="002556F6"/>
    <w:rsid w:val="00283105"/>
    <w:rsid w:val="00284C4C"/>
    <w:rsid w:val="00287E68"/>
    <w:rsid w:val="00287ED5"/>
    <w:rsid w:val="00296529"/>
    <w:rsid w:val="002B27FB"/>
    <w:rsid w:val="002B685A"/>
    <w:rsid w:val="002B7540"/>
    <w:rsid w:val="002C57D2"/>
    <w:rsid w:val="002D0EB1"/>
    <w:rsid w:val="002E0D56"/>
    <w:rsid w:val="00315186"/>
    <w:rsid w:val="003223C1"/>
    <w:rsid w:val="0033343E"/>
    <w:rsid w:val="003512C2"/>
    <w:rsid w:val="00371FB6"/>
    <w:rsid w:val="003763C1"/>
    <w:rsid w:val="00376BBE"/>
    <w:rsid w:val="0039224F"/>
    <w:rsid w:val="003941B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E96"/>
    <w:rsid w:val="00471A80"/>
    <w:rsid w:val="004D305E"/>
    <w:rsid w:val="004D4277"/>
    <w:rsid w:val="00502516"/>
    <w:rsid w:val="00505F06"/>
    <w:rsid w:val="00506828"/>
    <w:rsid w:val="00513E7D"/>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E8C"/>
    <w:rsid w:val="006B21D3"/>
    <w:rsid w:val="006B57D0"/>
    <w:rsid w:val="006D30FF"/>
    <w:rsid w:val="006D6940"/>
    <w:rsid w:val="006F11EC"/>
    <w:rsid w:val="0070082C"/>
    <w:rsid w:val="007369E6"/>
    <w:rsid w:val="00746E59"/>
    <w:rsid w:val="00754C9A"/>
    <w:rsid w:val="0075599A"/>
    <w:rsid w:val="00761D52"/>
    <w:rsid w:val="0076207D"/>
    <w:rsid w:val="00770242"/>
    <w:rsid w:val="0077749E"/>
    <w:rsid w:val="00784ED1"/>
    <w:rsid w:val="00790ADA"/>
    <w:rsid w:val="007D2288"/>
    <w:rsid w:val="007E088F"/>
    <w:rsid w:val="007F7B32"/>
    <w:rsid w:val="00804BC2"/>
    <w:rsid w:val="0081431A"/>
    <w:rsid w:val="008206FC"/>
    <w:rsid w:val="0083216F"/>
    <w:rsid w:val="00860000"/>
    <w:rsid w:val="00863BD3"/>
    <w:rsid w:val="008641ED"/>
    <w:rsid w:val="00866D66"/>
    <w:rsid w:val="008671C6"/>
    <w:rsid w:val="00875803"/>
    <w:rsid w:val="008B459E"/>
    <w:rsid w:val="008D20B5"/>
    <w:rsid w:val="008E13AE"/>
    <w:rsid w:val="008E1506"/>
    <w:rsid w:val="008E4381"/>
    <w:rsid w:val="008E567A"/>
    <w:rsid w:val="008E710C"/>
    <w:rsid w:val="008F69D6"/>
    <w:rsid w:val="00902823"/>
    <w:rsid w:val="00910788"/>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C5F"/>
    <w:rsid w:val="00A51431"/>
    <w:rsid w:val="00A539AD"/>
    <w:rsid w:val="00A94063"/>
    <w:rsid w:val="00AA6219"/>
    <w:rsid w:val="00AA74E0"/>
    <w:rsid w:val="00AB703F"/>
    <w:rsid w:val="00AB7E50"/>
    <w:rsid w:val="00AC6BB8"/>
    <w:rsid w:val="00AE008F"/>
    <w:rsid w:val="00B01FCD"/>
    <w:rsid w:val="00B1776C"/>
    <w:rsid w:val="00B23916"/>
    <w:rsid w:val="00B52583"/>
    <w:rsid w:val="00B52896"/>
    <w:rsid w:val="00B95236"/>
    <w:rsid w:val="00B96BD9"/>
    <w:rsid w:val="00BA1B01"/>
    <w:rsid w:val="00BA2641"/>
    <w:rsid w:val="00BB37AA"/>
    <w:rsid w:val="00BB60DB"/>
    <w:rsid w:val="00BC53A0"/>
    <w:rsid w:val="00BE4482"/>
    <w:rsid w:val="00BE62AD"/>
    <w:rsid w:val="00BF121F"/>
    <w:rsid w:val="00BF1D15"/>
    <w:rsid w:val="00BF1F80"/>
    <w:rsid w:val="00BF4040"/>
    <w:rsid w:val="00C15D5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A91"/>
    <w:rsid w:val="00DC2A65"/>
    <w:rsid w:val="00DE15F0"/>
    <w:rsid w:val="00DE3490"/>
    <w:rsid w:val="00DE5663"/>
    <w:rsid w:val="00DE78AA"/>
    <w:rsid w:val="00E053D0"/>
    <w:rsid w:val="00E15994"/>
    <w:rsid w:val="00E3114E"/>
    <w:rsid w:val="00E31A70"/>
    <w:rsid w:val="00E35B02"/>
    <w:rsid w:val="00E655E6"/>
    <w:rsid w:val="00E66496"/>
    <w:rsid w:val="00E66B35"/>
    <w:rsid w:val="00E66E10"/>
    <w:rsid w:val="00E769F6"/>
    <w:rsid w:val="00E8111D"/>
    <w:rsid w:val="00E8407C"/>
    <w:rsid w:val="00E84F3C"/>
    <w:rsid w:val="00EA012C"/>
    <w:rsid w:val="00EA7A7A"/>
    <w:rsid w:val="00EB0E30"/>
    <w:rsid w:val="00EC6A55"/>
    <w:rsid w:val="00ED0288"/>
    <w:rsid w:val="00ED20E9"/>
    <w:rsid w:val="00EE04EB"/>
    <w:rsid w:val="00EE52CB"/>
    <w:rsid w:val="00EF581D"/>
    <w:rsid w:val="00EF7FD8"/>
    <w:rsid w:val="00F06F59"/>
    <w:rsid w:val="00F17988"/>
    <w:rsid w:val="00F469F0"/>
    <w:rsid w:val="00F53273"/>
    <w:rsid w:val="00F54485"/>
    <w:rsid w:val="00F755E4"/>
    <w:rsid w:val="00F77D02"/>
    <w:rsid w:val="00F9435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D216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3941BF"/>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DE34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3490"/>
    <w:rPr>
      <w:color w:val="808080"/>
    </w:rPr>
  </w:style>
  <w:style w:type="character" w:styleId="Strong">
    <w:name w:val="Strong"/>
    <w:basedOn w:val="DefaultParagraphFont"/>
    <w:uiPriority w:val="22"/>
    <w:qFormat/>
    <w:rsid w:val="00910788"/>
    <w:rPr>
      <w:b/>
      <w:bCs/>
    </w:rPr>
  </w:style>
  <w:style w:type="paragraph" w:styleId="Subtitle">
    <w:name w:val="Subtitle"/>
    <w:basedOn w:val="Normal"/>
    <w:next w:val="Normal"/>
    <w:link w:val="SubtitleChar"/>
    <w:qFormat/>
    <w:rsid w:val="00513E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3E7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9E6A-02E0-44E8-A381-DA2EA313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18</Pages>
  <Words>18989</Words>
  <Characters>108242</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126978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Editor-14</cp:lastModifiedBy>
  <cp:revision>9</cp:revision>
  <cp:lastPrinted>1999-07-06T11:00:00Z</cp:lastPrinted>
  <dcterms:created xsi:type="dcterms:W3CDTF">2025-02-03T20:37:00Z</dcterms:created>
  <dcterms:modified xsi:type="dcterms:W3CDTF">2025-02-05T06:44:00Z</dcterms:modified>
</cp:coreProperties>
</file>