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DCE9" w14:textId="77777777" w:rsidR="001C097D" w:rsidRPr="001C097D" w:rsidRDefault="001C097D" w:rsidP="001C097D">
      <w:pPr>
        <w:pStyle w:val="Title"/>
        <w:jc w:val="both"/>
        <w:rPr>
          <w:rFonts w:ascii="Arial" w:hAnsi="Arial" w:cs="Arial"/>
          <w:bCs/>
          <w:i/>
          <w:iCs/>
          <w:u w:val="single"/>
        </w:rPr>
      </w:pPr>
      <w:r w:rsidRPr="001C097D">
        <w:rPr>
          <w:rFonts w:ascii="Arial" w:hAnsi="Arial" w:cs="Arial"/>
          <w:bCs/>
          <w:i/>
          <w:iCs/>
          <w:u w:val="single"/>
        </w:rPr>
        <w:t>Original Research Article</w:t>
      </w:r>
    </w:p>
    <w:p w14:paraId="10CBEF45" w14:textId="77777777" w:rsidR="00754C9A" w:rsidRDefault="00754C9A" w:rsidP="00441B6F">
      <w:pPr>
        <w:pStyle w:val="Title"/>
        <w:spacing w:after="0"/>
        <w:jc w:val="both"/>
        <w:rPr>
          <w:rFonts w:ascii="Arial" w:hAnsi="Arial" w:cs="Arial"/>
        </w:rPr>
      </w:pPr>
    </w:p>
    <w:p w14:paraId="7AA6DCF1" w14:textId="77777777" w:rsidR="00287ED5" w:rsidRPr="00EE04EB" w:rsidRDefault="00287ED5" w:rsidP="00287ED5">
      <w:pPr>
        <w:spacing w:line="276" w:lineRule="auto"/>
        <w:jc w:val="both"/>
        <w:rPr>
          <w:rFonts w:ascii="Arial" w:eastAsia="Calibri" w:hAnsi="Arial" w:cs="Arial"/>
          <w:b/>
          <w:bCs/>
          <w:kern w:val="2"/>
          <w:sz w:val="22"/>
          <w:szCs w:val="22"/>
          <w14:ligatures w14:val="standardContextual"/>
        </w:rPr>
      </w:pPr>
      <w:r w:rsidRPr="00EE04EB">
        <w:rPr>
          <w:rFonts w:ascii="Arial" w:eastAsia="Calibri" w:hAnsi="Arial" w:cs="Arial"/>
          <w:b/>
          <w:bCs/>
          <w:kern w:val="2"/>
          <w:sz w:val="22"/>
          <w:szCs w:val="22"/>
          <w14:ligatures w14:val="standardContextual"/>
        </w:rPr>
        <w:t>Assessing the adequacy of existing risk management programs for the safety of old dams: The case of Mindu dam in Morogoro Municipality.</w:t>
      </w:r>
    </w:p>
    <w:p w14:paraId="4F3E9886" w14:textId="77777777" w:rsidR="00790ADA" w:rsidRPr="00F54485" w:rsidRDefault="00790ADA" w:rsidP="00441B6F">
      <w:pPr>
        <w:pStyle w:val="Affiliation"/>
        <w:spacing w:after="0" w:line="240" w:lineRule="auto"/>
        <w:jc w:val="both"/>
        <w:rPr>
          <w:rFonts w:ascii="Arial" w:hAnsi="Arial" w:cs="Arial"/>
        </w:rPr>
      </w:pPr>
    </w:p>
    <w:p w14:paraId="747EAA21" w14:textId="77777777" w:rsidR="000E2D4C" w:rsidRPr="00F54485" w:rsidRDefault="000E2D4C" w:rsidP="00441B6F">
      <w:pPr>
        <w:pStyle w:val="Affiliation"/>
        <w:spacing w:after="0" w:line="240" w:lineRule="auto"/>
        <w:jc w:val="both"/>
        <w:rPr>
          <w:rFonts w:ascii="Arial" w:hAnsi="Arial" w:cs="Arial"/>
        </w:rPr>
      </w:pPr>
    </w:p>
    <w:p w14:paraId="2F6E349B" w14:textId="77777777" w:rsidR="00B01FCD" w:rsidRPr="00FB3A86" w:rsidRDefault="00FB3A86" w:rsidP="00441B6F">
      <w:pPr>
        <w:pStyle w:val="Copyright"/>
        <w:spacing w:after="0" w:line="240" w:lineRule="auto"/>
        <w:jc w:val="both"/>
        <w:rPr>
          <w:rFonts w:ascii="Arial" w:hAnsi="Arial" w:cs="Arial"/>
        </w:rPr>
        <w:sectPr w:rsidR="00B01FCD" w:rsidRPr="00FB3A86" w:rsidSect="000E2D4C">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1296" w:gutter="0"/>
          <w:cols w:space="720"/>
          <w:docGrid w:linePitch="272"/>
        </w:sectPr>
      </w:pPr>
      <w:r>
        <w:rPr>
          <w:rFonts w:ascii="Arial" w:hAnsi="Arial" w:cs="Arial"/>
        </w:rPr>
        <w:t>.</w:t>
      </w:r>
    </w:p>
    <w:p w14:paraId="31E4F5AD"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7B1BF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454E96" w:rsidRPr="00454E96" w14:paraId="6ADF5EDB" w14:textId="77777777" w:rsidTr="00454E96">
        <w:tc>
          <w:tcPr>
            <w:tcW w:w="9576" w:type="dxa"/>
            <w:shd w:val="clear" w:color="auto" w:fill="F2F2F2"/>
          </w:tcPr>
          <w:p w14:paraId="47EC6167" w14:textId="760862C6" w:rsidR="00F9435F" w:rsidRPr="00224267" w:rsidRDefault="00F9435F" w:rsidP="00F9435F">
            <w:pPr>
              <w:spacing w:line="276" w:lineRule="auto"/>
              <w:contextualSpacing/>
              <w:rPr>
                <w:rFonts w:ascii="Arial" w:eastAsia="Calibri" w:hAnsi="Arial" w:cs="Arial"/>
                <w:kern w:val="2"/>
                <w14:ligatures w14:val="standardContextual"/>
              </w:rPr>
            </w:pPr>
            <w:r w:rsidRPr="00355F0D">
              <w:rPr>
                <w:rFonts w:ascii="Arial" w:eastAsia="Calibri" w:hAnsi="Arial" w:cs="Arial"/>
                <w:kern w:val="2"/>
                <w14:ligatures w14:val="standardContextual"/>
              </w:rPr>
              <w:t xml:space="preserve">While structural evaluations of medium-to-large government-managed dams are common, small public-owned dams like Mindu remain critically understudied despite their vulnerability to failures. This study evaluates the adequacy of existing risk management programs for aging dams in developing countries, with a focus on the Mindu Dam in Morogoro Municipality, Tanzania. The study's </w:t>
            </w:r>
            <w:r>
              <w:rPr>
                <w:rFonts w:ascii="Arial" w:eastAsia="Calibri" w:hAnsi="Arial" w:cs="Arial"/>
                <w:kern w:val="2"/>
                <w14:ligatures w14:val="standardContextual"/>
              </w:rPr>
              <w:t>three</w:t>
            </w:r>
            <w:r w:rsidRPr="00355F0D">
              <w:rPr>
                <w:rFonts w:ascii="Arial" w:eastAsia="Calibri" w:hAnsi="Arial" w:cs="Arial"/>
                <w:kern w:val="2"/>
                <w14:ligatures w14:val="standardContextual"/>
              </w:rPr>
              <w:t xml:space="preserve"> main goals are to: (1) determine whether Mindu Dam's safety practices comply with international standards, and (2) suggest context-sensitive policy improvements for aging dams in resource-constrained settings</w:t>
            </w:r>
            <w:r>
              <w:rPr>
                <w:rFonts w:ascii="Arial" w:eastAsia="Calibri" w:hAnsi="Arial" w:cs="Arial"/>
                <w:kern w:val="2"/>
                <w14:ligatures w14:val="standardContextual"/>
              </w:rPr>
              <w:t xml:space="preserve"> and</w:t>
            </w:r>
            <w:r w:rsidR="002D0EB1">
              <w:rPr>
                <w:rFonts w:ascii="Arial" w:eastAsia="Calibri" w:hAnsi="Arial" w:cs="Arial"/>
                <w:kern w:val="2"/>
                <w14:ligatures w14:val="standardContextual"/>
              </w:rPr>
              <w:t>(3)</w:t>
            </w:r>
            <w:bookmarkStart w:id="0" w:name="_GoBack"/>
            <w:bookmarkEnd w:id="0"/>
            <w:r>
              <w:rPr>
                <w:rFonts w:ascii="Arial" w:eastAsia="Calibri" w:hAnsi="Arial" w:cs="Arial"/>
                <w:kern w:val="2"/>
                <w14:ligatures w14:val="standardContextual"/>
              </w:rPr>
              <w:t xml:space="preserve"> to identify </w:t>
            </w:r>
            <w:r w:rsidRPr="00224267">
              <w:rPr>
                <w:rFonts w:ascii="Arial" w:eastAsia="Calibri" w:hAnsi="Arial" w:cs="Arial"/>
                <w:kern w:val="2"/>
                <w14:ligatures w14:val="standardContextual"/>
              </w:rPr>
              <w:t>The Variables Influencing Mindu Dam Safety Issues</w:t>
            </w:r>
          </w:p>
          <w:p w14:paraId="52618821" w14:textId="77777777" w:rsidR="00F9435F" w:rsidRPr="00355F0D" w:rsidRDefault="00F9435F" w:rsidP="00F9435F">
            <w:pPr>
              <w:spacing w:line="276" w:lineRule="auto"/>
              <w:rPr>
                <w:rFonts w:ascii="Arial" w:eastAsia="Calibri" w:hAnsi="Arial" w:cs="Arial"/>
                <w:kern w:val="2"/>
                <w14:ligatures w14:val="standardContextual"/>
              </w:rPr>
            </w:pPr>
          </w:p>
          <w:p w14:paraId="02B0406B" w14:textId="77777777" w:rsidR="00F9435F" w:rsidRPr="00355F0D" w:rsidRDefault="00F9435F" w:rsidP="00F9435F">
            <w:pPr>
              <w:spacing w:line="276" w:lineRule="auto"/>
              <w:rPr>
                <w:rFonts w:ascii="Arial" w:eastAsia="Calibri" w:hAnsi="Arial" w:cs="Arial"/>
                <w:kern w:val="2"/>
                <w14:ligatures w14:val="standardContextual"/>
              </w:rPr>
            </w:pPr>
            <w:r w:rsidRPr="00355F0D">
              <w:rPr>
                <w:rFonts w:ascii="Arial" w:eastAsia="Calibri" w:hAnsi="Arial" w:cs="Arial"/>
                <w:kern w:val="2"/>
                <w14:ligatures w14:val="standardContextual"/>
              </w:rPr>
              <w:t xml:space="preserve">A prime example of neglected ageing infrastructure is Mindu Dam, a small, publicly owned project built in 1978 for irrigation and municipal water supply. Due to its deteriorating state, antiquated design guidelines, and close proximity to heavily populated areas, it has been designated as a "high-risk" dam. The study's methodology combines both quantitative and qualitative techniques: criteria for "minimum" to "best" standards are informed by a global policy evaluation of dam safety frameworks, such as World Bank guidelines. Field surveys, soil erosion evaluations, vegetation </w:t>
            </w:r>
            <w:r>
              <w:rPr>
                <w:rFonts w:ascii="Arial" w:eastAsia="Calibri" w:hAnsi="Arial" w:cs="Arial"/>
                <w:kern w:val="2"/>
                <w14:ligatures w14:val="standardContextual"/>
              </w:rPr>
              <w:t>observation,</w:t>
            </w:r>
            <w:r w:rsidRPr="00355F0D">
              <w:rPr>
                <w:rFonts w:ascii="Arial" w:eastAsia="Calibri" w:hAnsi="Arial" w:cs="Arial"/>
                <w:kern w:val="2"/>
                <w14:ligatures w14:val="standardContextual"/>
              </w:rPr>
              <w:t xml:space="preserve"> </w:t>
            </w:r>
            <w:r>
              <w:rPr>
                <w:rFonts w:ascii="Arial" w:eastAsia="Calibri" w:hAnsi="Arial" w:cs="Arial"/>
                <w:kern w:val="2"/>
                <w14:ligatures w14:val="standardContextual"/>
              </w:rPr>
              <w:t xml:space="preserve">through field </w:t>
            </w:r>
            <w:r w:rsidRPr="00355F0D">
              <w:rPr>
                <w:rFonts w:ascii="Arial" w:eastAsia="Calibri" w:hAnsi="Arial" w:cs="Arial"/>
                <w:kern w:val="2"/>
                <w14:ligatures w14:val="standardContextual"/>
              </w:rPr>
              <w:t>inspections</w:t>
            </w:r>
            <w:r>
              <w:rPr>
                <w:rFonts w:ascii="Arial" w:eastAsia="Calibri" w:hAnsi="Arial" w:cs="Arial"/>
                <w:kern w:val="2"/>
                <w14:ligatures w14:val="standardContextual"/>
              </w:rPr>
              <w:t xml:space="preserve"> which </w:t>
            </w:r>
            <w:r w:rsidRPr="00355F0D">
              <w:rPr>
                <w:rFonts w:ascii="Arial" w:eastAsia="Calibri" w:hAnsi="Arial" w:cs="Arial"/>
                <w:kern w:val="2"/>
                <w14:ligatures w14:val="standardContextual"/>
              </w:rPr>
              <w:t>were carried out for Mindu</w:t>
            </w:r>
            <w:r>
              <w:rPr>
                <w:rFonts w:ascii="Arial" w:eastAsia="Calibri" w:hAnsi="Arial" w:cs="Arial"/>
                <w:kern w:val="2"/>
                <w14:ligatures w14:val="standardContextual"/>
              </w:rPr>
              <w:t xml:space="preserve"> in 2023</w:t>
            </w:r>
            <w:r w:rsidRPr="00355F0D">
              <w:rPr>
                <w:rFonts w:ascii="Arial" w:eastAsia="Calibri" w:hAnsi="Arial" w:cs="Arial"/>
                <w:kern w:val="2"/>
                <w14:ligatures w14:val="standardContextual"/>
              </w:rPr>
              <w:t>. Technical data was augmented by structured interviews with 45 stakeholders, including local residents and dam operators.</w:t>
            </w:r>
          </w:p>
          <w:p w14:paraId="3EA407F6" w14:textId="77777777" w:rsidR="00F9435F" w:rsidRPr="00355F0D" w:rsidRDefault="00F9435F" w:rsidP="00F9435F">
            <w:pPr>
              <w:spacing w:line="276" w:lineRule="auto"/>
              <w:rPr>
                <w:rFonts w:ascii="Arial" w:eastAsia="Calibri" w:hAnsi="Arial" w:cs="Arial"/>
                <w:kern w:val="2"/>
                <w14:ligatures w14:val="standardContextual"/>
              </w:rPr>
            </w:pPr>
            <w:r w:rsidRPr="00EA1EA9">
              <w:rPr>
                <w:rFonts w:ascii="Arial" w:eastAsia="Calibri" w:hAnsi="Arial" w:cs="Arial"/>
                <w:kern w:val="2"/>
                <w14:ligatures w14:val="standardContextual"/>
              </w:rPr>
              <w:t>The findings indicate systemic deficiencies</w:t>
            </w:r>
            <w:r>
              <w:rPr>
                <w:rFonts w:ascii="Arial" w:eastAsia="Calibri" w:hAnsi="Arial" w:cs="Arial"/>
                <w:kern w:val="2"/>
                <w14:ligatures w14:val="standardContextual"/>
              </w:rPr>
              <w:t xml:space="preserve">, </w:t>
            </w:r>
            <w:r w:rsidRPr="00EA1EA9">
              <w:rPr>
                <w:rFonts w:ascii="Arial" w:eastAsia="Calibri" w:hAnsi="Arial" w:cs="Arial"/>
                <w:kern w:val="2"/>
                <w14:ligatures w14:val="standardContextual"/>
              </w:rPr>
              <w:t>80% of respondents identify that a reservoir perimeter experiences erosion from encroaching agricultural, 40% report that spillway capacity is below current flood projections, and 100% state that dam outlets show advanced corrosion. Because they lack regular monitoring and emergency response plans, risk management procedures fall short of even "minimum" criteria. The report incorporates World Bank recommendations into a tiered policy framework, giving institutional changes like required inspections for private dams and urgent repairs like outlet replacement priority.</w:t>
            </w:r>
          </w:p>
          <w:p w14:paraId="35D23FF6" w14:textId="77777777" w:rsidR="00F9435F" w:rsidRPr="00355F0D" w:rsidRDefault="00F9435F" w:rsidP="00F9435F">
            <w:pPr>
              <w:spacing w:line="276" w:lineRule="auto"/>
              <w:rPr>
                <w:rFonts w:ascii="Arial" w:eastAsia="Calibri" w:hAnsi="Arial" w:cs="Arial"/>
                <w:kern w:val="2"/>
                <w14:ligatures w14:val="standardContextual"/>
              </w:rPr>
            </w:pPr>
            <w:r w:rsidRPr="00355F0D">
              <w:rPr>
                <w:rFonts w:ascii="Arial" w:eastAsia="Calibri" w:hAnsi="Arial" w:cs="Arial"/>
                <w:kern w:val="2"/>
                <w14:ligatures w14:val="standardContextual"/>
              </w:rPr>
              <w:t>For ageing dams, this study emphasizes the need to switch from informal management to systematic risk-based methods. It offers policymakers in developing nations a repeatable model for addressing governance inadequacies in infrastructure by striking a balance between socioeconomic viability and technical rigor.</w:t>
            </w:r>
          </w:p>
          <w:p w14:paraId="2F36F846" w14:textId="77777777" w:rsidR="00505F06" w:rsidRPr="00454E96" w:rsidRDefault="00505F06" w:rsidP="00F9435F">
            <w:pPr>
              <w:spacing w:line="276" w:lineRule="auto"/>
              <w:rPr>
                <w:rFonts w:ascii="Arial" w:eastAsia="Calibri" w:hAnsi="Arial" w:cs="Arial"/>
                <w:szCs w:val="22"/>
              </w:rPr>
            </w:pPr>
          </w:p>
        </w:tc>
      </w:tr>
    </w:tbl>
    <w:p w14:paraId="1646F810" w14:textId="77777777" w:rsidR="00636EB2" w:rsidRDefault="00636EB2" w:rsidP="00441B6F">
      <w:pPr>
        <w:pStyle w:val="Body"/>
        <w:spacing w:after="0"/>
        <w:rPr>
          <w:rFonts w:ascii="Arial" w:hAnsi="Arial" w:cs="Arial"/>
          <w:i/>
        </w:rPr>
      </w:pPr>
    </w:p>
    <w:p w14:paraId="3BA74512" w14:textId="77777777" w:rsidR="00287ED5" w:rsidRPr="00D62A3B" w:rsidRDefault="00287ED5" w:rsidP="00287ED5">
      <w:pPr>
        <w:spacing w:line="276" w:lineRule="auto"/>
        <w:rPr>
          <w:rFonts w:ascii="Arial" w:eastAsia="Calibri" w:hAnsi="Arial" w:cs="Arial"/>
          <w:b/>
          <w:bCs/>
          <w:kern w:val="2"/>
          <w14:ligatures w14:val="standardContextual"/>
        </w:rPr>
      </w:pPr>
      <w:r w:rsidRPr="007F4CB2">
        <w:rPr>
          <w:rFonts w:ascii="Arial" w:eastAsia="Calibri" w:hAnsi="Arial" w:cs="Arial"/>
          <w:b/>
          <w:bCs/>
          <w:kern w:val="2"/>
          <w14:ligatures w14:val="standardContextual"/>
        </w:rPr>
        <w:t>Keywords:</w:t>
      </w:r>
      <w:r w:rsidRPr="007F4CB2">
        <w:rPr>
          <w:rFonts w:ascii="Arial" w:eastAsia="Calibri" w:hAnsi="Arial" w:cs="Arial"/>
          <w:kern w:val="2"/>
          <w14:ligatures w14:val="standardContextual"/>
        </w:rPr>
        <w:t xml:space="preserve"> </w:t>
      </w:r>
      <w:r w:rsidRPr="007F4CB2">
        <w:rPr>
          <w:rFonts w:ascii="Arial" w:eastAsia="Calibri" w:hAnsi="Arial" w:cs="Arial"/>
          <w:i/>
          <w:kern w:val="2"/>
          <w14:ligatures w14:val="standardContextual"/>
        </w:rPr>
        <w:t>Policy Benchmarks, Dam Safety, Mindu-Morogoro, RUWA</w:t>
      </w:r>
    </w:p>
    <w:p w14:paraId="1B11936A" w14:textId="77777777" w:rsidR="00505F06" w:rsidRPr="00A24E7E" w:rsidRDefault="00505F06" w:rsidP="00441B6F">
      <w:pPr>
        <w:pStyle w:val="Body"/>
        <w:spacing w:after="0"/>
        <w:rPr>
          <w:rFonts w:ascii="Arial" w:hAnsi="Arial" w:cs="Arial"/>
          <w:i/>
        </w:rPr>
      </w:pPr>
    </w:p>
    <w:p w14:paraId="0C51151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287ED5">
        <w:rPr>
          <w:rFonts w:ascii="Arial" w:hAnsi="Arial" w:cs="Arial"/>
        </w:rPr>
        <w:t xml:space="preserve"> </w:t>
      </w:r>
    </w:p>
    <w:p w14:paraId="1DA3B794" w14:textId="77777777" w:rsidR="00790ADA" w:rsidRPr="00FB3A86" w:rsidRDefault="00790ADA" w:rsidP="00441B6F">
      <w:pPr>
        <w:pStyle w:val="AbstHead"/>
        <w:spacing w:after="0"/>
        <w:jc w:val="both"/>
        <w:rPr>
          <w:rFonts w:ascii="Arial" w:hAnsi="Arial" w:cs="Arial"/>
        </w:rPr>
      </w:pPr>
    </w:p>
    <w:p w14:paraId="4AE34711" w14:textId="77777777" w:rsidR="00F9435F" w:rsidRDefault="00F9435F" w:rsidP="00F9435F">
      <w:pPr>
        <w:spacing w:line="276" w:lineRule="auto"/>
        <w:rPr>
          <w:rFonts w:ascii="Arial" w:eastAsia="Calibri" w:hAnsi="Arial" w:cs="Arial"/>
          <w:kern w:val="2"/>
          <w14:ligatures w14:val="standardContextual"/>
        </w:rPr>
      </w:pPr>
      <w:r w:rsidRPr="007F4CB2">
        <w:rPr>
          <w:rFonts w:ascii="Arial" w:eastAsia="Calibri" w:hAnsi="Arial" w:cs="Arial"/>
          <w:kern w:val="2"/>
          <w14:ligatures w14:val="standardContextual"/>
        </w:rPr>
        <w:t xml:space="preserve">Dam safety is a critical global concern as the world continues to rely on dams for various purposes such as water storage, irrigation, hydropower generation, and flood control </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{"citationItems":[{"id":"ITEM-1","itemData":{"author":[{"dropping-particle":"","family":"Pisaniello","given":"John D","non-dropping-particle":"","parse-names":false,"suffix":""}],"container-title":"William &amp; Mary Environmental Law &amp; Policy Review","id":"ITEM-1","issue":"2","issued":{"date-parts":[["2011"]]},"title":"A Comparative Review of Environmental Policies and Laws Involving Hazardous Private Dams : ' Appropriate ' Practice Models for Safe Catchments","type":"article-journal","volume":"35"},"uris":["http://www.mendeley.com/documents/?uuid=31768a6d-26a4-4816-8251-e7bdde7539f4","http://www.mendeley.com/documents/?uuid=1d46ba74-2d6b-48cc-ac8e-a3eaa4f1e08e","http://www.mendeley.com/documents/?uuid=88c0a796-0df3-4bcb-8e57-5dc97b04ebc8"]},{"id":"ITEM-2","itemData":{"DOI":"10.1080/20964129.2018.1549510","ISSN":"23328878","abstract":"Introduction: The benefit of wetlands for reducing poverty depends on the effectiveness of governance systems that influence peoples’ behaviour in the wise use of wetlands. Objectives: This article critically analyses the current poverty reduction strategies, agrarian policies and economic investments governing wetland usage, especially in Tanzania, with regard to their impact on sustainable Ramsar wetlands management. Methodology: It analyses the management structure, domestic policies and legal framework relating to the protection of wetlands in Tanzania in accordance to the wise use concept of the Ramsar Convention. Outcomes: Tanzanian legal provisions for wetland protection are uncoordinated and too limited in their coverage and scope to sufficiently address the destruction of wetland ecosystems. There is no comprehensive national legal framework to guide sustainable management of Ramsar wetlands in Tanzania as laid out by the Ramsar Convention, which the country ratified in the year 2000. Conclusion: Without a sound legislative and policy-making framework, Tanzanian wetlands and their diverse ecosystem services will continue to degenerate with current strategies of increasing agribusiness and other developmental projects or economic investments. This paper provides critical baseline information to inform decision makers to develop appropriate policy and laws, which promote the wise use of wetlands in Tanzania.","author":[{"dropping-particle":"","family":"Materu","given":"Silvia Francis","non-dropping-particle":"","parse-names":false,"suffix":""},{"dropping-particle":"","family":"Urban","given":"Brigitte","non-dropping-particle":"","parse-names":false,"suffix":""},{"dropping-particle":"","family":"Heise","given":"Susanne","non-dropping-particle":"","parse-names":false,"suffix":""}],"container-title":"Ecosystem Health and Sustainability","id":"ITEM-2","issue":"12","issued":{"date-parts":[["2018"]]},"page":"310-320","publisher":"Taylor &amp; Francis","title":"A critical review of policies and legislation protecting Tanzanian wetlands","type":"article-journal","volume":"4"},"uris":["http://www.mendeley.com/documents/?uuid=25ce1bd3-b145-41e7-9bc4-5026e3220713","http://www.mendeley.com/documents/?uuid=4a9f4fb6-6de0-4fb3-91b3-244e9087c11f","http://www.mendeley.com/documents/?uuid=33f445c4-621f-41cb-8145-a8da99e0a3cf"]}],"mendeley":{"formattedCitation":"(Materu et al., 2018; Pisaniello, 2011)","plainTextFormattedCitation":"(Materu et al., 2018; Pisaniello, 2011)","previouslyFormattedCitation":"(Materu et al., 2018; Pisaniello, 2011)"},"properties":{"noteIndex":0},"schema":"https://github.com/citation-style-language/schema/raw/master/csl-citation.json"}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 xml:space="preserve">(Materu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2018; Pisaniello, 2011)</w:t>
      </w:r>
      <w:r w:rsidRPr="007F4CB2">
        <w:rPr>
          <w:rFonts w:ascii="Arial" w:eastAsia="Calibri" w:hAnsi="Arial" w:cs="Arial"/>
          <w:kern w:val="2"/>
          <w14:ligatures w14:val="standardContextual"/>
        </w:rPr>
        <w:fldChar w:fldCharType="end"/>
      </w:r>
      <w:r w:rsidRPr="007F4CB2">
        <w:rPr>
          <w:rFonts w:ascii="Arial" w:eastAsia="Calibri" w:hAnsi="Arial" w:cs="Arial"/>
          <w:kern w:val="2"/>
          <w14:ligatures w14:val="standardContextual"/>
        </w:rPr>
        <w:t xml:space="preserve">. Ensuring the integrity and safety of dams is paramount to prevent catastrophic failures that can lead to loss of lives, property damage, and environmental degradation. Dams play a crucial role in meeting the water and energy needs of </w:t>
      </w:r>
      <w:r w:rsidRPr="007F4CB2">
        <w:rPr>
          <w:rFonts w:ascii="Arial" w:eastAsia="Calibri" w:hAnsi="Arial" w:cs="Arial"/>
          <w:kern w:val="2"/>
          <w14:ligatures w14:val="standardContextual"/>
        </w:rPr>
        <w:lastRenderedPageBreak/>
        <w:t>many countries worldwide. According to the World Bank, there are over 57,000 large dams (height greater than 15 meters) across the globe, and countless smaller dams, serving a myriad of purposes</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{"citationItems":[{"id":"ITEM-1","itemData":{"ISSN":"1792-9040","abstract":"Dams construction is an old art practiced by man since thousands of years. History of dams shows great innovations in this field, but failure cases, however, indicate gaps in human knowledge of saf ...","author":[{"dropping-particle":"","family":"Adamo","given":"Nasrat","non-dropping-particle":"","parse-names":false,"suffix":""},{"dropping-particle":"","family":"Al-Ansari","given":"Nadhir","non-dropping-particle":"","parse-names":false,"suffix":""},{"dropping-particle":"","family":"Sissakian","given":"Varoujan","non-dropping-particle":"","parse-names":false,"suffix":""},{"dropping-particle":"","family":"Laue","given":"Jan","non-dropping-particle":"","parse-names":false,"suffix":""},{"dropping-particle":"","family":"Knutsson","given":"Sven","non-dropping-particle":"","parse-names":false,"suffix":""}],"container-title":"Journal of Earth Sciences and Geotechnical Engineering","id":"ITEM-1","issue":"6","issued":{"date-parts":[["2020"]]},"page":"1-21","title":"Dam Safety : General Considerations","type":"article-journal","volume":"10"},"uris":["http://www.mendeley.com/documents/?uuid=6cd9284f-68cb-4ba3-b5b1-55afe7d3f635","http://www.mendeley.com/documents/?uuid=3e9558ec-311b-40b9-8717-15b6c9504d38"]}],"mendeley":{"formattedCitation":"(Adamo et al., 2020)","plainTextFormattedCitation":"(Adamo et al., 2020)","previouslyFormattedCitation":"(Adamo et al., 2020)"},"properties":{"noteIndex":0},"schema":"https://github.com/citation-style-language/schema/raw/master/csl-citation.json"}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(Adamo et al., 2020)</w:t>
      </w:r>
      <w:r w:rsidRPr="007F4CB2">
        <w:rPr>
          <w:rFonts w:ascii="Arial" w:eastAsia="Calibri" w:hAnsi="Arial" w:cs="Arial"/>
          <w:kern w:val="2"/>
          <w14:ligatures w14:val="standardContextual"/>
        </w:rPr>
        <w:fldChar w:fldCharType="end"/>
      </w:r>
      <w:r>
        <w:rPr>
          <w:rFonts w:ascii="Arial" w:eastAsia="Calibri" w:hAnsi="Arial" w:cs="Arial"/>
          <w:kern w:val="2"/>
          <w14:ligatures w14:val="standardContextual"/>
        </w:rPr>
        <w:t>.</w:t>
      </w:r>
    </w:p>
    <w:p w14:paraId="0C2A227B" w14:textId="77777777" w:rsidR="00F9435F" w:rsidRPr="007F4CB2" w:rsidRDefault="00F9435F" w:rsidP="00F9435F">
      <w:pPr>
        <w:spacing w:line="276" w:lineRule="auto"/>
        <w:rPr>
          <w:rFonts w:ascii="Arial" w:eastAsia="Calibri" w:hAnsi="Arial" w:cs="Arial"/>
          <w:kern w:val="2"/>
          <w14:ligatures w14:val="standardContextual"/>
        </w:rPr>
      </w:pPr>
      <w:r w:rsidRPr="007F4CB2">
        <w:rPr>
          <w:rFonts w:ascii="Arial" w:eastAsia="Calibri" w:hAnsi="Arial" w:cs="Arial"/>
          <w:kern w:val="2"/>
          <w14:ligatures w14:val="standardContextual"/>
        </w:rPr>
        <w:t xml:space="preserve"> A significant challenge in dam safety is the aging infrastructure. Many dams were constructed decades ago, and their structural integrity may be compromised over time </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{"citationItems":[{"id":"ITEM-1","itemData":{"author":[{"dropping-particle":"","family":"Thi","given":"Tuyet","non-dropping-particle":"","parse-names":false,"suffix":""},{"dropping-particle":"","family":"Burritt","given":"Roger L","non-dropping-particle":"","parse-names":false,"suffix":""},{"dropping-particle":"","family":"Pisaniello","given":"John D","non-dropping-particle":"","parse-names":false,"suffix":""}],"id":"ITEM-1","issued":{"date-parts":[["2012"]]},"page":"63-74","title":"Adequacy of policy and practices for small agricultural dam safety accountability and assurance in Vietnam","type":"article-journal","volume":"112"},"uris":["http://www.mendeley.com/documents/?uuid=0699a18a-07f0-4757-be92-0fb909d5bfd3","http://www.mendeley.com/documents/?uuid=b0236e87-193d-4758-9dc5-4a1a8b442594","http://www.mendeley.com/documents/?uuid=bfe80217-18ff-47c1-98e5-5d66e137ad1a"]},{"id":"ITEM-2","itemData":{"DOI":"10.1108/14635771111121720","ISSN":"14635771","abstract":"Purpose: Farm dam safety in Australia is being flouted and sustainability of catchments compromised because of the potential and severe consequences of dam failure. Hence, the purpose of this paper is to explore policy issues associated with safety of farm dam water storage through a comparison of developments in two Australian states against an analysis of international benchmarks and to provide an exemplar of best practice. Design/methodology/approach: A strategic review and content analysis is firstly undertaken to establish international dam safety policy benchmarks ranging from minimum to best practice as well as selection guidelines for varying circumstances, and to identify an exemplar best practice model. Longitudinal study over a 12-year period then provides the basis for case analysis in order to reinforce the established minimum level benchmark and to demonstrate the application of the benchmarked model policy selection guidelines. Findings: Research results show that in Australia, South Australia is lagging international benchmarks for on-farm dam safety management in a number of ways whilst a second state, Tasmania, provides leadership in this respect. The paper adds to the existing international benchmarking literature by identifying updated international best practice in private/farm dam safety assurance policy whilst establishing and providing longitudinal case study reinforcement for an acceptable minimum level benchmark in this area. The updated policy guidelines presented can be used to determine appropriate dam safety policy for any jurisdiction. Originality/value: The paper provides an original contribution of analysis, establishment and case study validation of international benchmarks and guidelines on developing appropriate dam safety management and assurance policy for varying jurisdictional circumstances. In addition, it provides an updated exemplar of how policy benchmarks can go towards addressing cumulative threats of smaller dams in catchments not previously addressed. © Emerald Group Publishing Limited.","author":[{"dropping-particle":"","family":"Tingey-Holyoak","given":"Joanne","non-dropping-particle":"","parse-names":false,"suffix":""},{"dropping-particle":"","family":"Pisaniello","given":"John D.","non-dropping-particle":"","parse-names":false,"suffix":""},{"dropping-particle":"","family":"Burritt","given":"Roger L.","non-dropping-particle":"","parse-names":false,"suffix":""}],"container-title":"Benchmarking","id":"ITEM-2","issue":"2","issued":{"date-parts":[["2011"]]},"page":"301-317","title":"Analysis and application of international dam safety policy benchmarks","type":"article-journal","volume":"18"},"uris":["http://www.mendeley.com/documents/?uuid=1751773a-65c1-4bc5-9821-3337ae6dc338","http://www.mendeley.com/documents/?uuid=6d7718d1-c9da-4979-bed5-07746a04dd21","http://www.mendeley.com/documents/?uuid=18b9fddf-693c-4d03-bec8-c057a4f5d646"]}],"mendeley":{"formattedCitation":"(Thi et al., 2012; Tingey-Holyoak et al., 2011)","plainTextFormattedCitation":"(Thi et al., 2012; Tingey-Holyoak et al., 2011)","previouslyFormattedCitation":"(Thi et al., 2012; Tingey-Holyoak et al., 2011)"},"properties":{"noteIndex":0},"schema":"https://github.com/citation-style-language/schema/raw/master/csl-citation.json"}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 xml:space="preserve">(Thi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xml:space="preserve">., 2012; Tingey-Holyoak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2011)</w:t>
      </w:r>
      <w:r w:rsidRPr="007F4CB2">
        <w:rPr>
          <w:rFonts w:ascii="Arial" w:eastAsia="Calibri" w:hAnsi="Arial" w:cs="Arial"/>
          <w:kern w:val="2"/>
          <w14:ligatures w14:val="standardContextual"/>
        </w:rPr>
        <w:fldChar w:fldCharType="end"/>
      </w:r>
      <w:r w:rsidRPr="007F4CB2">
        <w:rPr>
          <w:rFonts w:ascii="Arial" w:eastAsia="Calibri" w:hAnsi="Arial" w:cs="Arial"/>
          <w:kern w:val="2"/>
          <w14:ligatures w14:val="standardContextual"/>
        </w:rPr>
        <w:t xml:space="preserve">. The International Commission on Large Dams (ICOLD) estimates that over 60% of the world's large dams are more than 50 years old. Climate change and extreme weather events contribute to the increasing risk factors for dam safety, the frequency and intensity of storms, floods, and other natural disasters pose threats to the stability of dams, making it essential to reassess and reinforce existing safety measures. Dam failures and incidents have occurred globally, underscoring the urgency of prioritizing dam safety </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{"citationItems":[{"id":"ITEM-1","itemData":{"DOI":"10.1080/07900627.2010.489306","ISSN":"07900627","abstract":"The safety of medium- and large-scale dams is addressed in many countries, but limited attention is paid to problems associated with smaller farm dams, particularly potential cumulative threats posed in larger catchments. Farmers in Australia often overlook the common law obligation to review and design dams in line with current standards. The result is downstream communities, property and environment placed at risk. This paper demonstrates the significance of this problem with case studies undertaken in policy-absent South Australia, policy-driven Victoria and policy-strong New South Wales, including empirical evidence on attitudes and responses of landholders and key policy actors. This demonstrates need for supervision of small dams. Tasmania is included as a case study as it represents a policy-model state on how this can be best achieved in line with international best-practice. The four cases provide useful comparative lessons. Policy guidelines applicable to any jurisdiction are included; their application is illustrated with the case studies. The paper considers the policy implications of these lessons for Australia in particular and the world in general. © 2010 Taylor &amp; Francis.","author":[{"dropping-particle":"","family":"Pisaniello","given":"John D.","non-dropping-particle":"","parse-names":false,"suffix":""}],"container-title":"International Journal of Water Resources Development","id":"ITEM-1","issue":"3","issued":{"date-parts":[["2010"]]},"page":"381-402","title":"Attitudes and Policy Responses to Australian farm dam safety threats: Comparative lessons for water resources managers","type":"article-journal","volume":"26"},"uris":["http://www.mendeley.com/documents/?uuid=1c8724b7-25ec-4d70-b869-d9a844243d01","http://www.mendeley.com/documents/?uuid=b57a8500-2eab-4913-8955-1728b03628cb","http://www.mendeley.com/documents/?uuid=80449049-4332-4df0-884e-58df38633fd0"]}],"mendeley":{"formattedCitation":"(Pisaniello, 2010)","plainTextFormattedCitation":"(Pisaniello, 2010)","previouslyFormattedCitation":"(Pisaniello, 2010)"},"properties":{"noteIndex":0},"schema":"https://github.com/citation-style-language/schema/raw/master/csl-citation.json"}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(Pisaniello, 2010)</w:t>
      </w:r>
      <w:r w:rsidRPr="007F4CB2">
        <w:rPr>
          <w:rFonts w:ascii="Arial" w:eastAsia="Calibri" w:hAnsi="Arial" w:cs="Arial"/>
          <w:kern w:val="2"/>
          <w14:ligatures w14:val="standardContextual"/>
        </w:rPr>
        <w:fldChar w:fldCharType="end"/>
      </w:r>
      <w:r w:rsidRPr="007F4CB2">
        <w:rPr>
          <w:rFonts w:ascii="Arial" w:eastAsia="Calibri" w:hAnsi="Arial" w:cs="Arial"/>
          <w:kern w:val="2"/>
          <w14:ligatures w14:val="standardContextual"/>
        </w:rPr>
        <w:t>. Historical events, such as</w:t>
      </w:r>
      <w:r>
        <w:rPr>
          <w:rFonts w:ascii="Arial" w:eastAsia="Calibri" w:hAnsi="Arial" w:cs="Arial"/>
          <w:kern w:val="2"/>
          <w14:ligatures w14:val="standardContextual"/>
        </w:rPr>
        <w:t xml:space="preserve"> that reported by Xu et al., 2008</w:t>
      </w:r>
      <w:r w:rsidRPr="00E656CF">
        <w:rPr>
          <w:rFonts w:ascii="Arial" w:eastAsia="Calibri" w:hAnsi="Arial" w:cs="Arial"/>
          <w:color w:val="000000" w:themeColor="text1"/>
          <w:kern w:val="2"/>
          <w14:ligatures w14:val="standardContextual"/>
        </w:rPr>
        <w:t xml:space="preserve"> have resulted in </w:t>
      </w:r>
      <w:r>
        <w:rPr>
          <w:rFonts w:ascii="Arial" w:eastAsia="Calibri" w:hAnsi="Arial" w:cs="Arial"/>
          <w:color w:val="000000" w:themeColor="text1"/>
          <w:kern w:val="2"/>
          <w14:ligatures w14:val="standardContextual"/>
        </w:rPr>
        <w:t>significant loss of life and highlighted the potential consequences of inadequate safety measures. Various countries and international organisations have established regulatory frameworks and safety standards for dams</w:t>
      </w:r>
      <w:r w:rsidRPr="00E656CF">
        <w:rPr>
          <w:rFonts w:ascii="Arial" w:eastAsia="Calibri" w:hAnsi="Arial" w:cs="Arial"/>
          <w:color w:val="000000" w:themeColor="text1"/>
          <w:kern w:val="2"/>
          <w14:ligatures w14:val="standardContextual"/>
        </w:rPr>
        <w:t xml:space="preserve">. </w:t>
      </w:r>
      <w:r w:rsidRPr="007F4CB2">
        <w:rPr>
          <w:rFonts w:ascii="Arial" w:eastAsia="Calibri" w:hAnsi="Arial" w:cs="Arial"/>
          <w:kern w:val="2"/>
          <w14:ligatures w14:val="standardContextual"/>
        </w:rPr>
        <w:t xml:space="preserve">However, the level of adherence and enforcement varies globally. The World Bank indicates that strengthening regulatory capacities is crucial for enhancing dam safety on a global scale </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{"citationItems":[{"id":"ITEM-1","itemData":{"abstract":"This study evaluates six different approaches to classifying and mapping fire severity using multi-temporal Landsat Thematic Mapper data. The six approaches tested include: two based on temporal image differencing and ratioing between pre-fire and post-fire images, two based on principal component analysis of pre-and post-fire imagery, and two based on artificial neural networks, one using just post-fire imagery and the other both pre-and post-fire imagery. Our results demonstrated the potential value for any of these methods to provide quantitative fire severity maps, but one of the image differencing methods (ND4/7) provided a flexible, robust, and analytically simple approach that could be applied anywhere in the Continental U.S. Based on the results of this test, the ND4/7 was implemented operationally to classify and map fire severity over","author":[{"dropping-particle":"","family":"Brewer","given":"C Kenneth","non-dropping-particle":"","parse-names":false,"suffix":""},{"dropping-particle":"","family":"Winne","given":"J Chris","non-dropping-particle":"","parse-names":false,"suffix":""},{"dropping-particle":"","family":"Redmond","given":"Roland L","non-dropping-particle":"","parse-names":false,"suffix":""},{"dropping-particle":"","family":"Opitz","given":"David W","non-dropping-particle":"","parse-names":false,"suffix":""},{"dropping-particle":"V","family":"Mangrich","given":"Mark","non-dropping-particle":"","parse-names":false,"suffix":""}],"container-title":"Photogrammetric Engineering and Remote Sensing","id":"ITEM-1","issue":"11","issued":{"date-parts":[["2005"]]},"page":"1311-1320","title":"04-001.Qxd","type":"article-journal","volume":"71"},"uris":["http://www.mendeley.com/documents/?uuid=e9d745d8-a98a-4450-b124-526131c58e28","http://www.mendeley.com/documents/?uuid=43927cbe-49a9-43b7-ad7f-b87cb5b48a62","http://www.mendeley.com/documents/?uuid=1b0e9ebe-523a-4862-900d-75af5e4fb1b4"]},{"id":"ITEM-2","itemData":{"DOI":"10.1016/j.agwat.2010.10.001","ISSN":"03783774","abstract":"In most countries, owner responsibility exists under Common Law to manage and maintain dams according to current standards. However, farm dam safety in Australia is being flouted and the sustainability of farming businesses compromised because of the potential and severe consequences of dam failure. This paper explores management and policy issues associated with safety of farm dam water storage through a comparison of developments in two Australian states against international benchmarks. Historical review and a longitudinal study over a 12-year period provides the basis for case analysis and demonstrates the application of the benchmarked model policy selection guidelines. Research results show South Australia is lagging international best practice in a number of ways whilst Tasmania provides leadership. The contribution of this paper is a regulatory mix analysis approach, incorporating a cost-effective spillway safety engineering/accounting tool, developed and demonstrated through Australian case studies, that can be applied by any jurisdiction wanting to check and/or improve its farm dam safety management and provide a clearer analysis of the social and environmental costs and threats associated with on-farm dam safety issues. © 2010.","author":[{"dropping-particle":"","family":"Pisaniello","given":"John D.","non-dropping-particle":"","parse-names":false,"suffix":""},{"dropping-particle":"","family":"Burritt","given":"Roger L.","non-dropping-particle":"","parse-names":false,"suffix":""},{"dropping-particle":"","family":"Tingey-Holyoak","given":"Joanne","non-dropping-particle":"","parse-names":false,"suffix":""}],"container-title":"Agricultural Water Management","id":"ITEM-2","issue":"4","issued":{"date-parts":[["2011"]]},"page":"507-516","publisher":"Elsevier B.V.","title":"Dam safety management for sustainable farming businesses and catchments","type":"article-journal","volume":"98"},"uris":["http://www.mendeley.com/documents/?uuid=46f985a8-d79f-441f-a488-cfd4ff1364b4","http://www.mendeley.com/documents/?uuid=1b1aac02-56cb-4710-811b-935d20a20d33","http://www.mendeley.com/documents/?uuid=8e61fb34-7a12-4b2d-b2f2-d3acf0fe2087"]}],"mendeley":{"formattedCitation":"(Brewer et al., 2005; Pisaniello et al., 2011)","plainTextFormattedCitation":"(Brewer et al., 2005; Pisaniello et al., 2011)","previouslyFormattedCitation":"(Brewer et al., 2005; Pisaniello et al., 2011)"},"properties":{"noteIndex":0},"schema":"https://github.com/citation-style-language/schema/raw/master/csl-citation.json"}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 xml:space="preserve">(Brewer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xml:space="preserve">., 2005; Pisaniello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2011)</w:t>
      </w:r>
      <w:r w:rsidRPr="007F4CB2">
        <w:rPr>
          <w:rFonts w:ascii="Arial" w:eastAsia="Calibri" w:hAnsi="Arial" w:cs="Arial"/>
          <w:kern w:val="2"/>
          <w14:ligatures w14:val="standardContextual"/>
        </w:rPr>
        <w:fldChar w:fldCharType="end"/>
      </w:r>
      <w:r w:rsidRPr="007F4CB2">
        <w:rPr>
          <w:rFonts w:ascii="Arial" w:eastAsia="Calibri" w:hAnsi="Arial" w:cs="Arial"/>
          <w:kern w:val="2"/>
          <w14:ligatures w14:val="standardContextual"/>
        </w:rPr>
        <w:t>.</w:t>
      </w:r>
    </w:p>
    <w:p w14:paraId="47799137" w14:textId="77777777" w:rsidR="00F9435F" w:rsidRPr="00720FBE" w:rsidRDefault="00F9435F" w:rsidP="00F9435F">
      <w:pPr>
        <w:spacing w:line="276" w:lineRule="auto"/>
        <w:rPr>
          <w:rFonts w:ascii="Arial" w:hAnsi="Arial" w:cs="Arial"/>
        </w:rPr>
      </w:pPr>
      <w:r w:rsidRPr="00720FBE">
        <w:rPr>
          <w:rFonts w:ascii="Arial" w:hAnsi="Arial" w:cs="Arial"/>
        </w:rPr>
        <w:t xml:space="preserve">In Africa, dam safety is a critical concern, given the continent's increasing reliance on dams for various purposes. However, the region faces several challenges related to dam safety, ranging from inadequate infrastructure and maintenance practices to the impact of climate change. A significant number of dams in Africa are aging and may not meet modern safety standards. The lack of proper maintenance and surveillance can lead to potential risks, threatening both human lives and the environment (Perera et al., 2021). According to the World Bank, a substantial percentage of dams in Africa are classified as having high or significant hazard potential, signifying the potential for severe consequences in case of failure. Climate change exacerbates these concerns, as extreme weather events, such as heavy rainfall and floods, become more frequent, inadequate funding and limited technical expertise contribute to the challenges in ensuring dam safety across the continent. Efforts are being made to address these issues, including capacity-building initiatives, collaboration with international organizations, and the development of regional guidelines for dam safety. However, the statistics underscore the urgent need for comprehensive strategies and investments to enhance dam safety in Africa and mitigate potential risks associated with aging infrastructure and the changing climate </w:t>
      </w:r>
      <w:r w:rsidRPr="00720FBE">
        <w:rPr>
          <w:rFonts w:ascii="Arial" w:hAnsi="Arial" w:cs="Arial"/>
        </w:rPr>
        <w:fldChar w:fldCharType="begin" w:fldLock="1"/>
      </w:r>
      <w:r w:rsidRPr="00720FBE">
        <w:rPr>
          <w:rFonts w:ascii="Arial" w:hAnsi="Arial" w:cs="Arial"/>
        </w:rPr>
        <w:instrText xml:space="preserve">ADDIN CSL_CITATION {"citationItems":[{"id":"ITEM-1","itemData":{"author":[{"dropping-particle":"","family":"Arslan et al","given":"","non-dropping-particle":"","parse-names":false,"suffix":""}],"container-title":"AgEcon Search","id":"ITEM-1","issued":{"date-parts":[["2016"]]},"page":"18","title":"This document is discoverable and free to researchers across the globe due to the work of AgEcon Search . Help ensure our sustainability . </w:instrText>
      </w:r>
      <w:r w:rsidRPr="00720FBE">
        <w:rPr>
          <w:rFonts w:ascii="Arial" w:eastAsia="MS Gothic" w:hAnsi="Arial" w:cs="Arial"/>
        </w:rPr>
        <w:instrText>ａ</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ｏ</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ｓＩ</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ｆ</w:instrText>
      </w:r>
      <w:r w:rsidRPr="00720FBE">
        <w:rPr>
          <w:rFonts w:ascii="Arial" w:hAnsi="Arial" w:cs="Arial"/>
        </w:rPr>
        <w:instrText xml:space="preserve"> </w:instrText>
      </w:r>
      <w:r w:rsidRPr="00720FBE">
        <w:rPr>
          <w:rFonts w:ascii="Arial" w:eastAsia="MS Gothic" w:hAnsi="Arial" w:cs="Arial"/>
        </w:rPr>
        <w:instrText>ｌ</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ｅ</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ｇＰ</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ｅｏ</w:instrText>
      </w:r>
      <w:r w:rsidRPr="00720FBE">
        <w:rPr>
          <w:rFonts w:ascii="Arial" w:hAnsi="Arial" w:cs="Arial"/>
        </w:rPr>
        <w:instrText xml:space="preserve"> </w:instrText>
      </w:r>
      <w:r w:rsidRPr="00720FBE">
        <w:rPr>
          <w:rFonts w:ascii="Arial" w:eastAsia="MS Gothic" w:hAnsi="Arial" w:cs="Arial"/>
        </w:rPr>
        <w:instrText>ｆＡ</w:instrText>
      </w:r>
      <w:r w:rsidRPr="00720FBE">
        <w:rPr>
          <w:rFonts w:ascii="Arial" w:hAnsi="Arial" w:cs="Arial"/>
        </w:rPr>
        <w:instrText xml:space="preserve"> </w:instrText>
      </w:r>
      <w:r w:rsidRPr="00720FBE">
        <w:rPr>
          <w:rFonts w:ascii="Arial" w:eastAsia="MS Gothic" w:hAnsi="Arial" w:cs="Arial"/>
        </w:rPr>
        <w:instrText>ｇ</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ｌ</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ａ</w:instrText>
      </w:r>
      <w:r w:rsidRPr="00720FBE">
        <w:rPr>
          <w:rFonts w:ascii="Arial" w:hAnsi="Arial" w:cs="Arial"/>
        </w:rPr>
        <w:instrText xml:space="preserve"> </w:instrText>
      </w:r>
      <w:r w:rsidRPr="00720FBE">
        <w:rPr>
          <w:rFonts w:ascii="Arial" w:eastAsia="MS Gothic" w:hAnsi="Arial" w:cs="Arial"/>
        </w:rPr>
        <w:instrText>ｌＰ</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ｏ</w:instrText>
      </w:r>
      <w:r w:rsidRPr="00720FBE">
        <w:rPr>
          <w:rFonts w:ascii="Arial" w:hAnsi="Arial" w:cs="Arial"/>
        </w:rPr>
        <w:instrText xml:space="preserve"> </w:instrText>
      </w:r>
      <w:r w:rsidRPr="00720FBE">
        <w:rPr>
          <w:rFonts w:ascii="Arial" w:eastAsia="MS Gothic" w:hAnsi="Arial" w:cs="Arial"/>
        </w:rPr>
        <w:instrText>ｄ</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ｓ</w:instrText>
      </w:r>
      <w:r w:rsidRPr="00720FBE">
        <w:rPr>
          <w:rFonts w:ascii="Arial" w:hAnsi="Arial" w:cs="Arial"/>
        </w:rPr>
        <w:instrText xml:space="preserve"> </w:instrText>
      </w:r>
      <w:r w:rsidRPr="00720FBE">
        <w:rPr>
          <w:rFonts w:ascii="Arial" w:eastAsia="MS Gothic" w:hAnsi="Arial" w:cs="Arial"/>
        </w:rPr>
        <w:instrText>ａ</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ｄＳ</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ａ</w:instrText>
      </w:r>
      <w:r w:rsidRPr="00720FBE">
        <w:rPr>
          <w:rFonts w:ascii="Arial" w:hAnsi="Arial" w:cs="Arial"/>
        </w:rPr>
        <w:instrText xml:space="preserve"> </w:instrText>
      </w:r>
      <w:r w:rsidRPr="00720FBE">
        <w:rPr>
          <w:rFonts w:ascii="Arial" w:eastAsia="MS Gothic" w:hAnsi="Arial" w:cs="Arial"/>
        </w:rPr>
        <w:instrText>ｂ</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ｌ</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ｙＣ</w:instrText>
      </w:r>
      <w:r w:rsidRPr="00720FBE">
        <w:rPr>
          <w:rFonts w:ascii="Arial" w:hAnsi="Arial" w:cs="Arial"/>
        </w:rPr>
        <w:instrText xml:space="preserve"> </w:instrText>
      </w:r>
      <w:r w:rsidRPr="00720FBE">
        <w:rPr>
          <w:rFonts w:ascii="Arial" w:eastAsia="MS Gothic" w:hAnsi="Arial" w:cs="Arial"/>
        </w:rPr>
        <w:instrText>ｏ</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ｅ</w:instrText>
      </w:r>
      <w:r w:rsidRPr="00720FBE">
        <w:rPr>
          <w:rFonts w:ascii="Arial" w:hAnsi="Arial" w:cs="Arial"/>
        </w:rPr>
        <w:instrText>","type":"article-journal"},"uris":["http://www.mendeley.com/documents/?uuid=06e0691d-f8e1-42af-9ef5-12d18bc55701","http://www.mendeley.com/documents/?uuid=7daab7b6-5985-4870-9b1e-9d60c0549431"]}],"mendeley":{"formattedCitation":"(Arslan et al, 2016)","plainTextFormattedCitation":"(Arslan et al, 2016)","previouslyFormattedCitation":"(Arslan et al, 2016)"},"properties":{"noteIndex":0},"schema":"https://github.com/citation-style-language/schema/raw/master/csl-citation.json"}</w:instrText>
      </w:r>
      <w:r w:rsidRPr="00720FBE">
        <w:rPr>
          <w:rFonts w:ascii="Arial" w:hAnsi="Arial" w:cs="Arial"/>
        </w:rPr>
        <w:fldChar w:fldCharType="separate"/>
      </w:r>
      <w:r w:rsidRPr="00720FBE">
        <w:rPr>
          <w:rFonts w:ascii="Arial" w:hAnsi="Arial" w:cs="Arial"/>
          <w:noProof/>
        </w:rPr>
        <w:t>(Arslan et al, 2016)</w:t>
      </w:r>
      <w:r w:rsidRPr="00720FBE">
        <w:rPr>
          <w:rFonts w:ascii="Arial" w:hAnsi="Arial" w:cs="Arial"/>
        </w:rPr>
        <w:fldChar w:fldCharType="end"/>
      </w:r>
      <w:r w:rsidRPr="00720FBE">
        <w:rPr>
          <w:rFonts w:ascii="Arial" w:hAnsi="Arial" w:cs="Arial"/>
        </w:rPr>
        <w:t>.</w:t>
      </w:r>
    </w:p>
    <w:p w14:paraId="1DC4BE3A" w14:textId="77777777" w:rsidR="00F9435F" w:rsidRPr="007F4CB2" w:rsidRDefault="00F9435F" w:rsidP="00F9435F">
      <w:pPr>
        <w:spacing w:line="276" w:lineRule="auto"/>
        <w:rPr>
          <w:rFonts w:ascii="Arial" w:eastAsia="Calibri" w:hAnsi="Arial" w:cs="Arial"/>
          <w:kern w:val="2"/>
          <w14:ligatures w14:val="standardContextual"/>
        </w:rPr>
      </w:pPr>
      <w:r w:rsidRPr="007F4CB2">
        <w:rPr>
          <w:rFonts w:ascii="Arial" w:eastAsia="Calibri" w:hAnsi="Arial" w:cs="Arial"/>
          <w:kern w:val="2"/>
          <w14:ligatures w14:val="standardContextual"/>
        </w:rPr>
        <w:t xml:space="preserve">Tanzania has experienced a growing demand for water resources and energy, leading to an increased number of dams and reservoirs. However, the aging infrastructure and inadequate maintenance have raised concerns about the overall safety of these structures. To address these challenges, Tanzania has been working on improving its dam safety policies and practices. The government has implemented regulations and guidelines to ensure that dams adhere to </w:t>
      </w:r>
      <w:r w:rsidRPr="002A1F5D">
        <w:rPr>
          <w:rFonts w:ascii="Arial" w:eastAsia="Calibri" w:hAnsi="Arial" w:cs="Arial"/>
          <w:kern w:val="2"/>
          <w14:ligatures w14:val="standardContextual"/>
        </w:rPr>
        <w:t xml:space="preserve">international </w:t>
      </w:r>
      <w:r w:rsidRPr="002A1F5D">
        <w:rPr>
          <w:rFonts w:ascii="Arial" w:hAnsi="Arial" w:cs="Arial"/>
        </w:rPr>
        <w:t>safety standards (Isomaki et al., 2012)</w:t>
      </w:r>
      <w:r w:rsidRPr="002A1F5D">
        <w:rPr>
          <w:rFonts w:ascii="Arial" w:eastAsia="Calibri" w:hAnsi="Arial" w:cs="Arial"/>
          <w:kern w:val="2"/>
          <w14:ligatures w14:val="standardContextual"/>
        </w:rPr>
        <w:t>. Collaborative efforts with stakeholders, including</w:t>
      </w:r>
      <w:r w:rsidRPr="007F4CB2">
        <w:rPr>
          <w:rFonts w:ascii="Arial" w:eastAsia="Calibri" w:hAnsi="Arial" w:cs="Arial"/>
          <w:kern w:val="2"/>
          <w14:ligatures w14:val="standardContextual"/>
        </w:rPr>
        <w:t xml:space="preserve"> local communities, engineers, and environmentalists, play a crucial role in monitoring and managing dam safety (Pisaniello, 2010).</w:t>
      </w:r>
      <w:r>
        <w:rPr>
          <w:rFonts w:ascii="Arial" w:eastAsia="Calibri" w:hAnsi="Arial" w:cs="Arial"/>
          <w:kern w:val="2"/>
          <w14:ligatures w14:val="standardContextual"/>
        </w:rPr>
        <w:t xml:space="preserve"> However, there are limited evidence to whether the</w:t>
      </w:r>
      <w:r w:rsidRPr="00DC29E4">
        <w:rPr>
          <w:rFonts w:ascii="Arial" w:eastAsia="Calibri" w:hAnsi="Arial" w:cs="Arial"/>
          <w:kern w:val="2"/>
          <w14:ligatures w14:val="standardContextual"/>
        </w:rPr>
        <w:t xml:space="preserve"> current risk management programs</w:t>
      </w:r>
      <w:r>
        <w:rPr>
          <w:rFonts w:ascii="Arial" w:eastAsia="Calibri" w:hAnsi="Arial" w:cs="Arial"/>
          <w:kern w:val="2"/>
          <w14:ligatures w14:val="standardContextual"/>
        </w:rPr>
        <w:t xml:space="preserve"> are adequate to make Dams in Tanzania risk free.</w:t>
      </w:r>
    </w:p>
    <w:p w14:paraId="1FC28958" w14:textId="77777777" w:rsidR="00F9435F" w:rsidRPr="00100F20" w:rsidRDefault="00F9435F" w:rsidP="00F9435F">
      <w:pPr>
        <w:spacing w:line="276" w:lineRule="auto"/>
        <w:rPr>
          <w:rFonts w:ascii="Arial" w:hAnsi="Arial" w:cs="Arial"/>
        </w:rPr>
      </w:pPr>
      <w:r w:rsidRPr="007F4CB2">
        <w:rPr>
          <w:rFonts w:ascii="Arial" w:eastAsia="Calibri" w:hAnsi="Arial" w:cs="Arial"/>
          <w:kern w:val="2"/>
          <w14:ligatures w14:val="standardContextual"/>
        </w:rPr>
        <w:t xml:space="preserve"> This research aimed to evaluate the effectiveness and sufficiency of the current risk management programs, which are carried out in the old Mindu dam located in Morogoro municipality, Tanzania. The assessment covered a comprehensive examination of the existing strategies, policies, and </w:t>
      </w:r>
      <w:r w:rsidRPr="007C6149">
        <w:rPr>
          <w:rFonts w:ascii="Arial" w:eastAsia="Calibri" w:hAnsi="Arial" w:cs="Arial"/>
          <w:kern w:val="2"/>
          <w14:ligatures w14:val="standardContextual"/>
        </w:rPr>
        <w:t>practices in place to identify, mitigate, and manage various risks within the region's standards. Specifically, the study aimed to establish</w:t>
      </w:r>
      <w:r w:rsidRPr="00AF4765">
        <w:rPr>
          <w:rFonts w:ascii="Arial" w:eastAsia="Calibri" w:hAnsi="Arial" w:cs="Arial"/>
          <w:iCs/>
          <w:kern w:val="2"/>
          <w:lang w:val="en-GB"/>
          <w14:ligatures w14:val="standardContextual"/>
        </w:rPr>
        <w:t xml:space="preserve"> a dam safety policy benchmark for Tanzania, assess the rules and policies in place that control Tanzania's dam safety management </w:t>
      </w:r>
      <w:r w:rsidRPr="007C6149">
        <w:rPr>
          <w:rFonts w:ascii="Arial" w:eastAsia="Calibri" w:hAnsi="Arial" w:cs="Arial"/>
          <w:iCs/>
          <w:kern w:val="2"/>
          <w:lang w:val="en-GB"/>
          <w14:ligatures w14:val="standardContextual"/>
        </w:rPr>
        <w:t>and examine</w:t>
      </w:r>
      <w:r w:rsidRPr="00AF4765">
        <w:rPr>
          <w:rFonts w:ascii="Arial" w:eastAsia="Calibri" w:hAnsi="Arial" w:cs="Arial"/>
          <w:iCs/>
          <w:kern w:val="2"/>
          <w:lang w:val="en-GB"/>
          <w14:ligatures w14:val="standardContextual"/>
        </w:rPr>
        <w:t xml:space="preserve"> the variables that influence Mindu Dam Safety Issues.</w:t>
      </w:r>
    </w:p>
    <w:p w14:paraId="1A2AACCF" w14:textId="77777777" w:rsidR="00790ADA" w:rsidRPr="00F9435F" w:rsidRDefault="00790ADA" w:rsidP="00441B6F">
      <w:pPr>
        <w:pStyle w:val="Body"/>
        <w:spacing w:after="0"/>
        <w:rPr>
          <w:rFonts w:ascii="Arial" w:hAnsi="Arial" w:cs="Arial"/>
        </w:rPr>
      </w:pPr>
    </w:p>
    <w:p w14:paraId="7234362C"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80F1FEF" w14:textId="77777777" w:rsidR="00454E96" w:rsidRPr="00FB3A86" w:rsidRDefault="00454E96" w:rsidP="00441B6F">
      <w:pPr>
        <w:pStyle w:val="AbstHead"/>
        <w:spacing w:after="0"/>
        <w:jc w:val="both"/>
        <w:rPr>
          <w:rFonts w:ascii="Arial" w:hAnsi="Arial" w:cs="Arial"/>
        </w:rPr>
      </w:pPr>
    </w:p>
    <w:p w14:paraId="5748E7AB" w14:textId="77777777" w:rsidR="00287ED5" w:rsidRPr="00454E96" w:rsidRDefault="00287ED5" w:rsidP="00287ED5">
      <w:pPr>
        <w:spacing w:after="160" w:line="276" w:lineRule="auto"/>
        <w:ind w:left="360"/>
        <w:contextualSpacing/>
        <w:jc w:val="both"/>
        <w:rPr>
          <w:rFonts w:ascii="Arial" w:eastAsia="Calibri" w:hAnsi="Arial" w:cs="Arial"/>
          <w:b/>
          <w:kern w:val="2"/>
          <w14:ligatures w14:val="standardContextual"/>
        </w:rPr>
      </w:pPr>
      <w:r w:rsidRPr="00454E96">
        <w:rPr>
          <w:rFonts w:ascii="Arial" w:eastAsia="Calibri" w:hAnsi="Arial" w:cs="Arial"/>
          <w:b/>
          <w:kern w:val="2"/>
          <w14:ligatures w14:val="standardContextual"/>
        </w:rPr>
        <w:t>2.1. Description of the study area</w:t>
      </w:r>
    </w:p>
    <w:p w14:paraId="051F73AD" w14:textId="77777777" w:rsidR="00F9435F" w:rsidRPr="000939E4" w:rsidRDefault="00F9435F" w:rsidP="00F9435F">
      <w:pPr>
        <w:spacing w:line="276" w:lineRule="auto"/>
        <w:rPr>
          <w:rFonts w:ascii="Arial" w:hAnsi="Arial" w:cs="Arial"/>
        </w:rPr>
      </w:pPr>
      <w:r w:rsidRPr="00D62A3B">
        <w:rPr>
          <w:rFonts w:ascii="Arial" w:hAnsi="Arial" w:cs="Arial"/>
        </w:rPr>
        <w:t xml:space="preserve">This study was conducted at the Mindu dam, located in the Morogoro region's, Morogoro Municipality. Situated in the Ngerengere River Valley, the Mindu dam is roughly 3.8 kilometers southwest of Morogoro town </w:t>
      </w:r>
      <w:r w:rsidRPr="00D62A3B">
        <w:rPr>
          <w:rFonts w:ascii="Arial" w:hAnsi="Arial" w:cs="Arial"/>
        </w:rPr>
        <w:fldChar w:fldCharType="begin" w:fldLock="1"/>
      </w:r>
      <w:r w:rsidRPr="00D62A3B">
        <w:rPr>
          <w:rFonts w:ascii="Arial" w:hAnsi="Arial" w:cs="Arial"/>
        </w:rPr>
        <w:instrText>ADDIN CSL_CITATION {"citationItems":[{"id":"ITEM-1","itemData":{"DOI":"10.1016/j.heliyon.2019.e02834","ISSN":"24058440","abstract":"The measurement of Chlorophyll-a in aquatic systems has usually correlated to harmful algae in water bodies. Harmful algal blooms (HABs) are as a result of massive proliferation of blue-green algae (Cyanobacteria). Harmful algal blooms (HABs) pose threats to both the environment as well as human health, and despite this well-known fact, their monitoring and management are still challenging. Climate change, extreme weather events, and hydrological changes are the main drivers and predicted to benefits HABs dynamics in most parts of the world. In Tanzania, studies of HABs proliferation and their possible correlation with variability in climate and hydrology still lag behind despite high demand for developing predicting tools and prevention of HABs proliferation. The present study reports on the retrospective analysis of HABs variation in Mindu Dam located in Morogoro, Tanzania using remote sensing techniques. In the present study comparison between in situ measurement and ocean color (OC2) Chlorophyll-a with the surface reflectance's (band and band combinations) of Landsat 7 and Landsat 8 Operational Land Imager (OLI), was performed. Another approach involved searching for patterns and trends, and teleconnection between Chlorophyll-a index (best band ration) and the climate and hydrological variations in the catchment. The findings demonstrated that minimum and maximum temperatures, solar radiation, Chlorophyll-a concentration registered significant increasing trends. Wind speed and directions, water levels for Mindu Dam showed a significant decreasing trend. On the other hand, rainfall showed no trend. The patterns suggest that there are link and causality between the HABs variations and meteorological parameters such as temperatures, solar radiations, and water levels. The study, therefore, contributes to the application of recent advances in remote sensing and retrospectively analysis of bloom dynamics and search for their link with climate and hydrological changes.","author":[{"dropping-particle":"","family":"Kimambo","given":"Offoro N.","non-dropping-particle":"","parse-names":false,"suffix":""},{"dropping-particle":"","family":"Chikoore","given":"Hector","non-dropping-particle":"","parse-names":false,"suffix":""},{"dropping-particle":"","family":"Gumbo","given":"Jabulani R.","non-dropping-particle":"","parse-names":false,"suffix":""},{"dropping-particle":"","family":"Msagati","given":"Titus A.M.","non-dropping-particle":"","parse-names":false,"suffix":""}],"container-title":"Heliyon","id":"ITEM-1","issue":"11","issued":{"date-parts":[["2019"]]},"page":"e02834","publisher":"Elsevier Ltd","title":"Retrospective analysis of Chlorophyll-a and its correlation with climate and hydrological variations in Mindu Dam, Morogoro, Tanzania","type":"article-journal","volume":"5"},"uris":["http://www.mendeley.com/documents/?uuid=dc8a1c12-cfeb-4bec-b6a8-8b903f3fafed","http://www.mendeley.com/documents/?uuid=4815537b-d8d4-42bf-8d04-61dffc691472"]}],"mendeley":{"formattedCitation":"(Kimambo et al., 2019)","plainTextFormattedCitation":"(Kimambo et al., 2019)","previouslyFormattedCitation":"(Kimambo et al., 2019)"},"properties":{"noteIndex":0},"schema":"https://github.com/citation-style-language/schema/raw/master/csl-citation.json"}</w:instrText>
      </w:r>
      <w:r w:rsidRPr="00D62A3B">
        <w:rPr>
          <w:rFonts w:ascii="Arial" w:hAnsi="Arial" w:cs="Arial"/>
        </w:rPr>
        <w:fldChar w:fldCharType="separate"/>
      </w:r>
      <w:r w:rsidRPr="00D62A3B">
        <w:rPr>
          <w:rFonts w:ascii="Arial" w:hAnsi="Arial" w:cs="Arial"/>
          <w:noProof/>
        </w:rPr>
        <w:t>(Kimambo et al., 2019)</w:t>
      </w:r>
      <w:r w:rsidRPr="00D62A3B">
        <w:rPr>
          <w:rFonts w:ascii="Arial" w:hAnsi="Arial" w:cs="Arial"/>
        </w:rPr>
        <w:fldChar w:fldCharType="end"/>
      </w:r>
      <w:r w:rsidRPr="00D62A3B">
        <w:rPr>
          <w:rFonts w:ascii="Arial" w:hAnsi="Arial" w:cs="Arial"/>
        </w:rPr>
        <w:t xml:space="preserve">. It is located at latitude 6.82°S and longitude 37.66°E (Figure 1). The area has a bimodal rainfall regime with short rains occurring between October and December (OND) and long rains from March to May (MAM) </w:t>
      </w:r>
      <w:r w:rsidRPr="00D62A3B">
        <w:rPr>
          <w:rFonts w:ascii="Arial" w:hAnsi="Arial" w:cs="Arial"/>
        </w:rPr>
        <w:lastRenderedPageBreak/>
        <w:fldChar w:fldCharType="begin" w:fldLock="1"/>
      </w:r>
      <w:r w:rsidRPr="00D62A3B">
        <w:rPr>
          <w:rFonts w:ascii="Arial" w:hAnsi="Arial" w:cs="Arial"/>
        </w:rPr>
        <w:instrText>ADDIN CSL_CITATION {"citationItems":[{"id":"ITEM-1","itemData":{"DOI":"10.2166/wpt.2023.067","ISSN":"1751231X","abstract":"Water pollution caused by land-use/cover change is one of the most pressing problems facing both industrialized and developing countries. Freshwater quality deterioration suggests the collective outcomes of natural courses and alterations in land-use/ cover. Understanding the correlation among land-use/cover and water quality parameters is vital for future water quality management. In this work, land-use/cover pattern and its effect on water quality in the Mindu Dam drainage area were analysed using Remote Sensing (RS) and Geographical Information System (GIS) techniques together with cellular automata–Markov model. The land-use/cover images between 1990 and 2020 were used to assess historical and spatial change of land-use/ cover change, and projected for 2030 and 2040. We discovered that the dynamics of land use and land cover during the study period were significant. A strong correlation was revealed between changes in the land-use/cover and water quality parameters. Furthermore, a strong correlation exists between cultivated land and measured nutrient (nitrate and phosphate) and chlorophyll-a concentration. The natural vegetation buffer around Mindu Dam should be sufficient to prevent long-term water quality degradation from agricultural runoff in order to manage water quality sustainably. Therefore, land-use/cover management practices must be considered for sustainable resource management and water quality monitoring.","author":[{"dropping-particle":"","family":"Gobry","given":"Josephine John","non-dropping-particle":"","parse-names":false,"suffix":""},{"dropping-particle":"","family":"Twisa","given":"Sekela Simon","non-dropping-particle":"","parse-names":false,"suffix":""},{"dropping-particle":"","family":"Ngassapa","given":"Faustin","non-dropping-particle":"","parse-names":false,"suffix":""},{"dropping-particle":"","family":"Kilulya","given":"Kessy F.","non-dropping-particle":"","parse-names":false,"suffix":""}],"container-title":"Water Practice and Technology","id":"ITEM-1","issue":"5","issued":{"date-parts":[["2023"]]},"page":"1086-1098","title":"Impact of land-use/cover change on water quality in the Mindu Dam drainage, Tanzania","type":"article-journal","volume":"18"},"uris":["http://www.mendeley.com/documents/?uuid=b4e264f4-0f38-4bdb-aef6-1419ec30c84e","http://www.mendeley.com/documents/?uuid=2289a532-a27e-4522-af6d-1dfb56ad2c75"]}],"mendeley":{"formattedCitation":"(Gobry et al., 2023)","plainTextFormattedCitation":"(Gobry et al., 2023)","previouslyFormattedCitation":"(Gobry et al., 2023)"},"properties":{"noteIndex":0},"schema":"https://github.com/citation-style-language/schema/raw/master/csl-citation.json"}</w:instrText>
      </w:r>
      <w:r w:rsidRPr="00D62A3B">
        <w:rPr>
          <w:rFonts w:ascii="Arial" w:hAnsi="Arial" w:cs="Arial"/>
        </w:rPr>
        <w:fldChar w:fldCharType="separate"/>
      </w:r>
      <w:r w:rsidRPr="00D62A3B">
        <w:rPr>
          <w:rFonts w:ascii="Arial" w:hAnsi="Arial" w:cs="Arial"/>
          <w:noProof/>
        </w:rPr>
        <w:t xml:space="preserve">(Gobry </w:t>
      </w:r>
      <w:r w:rsidRPr="00D62A3B">
        <w:rPr>
          <w:rFonts w:ascii="Arial" w:hAnsi="Arial" w:cs="Arial"/>
          <w:i/>
          <w:iCs/>
          <w:noProof/>
        </w:rPr>
        <w:t>et al</w:t>
      </w:r>
      <w:r w:rsidRPr="00D62A3B">
        <w:rPr>
          <w:rFonts w:ascii="Arial" w:hAnsi="Arial" w:cs="Arial"/>
          <w:noProof/>
        </w:rPr>
        <w:t>., 2023)</w:t>
      </w:r>
      <w:r w:rsidRPr="00D62A3B">
        <w:rPr>
          <w:rFonts w:ascii="Arial" w:hAnsi="Arial" w:cs="Arial"/>
        </w:rPr>
        <w:fldChar w:fldCharType="end"/>
      </w:r>
      <w:r w:rsidRPr="00D62A3B">
        <w:rPr>
          <w:rFonts w:ascii="Arial" w:hAnsi="Arial" w:cs="Arial"/>
        </w:rPr>
        <w:t xml:space="preserve">. With an annual rainfall of between 800 and 1500 mm, the Uluguru Mountains receive the most precipitation in the basin. The dam primarily supplies Morogoro town with water </w:t>
      </w:r>
      <w:r w:rsidRPr="00D62A3B">
        <w:rPr>
          <w:rFonts w:ascii="Arial" w:hAnsi="Arial" w:cs="Arial"/>
        </w:rPr>
        <w:fldChar w:fldCharType="begin" w:fldLock="1"/>
      </w:r>
      <w:r w:rsidRPr="00D62A3B">
        <w:rPr>
          <w:rFonts w:ascii="Arial" w:hAnsi="Arial" w:cs="Arial"/>
        </w:rPr>
        <w:instrText>ADDIN CSL_CITATION {"citationItems":[{"id":"ITEM-1","itemData":{"DOI":"10.1016/j.heliyon.2019.e02834","ISSN":"24058440","abstract":"The measurement of Chlorophyll-a in aquatic systems has usually correlated to harmful algae in water bodies. Harmful algal blooms (HABs) are as a result of massive proliferation of blue-green algae (Cyanobacteria). Harmful algal blooms (HABs) pose threats to both the environment as well as human health, and despite this well-known fact, their monitoring and management are still challenging. Climate change, extreme weather events, and hydrological changes are the main drivers and predicted to benefits HABs dynamics in most parts of the world. In Tanzania, studies of HABs proliferation and their possible correlation with variability in climate and hydrology still lag behind despite high demand for developing predicting tools and prevention of HABs proliferation. The present study reports on the retrospective analysis of HABs variation in Mindu Dam located in Morogoro, Tanzania using remote sensing techniques. In the present study comparison between in situ measurement and ocean color (OC2) Chlorophyll-a with the surface reflectance's (band and band combinations) of Landsat 7 and Landsat 8 Operational Land Imager (OLI), was performed. Another approach involved searching for patterns and trends, and teleconnection between Chlorophyll-a index (best band ration) and the climate and hydrological variations in the catchment. The findings demonstrated that minimum and maximum temperatures, solar radiation, Chlorophyll-a concentration registered significant increasing trends. Wind speed and directions, water levels for Mindu Dam showed a significant decreasing trend. On the other hand, rainfall showed no trend. The patterns suggest that there are link and causality between the HABs variations and meteorological parameters such as temperatures, solar radiations, and water levels. The study, therefore, contributes to the application of recent advances in remote sensing and retrospectively analysis of bloom dynamics and search for their link with climate and hydrological changes.","author":[{"dropping-particle":"","family":"Kimambo","given":"Offoro N.","non-dropping-particle":"","parse-names":false,"suffix":""},{"dropping-particle":"","family":"Chikoore","given":"Hector","non-dropping-particle":"","parse-names":false,"suffix":""},{"dropping-particle":"","family":"Gumbo","given":"Jabulani R.","non-dropping-particle":"","parse-names":false,"suffix":""},{"dropping-particle":"","family":"Msagati","given":"Titus A.M.","non-dropping-particle":"","parse-names":false,"suffix":""}],"container-title":"Heliyon","id":"ITEM-1","issue":"11","issued":{"date-parts":[["2019"]]},"page":"e02834","publisher":"Elsevier Ltd","title":"Retrospective analysis of Chlorophyll-a and its correlation with climate and hydrological variations in Mindu Dam, Morogoro, Tanzania","type":"article-journal","volume":"5"},"uris":["http://www.mendeley.com/documents/?uuid=4815537b-d8d4-42bf-8d04-61dffc691472","http://www.mendeley.com/documents/?uuid=dc8a1c12-cfeb-4bec-b6a8-8b903f3fafed"]}],"mendeley":{"formattedCitation":"(Kimambo et al., 2019)","plainTextFormattedCitation":"(Kimambo et al., 2019)","previouslyFormattedCitation":"(Kimambo et al., 2019)"},"properties":{"noteIndex":0},"schema":"https://github.com/citation-style-language/schema/raw/master/csl-citation.json"}</w:instrText>
      </w:r>
      <w:r w:rsidRPr="00D62A3B">
        <w:rPr>
          <w:rFonts w:ascii="Arial" w:hAnsi="Arial" w:cs="Arial"/>
        </w:rPr>
        <w:fldChar w:fldCharType="separate"/>
      </w:r>
      <w:r w:rsidRPr="00D62A3B">
        <w:rPr>
          <w:rFonts w:ascii="Arial" w:hAnsi="Arial" w:cs="Arial"/>
          <w:noProof/>
        </w:rPr>
        <w:t xml:space="preserve">(Kimambo </w:t>
      </w:r>
      <w:r w:rsidRPr="00D62A3B">
        <w:rPr>
          <w:rFonts w:ascii="Arial" w:hAnsi="Arial" w:cs="Arial"/>
          <w:i/>
          <w:iCs/>
          <w:noProof/>
        </w:rPr>
        <w:t>et al</w:t>
      </w:r>
      <w:r w:rsidRPr="00D62A3B">
        <w:rPr>
          <w:rFonts w:ascii="Arial" w:hAnsi="Arial" w:cs="Arial"/>
          <w:noProof/>
        </w:rPr>
        <w:t>., 2019)</w:t>
      </w:r>
      <w:r w:rsidRPr="00D62A3B">
        <w:rPr>
          <w:rFonts w:ascii="Arial" w:hAnsi="Arial" w:cs="Arial"/>
        </w:rPr>
        <w:fldChar w:fldCharType="end"/>
      </w:r>
      <w:r w:rsidRPr="00D62A3B">
        <w:rPr>
          <w:rFonts w:ascii="Arial" w:hAnsi="Arial" w:cs="Arial"/>
        </w:rPr>
        <w:t>. Its construction started in 1983 and was finished in 1985 with a dam design storage capacity of 20 Million m</w:t>
      </w:r>
      <w:r w:rsidRPr="00D62A3B">
        <w:rPr>
          <w:rFonts w:ascii="Arial" w:hAnsi="Arial" w:cs="Arial"/>
          <w:vertAlign w:val="superscript"/>
        </w:rPr>
        <w:t>3</w:t>
      </w:r>
      <w:r w:rsidRPr="00D62A3B">
        <w:rPr>
          <w:rFonts w:ascii="Arial" w:hAnsi="Arial" w:cs="Arial"/>
          <w:vertAlign w:val="superscript"/>
        </w:rPr>
        <w:fldChar w:fldCharType="begin" w:fldLock="1"/>
      </w:r>
      <w:r w:rsidRPr="00D62A3B">
        <w:rPr>
          <w:rFonts w:ascii="Arial" w:hAnsi="Arial" w:cs="Arial"/>
          <w:vertAlign w:val="superscript"/>
        </w:rPr>
        <w:instrText>ADDIN CSL_CITATION {"citationItems":[{"id":"ITEM-1","itemData":{"DOI":"10.1136/bmj.318.7187.822","ISSN":"09598146","PMID":"10092238","author":[{"dropping-particle":"","family":"Stott","given":"R.","non-dropping-particle":"","parse-names":false,"suffix":""}],"container-title":"British Medical Journal","id":"ITEM-1","issue":"7187","issued":{"date-parts":[["1999"]]},"page":"822-823","title":"The World Bank","type":"article-journal","volume":"318"},"uris":["http://www.mendeley.com/documents/?uuid=2aa996a0-1e12-4991-b31a-f4fd28ad75b1","http://www.mendeley.com/documents/?uuid=f1dff638-c742-4e51-90e0-ef7788632f3b"]}],"mendeley":{"formattedCitation":"(Stott, 1999)","plainTextFormattedCitation":"(Stott, 1999)","previouslyFormattedCitation":"(Stott, 1999)"},"properties":{"noteIndex":0},"schema":"https://github.com/citation-style-language/schema/raw/master/csl-citation.json"}</w:instrText>
      </w:r>
      <w:r w:rsidRPr="00D62A3B">
        <w:rPr>
          <w:rFonts w:ascii="Arial" w:hAnsi="Arial" w:cs="Arial"/>
          <w:vertAlign w:val="superscript"/>
        </w:rPr>
        <w:fldChar w:fldCharType="separate"/>
      </w:r>
      <w:r w:rsidRPr="00D62A3B">
        <w:rPr>
          <w:rFonts w:ascii="Arial" w:hAnsi="Arial" w:cs="Arial"/>
          <w:noProof/>
        </w:rPr>
        <w:t>(Stott, 1999)</w:t>
      </w:r>
      <w:r w:rsidRPr="00D62A3B">
        <w:rPr>
          <w:rFonts w:ascii="Arial" w:hAnsi="Arial" w:cs="Arial"/>
          <w:vertAlign w:val="superscript"/>
        </w:rPr>
        <w:fldChar w:fldCharType="end"/>
      </w:r>
      <w:r>
        <w:rPr>
          <w:rFonts w:ascii="Arial" w:hAnsi="Arial" w:cs="Arial"/>
        </w:rPr>
        <w:t>.</w:t>
      </w:r>
    </w:p>
    <w:p w14:paraId="63629218" w14:textId="0D06D562" w:rsidR="00287ED5" w:rsidRPr="00D62A3B" w:rsidRDefault="00F9435F" w:rsidP="00287ED5">
      <w:pPr>
        <w:spacing w:line="276" w:lineRule="auto"/>
        <w:jc w:val="both"/>
        <w:rPr>
          <w:rFonts w:ascii="Arial" w:eastAsia="Calibri" w:hAnsi="Arial" w:cs="Arial"/>
          <w:kern w:val="2"/>
          <w14:ligatures w14:val="standardContextual"/>
        </w:rPr>
      </w:pPr>
      <w:r w:rsidRPr="00D62A3B">
        <w:rPr>
          <w:rFonts w:ascii="Arial" w:eastAsia="Calibri" w:hAnsi="Arial" w:cs="Arial"/>
          <w:noProof/>
          <w:kern w:val="2"/>
        </w:rPr>
        <w:drawing>
          <wp:inline distT="0" distB="0" distL="0" distR="0" wp14:anchorId="5A34C26D" wp14:editId="3513C7C9">
            <wp:extent cx="4612640" cy="3421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y are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32556" cy="3436152"/>
                    </a:xfrm>
                    <a:prstGeom prst="rect">
                      <a:avLst/>
                    </a:prstGeom>
                  </pic:spPr>
                </pic:pic>
              </a:graphicData>
            </a:graphic>
          </wp:inline>
        </w:drawing>
      </w:r>
    </w:p>
    <w:p w14:paraId="578B9FB3" w14:textId="77777777" w:rsidR="00B23916" w:rsidRPr="00D62A3B" w:rsidRDefault="00287ED5" w:rsidP="00287ED5">
      <w:pPr>
        <w:spacing w:after="200" w:line="276" w:lineRule="auto"/>
        <w:jc w:val="both"/>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Figure </w:t>
      </w:r>
      <w:r w:rsidRPr="00D62A3B">
        <w:rPr>
          <w:rFonts w:ascii="Arial" w:eastAsia="Calibri" w:hAnsi="Arial" w:cs="Arial"/>
          <w:kern w:val="2"/>
          <w14:ligatures w14:val="standardContextual"/>
        </w:rPr>
        <w:fldChar w:fldCharType="begin"/>
      </w:r>
      <w:r w:rsidRPr="00D62A3B">
        <w:rPr>
          <w:rFonts w:ascii="Arial" w:eastAsia="Calibri" w:hAnsi="Arial" w:cs="Arial"/>
          <w:kern w:val="2"/>
          <w14:ligatures w14:val="standardContextual"/>
        </w:rPr>
        <w:instrText xml:space="preserve"> SEQ Figure \* ARABIC </w:instrText>
      </w:r>
      <w:r w:rsidRPr="00D62A3B">
        <w:rPr>
          <w:rFonts w:ascii="Arial" w:eastAsia="Calibri" w:hAnsi="Arial" w:cs="Arial"/>
          <w:kern w:val="2"/>
          <w14:ligatures w14:val="standardContextual"/>
        </w:rPr>
        <w:fldChar w:fldCharType="separate"/>
      </w:r>
      <w:r w:rsidRPr="00D62A3B">
        <w:rPr>
          <w:rFonts w:ascii="Arial" w:eastAsia="Calibri" w:hAnsi="Arial" w:cs="Arial"/>
          <w:kern w:val="2"/>
          <w14:ligatures w14:val="standardContextual"/>
        </w:rPr>
        <w:t>1</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 Study area showing the location of Mindu Dam</w:t>
      </w:r>
    </w:p>
    <w:p w14:paraId="7863C9F4" w14:textId="77777777" w:rsidR="00F9435F" w:rsidRPr="00596384" w:rsidRDefault="00F9435F" w:rsidP="00F9435F">
      <w:pPr>
        <w:spacing w:after="200" w:line="276" w:lineRule="auto"/>
        <w:jc w:val="both"/>
        <w:rPr>
          <w:rFonts w:ascii="Arial" w:eastAsia="Calibri" w:hAnsi="Arial" w:cs="Arial"/>
          <w:b/>
          <w:bCs/>
          <w:kern w:val="2"/>
          <w14:ligatures w14:val="standardContextual"/>
        </w:rPr>
      </w:pPr>
      <w:r w:rsidRPr="00596384">
        <w:rPr>
          <w:rFonts w:ascii="Arial" w:eastAsia="Calibri" w:hAnsi="Arial" w:cs="Arial"/>
          <w:b/>
          <w:bCs/>
          <w:kern w:val="2"/>
          <w14:ligatures w14:val="standardContextual"/>
        </w:rPr>
        <w:t>Sample Size Selection</w:t>
      </w:r>
    </w:p>
    <w:p w14:paraId="274799E4" w14:textId="77777777" w:rsidR="00F9435F" w:rsidRDefault="00F9435F" w:rsidP="00F9435F">
      <w:pPr>
        <w:spacing w:after="200" w:line="276" w:lineRule="auto"/>
        <w:rPr>
          <w:rFonts w:ascii="Arial" w:eastAsia="Calibri" w:hAnsi="Arial" w:cs="Arial"/>
          <w:kern w:val="2"/>
          <w14:ligatures w14:val="standardContextual"/>
        </w:rPr>
      </w:pPr>
      <w:r w:rsidRPr="00596384">
        <w:rPr>
          <w:rFonts w:ascii="Arial" w:eastAsia="Calibri" w:hAnsi="Arial" w:cs="Arial"/>
          <w:kern w:val="2"/>
          <w14:ligatures w14:val="standardContextual"/>
        </w:rPr>
        <w:t>To make sure that important socioeconomic and demographic groups were represented, a stratified purposive sampling technique was used. Although the appropriate sample size for the vulnerable population (n=88) was determined using the Cochran Formula, the actual sample size was only 45 due to practical limitations. To give high-risk groups priority, 30 of these were purposefully selected from the vulnerable category, while 15 of these were drawn from the non-vulnerable population.</w:t>
      </w:r>
    </w:p>
    <w:p w14:paraId="00E78A3C" w14:textId="77777777" w:rsidR="00F9435F" w:rsidRDefault="00F9435F" w:rsidP="00F9435F">
      <w:pPr>
        <w:spacing w:after="200" w:line="276" w:lineRule="auto"/>
        <w:rPr>
          <w:rFonts w:ascii="Arial" w:eastAsia="Calibri" w:hAnsi="Arial" w:cs="Arial"/>
          <w:kern w:val="2"/>
          <w14:ligatures w14:val="standardContextual"/>
        </w:rPr>
      </w:pPr>
      <m:oMath>
        <m:r>
          <w:rPr>
            <w:rFonts w:ascii="Cambria Math" w:eastAsia="Calibri" w:hAnsi="Cambria Math" w:cs="Arial"/>
            <w:kern w:val="2"/>
            <w:sz w:val="28"/>
            <w:szCs w:val="28"/>
            <w14:ligatures w14:val="standardContextual"/>
          </w:rPr>
          <m:t>n=</m:t>
        </m:r>
        <m:f>
          <m:fPr>
            <m:ctrlPr>
              <w:rPr>
                <w:rFonts w:ascii="Cambria Math" w:eastAsia="Calibri" w:hAnsi="Cambria Math" w:cs="Arial"/>
                <w:i/>
                <w:kern w:val="2"/>
                <w:sz w:val="28"/>
                <w:szCs w:val="28"/>
                <w14:ligatures w14:val="standardContextual"/>
              </w:rPr>
            </m:ctrlPr>
          </m:fPr>
          <m:num>
            <m:sSup>
              <m:sSupPr>
                <m:ctrlPr>
                  <w:rPr>
                    <w:rFonts w:ascii="Cambria Math" w:eastAsia="Calibri" w:hAnsi="Cambria Math" w:cs="Arial"/>
                    <w:i/>
                    <w:kern w:val="2"/>
                    <w:sz w:val="28"/>
                    <w:szCs w:val="28"/>
                    <w14:ligatures w14:val="standardContextual"/>
                  </w:rPr>
                </m:ctrlPr>
              </m:sSupPr>
              <m:e>
                <m:r>
                  <w:rPr>
                    <w:rFonts w:ascii="Cambria Math" w:eastAsia="Calibri" w:hAnsi="Cambria Math" w:cs="Arial"/>
                    <w:kern w:val="2"/>
                    <w:sz w:val="28"/>
                    <w:szCs w:val="28"/>
                    <w14:ligatures w14:val="standardContextual"/>
                  </w:rPr>
                  <m:t>Z</m:t>
                </m:r>
              </m:e>
              <m:sup>
                <m:r>
                  <w:rPr>
                    <w:rFonts w:ascii="Cambria Math" w:eastAsia="Calibri" w:hAnsi="Cambria Math" w:cs="Arial"/>
                    <w:kern w:val="2"/>
                    <w:sz w:val="28"/>
                    <w:szCs w:val="28"/>
                    <w14:ligatures w14:val="standardContextual"/>
                  </w:rPr>
                  <m:t>2</m:t>
                </m:r>
              </m:sup>
            </m:sSup>
            <m:r>
              <w:rPr>
                <w:rFonts w:ascii="Cambria Math" w:eastAsia="Calibri" w:hAnsi="Cambria Math" w:cs="Arial"/>
                <w:kern w:val="2"/>
                <w:sz w:val="28"/>
                <w:szCs w:val="28"/>
                <w14:ligatures w14:val="standardContextual"/>
              </w:rPr>
              <m:t>.p.q</m:t>
            </m:r>
          </m:num>
          <m:den>
            <m:sSup>
              <m:sSupPr>
                <m:ctrlPr>
                  <w:rPr>
                    <w:rFonts w:ascii="Cambria Math" w:eastAsia="Calibri" w:hAnsi="Cambria Math" w:cs="Arial"/>
                    <w:i/>
                    <w:kern w:val="2"/>
                    <w:sz w:val="28"/>
                    <w:szCs w:val="28"/>
                    <w14:ligatures w14:val="standardContextual"/>
                  </w:rPr>
                </m:ctrlPr>
              </m:sSupPr>
              <m:e>
                <m:r>
                  <w:rPr>
                    <w:rFonts w:ascii="Cambria Math" w:eastAsia="Calibri" w:hAnsi="Cambria Math" w:cs="Arial"/>
                    <w:kern w:val="2"/>
                    <w:sz w:val="28"/>
                    <w:szCs w:val="28"/>
                    <w14:ligatures w14:val="standardContextual"/>
                  </w:rPr>
                  <m:t>e</m:t>
                </m:r>
              </m:e>
              <m:sup>
                <m:r>
                  <w:rPr>
                    <w:rFonts w:ascii="Cambria Math" w:eastAsia="Calibri" w:hAnsi="Cambria Math" w:cs="Arial"/>
                    <w:kern w:val="2"/>
                    <w:sz w:val="28"/>
                    <w:szCs w:val="28"/>
                    <w14:ligatures w14:val="standardContextual"/>
                  </w:rPr>
                  <m:t>2</m:t>
                </m:r>
              </m:sup>
            </m:sSup>
          </m:den>
        </m:f>
      </m:oMath>
      <w:r w:rsidRPr="00EE7A09">
        <w:rPr>
          <w:rFonts w:ascii="Arial" w:eastAsia="Calibri" w:hAnsi="Arial" w:cs="Arial"/>
          <w:kern w:val="2"/>
          <w14:ligatures w14:val="standardContextual"/>
        </w:rPr>
        <w:t>…….</w:t>
      </w:r>
      <w:r>
        <w:rPr>
          <w:rFonts w:ascii="Arial" w:eastAsia="Calibri" w:hAnsi="Arial" w:cs="Arial"/>
          <w:kern w:val="2"/>
          <w14:ligatures w14:val="standardContextual"/>
        </w:rPr>
        <w:t xml:space="preserve"> equation 1</w:t>
      </w:r>
    </w:p>
    <w:p w14:paraId="4DAEE16F" w14:textId="77777777" w:rsidR="00F9435F" w:rsidRPr="00EE7A09" w:rsidRDefault="00F9435F" w:rsidP="00F9435F">
      <w:pPr>
        <w:spacing w:after="200" w:line="276" w:lineRule="auto"/>
        <w:rPr>
          <w:rFonts w:ascii="Arial" w:eastAsia="Calibri" w:hAnsi="Arial" w:cs="Arial"/>
          <w:kern w:val="2"/>
          <w14:ligatures w14:val="standardContextual"/>
        </w:rPr>
      </w:pPr>
      <w:r w:rsidRPr="007C7855">
        <w:rPr>
          <w:rFonts w:ascii="Arial" w:eastAsia="Calibri" w:hAnsi="Arial" w:cs="Arial"/>
          <w:kern w:val="2"/>
          <w14:ligatures w14:val="standardContextual"/>
        </w:rPr>
        <w:t>Where</w:t>
      </w:r>
      <w:r>
        <w:rPr>
          <w:rFonts w:ascii="Arial" w:eastAsia="Calibri" w:hAnsi="Arial" w:cs="Arial"/>
          <w:kern w:val="2"/>
          <w14:ligatures w14:val="standardContextual"/>
        </w:rPr>
        <w:t xml:space="preserve"> by </w:t>
      </w:r>
    </w:p>
    <w:p w14:paraId="490B3DA9" w14:textId="77777777" w:rsidR="00F9435F" w:rsidRPr="00D62A3B" w:rsidRDefault="00F9435F" w:rsidP="00F9435F">
      <w:pPr>
        <w:spacing w:after="200" w:line="276" w:lineRule="auto"/>
        <w:rPr>
          <w:rFonts w:ascii="Arial" w:eastAsia="Calibri" w:hAnsi="Arial" w:cs="Arial"/>
          <w:kern w:val="2"/>
          <w14:ligatures w14:val="standardContextual"/>
        </w:rPr>
      </w:pPr>
      <w:r w:rsidRPr="00EE7A09">
        <w:rPr>
          <w:rFonts w:ascii="Arial" w:eastAsia="Calibri" w:hAnsi="Arial" w:cs="Arial"/>
          <w:kern w:val="2"/>
          <w14:ligatures w14:val="standardContextual"/>
        </w:rPr>
        <w:t>n = required sample size,</w:t>
      </w:r>
      <w:r>
        <w:rPr>
          <w:rFonts w:ascii="Arial" w:eastAsia="Calibri" w:hAnsi="Arial" w:cs="Arial"/>
          <w:kern w:val="2"/>
          <w14:ligatures w14:val="standardContextual"/>
        </w:rPr>
        <w:t xml:space="preserve"> Z</w:t>
      </w:r>
      <w:r w:rsidRPr="00EE7A09">
        <w:rPr>
          <w:rFonts w:ascii="Arial" w:eastAsia="Calibri" w:hAnsi="Arial" w:cs="Arial"/>
          <w:kern w:val="2"/>
          <w14:ligatures w14:val="standardContextual"/>
        </w:rPr>
        <w:t>= Z-score (critical value for the desired confidence level, e.g., 1.96 for 95% confidence)</w:t>
      </w:r>
      <w:r>
        <w:rPr>
          <w:rFonts w:ascii="Arial" w:eastAsia="Calibri" w:hAnsi="Arial" w:cs="Arial"/>
          <w:kern w:val="2"/>
          <w14:ligatures w14:val="standardContextual"/>
        </w:rPr>
        <w:t xml:space="preserve">, </w:t>
      </w:r>
      <w:r w:rsidRPr="00EE7A09">
        <w:rPr>
          <w:rFonts w:ascii="Arial" w:eastAsia="Calibri" w:hAnsi="Arial" w:cs="Arial"/>
          <w:kern w:val="2"/>
          <w14:ligatures w14:val="standardContextual"/>
        </w:rPr>
        <w:t>p = Estimated proportion of the population with a specific characteristic (use p=0.5</w:t>
      </w:r>
      <w:r w:rsidRPr="00EE7A09">
        <w:rPr>
          <w:rFonts w:ascii="Arial" w:eastAsia="Calibri" w:hAnsi="Arial" w:cs="Arial"/>
          <w:i/>
          <w:iCs/>
          <w:kern w:val="2"/>
          <w14:ligatures w14:val="standardContextual"/>
        </w:rPr>
        <w:t>p</w:t>
      </w:r>
      <w:r w:rsidRPr="00EE7A09">
        <w:rPr>
          <w:rFonts w:ascii="Arial" w:eastAsia="Calibri" w:hAnsi="Arial" w:cs="Arial"/>
          <w:kern w:val="2"/>
          <w14:ligatures w14:val="standardContextual"/>
        </w:rPr>
        <w:t>=0.5 for maximum variability if unknown)</w:t>
      </w:r>
      <w:r>
        <w:rPr>
          <w:rFonts w:ascii="Arial" w:eastAsia="Calibri" w:hAnsi="Arial" w:cs="Arial"/>
          <w:kern w:val="2"/>
          <w14:ligatures w14:val="standardContextual"/>
        </w:rPr>
        <w:t xml:space="preserve">, </w:t>
      </w:r>
      <w:r w:rsidRPr="00EE7A09">
        <w:rPr>
          <w:rFonts w:ascii="Arial" w:eastAsia="Calibri" w:hAnsi="Arial" w:cs="Arial"/>
          <w:kern w:val="2"/>
          <w14:ligatures w14:val="standardContextual"/>
        </w:rPr>
        <w:t>q=1−p</w:t>
      </w:r>
      <w:r>
        <w:rPr>
          <w:rFonts w:ascii="Arial" w:eastAsia="Calibri" w:hAnsi="Arial" w:cs="Arial"/>
          <w:kern w:val="2"/>
          <w14:ligatures w14:val="standardContextual"/>
        </w:rPr>
        <w:t xml:space="preserve">, </w:t>
      </w:r>
      <w:r w:rsidRPr="00EE7A09">
        <w:rPr>
          <w:rFonts w:ascii="Arial" w:eastAsia="Calibri" w:hAnsi="Arial" w:cs="Arial"/>
          <w:kern w:val="2"/>
          <w14:ligatures w14:val="standardContextual"/>
        </w:rPr>
        <w:t>e = Margin of error (decimal form, e.g., 0.05 for 5%).</w:t>
      </w:r>
    </w:p>
    <w:p w14:paraId="4F4955A2" w14:textId="77777777" w:rsidR="00F9435F" w:rsidRPr="00D62A3B" w:rsidRDefault="00F9435F" w:rsidP="00F9435F">
      <w:pPr>
        <w:numPr>
          <w:ilvl w:val="1"/>
          <w:numId w:val="31"/>
        </w:numPr>
        <w:spacing w:after="160" w:line="276" w:lineRule="auto"/>
        <w:contextualSpacing/>
        <w:rPr>
          <w:rFonts w:ascii="Arial" w:eastAsia="Calibri" w:hAnsi="Arial" w:cs="Arial"/>
          <w:b/>
          <w:kern w:val="2"/>
          <w14:ligatures w14:val="standardContextual"/>
        </w:rPr>
      </w:pPr>
      <w:r w:rsidRPr="00D62A3B">
        <w:rPr>
          <w:rFonts w:ascii="Arial" w:eastAsia="Calibri" w:hAnsi="Arial" w:cs="Arial"/>
          <w:b/>
          <w:kern w:val="2"/>
          <w14:ligatures w14:val="standardContextual"/>
        </w:rPr>
        <w:t>Research Design</w:t>
      </w:r>
    </w:p>
    <w:p w14:paraId="4B670E81" w14:textId="77777777" w:rsidR="00F9435F" w:rsidRPr="00D62A3B" w:rsidRDefault="00F9435F" w:rsidP="00F9435F">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The study adopted the cross-sectional research design whereby data were collected once from the six wards surrounding Mindu dam, namely Kauzeni, Mindu, Magadu, Mlimani, Luhungo, and Mzinga.</w:t>
      </w:r>
      <w:r w:rsidRPr="00D62A3B" w:rsidDel="0007591A">
        <w:rPr>
          <w:rFonts w:ascii="Arial" w:eastAsia="Calibri" w:hAnsi="Arial" w:cs="Arial"/>
          <w:kern w:val="2"/>
          <w14:ligatures w14:val="standardContextual"/>
        </w:rPr>
        <w:t xml:space="preserve"> </w:t>
      </w:r>
      <w:r w:rsidRPr="00D62A3B">
        <w:rPr>
          <w:rFonts w:ascii="Arial" w:eastAsia="Calibri" w:hAnsi="Arial" w:cs="Arial"/>
          <w:kern w:val="2"/>
          <w14:ligatures w14:val="standardContextual"/>
        </w:rPr>
        <w:t xml:space="preserve">The design allowed the collection of both quantitative and qualitative data within a short period by visiting the experts for more information based on the study subject. In addition, the design allows for cost, human and time effectiveness when it comes to data collection </w:t>
      </w:r>
      <w:r w:rsidRPr="00D62A3B">
        <w:rPr>
          <w:rFonts w:ascii="Arial" w:eastAsia="Calibri" w:hAnsi="Arial" w:cs="Arial"/>
          <w:kern w:val="2"/>
          <w14:ligatures w14:val="standardContextual"/>
        </w:rPr>
        <w:fldChar w:fldCharType="begin" w:fldLock="1"/>
      </w:r>
      <w:r w:rsidRPr="00D62A3B">
        <w:rPr>
          <w:rFonts w:ascii="Arial" w:eastAsia="Calibri" w:hAnsi="Arial" w:cs="Arial"/>
          <w:kern w:val="2"/>
          <w14:ligatures w14:val="standardContextual"/>
        </w:rPr>
        <w:instrText>ADDIN CSL_CITATION {"citationItems":[{"id":"ITEM-1","itemData":{"DOI":"10.1177/0340035220958022","ISSN":"17452651","abstract":"The purpose of this study was to investigate the status of district-level public libraries in West Bengal, India. The study focused on staff as well as services against the backdrop of collection development policy. It also investigated the problems faced by librarians and suggested measures to overcome these difficulties. The researchers used a mixed-methods approach – quantitative and qualitative methods – to obtain the data. However, the primary means of data collection was a survey method using a structured questionnaire. Additionally, interviews were carried out with librarians in order to bring more subjectivity to the results. The findings suggest that no selection committees have taken place to recruit new staff in different public libraries; hence, libraries have been suffering from a shortage of staff. Due to severe shortage of library staff, book database has not been completed in Libsys library management software in any surveyed library. Public libraries are established to provide a variety of services to their users. Thus, services are the main product of the public library system. The findings reveal that different kinds of services – such as children’s, career guidance and community information services – are provided by the surveyed libraries to benefit their user communities.","author":[{"dropping-particle":"","family":"Munshi","given":"Shamim Aktar","non-dropping-particle":"","parse-names":false,"suffix":""},{"dropping-particle":"","family":"Ansari","given":"Mehtab Alam","non-dropping-particle":"","parse-names":false,"suffix":""}],"container-title":"IFLA Journal","id":"ITEM-1","issue":"2","issued":{"date-parts":[["2021"]]},"page":"250-262","title":"Collections and services of public libraries in West Bengal, India: An evaluative study against the backdrop of the IFLA guidelines","type":"article-journal","volume":"47"},"uris":["http://www.mendeley.com/documents/?uuid=a648ac78-2e48-4d0b-ac7c-a4070b395589","http://www.mendeley.com/documents/?uuid=11559df8-925e-492c-86e8-15d6bfd0b8dd","http://www.mendeley.com/documents/?uuid=5e098d2c-e33e-4732-bdca-1fa5c41bfac2"]}],"mendeley":{"formattedCitation":"(Munshi &amp; Ansari, 2021)","plainTextFormattedCitation":"(Munshi &amp; Ansari, 2021)","previouslyFormattedCitation":"(Munshi &amp; Ansari, 2021)"},"properties":{"noteIndex":0},"schema":"https://github.com/citation-style-language/schema/raw/master/csl-citation.json"}</w:instrText>
      </w:r>
      <w:r w:rsidRPr="00D62A3B">
        <w:rPr>
          <w:rFonts w:ascii="Arial" w:eastAsia="Calibri" w:hAnsi="Arial" w:cs="Arial"/>
          <w:kern w:val="2"/>
          <w14:ligatures w14:val="standardContextual"/>
        </w:rPr>
        <w:fldChar w:fldCharType="separate"/>
      </w:r>
      <w:r w:rsidRPr="00D62A3B">
        <w:rPr>
          <w:rFonts w:ascii="Arial" w:eastAsia="Calibri" w:hAnsi="Arial" w:cs="Arial"/>
          <w:noProof/>
          <w:kern w:val="2"/>
          <w14:ligatures w14:val="standardContextual"/>
        </w:rPr>
        <w:t>(Munshi &amp; Ansari, 2021)</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 xml:space="preserve">. Furthermore, the collected information is used in a </w:t>
      </w:r>
      <w:r w:rsidRPr="00D62A3B">
        <w:rPr>
          <w:rFonts w:ascii="Arial" w:eastAsia="Calibri" w:hAnsi="Arial" w:cs="Arial"/>
          <w:kern w:val="2"/>
          <w14:ligatures w14:val="standardContextual"/>
        </w:rPr>
        <w:lastRenderedPageBreak/>
        <w:t xml:space="preserve">variety of ways including to determine the association between variables as well as to approve and disapprove assumptions/hypotheses </w:t>
      </w:r>
      <w:r w:rsidRPr="00D62A3B">
        <w:rPr>
          <w:rFonts w:ascii="Arial" w:eastAsia="Calibri" w:hAnsi="Arial" w:cs="Arial"/>
          <w:kern w:val="2"/>
          <w14:ligatures w14:val="standardContextual"/>
        </w:rPr>
        <w:fldChar w:fldCharType="begin" w:fldLock="1"/>
      </w:r>
      <w:r w:rsidRPr="00D62A3B">
        <w:rPr>
          <w:rFonts w:ascii="Arial" w:eastAsia="Calibri" w:hAnsi="Arial" w:cs="Arial"/>
          <w:kern w:val="2"/>
          <w14:ligatures w14:val="standardContextual"/>
        </w:rPr>
        <w:instrText>ADDIN CSL_CITATION {"citationItems":[{"id":"ITEM-1","itemData":{"DOI":"10.1177/0340035220958022","ISSN":"17452651","abstract":"The purpose of this study was to investigate the status of district-level public libraries in West Bengal, India. The study focused on staff as well as services against the backdrop of collection development policy. It also investigated the problems faced by librarians and suggested measures to overcome these difficulties. The researchers used a mixed-methods approach – quantitative and qualitative methods – to obtain the data. However, the primary means of data collection was a survey method using a structured questionnaire. Additionally, interviews were carried out with librarians in order to bring more subjectivity to the results. The findings suggest that no selection committees have taken place to recruit new staff in different public libraries; hence, libraries have been suffering from a shortage of staff. Due to severe shortage of library staff, book database has not been completed in Libsys library management software in any surveyed library. Public libraries are established to provide a variety of services to their users. Thus, services are the main product of the public library system. The findings reveal that different kinds of services – such as children’s, career guidance and community information services – are provided by the surveyed libraries to benefit their user communities.","author":[{"dropping-particle":"","family":"Munshi","given":"Shamim Aktar","non-dropping-particle":"","parse-names":false,"suffix":""},{"dropping-particle":"","family":"Ansari","given":"Mehtab Alam","non-dropping-particle":"","parse-names":false,"suffix":""}],"container-title":"IFLA Journal","id":"ITEM-1","issue":"2","issued":{"date-parts":[["2021"]]},"page":"250-262","title":"Collections and services of public libraries in West Bengal, India: An evaluative study against the backdrop of the IFLA guidelines","type":"article-journal","volume":"47"},"uris":["http://www.mendeley.com/documents/?uuid=5e098d2c-e33e-4732-bdca-1fa5c41bfac2","http://www.mendeley.com/documents/?uuid=11559df8-925e-492c-86e8-15d6bfd0b8dd","http://www.mendeley.com/documents/?uuid=a648ac78-2e48-4d0b-ac7c-a4070b395589"]}],"mendeley":{"formattedCitation":"(Munshi &amp; Ansari, 2021)","manualFormatting":"(Munshi &amp; Ansari, 2021","plainTextFormattedCitation":"(Munshi &amp; Ansari, 2021)","previouslyFormattedCitation":"(Munshi &amp; Ansari, 2021)"},"properties":{"noteIndex":0},"schema":"https://github.com/citation-style-language/schema/raw/master/csl-citation.json"}</w:instrText>
      </w:r>
      <w:r w:rsidRPr="00D62A3B">
        <w:rPr>
          <w:rFonts w:ascii="Arial" w:eastAsia="Calibri" w:hAnsi="Arial" w:cs="Arial"/>
          <w:kern w:val="2"/>
          <w14:ligatures w14:val="standardContextual"/>
        </w:rPr>
        <w:fldChar w:fldCharType="separate"/>
      </w:r>
      <w:r w:rsidRPr="00D62A3B">
        <w:rPr>
          <w:rFonts w:ascii="Arial" w:eastAsia="Calibri" w:hAnsi="Arial" w:cs="Arial"/>
          <w:noProof/>
          <w:kern w:val="2"/>
          <w14:ligatures w14:val="standardContextual"/>
        </w:rPr>
        <w:t>(Munshi &amp; Ansari, 2021</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 xml:space="preserve">; </w:t>
      </w:r>
      <w:r w:rsidRPr="00D62A3B">
        <w:rPr>
          <w:rFonts w:ascii="Arial" w:eastAsia="Calibri" w:hAnsi="Arial" w:cs="Arial"/>
          <w:kern w:val="2"/>
          <w14:ligatures w14:val="standardContextual"/>
        </w:rPr>
        <w:fldChar w:fldCharType="begin" w:fldLock="1"/>
      </w:r>
      <w:r w:rsidRPr="00D62A3B">
        <w:rPr>
          <w:rFonts w:ascii="Arial" w:eastAsia="Calibri" w:hAnsi="Arial" w:cs="Arial"/>
          <w:kern w:val="2"/>
          <w14:ligatures w14:val="standardContextual"/>
        </w:rPr>
        <w:instrText>ADDIN CSL_CITATION {"citationItems":[{"id":"ITEM-1","itemData":{"DOI":"10.1056/nejmoa2102214","ISSN":"0028-4793","PMID":"33725432","abstract":"BACKGROUND Assessment of the safety and efficacy of vaccines against the severe acute respiratory syndrome coronavirus 2 (SARS-CoV-2) in different populations is essential, as is investigation of the efficacy of the vaccines against emerging SARS-CoV-2 variants of concern, including the B.1.351 (501Y.V2) variant first identified in South Africa. METHODS We conducted a multicenter, double-blind, randomized, controlled trial to assess the safety and efficacy of the ChAdOx1 nCoV-19 vaccine (AZD1222) in people not infected with the human immunodeficiency virus (HIV) in South Africa. Participants 18 to less than 65 years of age were assigned in a 1:1 ratio to receive two doses of vaccine containing 5×1010 viral particles or placebo (0.9% sodium chloride solution) 21 to 35 days apart. Serum samples obtained from 25 participants after the second dose were tested by pseudovirus and live-virus neutralization assays against the original D614G virus and the B.1.351 variant. The primary end points were safety and efficacy of the vaccine against laboratory-confirmed symptomatic coronavirus 2019 illness (Covid-19) more than 14 days after the second dose. RESULTS Between June 24 and November 9, 2020, we enrolled 2026 HIV-negative adults (median age, 30 years); 1010 and 1011 participants received at least one dose of placebo or vaccine, respectively. Both the pseudovirus and the live-virus neutralization assays showed greater resistance to the B.1.351 variant in serum samples obtained from vaccine recipients than in samples from placebo recipients. In the primary end-point analysis, mild-to-moderate Covid-19 developed in 23 of 717 placebo recipients (3.2%) and in 19 of 750 vaccine recipients (2.5%), for an efficacy of 21.9% (95% confidence interval [CI], -49.9 to 59.8). Among the 42 participants with Covid-19, 39 cases (92.9%) were caused by the B.1.351 variant; vaccine efficacy against this variant, analyzed as a secondary end point, was 10.4% (95% CI, -76.8 to 54.8). The incidence of serious adverse events was balanced between the vaccine and placebo groups. CONCLUSIONS A two-dose regimen of the ChAdOx1 nCoV-19 vaccine did not show protection against mild-to-moderate Covid-19 due to the B.1.351 variant. (Funded by the Bill and Melinda Gates Foundation and others; ClinicalTrials.gov number, NCT04444674; Pan African Clinical Trials Registry number, PACTR202006922165132).","author":[{"dropping-particle":"","family":"Madhi","given":"Shabir A.","non-dropping-particle":"","parse-names":false,"suffix":""},{"dropping-particle":"","family":"Baillie","given":"Vicky","non-dropping-particle":"","parse-names":false,"suffix":""},{"dropping-particle":"","family":"Cutland","given":"Clare L.","non-dropping-particle":"","parse-names":false,"suffix":""},{"dropping-particle":"","family":"Voysey","given":"Merryn","non-dropping-particle":"","parse-names":false,"suffix":""},{"dropping-particle":"","family":"Koen","given":"Anthonet L.","non-dropping-particle":"","parse-names":false,"suffix":""},{"dropping-particle":"","family":"Fairlie","given":"Lee","non-dropping-particle":"","parse-names":false,"suffix":""},{"dropping-particle":"","family":"Padayachee","given":"Sherman D.","non-dropping-particle":"","parse-names":false,"suffix":""},{"dropping-particle":"","family":"Dheda","given":"Keertan","non-dropping-particle":"","parse-names":false,"suffix":""},{"dropping-particle":"","family":"Barnabas","given":"Shaun L.","non-dropping-particle":"","parse-names":false,"suffix":""},{"dropping-particle":"","family":"Bhorat","given":"Qasim E.","non-dropping-particle":"","parse-names":false,"suffix":""},{"dropping-particle":"","family":"Briner","given":"Carmen","non-dropping-particle":"","parse-names":false,"suffix":""},{"dropping-particle":"","family":"Kwatra","given":"Gaurav","non-dropping-particle":"","parse-names":false,"suffix":""},{"dropping-particle":"","family":"Ahmed","given":"Khatija","non-dropping-particle":"","parse-names":false,"suffix":""},{"dropping-particle":"","family":"Aley","given":"Parvinder","non-dropping-particle":"","parse-names":false,"suffix":""},{"dropping-particle":"","family":"Bhikha","given":"Sutika","non-dropping-particle":"","parse-names":false,"suffix":""},{"dropping-particle":"","family":"Bhiman","given":"Jinal N.","non-dropping-particle":"","parse-names":false,"suffix":""},{"dropping-particle":"","family":"Bhorat","given":"As’ad E.","non-dropping-particle":"","parse-names":false,"suffix":""},{"dropping-particle":"","family":"Plessis","given":"Jeanine","non-dropping-particle":"du","parse-names":false,"suffix":""},{"dropping-particle":"","family":"Esmail","given":"Aliasgar","non-dropping-particle":"","parse-names":false,"suffix":""},{"dropping-particle":"","family":"Groenewald","given":"Marisa","non-dropping-particle":"","parse-names":false,"suffix":""},{"dropping-particle":"","family":"Horne","given":"Elizea","non-dropping-particle":"","parse-names":false,"suffix":""},{"dropping-particle":"","family":"Hwa","given":"Shi-Hsia","non-dropping-particle":"","parse-names":false,"suffix":""},{"dropping-particle":"","family":"Jose","given":"Aylin","non-dropping-particle":"","parse-names":false,"suffix":""},{"dropping-particle":"","family":"Lambe","given":"Teresa","non-dropping-particle":"","parse-names":false,"suffix":""},{"dropping-particle":"","family":"Laubscher","given":"Matt","non-dropping-particle":"","parse-names":false,"suffix":""},{"dropping-particle":"","family":"Malahleha","given":"Mookho","non-dropping-particle":"","parse-names":false,"suffix":""},{"dropping-particle":"","family":"Masenya","given":"Masebole","non-dropping-particle":"","parse-names":false,"suffix":""},{"dropping-particle":"","family":"Masilela","given":"Mduduzi","non-dropping-particle":"","parse-names":false,"suffix":""},{"dropping-particle":"","family":"McKenzie","given":"Shakeel","non-dropping-particle":"","parse-names":false,"suffix":""},{"dropping-particle":"","family":"Molapo","given":"Kgaogelo","non-dropping-particle":"","parse-names":false,"suffix":""},{"dropping-particle":"","family":"Moultrie","given":"Andrew","non-dropping-particle":"","parse-names":false,"suffix":""},{"dropping-particle":"","family":"Oelofse","given":"Suzette","non-dropping-particle":"","parse-names":false,"suffix":""},{"dropping-particle":"","family":"Patel","given":"Faeezah","non-dropping-particle":"","parse-names":false,"suffix":""},{"dropping-particle":"","family":"Pillay","given":"Sureshnee","non-dropping-particle":"","parse-names":false,"suffix":""},{"dropping-particle":"","family":"Rhead","given":"Sarah","non-dropping-particle":"","parse-names":false,"suffix":""},{"dropping-particle":"","family":"Rodel","given":"Hylton","non-dropping-particle":"","parse-names":false,"suffix":""},{"dropping-particle":"","family":"Rossouw","given":"Lindie","non-dropping-particle":"","parse-names":false,"suffix":""},{"dropping-particle":"","family":"Taoushanis","given":"Carol","non-dropping-particle":"","parse-names":false,"suffix":""},{"dropping-particle":"","family":"Tegally","given":"Houriiyah","non-dropping-particle":"","parse-names":false,"suffix":""},{"dropping-particle":"","family":"Thombrayil","given":"Asha","non-dropping-particle":"","parse-names":false,"suffix":""},{"dropping-particle":"","family":"Eck","given":"Samuel","non-dropping-particle":"van","parse-names":false,"suffix":""},{"dropping-particle":"","family":"Wibmer","given":"Constantinos K.","non-dropping-particle":"","parse-names":false,"suffix":""},{"dropping-particle":"","family":"Durham","given":"Nicholas M.","non-dropping-particle":"","parse-names":false,"suffix":""},{"dropping-particle":"","family":"Kelly","given":"Elizabeth J.","non-dropping-particle":"","parse-names":false,"suffix":""},{"dropping-particle":"","family":"Villafana","given":"Tonya L.","non-dropping-particle":"","parse-names":false,"suffix":""},{"dropping-particle":"","family":"Gilbert","given":"Sarah","non-dropping-particle":"","parse-names":false,"suffix":""},{"dropping-particle":"","family":"Pollard","given":"Andrew J.","non-dropping-particle":"","parse-names":false,"suffix":""},{"dropping-particle":"","family":"Oliveira","given":"Tulio","non-dropping-particle":"de","parse-names":false,"suffix":""},{"dropping-particle":"","family":"Moore","given":"Penny L.","non-dropping-particle":"","parse-names":false,"suffix":""},{"dropping-particle":"","family":"Sigal","given":"Alex","non-dropping-particle":"","parse-names":false,"suffix":""},{"dropping-particle":"","family":"Izu","given":"Alane","non-dropping-particle":"","parse-names":false,"suffix":""}],"container-title":"New England Journal of Medicine","id":"ITEM-1","issue":"20","issued":{"date-parts":[["2021"]]},"page":"1885-1898","title":"Efficacy of the ChAdOx1 nCoV-19 Covid-19 Vaccine against the B.1.351 Variant","type":"article-journal","volume":"384"},"uris":["http://www.mendeley.com/documents/?uuid=95a565c5-f2c0-4bb7-8f05-04988b40cbe0","http://www.mendeley.com/documents/?uuid=166eb960-bd8d-49d2-9a1a-e235b04e46c7","http://www.mendeley.com/documents/?uuid=3df14442-2712-4432-8158-e5a29c450005"]}],"mendeley":{"formattedCitation":"(Madhi et al., 2021)","manualFormatting":"Madhi et al., 2021)","plainTextFormattedCitation":"(Madhi et al., 2021)","previouslyFormattedCitation":"(Madhi et al., 2021)"},"properties":{"noteIndex":0},"schema":"https://github.com/citation-style-language/schema/raw/master/csl-citation.json"}</w:instrText>
      </w:r>
      <w:r w:rsidRPr="00D62A3B">
        <w:rPr>
          <w:rFonts w:ascii="Arial" w:eastAsia="Calibri" w:hAnsi="Arial" w:cs="Arial"/>
          <w:kern w:val="2"/>
          <w14:ligatures w14:val="standardContextual"/>
        </w:rPr>
        <w:fldChar w:fldCharType="separate"/>
      </w:r>
      <w:r w:rsidRPr="00D62A3B">
        <w:rPr>
          <w:rFonts w:ascii="Arial" w:eastAsia="Calibri" w:hAnsi="Arial" w:cs="Arial"/>
          <w:noProof/>
          <w:kern w:val="2"/>
          <w14:ligatures w14:val="standardContextual"/>
        </w:rPr>
        <w:t xml:space="preserve">Madhi </w:t>
      </w:r>
      <w:r w:rsidRPr="00D62A3B">
        <w:rPr>
          <w:rFonts w:ascii="Arial" w:eastAsia="Calibri" w:hAnsi="Arial" w:cs="Arial"/>
          <w:i/>
          <w:iCs/>
          <w:noProof/>
          <w:kern w:val="2"/>
          <w14:ligatures w14:val="standardContextual"/>
        </w:rPr>
        <w:t>et al</w:t>
      </w:r>
      <w:r w:rsidRPr="00D62A3B">
        <w:rPr>
          <w:rFonts w:ascii="Arial" w:eastAsia="Calibri" w:hAnsi="Arial" w:cs="Arial"/>
          <w:noProof/>
          <w:kern w:val="2"/>
          <w14:ligatures w14:val="standardContextual"/>
        </w:rPr>
        <w:t>., 2021)</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w:t>
      </w:r>
    </w:p>
    <w:p w14:paraId="4BA43EDC" w14:textId="77777777" w:rsidR="00F9435F" w:rsidRPr="00D62A3B" w:rsidRDefault="00F9435F" w:rsidP="00F9435F">
      <w:pPr>
        <w:numPr>
          <w:ilvl w:val="1"/>
          <w:numId w:val="31"/>
        </w:numPr>
        <w:spacing w:after="160" w:line="276" w:lineRule="auto"/>
        <w:contextualSpacing/>
        <w:rPr>
          <w:rFonts w:ascii="Arial" w:eastAsia="DengXian" w:hAnsi="Arial" w:cs="Arial"/>
          <w:b/>
          <w:kern w:val="2"/>
          <w:lang w:val="en-GB"/>
          <w14:ligatures w14:val="standardContextual"/>
        </w:rPr>
      </w:pPr>
      <w:r w:rsidRPr="00D62A3B">
        <w:rPr>
          <w:rFonts w:ascii="Arial" w:eastAsia="DengXian" w:hAnsi="Arial" w:cs="Arial"/>
          <w:b/>
          <w:kern w:val="2"/>
          <w:lang w:val="en-GB"/>
          <w14:ligatures w14:val="standardContextual"/>
        </w:rPr>
        <w:t xml:space="preserve">Data Collection </w:t>
      </w:r>
    </w:p>
    <w:p w14:paraId="770C4926" w14:textId="77777777" w:rsidR="00F9435F" w:rsidRPr="00D62A3B" w:rsidRDefault="00F9435F" w:rsidP="00F9435F">
      <w:pPr>
        <w:spacing w:line="276" w:lineRule="auto"/>
        <w:rPr>
          <w:rFonts w:ascii="Arial" w:eastAsia="DengXian" w:hAnsi="Arial" w:cs="Arial"/>
          <w:kern w:val="2"/>
          <w:lang w:val="en-GB"/>
          <w14:ligatures w14:val="standardContextual"/>
        </w:rPr>
      </w:pPr>
      <w:r w:rsidRPr="00D62A3B">
        <w:rPr>
          <w:rFonts w:ascii="Arial" w:eastAsia="DengXian" w:hAnsi="Arial" w:cs="Arial"/>
          <w:kern w:val="2"/>
          <w:lang w:val="en-GB"/>
          <w14:ligatures w14:val="standardContextual"/>
        </w:rPr>
        <w:t>This study was conducted in various phases as described below:</w:t>
      </w:r>
    </w:p>
    <w:p w14:paraId="2D5F1EBB" w14:textId="77777777" w:rsidR="00F9435F" w:rsidRPr="00D62A3B" w:rsidRDefault="00F9435F" w:rsidP="00F9435F">
      <w:pPr>
        <w:spacing w:line="276" w:lineRule="auto"/>
        <w:rPr>
          <w:rFonts w:ascii="Arial" w:eastAsia="DengXian" w:hAnsi="Arial" w:cs="Arial"/>
          <w:kern w:val="2"/>
          <w:lang w:val="en-GB"/>
          <w14:ligatures w14:val="standardContextual"/>
        </w:rPr>
      </w:pPr>
      <w:r w:rsidRPr="00D62A3B">
        <w:rPr>
          <w:rFonts w:ascii="Arial" w:eastAsia="DengXian" w:hAnsi="Arial" w:cs="Arial"/>
          <w:b/>
          <w:kern w:val="2"/>
          <w:lang w:val="en-GB"/>
          <w14:ligatures w14:val="standardContextual"/>
        </w:rPr>
        <w:t>Phase One:</w:t>
      </w:r>
      <w:r w:rsidRPr="00D62A3B">
        <w:rPr>
          <w:rFonts w:ascii="Arial" w:eastAsia="DengXian" w:hAnsi="Arial" w:cs="Arial"/>
          <w:kern w:val="2"/>
          <w:lang w:val="en-GB"/>
          <w14:ligatures w14:val="standardContextual"/>
        </w:rPr>
        <w:t xml:space="preserve"> To establish relevant benchmarks for comparing the sampled dams, a literature review was undertaken to explore global practices in benchmarking for dam safety.</w:t>
      </w:r>
    </w:p>
    <w:p w14:paraId="352AC360" w14:textId="77777777" w:rsidR="00F9435F" w:rsidRPr="00D62A3B" w:rsidRDefault="00F9435F" w:rsidP="00F9435F">
      <w:pPr>
        <w:spacing w:line="276" w:lineRule="auto"/>
        <w:rPr>
          <w:rFonts w:ascii="Arial" w:eastAsia="DengXian" w:hAnsi="Arial" w:cs="Arial"/>
          <w:kern w:val="2"/>
          <w:lang w:val="en-GB"/>
          <w14:ligatures w14:val="standardContextual"/>
        </w:rPr>
      </w:pPr>
      <w:r w:rsidRPr="00D62A3B">
        <w:rPr>
          <w:rFonts w:ascii="Arial" w:eastAsia="DengXian" w:hAnsi="Arial" w:cs="Arial"/>
          <w:b/>
          <w:kern w:val="2"/>
          <w:lang w:val="en-GB"/>
          <w14:ligatures w14:val="standardContextual"/>
        </w:rPr>
        <w:t>Phase Two:</w:t>
      </w:r>
      <w:r w:rsidRPr="00D62A3B">
        <w:rPr>
          <w:rFonts w:ascii="Arial" w:eastAsia="DengXian" w:hAnsi="Arial" w:cs="Arial"/>
          <w:kern w:val="2"/>
          <w:lang w:val="en-GB"/>
          <w14:ligatures w14:val="standardContextual"/>
        </w:rPr>
        <w:t xml:space="preserve"> Conducting ten on-site  surveys as part of an embedded case study focusing on deliberately selected Mindu dam in Morogoro  Municipality, Morogoro Region, Tanzania </w:t>
      </w:r>
      <w:r w:rsidRPr="00D62A3B">
        <w:rPr>
          <w:rFonts w:ascii="Arial" w:eastAsia="DengXian" w:hAnsi="Arial" w:cs="Arial"/>
          <w:kern w:val="2"/>
          <w:lang w:val="en-GB"/>
          <w14:ligatures w14:val="standardContextual"/>
        </w:rPr>
        <w:fldChar w:fldCharType="begin" w:fldLock="1"/>
      </w:r>
      <w:r w:rsidRPr="00D62A3B">
        <w:rPr>
          <w:rFonts w:ascii="Arial" w:eastAsia="DengXian" w:hAnsi="Arial" w:cs="Arial"/>
          <w:kern w:val="2"/>
          <w:lang w:val="en-GB"/>
          <w14:ligatures w14:val="standardContextual"/>
        </w:rPr>
        <w:instrText>ADDIN CSL_CITATION {"citationItems":[{"id":"ITEM-1","itemData":{"DOI":"10.1016/j.agwat.2012.12.003","ISSN":"03783774","abstract":"Farm dams in catchments create cumulative threats to downstream farmers, communities, and environments and if not managed individually, the problem will aggregate at the catchment level creating \"dual-extreme cumulative impacts and threats\". The aim is to explore the concept of dual-extreme cumulative impacts and threats to downstream communities and environments arising from inappropriate on-farm water storage within the Australian setting: a setting comprising high inter-annual rainfall variation creating dual hydrologic extremes of floods and droughts. The problem is explored through comparative case studies undertaken with ground-based photographic interpretation providing supporting empirical evidence. We find farmers storing more water than they are entitled to, with downstream users and the environment potentially suffering and at threat because of unsafe dams. Results indicate a need for integrated safe and equitable farm dam management accountability and assurance policy, and its effective implementation. We add to existing international dam policy literature by introducing the dual-extreme concept and demonstrating the critical need for effective integrated policy. Guidance is provided for jurisdictions seeking improved farm dams management for sustainable and safe catchments. © 2012.","author":[{"dropping-particle":"","family":"Pisaniello","given":"John D.","non-dropping-particle":"","parse-names":false,"suffix":""},{"dropping-particle":"","family":"Tingey-Holyoak","given":"Joanne L.","non-dropping-particle":"","parse-names":false,"suffix":""},{"dropping-particle":"","family":"Burritt","given":"Roger L.","non-dropping-particle":"","parse-names":false,"suffix":""}],"container-title":"Agricultural Water Management","id":"ITEM-1","issue":"2013","issued":{"date-parts":[["2013"]]},"page":"103-112","publisher":"Elsevier B.V.","title":"Dual-extreme cumulative impacts and threats in agricultural catchments: The need for effective integrated policy","type":"article-journal","volume":"118"},"uris":["http://www.mendeley.com/documents/?uuid=bda4af63-4c08-42f2-864c-8152c7d5330a","http://www.mendeley.com/documents/?uuid=73b5a447-1691-4d78-9da0-040b31003a24","http://www.mendeley.com/documents/?uuid=ce5c24e2-6c6a-466a-bb3f-13ffd01d71c9"]}],"mendeley":{"formattedCitation":"(Pisaniello et al., 2013)","plainTextFormattedCitation":"(Pisaniello et al., 2013)","previouslyFormattedCitation":"(Pisaniello et al., 2013)"},"properties":{"noteIndex":0},"schema":"https://github.com/citation-style-language/schema/raw/master/csl-citation.json"}</w:instrText>
      </w:r>
      <w:r w:rsidRPr="00D62A3B">
        <w:rPr>
          <w:rFonts w:ascii="Arial" w:eastAsia="DengXian" w:hAnsi="Arial" w:cs="Arial"/>
          <w:kern w:val="2"/>
          <w:lang w:val="en-GB"/>
          <w14:ligatures w14:val="standardContextual"/>
        </w:rPr>
        <w:fldChar w:fldCharType="separate"/>
      </w:r>
      <w:r w:rsidRPr="00D62A3B">
        <w:rPr>
          <w:rFonts w:ascii="Arial" w:eastAsia="DengXian" w:hAnsi="Arial" w:cs="Arial"/>
          <w:noProof/>
          <w:kern w:val="2"/>
          <w:lang w:val="en-GB"/>
          <w14:ligatures w14:val="standardContextual"/>
        </w:rPr>
        <w:t xml:space="preserve">(Pisaniello </w:t>
      </w:r>
      <w:r w:rsidRPr="00D62A3B">
        <w:rPr>
          <w:rFonts w:ascii="Arial" w:eastAsia="DengXian" w:hAnsi="Arial" w:cs="Arial"/>
          <w:i/>
          <w:iCs/>
          <w:noProof/>
          <w:kern w:val="2"/>
          <w:lang w:val="en-GB"/>
          <w14:ligatures w14:val="standardContextual"/>
        </w:rPr>
        <w:t>et a</w:t>
      </w:r>
      <w:r w:rsidRPr="00D62A3B">
        <w:rPr>
          <w:rFonts w:ascii="Arial" w:eastAsia="DengXian" w:hAnsi="Arial" w:cs="Arial"/>
          <w:noProof/>
          <w:kern w:val="2"/>
          <w:lang w:val="en-GB"/>
          <w14:ligatures w14:val="standardContextual"/>
        </w:rPr>
        <w:t>l., 2013)</w:t>
      </w:r>
      <w:r w:rsidRPr="00D62A3B">
        <w:rPr>
          <w:rFonts w:ascii="Arial" w:eastAsia="DengXian" w:hAnsi="Arial" w:cs="Arial"/>
          <w:kern w:val="2"/>
          <w:lang w:val="en-GB"/>
          <w14:ligatures w14:val="standardContextual"/>
        </w:rPr>
        <w:fldChar w:fldCharType="end"/>
      </w:r>
      <w:r w:rsidRPr="00D62A3B">
        <w:rPr>
          <w:rFonts w:ascii="Arial" w:eastAsia="DengXian" w:hAnsi="Arial" w:cs="Arial"/>
          <w:kern w:val="2"/>
          <w:lang w:val="en-GB"/>
          <w14:ligatures w14:val="standardContextual"/>
        </w:rPr>
        <w:t xml:space="preserve">. Mindu dam was selected because it fulfilled the following two criteria: (1) being classified as "Significant" or "High" hazard based on an initial assessment of factors such as dam size, human habitation, and economic development in the downstream inundation area </w:t>
      </w:r>
      <w:r w:rsidRPr="00D62A3B">
        <w:rPr>
          <w:rFonts w:ascii="Arial" w:eastAsia="DengXian" w:hAnsi="Arial" w:cs="Arial"/>
          <w:kern w:val="2"/>
          <w:lang w:val="en-GB"/>
          <w14:ligatures w14:val="standardContextual"/>
        </w:rPr>
        <w:fldChar w:fldCharType="begin" w:fldLock="1"/>
      </w:r>
      <w:r w:rsidRPr="00D62A3B">
        <w:rPr>
          <w:rFonts w:ascii="Arial" w:eastAsia="DengXian" w:hAnsi="Arial" w:cs="Arial"/>
          <w:kern w:val="2"/>
          <w:lang w:val="en-GB"/>
          <w14:ligatures w14:val="standardContextual"/>
        </w:rPr>
        <w:instrText>ADDIN CSL_CITATION {"citationItems":[{"id":"ITEM-1","itemData":{"DOI":"10.1080/02508060308691668","ISSN":"02508060","abstract":"The largest dams are generally built and managed by Governments; individual owners build small dams. Over time, many dam safety aspects have changed, such as population distributions, meteorological information, engineering methods and design standards, together with the condition of the dams, raising serious doubts about dam adequacy. For the larger dams response has been to spend vast amounts on remedial works. Unfortunately, only a few countries have developed mature safety assurance schemes for smaller dams: these are comparatively reviewed here identifying elements of “minimum” and “best” practice, and providing policy models and guidelines of “appropriate” practice for varying circumstances. Farmers often overlook common law obligation to review/design dams in line with current standards because of high engineering consulting costs. A cost-effective spillway design/review procedure that is applicable to South Eastern Australia, but is transferable to any other region world-wide, is also reported here: this procedure is integrated with the policy models and guidelines, aiming to minimize cost burdens to dam owners, encourage better dam safety management, and provide an acceptable level of safety assurance to downstream communities. © 2003 Taylor &amp; Francis Group, LLC.","author":[{"dropping-particle":"","family":"Pisaniello","given":"John D.","non-dropping-particle":"","parse-names":false,"suffix":""},{"dropping-particle":"","family":"McKay","given":"Jennifer M.","non-dropping-particle":"","parse-names":false,"suffix":""}],"container-title":"Water International","id":"ITEM-1","issue":"1","issued":{"date-parts":[["2003"]]},"page":"90-102","title":"A Farmer-Friendly Dam Safety Evaluation Procedure As A Key Part of Modern Australian Water Laws","type":"article-journal","volume":"28"},"uris":["http://www.mendeley.com/documents/?uuid=91937363-99e6-4b51-83b5-d8406f5d62fd","http://www.mendeley.com/documents/?uuid=901f5d27-e903-4bf3-a23d-358ecdbaae59","http://www.mendeley.com/documents/?uuid=6d6ab1ec-0ca2-43e8-82e1-ff359ecfc3d8"]},{"id":"ITEM-2","itemData":{"DOI":"10.1023/a:1008291411492","ISSN":"09246460","abstract":"Disclosure strategies, which involve public and/or private attempts to increase the availability of information on pollution, form the basis for what some have called the third wave in pollution control policy (after legal regulation - the first wave - and market-based instruments the second wave). While these strategies have become common in natural resource settings (forest certification and organic farming, for example), they are less familiar in a pollution control context. Yet the number of applications in that context is now growing in both OECD and developing countries. This survey will review what we know and don't know about the use of disclosure strategies to control pollution and conclude with the author's sense of where further research would be particularly helpful.","author":[{"dropping-particle":"","family":"Tietenberg","given":"Tom","non-dropping-particle":"","parse-names":false,"suffix":""}],"container-title":"Environmental and Resource Economics","id":"ITEM-2","issue":"3-4","issued":{"date-parts":[["1998"]]},"page":"587-602","title":"Disclosure strategies for pollution control","type":"article-journal","volume":"11"},"uris":["http://www.mendeley.com/documents/?uuid=be99acd2-9115-4d5e-ab93-39e5e66bc627","http://www.mendeley.com/documents/?uuid=9c97f50a-7197-4505-8fa4-50b798db7d25","http://www.mendeley.com/documents/?uuid=72d57c32-98f5-43a4-ae75-7a23a00ec978"]}],"mendeley":{"formattedCitation":"(Pisaniello &amp; McKay, 2003; Tietenberg, 1998)","plainTextFormattedCitation":"(Pisaniello &amp; McKay, 2003; Tietenberg, 1998)","previouslyFormattedCitation":"(Pisaniello &amp; McKay, 2003; Tietenberg, 1998)"},"properties":{"noteIndex":0},"schema":"https://github.com/citation-style-language/schema/raw/master/csl-citation.json"}</w:instrText>
      </w:r>
      <w:r w:rsidRPr="00D62A3B">
        <w:rPr>
          <w:rFonts w:ascii="Arial" w:eastAsia="DengXian" w:hAnsi="Arial" w:cs="Arial"/>
          <w:kern w:val="2"/>
          <w:lang w:val="en-GB"/>
          <w14:ligatures w14:val="standardContextual"/>
        </w:rPr>
        <w:fldChar w:fldCharType="separate"/>
      </w:r>
      <w:r w:rsidRPr="00D62A3B">
        <w:rPr>
          <w:rFonts w:ascii="Arial" w:eastAsia="DengXian" w:hAnsi="Arial" w:cs="Arial"/>
          <w:noProof/>
          <w:kern w:val="2"/>
          <w:lang w:val="en-GB"/>
          <w14:ligatures w14:val="standardContextual"/>
        </w:rPr>
        <w:t>(Pisaniello &amp; McKay, 2003; Tietenberg, 1998)</w:t>
      </w:r>
      <w:r w:rsidRPr="00D62A3B">
        <w:rPr>
          <w:rFonts w:ascii="Arial" w:eastAsia="DengXian" w:hAnsi="Arial" w:cs="Arial"/>
          <w:kern w:val="2"/>
          <w:lang w:val="en-GB"/>
          <w14:ligatures w14:val="standardContextual"/>
        </w:rPr>
        <w:fldChar w:fldCharType="end"/>
      </w:r>
      <w:r w:rsidRPr="00D62A3B">
        <w:rPr>
          <w:rFonts w:ascii="Arial" w:eastAsia="DengXian" w:hAnsi="Arial" w:cs="Arial"/>
          <w:kern w:val="2"/>
          <w:lang w:val="en-GB"/>
          <w14:ligatures w14:val="standardContextual"/>
        </w:rPr>
        <w:t>; and (2) qualifying as small dams</w:t>
      </w:r>
      <w:r w:rsidRPr="00D62A3B">
        <w:rPr>
          <w:rFonts w:ascii="Arial" w:eastAsia="DengXian" w:hAnsi="Arial" w:cs="Arial"/>
          <w:kern w:val="2"/>
          <w:lang w:val="en-GB"/>
          <w14:ligatures w14:val="standardContextual"/>
        </w:rPr>
        <w:fldChar w:fldCharType="begin" w:fldLock="1"/>
      </w:r>
      <w:r w:rsidRPr="00D62A3B">
        <w:rPr>
          <w:rFonts w:ascii="Arial" w:eastAsia="DengXian" w:hAnsi="Arial" w:cs="Arial"/>
          <w:kern w:val="2"/>
          <w:lang w:val="en-GB"/>
          <w14:ligatures w14:val="standardContextual"/>
        </w:rPr>
        <w:instrText>ADDIN CSL_CITATION {"citationItems":[{"id":"ITEM-1","itemData":{"DOI":"10.24840/2183-6493_009-003_001968","ISBN":"0000000322102","ISSN":"21836493","abstract":"The Brazilian National Policy on Dam Safety (PNSB) was enacted in 2010 and there are still many actions to be carried out, especially the classification of dams as to associated hazard potential (PHA) and risk category (RC). The analysis conducted based on the Dam Safety Report 2020 informsthat there are 21953 dams distributed throughout the Brazilian territory registered in National Dam Information System (SNISB). However, 14849 (67.64%) of the dams were not classified as RC and 13475 (61.38%) of the dams were not classified as PHA. There are 3724 dams classified as high PHA, 2407 (64.64%) of which are considered small in terms of reservoir capacity. Considering this scenario, bibliographic research was conducted on dam classification criteria used in Brazil, Portugal, International Commission on Large (ICOLD) and United States. In addition, bibliographic research was conducted on two studies that used artificial intelligence-based tools to forecast PHA classification. As a result, this study recommends future research with indicated classification criteria and with applications based on artificial intelligence to forecast PHA classification in Brazil.","author":[{"dropping-particle":"","family":"Salgado","given":"Sérgio Ricardo Toledo","non-dropping-particle":"","parse-names":false,"suffix":""},{"dropping-particle":"da","family":"Silva Carvalho","given":"Elsa Maria","non-dropping-particle":"","parse-names":false,"suffix":""}],"container-title":"U.Porto Journal of Engineering","id":"ITEM-1","issue":"3","issued":{"date-parts":[["2023"]]},"page":"223-239","title":"Recommendations for the process of classification of dams in Brazil","type":"article-journal","volume":"9"},"uris":["http://www.mendeley.com/documents/?uuid=598d50ed-477b-46bb-bf48-e6f92eddb21a","http://www.mendeley.com/documents/?uuid=a8a45a64-a1cc-4ff5-a47d-65ff7eb268e2"]}],"mendeley":{"formattedCitation":"(Salgado &amp; Silva Carvalho, 2023)","plainTextFormattedCitation":"(Salgado &amp; Silva Carvalho, 2023)","previouslyFormattedCitation":"(Salgado &amp; Silva Carvalho, 2023)"},"properties":{"noteIndex":0},"schema":"https://github.com/citation-style-language/schema/raw/master/csl-citation.json"}</w:instrText>
      </w:r>
      <w:r w:rsidRPr="00D62A3B">
        <w:rPr>
          <w:rFonts w:ascii="Arial" w:eastAsia="DengXian" w:hAnsi="Arial" w:cs="Arial"/>
          <w:kern w:val="2"/>
          <w:lang w:val="en-GB"/>
          <w14:ligatures w14:val="standardContextual"/>
        </w:rPr>
        <w:fldChar w:fldCharType="separate"/>
      </w:r>
      <w:r w:rsidRPr="00D62A3B">
        <w:rPr>
          <w:rFonts w:ascii="Arial" w:eastAsia="DengXian" w:hAnsi="Arial" w:cs="Arial"/>
          <w:noProof/>
          <w:kern w:val="2"/>
          <w:lang w:val="en-GB"/>
          <w14:ligatures w14:val="standardContextual"/>
        </w:rPr>
        <w:t>(Salgado &amp; Silva Carvalho, 2023)</w:t>
      </w:r>
      <w:r w:rsidRPr="00D62A3B">
        <w:rPr>
          <w:rFonts w:ascii="Arial" w:eastAsia="DengXian" w:hAnsi="Arial" w:cs="Arial"/>
          <w:kern w:val="2"/>
          <w:lang w:val="en-GB"/>
          <w14:ligatures w14:val="standardContextual"/>
        </w:rPr>
        <w:fldChar w:fldCharType="end"/>
      </w:r>
      <w:r w:rsidRPr="00D62A3B">
        <w:rPr>
          <w:rFonts w:ascii="Arial" w:eastAsia="DengXian" w:hAnsi="Arial" w:cs="Arial"/>
          <w:kern w:val="2"/>
          <w:lang w:val="en-GB"/>
          <w14:ligatures w14:val="standardContextual"/>
        </w:rPr>
        <w:t xml:space="preserve">. The on-site dam examination involved utilizing a dam inspection checklist sourced from the following periodicals: (1) "Your dam your responsibility: a guide to managing the safety of farm dams" released by the Department of Sustainability and Environment (DSE, 2007) in Victoria, (2) "Dam safety guidelines: inspection and maintenance of dams" published by the Water Management Branch of the Ministry of Environment, Lands and Parks, British Columbia </w:t>
      </w:r>
      <w:r w:rsidRPr="00D62A3B">
        <w:rPr>
          <w:rFonts w:ascii="Arial" w:eastAsia="DengXian" w:hAnsi="Arial" w:cs="Arial"/>
          <w:kern w:val="2"/>
          <w:lang w:val="en-GB"/>
          <w14:ligatures w14:val="standardContextual"/>
        </w:rPr>
        <w:fldChar w:fldCharType="begin" w:fldLock="1"/>
      </w:r>
      <w:r w:rsidRPr="00D62A3B">
        <w:rPr>
          <w:rFonts w:ascii="Arial" w:eastAsia="DengXian" w:hAnsi="Arial" w:cs="Arial"/>
          <w:kern w:val="2"/>
          <w:lang w:val="en-GB"/>
          <w14:ligatures w14:val="standardContextual"/>
        </w:rPr>
        <w:instrText>ADDIN CSL_CITATION {"citationItems":[{"id":"ITEM-1","itemData":{"DOI":"10.1016/j.jenvman.2006.11.009","ISSN":"03014797","PMID":"17208349","abstract":"A variety of tools can be employed in support of environmental policy objectives, but achieving preferred outcomes also requires the cooperation of private landholders and others with vested interests in the land. The Land Stewardship project in the state of Victoria, Australia, is an initiative devoted to exploring the ways in which private landholders could be encouraged towards more sustainable land management. Following the view that the success of policy initiatives is contingent on effective stakeholder engagement, a component of the Land Stewardship project involved a dialogue with landholders about policy tools (e.g., regulation, economic instruments) that might be deployed to encourage improved land management practices. This paper provides an account of the views and attitudes of landholders, as revealed in a series of three workshops, which consisted of discussions about the factors influencing agriculture, participants' interpretations of sustainability, and policy methods. The focus of the paper is on what landholders believe to be the strengths and limitations of standard policy tools, and the essential requirements for these tools to deliver the best land management outcomes. One of the main findings of the project was a 'preference hierarchy' in respect of policy methods, according to which the strongest support was expressed for voluntary and education-based tools, followed by market-based instruments, with command-and-control regulation identified as a measure of 'last resort'. In the paper we reflect also on how the views and outlook of landholders should be positioned relative to other inputs in the design of policy interventions. © 2006 Elsevier Ltd. All rights reserved.","author":[{"dropping-particle":"","family":"Cocklin","given":"Chris","non-dropping-particle":"","parse-names":false,"suffix":""},{"dropping-particle":"","family":"Mautner","given":"Naomi","non-dropping-particle":"","parse-names":false,"suffix":""},{"dropping-particle":"","family":"Dibden","given":"Jacqui","non-dropping-particle":"","parse-names":false,"suffix":""}],"container-title":"Journal of Environmental Management","id":"ITEM-1","issue":"4","issued":{"date-parts":[["2007"]]},"page":"986-998","title":"Public policy, private landholders: Perspectives on policy mechanisms for sustainable land management","type":"article-journal","volume":"85"},"uris":["http://www.mendeley.com/documents/?uuid=6f66a906-680b-494e-be1b-6e3fff1ab408","http://www.mendeley.com/documents/?uuid=8b9e043a-9454-4624-b917-54aaa8853eff","http://www.mendeley.com/documents/?uuid=cca252bc-1b57-41db-8bc8-b1a35fe9b3f1"]},{"id":"ITEM-2","itemData":{"DOI":"10.13140/2.1.3606.8806","abstract":"Recognizing a need to provide a consistent approach for the design, construction, inspection and maintenance of the 255 dams that Parks Canada Agency owns and operates in every province in Canada (with the exception of Prince Edward Island) a decision was …","author":[{"dropping-particle":"","family":"Donnelly","given":"C. Richard","non-dropping-particle":"","parse-names":false,"suffix":""},{"dropping-particle":"","family":"Bechai","given":"Mona","non-dropping-particle":"","parse-names":false,"suffix":""},{"dropping-particle":"","family":"Trias","given":"Margaret","non-dropping-particle":"","parse-names":false,"suffix":""},{"dropping-particle":"","family":"Vaillancourt","given":"Jacques","non-dropping-particle":"","parse-names":false,"suffix":""},{"dropping-particle":"","family":"Roy","given":"Andre","non-dropping-particle":"","parse-names":false,"suffix":""}],"container-title":"CDA 2009 Annual Conference","id":"ITEM-2","issue":"October 2009","issued":{"date-parts":[["2009"]]},"page":"21","title":"The Development of A National Dam Safety Standard for Parks Canada","type":"article-journal"},"uris":["http://www.mendeley.com/documents/?uuid=4f704bb9-fb5f-4c4d-bd16-b204968aa34a","http://www.mendeley.com/documents/?uuid=a99376ba-75a4-494e-a10c-5050463f6ae3","http://www.mendeley.com/documents/?uuid=a4f28974-cde1-4830-b183-854aef30da7a"]}],"mendeley":{"formattedCitation":"(Cocklin et al., 2007; Donnelly et al., 2009)","plainTextFormattedCitation":"(Cocklin et al., 2007; Donnelly et al., 2009)","previouslyFormattedCitation":"(Cocklin et al., 2007; Donnelly et al., 2009)"},"properties":{"noteIndex":0},"schema":"https://github.com/citation-style-language/schema/raw/master/csl-citation.json"}</w:instrText>
      </w:r>
      <w:r w:rsidRPr="00D62A3B">
        <w:rPr>
          <w:rFonts w:ascii="Arial" w:eastAsia="DengXian" w:hAnsi="Arial" w:cs="Arial"/>
          <w:kern w:val="2"/>
          <w:lang w:val="en-GB"/>
          <w14:ligatures w14:val="standardContextual"/>
        </w:rPr>
        <w:fldChar w:fldCharType="separate"/>
      </w:r>
      <w:r w:rsidRPr="00D62A3B">
        <w:rPr>
          <w:rFonts w:ascii="Arial" w:eastAsia="DengXian" w:hAnsi="Arial" w:cs="Arial"/>
          <w:noProof/>
          <w:kern w:val="2"/>
          <w:lang w:val="en-GB"/>
          <w14:ligatures w14:val="standardContextual"/>
        </w:rPr>
        <w:t xml:space="preserve">(Cocklin </w:t>
      </w:r>
      <w:r w:rsidRPr="00D62A3B">
        <w:rPr>
          <w:rFonts w:ascii="Arial" w:eastAsia="DengXian" w:hAnsi="Arial" w:cs="Arial"/>
          <w:i/>
          <w:iCs/>
          <w:noProof/>
          <w:kern w:val="2"/>
          <w:lang w:val="en-GB"/>
          <w14:ligatures w14:val="standardContextual"/>
        </w:rPr>
        <w:t>et al</w:t>
      </w:r>
      <w:r w:rsidRPr="00D62A3B">
        <w:rPr>
          <w:rFonts w:ascii="Arial" w:eastAsia="DengXian" w:hAnsi="Arial" w:cs="Arial"/>
          <w:noProof/>
          <w:kern w:val="2"/>
          <w:lang w:val="en-GB"/>
          <w14:ligatures w14:val="standardContextual"/>
        </w:rPr>
        <w:t xml:space="preserve">., 2007; Donnelly </w:t>
      </w:r>
      <w:r w:rsidRPr="00D62A3B">
        <w:rPr>
          <w:rFonts w:ascii="Arial" w:eastAsia="DengXian" w:hAnsi="Arial" w:cs="Arial"/>
          <w:i/>
          <w:iCs/>
          <w:noProof/>
          <w:kern w:val="2"/>
          <w:lang w:val="en-GB"/>
          <w14:ligatures w14:val="standardContextual"/>
        </w:rPr>
        <w:t>et al</w:t>
      </w:r>
      <w:r w:rsidRPr="00D62A3B">
        <w:rPr>
          <w:rFonts w:ascii="Arial" w:eastAsia="DengXian" w:hAnsi="Arial" w:cs="Arial"/>
          <w:noProof/>
          <w:kern w:val="2"/>
          <w:lang w:val="en-GB"/>
          <w14:ligatures w14:val="standardContextual"/>
        </w:rPr>
        <w:t>., 2009)</w:t>
      </w:r>
      <w:r w:rsidRPr="00D62A3B">
        <w:rPr>
          <w:rFonts w:ascii="Arial" w:eastAsia="DengXian" w:hAnsi="Arial" w:cs="Arial"/>
          <w:kern w:val="2"/>
          <w:lang w:val="en-GB"/>
          <w14:ligatures w14:val="standardContextual"/>
        </w:rPr>
        <w:fldChar w:fldCharType="end"/>
      </w:r>
      <w:r w:rsidRPr="00D62A3B">
        <w:rPr>
          <w:rFonts w:ascii="Arial" w:eastAsia="DengXian" w:hAnsi="Arial" w:cs="Arial"/>
          <w:kern w:val="2"/>
          <w:lang w:val="en-GB"/>
          <w14:ligatures w14:val="standardContextual"/>
        </w:rPr>
        <w:t xml:space="preserve"> and (3) The global recommendations for the evaluation and examination of small earthen dams as outlined in the publications by Pisaniello, 2010a, b; Pisaniello and McCay, 2006.</w:t>
      </w:r>
    </w:p>
    <w:p w14:paraId="449612BD" w14:textId="77777777" w:rsidR="00F9435F" w:rsidRPr="00AA0262" w:rsidRDefault="00F9435F" w:rsidP="00F9435F">
      <w:pPr>
        <w:spacing w:line="276" w:lineRule="auto"/>
        <w:rPr>
          <w:rFonts w:ascii="Arial" w:hAnsi="Arial" w:cs="Arial"/>
        </w:rPr>
      </w:pPr>
      <w:r w:rsidRPr="00AA0262">
        <w:rPr>
          <w:rFonts w:ascii="Arial" w:hAnsi="Arial" w:cs="Arial"/>
          <w:b/>
        </w:rPr>
        <w:t>Phase Three:</w:t>
      </w:r>
      <w:r w:rsidRPr="00AA0262">
        <w:rPr>
          <w:rFonts w:ascii="Arial" w:hAnsi="Arial" w:cs="Arial"/>
        </w:rPr>
        <w:t xml:space="preserve"> The qualitative semi-structured interviews were conducted with representatives from thirty significant stakeholders. The in-person interviews took place between April 10 and October 11, 2023, to capture enough information on both rainy and dry season conditions of the dam.</w:t>
      </w:r>
    </w:p>
    <w:p w14:paraId="4C59C6D5" w14:textId="77777777" w:rsidR="00F9435F" w:rsidRDefault="00F9435F" w:rsidP="00F9435F">
      <w:pPr>
        <w:spacing w:line="276" w:lineRule="auto"/>
        <w:rPr>
          <w:rFonts w:ascii="Arial" w:eastAsia="DengXian" w:hAnsi="Arial" w:cs="Arial"/>
          <w:kern w:val="2"/>
          <w:lang w:val="en-GB"/>
          <w14:ligatures w14:val="standardContextual"/>
        </w:rPr>
      </w:pPr>
      <w:r w:rsidRPr="00D62A3B">
        <w:rPr>
          <w:rFonts w:ascii="Arial" w:eastAsia="DengXian" w:hAnsi="Arial" w:cs="Arial"/>
          <w:kern w:val="2"/>
          <w:lang w:val="en-GB"/>
          <w14:ligatures w14:val="standardContextual"/>
        </w:rPr>
        <w:t xml:space="preserve">The study employed the mixed methods approach in data collection whereby quantitative and qualitative data were collected concurrently to get more information to help answer the research questions. Primary data were collected using a structured questionnaire; key informant interviews (KIIs) and focus group discussions (FGDs). The KIIs and the FGDs were guided by a checklist and an FGD guide respectively. A total of 10 key informants occupying different positions including engineers and policymakers were interviewed. Moreover, ten FGDs, each involving </w:t>
      </w:r>
      <w:r>
        <w:rPr>
          <w:rFonts w:ascii="Arial" w:eastAsia="DengXian" w:hAnsi="Arial" w:cs="Arial"/>
          <w:kern w:val="2"/>
          <w:lang w:val="en-GB"/>
          <w14:ligatures w14:val="standardContextual"/>
        </w:rPr>
        <w:t>30</w:t>
      </w:r>
      <w:r w:rsidRPr="00D62A3B">
        <w:rPr>
          <w:rFonts w:ascii="Arial" w:eastAsia="DengXian" w:hAnsi="Arial" w:cs="Arial"/>
          <w:kern w:val="2"/>
          <w:lang w:val="en-GB"/>
          <w14:ligatures w14:val="standardContextual"/>
        </w:rPr>
        <w:t xml:space="preserve"> participants, were conducted.</w:t>
      </w:r>
    </w:p>
    <w:p w14:paraId="4B88B855" w14:textId="77777777" w:rsidR="00287ED5" w:rsidRDefault="00287ED5" w:rsidP="00F9435F">
      <w:pPr>
        <w:spacing w:line="276" w:lineRule="auto"/>
        <w:rPr>
          <w:rFonts w:ascii="Arial" w:eastAsia="DengXian" w:hAnsi="Arial" w:cs="Arial"/>
          <w:kern w:val="2"/>
          <w:lang w:val="en-GB"/>
          <w14:ligatures w14:val="standardContextual"/>
        </w:rPr>
      </w:pPr>
    </w:p>
    <w:p w14:paraId="571477A2" w14:textId="77777777" w:rsidR="00287ED5" w:rsidRDefault="00287ED5" w:rsidP="00F9435F">
      <w:pPr>
        <w:spacing w:after="160" w:line="276" w:lineRule="auto"/>
        <w:ind w:left="360"/>
        <w:contextualSpacing/>
        <w:rPr>
          <w:rFonts w:ascii="Arial" w:eastAsia="DengXian" w:hAnsi="Arial" w:cs="Arial"/>
          <w:b/>
          <w:kern w:val="2"/>
          <w:lang w:val="en-GB"/>
          <w14:ligatures w14:val="standardContextual"/>
        </w:rPr>
      </w:pPr>
      <w:r>
        <w:rPr>
          <w:rFonts w:ascii="Arial" w:eastAsia="DengXian" w:hAnsi="Arial" w:cs="Arial"/>
          <w:b/>
          <w:kern w:val="2"/>
          <w:lang w:val="en-GB"/>
          <w14:ligatures w14:val="standardContextual"/>
        </w:rPr>
        <w:t>2.4</w:t>
      </w:r>
      <w:r w:rsidR="00B23916">
        <w:rPr>
          <w:rFonts w:ascii="Arial" w:eastAsia="DengXian" w:hAnsi="Arial" w:cs="Arial"/>
          <w:b/>
          <w:kern w:val="2"/>
          <w:lang w:val="en-GB"/>
          <w14:ligatures w14:val="standardContextual"/>
        </w:rPr>
        <w:t>.</w:t>
      </w:r>
      <w:r w:rsidR="00B23916" w:rsidRPr="006B40FA">
        <w:rPr>
          <w:rFonts w:ascii="Arial" w:eastAsia="DengXian" w:hAnsi="Arial" w:cs="Arial"/>
          <w:b/>
          <w:kern w:val="2"/>
          <w:lang w:val="en-GB"/>
          <w14:ligatures w14:val="standardContextual"/>
        </w:rPr>
        <w:t xml:space="preserve"> Data</w:t>
      </w:r>
      <w:r w:rsidRPr="006B40FA">
        <w:rPr>
          <w:rFonts w:ascii="Arial" w:eastAsia="DengXian" w:hAnsi="Arial" w:cs="Arial"/>
          <w:b/>
          <w:kern w:val="2"/>
          <w:lang w:val="en-GB"/>
          <w14:ligatures w14:val="standardContextual"/>
        </w:rPr>
        <w:t xml:space="preserve"> analysis</w:t>
      </w:r>
    </w:p>
    <w:p w14:paraId="473E6B20" w14:textId="77777777" w:rsidR="00454E96" w:rsidRPr="00B23916" w:rsidRDefault="00454E96" w:rsidP="00F9435F">
      <w:pPr>
        <w:spacing w:after="160" w:line="276" w:lineRule="auto"/>
        <w:ind w:left="360"/>
        <w:contextualSpacing/>
        <w:rPr>
          <w:rFonts w:ascii="Arial" w:eastAsia="DengXian" w:hAnsi="Arial" w:cs="Arial"/>
          <w:b/>
          <w:kern w:val="2"/>
          <w:lang w:val="en-GB"/>
          <w14:ligatures w14:val="standardContextual"/>
        </w:rPr>
      </w:pPr>
    </w:p>
    <w:p w14:paraId="1577838B" w14:textId="77777777" w:rsidR="00F9435F" w:rsidRDefault="00F9435F" w:rsidP="00F9435F">
      <w:pPr>
        <w:spacing w:line="276" w:lineRule="auto"/>
        <w:rPr>
          <w:rFonts w:ascii="Arial" w:hAnsi="Arial" w:cs="Arial"/>
        </w:rPr>
      </w:pPr>
      <w:r w:rsidRPr="000A4E58">
        <w:rPr>
          <w:rFonts w:ascii="Arial" w:hAnsi="Arial" w:cs="Arial"/>
        </w:rPr>
        <w:t>Data collected from literature review, observations (on site surveys),</w:t>
      </w:r>
      <w:r w:rsidRPr="000A4E58">
        <w:rPr>
          <w:rFonts w:ascii="Arial" w:eastAsia="DengXian" w:hAnsi="Arial" w:cs="Arial"/>
          <w:kern w:val="2"/>
          <w:lang w:val="en-GB"/>
          <w14:ligatures w14:val="standardContextual"/>
        </w:rPr>
        <w:t xml:space="preserve"> semi-structured interviews </w:t>
      </w:r>
      <w:r w:rsidRPr="000A4E58">
        <w:rPr>
          <w:rFonts w:ascii="Arial" w:hAnsi="Arial" w:cs="Arial"/>
        </w:rPr>
        <w:t xml:space="preserve">regarding different applied coping strategies in farmers’ fields and observable risk of mindu dam in Morogoro, plus information collected from the household survey were analysed using descriptive statistics. </w:t>
      </w:r>
      <w:r>
        <w:rPr>
          <w:rFonts w:ascii="Arial" w:hAnsi="Arial" w:cs="Arial"/>
        </w:rPr>
        <w:t>R</w:t>
      </w:r>
      <w:r w:rsidRPr="000A4E58">
        <w:rPr>
          <w:rFonts w:ascii="Arial" w:hAnsi="Arial" w:cs="Arial"/>
        </w:rPr>
        <w:t xml:space="preserve"> and Excel were used to generate frequency tables, percentages, charts and graphs to summarize, present and interpret survey results. </w:t>
      </w:r>
    </w:p>
    <w:p w14:paraId="6A346D52" w14:textId="77777777" w:rsidR="00790ADA" w:rsidRPr="00FB3A86" w:rsidRDefault="00790ADA" w:rsidP="00441B6F">
      <w:pPr>
        <w:pStyle w:val="Body"/>
        <w:spacing w:after="0"/>
        <w:rPr>
          <w:rFonts w:ascii="Arial" w:hAnsi="Arial" w:cs="Arial"/>
        </w:rPr>
      </w:pPr>
    </w:p>
    <w:p w14:paraId="7852D7D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2EAF38" w14:textId="77777777" w:rsidR="00790ADA" w:rsidRPr="00FB3A86" w:rsidRDefault="00790ADA" w:rsidP="00441B6F">
      <w:pPr>
        <w:pStyle w:val="Head1"/>
        <w:spacing w:after="0"/>
        <w:jc w:val="both"/>
        <w:rPr>
          <w:rFonts w:ascii="Arial" w:hAnsi="Arial" w:cs="Arial"/>
        </w:rPr>
      </w:pPr>
    </w:p>
    <w:p w14:paraId="2304AAAC" w14:textId="77777777" w:rsidR="003941BF" w:rsidRDefault="003941BF" w:rsidP="003941BF">
      <w:pPr>
        <w:spacing w:after="160" w:line="276" w:lineRule="auto"/>
        <w:ind w:left="360"/>
        <w:contextualSpacing/>
        <w:jc w:val="both"/>
        <w:rPr>
          <w:rFonts w:ascii="Arial" w:eastAsia="Calibri" w:hAnsi="Arial" w:cs="Arial"/>
          <w:b/>
          <w:iCs/>
          <w:kern w:val="2"/>
          <w:lang w:val="en-GB"/>
          <w14:ligatures w14:val="standardContextual"/>
        </w:rPr>
      </w:pPr>
      <w:r>
        <w:rPr>
          <w:rFonts w:ascii="Arial" w:eastAsia="Calibri" w:hAnsi="Arial" w:cs="Arial"/>
          <w:b/>
          <w:iCs/>
          <w:kern w:val="2"/>
          <w:lang w:val="en-GB"/>
          <w14:ligatures w14:val="standardContextual"/>
        </w:rPr>
        <w:t>3.1.</w:t>
      </w:r>
      <w:r w:rsidRPr="00D62A3B">
        <w:rPr>
          <w:rFonts w:ascii="Arial" w:eastAsia="Calibri" w:hAnsi="Arial" w:cs="Arial"/>
          <w:b/>
          <w:iCs/>
          <w:kern w:val="2"/>
          <w:lang w:val="en-GB"/>
          <w14:ligatures w14:val="standardContextual"/>
        </w:rPr>
        <w:t xml:space="preserve"> Establishment of a global dam safety policy benchmark</w:t>
      </w:r>
    </w:p>
    <w:p w14:paraId="05144C39" w14:textId="77777777" w:rsidR="003941BF" w:rsidRPr="00D62A3B" w:rsidRDefault="003941BF" w:rsidP="003941BF">
      <w:pPr>
        <w:spacing w:after="160" w:line="276" w:lineRule="auto"/>
        <w:ind w:left="360"/>
        <w:contextualSpacing/>
        <w:jc w:val="both"/>
        <w:rPr>
          <w:rFonts w:ascii="Arial" w:eastAsia="Calibri" w:hAnsi="Arial" w:cs="Arial"/>
          <w:b/>
          <w:iCs/>
          <w:kern w:val="2"/>
          <w:lang w:val="en-GB"/>
          <w14:ligatures w14:val="standardContextual"/>
        </w:rPr>
      </w:pPr>
    </w:p>
    <w:p w14:paraId="7D89DCE7" w14:textId="77777777" w:rsidR="00F9435F" w:rsidRPr="00D62A3B" w:rsidRDefault="00F9435F" w:rsidP="00ED20E9">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The assessment of adequate policy required a benchmark, which would be used for comparison purposes for the Tanzania reservoir in Morogoro.  This global analysis demonstrates how different countries have different management plans for managing dam safety. Nonetheless, it is possible to identify essential elements of some techniques. Common law, command and control procedures, management, reservoir registration and categorization, monitoring, bookkeeping, and reporting, rules and/or standards of behaviour, readiness and education for residents, punitive enforcement, and owner instruction and direction are some of these. According to an analysis of the aforementioned international evaluation criteria, there are three primary independent ways to give the public more comfort about dam safety:</w:t>
      </w:r>
    </w:p>
    <w:p w14:paraId="2CEC8627" w14:textId="77777777" w:rsidR="00F9435F" w:rsidRPr="00D62A3B" w:rsidRDefault="00F9435F" w:rsidP="00ED20E9">
      <w:pPr>
        <w:spacing w:line="276" w:lineRule="auto"/>
        <w:rPr>
          <w:rFonts w:ascii="Arial" w:eastAsia="Calibri" w:hAnsi="Arial" w:cs="Arial"/>
          <w:kern w:val="2"/>
          <w:lang w:val="en-GB"/>
          <w14:ligatures w14:val="standardContextual"/>
        </w:rPr>
      </w:pPr>
      <w:r w:rsidRPr="00D62A3B">
        <w:rPr>
          <w:rFonts w:ascii="Arial" w:eastAsia="Calibri" w:hAnsi="Arial" w:cs="Arial"/>
          <w:b/>
          <w:kern w:val="2"/>
          <w:lang w:val="en-GB"/>
          <w14:ligatures w14:val="standardContextual"/>
        </w:rPr>
        <w:lastRenderedPageBreak/>
        <w:t>Approach 1:</w:t>
      </w:r>
      <w:r w:rsidRPr="00D62A3B">
        <w:rPr>
          <w:rFonts w:ascii="Arial" w:eastAsia="Calibri" w:hAnsi="Arial" w:cs="Arial"/>
          <w:kern w:val="2"/>
          <w:lang w:val="en-GB"/>
          <w14:ligatures w14:val="standardContextual"/>
        </w:rPr>
        <w:t xml:space="preserve"> Owner instruction, support, and direction. Supplying dam owners with informational documents and guidelines in the hopes that they will behave responsibly and according to common law requirements (Gunningham and Sinclair, 1999, 2002;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{"citationItems":[{"id":"ITEM-1","itemData":{"ISBN":"0801439620","ISSN":"0029-5582","abstract":"We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evaluation.","author":[{"dropping-particle":"","family":"Zivie-Cohce","given":"C","non-dropping-particle":"","parse-names":false,"suffix":""}],"container-title":"Nucl. Phys.","id":"ITEM-1","issue":"1","issued":{"date-parts":[["1997"]]},"page":"1-122","title":"No Titleیلیب","type":"article-journal","volume":"13"},"uris":["http://www.mendeley.com/documents/?uuid=c7fdbbf4-1c0a-460d-b0dd-59d338be3894","http://www.mendeley.com/documents/?uuid=7cdae122-49d2-44da-9eb9-374ad79fc810","http://www.mendeley.com/documents/?uuid=1fba983e-e583-4409-bca3-ed533a8a3554"]}],"mendeley":{"formattedCitation":"(Zivie-Cohce, 1997)","manualFormatting":"Zivie-Cohce, 1997)","plainTextFormattedCitation":"(Zivie-Cohce, 1997)","previouslyFormattedCitation":"(Zivie-Cohce, 1997)"},"properties":{"noteIndex":0},"schema":"https://github.com/citation-style-language/schema/raw/master/csl-citation.json"}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Zivie-Cohce, 1997)</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w:t>
      </w:r>
    </w:p>
    <w:p w14:paraId="08E33FF1" w14:textId="77777777" w:rsidR="00F9435F" w:rsidRPr="00D62A3B" w:rsidRDefault="00F9435F" w:rsidP="00ED20E9">
      <w:pPr>
        <w:spacing w:line="276" w:lineRule="auto"/>
        <w:rPr>
          <w:rFonts w:ascii="Arial" w:eastAsia="Calibri" w:hAnsi="Arial" w:cs="Arial"/>
          <w:kern w:val="2"/>
          <w:lang w:val="en-GB"/>
          <w14:ligatures w14:val="standardContextual"/>
        </w:rPr>
      </w:pPr>
      <w:r w:rsidRPr="00D62A3B">
        <w:rPr>
          <w:rFonts w:ascii="Arial" w:eastAsia="Calibri" w:hAnsi="Arial" w:cs="Arial"/>
          <w:b/>
          <w:kern w:val="2"/>
          <w:lang w:val="en-GB"/>
          <w14:ligatures w14:val="standardContextual"/>
        </w:rPr>
        <w:t>Approach 2:</w:t>
      </w:r>
      <w:r w:rsidRPr="00D62A3B">
        <w:rPr>
          <w:rFonts w:ascii="Arial" w:eastAsia="Calibri" w:hAnsi="Arial" w:cs="Arial"/>
          <w:kern w:val="2"/>
          <w:lang w:val="en-GB"/>
          <w14:ligatures w14:val="standardContextual"/>
        </w:rPr>
        <w:t xml:space="preserve"> Using emergency action plans (EAPs) to organize the community. Making EAPs a requirement for all dam owners may be necessary under legislation (Pisaniello and McKay, 2007). To mandate the creation and upkeep of increasingly sophisticated plans for increasing hazard potential and to monitor the overall state of reservoir safety management, it is also necessary for the government to establish and maintain a reservoir registration (Pisaniello and McKay, 2007). Because downstream populations are informed of the dangers and hazards they face and are given the option to evacuate in the event of a dam failure, this law respects the principle of the "Community Right to Know" (Gunningham and Grabosky, 1998).</w:t>
      </w:r>
    </w:p>
    <w:p w14:paraId="1118B5C1" w14:textId="77777777" w:rsidR="00F9435F" w:rsidRPr="00D62A3B" w:rsidRDefault="00F9435F" w:rsidP="00ED20E9">
      <w:pPr>
        <w:spacing w:line="276" w:lineRule="auto"/>
        <w:rPr>
          <w:rFonts w:ascii="Arial" w:eastAsia="Calibri" w:hAnsi="Arial" w:cs="Arial"/>
          <w:kern w:val="2"/>
          <w:lang w:val="en-GB"/>
          <w14:ligatures w14:val="standardContextual"/>
        </w:rPr>
      </w:pPr>
      <w:r w:rsidRPr="00D62A3B">
        <w:rPr>
          <w:rFonts w:ascii="Arial" w:eastAsia="Calibri" w:hAnsi="Arial" w:cs="Arial"/>
          <w:b/>
          <w:kern w:val="2"/>
          <w:lang w:val="en-GB"/>
          <w14:ligatures w14:val="standardContextual"/>
        </w:rPr>
        <w:t>Approach 3:</w:t>
      </w:r>
      <w:r w:rsidRPr="00D62A3B">
        <w:rPr>
          <w:rFonts w:ascii="Arial" w:eastAsia="Calibri" w:hAnsi="Arial" w:cs="Arial"/>
          <w:kern w:val="2"/>
          <w:lang w:val="en-GB"/>
          <w14:ligatures w14:val="standardContextual"/>
        </w:rPr>
        <w:t xml:space="preserve"> Command and Control - stringent oversight and regulation through the application of dam safety laws. Gunningham and Grabosky (1998) and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{"citationItems":[{"id":"ITEM-1","itemData":{"DOI":"10.4324/9780203019078-25","ISSN":"15298094","abstract":"My subject is what the practice of education can learn from the arts. I describe the forms of thinking the arts evoke and their relevance for re-framing conceptions of what education can accomplish.","author":[{"dropping-particle":"","family":"Eisner","given":"Elliot W.","non-dropping-particle":"","parse-names":false,"suffix":""}],"container-title":"International Journal of Education and the Arts","id":"ITEM-1","issue":"4","issued":{"date-parts":[["2004"]]},"page":"1-13","title":"What can education learn from the arts about the practice of education?","type":"article-journal","volume":"5"},"uris":["http://www.mendeley.com/documents/?uuid=c14d5cf6-356a-4422-97dc-e5a7145e31af","http://www.mendeley.com/documents/?uuid=8befecf0-1c8e-4e13-bcaf-0a43addb7f16","http://www.mendeley.com/documents/?uuid=71c37b29-121f-462f-b632-5f4fea499276"]}],"mendeley":{"formattedCitation":"(Eisner, 2004)","manualFormatting":"Eisner (2004)","plainTextFormattedCitation":"(Eisner, 2004)","previouslyFormattedCitation":"(Eisner, 2004)"},"properties":{"noteIndex":0},"schema":"https://github.com/citation-style-language/schema/raw/master/csl-citation.json"}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Eisner (2004)</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discussed the establishment of legal requirements for reservoir owners to adhere to specific rules, de facto standards, codes, and regulations on dam safety management, as well as the provision of supervision to guarantee compliance and provide a degree of regulatory certainty. All of these studies (Bradlow </w:t>
      </w:r>
      <w:r w:rsidRPr="00D62A3B">
        <w:rPr>
          <w:rFonts w:ascii="Arial" w:eastAsia="Calibri" w:hAnsi="Arial" w:cs="Arial"/>
          <w:i/>
          <w:iCs/>
          <w:kern w:val="2"/>
          <w:lang w:val="en-GB"/>
          <w14:ligatures w14:val="standardContextual"/>
        </w:rPr>
        <w:t>et al</w:t>
      </w:r>
      <w:r w:rsidRPr="00D62A3B">
        <w:rPr>
          <w:rFonts w:ascii="Arial" w:eastAsia="Calibri" w:hAnsi="Arial" w:cs="Arial"/>
          <w:kern w:val="2"/>
          <w:lang w:val="en-GB"/>
          <w14:ligatures w14:val="standardContextual"/>
        </w:rPr>
        <w:t xml:space="preserve">., 2002; Tigey-Holyoak </w:t>
      </w:r>
      <w:r w:rsidRPr="00D62A3B">
        <w:rPr>
          <w:rFonts w:ascii="Arial" w:eastAsia="Calibri" w:hAnsi="Arial" w:cs="Arial"/>
          <w:i/>
          <w:iCs/>
          <w:kern w:val="2"/>
          <w:lang w:val="en-GB"/>
          <w14:ligatures w14:val="standardContextual"/>
        </w:rPr>
        <w:t>et al</w:t>
      </w:r>
      <w:r w:rsidRPr="00D62A3B">
        <w:rPr>
          <w:rFonts w:ascii="Arial" w:eastAsia="Calibri" w:hAnsi="Arial" w:cs="Arial"/>
          <w:kern w:val="2"/>
          <w:lang w:val="en-GB"/>
          <w14:ligatures w14:val="standardContextual"/>
        </w:rPr>
        <w:t xml:space="preserve">., 2011; Pisaniello </w:t>
      </w:r>
      <w:r w:rsidRPr="00D62A3B">
        <w:rPr>
          <w:rFonts w:ascii="Arial" w:eastAsia="Calibri" w:hAnsi="Arial" w:cs="Arial"/>
          <w:i/>
          <w:iCs/>
          <w:kern w:val="2"/>
          <w:lang w:val="en-GB"/>
          <w14:ligatures w14:val="standardContextual"/>
        </w:rPr>
        <w:t>et al</w:t>
      </w:r>
      <w:r w:rsidRPr="00D62A3B">
        <w:rPr>
          <w:rFonts w:ascii="Arial" w:eastAsia="Calibri" w:hAnsi="Arial" w:cs="Arial"/>
          <w:kern w:val="2"/>
          <w:lang w:val="en-GB"/>
          <w14:ligatures w14:val="standardContextual"/>
        </w:rPr>
        <w:t xml:space="preserve">., 2011; Pisaniello, 2010; Pisaniello and Burritt, 2010; Pisaniello and McKay, 2003) </w:t>
      </w:r>
      <w:r w:rsidRPr="00D62A3B">
        <w:rPr>
          <w:rFonts w:ascii="Arial" w:eastAsia="Calibri" w:hAnsi="Arial" w:cs="Arial"/>
          <w:kern w:val="2"/>
          <w14:ligatures w14:val="standardContextual"/>
        </w:rPr>
        <w:t>have a primary focus on ensuring newly built dams are appropriately conceived and constructed, while also promoting proper maintenance and collecting information on risk assessment of existing dams. </w:t>
      </w:r>
      <w:r w:rsidRPr="00D62A3B">
        <w:rPr>
          <w:rFonts w:ascii="Arial" w:eastAsia="Calibri" w:hAnsi="Arial" w:cs="Arial"/>
          <w:kern w:val="2"/>
          <w:lang w:val="en-GB"/>
          <w14:ligatures w14:val="standardContextual"/>
        </w:rPr>
        <w:t xml:space="preserve">These studies have led to the establishment of international dam safety benchmarks. It is advised to use three general models of dam safety management policy, which range from "minimum practice" to "best practice," to give the public greater confidence regarding dam safety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{"citationItems":[{"id":"ITEM-1","itemData":{"DOI":"10.1080/07900627.2010.489306","ISSN":"07900627","abstract":"The safety of medium- and large-scale dams is addressed in many countries, but limited attention is paid to problems associated with smaller farm dams, particularly potential cumulative threats posed in larger catchments. Farmers in Australia often overlook the common law obligation to review and design dams in line with current standards. The result is downstream communities, property and environment placed at risk. This paper demonstrates the significance of this problem with case studies undertaken in policy-absent South Australia, policy-driven Victoria and policy-strong New South Wales, including empirical evidence on attitudes and responses of landholders and key policy actors. This demonstrates need for supervision of small dams. Tasmania is included as a case study as it represents a policy-model state on how this can be best achieved in line with international best-practice. The four cases provide useful comparative lessons. Policy guidelines applicable to any jurisdiction are included; their application is illustrated with the case studies. The paper considers the policy implications of these lessons for Australia in particular and the world in general. © 2010 Taylor &amp; Francis.","author":[{"dropping-particle":"","family":"Pisaniello","given":"John D.","non-dropping-particle":"","parse-names":false,"suffix":""}],"container-title":"International Journal of Water Resources Development","id":"ITEM-1","issue":"3","issued":{"date-parts":[["2010"]]},"page":"381-402","title":"Attitudes and Policy Responses to Australian farm dam safety threats: Comparative lessons for water resources managers","type":"article-journal","volume":"26"},"uris":["http://www.mendeley.com/documents/?uuid=80449049-4332-4df0-884e-58df38633fd0","http://www.mendeley.com/documents/?uuid=b57a8500-2eab-4913-8955-1728b03628cb","http://www.mendeley.com/documents/?uuid=1c8724b7-25ec-4d70-b869-d9a844243d01"]}],"mendeley":{"formattedCitation":"(Pisaniello, 2010)","plainTextFormattedCitation":"(Pisaniello, 2010)","previouslyFormattedCitation":"(Pisaniello, 2010)"},"properties":{"noteIndex":0},"schema":"https://github.com/citation-style-language/schema/raw/master/csl-citation.json"}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(Pisaniello, 2010)</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These models are known as the global models. </w:t>
      </w:r>
    </w:p>
    <w:p w14:paraId="7C015F3D" w14:textId="77777777" w:rsidR="00F9435F" w:rsidRPr="00D62A3B" w:rsidRDefault="00F9435F" w:rsidP="00ED20E9">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The models consist of the following: </w:t>
      </w:r>
    </w:p>
    <w:p w14:paraId="5BAF94DB" w14:textId="77777777" w:rsidR="00F9435F" w:rsidRPr="00D62A3B" w:rsidRDefault="00F9435F" w:rsidP="00ED20E9">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Minimum practice = approach 1 + approach 2 (i.e., the minimum level benchmark).  </w:t>
      </w:r>
    </w:p>
    <w:p w14:paraId="79EE6C66" w14:textId="77777777" w:rsidR="00F9435F" w:rsidRPr="00D62A3B" w:rsidRDefault="00F9435F" w:rsidP="00ED20E9">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Average practice = approach 1 + approach 2 + some element(s) of 3.</w:t>
      </w:r>
    </w:p>
    <w:p w14:paraId="4AC172E6" w14:textId="77777777" w:rsidR="00F9435F" w:rsidRDefault="00F9435F" w:rsidP="00ED20E9">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Best practice = approach 1+ approach 2 + approach 3 (i.e., the best practice benchmark).</w:t>
      </w:r>
    </w:p>
    <w:p w14:paraId="7C5CB6B9" w14:textId="77777777" w:rsidR="00B23916" w:rsidRPr="00D62A3B" w:rsidRDefault="00B23916" w:rsidP="00EE04EB">
      <w:pPr>
        <w:spacing w:line="276" w:lineRule="auto"/>
        <w:rPr>
          <w:rFonts w:ascii="Arial" w:eastAsia="Calibri" w:hAnsi="Arial" w:cs="Arial"/>
          <w:kern w:val="2"/>
          <w14:ligatures w14:val="standardContextual"/>
        </w:rPr>
      </w:pPr>
    </w:p>
    <w:p w14:paraId="7C5C8B5B" w14:textId="77777777" w:rsidR="00ED20E9" w:rsidRPr="00F04866" w:rsidRDefault="00ED20E9" w:rsidP="00ED20E9">
      <w:pPr>
        <w:spacing w:line="276" w:lineRule="auto"/>
        <w:jc w:val="both"/>
        <w:rPr>
          <w:rFonts w:ascii="Arial" w:eastAsia="Calibri" w:hAnsi="Arial" w:cs="Arial"/>
          <w:kern w:val="2"/>
          <w14:ligatures w14:val="standardContextual"/>
        </w:rPr>
      </w:pPr>
      <w:r w:rsidRPr="005A5C81">
        <w:rPr>
          <w:rFonts w:ascii="Arial" w:eastAsia="Calibri" w:hAnsi="Arial" w:cs="Arial"/>
          <w:kern w:val="2"/>
          <w14:ligatures w14:val="standardContextual"/>
        </w:rPr>
        <w:t xml:space="preserve">Table </w:t>
      </w:r>
      <w:r w:rsidRPr="005A5C81">
        <w:rPr>
          <w:rFonts w:ascii="Arial" w:eastAsia="Calibri" w:hAnsi="Arial" w:cs="Arial"/>
          <w:kern w:val="2"/>
          <w14:ligatures w14:val="standardContextual"/>
        </w:rPr>
        <w:fldChar w:fldCharType="begin"/>
      </w:r>
      <w:r w:rsidRPr="005A5C81">
        <w:rPr>
          <w:rFonts w:ascii="Arial" w:eastAsia="Calibri" w:hAnsi="Arial" w:cs="Arial"/>
          <w:kern w:val="2"/>
          <w14:ligatures w14:val="standardContextual"/>
        </w:rPr>
        <w:instrText xml:space="preserve"> SEQ Table \* ARABIC </w:instrText>
      </w:r>
      <w:r w:rsidRPr="005A5C81">
        <w:rPr>
          <w:rFonts w:ascii="Arial" w:eastAsia="Calibri" w:hAnsi="Arial" w:cs="Arial"/>
          <w:kern w:val="2"/>
          <w14:ligatures w14:val="standardContextual"/>
        </w:rPr>
        <w:fldChar w:fldCharType="separate"/>
      </w:r>
      <w:r w:rsidRPr="005A5C81">
        <w:rPr>
          <w:rFonts w:ascii="Arial" w:eastAsia="Calibri" w:hAnsi="Arial" w:cs="Arial"/>
          <w:kern w:val="2"/>
          <w14:ligatures w14:val="standardContextual"/>
        </w:rPr>
        <w:t>1</w:t>
      </w:r>
      <w:r w:rsidRPr="005A5C81">
        <w:rPr>
          <w:rFonts w:ascii="Arial" w:eastAsia="Calibri" w:hAnsi="Arial" w:cs="Arial"/>
          <w:kern w:val="2"/>
          <w14:ligatures w14:val="standardContextual"/>
        </w:rPr>
        <w:fldChar w:fldCharType="end"/>
      </w:r>
      <w:r w:rsidRPr="005A5C81">
        <w:rPr>
          <w:rFonts w:ascii="Arial" w:eastAsia="Calibri" w:hAnsi="Arial" w:cs="Arial"/>
          <w:kern w:val="2"/>
          <w14:ligatures w14:val="standardContextual"/>
        </w:rPr>
        <w:t>.International policy levels of practices</w:t>
      </w:r>
    </w:p>
    <w:tbl>
      <w:tblPr>
        <w:tblStyle w:val="TableGrid"/>
        <w:tblW w:w="0" w:type="auto"/>
        <w:tblLook w:val="04A0" w:firstRow="1" w:lastRow="0" w:firstColumn="1" w:lastColumn="0" w:noHBand="0" w:noVBand="1"/>
      </w:tblPr>
      <w:tblGrid>
        <w:gridCol w:w="3528"/>
        <w:gridCol w:w="5714"/>
      </w:tblGrid>
      <w:tr w:rsidR="00ED20E9" w:rsidRPr="004406D9" w14:paraId="25C7FD8B" w14:textId="77777777" w:rsidTr="00ED20E9">
        <w:tc>
          <w:tcPr>
            <w:tcW w:w="3528" w:type="dxa"/>
          </w:tcPr>
          <w:p w14:paraId="055B2590" w14:textId="77777777" w:rsidR="00ED20E9" w:rsidRPr="004406D9" w:rsidRDefault="00ED20E9" w:rsidP="00ED20E9">
            <w:pPr>
              <w:spacing w:after="160" w:line="276" w:lineRule="auto"/>
              <w:jc w:val="both"/>
              <w:rPr>
                <w:rFonts w:ascii="Arial" w:hAnsi="Arial" w:cs="Arial"/>
                <w:b/>
                <w:bCs/>
                <w:kern w:val="2"/>
                <w:lang w:val="en-GB"/>
                <w14:ligatures w14:val="standardContextual"/>
              </w:rPr>
            </w:pPr>
            <w:r w:rsidRPr="004406D9">
              <w:rPr>
                <w:rFonts w:ascii="Arial" w:hAnsi="Arial" w:cs="Arial"/>
                <w:b/>
                <w:bCs/>
                <w:kern w:val="2"/>
                <w:lang w:val="en-GB"/>
                <w14:ligatures w14:val="standardContextual"/>
              </w:rPr>
              <w:t>Model category</w:t>
            </w:r>
          </w:p>
        </w:tc>
        <w:tc>
          <w:tcPr>
            <w:tcW w:w="5714" w:type="dxa"/>
          </w:tcPr>
          <w:p w14:paraId="14BCB066" w14:textId="77777777" w:rsidR="00ED20E9" w:rsidRPr="004406D9" w:rsidRDefault="00ED20E9" w:rsidP="00ED20E9">
            <w:pPr>
              <w:spacing w:after="160" w:line="276" w:lineRule="auto"/>
              <w:jc w:val="both"/>
              <w:rPr>
                <w:rFonts w:ascii="Arial" w:hAnsi="Arial" w:cs="Arial"/>
                <w:b/>
                <w:bCs/>
                <w:kern w:val="2"/>
                <w:lang w:val="en-GB"/>
                <w14:ligatures w14:val="standardContextual"/>
              </w:rPr>
            </w:pPr>
            <w:r w:rsidRPr="004406D9">
              <w:rPr>
                <w:rFonts w:ascii="Arial" w:hAnsi="Arial" w:cs="Arial"/>
                <w:b/>
                <w:bCs/>
                <w:kern w:val="2"/>
                <w:lang w:val="en-GB"/>
                <w14:ligatures w14:val="standardContextual"/>
              </w:rPr>
              <w:t>Crucial element</w:t>
            </w:r>
          </w:p>
        </w:tc>
      </w:tr>
      <w:tr w:rsidR="00ED20E9" w:rsidRPr="004406D9" w14:paraId="4C2D7607" w14:textId="77777777" w:rsidTr="00ED20E9">
        <w:trPr>
          <w:trHeight w:val="3936"/>
        </w:trPr>
        <w:tc>
          <w:tcPr>
            <w:tcW w:w="3528" w:type="dxa"/>
          </w:tcPr>
          <w:p w14:paraId="045671BA"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‘Best Practices’</w:t>
            </w:r>
          </w:p>
        </w:tc>
        <w:tc>
          <w:tcPr>
            <w:tcW w:w="5714" w:type="dxa"/>
          </w:tcPr>
          <w:p w14:paraId="035590D7"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The objectives of legal regulations</w:t>
            </w:r>
          </w:p>
          <w:p w14:paraId="04A2384A"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Implementation through administrative measures</w:t>
            </w:r>
          </w:p>
          <w:p w14:paraId="5E561A7D"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Categorization and documentation of dams</w:t>
            </w:r>
          </w:p>
          <w:p w14:paraId="284322AD"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Surveillance, scrutiny, and assessment of safety</w:t>
            </w:r>
          </w:p>
          <w:p w14:paraId="32960497"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Preparedness and education within the community</w:t>
            </w:r>
          </w:p>
          <w:p w14:paraId="403AE21B"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Responsibility of dam managers to furnish information</w:t>
            </w:r>
          </w:p>
          <w:p w14:paraId="2E010A10"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Guidance and oversight for dam managers</w:t>
            </w:r>
          </w:p>
          <w:p w14:paraId="78EBE2FF"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Application of sanctions for enforcement</w:t>
            </w:r>
          </w:p>
          <w:p w14:paraId="0C705304"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Inclusion of the federal or central government</w:t>
            </w:r>
          </w:p>
        </w:tc>
      </w:tr>
      <w:tr w:rsidR="00ED20E9" w:rsidRPr="004406D9" w14:paraId="635FBED0" w14:textId="77777777" w:rsidTr="00ED20E9">
        <w:trPr>
          <w:trHeight w:val="2160"/>
        </w:trPr>
        <w:tc>
          <w:tcPr>
            <w:tcW w:w="3528" w:type="dxa"/>
          </w:tcPr>
          <w:p w14:paraId="0715BF84" w14:textId="77777777" w:rsidR="00ED20E9" w:rsidRPr="00E0659C"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lastRenderedPageBreak/>
              <w:t>‘Average practice’</w:t>
            </w:r>
          </w:p>
        </w:tc>
        <w:tc>
          <w:tcPr>
            <w:tcW w:w="5714" w:type="dxa"/>
          </w:tcPr>
          <w:p w14:paraId="6860DDAD"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The objectives of legal provisions</w:t>
            </w:r>
          </w:p>
          <w:p w14:paraId="672534ED"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Categorization and documentation of dams</w:t>
            </w:r>
          </w:p>
          <w:p w14:paraId="196C4456"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Preparedness and educational initiatives within communities</w:t>
            </w:r>
          </w:p>
          <w:p w14:paraId="698661B8" w14:textId="77777777" w:rsidR="00ED20E9" w:rsidRPr="00E0659C"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Guidance and oversight for those responsible for managing dams</w:t>
            </w:r>
          </w:p>
        </w:tc>
      </w:tr>
      <w:tr w:rsidR="00ED20E9" w:rsidRPr="004406D9" w14:paraId="3C622FFD" w14:textId="77777777" w:rsidTr="00ED20E9">
        <w:trPr>
          <w:trHeight w:val="1548"/>
        </w:trPr>
        <w:tc>
          <w:tcPr>
            <w:tcW w:w="3528" w:type="dxa"/>
          </w:tcPr>
          <w:p w14:paraId="6B280BC6" w14:textId="77777777" w:rsidR="00ED20E9" w:rsidRPr="00E0659C"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‘Minimum practice’</w:t>
            </w:r>
          </w:p>
        </w:tc>
        <w:tc>
          <w:tcPr>
            <w:tcW w:w="5714" w:type="dxa"/>
          </w:tcPr>
          <w:p w14:paraId="7A589F71" w14:textId="77777777" w:rsidR="00ED20E9" w:rsidRPr="004406D9" w:rsidRDefault="00ED20E9" w:rsidP="00ED20E9">
            <w:pPr>
              <w:spacing w:after="160" w:line="276" w:lineRule="auto"/>
              <w:jc w:val="both"/>
              <w:rPr>
                <w:rFonts w:ascii="Arial" w:hAnsi="Arial" w:cs="Arial"/>
                <w:kern w:val="2"/>
                <w:lang w:val="en-GB"/>
                <w14:ligatures w14:val="standardContextual"/>
              </w:rPr>
            </w:pPr>
          </w:p>
          <w:p w14:paraId="34E99D46"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Enrolment and categorization of dams</w:t>
            </w:r>
          </w:p>
          <w:p w14:paraId="01435D93" w14:textId="77777777" w:rsidR="00ED20E9" w:rsidRPr="004406D9"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Community awareness and readiness</w:t>
            </w:r>
          </w:p>
          <w:p w14:paraId="10698D66" w14:textId="77777777" w:rsidR="00ED20E9" w:rsidRPr="00E0659C" w:rsidRDefault="00ED20E9" w:rsidP="00ED20E9">
            <w:pPr>
              <w:spacing w:after="160" w:line="276" w:lineRule="auto"/>
              <w:jc w:val="both"/>
              <w:rPr>
                <w:rFonts w:ascii="Arial" w:hAnsi="Arial" w:cs="Arial"/>
                <w:kern w:val="2"/>
                <w:lang w:val="en-GB"/>
                <w14:ligatures w14:val="standardContextual"/>
              </w:rPr>
            </w:pPr>
            <w:r w:rsidRPr="004406D9">
              <w:rPr>
                <w:rFonts w:ascii="Arial" w:hAnsi="Arial" w:cs="Arial"/>
                <w:kern w:val="2"/>
                <w:lang w:val="en-GB"/>
                <w14:ligatures w14:val="standardContextual"/>
              </w:rPr>
              <w:t>Training and direction for those overseeing dams</w:t>
            </w:r>
          </w:p>
        </w:tc>
      </w:tr>
    </w:tbl>
    <w:p w14:paraId="1DD7C927" w14:textId="77777777" w:rsidR="00ED20E9" w:rsidRPr="001C2EE1" w:rsidRDefault="00ED20E9" w:rsidP="00ED20E9">
      <w:pPr>
        <w:spacing w:line="276" w:lineRule="auto"/>
        <w:jc w:val="both"/>
        <w:rPr>
          <w:rFonts w:ascii="Arial" w:eastAsia="Calibri" w:hAnsi="Arial" w:cs="Arial"/>
          <w:kern w:val="2"/>
          <w:lang w:val="fr-FR"/>
          <w14:ligatures w14:val="standardContextual"/>
        </w:rPr>
      </w:pPr>
      <w:r w:rsidRPr="00224267">
        <w:rPr>
          <w:rFonts w:ascii="Arial" w:eastAsia="Calibri" w:hAnsi="Arial" w:cs="Arial"/>
          <w:kern w:val="2"/>
          <w:lang w:val="fr-FR"/>
          <w14:ligatures w14:val="standardContextual"/>
        </w:rPr>
        <w:t xml:space="preserve">Source: </w:t>
      </w:r>
      <w:r w:rsidRPr="00DC0C2E">
        <w:rPr>
          <w:rFonts w:ascii="Arial" w:eastAsia="Calibri" w:hAnsi="Arial" w:cs="Arial"/>
          <w:kern w:val="2"/>
          <w:lang w:val="en-GB"/>
          <w14:ligatures w14:val="standardContextual"/>
        </w:rPr>
        <w:fldChar w:fldCharType="begin" w:fldLock="1"/>
      </w:r>
      <w:r w:rsidRPr="00224267">
        <w:rPr>
          <w:rFonts w:ascii="Arial" w:eastAsia="Calibri" w:hAnsi="Arial" w:cs="Arial"/>
          <w:kern w:val="2"/>
          <w:lang w:val="fr-FR"/>
          <w14:ligatures w14:val="standardContextual"/>
        </w:rPr>
        <w:instrText>ADDIN CSL_CITATION {"citationItems":[{"id":"ITEM-1","itemData":{"author":[{"dropping-particle":"","family":"Thi","given":"Tuyet","non-dropping-particle":"","parse-names":false,"suffix":""},{"dropping-particle":"","family":"Burritt","given":"Roger L","non-dropping-particle":"","parse-names":false,"suffix":""},{"dropping-particle":"","family":"Pisaniello","given":"John D","non-dropping-particle":"","parse-names":false,"suffix":""}],"id":"ITEM-1","issued":{"date-parts":[["2012"]]},"page":"63-74","title":"Adequacy of policy and practices for small agricultural dam safety accountability and assurance in Vietnam","type":"article-journal","volume":"112"},"uris":["http://www.mendeley.com/documents/?uuid=0699a18a-07f0-4757-be92-0fb909d5bfd3"]},{"id":"ITEM-2","itemData":{"DOI":"10.1016/j.agwat.2010.10.001","ISSN":"03783774","abstract":"In most countries, owner responsibility exists under Common Law to manage and maintain dams according to current standards. However, farm dam safety in Australia is being flouted and the sustainability of farming businesses compromised because of the potential and severe consequences of dam failure. This paper explores management and policy issues associated with safety of farm dam water storage through a comparison of developments in two Australian states against international benchmarks. Historical review and a longitudinal study over a 12-year period provides the basis for case analysis and demonstrates the application of the benchmarked model policy selection guidelines. Research results show South Australia is lagging international best practice in a number of ways whilst Tasmania provides leadership. The contribution of this paper is a regulatory mix analysis approach, incorporating a cost-effective spillway safety engineering/accounting tool, developed and demonstrated through Australian case studies, that can be applied by any jurisdiction wanting to check and/or improve its farm dam safety management and provide a clearer analysis of the social and environmental costs and threats associated with on-farm dam safety issues. © 2010.","author":[{"dropping-particle":"","family":"Pisaniello","given":"John D.","non-dropping-particle":"","parse-names":false,"suffix":""},{"dropping-particle":"","family":"Burritt","given":"Roger L.","non-dropping-particle":"","parse-names":false,"suffix":""},{"dropping-particle":"","family":"Tingey-Holyoak","given":"Joanne","non-dropping-particle":"","parse-names":false,"suffix":""}],"container-title":"Agricultural Water Management","id":"ITEM-2","issue":"4","issued":{"date-parts":[["2011"]]},"page":"507-516","publisher":"Elsevier B.V.","title":"Dam safety management for sustainable farming businesses and catchments","type":"article-journal","volume":"98"},"uris":["http://www.mendeley.com/documents/?uuid=46f985a8-d79f-441f-a488-cfd4ff1364b4"]}],"mendeley":{"formattedCitation":"(J. D. Pisaniello et al., 2011; Thi et al., 2012)","plainTextFormattedCitation":"(J. D. Pisaniello et al., 2011; Thi et al., 2012)","previouslyFormattedCitation":"(J. D. Pisaniello et al., 2011; Thi et al., 2012)"},"properties":{"noteIndex":0},"schema":"https://github.com/citation-style-language/schema/raw/master/csl-citation.json"}</w:instrText>
      </w:r>
      <w:r w:rsidRPr="00DC0C2E">
        <w:rPr>
          <w:rFonts w:ascii="Arial" w:eastAsia="Calibri" w:hAnsi="Arial" w:cs="Arial"/>
          <w:kern w:val="2"/>
          <w:lang w:val="en-GB"/>
          <w14:ligatures w14:val="standardContextual"/>
        </w:rPr>
        <w:fldChar w:fldCharType="separate"/>
      </w:r>
      <w:r w:rsidRPr="00224267">
        <w:rPr>
          <w:rFonts w:ascii="Arial" w:eastAsia="Calibri" w:hAnsi="Arial" w:cs="Arial"/>
          <w:kern w:val="2"/>
          <w:lang w:val="fr-FR"/>
          <w14:ligatures w14:val="standardContextual"/>
        </w:rPr>
        <w:t>(J. D. Pisaniello et al., 2011; Thi et al., 2012)</w:t>
      </w:r>
      <w:r w:rsidRPr="00DC0C2E">
        <w:rPr>
          <w:rFonts w:ascii="Arial" w:eastAsia="Calibri" w:hAnsi="Arial" w:cs="Arial"/>
          <w:kern w:val="2"/>
          <w14:ligatures w14:val="standardContextual"/>
        </w:rPr>
        <w:fldChar w:fldCharType="end"/>
      </w:r>
    </w:p>
    <w:p w14:paraId="682A6688" w14:textId="77777777" w:rsidR="00ED20E9" w:rsidRPr="00224267" w:rsidRDefault="00ED20E9" w:rsidP="00ED20E9">
      <w:pPr>
        <w:spacing w:line="276" w:lineRule="auto"/>
        <w:jc w:val="both"/>
        <w:rPr>
          <w:rFonts w:ascii="Arial" w:eastAsia="Calibri" w:hAnsi="Arial" w:cs="Arial"/>
          <w:kern w:val="2"/>
          <w:lang w:val="fr-FR"/>
          <w14:ligatures w14:val="standardContextual"/>
        </w:rPr>
      </w:pPr>
    </w:p>
    <w:p w14:paraId="7A4C9CDB" w14:textId="77777777" w:rsidR="00ED20E9" w:rsidRPr="00D62A3B" w:rsidRDefault="00ED20E9" w:rsidP="00ED20E9">
      <w:pPr>
        <w:spacing w:line="276" w:lineRule="auto"/>
        <w:rPr>
          <w:rFonts w:ascii="Arial" w:eastAsia="Calibri" w:hAnsi="Arial" w:cs="Arial"/>
          <w:kern w:val="2"/>
          <w:lang w:val="en-GB"/>
          <w14:ligatures w14:val="standardContextual"/>
        </w:rPr>
      </w:pPr>
      <w:r w:rsidRPr="002D0EB1">
        <w:rPr>
          <w:rFonts w:ascii="Arial" w:eastAsia="Calibri" w:hAnsi="Arial" w:cs="Arial"/>
          <w:kern w:val="2"/>
          <w:lang w:val="fr-FR"/>
          <w14:ligatures w14:val="standardContextual"/>
        </w:rPr>
        <w:t xml:space="preserve">Together with the three global models, Bradlow </w:t>
      </w:r>
      <w:r w:rsidRPr="002D0EB1">
        <w:rPr>
          <w:rFonts w:ascii="Arial" w:eastAsia="Calibri" w:hAnsi="Arial" w:cs="Arial"/>
          <w:i/>
          <w:iCs/>
          <w:kern w:val="2"/>
          <w:lang w:val="fr-FR"/>
          <w14:ligatures w14:val="standardContextual"/>
        </w:rPr>
        <w:t>et al</w:t>
      </w:r>
      <w:r w:rsidRPr="002D0EB1">
        <w:rPr>
          <w:rFonts w:ascii="Arial" w:eastAsia="Calibri" w:hAnsi="Arial" w:cs="Arial"/>
          <w:kern w:val="2"/>
          <w:lang w:val="fr-FR"/>
          <w14:ligatures w14:val="standardContextual"/>
        </w:rPr>
        <w:t xml:space="preserve">. </w:t>
      </w:r>
      <w:r w:rsidRPr="00ED20E9">
        <w:rPr>
          <w:rFonts w:ascii="Arial" w:eastAsia="Calibri" w:hAnsi="Arial" w:cs="Arial"/>
          <w:kern w:val="2"/>
          <w:lang w:val="fr-FR"/>
          <w14:ligatures w14:val="standardContextual"/>
        </w:rPr>
        <w:t xml:space="preserve">(2002) developed by the "World Bank frameworks," which are guidelines for dam safety regulations sponsored by the World Bank and also referred to as regulatory standards. </w:t>
      </w:r>
      <w:r w:rsidRPr="002D0EB1">
        <w:rPr>
          <w:rFonts w:ascii="Arial" w:eastAsia="Calibri" w:hAnsi="Arial" w:cs="Arial"/>
          <w:kern w:val="2"/>
          <w:lang w:val="fr-FR"/>
          <w14:ligatures w14:val="standardContextual"/>
        </w:rPr>
        <w:t xml:space="preserve">As proposed by Gunningham and Grabosky (1998), a suitable regulatory mix that incorporates multiple mechanisms is meant to create a global standard or benchmark. </w:t>
      </w:r>
      <w:r w:rsidRPr="00ED20E9">
        <w:rPr>
          <w:rFonts w:ascii="Arial" w:eastAsia="Calibri" w:hAnsi="Arial" w:cs="Arial"/>
          <w:kern w:val="2"/>
          <w:lang w:val="fr-FR"/>
          <w14:ligatures w14:val="standardContextual"/>
        </w:rPr>
        <w:t xml:space="preserve">This benchmark is essential for evaluating the effectiveness of on-farm water storage safety management in various legal contexts </w:t>
      </w:r>
      <w:r w:rsidRPr="00D62A3B">
        <w:rPr>
          <w:rFonts w:ascii="Arial" w:eastAsia="Calibri" w:hAnsi="Arial" w:cs="Arial"/>
          <w:kern w:val="2"/>
          <w:lang w:val="en-GB"/>
          <w14:ligatures w14:val="standardContextual"/>
        </w:rPr>
        <w:fldChar w:fldCharType="begin" w:fldLock="1"/>
      </w:r>
      <w:r w:rsidRPr="00ED20E9">
        <w:rPr>
          <w:rFonts w:ascii="Arial" w:eastAsia="Calibri" w:hAnsi="Arial" w:cs="Arial"/>
          <w:kern w:val="2"/>
          <w:lang w:val="fr-FR"/>
          <w14:ligatures w14:val="standardContextual"/>
        </w:rPr>
        <w:instrText>ADDIN CSL_CITATION {"citationItems":[{"id":"ITEM-1","itemData":{"DOI":"10.9774/GLEAF.3062.2003.wi.00003","ISSN":"09669671","abstract":"In summary, this special issue of Greener Management International hopefully provides a concise overview of the current status and an insight into recent new work on the debate and practice of the relationship b</w:instrText>
      </w:r>
      <w:r w:rsidRPr="002D0EB1">
        <w:rPr>
          <w:rFonts w:ascii="Arial" w:eastAsia="Calibri" w:hAnsi="Arial" w:cs="Arial"/>
          <w:kern w:val="2"/>
          <w14:ligatures w14:val="standardContextual"/>
        </w:rPr>
        <w:instrText>etween sustainability performance, business competitiveness, with a particular focus on empirical evidence and on a wide geographical and industrial scope. In particular the geographical spread of the research, from, America to Asia and from northern via western to Southern Europe, and into developing and emerging economies, impressively reflects the truly global nature of the issues at the heart of sustainability and the topic of this special issue.","author":[{"dropping-particle":"","family":"Wagner","given":"Marcus","non-dropping-particle":"","parse-names":false,"suffix":""}</w:instrText>
      </w:r>
      <w:r w:rsidRPr="00ED20E9">
        <w:rPr>
          <w:rFonts w:ascii="Arial" w:eastAsia="Calibri" w:hAnsi="Arial" w:cs="Arial"/>
          <w:kern w:val="2"/>
          <w14:ligatures w14:val="standardContextual"/>
        </w:rPr>
        <w:instrText>,</w:instrText>
      </w:r>
      <w:r w:rsidRPr="00D62A3B">
        <w:rPr>
          <w:rFonts w:ascii="Arial" w:eastAsia="Calibri" w:hAnsi="Arial" w:cs="Arial"/>
          <w:kern w:val="2"/>
          <w:lang w:val="en-GB"/>
          <w14:ligatures w14:val="standardContextual"/>
        </w:rPr>
        <w:instrText>{"dropping-particle":"","family":"Schaltegger","given":"Stefan","non-dropping-particle":"","parse-names":false,"suffix":""}],"container-title":"Greener Management International","id":"ITEM-1","issue":"44","issued":{"date-parts":[["2003"]]},"page":"5-16","title":"How does sustainability performance relate to business competitiveness?","type":"article-journal"},"uris":["http://www.mendeley.com/documents/?uuid=c7da5b0b-8c55-48b8-9e26-35c076786448","http://www.mendeley.com/documents/?uuid=64902017-5676-4b3f-994b-247bce5aab90","http://www.mendeley.com/documents/?uuid=b3ffcf1c-1754-4967-a6ab-07cb6d1a6982"]}],"mendeley":{"formattedCitation":"(Wagner &amp; Schaltegger, 2003)","plainTextFormattedCitation":"(Wagner &amp; Schaltegger, 2003)","previouslyFormattedCitation":"(Wagner &amp; Schaltegger, 2003)"},"properties":{"noteIndex":0},"schema":"https://github.com/citation-style-language/schema/raw/master/csl-citation.json"}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(Wagner &amp; Schaltegger, 2003)</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In the event of a crisis, the public would be most assured and best practices would be established by a dam safety assurance policy that incorporates all three models. That being said,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{"citationItems":[{"id":"ITEM-1","itemData":{"DOI":"10.1111/j.1747-4469.1999.tb00407.x","ISSN":"08976546","abstract":"This article builds on recent field research to articulate a principle-based approach to environmental regulatory design that is applicable to a wide variety of circumstances, irrespective of political and social particularities. At its core, this approach recognizes that an excessive reliance on \"single-instrument\" policies is misguided, because all instruments have strengths and weaknesses, and none is sufficiently flexible and resilient to successfully address all environmental problems in all contexts. A better strategy is to harness the strengths of individual mechanisms while compensating for their weaknesses by the use of additional instruments. That is, in the large majority of circumstances, a mix of regulatory instruments is required, tailored to specific policy goals. The article identifies a series of regulatory design principles that sequentially address the problems and opportunities arising from the application of multi-instrument mixes and engaging a variety of first-, second-, and third-party participants in the regulatory process. The importance of choosing inherently complementary instrument combinations is also highlighted, with practical guidance provided to policymakers. Although the focus of the article is on environmental regulation, the general principles articulated should also be applicable to other areas of social regulation.","author":[{"dropping-particle":"","family":"Gunningham","given":"Neil","non-dropping-particle":"","parse-names":false,"suffix":""},{"dropping-particle":"","family":"Sinclair","given":"Darren","non-dropping-particle":"","parse-names":false,"suffix":""}],"container-title":"Law and Social Inquiry","id":"ITEM-1","issue":"4","issued":{"date-parts":[["1999"]]},"page":"853-896","title":"Integrative regulation: A principle-based approach to environmental policy","type":"article-journal","volume":"24"},"uris":["http://www.mendeley.com/documents/?uuid=e4fe8541-36ea-419c-a602-1339ff81502b","http://www.mendeley.com/documents/?uuid=8ae1c0c5-1742-4842-9e40-354e765eda4b","http://www.mendeley.com/documents/?uuid=09938012-d0fd-4ee1-b539-d1a96385aacd"]}],"mendeley":{"formattedCitation":"(Gunningham &amp; Sinclair, 1999)","manualFormatting":"Gunningham and Sinclai (1999)","plainTextFormattedCitation":"(Gunningham &amp; Sinclair, 1999)","previouslyFormattedCitation":"(Gunningham &amp; Sinclair, 1999)"},"properties":{"noteIndex":0},"schema":"https://github.com/citation-style-language/schema/raw/master/csl-citation.json"}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Gunningham and Sinclai (1999)</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suggest that it could theoretically be feasible to start and continue operations only using model 1's lowest benchmark. </w:t>
      </w:r>
      <w:r w:rsidRPr="00D62A3B">
        <w:rPr>
          <w:rFonts w:ascii="Arial" w:eastAsia="Calibri" w:hAnsi="Arial" w:cs="Arial"/>
          <w:kern w:val="2"/>
          <w14:ligatures w14:val="standardContextual"/>
        </w:rPr>
        <w:t xml:space="preserve">According to Pisaniello </w:t>
      </w:r>
      <w:r w:rsidRPr="00D62A3B">
        <w:rPr>
          <w:rFonts w:ascii="Arial" w:eastAsia="Calibri" w:hAnsi="Arial" w:cs="Arial"/>
          <w:i/>
          <w:iCs/>
          <w:kern w:val="2"/>
          <w14:ligatures w14:val="standardContextual"/>
        </w:rPr>
        <w:t>et al</w:t>
      </w:r>
      <w:r w:rsidRPr="00D62A3B">
        <w:rPr>
          <w:rFonts w:ascii="Arial" w:eastAsia="Calibri" w:hAnsi="Arial" w:cs="Arial"/>
          <w:kern w:val="2"/>
          <w14:ligatures w14:val="standardContextual"/>
        </w:rPr>
        <w:t xml:space="preserve">. </w:t>
      </w:r>
      <w:r w:rsidRPr="00D62A3B">
        <w:rPr>
          <w:rFonts w:ascii="Arial" w:eastAsia="Calibri" w:hAnsi="Arial" w:cs="Arial"/>
          <w:kern w:val="2"/>
          <w:lang w:val="en-GB"/>
          <w14:ligatures w14:val="standardContextual"/>
        </w:rPr>
        <w:t>(2011) and Pisaniello and McKay (2007), benchmark models are complementary to one another and can be used in concert to create thorough guidelines and crucial elements for establishing successful dam safety management policies in any jurisdiction. Table 1 integrates insights from the three international models and the World Bank frameworks to present key elements derived from international benchmarks. The international benchmarks mentioned earlier serve as the foundational standards for this paper's objective assessment of the suitability of the dam safety policy in Tanzania. The evaluation covers both central and local elements, including the overall policy enacted through laws and regulations, as well as practices and policy application on-site.</w:t>
      </w:r>
    </w:p>
    <w:p w14:paraId="65DCE502" w14:textId="77777777" w:rsidR="00B23916" w:rsidRPr="00D62A3B" w:rsidRDefault="00B23916" w:rsidP="00ED20E9">
      <w:pPr>
        <w:spacing w:line="276" w:lineRule="auto"/>
        <w:rPr>
          <w:rFonts w:ascii="Arial" w:eastAsia="Calibri" w:hAnsi="Arial" w:cs="Arial"/>
          <w:kern w:val="2"/>
          <w:lang w:val="en-GB"/>
          <w14:ligatures w14:val="standardContextual"/>
        </w:rPr>
      </w:pPr>
    </w:p>
    <w:p w14:paraId="664A7BE7" w14:textId="77777777" w:rsidR="003941BF" w:rsidRDefault="003941BF" w:rsidP="00ED20E9">
      <w:pPr>
        <w:spacing w:after="160" w:line="276" w:lineRule="auto"/>
        <w:ind w:left="360"/>
        <w:contextualSpacing/>
        <w:rPr>
          <w:rFonts w:ascii="Arial" w:eastAsia="Calibri" w:hAnsi="Arial" w:cs="Arial"/>
          <w:b/>
          <w:iCs/>
          <w:kern w:val="2"/>
          <w:lang w:val="en-GB"/>
          <w14:ligatures w14:val="standardContextual"/>
        </w:rPr>
      </w:pPr>
      <w:r>
        <w:rPr>
          <w:rFonts w:ascii="Arial" w:eastAsia="Calibri" w:hAnsi="Arial" w:cs="Arial"/>
          <w:b/>
          <w:iCs/>
          <w:kern w:val="2"/>
          <w:lang w:val="en-GB"/>
          <w14:ligatures w14:val="standardContextual"/>
        </w:rPr>
        <w:t>3.2.</w:t>
      </w:r>
      <w:r w:rsidRPr="00D62A3B">
        <w:rPr>
          <w:rFonts w:ascii="Arial" w:eastAsia="Calibri" w:hAnsi="Arial" w:cs="Arial"/>
          <w:b/>
          <w:iCs/>
          <w:kern w:val="2"/>
          <w:lang w:val="en-GB"/>
          <w14:ligatures w14:val="standardContextual"/>
        </w:rPr>
        <w:t xml:space="preserve"> An assessment of the rules and policies in place that control Tanzania's dam safety management</w:t>
      </w:r>
    </w:p>
    <w:p w14:paraId="528048A0" w14:textId="77777777" w:rsidR="00B23916" w:rsidRPr="00D62A3B" w:rsidRDefault="00B23916" w:rsidP="00ED20E9">
      <w:pPr>
        <w:spacing w:after="160" w:line="276" w:lineRule="auto"/>
        <w:ind w:left="360"/>
        <w:contextualSpacing/>
        <w:rPr>
          <w:rFonts w:ascii="Arial" w:eastAsia="Calibri" w:hAnsi="Arial" w:cs="Arial"/>
          <w:b/>
          <w:iCs/>
          <w:kern w:val="2"/>
          <w:lang w:val="en-GB"/>
          <w14:ligatures w14:val="standardContextual"/>
        </w:rPr>
      </w:pPr>
    </w:p>
    <w:p w14:paraId="2205F3B7" w14:textId="77777777" w:rsidR="00ED20E9" w:rsidRPr="00D62A3B" w:rsidRDefault="00ED20E9" w:rsidP="00ED20E9">
      <w:pPr>
        <w:spacing w:line="276" w:lineRule="auto"/>
        <w:rPr>
          <w:rFonts w:ascii="Arial" w:eastAsia="Calibri" w:hAnsi="Arial" w:cs="Arial"/>
          <w:kern w:val="2"/>
          <w:lang w:val="en-GB"/>
          <w14:ligatures w14:val="standardContextual"/>
        </w:rPr>
      </w:pPr>
      <w:r w:rsidRPr="00AE2755">
        <w:rPr>
          <w:rFonts w:ascii="Arial" w:eastAsia="Calibri" w:hAnsi="Arial" w:cs="Arial"/>
          <w:kern w:val="2"/>
          <w:lang w:val="en-GB"/>
          <w14:ligatures w14:val="standardContextual"/>
        </w:rPr>
        <w:t xml:space="preserve">In this section, we seek to lay the foundation for a comparative analysis of current laws and regulations against globally accepted </w:t>
      </w:r>
      <w:r w:rsidRPr="00224267">
        <w:rPr>
          <w:rFonts w:ascii="Arial" w:eastAsia="Calibri" w:hAnsi="Arial" w:cs="Arial"/>
          <w:kern w:val="2"/>
          <w:lang w:val="en-GB"/>
          <w14:ligatures w14:val="standardContextual"/>
        </w:rPr>
        <w:t>standards.</w:t>
      </w:r>
      <w:r w:rsidRPr="00D62A3B">
        <w:rPr>
          <w:rFonts w:ascii="Arial" w:eastAsia="Calibri" w:hAnsi="Arial" w:cs="Arial"/>
          <w:kern w:val="2"/>
          <w:lang w:val="en-GB"/>
          <w14:ligatures w14:val="standardContextual"/>
        </w:rPr>
        <w:t xml:space="preserve"> The National Water Policy of 1991 was thoroughly revised after a protracted consultation process resulting in the new National Water Policy (NAWAPO), which was approved by the Cabinet in July 2002, marking the end of this process. It is thought that the NAWAPO addressed and fixed the flaws in the prior policy. In addition, it instituted the decentralization of water supply management, by Agenda 21 from the 1992 United Nations Environment Meeting in Rio de Janeiro. The "subsidiarity principle," which promotes managing water supplies at the most suitable local level, was highlighted in this agenda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{"citationItems":[{"id":"ITEM-1","itemData":{"DOI":"10.2166/wp.2009.024","ISSN":"13667017","abstract":"The paper presents and discusses different approaches to water management, termed \"state centred\", \"market-ased\" and \"community-based\". Each provides different answers to how and by whom limited water resources best could and should be managed. They are based on different development ideologies and advocated by different professions. The article elaborates on the strengths, limitations and compatibility of the three models. These models provide a basis for discussing national water policy and water management reforms in Tanzania as well as the more practical implications of this in one of the main river basins in the country: the Pangani River Basin. Central to the water management problem in this basin are conflicts between communities and the water bureaucracy over what constitutes \"proper\" management of water. The policy and the activities of the river basin authorities continue to reflect a traditional top-down bureaucratic approach to water management, with colonial roots. The water legislation and the formal water management system seem neither to be set up to facilitate the active participation of local communities in water management, nor to facilitate the development of a water market. © IWA Publishing 2009.","author":[{"dropping-particle":"","family":"Lein","given":"Haakon","non-dropping-particle":"","parse-names":false,"suffix":""},{"dropping-particle":"","family":"Tagseth","given":"Mattias","non-dropping-particle":"","parse-names":false,"suffix":""}],"container-title":"Water Policy","id":"ITEM-1","issue":"2","issued":{"date-parts":[["2009"]]},"page":"203-220","title":"Tanzanian water policy reforms - Between principles and practical applications","type":"article-journal","volume":"11"},"uris":["http://www.mendeley.com/documents/?uuid=f4e1b5ad-b446-420e-be3c-af6525546878","http://www.mendeley.com/documents/?uuid=7b35cfb7-0e48-4373-9c9f-7cec977f34f5","http://www.mendeley.com/documents/?uuid=de98c625-67d9-4c5c-930f-ab1c59860c9f"]},{"id":"ITEM-2","itemData":{"DOI":"10.1080/20964129.2018.1549510","ISSN":"23328878","abstract":"Introduction: The benefit of wetlands for reducing poverty depends on the effectiveness of governance systems that influence peoples’ behaviour in the wise use of wetlands. Objectives: This article critically analyses the current poverty reduction strategies, agrarian policies and economic investments governing wetland usage, especially in Tanzania, with regard to their impact on sustainable Ramsar wetlands management. Methodology: It analyses the management structure, domestic policies and legal framework relating to the protection of wetlands in Tanzania in accordance to the wise use concept of the Ramsar Convention. Outcomes: Tanzanian legal provisions for wetland protection are uncoordinated and too limited in their coverage and scope to sufficiently address the destruction of wetland ecosystems. There is no comprehensive national legal framework to guide sustainable management of Ramsar wetlands in Tanzania as laid out by the Ramsar Convention, which the country ratified in the year 2000. Conclusion: Without a sound legislative and policy-making framework, Tanzanian wetlands and their diverse ecosystem services will continue to degenerate with current strategies of increasing agribusiness and other developmental projects or economic investments. This paper provides critical baseline information to inform decision makers to develop appropriate policy and laws, which promote the wise use of wetlands in Tanzania.","author":[{"dropping-particle":"","family":"Materu","given":"Silvia Francis","non-dropping-particle":"","parse-names":false,"suffix":""},{"dropping-particle":"","family":"Urban","given":"Brigitte","non-dropping-particle":"","parse-names":false,"suffix":""},{"dropping-particle":"","family":"Heise","given":"Susanne","non-dropping-particle":"","parse-names":false,"suffix":""}],"container-title":"Ecosystem Health and Sustainability","id":"ITEM-2","issue":"12","issued":{"date-parts":[["2018"]]},"page":"310-320","publisher":"Taylor &amp; Francis","title":"A critical review of policies and legislation protecting Tanzanian wetlands","type":"article-journal","volume":"4"},"uris":["http://www.mendeley.com/documents/?uuid=33f445c4-621f-41cb-8145-a8da99e0a3cf","http://www.mendeley.com/documents/?uuid=4a9f4fb6-6de0-4fb3-91b3-244e9087c11f","http://www.mendeley.com/documents/?uuid=25ce1bd3-b145-41e7-9bc4-5026e3220713"]}],"mendeley":{"formattedCitation":"(Lein &amp; Tagseth, 2009; Materu et al., 2018)","plainTextFormattedCitation":"(Lein &amp; Tagseth, 2009; Materu et al., 2018)","previouslyFormattedCitation":"(Lein &amp; Tagseth, 2009; Materu et al., 2018)"},"properties":{"noteIndex":0},"schema":"https://github.com/citation-style-language/schema/raw/master/csl-citation.json"}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 xml:space="preserve">(Lein &amp; Tagseth, 2009; Materu </w:t>
      </w:r>
      <w:r w:rsidRPr="00D62A3B">
        <w:rPr>
          <w:rFonts w:ascii="Arial" w:eastAsia="Calibri" w:hAnsi="Arial" w:cs="Arial"/>
          <w:i/>
          <w:iCs/>
          <w:noProof/>
          <w:kern w:val="2"/>
          <w:lang w:val="en-GB"/>
          <w14:ligatures w14:val="standardContextual"/>
        </w:rPr>
        <w:t>et al</w:t>
      </w:r>
      <w:r w:rsidRPr="00D62A3B">
        <w:rPr>
          <w:rFonts w:ascii="Arial" w:eastAsia="Calibri" w:hAnsi="Arial" w:cs="Arial"/>
          <w:noProof/>
          <w:kern w:val="2"/>
          <w:lang w:val="en-GB"/>
          <w14:ligatures w14:val="standardContextual"/>
        </w:rPr>
        <w:t>., 2018)</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w:t>
      </w:r>
    </w:p>
    <w:p w14:paraId="596368E7" w14:textId="77777777" w:rsidR="00ED20E9" w:rsidRPr="00D62A3B" w:rsidRDefault="00ED20E9" w:rsidP="00ED20E9">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The current initiatives of the Ministry of Water and Irrigation as well as the projects of its sub-sector have not followed the traditional rational order of policy, strategy, and planning. These include the development of the National Strategy for Improvement of Urban Water Supply and Sewerage, the National Rural Water Supply and Sanitation Programme, and the evaluation of laws about water resources, urban water supply, rural water supply, </w:t>
      </w:r>
      <w:r w:rsidRPr="00D62A3B">
        <w:rPr>
          <w:rFonts w:ascii="Arial" w:eastAsia="Calibri" w:hAnsi="Arial" w:cs="Arial"/>
          <w:kern w:val="2"/>
          <w:lang w:val="en-GB"/>
          <w14:ligatures w14:val="standardContextual"/>
        </w:rPr>
        <w:lastRenderedPageBreak/>
        <w:t>and sewerage. Due to this deviation from the typical order, possible problems like duplications or omissions may arise. Addressing the requirements of small towns, defining "sanitation," explaining the differing roles of the Ministry of Water and Irrigation and the Ministry of Health, and establishing institutional and legal frameworks are a few particular challenges</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author":[{"dropping-particle":"","family":"Phiri","given":"I.M.G","non-dropping-particle":"","parse-names":false,"suffix":""},{"dropping-particle":"","family":"Phiri","given":"S.K","non-dropping-particle":"","parse-names":false,"suffix":""},{"dropping-particle":"","family":"Saka","given":"A.R","non-dropping-particle":"","parse-names":false,"suffix":""}],"id":"ITEM-1","issued":{"date-parts":[["2007"]]},"title":"Rapid Appraisal of Policies &amp; Institutional Frameworks for Agricultural Water Management","type":"article-journal"},"uris":["http://www.mendeley.com/documents/?uuid=4a86a064-a31e-4a8c-9044-efeb6337c874","http://www.mendeley.com/documents/?uuid=644a9b4a-9731-4ed4-9f83-90da64bdd5b4"]},{"id":"ITEM-2","itemData":{"author":[{"dropping-particle":"","family":"Thi","given":"Tuyet","non-dropping-particle":"","parse-names":false,"suffix":""},{"dropping-particle":"","family":"Burritt","given":"Roger L","non-dropping-particle":"","parse-names":false,"suffix":""},{"dropping-particle":"","family":"Pisaniello","given":"John D","non-dropping-particle":"","parse-names":false,"suffix":""}],"id":"ITEM-2","issued":{"date-parts":[["2012"]]},"page":"63-74","title":"Adequacy of policy and practices for small agricultural dam safety accountability and assurance in Vietnam","type":"article-journal","volume":"112"},"uris":["http://www.mendeley.com/documents/?uuid=bfe80217-18ff-47c1-98e5-5d66e137ad1a","http://www.mendeley.com/documents/?uuid=b0236e87-193d-4758-9dc5-4a1a8b442594"]}],"mendeley":{"formattedCitation":"(Phiri et al., 2007; Thi et al., 2012)","plainTextFormattedCitation":"(Phiri et al., 2007; Thi et al., 2012)","previouslyFormattedCitation":"(Phiri et al., 2007; Thi et al., 2012)"},"properties":{"noteIndex":0},"schema":"https://github.com/citation-style-language/schema/raw/master/csl-citation.json"}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(Phiri et al., 2007; Thi et al., 2012)</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w:t>
      </w:r>
    </w:p>
    <w:p w14:paraId="55BC5350" w14:textId="77777777" w:rsidR="00ED20E9" w:rsidRDefault="00ED20E9" w:rsidP="00ED20E9">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The Morogoro Water Supply and Sanitation Authority (MORUWASA) and other organizations have passed laws that form the basis for the country's dam safety management systems. Circulars, Instructions, Directives, and Decisions from pertinent Ministries or Provincial People's Committees are examples of by-law documents that are also available. In particular, (1) the Law on Water Resources Management (also known as the LWRM, Water Utilization (Control and Regulation) Act No. 42 of 1974, as amended by Acts No. 10 of 1981 and No.17 of 1989, </w:t>
      </w:r>
      <w:r w:rsidRPr="00D62A3B">
        <w:rPr>
          <w:rFonts w:ascii="Arial" w:eastAsia="Calibri" w:hAnsi="Arial" w:cs="Arial"/>
          <w:kern w:val="2"/>
          <w14:ligatures w14:val="standardContextual"/>
        </w:rPr>
        <w:t>Water Laws (Miscellaneous Amendments) Act No.8 of 1997, and Water Laws (Miscellaneous Amendments) Act of 1999</w:t>
      </w:r>
      <w:r w:rsidRPr="00D62A3B">
        <w:rPr>
          <w:rFonts w:ascii="Arial" w:eastAsia="Calibri" w:hAnsi="Arial" w:cs="Arial"/>
          <w:kern w:val="2"/>
          <w:lang w:val="en-GB"/>
          <w14:ligatures w14:val="standardContextual"/>
        </w:rPr>
        <w:t xml:space="preserve">), (2) </w:t>
      </w:r>
      <w:r w:rsidRPr="00D62A3B">
        <w:rPr>
          <w:rFonts w:ascii="Arial" w:eastAsia="Calibri" w:hAnsi="Arial" w:cs="Arial"/>
          <w:kern w:val="2"/>
          <w14:ligatures w14:val="standardContextual"/>
        </w:rPr>
        <w:t>Water Supply Aspects are governed by</w:t>
      </w:r>
      <w:r w:rsidRPr="00D62A3B">
        <w:rPr>
          <w:rFonts w:ascii="Arial" w:eastAsia="Calibri" w:hAnsi="Arial" w:cs="Arial"/>
          <w:kern w:val="2"/>
          <w:lang w:val="en-GB"/>
          <w14:ligatures w14:val="standardContextual"/>
        </w:rPr>
        <w:t xml:space="preserve"> Urban Water Act No. 7 of 1981, Water Laws (Miscellaneous Amendments) Act No. 8 of 1997 and Water Laws (Miscellaneous Amendments) Act of 1999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{"citationItems":[{"id":"ITEM-1","itemData":{"abstract":"This paper examines how water is perceived and managed according to the two major sources of water law in Ghana. From the perspectives of statutory and customary law, the paper deals with various issues relating to the nature of water, its management, its conservation and its regulation. There is a close relationship between sanitation and water management. Consequently, the paper also deals with the management of sanitation, in particular with the impact that water law has on ensuring that clean water and sanitation is available to poor people in rural and urban areas of Ghana. The paper discusses the statutory legal framework for providing water and sanitation to urban and rural communities in Ghana and the institutions set up to provide water for domestic purposes. It also discusses the regulatory institutions established to regulate the water sector and the nature and status of the customary regime for providing water. An assessment follows of the various regimes according to how they deal with the problems enumerated above. The enabling conditions and the constraints that face the provision of clean water to poor people in Ghana are discussed and the paper concludes by making recommendations about how water and sanitation provision can be improved in Ghana. \\n","author":[{"dropping-particle":"","family":"Mwaka","given":"Ismail","non-dropping-particle":"","parse-names":false,"suffix":""}],"container-title":"Dfid","id":"ITEM-1","issue":"August","issued":{"date-parts":[["1999"]]},"title":"Water Law , Water Rights and Water Supply ( Africa ) Tanzania - study country report","type":"article-journal"},"uris":["http://www.mendeley.com/documents/?uuid=2c94fcbd-b06a-4981-b360-c32898ee7978","http://www.mendeley.com/documents/?uuid=8d2ddedc-5d6e-4cdc-b670-d65114ea093a","http://www.mendeley.com/documents/?uuid=f6517b60-7756-4648-89f5-5bc6247a6d67"]},{"id":"ITEM-2","itemData":{"ISBN":"9180236014","abstract":"Change detection is the measure of the distinct data framework and thematic change information that can guide to more tangible insights into underlying process involving land cover and land use changes than the information obtained from continuous change. Digital change detection is the process that helps in determining the changes associated with landuse and land cover properties with reference to geo-registered multitemporal remote sensing data. It helps in identifying change between two (or more) dates that is uncharacterised of normal variation. Change detection is useful in many applications such as landuse changes, habitat fragmentation, rate of deforestation, coastal change, urban sprawl, and other cumulative changes through spatial and temporal analysis techniques such as GIS (Geographic Information System) and Remote Sensing along with digital image processing techniques. GIS is the systematic introduction of numerous different disciplinary spatial and statistical data, that can be used in inventorying the environment, observation of change and constituent processes and prediction based on current practices and management plans. Remote Sensing helps in acquiring multi spectral spatial and temporal data through space borne remote sensors. Image processing technique helps in analyzing the dynamic changes associated with the earth resources such as land and water using remote sensing data. Thus, spatial and temporal analysis technologies are very useful in generating scientifically based statistical spatial data for understanding the land ecosystem dynamics. Successful utilization of remotely sensed data for land cover and landuse change detection requires careful selection of appropriate data set. This paper discusses the land use/land cover analysis and change detection techniques using GRDSS (Geographic Resources Decision Support System) for Kolar district considering temporal multispectral data (1998 and 2002) of the IRS 1C / 1D (Indian Remote Sensing Satellites). GRDSS is a freeware GIS Graphic user interface (GUI) developed in Tcl/Tk is based on command line arguments of GRASS (Geographic Resources Analysis Support System). It has the capabilities to capture, store, process, display, organize, and prioritize spatial and temporal data. GRDSS serves as a decision support system for decision making and resource planning. It has functionality for raster analysis, vector analysis, site analysis, image processing, modeling and graphics visualisati…","author":[{"dropping-particle":"V","family":"Ramachandra","given":"T","non-dropping-particle":"","parse-names":false,"suffix":""},{"dropping-particle":"","family":"Kumar","given":"U","non-dropping-particle":"","parse-names":false,"suffix":""}],"container-title":"Proceedings of the FOSS/GRASS Users Conference","id":"ITEM-2","issue":"September","issued":{"date-parts":[["2004"]]},"page":"15","title":"Geographic Resources Decision Support System for land use, land cover dynamics analysis","type":"article-journal"},"uris":["http://www.mendeley.com/documents/?uuid=5b7dfcfb-63ff-4d68-bda6-cf8d5938ee5e","http://www.mendeley.com/documents/?uuid=4265cea5-a541-40e3-bb0e-2543e826b22e","http://www.mendeley.com/documents/?uuid=2317f957-52a3-41ea-914f-db6b05f73e53"]}],"mendeley":{"formattedCitation":"(Mwaka, 1999; Ramachandra &amp; Kumar, 2004)","plainTextFormattedCitation":"(Mwaka, 1999; Ramachandra &amp; Kumar, 2004)","previouslyFormattedCitation":"(Mwaka, 1999; Ramachandra &amp; Kumar, 2004)"},"properties":{"noteIndex":0},"schema":"https://github.com/citation-style-language/schema/raw/master/csl-citation.json"}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(Mwaka, 1999; Ramachandra &amp; Kumar, 2004)</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w:t>
      </w:r>
    </w:p>
    <w:p w14:paraId="1B85CE77" w14:textId="77777777" w:rsidR="00ED20E9" w:rsidRDefault="00ED20E9" w:rsidP="00ED20E9">
      <w:pPr>
        <w:spacing w:line="276" w:lineRule="auto"/>
        <w:rPr>
          <w:rFonts w:ascii="Arial" w:eastAsia="Calibri" w:hAnsi="Arial" w:cs="Arial"/>
          <w:kern w:val="2"/>
          <w:lang w:val="en-GB"/>
          <w14:ligatures w14:val="standardContextual"/>
        </w:rPr>
      </w:pPr>
    </w:p>
    <w:p w14:paraId="4C51D8CE" w14:textId="77777777" w:rsidR="00ED20E9" w:rsidRPr="006C0932" w:rsidRDefault="00ED20E9" w:rsidP="00ED20E9">
      <w:pPr>
        <w:spacing w:line="276" w:lineRule="auto"/>
        <w:jc w:val="both"/>
        <w:rPr>
          <w:rFonts w:ascii="Arial" w:eastAsia="Calibri" w:hAnsi="Arial" w:cs="Arial"/>
        </w:rPr>
      </w:pPr>
      <w:r w:rsidRPr="006C0932">
        <w:rPr>
          <w:rFonts w:ascii="Arial" w:eastAsia="Calibri" w:hAnsi="Arial" w:cs="Arial"/>
        </w:rPr>
        <w:t xml:space="preserve">Table </w:t>
      </w:r>
      <w:r w:rsidRPr="00224267">
        <w:rPr>
          <w:rFonts w:ascii="Arial" w:eastAsia="Calibri" w:hAnsi="Arial" w:cs="Arial"/>
        </w:rPr>
        <w:fldChar w:fldCharType="begin"/>
      </w:r>
      <w:r w:rsidRPr="006C0932">
        <w:rPr>
          <w:rFonts w:ascii="Arial" w:eastAsia="Calibri" w:hAnsi="Arial" w:cs="Arial"/>
        </w:rPr>
        <w:instrText xml:space="preserve"> SEQ Table \* ARABIC </w:instrText>
      </w:r>
      <w:r w:rsidRPr="00224267">
        <w:rPr>
          <w:rFonts w:ascii="Arial" w:eastAsia="Calibri" w:hAnsi="Arial" w:cs="Arial"/>
        </w:rPr>
        <w:fldChar w:fldCharType="separate"/>
      </w:r>
      <w:r w:rsidRPr="006C0932">
        <w:rPr>
          <w:rFonts w:ascii="Arial" w:eastAsia="Calibri" w:hAnsi="Arial" w:cs="Arial"/>
        </w:rPr>
        <w:t>2</w:t>
      </w:r>
      <w:r w:rsidRPr="00224267">
        <w:rPr>
          <w:rFonts w:ascii="Arial" w:eastAsia="Calibri" w:hAnsi="Arial" w:cs="Arial"/>
        </w:rPr>
        <w:fldChar w:fldCharType="end"/>
      </w:r>
      <w:r w:rsidRPr="006C0932">
        <w:rPr>
          <w:rFonts w:ascii="Arial" w:eastAsia="Calibri" w:hAnsi="Arial" w:cs="Arial"/>
        </w:rPr>
        <w:t>.Inter-Institutional Cooperation in Dam Risk Management a case of Mindu dam, Tanzania</w:t>
      </w:r>
    </w:p>
    <w:tbl>
      <w:tblPr>
        <w:tblStyle w:val="TableGrid"/>
        <w:tblW w:w="0" w:type="auto"/>
        <w:tblLook w:val="04A0" w:firstRow="1" w:lastRow="0" w:firstColumn="1" w:lastColumn="0" w:noHBand="0" w:noVBand="1"/>
      </w:tblPr>
      <w:tblGrid>
        <w:gridCol w:w="1950"/>
        <w:gridCol w:w="2478"/>
        <w:gridCol w:w="2992"/>
        <w:gridCol w:w="2650"/>
      </w:tblGrid>
      <w:tr w:rsidR="00ED20E9" w:rsidRPr="004406D9" w14:paraId="67250D11" w14:textId="77777777" w:rsidTr="00ED20E9">
        <w:tc>
          <w:tcPr>
            <w:tcW w:w="0" w:type="auto"/>
            <w:hideMark/>
          </w:tcPr>
          <w:p w14:paraId="7AF72AAD" w14:textId="77777777" w:rsidR="00ED20E9" w:rsidRPr="004406D9" w:rsidRDefault="00ED20E9" w:rsidP="00ED20E9">
            <w:pPr>
              <w:spacing w:after="160" w:line="276" w:lineRule="auto"/>
              <w:jc w:val="both"/>
              <w:rPr>
                <w:rFonts w:ascii="Arial" w:hAnsi="Arial" w:cs="Arial"/>
                <w:b/>
                <w:bCs/>
              </w:rPr>
            </w:pPr>
            <w:r w:rsidRPr="004406D9">
              <w:rPr>
                <w:rFonts w:ascii="Arial" w:hAnsi="Arial" w:cs="Arial"/>
                <w:b/>
                <w:bCs/>
              </w:rPr>
              <w:t>Institution</w:t>
            </w:r>
          </w:p>
        </w:tc>
        <w:tc>
          <w:tcPr>
            <w:tcW w:w="0" w:type="auto"/>
            <w:hideMark/>
          </w:tcPr>
          <w:p w14:paraId="772D38DD" w14:textId="77777777" w:rsidR="00ED20E9" w:rsidRPr="004406D9" w:rsidRDefault="00ED20E9" w:rsidP="00ED20E9">
            <w:pPr>
              <w:spacing w:after="160" w:line="276" w:lineRule="auto"/>
              <w:jc w:val="both"/>
              <w:rPr>
                <w:rFonts w:ascii="Arial" w:hAnsi="Arial" w:cs="Arial"/>
                <w:b/>
                <w:bCs/>
              </w:rPr>
            </w:pPr>
            <w:r w:rsidRPr="004406D9">
              <w:rPr>
                <w:rFonts w:ascii="Arial" w:hAnsi="Arial" w:cs="Arial"/>
                <w:b/>
                <w:bCs/>
              </w:rPr>
              <w:t>Role in Dam Risk Management</w:t>
            </w:r>
          </w:p>
        </w:tc>
        <w:tc>
          <w:tcPr>
            <w:tcW w:w="0" w:type="auto"/>
            <w:hideMark/>
          </w:tcPr>
          <w:p w14:paraId="1CEB669B" w14:textId="77777777" w:rsidR="00ED20E9" w:rsidRPr="004406D9" w:rsidRDefault="00ED20E9" w:rsidP="00ED20E9">
            <w:pPr>
              <w:spacing w:after="160" w:line="276" w:lineRule="auto"/>
              <w:jc w:val="both"/>
              <w:rPr>
                <w:rFonts w:ascii="Arial" w:hAnsi="Arial" w:cs="Arial"/>
                <w:b/>
                <w:bCs/>
              </w:rPr>
            </w:pPr>
            <w:r w:rsidRPr="004406D9">
              <w:rPr>
                <w:rFonts w:ascii="Arial" w:hAnsi="Arial" w:cs="Arial"/>
                <w:b/>
                <w:bCs/>
              </w:rPr>
              <w:t>Example of Cooperation</w:t>
            </w:r>
          </w:p>
        </w:tc>
        <w:tc>
          <w:tcPr>
            <w:tcW w:w="0" w:type="auto"/>
            <w:hideMark/>
          </w:tcPr>
          <w:p w14:paraId="0DCC0694" w14:textId="77777777" w:rsidR="00ED20E9" w:rsidRPr="004406D9" w:rsidRDefault="00ED20E9" w:rsidP="00ED20E9">
            <w:pPr>
              <w:spacing w:after="160" w:line="276" w:lineRule="auto"/>
              <w:jc w:val="both"/>
              <w:rPr>
                <w:rFonts w:ascii="Arial" w:hAnsi="Arial" w:cs="Arial"/>
                <w:b/>
                <w:bCs/>
              </w:rPr>
            </w:pPr>
            <w:r w:rsidRPr="004406D9">
              <w:rPr>
                <w:rFonts w:ascii="Arial" w:hAnsi="Arial" w:cs="Arial"/>
                <w:b/>
                <w:bCs/>
              </w:rPr>
              <w:t>Outcome</w:t>
            </w:r>
          </w:p>
        </w:tc>
      </w:tr>
      <w:tr w:rsidR="00ED20E9" w:rsidRPr="004406D9" w14:paraId="786B051D" w14:textId="77777777" w:rsidTr="00ED20E9">
        <w:tc>
          <w:tcPr>
            <w:tcW w:w="0" w:type="auto"/>
            <w:hideMark/>
          </w:tcPr>
          <w:p w14:paraId="137332F3" w14:textId="77777777" w:rsidR="00ED20E9" w:rsidRPr="004406D9" w:rsidRDefault="00ED20E9" w:rsidP="00ED20E9">
            <w:pPr>
              <w:spacing w:after="160" w:line="276" w:lineRule="auto"/>
              <w:jc w:val="both"/>
              <w:rPr>
                <w:rFonts w:ascii="Arial" w:hAnsi="Arial" w:cs="Arial"/>
              </w:rPr>
            </w:pPr>
            <w:r w:rsidRPr="004406D9">
              <w:rPr>
                <w:rFonts w:ascii="Arial" w:hAnsi="Arial" w:cs="Arial"/>
              </w:rPr>
              <w:t>Morogoro Municipal Council</w:t>
            </w:r>
          </w:p>
        </w:tc>
        <w:tc>
          <w:tcPr>
            <w:tcW w:w="0" w:type="auto"/>
            <w:hideMark/>
          </w:tcPr>
          <w:p w14:paraId="45764BB9" w14:textId="77777777" w:rsidR="00ED20E9" w:rsidRPr="004406D9" w:rsidRDefault="00ED20E9" w:rsidP="00ED20E9">
            <w:pPr>
              <w:spacing w:after="160" w:line="276" w:lineRule="auto"/>
              <w:jc w:val="both"/>
              <w:rPr>
                <w:rFonts w:ascii="Arial" w:hAnsi="Arial" w:cs="Arial"/>
              </w:rPr>
            </w:pPr>
            <w:r w:rsidRPr="004406D9">
              <w:rPr>
                <w:rFonts w:ascii="Arial" w:hAnsi="Arial" w:cs="Arial"/>
              </w:rPr>
              <w:t>Local enforcement of buffer zone policies, community engagement, and land-use planning.</w:t>
            </w:r>
          </w:p>
        </w:tc>
        <w:tc>
          <w:tcPr>
            <w:tcW w:w="0" w:type="auto"/>
            <w:hideMark/>
          </w:tcPr>
          <w:p w14:paraId="6643E1EE" w14:textId="77777777" w:rsidR="00ED20E9" w:rsidRPr="004406D9" w:rsidRDefault="00ED20E9" w:rsidP="00ED20E9">
            <w:pPr>
              <w:spacing w:after="160" w:line="276" w:lineRule="auto"/>
              <w:jc w:val="both"/>
              <w:rPr>
                <w:rFonts w:ascii="Arial" w:hAnsi="Arial" w:cs="Arial"/>
              </w:rPr>
            </w:pPr>
            <w:r w:rsidRPr="004406D9">
              <w:rPr>
                <w:rFonts w:ascii="Arial" w:hAnsi="Arial" w:cs="Arial"/>
              </w:rPr>
              <w:t>Collaborated with MORUWASA to relocate residents in risk zones and enforce restrictions on human activities in buffer areas.</w:t>
            </w:r>
          </w:p>
        </w:tc>
        <w:tc>
          <w:tcPr>
            <w:tcW w:w="0" w:type="auto"/>
            <w:hideMark/>
          </w:tcPr>
          <w:p w14:paraId="553F4C9D" w14:textId="77777777" w:rsidR="00ED20E9" w:rsidRPr="004406D9" w:rsidRDefault="00ED20E9" w:rsidP="00ED20E9">
            <w:pPr>
              <w:spacing w:after="160" w:line="276" w:lineRule="auto"/>
              <w:jc w:val="both"/>
              <w:rPr>
                <w:rFonts w:ascii="Arial" w:hAnsi="Arial" w:cs="Arial"/>
              </w:rPr>
            </w:pPr>
            <w:r w:rsidRPr="004406D9">
              <w:rPr>
                <w:rFonts w:ascii="Arial" w:hAnsi="Arial" w:cs="Arial"/>
              </w:rPr>
              <w:t>Reduced encroachment, minimized immediate risks to dam integrity, and protected local ecology.</w:t>
            </w:r>
          </w:p>
        </w:tc>
      </w:tr>
      <w:tr w:rsidR="00ED20E9" w:rsidRPr="004406D9" w14:paraId="464D5017" w14:textId="77777777" w:rsidTr="00ED20E9">
        <w:tc>
          <w:tcPr>
            <w:tcW w:w="0" w:type="auto"/>
            <w:hideMark/>
          </w:tcPr>
          <w:p w14:paraId="3CB020D2" w14:textId="77777777" w:rsidR="00ED20E9" w:rsidRPr="004406D9" w:rsidRDefault="00ED20E9" w:rsidP="00ED20E9">
            <w:pPr>
              <w:spacing w:after="160" w:line="276" w:lineRule="auto"/>
              <w:jc w:val="both"/>
              <w:rPr>
                <w:rFonts w:ascii="Arial" w:hAnsi="Arial" w:cs="Arial"/>
              </w:rPr>
            </w:pPr>
            <w:r w:rsidRPr="004406D9">
              <w:rPr>
                <w:rFonts w:ascii="Arial" w:hAnsi="Arial" w:cs="Arial"/>
              </w:rPr>
              <w:t>MORUWASA</w:t>
            </w:r>
          </w:p>
        </w:tc>
        <w:tc>
          <w:tcPr>
            <w:tcW w:w="0" w:type="auto"/>
            <w:hideMark/>
          </w:tcPr>
          <w:p w14:paraId="4BE7F8B9" w14:textId="77777777" w:rsidR="00ED20E9" w:rsidRPr="004406D9" w:rsidRDefault="00ED20E9" w:rsidP="00ED20E9">
            <w:pPr>
              <w:spacing w:after="160" w:line="276" w:lineRule="auto"/>
              <w:jc w:val="both"/>
              <w:rPr>
                <w:rFonts w:ascii="Arial" w:hAnsi="Arial" w:cs="Arial"/>
              </w:rPr>
            </w:pPr>
            <w:r w:rsidRPr="004406D9">
              <w:rPr>
                <w:rFonts w:ascii="Arial" w:hAnsi="Arial" w:cs="Arial"/>
              </w:rPr>
              <w:t>Technical oversight of dam safety, water resource management, and infrastructure maintenance.</w:t>
            </w:r>
          </w:p>
        </w:tc>
        <w:tc>
          <w:tcPr>
            <w:tcW w:w="0" w:type="auto"/>
            <w:hideMark/>
          </w:tcPr>
          <w:p w14:paraId="1D3DA248" w14:textId="77777777" w:rsidR="00ED20E9" w:rsidRPr="004406D9" w:rsidRDefault="00ED20E9" w:rsidP="00ED20E9">
            <w:pPr>
              <w:spacing w:after="160" w:line="276" w:lineRule="auto"/>
              <w:jc w:val="both"/>
              <w:rPr>
                <w:rFonts w:ascii="Arial" w:hAnsi="Arial" w:cs="Arial"/>
              </w:rPr>
            </w:pPr>
            <w:r w:rsidRPr="004406D9">
              <w:rPr>
                <w:rFonts w:ascii="Arial" w:hAnsi="Arial" w:cs="Arial"/>
              </w:rPr>
              <w:t>Provided expertise on risk zones, supported relocation efforts, and implemented buffer zone demarcation with the Council.</w:t>
            </w:r>
          </w:p>
        </w:tc>
        <w:tc>
          <w:tcPr>
            <w:tcW w:w="0" w:type="auto"/>
            <w:hideMark/>
          </w:tcPr>
          <w:p w14:paraId="60876C29" w14:textId="77777777" w:rsidR="00ED20E9" w:rsidRPr="004406D9" w:rsidRDefault="00ED20E9" w:rsidP="00ED20E9">
            <w:pPr>
              <w:spacing w:after="160" w:line="276" w:lineRule="auto"/>
              <w:jc w:val="both"/>
              <w:rPr>
                <w:rFonts w:ascii="Arial" w:hAnsi="Arial" w:cs="Arial"/>
              </w:rPr>
            </w:pPr>
            <w:r w:rsidRPr="004406D9">
              <w:rPr>
                <w:rFonts w:ascii="Arial" w:hAnsi="Arial" w:cs="Arial"/>
              </w:rPr>
              <w:t>Enhanced dam safety protocols and aligned local actions with national water resource goals.</w:t>
            </w:r>
          </w:p>
        </w:tc>
      </w:tr>
      <w:tr w:rsidR="00ED20E9" w:rsidRPr="004406D9" w14:paraId="6B9DE163" w14:textId="77777777" w:rsidTr="00ED20E9">
        <w:tc>
          <w:tcPr>
            <w:tcW w:w="0" w:type="auto"/>
            <w:hideMark/>
          </w:tcPr>
          <w:p w14:paraId="1F064B1D" w14:textId="77777777" w:rsidR="00ED20E9" w:rsidRPr="004406D9" w:rsidRDefault="00ED20E9" w:rsidP="00ED20E9">
            <w:pPr>
              <w:spacing w:after="160" w:line="276" w:lineRule="auto"/>
              <w:jc w:val="both"/>
              <w:rPr>
                <w:rFonts w:ascii="Arial" w:hAnsi="Arial" w:cs="Arial"/>
              </w:rPr>
            </w:pPr>
            <w:r w:rsidRPr="004406D9">
              <w:rPr>
                <w:rFonts w:ascii="Arial" w:hAnsi="Arial" w:cs="Arial"/>
              </w:rPr>
              <w:t>National Environment Management Council (NEMC)</w:t>
            </w:r>
          </w:p>
        </w:tc>
        <w:tc>
          <w:tcPr>
            <w:tcW w:w="0" w:type="auto"/>
            <w:hideMark/>
          </w:tcPr>
          <w:p w14:paraId="4F7C5952" w14:textId="77777777" w:rsidR="00ED20E9" w:rsidRPr="004406D9" w:rsidRDefault="00ED20E9" w:rsidP="00ED20E9">
            <w:pPr>
              <w:spacing w:after="160" w:line="276" w:lineRule="auto"/>
              <w:jc w:val="both"/>
              <w:rPr>
                <w:rFonts w:ascii="Arial" w:hAnsi="Arial" w:cs="Arial"/>
              </w:rPr>
            </w:pPr>
            <w:r w:rsidRPr="004406D9">
              <w:rPr>
                <w:rFonts w:ascii="Arial" w:hAnsi="Arial" w:cs="Arial"/>
              </w:rPr>
              <w:t>Regulatory oversight of environmental compliance (e.g., buffer zones, riverine ecosystems).</w:t>
            </w:r>
          </w:p>
        </w:tc>
        <w:tc>
          <w:tcPr>
            <w:tcW w:w="0" w:type="auto"/>
            <w:hideMark/>
          </w:tcPr>
          <w:p w14:paraId="707B8B0F" w14:textId="77777777" w:rsidR="00ED20E9" w:rsidRPr="004406D9" w:rsidRDefault="00ED20E9" w:rsidP="00ED20E9">
            <w:pPr>
              <w:spacing w:after="160" w:line="276" w:lineRule="auto"/>
              <w:jc w:val="both"/>
              <w:rPr>
                <w:rFonts w:ascii="Arial" w:hAnsi="Arial" w:cs="Arial"/>
              </w:rPr>
            </w:pPr>
            <w:r w:rsidRPr="004406D9">
              <w:rPr>
                <w:rFonts w:ascii="Arial" w:hAnsi="Arial" w:cs="Arial"/>
              </w:rPr>
              <w:t>Reviewed environmental impact assessments, guided restoration of Mount Uluguru riverine areas, and monitored compliance.</w:t>
            </w:r>
          </w:p>
        </w:tc>
        <w:tc>
          <w:tcPr>
            <w:tcW w:w="0" w:type="auto"/>
            <w:hideMark/>
          </w:tcPr>
          <w:p w14:paraId="4E92AA58" w14:textId="77777777" w:rsidR="00ED20E9" w:rsidRPr="004406D9" w:rsidRDefault="00ED20E9" w:rsidP="00ED20E9">
            <w:pPr>
              <w:spacing w:after="160" w:line="276" w:lineRule="auto"/>
              <w:jc w:val="both"/>
              <w:rPr>
                <w:rFonts w:ascii="Arial" w:hAnsi="Arial" w:cs="Arial"/>
              </w:rPr>
            </w:pPr>
            <w:r w:rsidRPr="004406D9">
              <w:rPr>
                <w:rFonts w:ascii="Arial" w:hAnsi="Arial" w:cs="Arial"/>
              </w:rPr>
              <w:t>Strengthened legal adherence, preserved biodiversity, and mitigated sedimentation risks.</w:t>
            </w:r>
          </w:p>
        </w:tc>
      </w:tr>
      <w:tr w:rsidR="00ED20E9" w:rsidRPr="004406D9" w14:paraId="6F794CD7" w14:textId="77777777" w:rsidTr="00ED20E9">
        <w:trPr>
          <w:trHeight w:val="1617"/>
        </w:trPr>
        <w:tc>
          <w:tcPr>
            <w:tcW w:w="0" w:type="auto"/>
            <w:hideMark/>
          </w:tcPr>
          <w:p w14:paraId="22DC70A1" w14:textId="77777777" w:rsidR="00ED20E9" w:rsidRPr="004406D9" w:rsidRDefault="00ED20E9" w:rsidP="00ED20E9">
            <w:pPr>
              <w:spacing w:after="160" w:line="276" w:lineRule="auto"/>
              <w:jc w:val="both"/>
              <w:rPr>
                <w:rFonts w:ascii="Arial" w:hAnsi="Arial" w:cs="Arial"/>
              </w:rPr>
            </w:pPr>
            <w:r w:rsidRPr="004406D9">
              <w:rPr>
                <w:rFonts w:ascii="Arial" w:hAnsi="Arial" w:cs="Arial"/>
              </w:rPr>
              <w:t xml:space="preserve">Ministry of Water and </w:t>
            </w:r>
            <w:r w:rsidRPr="004406D9">
              <w:rPr>
                <w:rFonts w:ascii="Arial" w:hAnsi="Arial" w:cs="Arial"/>
                <w:color w:val="1F1F1F"/>
                <w:shd w:val="clear" w:color="auto" w:fill="FFFFFF"/>
              </w:rPr>
              <w:t xml:space="preserve"> </w:t>
            </w:r>
            <w:r w:rsidRPr="004406D9">
              <w:rPr>
                <w:rFonts w:ascii="Arial" w:hAnsi="Arial" w:cs="Arial"/>
              </w:rPr>
              <w:t>Irrigation</w:t>
            </w:r>
          </w:p>
        </w:tc>
        <w:tc>
          <w:tcPr>
            <w:tcW w:w="0" w:type="auto"/>
            <w:hideMark/>
          </w:tcPr>
          <w:p w14:paraId="7DD9860F" w14:textId="77777777" w:rsidR="00ED20E9" w:rsidRPr="004406D9" w:rsidRDefault="00ED20E9" w:rsidP="00ED20E9">
            <w:pPr>
              <w:spacing w:after="160" w:line="276" w:lineRule="auto"/>
              <w:jc w:val="both"/>
              <w:rPr>
                <w:rFonts w:ascii="Arial" w:hAnsi="Arial" w:cs="Arial"/>
              </w:rPr>
            </w:pPr>
            <w:r w:rsidRPr="004406D9">
              <w:rPr>
                <w:rFonts w:ascii="Arial" w:hAnsi="Arial" w:cs="Arial"/>
              </w:rPr>
              <w:t>National policy formulation, funding allocation, and coordination of inter-agency initiatives.</w:t>
            </w:r>
          </w:p>
        </w:tc>
        <w:tc>
          <w:tcPr>
            <w:tcW w:w="0" w:type="auto"/>
            <w:hideMark/>
          </w:tcPr>
          <w:p w14:paraId="1CF8E8C9" w14:textId="77777777" w:rsidR="00ED20E9" w:rsidRPr="004406D9" w:rsidRDefault="00ED20E9" w:rsidP="00ED20E9">
            <w:pPr>
              <w:spacing w:after="160" w:line="276" w:lineRule="auto"/>
              <w:jc w:val="both"/>
              <w:rPr>
                <w:rFonts w:ascii="Arial" w:hAnsi="Arial" w:cs="Arial"/>
              </w:rPr>
            </w:pPr>
            <w:r w:rsidRPr="004406D9">
              <w:rPr>
                <w:rFonts w:ascii="Arial" w:hAnsi="Arial" w:cs="Arial"/>
              </w:rPr>
              <w:t>Issued guidelines for buffer zone enforcement, funded MORUWASA’s technical interventions, and facilitated multi-stakeholder dialogues.</w:t>
            </w:r>
          </w:p>
        </w:tc>
        <w:tc>
          <w:tcPr>
            <w:tcW w:w="0" w:type="auto"/>
            <w:hideMark/>
          </w:tcPr>
          <w:p w14:paraId="140719E6" w14:textId="77777777" w:rsidR="00ED20E9" w:rsidRPr="004406D9" w:rsidRDefault="00ED20E9" w:rsidP="00ED20E9">
            <w:pPr>
              <w:spacing w:after="160" w:line="276" w:lineRule="auto"/>
              <w:jc w:val="both"/>
              <w:rPr>
                <w:rFonts w:ascii="Arial" w:hAnsi="Arial" w:cs="Arial"/>
              </w:rPr>
            </w:pPr>
            <w:r w:rsidRPr="004406D9">
              <w:rPr>
                <w:rFonts w:ascii="Arial" w:hAnsi="Arial" w:cs="Arial"/>
              </w:rPr>
              <w:t>Streamlined national-local alignment, ensured resource availability, and institutionalized best practices.</w:t>
            </w:r>
          </w:p>
        </w:tc>
      </w:tr>
    </w:tbl>
    <w:p w14:paraId="5EFA8875" w14:textId="77777777" w:rsidR="00ED20E9" w:rsidRPr="00ED20E9" w:rsidRDefault="00ED20E9" w:rsidP="00ED20E9">
      <w:pPr>
        <w:spacing w:line="276" w:lineRule="auto"/>
        <w:rPr>
          <w:rFonts w:ascii="Arial" w:eastAsia="Calibri" w:hAnsi="Arial" w:cs="Arial"/>
          <w:kern w:val="2"/>
          <w14:ligatures w14:val="standardContextual"/>
        </w:rPr>
      </w:pPr>
    </w:p>
    <w:p w14:paraId="27C843DE" w14:textId="77777777" w:rsidR="00E8111D" w:rsidRDefault="00E8111D" w:rsidP="003941BF">
      <w:pPr>
        <w:spacing w:line="276" w:lineRule="auto"/>
        <w:jc w:val="both"/>
        <w:rPr>
          <w:rFonts w:ascii="Arial" w:eastAsia="Calibri" w:hAnsi="Arial" w:cs="Arial"/>
          <w:kern w:val="2"/>
          <w:lang w:val="en-GB"/>
          <w14:ligatures w14:val="standardContextual"/>
        </w:rPr>
      </w:pPr>
    </w:p>
    <w:p w14:paraId="774E7688" w14:textId="77777777" w:rsidR="00ED20E9" w:rsidRDefault="00ED20E9" w:rsidP="003941BF">
      <w:pPr>
        <w:spacing w:line="276" w:lineRule="auto"/>
        <w:jc w:val="both"/>
        <w:rPr>
          <w:rFonts w:ascii="Arial" w:eastAsia="Calibri" w:hAnsi="Arial" w:cs="Arial"/>
          <w:kern w:val="2"/>
          <w:lang w:val="en-GB"/>
          <w14:ligatures w14:val="standardContextual"/>
        </w:rPr>
      </w:pPr>
    </w:p>
    <w:p w14:paraId="18262E4E" w14:textId="77777777" w:rsidR="00ED20E9" w:rsidRDefault="00ED20E9" w:rsidP="003941BF">
      <w:pPr>
        <w:spacing w:line="276" w:lineRule="auto"/>
        <w:jc w:val="both"/>
        <w:rPr>
          <w:rFonts w:ascii="Arial" w:eastAsia="Calibri" w:hAnsi="Arial" w:cs="Arial"/>
          <w:kern w:val="2"/>
          <w:lang w:val="en-GB"/>
          <w14:ligatures w14:val="standardContextual"/>
        </w:rPr>
      </w:pPr>
    </w:p>
    <w:p w14:paraId="0BCB1339" w14:textId="77777777" w:rsidR="00ED20E9" w:rsidRDefault="00ED20E9" w:rsidP="003941BF">
      <w:pPr>
        <w:spacing w:line="276" w:lineRule="auto"/>
        <w:jc w:val="both"/>
        <w:rPr>
          <w:rFonts w:ascii="Arial" w:eastAsia="Calibri" w:hAnsi="Arial" w:cs="Arial"/>
          <w:kern w:val="2"/>
          <w:lang w:val="en-GB"/>
          <w14:ligatures w14:val="standardContextual"/>
        </w:rPr>
      </w:pPr>
    </w:p>
    <w:p w14:paraId="48E07064" w14:textId="77777777" w:rsidR="003941BF" w:rsidRDefault="003941BF" w:rsidP="003941BF">
      <w:pPr>
        <w:spacing w:line="276" w:lineRule="auto"/>
        <w:jc w:val="both"/>
        <w:rPr>
          <w:rFonts w:ascii="Arial" w:eastAsia="Calibri" w:hAnsi="Arial" w:cs="Arial"/>
          <w:b/>
          <w:iCs/>
          <w:kern w:val="2"/>
          <w:lang w:val="en-GB"/>
          <w14:ligatures w14:val="standardContextual"/>
        </w:rPr>
      </w:pPr>
      <w:r w:rsidRPr="00D62A3B">
        <w:rPr>
          <w:rFonts w:ascii="Arial" w:eastAsia="Calibri" w:hAnsi="Arial" w:cs="Arial"/>
          <w:b/>
          <w:iCs/>
          <w:kern w:val="2"/>
          <w:lang w:val="en-GB"/>
          <w14:ligatures w14:val="standardContextual"/>
        </w:rPr>
        <w:lastRenderedPageBreak/>
        <w:t>3.2.1 Registration and classification of dams</w:t>
      </w:r>
    </w:p>
    <w:p w14:paraId="654496E0" w14:textId="77777777" w:rsidR="003941BF" w:rsidRPr="00D62A3B" w:rsidRDefault="003941BF" w:rsidP="003941BF">
      <w:pPr>
        <w:spacing w:line="276" w:lineRule="auto"/>
        <w:contextualSpacing/>
        <w:jc w:val="both"/>
        <w:rPr>
          <w:rFonts w:ascii="Arial" w:eastAsia="Calibri" w:hAnsi="Arial" w:cs="Arial"/>
          <w:b/>
          <w:iCs/>
          <w:kern w:val="2"/>
          <w:lang w:val="en-GB"/>
          <w14:ligatures w14:val="standardContextual"/>
        </w:rPr>
      </w:pPr>
    </w:p>
    <w:p w14:paraId="2183AAD2" w14:textId="77777777" w:rsidR="00ED20E9" w:rsidRPr="00D62A3B" w:rsidRDefault="00ED20E9" w:rsidP="00ED20E9">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For dam registration it’s a Mandates of the local government such as municipal council or Responsible authority do the following:(i) keep a record of major dams (i.e., Tanzania's "prescribed" classification system) inside their jurisdictions; and (ii) assign subjective hazard ratings based on the state's three-tiered hazard rating system. For the government to monitor the density of potentially dangerous dams and, consequently, the severity of the dam safety issue</w:t>
      </w:r>
    </w:p>
    <w:p w14:paraId="533D090A" w14:textId="77777777" w:rsidR="00ED20E9" w:rsidRDefault="00ED20E9" w:rsidP="00ED20E9">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The Second Schedule of the International Commission on Large Dams (ICOLD) guideline specifies the criteria that must be followed when categorizing dams and tailings dams. The following levels of external risks are to be used for categorization: (a) very high-risk (b) high risk (c) low risk and (d) very low risk. </w:t>
      </w:r>
    </w:p>
    <w:p w14:paraId="52404FA8"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0D55BC29" w14:textId="77777777" w:rsidR="00ED20E9" w:rsidRDefault="00ED20E9" w:rsidP="00ED20E9">
      <w:pPr>
        <w:spacing w:line="276" w:lineRule="auto"/>
        <w:jc w:val="both"/>
        <w:rPr>
          <w:rFonts w:ascii="Arial" w:eastAsia="Calibri" w:hAnsi="Arial" w:cs="Arial"/>
          <w:kern w:val="2"/>
          <w:lang w:val="en-GB"/>
          <w14:ligatures w14:val="standardContextual"/>
        </w:rPr>
      </w:pPr>
      <w:r w:rsidRPr="00F31F7D">
        <w:rPr>
          <w:rFonts w:ascii="Arial" w:eastAsia="Calibri" w:hAnsi="Arial" w:cs="Arial"/>
          <w:kern w:val="2"/>
          <w:lang w:val="en-GB"/>
          <w14:ligatures w14:val="standardContextual"/>
        </w:rPr>
        <w:t xml:space="preserve">Table </w:t>
      </w:r>
      <w:r w:rsidRPr="00F31F7D">
        <w:rPr>
          <w:rFonts w:ascii="Arial" w:eastAsia="Calibri" w:hAnsi="Arial" w:cs="Arial"/>
          <w:kern w:val="2"/>
          <w:lang w:val="en-GB"/>
          <w14:ligatures w14:val="standardContextual"/>
        </w:rPr>
        <w:fldChar w:fldCharType="begin"/>
      </w:r>
      <w:r w:rsidRPr="00F31F7D">
        <w:rPr>
          <w:rFonts w:ascii="Arial" w:eastAsia="Calibri" w:hAnsi="Arial" w:cs="Arial"/>
          <w:kern w:val="2"/>
          <w:lang w:val="en-GB"/>
          <w14:ligatures w14:val="standardContextual"/>
        </w:rPr>
        <w:instrText xml:space="preserve"> SEQ Table \* ARABIC </w:instrText>
      </w:r>
      <w:r w:rsidRPr="00F31F7D">
        <w:rPr>
          <w:rFonts w:ascii="Arial" w:eastAsia="Calibri" w:hAnsi="Arial" w:cs="Arial"/>
          <w:kern w:val="2"/>
          <w:lang w:val="en-GB"/>
          <w14:ligatures w14:val="standardContextual"/>
        </w:rPr>
        <w:fldChar w:fldCharType="separate"/>
      </w:r>
      <w:r>
        <w:rPr>
          <w:rFonts w:ascii="Arial" w:eastAsia="Calibri" w:hAnsi="Arial" w:cs="Arial"/>
          <w:noProof/>
          <w:kern w:val="2"/>
          <w:lang w:val="en-GB"/>
          <w14:ligatures w14:val="standardContextual"/>
        </w:rPr>
        <w:t>3</w:t>
      </w:r>
      <w:r w:rsidRPr="00F31F7D">
        <w:rPr>
          <w:rFonts w:ascii="Arial" w:eastAsia="Calibri" w:hAnsi="Arial" w:cs="Arial"/>
          <w:kern w:val="2"/>
          <w:lang w:val="en-GB"/>
          <w14:ligatures w14:val="standardContextual"/>
        </w:rPr>
        <w:fldChar w:fldCharType="end"/>
      </w:r>
      <w:r w:rsidRPr="00F31F7D">
        <w:rPr>
          <w:rFonts w:ascii="Arial" w:eastAsia="Calibri" w:hAnsi="Arial" w:cs="Arial"/>
          <w:kern w:val="2"/>
          <w:lang w:val="en-GB"/>
          <w14:ligatures w14:val="standardContextual"/>
        </w:rPr>
        <w:t>.Criteria for classifying dam</w:t>
      </w:r>
    </w:p>
    <w:p w14:paraId="13FF7EFF" w14:textId="77777777" w:rsidR="00ED20E9" w:rsidRPr="00D62A3B" w:rsidRDefault="00ED20E9" w:rsidP="00ED20E9">
      <w:pPr>
        <w:spacing w:line="276" w:lineRule="auto"/>
        <w:jc w:val="both"/>
        <w:rPr>
          <w:rFonts w:ascii="Arial" w:eastAsia="Calibri" w:hAnsi="Arial" w:cs="Arial"/>
          <w:kern w:val="2"/>
          <w:lang w:val="en-GB"/>
          <w14:ligatures w14:val="standardContextual"/>
        </w:rPr>
      </w:pPr>
    </w:p>
    <w:tbl>
      <w:tblPr>
        <w:tblStyle w:val="TableGrid"/>
        <w:tblW w:w="9915" w:type="dxa"/>
        <w:tblInd w:w="-20" w:type="dxa"/>
        <w:tblLook w:val="04A0" w:firstRow="1" w:lastRow="0" w:firstColumn="1" w:lastColumn="0" w:noHBand="0" w:noVBand="1"/>
      </w:tblPr>
      <w:tblGrid>
        <w:gridCol w:w="1482"/>
        <w:gridCol w:w="3332"/>
        <w:gridCol w:w="2266"/>
        <w:gridCol w:w="2835"/>
      </w:tblGrid>
      <w:tr w:rsidR="00ED20E9" w:rsidRPr="00EA5B46" w14:paraId="06C8E1FE" w14:textId="77777777" w:rsidTr="00ED20E9">
        <w:tc>
          <w:tcPr>
            <w:tcW w:w="1482" w:type="dxa"/>
          </w:tcPr>
          <w:p w14:paraId="2D2025F2"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Rating Category</w:t>
            </w:r>
            <w:r w:rsidRPr="00EA5B46">
              <w:rPr>
                <w:rFonts w:ascii="Arial" w:hAnsi="Arial" w:cs="Arial"/>
                <w:kern w:val="2"/>
                <w:vertAlign w:val="superscript"/>
                <w:lang w:val="en-GB"/>
                <w14:ligatures w14:val="standardContextual"/>
              </w:rPr>
              <w:t>4</w:t>
            </w:r>
          </w:p>
        </w:tc>
        <w:tc>
          <w:tcPr>
            <w:tcW w:w="3332" w:type="dxa"/>
          </w:tcPr>
          <w:p w14:paraId="455C7F78"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Loss of life</w:t>
            </w:r>
          </w:p>
        </w:tc>
        <w:tc>
          <w:tcPr>
            <w:tcW w:w="2266" w:type="dxa"/>
          </w:tcPr>
          <w:p w14:paraId="0892EE2C"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Economic and social loss</w:t>
            </w:r>
          </w:p>
          <w:p w14:paraId="07C7BDB8" w14:textId="77777777" w:rsidR="00ED20E9" w:rsidRPr="00EA5B46" w:rsidRDefault="00ED20E9" w:rsidP="00ED20E9">
            <w:pPr>
              <w:spacing w:line="276" w:lineRule="auto"/>
              <w:jc w:val="both"/>
              <w:rPr>
                <w:rFonts w:ascii="Arial" w:hAnsi="Arial" w:cs="Arial"/>
                <w:kern w:val="2"/>
                <w:lang w:val="en-GB"/>
                <w14:ligatures w14:val="standardContextual"/>
              </w:rPr>
            </w:pPr>
          </w:p>
        </w:tc>
        <w:tc>
          <w:tcPr>
            <w:tcW w:w="2835" w:type="dxa"/>
          </w:tcPr>
          <w:p w14:paraId="14C5E402"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Environmental and cultural loss</w:t>
            </w:r>
          </w:p>
        </w:tc>
      </w:tr>
      <w:tr w:rsidR="00ED20E9" w:rsidRPr="00EA5B46" w14:paraId="5B63C98A" w14:textId="77777777" w:rsidTr="00ED20E9">
        <w:trPr>
          <w:trHeight w:val="3468"/>
        </w:trPr>
        <w:tc>
          <w:tcPr>
            <w:tcW w:w="1482" w:type="dxa"/>
          </w:tcPr>
          <w:p w14:paraId="639288C4"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Very high</w:t>
            </w:r>
          </w:p>
          <w:p w14:paraId="0795A996"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“A “</w:t>
            </w:r>
          </w:p>
        </w:tc>
        <w:tc>
          <w:tcPr>
            <w:tcW w:w="3332" w:type="dxa"/>
          </w:tcPr>
          <w:p w14:paraId="1397A5EE"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There is a big chance that residents and the working, travelling, and/or recreational public will die in multiple ways.</w:t>
            </w:r>
          </w:p>
          <w:p w14:paraId="3BC5450C"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Development often included towns, sizable business and industrial zones, major thoroughfares, railroads, and areas with high concentrations of recreational activity within inundation areas (the region that could be submerged in the event of a dam failure).</w:t>
            </w:r>
          </w:p>
          <w:p w14:paraId="19F6AFEF"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Over a hundred deaths are estimated.</w:t>
            </w:r>
          </w:p>
        </w:tc>
        <w:tc>
          <w:tcPr>
            <w:tcW w:w="2266" w:type="dxa"/>
          </w:tcPr>
          <w:p w14:paraId="27C81DBF"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 xml:space="preserve">Significant financial loss affecting public, commercial, and infrastructure assets both inside and outside the flooded area. </w:t>
            </w:r>
          </w:p>
          <w:p w14:paraId="4329EB86" w14:textId="77777777" w:rsidR="00ED20E9" w:rsidRPr="00EA5B46" w:rsidRDefault="00ED20E9" w:rsidP="00ED20E9">
            <w:pPr>
              <w:spacing w:line="276" w:lineRule="auto"/>
              <w:jc w:val="both"/>
              <w:rPr>
                <w:rFonts w:ascii="Arial" w:hAnsi="Arial" w:cs="Arial"/>
                <w:kern w:val="2"/>
                <w:lang w:val="en-GB"/>
                <w14:ligatures w14:val="standardContextual"/>
              </w:rPr>
            </w:pPr>
          </w:p>
        </w:tc>
        <w:tc>
          <w:tcPr>
            <w:tcW w:w="2835" w:type="dxa"/>
          </w:tcPr>
          <w:p w14:paraId="3A3D43EE"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Significant loss or degradation of habitat for wildlife, rare and/or endangered species, distinctive landscapes, or sites with cultural significance.</w:t>
            </w:r>
          </w:p>
        </w:tc>
      </w:tr>
      <w:tr w:rsidR="00ED20E9" w:rsidRPr="00EA5B46" w14:paraId="323D8A2C" w14:textId="77777777" w:rsidTr="00ED20E9">
        <w:trPr>
          <w:trHeight w:val="2460"/>
        </w:trPr>
        <w:tc>
          <w:tcPr>
            <w:tcW w:w="1482" w:type="dxa"/>
          </w:tcPr>
          <w:p w14:paraId="1E37A94C"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High “B”</w:t>
            </w:r>
          </w:p>
        </w:tc>
        <w:tc>
          <w:tcPr>
            <w:tcW w:w="3332" w:type="dxa"/>
          </w:tcPr>
          <w:p w14:paraId="58668D3E" w14:textId="77777777" w:rsidR="00ED20E9" w:rsidRPr="00EA5B46" w:rsidRDefault="00ED20E9" w:rsidP="00ED20E9">
            <w:pPr>
              <w:spacing w:line="276" w:lineRule="auto"/>
              <w:jc w:val="both"/>
              <w:rPr>
                <w:rFonts w:ascii="Arial" w:hAnsi="Arial" w:cs="Arial"/>
                <w:kern w:val="2"/>
                <w:lang w:val="en-GB"/>
                <w14:ligatures w14:val="standardContextual"/>
              </w:rPr>
            </w:pPr>
          </w:p>
          <w:p w14:paraId="71456C0C"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 xml:space="preserve">There is a chance that residents who work, travel, or engage in public recreation might forfeit several lives. Development in areas prone to flooding usually consists of roads and railroads, business and industrial zones, </w:t>
            </w:r>
          </w:p>
        </w:tc>
        <w:tc>
          <w:tcPr>
            <w:tcW w:w="2266" w:type="dxa"/>
          </w:tcPr>
          <w:p w14:paraId="0F4EF11D"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 xml:space="preserve">Severe financial losses impact public, private, and infrastructure properties both inside and outside the flooded area. </w:t>
            </w:r>
          </w:p>
          <w:p w14:paraId="6284969D"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w:t>
            </w:r>
          </w:p>
          <w:p w14:paraId="1392DDE7" w14:textId="77777777" w:rsidR="00ED20E9" w:rsidRPr="00EA5B46" w:rsidRDefault="00ED20E9" w:rsidP="00ED20E9">
            <w:pPr>
              <w:spacing w:line="276" w:lineRule="auto"/>
              <w:jc w:val="both"/>
              <w:rPr>
                <w:rFonts w:ascii="Arial" w:hAnsi="Arial" w:cs="Arial"/>
                <w:kern w:val="2"/>
                <w:lang w:val="en-GB"/>
                <w14:ligatures w14:val="standardContextual"/>
              </w:rPr>
            </w:pPr>
          </w:p>
        </w:tc>
        <w:tc>
          <w:tcPr>
            <w:tcW w:w="2835" w:type="dxa"/>
          </w:tcPr>
          <w:p w14:paraId="0457AABB"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Habitat loss or significant degradation for rare and/or endangered species, wildlife, unique landscapes, culturally significant locations, and important national or provincial fisheries (including water quality).</w:t>
            </w:r>
          </w:p>
        </w:tc>
      </w:tr>
      <w:tr w:rsidR="00ED20E9" w:rsidRPr="00EA5B46" w14:paraId="0647191E" w14:textId="77777777" w:rsidTr="00ED20E9">
        <w:trPr>
          <w:trHeight w:val="2940"/>
        </w:trPr>
        <w:tc>
          <w:tcPr>
            <w:tcW w:w="1482" w:type="dxa"/>
          </w:tcPr>
          <w:p w14:paraId="7DEA8356"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lastRenderedPageBreak/>
              <w:t>Low “C”</w:t>
            </w:r>
          </w:p>
        </w:tc>
        <w:tc>
          <w:tcPr>
            <w:tcW w:w="3332" w:type="dxa"/>
          </w:tcPr>
          <w:p w14:paraId="28BD73C7"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Reduced possibility of multiple fatalities; inundation area is usually undeveloped, aside from small roads, briefly inhabited areas, non-residential farms, and rural activities. If a larger development is present, there needs to be a trustworthy component of natural warning.</w:t>
            </w:r>
          </w:p>
          <w:p w14:paraId="070F64C0" w14:textId="77777777" w:rsidR="00ED20E9" w:rsidRPr="00EA5B46" w:rsidRDefault="00ED20E9" w:rsidP="00ED20E9">
            <w:pPr>
              <w:spacing w:line="276" w:lineRule="auto"/>
              <w:jc w:val="both"/>
              <w:rPr>
                <w:rFonts w:ascii="Arial" w:hAnsi="Arial" w:cs="Arial"/>
                <w:kern w:val="2"/>
                <w:lang w:val="en-GB"/>
                <w14:ligatures w14:val="standardContextual"/>
              </w:rPr>
            </w:pPr>
          </w:p>
          <w:p w14:paraId="7498C9DA" w14:textId="77777777" w:rsidR="00ED20E9" w:rsidRPr="00EA5B46" w:rsidRDefault="00ED20E9" w:rsidP="00ED20E9">
            <w:pPr>
              <w:spacing w:line="276" w:lineRule="auto"/>
              <w:jc w:val="both"/>
              <w:rPr>
                <w:rFonts w:ascii="Arial" w:hAnsi="Arial" w:cs="Arial"/>
                <w:kern w:val="2"/>
                <w:lang w:val="en-GB"/>
                <w14:ligatures w14:val="standardContextual"/>
              </w:rPr>
            </w:pPr>
          </w:p>
        </w:tc>
        <w:tc>
          <w:tcPr>
            <w:tcW w:w="2266" w:type="dxa"/>
          </w:tcPr>
          <w:p w14:paraId="2484A190"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 xml:space="preserve">Minimal financial losses as a result of fewer public, private, and commercial activities. The estimates expenses whether  direct or indirect are minimal under this category  </w:t>
            </w:r>
          </w:p>
        </w:tc>
        <w:tc>
          <w:tcPr>
            <w:tcW w:w="2835" w:type="dxa"/>
          </w:tcPr>
          <w:p w14:paraId="0F36E469" w14:textId="77777777" w:rsidR="00ED20E9" w:rsidRPr="00EA5B46" w:rsidRDefault="00ED20E9" w:rsidP="00ED20E9">
            <w:pPr>
              <w:spacing w:line="276" w:lineRule="auto"/>
              <w:jc w:val="both"/>
              <w:rPr>
                <w:rFonts w:ascii="Arial" w:hAnsi="Arial" w:cs="Arial"/>
                <w:kern w:val="2"/>
                <w:lang w:val="en-GB"/>
                <w14:ligatures w14:val="standardContextual"/>
              </w:rPr>
            </w:pPr>
          </w:p>
          <w:p w14:paraId="47E5547B" w14:textId="77777777" w:rsidR="00ED20E9" w:rsidRPr="00EA5B46" w:rsidRDefault="00ED20E9" w:rsidP="00ED20E9">
            <w:pPr>
              <w:spacing w:line="276" w:lineRule="auto"/>
              <w:jc w:val="both"/>
              <w:rPr>
                <w:rFonts w:ascii="Arial" w:hAnsi="Arial" w:cs="Arial"/>
                <w:kern w:val="2"/>
                <w:lang w:val="en-GB"/>
                <w14:ligatures w14:val="standardContextual"/>
              </w:rPr>
            </w:pPr>
          </w:p>
          <w:p w14:paraId="43E6BF56"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The disappearance or serious degradation of habitats supporting rare and/or endangered species, distinctive landscapes, places of cultural significance, wildlife habitat, and regionally significant fisheries.</w:t>
            </w:r>
          </w:p>
        </w:tc>
      </w:tr>
      <w:tr w:rsidR="00ED20E9" w:rsidRPr="00EA5B46" w14:paraId="737D5826" w14:textId="77777777" w:rsidTr="00ED20E9">
        <w:trPr>
          <w:trHeight w:val="1524"/>
        </w:trPr>
        <w:tc>
          <w:tcPr>
            <w:tcW w:w="1482" w:type="dxa"/>
          </w:tcPr>
          <w:p w14:paraId="709B4353"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Very low</w:t>
            </w:r>
          </w:p>
          <w:p w14:paraId="0F72C689"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“D”</w:t>
            </w:r>
          </w:p>
        </w:tc>
        <w:tc>
          <w:tcPr>
            <w:tcW w:w="3332" w:type="dxa"/>
          </w:tcPr>
          <w:p w14:paraId="41372127"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Very little chance of a catastrophe. An area that is flooded is usually underdeveloped.</w:t>
            </w:r>
          </w:p>
          <w:p w14:paraId="7AFFB586" w14:textId="77777777" w:rsidR="00ED20E9" w:rsidRPr="00EA5B46" w:rsidRDefault="00ED20E9" w:rsidP="00ED20E9">
            <w:pPr>
              <w:spacing w:line="276" w:lineRule="auto"/>
              <w:jc w:val="both"/>
              <w:rPr>
                <w:rFonts w:ascii="Arial" w:hAnsi="Arial" w:cs="Arial"/>
                <w:kern w:val="2"/>
                <w:lang w:val="en-GB"/>
                <w14:ligatures w14:val="standardContextual"/>
              </w:rPr>
            </w:pPr>
          </w:p>
        </w:tc>
        <w:tc>
          <w:tcPr>
            <w:tcW w:w="2266" w:type="dxa"/>
          </w:tcPr>
          <w:p w14:paraId="3EE3C626"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 xml:space="preserve">Little financial losses that are normally contained on the property of the owners </w:t>
            </w:r>
          </w:p>
        </w:tc>
        <w:tc>
          <w:tcPr>
            <w:tcW w:w="2835" w:type="dxa"/>
          </w:tcPr>
          <w:p w14:paraId="43356C02" w14:textId="77777777" w:rsidR="00ED20E9" w:rsidRPr="00EA5B46" w:rsidRDefault="00ED20E9" w:rsidP="00ED20E9">
            <w:pPr>
              <w:spacing w:line="276" w:lineRule="auto"/>
              <w:jc w:val="both"/>
              <w:rPr>
                <w:rFonts w:ascii="Arial" w:hAnsi="Arial" w:cs="Arial"/>
                <w:kern w:val="2"/>
                <w:lang w:val="en-GB"/>
                <w14:ligatures w14:val="standardContextual"/>
              </w:rPr>
            </w:pPr>
            <w:r w:rsidRPr="00EA5B46">
              <w:rPr>
                <w:rFonts w:ascii="Arial" w:hAnsi="Arial" w:cs="Arial"/>
                <w:kern w:val="2"/>
                <w:lang w:val="en-GB"/>
                <w14:ligatures w14:val="standardContextual"/>
              </w:rPr>
              <w:t xml:space="preserve">There is not a noticeable decline in the number of fisheries inhabitants, wildlife habitat, or uncommon or endangered species, </w:t>
            </w:r>
          </w:p>
        </w:tc>
      </w:tr>
    </w:tbl>
    <w:p w14:paraId="2AAB9853" w14:textId="77777777" w:rsidR="00ED20E9" w:rsidRDefault="00ED20E9"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vertAlign w:val="superscript"/>
          <w:lang w:val="en-GB"/>
          <w14:ligatures w14:val="standardContextual"/>
        </w:rPr>
        <w:t>4</w:t>
      </w:r>
      <w:r w:rsidRPr="00D62A3B">
        <w:rPr>
          <w:rFonts w:ascii="Arial" w:eastAsia="Calibri" w:hAnsi="Arial" w:cs="Arial"/>
          <w:kern w:val="2"/>
          <w14:ligatures w14:val="standardContextual"/>
        </w:rPr>
        <w:t xml:space="preserve"> </w:t>
      </w:r>
      <w:r w:rsidRPr="00D62A3B">
        <w:rPr>
          <w:rFonts w:ascii="Arial" w:eastAsia="Calibri" w:hAnsi="Arial" w:cs="Arial"/>
          <w:kern w:val="2"/>
          <w:lang w:val="en-GB"/>
          <w14:ligatures w14:val="standardContextual"/>
        </w:rPr>
        <w:t>The classification of the rating category is established based on external risks that could occur downstream in the event of dam failure.</w:t>
      </w:r>
    </w:p>
    <w:p w14:paraId="63EB97AD" w14:textId="77777777" w:rsidR="00ED20E9" w:rsidRDefault="00ED20E9" w:rsidP="00ED20E9">
      <w:pPr>
        <w:spacing w:line="276" w:lineRule="auto"/>
        <w:jc w:val="both"/>
        <w:rPr>
          <w:rFonts w:ascii="Arial" w:eastAsia="Calibri" w:hAnsi="Arial" w:cs="Arial"/>
          <w:kern w:val="2"/>
          <w:lang w:val="en-GB"/>
          <w14:ligatures w14:val="standardContextual"/>
        </w:rPr>
      </w:pPr>
    </w:p>
    <w:p w14:paraId="46D8FA4E" w14:textId="77777777" w:rsidR="00ED20E9" w:rsidRDefault="00ED20E9" w:rsidP="00ED20E9">
      <w:pPr>
        <w:spacing w:line="276" w:lineRule="auto"/>
        <w:rPr>
          <w:rFonts w:ascii="Arial" w:eastAsia="Calibri" w:hAnsi="Arial" w:cs="Arial"/>
          <w:kern w:val="2"/>
          <w14:ligatures w14:val="standardContextual"/>
        </w:rPr>
      </w:pPr>
      <w:r w:rsidRPr="00973700">
        <w:rPr>
          <w:rFonts w:ascii="Arial" w:eastAsia="Calibri" w:hAnsi="Arial" w:cs="Arial"/>
          <w:kern w:val="2"/>
          <w14:ligatures w14:val="standardContextual"/>
        </w:rPr>
        <w:t>Field data and institutional standards were used to determine Mindu Dam's "high hazard" categorization. Records from the Morogoro Municipal Council (2023) were used to determine the downstream population exposure (more than 1,000 inhabitants), which was then confirmed by home surveys. Using a checklist interview, the MORUWASA engineer found structural weaknesses, such as spillway capacity shortages. Interviews with representatives of the Morogoro Urban Water and Sanitation Authority (MURUWASA) confirmed the dam's vital role in the city's water supply. Globally, the categorization is consistent with the World Bank's (2010) definition of high-hazard dams, which are those that provide a "significant risk to essential infrastructure or human life.</w:t>
      </w:r>
    </w:p>
    <w:p w14:paraId="5CC905DA" w14:textId="77777777" w:rsidR="00ED20E9" w:rsidRDefault="00ED20E9" w:rsidP="00ED20E9">
      <w:pPr>
        <w:spacing w:line="276" w:lineRule="auto"/>
        <w:rPr>
          <w:rFonts w:ascii="Arial" w:eastAsia="Calibri" w:hAnsi="Arial" w:cs="Arial"/>
          <w:kern w:val="2"/>
          <w14:ligatures w14:val="standardContextual"/>
        </w:rPr>
      </w:pPr>
    </w:p>
    <w:p w14:paraId="7760E78E" w14:textId="77777777" w:rsidR="00ED20E9" w:rsidRDefault="00ED20E9" w:rsidP="00ED20E9">
      <w:pPr>
        <w:spacing w:line="276" w:lineRule="auto"/>
        <w:jc w:val="both"/>
        <w:rPr>
          <w:rFonts w:ascii="Arial" w:eastAsia="Calibri" w:hAnsi="Arial" w:cs="Arial"/>
          <w:kern w:val="2"/>
          <w:lang w:val="en-GB"/>
          <w14:ligatures w14:val="standardContextual"/>
        </w:rPr>
      </w:pPr>
      <w:r w:rsidRPr="00846F49">
        <w:rPr>
          <w:rFonts w:ascii="Arial" w:eastAsia="Calibri" w:hAnsi="Arial" w:cs="Arial"/>
          <w:kern w:val="2"/>
          <w:lang w:val="en-GB"/>
          <w14:ligatures w14:val="standardContextual"/>
        </w:rPr>
        <w:t xml:space="preserve">Table </w:t>
      </w:r>
      <w:r w:rsidRPr="00846F49">
        <w:rPr>
          <w:rFonts w:ascii="Arial" w:eastAsia="Calibri" w:hAnsi="Arial" w:cs="Arial"/>
          <w:kern w:val="2"/>
          <w:lang w:val="en-GB"/>
          <w14:ligatures w14:val="standardContextual"/>
        </w:rPr>
        <w:fldChar w:fldCharType="begin"/>
      </w:r>
      <w:r w:rsidRPr="00846F49">
        <w:rPr>
          <w:rFonts w:ascii="Arial" w:eastAsia="Calibri" w:hAnsi="Arial" w:cs="Arial"/>
          <w:kern w:val="2"/>
          <w:lang w:val="en-GB"/>
          <w14:ligatures w14:val="standardContextual"/>
        </w:rPr>
        <w:instrText xml:space="preserve"> SEQ Table \* ARABIC </w:instrText>
      </w:r>
      <w:r w:rsidRPr="00846F49">
        <w:rPr>
          <w:rFonts w:ascii="Arial" w:eastAsia="Calibri" w:hAnsi="Arial" w:cs="Arial"/>
          <w:kern w:val="2"/>
          <w:lang w:val="en-GB"/>
          <w14:ligatures w14:val="standardContextual"/>
        </w:rPr>
        <w:fldChar w:fldCharType="separate"/>
      </w:r>
      <w:r>
        <w:rPr>
          <w:rFonts w:ascii="Arial" w:eastAsia="Calibri" w:hAnsi="Arial" w:cs="Arial"/>
          <w:noProof/>
          <w:kern w:val="2"/>
          <w:lang w:val="en-GB"/>
          <w14:ligatures w14:val="standardContextual"/>
        </w:rPr>
        <w:t>4</w:t>
      </w:r>
      <w:r w:rsidRPr="00846F49">
        <w:rPr>
          <w:rFonts w:ascii="Arial" w:eastAsia="Calibri" w:hAnsi="Arial" w:cs="Arial"/>
          <w:kern w:val="2"/>
          <w:lang w:val="en-GB"/>
          <w14:ligatures w14:val="standardContextual"/>
        </w:rPr>
        <w:fldChar w:fldCharType="end"/>
      </w:r>
      <w:r w:rsidRPr="00846F49">
        <w:rPr>
          <w:rFonts w:ascii="Arial" w:eastAsia="Calibri" w:hAnsi="Arial" w:cs="Arial"/>
          <w:kern w:val="2"/>
          <w:lang w:val="en-GB"/>
          <w14:ligatures w14:val="standardContextual"/>
        </w:rPr>
        <w:t>.Mindu Dam</w:t>
      </w:r>
      <w:r>
        <w:rPr>
          <w:rFonts w:ascii="Arial" w:eastAsia="Calibri" w:hAnsi="Arial" w:cs="Arial"/>
          <w:kern w:val="2"/>
          <w:lang w:val="en-GB"/>
          <w14:ligatures w14:val="standardContextual"/>
        </w:rPr>
        <w:t xml:space="preserve"> risk</w:t>
      </w:r>
      <w:r w:rsidRPr="00846F49">
        <w:rPr>
          <w:rFonts w:ascii="Arial" w:eastAsia="Calibri" w:hAnsi="Arial" w:cs="Arial"/>
          <w:kern w:val="2"/>
          <w:lang w:val="en-GB"/>
          <w14:ligatures w14:val="standardContextual"/>
        </w:rPr>
        <w:t xml:space="preserve"> Classification Status</w:t>
      </w:r>
    </w:p>
    <w:p w14:paraId="26F255E3" w14:textId="77777777" w:rsidR="00ED20E9" w:rsidRDefault="00ED20E9" w:rsidP="00ED20E9">
      <w:pPr>
        <w:spacing w:line="276" w:lineRule="auto"/>
        <w:jc w:val="both"/>
        <w:rPr>
          <w:rFonts w:ascii="Arial" w:eastAsia="Calibri" w:hAnsi="Arial" w:cs="Arial"/>
          <w:kern w:val="2"/>
          <w:lang w:val="en-GB"/>
          <w14:ligatures w14:val="standardContextual"/>
        </w:rPr>
      </w:pPr>
    </w:p>
    <w:tbl>
      <w:tblPr>
        <w:tblStyle w:val="TableGrid"/>
        <w:tblW w:w="0" w:type="auto"/>
        <w:tblLook w:val="04A0" w:firstRow="1" w:lastRow="0" w:firstColumn="1" w:lastColumn="0" w:noHBand="0" w:noVBand="1"/>
      </w:tblPr>
      <w:tblGrid>
        <w:gridCol w:w="1999"/>
        <w:gridCol w:w="3004"/>
        <w:gridCol w:w="2318"/>
        <w:gridCol w:w="2749"/>
      </w:tblGrid>
      <w:tr w:rsidR="00ED20E9" w:rsidRPr="00E70409" w14:paraId="64DFC074" w14:textId="77777777" w:rsidTr="00ED20E9">
        <w:tc>
          <w:tcPr>
            <w:tcW w:w="0" w:type="auto"/>
            <w:hideMark/>
          </w:tcPr>
          <w:p w14:paraId="5BA0351C" w14:textId="77777777" w:rsidR="00ED20E9" w:rsidRPr="00E70409" w:rsidRDefault="00ED20E9" w:rsidP="00ED20E9">
            <w:pPr>
              <w:spacing w:after="160" w:line="276" w:lineRule="auto"/>
              <w:jc w:val="both"/>
              <w:rPr>
                <w:rFonts w:ascii="Arial" w:hAnsi="Arial" w:cs="Arial"/>
                <w:b/>
                <w:bCs/>
              </w:rPr>
            </w:pPr>
            <w:r w:rsidRPr="00E70409">
              <w:rPr>
                <w:rFonts w:ascii="Arial" w:hAnsi="Arial" w:cs="Arial"/>
                <w:b/>
                <w:bCs/>
              </w:rPr>
              <w:t>Hazard Criterion</w:t>
            </w:r>
          </w:p>
        </w:tc>
        <w:tc>
          <w:tcPr>
            <w:tcW w:w="0" w:type="auto"/>
            <w:hideMark/>
          </w:tcPr>
          <w:p w14:paraId="2C225D32" w14:textId="77777777" w:rsidR="00ED20E9" w:rsidRPr="00E70409" w:rsidRDefault="00ED20E9" w:rsidP="00ED20E9">
            <w:pPr>
              <w:spacing w:after="160" w:line="276" w:lineRule="auto"/>
              <w:jc w:val="both"/>
              <w:rPr>
                <w:rFonts w:ascii="Arial" w:hAnsi="Arial" w:cs="Arial"/>
                <w:b/>
                <w:bCs/>
              </w:rPr>
            </w:pPr>
            <w:r w:rsidRPr="00E70409">
              <w:rPr>
                <w:rFonts w:ascii="Arial" w:hAnsi="Arial" w:cs="Arial"/>
                <w:b/>
                <w:bCs/>
              </w:rPr>
              <w:t>Threshold for "High Hazard"</w:t>
            </w:r>
          </w:p>
        </w:tc>
        <w:tc>
          <w:tcPr>
            <w:tcW w:w="0" w:type="auto"/>
            <w:hideMark/>
          </w:tcPr>
          <w:p w14:paraId="3D5E21D4" w14:textId="77777777" w:rsidR="00ED20E9" w:rsidRPr="00E70409" w:rsidRDefault="00ED20E9" w:rsidP="00ED20E9">
            <w:pPr>
              <w:spacing w:after="160" w:line="276" w:lineRule="auto"/>
              <w:jc w:val="both"/>
              <w:rPr>
                <w:rFonts w:ascii="Arial" w:hAnsi="Arial" w:cs="Arial"/>
                <w:b/>
                <w:bCs/>
              </w:rPr>
            </w:pPr>
            <w:r w:rsidRPr="00E70409">
              <w:rPr>
                <w:rFonts w:ascii="Arial" w:hAnsi="Arial" w:cs="Arial"/>
                <w:b/>
                <w:bCs/>
              </w:rPr>
              <w:t>Data Source</w:t>
            </w:r>
          </w:p>
        </w:tc>
        <w:tc>
          <w:tcPr>
            <w:tcW w:w="0" w:type="auto"/>
            <w:hideMark/>
          </w:tcPr>
          <w:p w14:paraId="5F44939C" w14:textId="77777777" w:rsidR="00ED20E9" w:rsidRPr="00E70409" w:rsidRDefault="00ED20E9" w:rsidP="00ED20E9">
            <w:pPr>
              <w:spacing w:after="160" w:line="276" w:lineRule="auto"/>
              <w:jc w:val="both"/>
              <w:rPr>
                <w:rFonts w:ascii="Arial" w:hAnsi="Arial" w:cs="Arial"/>
                <w:b/>
                <w:bCs/>
              </w:rPr>
            </w:pPr>
            <w:r w:rsidRPr="00E70409">
              <w:rPr>
                <w:rFonts w:ascii="Arial" w:hAnsi="Arial" w:cs="Arial"/>
                <w:b/>
                <w:bCs/>
              </w:rPr>
              <w:t>Mindu Dam Status</w:t>
            </w:r>
          </w:p>
        </w:tc>
      </w:tr>
      <w:tr w:rsidR="00ED20E9" w:rsidRPr="00E70409" w14:paraId="2E91736D" w14:textId="77777777" w:rsidTr="00ED20E9">
        <w:tc>
          <w:tcPr>
            <w:tcW w:w="0" w:type="auto"/>
            <w:hideMark/>
          </w:tcPr>
          <w:p w14:paraId="76E71AD9" w14:textId="77777777" w:rsidR="00ED20E9" w:rsidRPr="00E70409" w:rsidRDefault="00ED20E9" w:rsidP="00ED20E9">
            <w:pPr>
              <w:spacing w:after="160" w:line="276" w:lineRule="auto"/>
              <w:jc w:val="both"/>
              <w:rPr>
                <w:rFonts w:ascii="Arial" w:hAnsi="Arial" w:cs="Arial"/>
              </w:rPr>
            </w:pPr>
            <w:r w:rsidRPr="00E70409">
              <w:rPr>
                <w:rFonts w:ascii="Arial" w:hAnsi="Arial" w:cs="Arial"/>
              </w:rPr>
              <w:t>Downstream population</w:t>
            </w:r>
          </w:p>
        </w:tc>
        <w:tc>
          <w:tcPr>
            <w:tcW w:w="0" w:type="auto"/>
            <w:hideMark/>
          </w:tcPr>
          <w:p w14:paraId="1AFDE893" w14:textId="77777777" w:rsidR="00ED20E9" w:rsidRPr="00E70409" w:rsidRDefault="00ED20E9" w:rsidP="00ED20E9">
            <w:pPr>
              <w:spacing w:after="160" w:line="276" w:lineRule="auto"/>
              <w:jc w:val="both"/>
              <w:rPr>
                <w:rFonts w:ascii="Arial" w:hAnsi="Arial" w:cs="Arial"/>
              </w:rPr>
            </w:pPr>
            <w:r w:rsidRPr="00EA5B46">
              <w:rPr>
                <w:rFonts w:ascii="Arial" w:hAnsi="Arial" w:cs="Arial"/>
                <w:bCs/>
              </w:rPr>
              <w:t>50 to 200</w:t>
            </w:r>
            <w:r w:rsidRPr="00D50422">
              <w:rPr>
                <w:rFonts w:ascii="Arial" w:hAnsi="Arial" w:cs="Arial"/>
                <w:b/>
                <w:bCs/>
              </w:rPr>
              <w:t xml:space="preserve"> </w:t>
            </w:r>
            <w:r w:rsidRPr="00EA5B46">
              <w:rPr>
                <w:rFonts w:ascii="Arial" w:hAnsi="Arial" w:cs="Arial"/>
                <w:bCs/>
              </w:rPr>
              <w:t>meters</w:t>
            </w:r>
            <w:r w:rsidRPr="00D50422">
              <w:rPr>
                <w:rFonts w:ascii="Arial" w:hAnsi="Arial" w:cs="Arial"/>
              </w:rPr>
              <w:t> </w:t>
            </w:r>
            <w:r w:rsidRPr="00E70409">
              <w:rPr>
                <w:rFonts w:ascii="Arial" w:hAnsi="Arial" w:cs="Arial"/>
              </w:rPr>
              <w:t xml:space="preserve">buffer zone  (Tanzania </w:t>
            </w:r>
            <w:r>
              <w:rPr>
                <w:rFonts w:ascii="Arial" w:hAnsi="Arial" w:cs="Arial"/>
              </w:rPr>
              <w:t>NEMC</w:t>
            </w:r>
            <w:r w:rsidRPr="00E70409">
              <w:rPr>
                <w:rFonts w:ascii="Arial" w:hAnsi="Arial" w:cs="Arial"/>
              </w:rPr>
              <w:t xml:space="preserve">, </w:t>
            </w:r>
            <w:r w:rsidRPr="00D50422">
              <w:rPr>
                <w:rFonts w:ascii="Arial" w:hAnsi="Arial" w:cs="Arial"/>
                <w:b/>
                <w:bCs/>
              </w:rPr>
              <w:t>2004</w:t>
            </w:r>
            <w:r w:rsidRPr="00E70409">
              <w:rPr>
                <w:rFonts w:ascii="Arial" w:hAnsi="Arial" w:cs="Arial"/>
              </w:rPr>
              <w:t>)</w:t>
            </w:r>
          </w:p>
        </w:tc>
        <w:tc>
          <w:tcPr>
            <w:tcW w:w="0" w:type="auto"/>
            <w:hideMark/>
          </w:tcPr>
          <w:p w14:paraId="19D01F0E" w14:textId="77777777" w:rsidR="00ED20E9" w:rsidRPr="00E70409" w:rsidRDefault="00ED20E9" w:rsidP="00ED20E9">
            <w:pPr>
              <w:spacing w:after="160" w:line="276" w:lineRule="auto"/>
              <w:jc w:val="both"/>
              <w:rPr>
                <w:rFonts w:ascii="Arial" w:hAnsi="Arial" w:cs="Arial"/>
              </w:rPr>
            </w:pPr>
            <w:r w:rsidRPr="00E70409">
              <w:rPr>
                <w:rFonts w:ascii="Arial" w:hAnsi="Arial" w:cs="Arial"/>
              </w:rPr>
              <w:t>Morogoro Municipal Council (2023)</w:t>
            </w:r>
          </w:p>
        </w:tc>
        <w:tc>
          <w:tcPr>
            <w:tcW w:w="0" w:type="auto"/>
            <w:hideMark/>
          </w:tcPr>
          <w:p w14:paraId="604412C8" w14:textId="77777777" w:rsidR="00ED20E9" w:rsidRPr="00E70409" w:rsidRDefault="00ED20E9" w:rsidP="00ED20E9">
            <w:pPr>
              <w:spacing w:after="160" w:line="276" w:lineRule="auto"/>
              <w:jc w:val="both"/>
              <w:rPr>
                <w:rFonts w:ascii="Arial" w:hAnsi="Arial" w:cs="Arial"/>
              </w:rPr>
            </w:pPr>
            <w:r>
              <w:rPr>
                <w:rFonts w:ascii="Arial" w:hAnsi="Arial" w:cs="Arial"/>
              </w:rPr>
              <w:t>1</w:t>
            </w:r>
            <w:r w:rsidRPr="00E70409">
              <w:rPr>
                <w:rFonts w:ascii="Arial" w:hAnsi="Arial" w:cs="Arial"/>
              </w:rPr>
              <w:t>,000 residents within flood zone</w:t>
            </w:r>
          </w:p>
        </w:tc>
      </w:tr>
      <w:tr w:rsidR="00ED20E9" w:rsidRPr="00E70409" w14:paraId="6169D406" w14:textId="77777777" w:rsidTr="00ED20E9">
        <w:tc>
          <w:tcPr>
            <w:tcW w:w="0" w:type="auto"/>
            <w:hideMark/>
          </w:tcPr>
          <w:p w14:paraId="1D05DE3D" w14:textId="77777777" w:rsidR="00ED20E9" w:rsidRPr="00E70409" w:rsidRDefault="00ED20E9" w:rsidP="00ED20E9">
            <w:pPr>
              <w:spacing w:after="160" w:line="276" w:lineRule="auto"/>
              <w:jc w:val="both"/>
              <w:rPr>
                <w:rFonts w:ascii="Arial" w:hAnsi="Arial" w:cs="Arial"/>
              </w:rPr>
            </w:pPr>
            <w:r w:rsidRPr="00E70409">
              <w:rPr>
                <w:rFonts w:ascii="Arial" w:hAnsi="Arial" w:cs="Arial"/>
              </w:rPr>
              <w:t>Critical infrastructure</w:t>
            </w:r>
          </w:p>
        </w:tc>
        <w:tc>
          <w:tcPr>
            <w:tcW w:w="0" w:type="auto"/>
            <w:hideMark/>
          </w:tcPr>
          <w:p w14:paraId="052B8223" w14:textId="77777777" w:rsidR="00ED20E9" w:rsidRPr="00E70409" w:rsidRDefault="00ED20E9" w:rsidP="00ED20E9">
            <w:pPr>
              <w:spacing w:after="160" w:line="276" w:lineRule="auto"/>
              <w:jc w:val="both"/>
              <w:rPr>
                <w:rFonts w:ascii="Arial" w:hAnsi="Arial" w:cs="Arial"/>
              </w:rPr>
            </w:pPr>
            <w:r w:rsidRPr="00E70409">
              <w:rPr>
                <w:rFonts w:ascii="Arial" w:hAnsi="Arial" w:cs="Arial"/>
              </w:rPr>
              <w:t>Impacts water supply, roads, hospitals</w:t>
            </w:r>
          </w:p>
        </w:tc>
        <w:tc>
          <w:tcPr>
            <w:tcW w:w="0" w:type="auto"/>
            <w:hideMark/>
          </w:tcPr>
          <w:p w14:paraId="712C2020" w14:textId="77777777" w:rsidR="00ED20E9" w:rsidRPr="00E70409" w:rsidRDefault="00ED20E9" w:rsidP="00ED20E9">
            <w:pPr>
              <w:spacing w:after="160" w:line="276" w:lineRule="auto"/>
              <w:jc w:val="both"/>
              <w:rPr>
                <w:rFonts w:ascii="Arial" w:hAnsi="Arial" w:cs="Arial"/>
              </w:rPr>
            </w:pPr>
            <w:r w:rsidRPr="00E70409">
              <w:rPr>
                <w:rFonts w:ascii="Arial" w:hAnsi="Arial" w:cs="Arial"/>
              </w:rPr>
              <w:t>MORUWASA records (2023)</w:t>
            </w:r>
          </w:p>
        </w:tc>
        <w:tc>
          <w:tcPr>
            <w:tcW w:w="0" w:type="auto"/>
            <w:hideMark/>
          </w:tcPr>
          <w:p w14:paraId="44D95A4B" w14:textId="77777777" w:rsidR="00ED20E9" w:rsidRPr="00E70409" w:rsidRDefault="00ED20E9" w:rsidP="00ED20E9">
            <w:pPr>
              <w:spacing w:after="160" w:line="276" w:lineRule="auto"/>
              <w:jc w:val="both"/>
              <w:rPr>
                <w:rFonts w:ascii="Arial" w:hAnsi="Arial" w:cs="Arial"/>
              </w:rPr>
            </w:pPr>
            <w:r w:rsidRPr="00E70409">
              <w:rPr>
                <w:rFonts w:ascii="Arial" w:hAnsi="Arial" w:cs="Arial"/>
              </w:rPr>
              <w:t>Primary water source for Morogoro city</w:t>
            </w:r>
          </w:p>
        </w:tc>
      </w:tr>
      <w:tr w:rsidR="00ED20E9" w:rsidRPr="00E70409" w14:paraId="493D6EB6" w14:textId="77777777" w:rsidTr="00ED20E9">
        <w:tc>
          <w:tcPr>
            <w:tcW w:w="0" w:type="auto"/>
            <w:hideMark/>
          </w:tcPr>
          <w:p w14:paraId="33F7CFC9" w14:textId="77777777" w:rsidR="00ED20E9" w:rsidRPr="00E70409" w:rsidRDefault="00ED20E9" w:rsidP="00ED20E9">
            <w:pPr>
              <w:spacing w:after="160" w:line="276" w:lineRule="auto"/>
              <w:jc w:val="both"/>
              <w:rPr>
                <w:rFonts w:ascii="Arial" w:hAnsi="Arial" w:cs="Arial"/>
              </w:rPr>
            </w:pPr>
            <w:r w:rsidRPr="00E70409">
              <w:rPr>
                <w:rFonts w:ascii="Arial" w:hAnsi="Arial" w:cs="Arial"/>
              </w:rPr>
              <w:t>Structural condition</w:t>
            </w:r>
          </w:p>
        </w:tc>
        <w:tc>
          <w:tcPr>
            <w:tcW w:w="0" w:type="auto"/>
            <w:hideMark/>
          </w:tcPr>
          <w:p w14:paraId="44EB112F" w14:textId="77777777" w:rsidR="00ED20E9" w:rsidRPr="00E70409" w:rsidRDefault="00ED20E9" w:rsidP="00ED20E9">
            <w:pPr>
              <w:spacing w:after="160" w:line="276" w:lineRule="auto"/>
              <w:jc w:val="both"/>
              <w:rPr>
                <w:rFonts w:ascii="Arial" w:hAnsi="Arial" w:cs="Arial"/>
              </w:rPr>
            </w:pPr>
            <w:r w:rsidRPr="00E70409">
              <w:rPr>
                <w:rFonts w:ascii="Arial" w:hAnsi="Arial" w:cs="Arial"/>
              </w:rPr>
              <w:t>Severe deficiencies (ICOLD, 2005)</w:t>
            </w:r>
          </w:p>
        </w:tc>
        <w:tc>
          <w:tcPr>
            <w:tcW w:w="0" w:type="auto"/>
            <w:hideMark/>
          </w:tcPr>
          <w:p w14:paraId="08FF16A3" w14:textId="77777777" w:rsidR="00ED20E9" w:rsidRPr="00E70409" w:rsidRDefault="00ED20E9" w:rsidP="00ED20E9">
            <w:pPr>
              <w:spacing w:after="160" w:line="276" w:lineRule="auto"/>
              <w:rPr>
                <w:rFonts w:ascii="Arial" w:hAnsi="Arial" w:cs="Arial"/>
              </w:rPr>
            </w:pPr>
            <w:r w:rsidRPr="00E70409">
              <w:rPr>
                <w:rFonts w:ascii="Arial" w:hAnsi="Arial" w:cs="Arial"/>
              </w:rPr>
              <w:t>Field inspections (2023);</w:t>
            </w:r>
          </w:p>
        </w:tc>
        <w:tc>
          <w:tcPr>
            <w:tcW w:w="0" w:type="auto"/>
            <w:hideMark/>
          </w:tcPr>
          <w:p w14:paraId="3D142788" w14:textId="77777777" w:rsidR="00ED20E9" w:rsidRPr="00E70409" w:rsidRDefault="00ED20E9" w:rsidP="00ED20E9">
            <w:pPr>
              <w:spacing w:after="160" w:line="276" w:lineRule="auto"/>
              <w:jc w:val="both"/>
              <w:rPr>
                <w:rFonts w:ascii="Arial" w:hAnsi="Arial" w:cs="Arial"/>
              </w:rPr>
            </w:pPr>
            <w:r w:rsidRPr="00E70409">
              <w:rPr>
                <w:rFonts w:ascii="Arial" w:hAnsi="Arial" w:cs="Arial"/>
              </w:rPr>
              <w:t>Outlet corrosion (100%); spillway deficit</w:t>
            </w:r>
          </w:p>
        </w:tc>
      </w:tr>
      <w:tr w:rsidR="00ED20E9" w:rsidRPr="00E70409" w14:paraId="353F69C2" w14:textId="77777777" w:rsidTr="00ED20E9">
        <w:tc>
          <w:tcPr>
            <w:tcW w:w="0" w:type="auto"/>
            <w:hideMark/>
          </w:tcPr>
          <w:p w14:paraId="54CD21F2" w14:textId="77777777" w:rsidR="00ED20E9" w:rsidRPr="00E70409" w:rsidRDefault="00ED20E9" w:rsidP="00ED20E9">
            <w:pPr>
              <w:spacing w:after="160" w:line="276" w:lineRule="auto"/>
              <w:jc w:val="both"/>
              <w:rPr>
                <w:rFonts w:ascii="Arial" w:hAnsi="Arial" w:cs="Arial"/>
              </w:rPr>
            </w:pPr>
            <w:r w:rsidRPr="00E70409">
              <w:rPr>
                <w:rFonts w:ascii="Arial" w:hAnsi="Arial" w:cs="Arial"/>
              </w:rPr>
              <w:t>Environmental sensitivity</w:t>
            </w:r>
          </w:p>
        </w:tc>
        <w:tc>
          <w:tcPr>
            <w:tcW w:w="0" w:type="auto"/>
            <w:hideMark/>
          </w:tcPr>
          <w:p w14:paraId="5C9C14FB" w14:textId="77777777" w:rsidR="00ED20E9" w:rsidRPr="00E70409" w:rsidRDefault="00ED20E9" w:rsidP="00ED20E9">
            <w:pPr>
              <w:spacing w:after="160" w:line="276" w:lineRule="auto"/>
              <w:jc w:val="both"/>
              <w:rPr>
                <w:rFonts w:ascii="Arial" w:hAnsi="Arial" w:cs="Arial"/>
              </w:rPr>
            </w:pPr>
            <w:r w:rsidRPr="00E70409">
              <w:rPr>
                <w:rFonts w:ascii="Arial" w:hAnsi="Arial" w:cs="Arial"/>
              </w:rPr>
              <w:t>Threat to protected ecosystems</w:t>
            </w:r>
          </w:p>
        </w:tc>
        <w:tc>
          <w:tcPr>
            <w:tcW w:w="0" w:type="auto"/>
            <w:hideMark/>
          </w:tcPr>
          <w:p w14:paraId="6ADDD9BE" w14:textId="77777777" w:rsidR="00ED20E9" w:rsidRPr="00E70409" w:rsidRDefault="00ED20E9" w:rsidP="00ED20E9">
            <w:pPr>
              <w:spacing w:after="160" w:line="276" w:lineRule="auto"/>
              <w:jc w:val="both"/>
              <w:rPr>
                <w:rFonts w:ascii="Arial" w:hAnsi="Arial" w:cs="Arial"/>
              </w:rPr>
            </w:pPr>
            <w:r w:rsidRPr="00E70409">
              <w:rPr>
                <w:rFonts w:ascii="Arial" w:hAnsi="Arial" w:cs="Arial"/>
              </w:rPr>
              <w:t>Tanzania NEMC (2015)</w:t>
            </w:r>
          </w:p>
        </w:tc>
        <w:tc>
          <w:tcPr>
            <w:tcW w:w="0" w:type="auto"/>
            <w:hideMark/>
          </w:tcPr>
          <w:p w14:paraId="5BF731D4" w14:textId="77777777" w:rsidR="00ED20E9" w:rsidRPr="00E70409" w:rsidRDefault="00ED20E9" w:rsidP="00ED20E9">
            <w:pPr>
              <w:spacing w:after="160" w:line="276" w:lineRule="auto"/>
              <w:jc w:val="both"/>
              <w:rPr>
                <w:rFonts w:ascii="Arial" w:hAnsi="Arial" w:cs="Arial"/>
              </w:rPr>
            </w:pPr>
            <w:r w:rsidRPr="00E70409">
              <w:rPr>
                <w:rFonts w:ascii="Arial" w:hAnsi="Arial" w:cs="Arial"/>
              </w:rPr>
              <w:t>Adjacent to Uluguru Mountains biodiversity hotspot</w:t>
            </w:r>
          </w:p>
        </w:tc>
      </w:tr>
    </w:tbl>
    <w:p w14:paraId="2D19C4CB" w14:textId="77777777" w:rsidR="003941BF" w:rsidRDefault="003941BF" w:rsidP="00ED20E9">
      <w:pPr>
        <w:spacing w:after="160" w:line="276" w:lineRule="auto"/>
        <w:contextualSpacing/>
        <w:jc w:val="both"/>
        <w:rPr>
          <w:rFonts w:ascii="Arial" w:eastAsia="Calibri" w:hAnsi="Arial" w:cs="Arial"/>
          <w:b/>
          <w:iCs/>
          <w:kern w:val="2"/>
          <w:lang w:val="en-GB"/>
          <w14:ligatures w14:val="standardContextual"/>
        </w:rPr>
      </w:pPr>
      <w:r>
        <w:rPr>
          <w:rFonts w:ascii="Arial" w:eastAsia="Calibri" w:hAnsi="Arial" w:cs="Arial"/>
          <w:b/>
          <w:iCs/>
          <w:kern w:val="2"/>
          <w:lang w:val="en-GB"/>
          <w14:ligatures w14:val="standardContextual"/>
        </w:rPr>
        <w:lastRenderedPageBreak/>
        <w:t>3.3.</w:t>
      </w:r>
      <w:r w:rsidRPr="00D62A3B">
        <w:rPr>
          <w:rFonts w:ascii="Arial" w:eastAsia="Calibri" w:hAnsi="Arial" w:cs="Arial"/>
          <w:b/>
          <w:iCs/>
          <w:kern w:val="2"/>
          <w:lang w:val="en-GB"/>
          <w14:ligatures w14:val="standardContextual"/>
        </w:rPr>
        <w:t xml:space="preserve"> The Variables Influencing Mindu Dam Safety Issues</w:t>
      </w:r>
    </w:p>
    <w:p w14:paraId="509F765D" w14:textId="77777777" w:rsidR="003941BF" w:rsidRPr="00D62A3B" w:rsidRDefault="003941BF" w:rsidP="003941BF">
      <w:pPr>
        <w:spacing w:after="160" w:line="276" w:lineRule="auto"/>
        <w:ind w:left="360"/>
        <w:contextualSpacing/>
        <w:jc w:val="both"/>
        <w:rPr>
          <w:rFonts w:ascii="Arial" w:eastAsia="Calibri" w:hAnsi="Arial" w:cs="Arial"/>
          <w:b/>
          <w:iCs/>
          <w:kern w:val="2"/>
          <w:lang w:val="en-GB"/>
          <w14:ligatures w14:val="standardContextual"/>
        </w:rPr>
      </w:pPr>
    </w:p>
    <w:p w14:paraId="7D287C4E" w14:textId="77777777" w:rsidR="00ED20E9" w:rsidRPr="00D62A3B" w:rsidRDefault="00ED20E9" w:rsidP="00ED20E9">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Given the Natural factors i.e. flooding, erosion, structural</w:t>
      </w:r>
      <w:r>
        <w:rPr>
          <w:rFonts w:ascii="Arial" w:eastAsia="Calibri" w:hAnsi="Arial" w:cs="Arial"/>
          <w:kern w:val="2"/>
          <w:lang w:val="en-GB"/>
          <w14:ligatures w14:val="standardContextual"/>
        </w:rPr>
        <w:t xml:space="preserve"> deterioration</w:t>
      </w:r>
      <w:r w:rsidRPr="00D62A3B">
        <w:rPr>
          <w:rFonts w:ascii="Arial" w:eastAsia="Calibri" w:hAnsi="Arial" w:cs="Arial"/>
          <w:kern w:val="2"/>
          <w:lang w:val="en-GB"/>
          <w14:ligatures w14:val="standardContextual"/>
        </w:rPr>
        <w:t xml:space="preserve"> i.e. Spillway capacity and other human factors such as vandalism associated with dam safety this study explores the factors contributing to the identification of safety issues with dams in Morogoro. According to feedback from and household interviews of various stakeholders, a significant number of dam failures occur during extreme weather events, notably floods and heavy rainfall, often coinciding with each other refer to Table 4. The majority of respondents expressed the belief that floods and heavy rains were prominent contributors to dam failures. Additionally, landslides were identified as another factor leading to dam failures, particularly in areas with mountainous terrain, such as the Uluguru Mountains. The age of dams was highlighted as a crucial determinant of their stability, with dams constructed over 40 years ago being more susceptible to failures. These insights were gleaned from both the questionnaires and interviews conducted as part of the study. The compromised safety resulted from inadequate design and construction, posing a threat to the inherent safety of these dams.</w:t>
      </w:r>
    </w:p>
    <w:p w14:paraId="1535B187" w14:textId="77777777" w:rsidR="00ED20E9" w:rsidRPr="00D62A3B" w:rsidRDefault="00ED20E9" w:rsidP="00ED20E9">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Stakeholders have conveyed the viewpoint that the main reason behind the present inadequate level of dam safety and instances of dam failures predominantly stems from subjective (human) factors. These key stakeholders emphasize that human factors are deemed as equally, if not more, significant than natural disasters and the age of dams in the context of ensuring dam safety (refer to Table 5).</w:t>
      </w:r>
    </w:p>
    <w:p w14:paraId="47E83ED1" w14:textId="77777777" w:rsidR="00ED20E9" w:rsidRPr="00D62A3B" w:rsidRDefault="00ED20E9" w:rsidP="00ED20E9">
      <w:pPr>
        <w:spacing w:line="276" w:lineRule="auto"/>
        <w:rPr>
          <w:rFonts w:ascii="Arial" w:eastAsia="Calibri" w:hAnsi="Arial" w:cs="Arial"/>
          <w:kern w:val="2"/>
          <w14:ligatures w14:val="standardContextual"/>
        </w:rPr>
      </w:pPr>
      <w:r w:rsidRPr="00D62A3B">
        <w:rPr>
          <w:rFonts w:ascii="Arial" w:eastAsia="Calibri" w:hAnsi="Arial" w:cs="Arial"/>
          <w:kern w:val="2"/>
          <w:lang w:val="en-GB"/>
          <w14:ligatures w14:val="standardContextual"/>
        </w:rPr>
        <w:t xml:space="preserve">The frequently cited factor contributing to dam safety issues is the lack of a risk-based assessment for dam safety. </w:t>
      </w:r>
    </w:p>
    <w:p w14:paraId="0D2DBF5F" w14:textId="77777777" w:rsidR="003941BF" w:rsidRPr="00D62A3B" w:rsidRDefault="003941BF" w:rsidP="003941BF">
      <w:pPr>
        <w:spacing w:line="276" w:lineRule="auto"/>
        <w:jc w:val="both"/>
        <w:rPr>
          <w:rFonts w:ascii="Arial" w:eastAsia="Calibri" w:hAnsi="Arial" w:cs="Arial"/>
          <w:kern w:val="2"/>
          <w14:ligatures w14:val="standardContextual"/>
        </w:rPr>
      </w:pPr>
    </w:p>
    <w:p w14:paraId="44A46891" w14:textId="77777777" w:rsidR="00ED20E9" w:rsidRDefault="00ED20E9"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Table </w:t>
      </w:r>
      <w:r>
        <w:rPr>
          <w:rFonts w:ascii="Arial" w:eastAsia="Calibri" w:hAnsi="Arial" w:cs="Arial"/>
          <w:kern w:val="2"/>
          <w:lang w:val="en-GB"/>
          <w14:ligatures w14:val="standardContextual"/>
        </w:rPr>
        <w:fldChar w:fldCharType="begin"/>
      </w:r>
      <w:r>
        <w:rPr>
          <w:rFonts w:ascii="Arial" w:eastAsia="Calibri" w:hAnsi="Arial" w:cs="Arial"/>
          <w:kern w:val="2"/>
          <w:lang w:val="en-GB"/>
          <w14:ligatures w14:val="standardContextual"/>
        </w:rPr>
        <w:instrText xml:space="preserve"> SEQ Table \* ARABIC </w:instrText>
      </w:r>
      <w:r>
        <w:rPr>
          <w:rFonts w:ascii="Arial" w:eastAsia="Calibri" w:hAnsi="Arial" w:cs="Arial"/>
          <w:kern w:val="2"/>
          <w:lang w:val="en-GB"/>
          <w14:ligatures w14:val="standardContextual"/>
        </w:rPr>
        <w:fldChar w:fldCharType="separate"/>
      </w:r>
      <w:r>
        <w:rPr>
          <w:rFonts w:ascii="Arial" w:eastAsia="Calibri" w:hAnsi="Arial" w:cs="Arial"/>
          <w:noProof/>
          <w:kern w:val="2"/>
          <w:lang w:val="en-GB"/>
          <w14:ligatures w14:val="standardContextual"/>
        </w:rPr>
        <w:t>5</w:t>
      </w:r>
      <w:r>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Common problems facing the Mindu dam in Morogoro.</w:t>
      </w:r>
    </w:p>
    <w:p w14:paraId="195E34E6" w14:textId="77777777" w:rsidR="00ED20E9" w:rsidRPr="00D62A3B" w:rsidRDefault="00ED20E9" w:rsidP="00ED20E9">
      <w:pPr>
        <w:spacing w:line="276" w:lineRule="auto"/>
        <w:jc w:val="both"/>
        <w:rPr>
          <w:rFonts w:ascii="Arial" w:eastAsia="Calibri" w:hAnsi="Arial" w:cs="Arial"/>
          <w:kern w:val="2"/>
          <w:lang w:val="en-GB"/>
          <w14:ligatures w14:val="standardContextual"/>
        </w:rPr>
      </w:pPr>
    </w:p>
    <w:tbl>
      <w:tblPr>
        <w:tblStyle w:val="TableGrid"/>
        <w:tblW w:w="0" w:type="auto"/>
        <w:tblLook w:val="04A0" w:firstRow="1" w:lastRow="0" w:firstColumn="1" w:lastColumn="0" w:noHBand="0" w:noVBand="1"/>
      </w:tblPr>
      <w:tblGrid>
        <w:gridCol w:w="2874"/>
        <w:gridCol w:w="1638"/>
        <w:gridCol w:w="2603"/>
        <w:gridCol w:w="2235"/>
      </w:tblGrid>
      <w:tr w:rsidR="00ED20E9" w:rsidRPr="00DE0D93" w14:paraId="4D9FD704" w14:textId="77777777" w:rsidTr="00ED20E9">
        <w:tc>
          <w:tcPr>
            <w:tcW w:w="2874" w:type="dxa"/>
          </w:tcPr>
          <w:p w14:paraId="724C63C8" w14:textId="77777777" w:rsidR="00ED20E9" w:rsidRPr="00DE0D93" w:rsidRDefault="00ED20E9" w:rsidP="00ED20E9">
            <w:pPr>
              <w:spacing w:line="276" w:lineRule="auto"/>
              <w:jc w:val="both"/>
              <w:rPr>
                <w:rFonts w:ascii="Arial" w:hAnsi="Arial" w:cs="Arial"/>
                <w:b/>
                <w:kern w:val="2"/>
                <w:lang w:val="en-GB"/>
                <w14:ligatures w14:val="standardContextual"/>
              </w:rPr>
            </w:pPr>
            <w:r w:rsidRPr="00DE0D93">
              <w:rPr>
                <w:rFonts w:ascii="Arial" w:hAnsi="Arial" w:cs="Arial"/>
                <w:b/>
                <w:kern w:val="2"/>
                <w:lang w:val="en-GB"/>
                <w14:ligatures w14:val="standardContextual"/>
              </w:rPr>
              <w:t>Frequency(Key Participants)</w:t>
            </w:r>
          </w:p>
        </w:tc>
        <w:tc>
          <w:tcPr>
            <w:tcW w:w="1638" w:type="dxa"/>
          </w:tcPr>
          <w:p w14:paraId="779CD914" w14:textId="77777777" w:rsidR="00ED20E9" w:rsidRPr="00DE0D93" w:rsidRDefault="00ED20E9" w:rsidP="00ED20E9">
            <w:pPr>
              <w:spacing w:line="276" w:lineRule="auto"/>
              <w:jc w:val="both"/>
              <w:rPr>
                <w:rFonts w:ascii="Arial" w:hAnsi="Arial" w:cs="Arial"/>
                <w:b/>
                <w:kern w:val="2"/>
                <w:lang w:val="en-GB"/>
                <w14:ligatures w14:val="standardContextual"/>
              </w:rPr>
            </w:pPr>
            <w:r w:rsidRPr="00DE0D93">
              <w:rPr>
                <w:rFonts w:ascii="Arial" w:hAnsi="Arial" w:cs="Arial"/>
                <w:b/>
                <w:kern w:val="2"/>
                <w:lang w:val="en-GB"/>
                <w14:ligatures w14:val="standardContextual"/>
              </w:rPr>
              <w:t>Percentile (%)</w:t>
            </w:r>
          </w:p>
        </w:tc>
        <w:tc>
          <w:tcPr>
            <w:tcW w:w="2603" w:type="dxa"/>
          </w:tcPr>
          <w:p w14:paraId="5740C3FC" w14:textId="77777777" w:rsidR="00ED20E9" w:rsidRPr="00DE0D93" w:rsidRDefault="00ED20E9" w:rsidP="00ED20E9">
            <w:pPr>
              <w:spacing w:line="276" w:lineRule="auto"/>
              <w:jc w:val="both"/>
              <w:rPr>
                <w:rFonts w:ascii="Arial" w:hAnsi="Arial" w:cs="Arial"/>
                <w:b/>
                <w:kern w:val="2"/>
                <w:lang w:val="en-GB"/>
                <w14:ligatures w14:val="standardContextual"/>
              </w:rPr>
            </w:pPr>
            <w:r w:rsidRPr="00DE0D93">
              <w:rPr>
                <w:rFonts w:ascii="Arial" w:hAnsi="Arial" w:cs="Arial"/>
                <w:b/>
                <w:kern w:val="2"/>
                <w:lang w:val="en-GB"/>
                <w14:ligatures w14:val="standardContextual"/>
              </w:rPr>
              <w:t>Principal issues relating to dam safety</w:t>
            </w:r>
          </w:p>
        </w:tc>
        <w:tc>
          <w:tcPr>
            <w:tcW w:w="2235" w:type="dxa"/>
          </w:tcPr>
          <w:p w14:paraId="6AAB6DCA" w14:textId="77777777" w:rsidR="00ED20E9" w:rsidRPr="00DE0D93" w:rsidRDefault="00ED20E9" w:rsidP="00ED20E9">
            <w:pPr>
              <w:spacing w:line="276" w:lineRule="auto"/>
              <w:jc w:val="both"/>
              <w:rPr>
                <w:rFonts w:ascii="Arial" w:hAnsi="Arial" w:cs="Arial"/>
                <w:b/>
                <w:kern w:val="2"/>
                <w:lang w:val="en-GB"/>
                <w14:ligatures w14:val="standardContextual"/>
              </w:rPr>
            </w:pPr>
            <w:r w:rsidRPr="00DE0D93">
              <w:rPr>
                <w:rFonts w:ascii="Arial" w:hAnsi="Arial" w:cs="Arial"/>
                <w:b/>
                <w:bCs/>
                <w:kern w:val="2"/>
                <w14:ligatures w14:val="standardContextual"/>
              </w:rPr>
              <w:t>Source/Standard</w:t>
            </w:r>
          </w:p>
        </w:tc>
      </w:tr>
      <w:tr w:rsidR="00ED20E9" w:rsidRPr="00DE0D93" w14:paraId="716EC878" w14:textId="77777777" w:rsidTr="00ED20E9">
        <w:tc>
          <w:tcPr>
            <w:tcW w:w="2874" w:type="dxa"/>
          </w:tcPr>
          <w:p w14:paraId="08089F3B"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25</w:t>
            </w:r>
          </w:p>
        </w:tc>
        <w:tc>
          <w:tcPr>
            <w:tcW w:w="1638" w:type="dxa"/>
          </w:tcPr>
          <w:p w14:paraId="4DD147B1"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color w:val="000000"/>
              </w:rPr>
              <w:t>83.3</w:t>
            </w:r>
          </w:p>
        </w:tc>
        <w:tc>
          <w:tcPr>
            <w:tcW w:w="2603" w:type="dxa"/>
          </w:tcPr>
          <w:p w14:paraId="70B8200C"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Significant erosion is evident on both the upstream and downstream faces.</w:t>
            </w:r>
          </w:p>
        </w:tc>
        <w:tc>
          <w:tcPr>
            <w:tcW w:w="2235" w:type="dxa"/>
          </w:tcPr>
          <w:p w14:paraId="62B268E3"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Field survey and  Local interviews, (2023);</w:t>
            </w:r>
          </w:p>
        </w:tc>
      </w:tr>
      <w:tr w:rsidR="00ED20E9" w:rsidRPr="00DE0D93" w14:paraId="76B100F4" w14:textId="77777777" w:rsidTr="00ED20E9">
        <w:tc>
          <w:tcPr>
            <w:tcW w:w="2874" w:type="dxa"/>
          </w:tcPr>
          <w:p w14:paraId="420D9509"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26</w:t>
            </w:r>
          </w:p>
        </w:tc>
        <w:tc>
          <w:tcPr>
            <w:tcW w:w="1638" w:type="dxa"/>
          </w:tcPr>
          <w:p w14:paraId="1E1B5469"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color w:val="000000"/>
              </w:rPr>
              <w:t>86.7</w:t>
            </w:r>
          </w:p>
        </w:tc>
        <w:tc>
          <w:tcPr>
            <w:tcW w:w="2603" w:type="dxa"/>
          </w:tcPr>
          <w:p w14:paraId="19820754"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The top has been affected by traffic, resulting in an uneven summit with depressions.</w:t>
            </w:r>
          </w:p>
        </w:tc>
        <w:tc>
          <w:tcPr>
            <w:tcW w:w="2235" w:type="dxa"/>
          </w:tcPr>
          <w:p w14:paraId="2C5FEA6C"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ICOLD (2005); Field inspection (2023)</w:t>
            </w:r>
          </w:p>
        </w:tc>
      </w:tr>
      <w:tr w:rsidR="00ED20E9" w:rsidRPr="00DE0D93" w14:paraId="60F49B51" w14:textId="77777777" w:rsidTr="00ED20E9">
        <w:tc>
          <w:tcPr>
            <w:tcW w:w="2874" w:type="dxa"/>
          </w:tcPr>
          <w:p w14:paraId="7F7E9B08"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30</w:t>
            </w:r>
          </w:p>
        </w:tc>
        <w:tc>
          <w:tcPr>
            <w:tcW w:w="1638" w:type="dxa"/>
          </w:tcPr>
          <w:p w14:paraId="370E6EA1"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color w:val="000000"/>
              </w:rPr>
              <w:t>100</w:t>
            </w:r>
          </w:p>
        </w:tc>
        <w:tc>
          <w:tcPr>
            <w:tcW w:w="2603" w:type="dxa"/>
          </w:tcPr>
          <w:p w14:paraId="3FB6DF8B"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The outlet is aged, damaged, and cracked.</w:t>
            </w:r>
          </w:p>
        </w:tc>
        <w:tc>
          <w:tcPr>
            <w:tcW w:w="2235" w:type="dxa"/>
          </w:tcPr>
          <w:p w14:paraId="65AAB528"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inspection (2023)</w:t>
            </w:r>
          </w:p>
        </w:tc>
      </w:tr>
      <w:tr w:rsidR="00ED20E9" w:rsidRPr="00DE0D93" w14:paraId="78648185" w14:textId="77777777" w:rsidTr="00ED20E9">
        <w:tc>
          <w:tcPr>
            <w:tcW w:w="2874" w:type="dxa"/>
          </w:tcPr>
          <w:p w14:paraId="22F75FD3"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18</w:t>
            </w:r>
          </w:p>
        </w:tc>
        <w:tc>
          <w:tcPr>
            <w:tcW w:w="1638" w:type="dxa"/>
          </w:tcPr>
          <w:p w14:paraId="0723DCA0"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color w:val="000000"/>
              </w:rPr>
              <w:t>60</w:t>
            </w:r>
          </w:p>
        </w:tc>
        <w:tc>
          <w:tcPr>
            <w:tcW w:w="2603" w:type="dxa"/>
          </w:tcPr>
          <w:p w14:paraId="05D397BB"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 xml:space="preserve">Landslide occurrences in downstream </w:t>
            </w:r>
          </w:p>
        </w:tc>
        <w:tc>
          <w:tcPr>
            <w:tcW w:w="2235" w:type="dxa"/>
          </w:tcPr>
          <w:p w14:paraId="21709DDA"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World Bank (2010)</w:t>
            </w:r>
          </w:p>
        </w:tc>
      </w:tr>
      <w:tr w:rsidR="00ED20E9" w:rsidRPr="00DE0D93" w14:paraId="4676BA2A" w14:textId="77777777" w:rsidTr="00ED20E9">
        <w:tc>
          <w:tcPr>
            <w:tcW w:w="2874" w:type="dxa"/>
          </w:tcPr>
          <w:p w14:paraId="42C9B68A"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30</w:t>
            </w:r>
          </w:p>
        </w:tc>
        <w:tc>
          <w:tcPr>
            <w:tcW w:w="1638" w:type="dxa"/>
          </w:tcPr>
          <w:p w14:paraId="4F6CA346"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color w:val="000000"/>
              </w:rPr>
              <w:t>100</w:t>
            </w:r>
          </w:p>
        </w:tc>
        <w:tc>
          <w:tcPr>
            <w:tcW w:w="2603" w:type="dxa"/>
          </w:tcPr>
          <w:p w14:paraId="15C097CA"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Vegetation on both the upstream and downstream sides of the dam.</w:t>
            </w:r>
          </w:p>
        </w:tc>
        <w:tc>
          <w:tcPr>
            <w:tcW w:w="2235" w:type="dxa"/>
          </w:tcPr>
          <w:p w14:paraId="188BCE51"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Tanzania NEMC (2015); Field survey (2023)</w:t>
            </w:r>
          </w:p>
        </w:tc>
      </w:tr>
      <w:tr w:rsidR="00ED20E9" w:rsidRPr="00DE0D93" w14:paraId="7AE9ED4C" w14:textId="77777777" w:rsidTr="00ED20E9">
        <w:tc>
          <w:tcPr>
            <w:tcW w:w="2874" w:type="dxa"/>
          </w:tcPr>
          <w:p w14:paraId="53D0B4B3"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30</w:t>
            </w:r>
          </w:p>
        </w:tc>
        <w:tc>
          <w:tcPr>
            <w:tcW w:w="1638" w:type="dxa"/>
          </w:tcPr>
          <w:p w14:paraId="08B10FE5"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color w:val="000000"/>
              </w:rPr>
              <w:t>100</w:t>
            </w:r>
          </w:p>
        </w:tc>
        <w:tc>
          <w:tcPr>
            <w:tcW w:w="2603" w:type="dxa"/>
          </w:tcPr>
          <w:p w14:paraId="0BBB8801"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lang w:val="en-GB"/>
                <w14:ligatures w14:val="standardContextual"/>
              </w:rPr>
              <w:t>The spillway is obstructed and insufficiently sized.</w:t>
            </w:r>
          </w:p>
        </w:tc>
        <w:tc>
          <w:tcPr>
            <w:tcW w:w="2235" w:type="dxa"/>
          </w:tcPr>
          <w:p w14:paraId="345D509A" w14:textId="77777777" w:rsidR="00ED20E9" w:rsidRPr="00DE0D93" w:rsidRDefault="00ED20E9" w:rsidP="00ED20E9">
            <w:pPr>
              <w:spacing w:line="276" w:lineRule="auto"/>
              <w:jc w:val="both"/>
              <w:rPr>
                <w:rFonts w:ascii="Arial" w:hAnsi="Arial" w:cs="Arial"/>
                <w:kern w:val="2"/>
                <w:lang w:val="en-GB"/>
                <w14:ligatures w14:val="standardContextual"/>
              </w:rPr>
            </w:pPr>
            <w:r w:rsidRPr="00DE0D93">
              <w:rPr>
                <w:rFonts w:ascii="Arial" w:hAnsi="Arial" w:cs="Arial"/>
                <w:kern w:val="2"/>
                <w14:ligatures w14:val="standardContextual"/>
              </w:rPr>
              <w:t>FEMA (2013); World Bank (2010)</w:t>
            </w:r>
          </w:p>
        </w:tc>
      </w:tr>
    </w:tbl>
    <w:p w14:paraId="7B417624" w14:textId="77777777" w:rsidR="00ED20E9" w:rsidRDefault="00ED20E9"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b/>
          <w:bCs/>
          <w:kern w:val="2"/>
          <w:lang w:val="en-GB"/>
          <w14:ligatures w14:val="standardContextual"/>
        </w:rPr>
        <w:t>N.B:</w:t>
      </w:r>
      <w:r w:rsidRPr="00D62A3B">
        <w:rPr>
          <w:rFonts w:ascii="Arial" w:eastAsia="Calibri" w:hAnsi="Arial" w:cs="Arial"/>
          <w:kern w:val="2"/>
          <w:lang w:val="en-GB"/>
          <w14:ligatures w14:val="standardContextual"/>
        </w:rPr>
        <w:t xml:space="preserve"> Due to the proximity of numerous residences downstream and adjacent to the dam, the dam carries a significant risk rating.</w:t>
      </w:r>
    </w:p>
    <w:p w14:paraId="05ACC990" w14:textId="77777777" w:rsidR="003941BF" w:rsidRDefault="003941BF" w:rsidP="003941BF">
      <w:pPr>
        <w:spacing w:line="276" w:lineRule="auto"/>
        <w:jc w:val="both"/>
        <w:rPr>
          <w:rFonts w:ascii="Arial" w:eastAsia="Calibri" w:hAnsi="Arial" w:cs="Arial"/>
          <w:b/>
          <w:bCs/>
          <w:kern w:val="2"/>
          <w:lang w:val="en-GB"/>
          <w14:ligatures w14:val="standardContextual"/>
        </w:rPr>
      </w:pPr>
    </w:p>
    <w:p w14:paraId="0F726990" w14:textId="7FACEE95" w:rsidR="00ED20E9" w:rsidRDefault="00ED20E9" w:rsidP="00ED20E9">
      <w:pPr>
        <w:spacing w:line="276" w:lineRule="auto"/>
        <w:jc w:val="both"/>
        <w:rPr>
          <w:rFonts w:ascii="Arial" w:eastAsia="Calibri" w:hAnsi="Arial" w:cs="Arial"/>
          <w:kern w:val="2"/>
          <w:lang w:val="en-GB"/>
          <w14:ligatures w14:val="standardContextual"/>
        </w:rPr>
      </w:pPr>
      <w:r>
        <w:rPr>
          <w:rFonts w:ascii="Arial" w:eastAsia="Calibri" w:hAnsi="Arial" w:cs="Arial"/>
          <w:noProof/>
          <w:kern w:val="2"/>
        </w:rPr>
        <w:lastRenderedPageBreak/>
        <w:drawing>
          <wp:inline distT="0" distB="0" distL="0" distR="0" wp14:anchorId="4FE7C7FE" wp14:editId="09F03F88">
            <wp:extent cx="5943600" cy="30422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n proble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042285"/>
                    </a:xfrm>
                    <a:prstGeom prst="rect">
                      <a:avLst/>
                    </a:prstGeom>
                  </pic:spPr>
                </pic:pic>
              </a:graphicData>
            </a:graphic>
          </wp:inline>
        </w:drawing>
      </w:r>
    </w:p>
    <w:p w14:paraId="3DFAC0D9" w14:textId="334881EB" w:rsidR="00ED20E9" w:rsidRDefault="00ED20E9" w:rsidP="00ED20E9">
      <w:pPr>
        <w:spacing w:line="276" w:lineRule="auto"/>
        <w:jc w:val="both"/>
        <w:rPr>
          <w:rFonts w:ascii="Arial" w:eastAsia="Calibri" w:hAnsi="Arial" w:cs="Arial"/>
          <w:kern w:val="2"/>
          <w:lang w:val="en-GB"/>
          <w14:ligatures w14:val="standardContextual"/>
        </w:rPr>
      </w:pPr>
      <w:r w:rsidRPr="00973700">
        <w:rPr>
          <w:rFonts w:ascii="Arial" w:eastAsia="Calibri" w:hAnsi="Arial" w:cs="Arial"/>
          <w:kern w:val="2"/>
          <w:lang w:val="en-GB"/>
          <w14:ligatures w14:val="standardContextual"/>
        </w:rPr>
        <w:t xml:space="preserve">Figure </w:t>
      </w:r>
      <w:r w:rsidRPr="00973700">
        <w:rPr>
          <w:rFonts w:ascii="Arial" w:eastAsia="Calibri" w:hAnsi="Arial" w:cs="Arial"/>
          <w:kern w:val="2"/>
          <w:lang w:val="en-GB"/>
          <w14:ligatures w14:val="standardContextual"/>
        </w:rPr>
        <w:fldChar w:fldCharType="begin"/>
      </w:r>
      <w:r w:rsidRPr="00973700">
        <w:rPr>
          <w:rFonts w:ascii="Arial" w:eastAsia="Calibri" w:hAnsi="Arial" w:cs="Arial"/>
          <w:kern w:val="2"/>
          <w:lang w:val="en-GB"/>
          <w14:ligatures w14:val="standardContextual"/>
        </w:rPr>
        <w:instrText xml:space="preserve"> SEQ Figure \* ARABIC </w:instrText>
      </w:r>
      <w:r w:rsidRPr="00973700">
        <w:rPr>
          <w:rFonts w:ascii="Arial" w:eastAsia="Calibri" w:hAnsi="Arial" w:cs="Arial"/>
          <w:kern w:val="2"/>
          <w:lang w:val="en-GB"/>
          <w14:ligatures w14:val="standardContextual"/>
        </w:rPr>
        <w:fldChar w:fldCharType="separate"/>
      </w:r>
      <w:r w:rsidRPr="00973700">
        <w:rPr>
          <w:rFonts w:ascii="Arial" w:eastAsia="Calibri" w:hAnsi="Arial" w:cs="Arial"/>
          <w:kern w:val="2"/>
          <w:lang w:val="en-GB"/>
          <w14:ligatures w14:val="standardContextual"/>
        </w:rPr>
        <w:t>2</w:t>
      </w:r>
      <w:r w:rsidRPr="00973700">
        <w:rPr>
          <w:rFonts w:ascii="Arial" w:eastAsia="Calibri" w:hAnsi="Arial" w:cs="Arial"/>
          <w:kern w:val="2"/>
          <w:lang w:val="en-GB"/>
          <w14:ligatures w14:val="standardContextual"/>
        </w:rPr>
        <w:fldChar w:fldCharType="end"/>
      </w:r>
      <w:r w:rsidRPr="00973700">
        <w:rPr>
          <w:rFonts w:ascii="Arial" w:eastAsia="Calibri" w:hAnsi="Arial" w:cs="Arial"/>
          <w:kern w:val="2"/>
          <w:lang w:val="en-GB"/>
          <w14:ligatures w14:val="standardContextual"/>
        </w:rPr>
        <w:t>.Common problem facing Mindu dam</w:t>
      </w:r>
      <w:r>
        <w:rPr>
          <w:rFonts w:ascii="Arial" w:eastAsia="Calibri" w:hAnsi="Arial" w:cs="Arial"/>
          <w:kern w:val="2"/>
          <w:lang w:val="en-GB"/>
          <w14:ligatures w14:val="standardContextual"/>
        </w:rPr>
        <w:t>.</w:t>
      </w:r>
    </w:p>
    <w:p w14:paraId="2849BEA5" w14:textId="77777777" w:rsidR="00ED20E9" w:rsidRPr="00D62A3B" w:rsidRDefault="00ED20E9" w:rsidP="00ED20E9">
      <w:pPr>
        <w:spacing w:line="276" w:lineRule="auto"/>
        <w:jc w:val="both"/>
        <w:rPr>
          <w:rFonts w:ascii="Arial" w:eastAsia="Calibri" w:hAnsi="Arial" w:cs="Arial"/>
          <w:kern w:val="2"/>
          <w:lang w:val="en-GB"/>
          <w14:ligatures w14:val="standardContextual"/>
        </w:rPr>
      </w:pPr>
    </w:p>
    <w:p w14:paraId="57C51D8C" w14:textId="77777777" w:rsidR="00ED20E9" w:rsidRPr="00B337CE" w:rsidRDefault="00ED20E9" w:rsidP="00ED20E9">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Several common problems facing the Mindu dam were identified from a field survey conducted through this study using 3</w:t>
      </w:r>
      <w:r>
        <w:rPr>
          <w:rFonts w:ascii="Arial" w:eastAsia="Calibri" w:hAnsi="Arial" w:cs="Arial"/>
          <w:kern w:val="2"/>
          <w:lang w:val="en-GB"/>
          <w14:ligatures w14:val="standardContextual"/>
        </w:rPr>
        <w:t>0</w:t>
      </w:r>
      <w:r w:rsidRPr="00D62A3B">
        <w:rPr>
          <w:rFonts w:ascii="Arial" w:eastAsia="Calibri" w:hAnsi="Arial" w:cs="Arial"/>
          <w:kern w:val="2"/>
          <w:lang w:val="en-GB"/>
          <w14:ligatures w14:val="standardContextual"/>
        </w:rPr>
        <w:t xml:space="preserve"> respondents from the field. 100% of all households interviewed agreed that the aging of the outlet of the dam, dense vegetation cover upstream and downstream of the dam and insufficient capacity and damage to the spillway are the leading problems facing the dam. Another leading problem facing Mindu dam is that it was observed with 86.7% agreement from household interviews that the dam top has been affected by human activities such as settlement which is attracted by the passage of trunk road it was also observed that the surrounding area of the dam has a lot of pit holes and depression caused by human activities encroachment. Not only that but also erosion was observed upstream and downstream of the dam and 83.3% percentage of the respondents agreed that this is the problem facing the dam and 60% of the respondents </w:t>
      </w:r>
      <w:r w:rsidRPr="00B337CE">
        <w:rPr>
          <w:rFonts w:ascii="Arial" w:eastAsia="Calibri" w:hAnsi="Arial" w:cs="Arial"/>
          <w:kern w:val="2"/>
          <w:lang w:val="en-GB"/>
          <w14:ligatures w14:val="standardContextual"/>
        </w:rPr>
        <w:t xml:space="preserve">identified that the landside occurrences downstream are another problem facing the dam. </w:t>
      </w:r>
    </w:p>
    <w:p w14:paraId="0BD854CC" w14:textId="664346A9" w:rsidR="003941BF" w:rsidRDefault="003941BF" w:rsidP="001B34AF">
      <w:pPr>
        <w:spacing w:line="276" w:lineRule="auto"/>
        <w:rPr>
          <w:rFonts w:ascii="Arial" w:eastAsia="Calibri" w:hAnsi="Arial" w:cs="Arial"/>
          <w:kern w:val="2"/>
          <w:lang w:val="en-GB"/>
          <w14:ligatures w14:val="standardContextual"/>
        </w:rPr>
      </w:pPr>
    </w:p>
    <w:p w14:paraId="0539C3E5"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141CDAFF" w14:textId="77777777" w:rsidR="003941BF" w:rsidRPr="00D62A3B" w:rsidRDefault="003941BF" w:rsidP="003941BF">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Table </w:t>
      </w:r>
      <w:r w:rsidRPr="00D62A3B">
        <w:rPr>
          <w:rFonts w:ascii="Arial" w:eastAsia="Calibri" w:hAnsi="Arial" w:cs="Arial"/>
          <w:kern w:val="2"/>
          <w:lang w:val="en-GB"/>
          <w14:ligatures w14:val="standardContextual"/>
        </w:rPr>
        <w:fldChar w:fldCharType="begin"/>
      </w:r>
      <w:r w:rsidRPr="00D62A3B">
        <w:rPr>
          <w:rFonts w:ascii="Arial" w:eastAsia="Calibri" w:hAnsi="Arial" w:cs="Arial"/>
          <w:kern w:val="2"/>
          <w:lang w:val="en-GB"/>
          <w14:ligatures w14:val="standardContextual"/>
        </w:rPr>
        <w:instrText xml:space="preserve"> SEQ Table \* ARABIC </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kern w:val="2"/>
          <w:lang w:val="en-GB"/>
          <w14:ligatures w14:val="standardContextual"/>
        </w:rPr>
        <w:t>3</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Expertise Opinions on the Dam Conditions.</w:t>
      </w:r>
    </w:p>
    <w:tbl>
      <w:tblPr>
        <w:tblW w:w="7600" w:type="dxa"/>
        <w:jc w:val="center"/>
        <w:tblLook w:val="04A0" w:firstRow="1" w:lastRow="0" w:firstColumn="1" w:lastColumn="0" w:noHBand="0" w:noVBand="1"/>
      </w:tblPr>
      <w:tblGrid>
        <w:gridCol w:w="960"/>
        <w:gridCol w:w="4100"/>
        <w:gridCol w:w="1240"/>
        <w:gridCol w:w="1300"/>
      </w:tblGrid>
      <w:tr w:rsidR="003941BF" w:rsidRPr="00D62A3B" w14:paraId="5B068C27" w14:textId="77777777" w:rsidTr="00ED20E9">
        <w:trPr>
          <w:trHeight w:val="288"/>
          <w:jc w:val="center"/>
        </w:trPr>
        <w:tc>
          <w:tcPr>
            <w:tcW w:w="960" w:type="dxa"/>
            <w:shd w:val="clear" w:color="auto" w:fill="auto"/>
            <w:noWrap/>
            <w:vAlign w:val="bottom"/>
            <w:hideMark/>
          </w:tcPr>
          <w:p w14:paraId="320A21F5" w14:textId="77777777" w:rsidR="003941BF" w:rsidRPr="00D62A3B" w:rsidRDefault="003941BF" w:rsidP="00ED20E9">
            <w:pPr>
              <w:spacing w:line="276" w:lineRule="auto"/>
              <w:jc w:val="both"/>
              <w:rPr>
                <w:rFonts w:ascii="Arial" w:eastAsia="Calibri" w:hAnsi="Arial" w:cs="Arial"/>
                <w:b/>
                <w:kern w:val="2"/>
                <w:lang w:val="en-GB"/>
                <w14:ligatures w14:val="standardContextual"/>
              </w:rPr>
            </w:pPr>
            <w:r w:rsidRPr="00D62A3B">
              <w:rPr>
                <w:rFonts w:ascii="Arial" w:eastAsia="Calibri" w:hAnsi="Arial" w:cs="Arial"/>
                <w:b/>
                <w:kern w:val="2"/>
                <w:lang w:val="en-GB"/>
                <w14:ligatures w14:val="standardContextual"/>
              </w:rPr>
              <w:t>Sn</w:t>
            </w:r>
          </w:p>
        </w:tc>
        <w:tc>
          <w:tcPr>
            <w:tcW w:w="4100" w:type="dxa"/>
            <w:shd w:val="clear" w:color="auto" w:fill="auto"/>
            <w:noWrap/>
            <w:vAlign w:val="bottom"/>
            <w:hideMark/>
          </w:tcPr>
          <w:p w14:paraId="49C58C1F" w14:textId="77777777" w:rsidR="003941BF" w:rsidRPr="00D62A3B" w:rsidRDefault="003941BF" w:rsidP="00ED20E9">
            <w:pPr>
              <w:spacing w:line="276" w:lineRule="auto"/>
              <w:jc w:val="both"/>
              <w:rPr>
                <w:rFonts w:ascii="Arial" w:eastAsia="Calibri" w:hAnsi="Arial" w:cs="Arial"/>
                <w:b/>
                <w:kern w:val="2"/>
                <w:lang w:val="en-GB"/>
                <w14:ligatures w14:val="standardContextual"/>
              </w:rPr>
            </w:pPr>
            <w:r w:rsidRPr="00D62A3B">
              <w:rPr>
                <w:rFonts w:ascii="Arial" w:eastAsia="Calibri" w:hAnsi="Arial" w:cs="Arial"/>
                <w:b/>
                <w:kern w:val="2"/>
                <w:lang w:val="en-GB"/>
                <w14:ligatures w14:val="standardContextual"/>
              </w:rPr>
              <w:t>Issue</w:t>
            </w:r>
          </w:p>
        </w:tc>
        <w:tc>
          <w:tcPr>
            <w:tcW w:w="1240" w:type="dxa"/>
            <w:shd w:val="clear" w:color="auto" w:fill="auto"/>
            <w:noWrap/>
            <w:vAlign w:val="bottom"/>
            <w:hideMark/>
          </w:tcPr>
          <w:p w14:paraId="3A9D4C1E" w14:textId="77777777" w:rsidR="003941BF" w:rsidRPr="00D62A3B" w:rsidRDefault="003941BF" w:rsidP="00ED20E9">
            <w:pPr>
              <w:spacing w:line="276" w:lineRule="auto"/>
              <w:jc w:val="both"/>
              <w:rPr>
                <w:rFonts w:ascii="Arial" w:eastAsia="Calibri" w:hAnsi="Arial" w:cs="Arial"/>
                <w:b/>
                <w:kern w:val="2"/>
                <w:lang w:val="en-GB"/>
                <w14:ligatures w14:val="standardContextual"/>
              </w:rPr>
            </w:pPr>
            <w:r w:rsidRPr="00D62A3B">
              <w:rPr>
                <w:rFonts w:ascii="Arial" w:eastAsia="Calibri" w:hAnsi="Arial" w:cs="Arial"/>
                <w:b/>
                <w:kern w:val="2"/>
                <w:lang w:val="en-GB"/>
                <w14:ligatures w14:val="standardContextual"/>
              </w:rPr>
              <w:t>No of Expert</w:t>
            </w:r>
          </w:p>
        </w:tc>
        <w:tc>
          <w:tcPr>
            <w:tcW w:w="1300" w:type="dxa"/>
            <w:shd w:val="clear" w:color="auto" w:fill="auto"/>
            <w:noWrap/>
            <w:vAlign w:val="bottom"/>
            <w:hideMark/>
          </w:tcPr>
          <w:p w14:paraId="3F7DDFFC" w14:textId="77777777" w:rsidR="003941BF" w:rsidRPr="00D62A3B" w:rsidRDefault="003941BF" w:rsidP="00ED20E9">
            <w:pPr>
              <w:spacing w:line="276" w:lineRule="auto"/>
              <w:jc w:val="both"/>
              <w:rPr>
                <w:rFonts w:ascii="Arial" w:eastAsia="Calibri" w:hAnsi="Arial" w:cs="Arial"/>
                <w:b/>
                <w:kern w:val="2"/>
                <w:lang w:val="en-GB"/>
                <w14:ligatures w14:val="standardContextual"/>
              </w:rPr>
            </w:pPr>
            <w:r w:rsidRPr="00D62A3B">
              <w:rPr>
                <w:rFonts w:ascii="Arial" w:eastAsia="Calibri" w:hAnsi="Arial" w:cs="Arial"/>
                <w:b/>
                <w:kern w:val="2"/>
                <w:lang w:val="en-GB"/>
                <w14:ligatures w14:val="standardContextual"/>
              </w:rPr>
              <w:t>Percentile (%)</w:t>
            </w:r>
          </w:p>
        </w:tc>
      </w:tr>
      <w:tr w:rsidR="003941BF" w:rsidRPr="00D62A3B" w14:paraId="4ABC53A9" w14:textId="77777777" w:rsidTr="00ED20E9">
        <w:trPr>
          <w:trHeight w:val="288"/>
          <w:jc w:val="center"/>
        </w:trPr>
        <w:tc>
          <w:tcPr>
            <w:tcW w:w="960" w:type="dxa"/>
            <w:shd w:val="clear" w:color="auto" w:fill="auto"/>
            <w:noWrap/>
            <w:vAlign w:val="bottom"/>
            <w:hideMark/>
          </w:tcPr>
          <w:p w14:paraId="253BAA8E"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w:t>
            </w:r>
          </w:p>
        </w:tc>
        <w:tc>
          <w:tcPr>
            <w:tcW w:w="4100" w:type="dxa"/>
            <w:shd w:val="clear" w:color="auto" w:fill="auto"/>
            <w:noWrap/>
            <w:vAlign w:val="bottom"/>
            <w:hideMark/>
          </w:tcPr>
          <w:p w14:paraId="7D0AE31F"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Visible Holes/Cracks</w:t>
            </w:r>
          </w:p>
        </w:tc>
        <w:tc>
          <w:tcPr>
            <w:tcW w:w="1240" w:type="dxa"/>
            <w:shd w:val="clear" w:color="auto" w:fill="auto"/>
            <w:noWrap/>
            <w:vAlign w:val="bottom"/>
            <w:hideMark/>
          </w:tcPr>
          <w:p w14:paraId="25B81ECA"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w:t>
            </w:r>
          </w:p>
        </w:tc>
        <w:tc>
          <w:tcPr>
            <w:tcW w:w="1300" w:type="dxa"/>
            <w:shd w:val="clear" w:color="auto" w:fill="auto"/>
            <w:noWrap/>
            <w:vAlign w:val="bottom"/>
            <w:hideMark/>
          </w:tcPr>
          <w:p w14:paraId="2381EF0C"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80</w:t>
            </w:r>
          </w:p>
        </w:tc>
      </w:tr>
      <w:tr w:rsidR="003941BF" w:rsidRPr="00D62A3B" w14:paraId="1A62AD18" w14:textId="77777777" w:rsidTr="00ED20E9">
        <w:trPr>
          <w:trHeight w:val="288"/>
          <w:jc w:val="center"/>
        </w:trPr>
        <w:tc>
          <w:tcPr>
            <w:tcW w:w="960" w:type="dxa"/>
            <w:shd w:val="clear" w:color="auto" w:fill="auto"/>
            <w:noWrap/>
            <w:vAlign w:val="bottom"/>
            <w:hideMark/>
          </w:tcPr>
          <w:p w14:paraId="35E24BFE"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2</w:t>
            </w:r>
          </w:p>
        </w:tc>
        <w:tc>
          <w:tcPr>
            <w:tcW w:w="4100" w:type="dxa"/>
            <w:shd w:val="clear" w:color="auto" w:fill="auto"/>
            <w:noWrap/>
            <w:vAlign w:val="bottom"/>
            <w:hideMark/>
          </w:tcPr>
          <w:p w14:paraId="458A21B2"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Sign for erosion occurrences </w:t>
            </w:r>
          </w:p>
        </w:tc>
        <w:tc>
          <w:tcPr>
            <w:tcW w:w="1240" w:type="dxa"/>
            <w:shd w:val="clear" w:color="auto" w:fill="auto"/>
            <w:noWrap/>
            <w:vAlign w:val="bottom"/>
            <w:hideMark/>
          </w:tcPr>
          <w:p w14:paraId="5F3B7C02"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w:t>
            </w:r>
          </w:p>
        </w:tc>
        <w:tc>
          <w:tcPr>
            <w:tcW w:w="1300" w:type="dxa"/>
            <w:shd w:val="clear" w:color="auto" w:fill="auto"/>
            <w:noWrap/>
            <w:vAlign w:val="bottom"/>
            <w:hideMark/>
          </w:tcPr>
          <w:p w14:paraId="08114A79"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100</w:t>
            </w:r>
          </w:p>
        </w:tc>
      </w:tr>
      <w:tr w:rsidR="003941BF" w:rsidRPr="00D62A3B" w14:paraId="1EC739AE" w14:textId="77777777" w:rsidTr="00ED20E9">
        <w:trPr>
          <w:trHeight w:val="288"/>
          <w:jc w:val="center"/>
        </w:trPr>
        <w:tc>
          <w:tcPr>
            <w:tcW w:w="960" w:type="dxa"/>
            <w:shd w:val="clear" w:color="auto" w:fill="auto"/>
            <w:noWrap/>
            <w:vAlign w:val="bottom"/>
            <w:hideMark/>
          </w:tcPr>
          <w:p w14:paraId="569740D8"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3</w:t>
            </w:r>
          </w:p>
        </w:tc>
        <w:tc>
          <w:tcPr>
            <w:tcW w:w="4100" w:type="dxa"/>
            <w:shd w:val="clear" w:color="auto" w:fill="auto"/>
            <w:noWrap/>
            <w:vAlign w:val="bottom"/>
            <w:hideMark/>
          </w:tcPr>
          <w:p w14:paraId="039F711E"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water seepage </w:t>
            </w:r>
          </w:p>
        </w:tc>
        <w:tc>
          <w:tcPr>
            <w:tcW w:w="1240" w:type="dxa"/>
            <w:shd w:val="clear" w:color="auto" w:fill="auto"/>
            <w:noWrap/>
            <w:vAlign w:val="bottom"/>
            <w:hideMark/>
          </w:tcPr>
          <w:p w14:paraId="16C34CCA"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7</w:t>
            </w:r>
          </w:p>
        </w:tc>
        <w:tc>
          <w:tcPr>
            <w:tcW w:w="1300" w:type="dxa"/>
            <w:shd w:val="clear" w:color="auto" w:fill="auto"/>
            <w:noWrap/>
            <w:vAlign w:val="bottom"/>
            <w:hideMark/>
          </w:tcPr>
          <w:p w14:paraId="5D65A065"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70</w:t>
            </w:r>
          </w:p>
        </w:tc>
      </w:tr>
      <w:tr w:rsidR="003941BF" w:rsidRPr="00D62A3B" w14:paraId="04790086" w14:textId="77777777" w:rsidTr="00ED20E9">
        <w:trPr>
          <w:trHeight w:val="288"/>
          <w:jc w:val="center"/>
        </w:trPr>
        <w:tc>
          <w:tcPr>
            <w:tcW w:w="960" w:type="dxa"/>
            <w:shd w:val="clear" w:color="auto" w:fill="auto"/>
            <w:noWrap/>
            <w:vAlign w:val="bottom"/>
            <w:hideMark/>
          </w:tcPr>
          <w:p w14:paraId="5BFC8CC5"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4</w:t>
            </w:r>
          </w:p>
        </w:tc>
        <w:tc>
          <w:tcPr>
            <w:tcW w:w="4100" w:type="dxa"/>
            <w:shd w:val="clear" w:color="auto" w:fill="auto"/>
            <w:noWrap/>
            <w:vAlign w:val="bottom"/>
            <w:hideMark/>
          </w:tcPr>
          <w:p w14:paraId="02B14321"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outlet pipe damage </w:t>
            </w:r>
          </w:p>
        </w:tc>
        <w:tc>
          <w:tcPr>
            <w:tcW w:w="1240" w:type="dxa"/>
            <w:shd w:val="clear" w:color="auto" w:fill="auto"/>
            <w:noWrap/>
            <w:vAlign w:val="bottom"/>
            <w:hideMark/>
          </w:tcPr>
          <w:p w14:paraId="6568E921"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w:t>
            </w:r>
          </w:p>
        </w:tc>
        <w:tc>
          <w:tcPr>
            <w:tcW w:w="1300" w:type="dxa"/>
            <w:shd w:val="clear" w:color="auto" w:fill="auto"/>
            <w:noWrap/>
            <w:vAlign w:val="bottom"/>
            <w:hideMark/>
          </w:tcPr>
          <w:p w14:paraId="04C49446"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80</w:t>
            </w:r>
          </w:p>
        </w:tc>
      </w:tr>
      <w:tr w:rsidR="003941BF" w:rsidRPr="00D62A3B" w14:paraId="08CB924A" w14:textId="77777777" w:rsidTr="00ED20E9">
        <w:trPr>
          <w:trHeight w:val="288"/>
          <w:jc w:val="center"/>
        </w:trPr>
        <w:tc>
          <w:tcPr>
            <w:tcW w:w="960" w:type="dxa"/>
            <w:shd w:val="clear" w:color="auto" w:fill="auto"/>
            <w:noWrap/>
            <w:vAlign w:val="bottom"/>
            <w:hideMark/>
          </w:tcPr>
          <w:p w14:paraId="3115C5E9"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5</w:t>
            </w:r>
          </w:p>
        </w:tc>
        <w:tc>
          <w:tcPr>
            <w:tcW w:w="4100" w:type="dxa"/>
            <w:shd w:val="clear" w:color="auto" w:fill="auto"/>
            <w:noWrap/>
            <w:vAlign w:val="bottom"/>
            <w:hideMark/>
          </w:tcPr>
          <w:p w14:paraId="2B563C16"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vegetation blockage </w:t>
            </w:r>
          </w:p>
        </w:tc>
        <w:tc>
          <w:tcPr>
            <w:tcW w:w="1240" w:type="dxa"/>
            <w:shd w:val="clear" w:color="auto" w:fill="auto"/>
            <w:noWrap/>
            <w:vAlign w:val="bottom"/>
            <w:hideMark/>
          </w:tcPr>
          <w:p w14:paraId="264BD390"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w:t>
            </w:r>
          </w:p>
        </w:tc>
        <w:tc>
          <w:tcPr>
            <w:tcW w:w="1300" w:type="dxa"/>
            <w:shd w:val="clear" w:color="auto" w:fill="auto"/>
            <w:noWrap/>
            <w:vAlign w:val="bottom"/>
            <w:hideMark/>
          </w:tcPr>
          <w:p w14:paraId="45FFFE4C"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100</w:t>
            </w:r>
          </w:p>
        </w:tc>
      </w:tr>
      <w:tr w:rsidR="003941BF" w:rsidRPr="00D62A3B" w14:paraId="008ED9F3" w14:textId="77777777" w:rsidTr="00ED20E9">
        <w:trPr>
          <w:trHeight w:val="288"/>
          <w:jc w:val="center"/>
        </w:trPr>
        <w:tc>
          <w:tcPr>
            <w:tcW w:w="960" w:type="dxa"/>
            <w:shd w:val="clear" w:color="auto" w:fill="auto"/>
            <w:noWrap/>
            <w:vAlign w:val="bottom"/>
            <w:hideMark/>
          </w:tcPr>
          <w:p w14:paraId="04B7CAD9"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6</w:t>
            </w:r>
          </w:p>
        </w:tc>
        <w:tc>
          <w:tcPr>
            <w:tcW w:w="4100" w:type="dxa"/>
            <w:shd w:val="clear" w:color="auto" w:fill="auto"/>
            <w:noWrap/>
            <w:vAlign w:val="bottom"/>
            <w:hideMark/>
          </w:tcPr>
          <w:p w14:paraId="19ED8F85"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animal damage </w:t>
            </w:r>
          </w:p>
        </w:tc>
        <w:tc>
          <w:tcPr>
            <w:tcW w:w="1240" w:type="dxa"/>
            <w:shd w:val="clear" w:color="auto" w:fill="auto"/>
            <w:noWrap/>
            <w:vAlign w:val="bottom"/>
            <w:hideMark/>
          </w:tcPr>
          <w:p w14:paraId="49A7ACFE"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w:t>
            </w:r>
          </w:p>
        </w:tc>
        <w:tc>
          <w:tcPr>
            <w:tcW w:w="1300" w:type="dxa"/>
            <w:shd w:val="clear" w:color="auto" w:fill="auto"/>
            <w:noWrap/>
            <w:vAlign w:val="bottom"/>
            <w:hideMark/>
          </w:tcPr>
          <w:p w14:paraId="40A477A5"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80</w:t>
            </w:r>
          </w:p>
        </w:tc>
      </w:tr>
      <w:tr w:rsidR="003941BF" w:rsidRPr="00D62A3B" w14:paraId="54A73B24" w14:textId="77777777" w:rsidTr="00ED20E9">
        <w:trPr>
          <w:trHeight w:val="288"/>
          <w:jc w:val="center"/>
        </w:trPr>
        <w:tc>
          <w:tcPr>
            <w:tcW w:w="960" w:type="dxa"/>
            <w:shd w:val="clear" w:color="auto" w:fill="auto"/>
            <w:noWrap/>
            <w:vAlign w:val="bottom"/>
            <w:hideMark/>
          </w:tcPr>
          <w:p w14:paraId="034BED10"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7</w:t>
            </w:r>
          </w:p>
        </w:tc>
        <w:tc>
          <w:tcPr>
            <w:tcW w:w="4100" w:type="dxa"/>
            <w:shd w:val="clear" w:color="auto" w:fill="auto"/>
            <w:noWrap/>
            <w:vAlign w:val="bottom"/>
            <w:hideMark/>
          </w:tcPr>
          <w:p w14:paraId="12D2319E"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Flood occurrence </w:t>
            </w:r>
          </w:p>
        </w:tc>
        <w:tc>
          <w:tcPr>
            <w:tcW w:w="1240" w:type="dxa"/>
            <w:shd w:val="clear" w:color="auto" w:fill="auto"/>
            <w:noWrap/>
            <w:vAlign w:val="bottom"/>
            <w:hideMark/>
          </w:tcPr>
          <w:p w14:paraId="24C63F38"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w:t>
            </w:r>
          </w:p>
        </w:tc>
        <w:tc>
          <w:tcPr>
            <w:tcW w:w="1300" w:type="dxa"/>
            <w:shd w:val="clear" w:color="auto" w:fill="auto"/>
            <w:noWrap/>
            <w:vAlign w:val="bottom"/>
            <w:hideMark/>
          </w:tcPr>
          <w:p w14:paraId="6474171A"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100</w:t>
            </w:r>
          </w:p>
        </w:tc>
      </w:tr>
      <w:tr w:rsidR="003941BF" w:rsidRPr="00D62A3B" w14:paraId="59D41560" w14:textId="77777777" w:rsidTr="00ED20E9">
        <w:trPr>
          <w:trHeight w:val="288"/>
          <w:jc w:val="center"/>
        </w:trPr>
        <w:tc>
          <w:tcPr>
            <w:tcW w:w="960" w:type="dxa"/>
            <w:shd w:val="clear" w:color="auto" w:fill="auto"/>
            <w:noWrap/>
            <w:vAlign w:val="bottom"/>
            <w:hideMark/>
          </w:tcPr>
          <w:p w14:paraId="2E94AB72"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w:t>
            </w:r>
          </w:p>
        </w:tc>
        <w:tc>
          <w:tcPr>
            <w:tcW w:w="4100" w:type="dxa"/>
            <w:shd w:val="clear" w:color="auto" w:fill="auto"/>
            <w:noWrap/>
            <w:vAlign w:val="bottom"/>
            <w:hideMark/>
          </w:tcPr>
          <w:p w14:paraId="18820650"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Compliance with the dam safety procedures </w:t>
            </w:r>
          </w:p>
        </w:tc>
        <w:tc>
          <w:tcPr>
            <w:tcW w:w="1240" w:type="dxa"/>
            <w:shd w:val="clear" w:color="auto" w:fill="auto"/>
            <w:noWrap/>
            <w:vAlign w:val="bottom"/>
            <w:hideMark/>
          </w:tcPr>
          <w:p w14:paraId="4F38F2FE"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5</w:t>
            </w:r>
          </w:p>
        </w:tc>
        <w:tc>
          <w:tcPr>
            <w:tcW w:w="1300" w:type="dxa"/>
            <w:shd w:val="clear" w:color="auto" w:fill="auto"/>
            <w:noWrap/>
            <w:vAlign w:val="bottom"/>
            <w:hideMark/>
          </w:tcPr>
          <w:p w14:paraId="56CEE27F" w14:textId="77777777" w:rsidR="003941BF" w:rsidRPr="00D62A3B" w:rsidRDefault="003941BF" w:rsidP="00ED20E9">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50</w:t>
            </w:r>
          </w:p>
        </w:tc>
      </w:tr>
      <w:tr w:rsidR="003941BF" w:rsidRPr="00D62A3B" w14:paraId="50FE6CE2" w14:textId="77777777" w:rsidTr="00ED20E9">
        <w:trPr>
          <w:trHeight w:val="300"/>
          <w:jc w:val="center"/>
        </w:trPr>
        <w:tc>
          <w:tcPr>
            <w:tcW w:w="960" w:type="dxa"/>
            <w:shd w:val="clear" w:color="auto" w:fill="auto"/>
            <w:noWrap/>
            <w:vAlign w:val="bottom"/>
            <w:hideMark/>
          </w:tcPr>
          <w:p w14:paraId="3844EBA7"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w:t>
            </w:r>
          </w:p>
        </w:tc>
        <w:tc>
          <w:tcPr>
            <w:tcW w:w="4100" w:type="dxa"/>
            <w:shd w:val="clear" w:color="auto" w:fill="auto"/>
            <w:noWrap/>
            <w:vAlign w:val="bottom"/>
            <w:hideMark/>
          </w:tcPr>
          <w:p w14:paraId="47112F19"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w:t>
            </w:r>
          </w:p>
        </w:tc>
        <w:tc>
          <w:tcPr>
            <w:tcW w:w="1240" w:type="dxa"/>
            <w:shd w:val="clear" w:color="auto" w:fill="auto"/>
            <w:noWrap/>
            <w:vAlign w:val="bottom"/>
            <w:hideMark/>
          </w:tcPr>
          <w:p w14:paraId="7948AC38"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w:t>
            </w:r>
          </w:p>
        </w:tc>
        <w:tc>
          <w:tcPr>
            <w:tcW w:w="1300" w:type="dxa"/>
            <w:shd w:val="clear" w:color="auto" w:fill="auto"/>
            <w:noWrap/>
            <w:vAlign w:val="bottom"/>
            <w:hideMark/>
          </w:tcPr>
          <w:p w14:paraId="7403CDE3" w14:textId="77777777" w:rsidR="003941BF" w:rsidRPr="00D62A3B" w:rsidRDefault="003941BF" w:rsidP="00ED20E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w:t>
            </w:r>
          </w:p>
        </w:tc>
      </w:tr>
    </w:tbl>
    <w:p w14:paraId="60C48469" w14:textId="789993FE" w:rsidR="003941BF" w:rsidRPr="00D62A3B" w:rsidRDefault="00235DA9" w:rsidP="003941BF">
      <w:pPr>
        <w:spacing w:line="276" w:lineRule="auto"/>
        <w:jc w:val="both"/>
        <w:rPr>
          <w:rFonts w:ascii="Arial" w:eastAsia="Calibri" w:hAnsi="Arial" w:cs="Arial"/>
          <w:kern w:val="2"/>
          <w:lang w:val="en-GB"/>
          <w14:ligatures w14:val="standardContextual"/>
        </w:rPr>
      </w:pPr>
      <w:r>
        <w:rPr>
          <w:rFonts w:ascii="Arial" w:eastAsia="Calibri" w:hAnsi="Arial" w:cs="Arial"/>
          <w:noProof/>
          <w:kern w:val="2"/>
        </w:rPr>
        <w:lastRenderedPageBreak/>
        <w:drawing>
          <wp:inline distT="0" distB="0" distL="0" distR="0" wp14:anchorId="36CF64BF" wp14:editId="4D58B566">
            <wp:extent cx="5792008" cy="30674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et opinion on dam condtion.png"/>
                    <pic:cNvPicPr/>
                  </pic:nvPicPr>
                  <pic:blipFill>
                    <a:blip r:embed="rId16">
                      <a:extLst>
                        <a:ext uri="{28A0092B-C50C-407E-A947-70E740481C1C}">
                          <a14:useLocalDpi xmlns:a14="http://schemas.microsoft.com/office/drawing/2010/main" val="0"/>
                        </a:ext>
                      </a:extLst>
                    </a:blip>
                    <a:stretch>
                      <a:fillRect/>
                    </a:stretch>
                  </pic:blipFill>
                  <pic:spPr>
                    <a:xfrm>
                      <a:off x="0" y="0"/>
                      <a:ext cx="5792008" cy="3067478"/>
                    </a:xfrm>
                    <a:prstGeom prst="rect">
                      <a:avLst/>
                    </a:prstGeom>
                  </pic:spPr>
                </pic:pic>
              </a:graphicData>
            </a:graphic>
          </wp:inline>
        </w:drawing>
      </w:r>
    </w:p>
    <w:p w14:paraId="77AD6F86" w14:textId="77777777" w:rsidR="00235DA9" w:rsidRDefault="00235DA9" w:rsidP="00235DA9">
      <w:pPr>
        <w:spacing w:line="276" w:lineRule="auto"/>
        <w:jc w:val="both"/>
        <w:rPr>
          <w:rFonts w:ascii="Arial" w:eastAsia="Calibri" w:hAnsi="Arial" w:cs="Arial"/>
          <w:kern w:val="2"/>
          <w:lang w:val="en-GB"/>
          <w14:ligatures w14:val="standardContextual"/>
        </w:rPr>
      </w:pPr>
      <w:r w:rsidRPr="00727AC6">
        <w:rPr>
          <w:rFonts w:ascii="Arial" w:eastAsia="Calibri" w:hAnsi="Arial" w:cs="Arial"/>
          <w:kern w:val="2"/>
          <w:lang w:val="en-GB"/>
          <w14:ligatures w14:val="standardContextual"/>
        </w:rPr>
        <w:t xml:space="preserve">Figure </w:t>
      </w:r>
      <w:r w:rsidRPr="00727AC6">
        <w:rPr>
          <w:rFonts w:ascii="Arial" w:eastAsia="Calibri" w:hAnsi="Arial" w:cs="Arial"/>
          <w:kern w:val="2"/>
          <w:lang w:val="en-GB"/>
          <w14:ligatures w14:val="standardContextual"/>
        </w:rPr>
        <w:fldChar w:fldCharType="begin"/>
      </w:r>
      <w:r w:rsidRPr="00727AC6">
        <w:rPr>
          <w:rFonts w:ascii="Arial" w:eastAsia="Calibri" w:hAnsi="Arial" w:cs="Arial"/>
          <w:kern w:val="2"/>
          <w:lang w:val="en-GB"/>
          <w14:ligatures w14:val="standardContextual"/>
        </w:rPr>
        <w:instrText xml:space="preserve"> SEQ Figure \* ARABIC </w:instrText>
      </w:r>
      <w:r w:rsidRPr="00727AC6">
        <w:rPr>
          <w:rFonts w:ascii="Arial" w:eastAsia="Calibri" w:hAnsi="Arial" w:cs="Arial"/>
          <w:kern w:val="2"/>
          <w:lang w:val="en-GB"/>
          <w14:ligatures w14:val="standardContextual"/>
        </w:rPr>
        <w:fldChar w:fldCharType="separate"/>
      </w:r>
      <w:r w:rsidRPr="00727AC6">
        <w:rPr>
          <w:rFonts w:ascii="Arial" w:eastAsia="Calibri" w:hAnsi="Arial" w:cs="Arial"/>
          <w:kern w:val="2"/>
          <w:lang w:val="en-GB"/>
          <w14:ligatures w14:val="standardContextual"/>
        </w:rPr>
        <w:t>3</w:t>
      </w:r>
      <w:r w:rsidRPr="00727AC6">
        <w:rPr>
          <w:rFonts w:ascii="Arial" w:eastAsia="Calibri" w:hAnsi="Arial" w:cs="Arial"/>
          <w:kern w:val="2"/>
          <w:lang w:val="en-GB"/>
          <w14:ligatures w14:val="standardContextual"/>
        </w:rPr>
        <w:fldChar w:fldCharType="end"/>
      </w:r>
      <w:r w:rsidRPr="00727AC6">
        <w:rPr>
          <w:rFonts w:ascii="Arial" w:eastAsia="Calibri" w:hAnsi="Arial" w:cs="Arial"/>
          <w:kern w:val="2"/>
          <w:lang w:val="en-GB"/>
          <w14:ligatures w14:val="standardContextual"/>
        </w:rPr>
        <w:t>.Expertise opinions on the Mindu dam condition</w:t>
      </w:r>
    </w:p>
    <w:p w14:paraId="539C61BD" w14:textId="77777777" w:rsidR="00235DA9" w:rsidRDefault="00235DA9" w:rsidP="00235DA9">
      <w:pPr>
        <w:spacing w:line="276" w:lineRule="auto"/>
        <w:jc w:val="both"/>
        <w:rPr>
          <w:rFonts w:ascii="Arial" w:eastAsia="Calibri" w:hAnsi="Arial" w:cs="Arial"/>
          <w:kern w:val="2"/>
          <w:lang w:val="en-GB"/>
          <w14:ligatures w14:val="standardContextual"/>
        </w:rPr>
      </w:pPr>
    </w:p>
    <w:p w14:paraId="315E6574" w14:textId="77777777" w:rsidR="00235DA9" w:rsidRDefault="00235DA9" w:rsidP="00235DA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A comprehensive assessment of key issues affecting dam safety, through expertise from the responsible authority in managing the Mindu dam (MORUWASA) was conducted to highlight several critical factors affecting the safety of the dam like erosion, vegetation blockage, and flood occurrence. From the findings, it was observed that erosion, vegetation blockage and flood occurrence are the key factors affecting the dam. </w:t>
      </w:r>
    </w:p>
    <w:p w14:paraId="0D8E05B7" w14:textId="77777777" w:rsidR="00235DA9" w:rsidRPr="00D62A3B" w:rsidRDefault="00235DA9" w:rsidP="00235DA9">
      <w:pPr>
        <w:spacing w:line="276" w:lineRule="auto"/>
        <w:jc w:val="both"/>
        <w:rPr>
          <w:rFonts w:ascii="Arial" w:eastAsia="Calibri" w:hAnsi="Arial" w:cs="Arial"/>
          <w:kern w:val="2"/>
          <w:lang w:val="en-GB"/>
          <w14:ligatures w14:val="standardContextual"/>
        </w:rPr>
      </w:pPr>
    </w:p>
    <w:p w14:paraId="1C7E0351" w14:textId="77777777" w:rsidR="00235DA9" w:rsidRPr="00D62A3B" w:rsidRDefault="00235DA9" w:rsidP="00235DA9">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Table </w:t>
      </w:r>
      <w:r>
        <w:rPr>
          <w:rFonts w:ascii="Arial" w:eastAsia="Calibri" w:hAnsi="Arial" w:cs="Arial"/>
          <w:kern w:val="2"/>
          <w:lang w:val="en-GB"/>
          <w14:ligatures w14:val="standardContextual"/>
        </w:rPr>
        <w:t>7</w:t>
      </w:r>
      <w:r w:rsidRPr="00D62A3B">
        <w:rPr>
          <w:rFonts w:ascii="Arial" w:eastAsia="Calibri" w:hAnsi="Arial" w:cs="Arial"/>
          <w:kern w:val="2"/>
          <w:lang w:val="en-GB"/>
          <w14:ligatures w14:val="standardContextual"/>
        </w:rPr>
        <w:t>.Physical elements that are thought to be causing the present dam safety issues</w:t>
      </w:r>
    </w:p>
    <w:tbl>
      <w:tblPr>
        <w:tblStyle w:val="TableGrid"/>
        <w:tblpPr w:leftFromText="180" w:rightFromText="180" w:vertAnchor="text" w:horzAnchor="margin" w:tblpXSpec="center" w:tblpY="55"/>
        <w:tblW w:w="0" w:type="auto"/>
        <w:tblLook w:val="04A0" w:firstRow="1" w:lastRow="0" w:firstColumn="1" w:lastColumn="0" w:noHBand="0" w:noVBand="1"/>
      </w:tblPr>
      <w:tblGrid>
        <w:gridCol w:w="3081"/>
        <w:gridCol w:w="3081"/>
        <w:gridCol w:w="3081"/>
      </w:tblGrid>
      <w:tr w:rsidR="00235DA9" w:rsidRPr="00D62A3B" w14:paraId="7826B71E" w14:textId="77777777" w:rsidTr="003F7FEC">
        <w:tc>
          <w:tcPr>
            <w:tcW w:w="3081" w:type="dxa"/>
          </w:tcPr>
          <w:p w14:paraId="2951F8FE"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Element</w:t>
            </w:r>
          </w:p>
        </w:tc>
        <w:tc>
          <w:tcPr>
            <w:tcW w:w="3081" w:type="dxa"/>
          </w:tcPr>
          <w:p w14:paraId="48C9F573"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No.of key participants(n=30)</w:t>
            </w:r>
          </w:p>
        </w:tc>
        <w:tc>
          <w:tcPr>
            <w:tcW w:w="3081" w:type="dxa"/>
          </w:tcPr>
          <w:p w14:paraId="06DA1A11"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Percentile (%)</w:t>
            </w:r>
          </w:p>
        </w:tc>
      </w:tr>
      <w:tr w:rsidR="00235DA9" w:rsidRPr="00D62A3B" w14:paraId="4BE96B40" w14:textId="77777777" w:rsidTr="003F7FEC">
        <w:tc>
          <w:tcPr>
            <w:tcW w:w="3081" w:type="dxa"/>
          </w:tcPr>
          <w:p w14:paraId="004BFBE7"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Flooding occurrences</w:t>
            </w:r>
          </w:p>
        </w:tc>
        <w:tc>
          <w:tcPr>
            <w:tcW w:w="3081" w:type="dxa"/>
          </w:tcPr>
          <w:p w14:paraId="7E0B8616"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26</w:t>
            </w:r>
          </w:p>
        </w:tc>
        <w:tc>
          <w:tcPr>
            <w:tcW w:w="3081" w:type="dxa"/>
            <w:shd w:val="clear" w:color="auto" w:fill="auto"/>
          </w:tcPr>
          <w:p w14:paraId="1B23EA8A"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color w:val="000000"/>
              </w:rPr>
              <w:t>86.7</w:t>
            </w:r>
          </w:p>
        </w:tc>
      </w:tr>
      <w:tr w:rsidR="00235DA9" w:rsidRPr="00D62A3B" w14:paraId="068834B3" w14:textId="77777777" w:rsidTr="003F7FEC">
        <w:tc>
          <w:tcPr>
            <w:tcW w:w="3081" w:type="dxa"/>
          </w:tcPr>
          <w:p w14:paraId="54C45C27"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Intense rainfall</w:t>
            </w:r>
          </w:p>
        </w:tc>
        <w:tc>
          <w:tcPr>
            <w:tcW w:w="3081" w:type="dxa"/>
          </w:tcPr>
          <w:p w14:paraId="0C101F36"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28</w:t>
            </w:r>
          </w:p>
        </w:tc>
        <w:tc>
          <w:tcPr>
            <w:tcW w:w="3081" w:type="dxa"/>
            <w:shd w:val="clear" w:color="auto" w:fill="auto"/>
          </w:tcPr>
          <w:p w14:paraId="618A0254"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color w:val="000000"/>
              </w:rPr>
              <w:t>93.3</w:t>
            </w:r>
          </w:p>
        </w:tc>
      </w:tr>
      <w:tr w:rsidR="00235DA9" w:rsidRPr="00D62A3B" w14:paraId="521D98E9" w14:textId="77777777" w:rsidTr="003F7FEC">
        <w:tc>
          <w:tcPr>
            <w:tcW w:w="3081" w:type="dxa"/>
          </w:tcPr>
          <w:p w14:paraId="325A64E2"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Dam impairment</w:t>
            </w:r>
          </w:p>
        </w:tc>
        <w:tc>
          <w:tcPr>
            <w:tcW w:w="3081" w:type="dxa"/>
          </w:tcPr>
          <w:p w14:paraId="50DD123C"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30</w:t>
            </w:r>
          </w:p>
        </w:tc>
        <w:tc>
          <w:tcPr>
            <w:tcW w:w="3081" w:type="dxa"/>
            <w:shd w:val="clear" w:color="auto" w:fill="auto"/>
          </w:tcPr>
          <w:p w14:paraId="4C11635C"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color w:val="000000"/>
              </w:rPr>
              <w:t>100.0</w:t>
            </w:r>
          </w:p>
        </w:tc>
      </w:tr>
      <w:tr w:rsidR="00235DA9" w:rsidRPr="00D62A3B" w14:paraId="4E210FC1" w14:textId="77777777" w:rsidTr="003F7FEC">
        <w:tc>
          <w:tcPr>
            <w:tcW w:w="3081" w:type="dxa"/>
          </w:tcPr>
          <w:p w14:paraId="54801057"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Landslide incidents</w:t>
            </w:r>
          </w:p>
        </w:tc>
        <w:tc>
          <w:tcPr>
            <w:tcW w:w="3081" w:type="dxa"/>
          </w:tcPr>
          <w:p w14:paraId="4FFFB072" w14:textId="77777777" w:rsidR="00235DA9" w:rsidRPr="00D62A3B" w:rsidRDefault="00235DA9" w:rsidP="003F7FEC">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20</w:t>
            </w:r>
          </w:p>
        </w:tc>
        <w:tc>
          <w:tcPr>
            <w:tcW w:w="3081" w:type="dxa"/>
            <w:shd w:val="clear" w:color="auto" w:fill="auto"/>
          </w:tcPr>
          <w:p w14:paraId="1F20F343" w14:textId="77777777" w:rsidR="00235DA9" w:rsidRPr="00D62A3B" w:rsidRDefault="00235DA9" w:rsidP="003F7FEC">
            <w:pPr>
              <w:spacing w:line="276" w:lineRule="auto"/>
              <w:jc w:val="both"/>
              <w:rPr>
                <w:rFonts w:ascii="Arial" w:hAnsi="Arial" w:cs="Arial"/>
                <w:color w:val="000000"/>
              </w:rPr>
            </w:pPr>
            <w:r w:rsidRPr="00D62A3B">
              <w:rPr>
                <w:rFonts w:ascii="Arial" w:hAnsi="Arial" w:cs="Arial"/>
                <w:color w:val="000000"/>
              </w:rPr>
              <w:t>66.7</w:t>
            </w:r>
          </w:p>
        </w:tc>
      </w:tr>
    </w:tbl>
    <w:p w14:paraId="656644B7" w14:textId="77777777" w:rsidR="00235DA9" w:rsidRDefault="00235DA9" w:rsidP="00235DA9">
      <w:pPr>
        <w:spacing w:line="276" w:lineRule="auto"/>
        <w:jc w:val="both"/>
        <w:rPr>
          <w:rFonts w:ascii="Arial" w:eastAsia="Calibri" w:hAnsi="Arial" w:cs="Arial"/>
          <w:kern w:val="2"/>
          <w:lang w:val="en-GB"/>
          <w14:ligatures w14:val="standardContextual"/>
        </w:rPr>
      </w:pPr>
    </w:p>
    <w:p w14:paraId="5B73824B" w14:textId="77777777" w:rsidR="00235DA9" w:rsidRDefault="00235DA9" w:rsidP="00235DA9">
      <w:pPr>
        <w:spacing w:line="276" w:lineRule="auto"/>
        <w:jc w:val="both"/>
        <w:rPr>
          <w:rFonts w:ascii="Arial" w:eastAsia="Calibri" w:hAnsi="Arial" w:cs="Arial"/>
          <w:kern w:val="2"/>
          <w:lang w:val="en-GB"/>
          <w14:ligatures w14:val="standardContextual"/>
        </w:rPr>
      </w:pPr>
      <w:r>
        <w:rPr>
          <w:rFonts w:ascii="Arial" w:eastAsia="Calibri" w:hAnsi="Arial" w:cs="Arial"/>
          <w:noProof/>
          <w:kern w:val="2"/>
        </w:rPr>
        <w:lastRenderedPageBreak/>
        <w:drawing>
          <wp:inline distT="0" distB="0" distL="0" distR="0" wp14:anchorId="5F60E734" wp14:editId="2392B053">
            <wp:extent cx="5943600" cy="30422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ysical element cz dam condtion.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042285"/>
                    </a:xfrm>
                    <a:prstGeom prst="rect">
                      <a:avLst/>
                    </a:prstGeom>
                  </pic:spPr>
                </pic:pic>
              </a:graphicData>
            </a:graphic>
          </wp:inline>
        </w:drawing>
      </w:r>
      <w:r w:rsidRPr="00235DA9">
        <w:rPr>
          <w:rFonts w:ascii="Arial" w:eastAsia="Calibri" w:hAnsi="Arial" w:cs="Arial"/>
          <w:kern w:val="2"/>
          <w:lang w:val="en-GB"/>
          <w14:ligatures w14:val="standardContextual"/>
        </w:rPr>
        <w:t xml:space="preserve"> </w:t>
      </w:r>
    </w:p>
    <w:p w14:paraId="42FDD8E1" w14:textId="795A6B15" w:rsidR="00235DA9" w:rsidRDefault="00235DA9" w:rsidP="00235DA9">
      <w:pPr>
        <w:spacing w:line="276" w:lineRule="auto"/>
        <w:jc w:val="both"/>
        <w:rPr>
          <w:rFonts w:ascii="Arial" w:eastAsia="Calibri" w:hAnsi="Arial" w:cs="Arial"/>
          <w:kern w:val="2"/>
          <w:lang w:val="en-GB"/>
          <w14:ligatures w14:val="standardContextual"/>
        </w:rPr>
      </w:pPr>
      <w:r w:rsidRPr="00DE0D93">
        <w:rPr>
          <w:rFonts w:ascii="Arial" w:eastAsia="Calibri" w:hAnsi="Arial" w:cs="Arial"/>
          <w:kern w:val="2"/>
          <w:lang w:val="en-GB"/>
          <w14:ligatures w14:val="standardContextual"/>
        </w:rPr>
        <w:t xml:space="preserve">Figure </w:t>
      </w:r>
      <w:r w:rsidRPr="00DE0D93">
        <w:rPr>
          <w:rFonts w:ascii="Arial" w:eastAsia="Calibri" w:hAnsi="Arial" w:cs="Arial"/>
          <w:kern w:val="2"/>
          <w:lang w:val="en-GB"/>
          <w14:ligatures w14:val="standardContextual"/>
        </w:rPr>
        <w:fldChar w:fldCharType="begin"/>
      </w:r>
      <w:r w:rsidRPr="00DE0D93">
        <w:rPr>
          <w:rFonts w:ascii="Arial" w:eastAsia="Calibri" w:hAnsi="Arial" w:cs="Arial"/>
          <w:kern w:val="2"/>
          <w:lang w:val="en-GB"/>
          <w14:ligatures w14:val="standardContextual"/>
        </w:rPr>
        <w:instrText xml:space="preserve"> SEQ Figure \* ARABIC </w:instrText>
      </w:r>
      <w:r w:rsidRPr="00DE0D93">
        <w:rPr>
          <w:rFonts w:ascii="Arial" w:eastAsia="Calibri" w:hAnsi="Arial" w:cs="Arial"/>
          <w:kern w:val="2"/>
          <w:lang w:val="en-GB"/>
          <w14:ligatures w14:val="standardContextual"/>
        </w:rPr>
        <w:fldChar w:fldCharType="separate"/>
      </w:r>
      <w:r w:rsidRPr="00DE0D93">
        <w:rPr>
          <w:rFonts w:ascii="Arial" w:eastAsia="Calibri" w:hAnsi="Arial" w:cs="Arial"/>
          <w:kern w:val="2"/>
          <w:lang w:val="en-GB"/>
          <w14:ligatures w14:val="standardContextual"/>
        </w:rPr>
        <w:t>4</w:t>
      </w:r>
      <w:r w:rsidRPr="00DE0D93">
        <w:rPr>
          <w:rFonts w:ascii="Arial" w:eastAsia="Calibri" w:hAnsi="Arial" w:cs="Arial"/>
          <w:kern w:val="2"/>
          <w:lang w:val="en-GB"/>
          <w14:ligatures w14:val="standardContextual"/>
        </w:rPr>
        <w:fldChar w:fldCharType="end"/>
      </w:r>
      <w:r w:rsidRPr="00DE0D93">
        <w:rPr>
          <w:rFonts w:ascii="Arial" w:eastAsia="Calibri" w:hAnsi="Arial" w:cs="Arial"/>
          <w:kern w:val="2"/>
          <w:lang w:val="en-GB"/>
          <w14:ligatures w14:val="standardContextual"/>
        </w:rPr>
        <w:t>.Physical element causing current dam safety issues.</w:t>
      </w:r>
    </w:p>
    <w:p w14:paraId="1CCAFDCA" w14:textId="77777777" w:rsidR="00235DA9" w:rsidRPr="00DE0D93" w:rsidRDefault="00235DA9" w:rsidP="00235DA9">
      <w:pPr>
        <w:spacing w:line="276" w:lineRule="auto"/>
        <w:jc w:val="both"/>
        <w:rPr>
          <w:rFonts w:ascii="Arial" w:eastAsia="Calibri" w:hAnsi="Arial" w:cs="Arial"/>
          <w:kern w:val="2"/>
          <w:lang w:val="en-GB"/>
          <w14:ligatures w14:val="standardContextual"/>
        </w:rPr>
      </w:pPr>
    </w:p>
    <w:p w14:paraId="62622F1C" w14:textId="0DED66B4" w:rsidR="00235DA9" w:rsidRDefault="00235DA9" w:rsidP="00235DA9">
      <w:pPr>
        <w:spacing w:line="276" w:lineRule="auto"/>
        <w:rPr>
          <w:rFonts w:ascii="Arial" w:eastAsia="Calibri" w:hAnsi="Arial" w:cs="Arial"/>
          <w:kern w:val="2"/>
          <w:lang w:val="en-GB"/>
          <w14:ligatures w14:val="standardContextual"/>
        </w:rPr>
      </w:pPr>
      <w:r w:rsidRPr="00E0659C">
        <w:rPr>
          <w:rFonts w:ascii="Arial" w:eastAsia="Calibri" w:hAnsi="Arial" w:cs="Arial"/>
          <w:kern w:val="2"/>
          <w:lang w:val="en-GB"/>
          <w14:ligatures w14:val="standardContextual"/>
        </w:rPr>
        <w:t xml:space="preserve">Physical element causing current dam safety </w:t>
      </w:r>
      <w:r w:rsidRPr="001052B8">
        <w:rPr>
          <w:rFonts w:ascii="Arial" w:eastAsia="Calibri" w:hAnsi="Arial" w:cs="Arial"/>
          <w:kern w:val="2"/>
          <w:lang w:val="en-GB"/>
          <w14:ligatures w14:val="standardContextual"/>
        </w:rPr>
        <w:t>issues</w:t>
      </w:r>
      <w:r w:rsidRPr="00D62A3B">
        <w:rPr>
          <w:rFonts w:ascii="Arial" w:eastAsia="Calibri" w:hAnsi="Arial" w:cs="Arial"/>
          <w:kern w:val="2"/>
          <w:lang w:val="en-GB"/>
          <w14:ligatures w14:val="standardContextual"/>
        </w:rPr>
        <w:t xml:space="preserve"> From the field interview of the experience of the respondents, it was observed that dam impairment downstream 100% agreed is the major causing present dam issues today due to poor maintenance and repairing of the downstream infrastructure, while 93.3% of dam safety issues are caused by high rainfall occurrence due to climate change, 86.7% of the damage were noticed to be caused by flooding caused by the occurrences of high rainfall in upstream along the mount Uluguru. Soil and landslide occurrence along the upstream was agreed by 66.7% of the respondents to another cause of dam damage.</w:t>
      </w:r>
    </w:p>
    <w:p w14:paraId="31BAB298" w14:textId="53327847" w:rsidR="00235DA9" w:rsidRDefault="00235DA9" w:rsidP="00235DA9">
      <w:pPr>
        <w:spacing w:after="200" w:line="276" w:lineRule="auto"/>
        <w:jc w:val="both"/>
        <w:rPr>
          <w:rFonts w:ascii="Arial" w:eastAsia="Calibri" w:hAnsi="Arial" w:cs="Arial"/>
          <w:kern w:val="2"/>
          <w14:ligatures w14:val="standardContextual"/>
        </w:rPr>
      </w:pPr>
    </w:p>
    <w:tbl>
      <w:tblPr>
        <w:tblStyle w:val="TableGrid"/>
        <w:tblpPr w:leftFromText="180" w:rightFromText="180" w:vertAnchor="text" w:horzAnchor="margin" w:tblpY="725"/>
        <w:tblW w:w="0" w:type="auto"/>
        <w:tblLook w:val="04A0" w:firstRow="1" w:lastRow="0" w:firstColumn="1" w:lastColumn="0" w:noHBand="0" w:noVBand="1"/>
      </w:tblPr>
      <w:tblGrid>
        <w:gridCol w:w="3441"/>
        <w:gridCol w:w="3212"/>
        <w:gridCol w:w="2707"/>
      </w:tblGrid>
      <w:tr w:rsidR="00235DA9" w:rsidRPr="00D62A3B" w14:paraId="1BAB6613" w14:textId="77777777" w:rsidTr="003F7FEC">
        <w:tc>
          <w:tcPr>
            <w:tcW w:w="3441" w:type="dxa"/>
          </w:tcPr>
          <w:p w14:paraId="436FAB7A"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Element</w:t>
            </w:r>
          </w:p>
        </w:tc>
        <w:tc>
          <w:tcPr>
            <w:tcW w:w="3212" w:type="dxa"/>
          </w:tcPr>
          <w:p w14:paraId="2E124F8C"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lang w:val="en-GB"/>
                <w14:ligatures w14:val="standardContextual"/>
              </w:rPr>
              <w:t>No.of key participants(n=30)</w:t>
            </w:r>
          </w:p>
        </w:tc>
        <w:tc>
          <w:tcPr>
            <w:tcW w:w="2707" w:type="dxa"/>
          </w:tcPr>
          <w:p w14:paraId="0F827ABD"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Percentile (%)</w:t>
            </w:r>
          </w:p>
        </w:tc>
      </w:tr>
      <w:tr w:rsidR="00235DA9" w:rsidRPr="00D62A3B" w14:paraId="5669D2E7" w14:textId="77777777" w:rsidTr="003F7FEC">
        <w:tc>
          <w:tcPr>
            <w:tcW w:w="3441" w:type="dxa"/>
          </w:tcPr>
          <w:p w14:paraId="1977B056"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Insufficient risk-based assessment of dam safety</w:t>
            </w:r>
          </w:p>
        </w:tc>
        <w:tc>
          <w:tcPr>
            <w:tcW w:w="3212" w:type="dxa"/>
          </w:tcPr>
          <w:p w14:paraId="1FB48705"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25</w:t>
            </w:r>
          </w:p>
        </w:tc>
        <w:tc>
          <w:tcPr>
            <w:tcW w:w="2707" w:type="dxa"/>
          </w:tcPr>
          <w:p w14:paraId="6BAC91FF"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83.3</w:t>
            </w:r>
          </w:p>
        </w:tc>
      </w:tr>
      <w:tr w:rsidR="00235DA9" w:rsidRPr="00D62A3B" w14:paraId="7F210108" w14:textId="77777777" w:rsidTr="003F7FEC">
        <w:tc>
          <w:tcPr>
            <w:tcW w:w="3441" w:type="dxa"/>
          </w:tcPr>
          <w:p w14:paraId="34CCDE15"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Local management of dam safety is deficient</w:t>
            </w:r>
          </w:p>
        </w:tc>
        <w:tc>
          <w:tcPr>
            <w:tcW w:w="3212" w:type="dxa"/>
          </w:tcPr>
          <w:p w14:paraId="32709044"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30</w:t>
            </w:r>
          </w:p>
        </w:tc>
        <w:tc>
          <w:tcPr>
            <w:tcW w:w="2707" w:type="dxa"/>
          </w:tcPr>
          <w:p w14:paraId="235B42DE"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100.0</w:t>
            </w:r>
          </w:p>
        </w:tc>
      </w:tr>
      <w:tr w:rsidR="00235DA9" w:rsidRPr="00D62A3B" w14:paraId="14F2AF26" w14:textId="77777777" w:rsidTr="003F7FEC">
        <w:tc>
          <w:tcPr>
            <w:tcW w:w="3441" w:type="dxa"/>
          </w:tcPr>
          <w:p w14:paraId="30318D90"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Absence of centrally located dam governance</w:t>
            </w:r>
          </w:p>
        </w:tc>
        <w:tc>
          <w:tcPr>
            <w:tcW w:w="3212" w:type="dxa"/>
          </w:tcPr>
          <w:p w14:paraId="78109850"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20</w:t>
            </w:r>
          </w:p>
        </w:tc>
        <w:tc>
          <w:tcPr>
            <w:tcW w:w="2707" w:type="dxa"/>
          </w:tcPr>
          <w:p w14:paraId="2FB02E73"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66.7</w:t>
            </w:r>
          </w:p>
        </w:tc>
      </w:tr>
      <w:tr w:rsidR="00235DA9" w:rsidRPr="00D62A3B" w14:paraId="26796C79" w14:textId="77777777" w:rsidTr="003F7FEC">
        <w:tc>
          <w:tcPr>
            <w:tcW w:w="3441" w:type="dxa"/>
          </w:tcPr>
          <w:p w14:paraId="3D35EF37"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Lack of accountability</w:t>
            </w:r>
          </w:p>
        </w:tc>
        <w:tc>
          <w:tcPr>
            <w:tcW w:w="3212" w:type="dxa"/>
          </w:tcPr>
          <w:p w14:paraId="5926E37A"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24</w:t>
            </w:r>
          </w:p>
        </w:tc>
        <w:tc>
          <w:tcPr>
            <w:tcW w:w="2707" w:type="dxa"/>
          </w:tcPr>
          <w:p w14:paraId="43F198A3"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80.0</w:t>
            </w:r>
          </w:p>
        </w:tc>
      </w:tr>
      <w:tr w:rsidR="00235DA9" w:rsidRPr="00D62A3B" w14:paraId="3893079E" w14:textId="77777777" w:rsidTr="003F7FEC">
        <w:tc>
          <w:tcPr>
            <w:tcW w:w="3441" w:type="dxa"/>
          </w:tcPr>
          <w:p w14:paraId="1B432DD5"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The value of life is deemed low</w:t>
            </w:r>
          </w:p>
        </w:tc>
        <w:tc>
          <w:tcPr>
            <w:tcW w:w="3212" w:type="dxa"/>
          </w:tcPr>
          <w:p w14:paraId="7B420FFA"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18</w:t>
            </w:r>
          </w:p>
        </w:tc>
        <w:tc>
          <w:tcPr>
            <w:tcW w:w="2707" w:type="dxa"/>
          </w:tcPr>
          <w:p w14:paraId="306BF497" w14:textId="77777777" w:rsidR="00235DA9" w:rsidRPr="00D62A3B" w:rsidRDefault="00235DA9" w:rsidP="003F7FEC">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18.0</w:t>
            </w:r>
          </w:p>
        </w:tc>
      </w:tr>
    </w:tbl>
    <w:p w14:paraId="589D6F47" w14:textId="78A7AA05" w:rsidR="003941BF" w:rsidRDefault="003941BF" w:rsidP="003941BF">
      <w:pPr>
        <w:spacing w:after="200" w:line="276" w:lineRule="auto"/>
        <w:jc w:val="both"/>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Table </w:t>
      </w:r>
      <w:r w:rsidR="00235DA9">
        <w:rPr>
          <w:rFonts w:ascii="Arial" w:eastAsia="Calibri" w:hAnsi="Arial" w:cs="Arial"/>
          <w:kern w:val="2"/>
          <w14:ligatures w14:val="standardContextual"/>
        </w:rPr>
        <w:t>8</w:t>
      </w:r>
      <w:r w:rsidRPr="00D62A3B">
        <w:rPr>
          <w:rFonts w:ascii="Arial" w:eastAsia="Calibri" w:hAnsi="Arial" w:cs="Arial"/>
          <w:kern w:val="2"/>
          <w14:ligatures w14:val="standardContextual"/>
        </w:rPr>
        <w:t>.Examined human elements contributing to the current challenges in dam safety</w:t>
      </w:r>
    </w:p>
    <w:p w14:paraId="523D1C60" w14:textId="77777777" w:rsidR="00235DA9" w:rsidRDefault="00235DA9" w:rsidP="003941BF">
      <w:pPr>
        <w:spacing w:after="200" w:line="276" w:lineRule="auto"/>
        <w:jc w:val="both"/>
        <w:rPr>
          <w:rFonts w:ascii="Arial" w:eastAsia="Calibri" w:hAnsi="Arial" w:cs="Arial"/>
          <w:kern w:val="2"/>
          <w14:ligatures w14:val="standardContextual"/>
        </w:rPr>
      </w:pPr>
    </w:p>
    <w:p w14:paraId="0D766DE3" w14:textId="77777777" w:rsidR="00235DA9" w:rsidRDefault="00235DA9" w:rsidP="003941BF">
      <w:pPr>
        <w:spacing w:after="200" w:line="276" w:lineRule="auto"/>
        <w:jc w:val="both"/>
        <w:rPr>
          <w:rFonts w:ascii="Arial" w:eastAsia="Calibri" w:hAnsi="Arial" w:cs="Arial"/>
          <w:kern w:val="2"/>
          <w14:ligatures w14:val="standardContextual"/>
        </w:rPr>
      </w:pPr>
    </w:p>
    <w:p w14:paraId="13625D3B" w14:textId="77777777" w:rsidR="00235DA9" w:rsidRDefault="00235DA9" w:rsidP="003941BF">
      <w:pPr>
        <w:spacing w:after="200" w:line="276" w:lineRule="auto"/>
        <w:jc w:val="both"/>
        <w:rPr>
          <w:rFonts w:ascii="Arial" w:eastAsia="Calibri" w:hAnsi="Arial" w:cs="Arial"/>
          <w:kern w:val="2"/>
          <w14:ligatures w14:val="standardContextual"/>
        </w:rPr>
      </w:pPr>
    </w:p>
    <w:p w14:paraId="3F9F6A03" w14:textId="77777777" w:rsidR="00235DA9" w:rsidRDefault="00235DA9" w:rsidP="003941BF">
      <w:pPr>
        <w:spacing w:after="200" w:line="276" w:lineRule="auto"/>
        <w:jc w:val="both"/>
        <w:rPr>
          <w:rFonts w:ascii="Arial" w:eastAsia="Calibri" w:hAnsi="Arial" w:cs="Arial"/>
          <w:kern w:val="2"/>
          <w14:ligatures w14:val="standardContextual"/>
        </w:rPr>
      </w:pPr>
    </w:p>
    <w:p w14:paraId="61B2DD2A" w14:textId="77777777" w:rsidR="00235DA9" w:rsidRDefault="00235DA9" w:rsidP="003941BF">
      <w:pPr>
        <w:spacing w:after="200" w:line="276" w:lineRule="auto"/>
        <w:jc w:val="both"/>
        <w:rPr>
          <w:rFonts w:ascii="Arial" w:eastAsia="Calibri" w:hAnsi="Arial" w:cs="Arial"/>
          <w:kern w:val="2"/>
          <w14:ligatures w14:val="standardContextual"/>
        </w:rPr>
      </w:pPr>
    </w:p>
    <w:p w14:paraId="25DB7990" w14:textId="77777777" w:rsidR="00235DA9" w:rsidRDefault="00235DA9" w:rsidP="003941BF">
      <w:pPr>
        <w:spacing w:after="200" w:line="276" w:lineRule="auto"/>
        <w:jc w:val="both"/>
        <w:rPr>
          <w:rFonts w:ascii="Arial" w:eastAsia="Calibri" w:hAnsi="Arial" w:cs="Arial"/>
          <w:kern w:val="2"/>
          <w14:ligatures w14:val="standardContextual"/>
        </w:rPr>
      </w:pPr>
    </w:p>
    <w:p w14:paraId="6FD352F7" w14:textId="77777777" w:rsidR="00235DA9" w:rsidRDefault="00235DA9" w:rsidP="003941BF">
      <w:pPr>
        <w:spacing w:after="200" w:line="276" w:lineRule="auto"/>
        <w:jc w:val="both"/>
        <w:rPr>
          <w:rFonts w:ascii="Arial" w:eastAsia="Calibri" w:hAnsi="Arial" w:cs="Arial"/>
          <w:kern w:val="2"/>
          <w14:ligatures w14:val="standardContextual"/>
        </w:rPr>
      </w:pPr>
    </w:p>
    <w:p w14:paraId="0759B72D" w14:textId="230CD44D" w:rsidR="00E8111D" w:rsidRDefault="00235DA9" w:rsidP="003941BF">
      <w:pPr>
        <w:spacing w:after="200" w:line="276" w:lineRule="auto"/>
        <w:jc w:val="both"/>
        <w:rPr>
          <w:rFonts w:ascii="Arial" w:eastAsia="Calibri" w:hAnsi="Arial" w:cs="Arial"/>
          <w:kern w:val="2"/>
          <w14:ligatures w14:val="standardContextual"/>
        </w:rPr>
      </w:pPr>
      <w:r>
        <w:rPr>
          <w:rFonts w:ascii="Arial" w:eastAsia="Calibri" w:hAnsi="Arial" w:cs="Arial"/>
          <w:noProof/>
          <w:kern w:val="2"/>
        </w:rPr>
        <w:lastRenderedPageBreak/>
        <w:drawing>
          <wp:inline distT="0" distB="0" distL="0" distR="0" wp14:anchorId="3E3960EB" wp14:editId="3A47F422">
            <wp:extent cx="5747656" cy="36576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or affecting dam.png"/>
                    <pic:cNvPicPr/>
                  </pic:nvPicPr>
                  <pic:blipFill>
                    <a:blip r:embed="rId18">
                      <a:extLst>
                        <a:ext uri="{28A0092B-C50C-407E-A947-70E740481C1C}">
                          <a14:useLocalDpi xmlns:a14="http://schemas.microsoft.com/office/drawing/2010/main" val="0"/>
                        </a:ext>
                      </a:extLst>
                    </a:blip>
                    <a:stretch>
                      <a:fillRect/>
                    </a:stretch>
                  </pic:blipFill>
                  <pic:spPr>
                    <a:xfrm>
                      <a:off x="0" y="0"/>
                      <a:ext cx="5768105" cy="3670613"/>
                    </a:xfrm>
                    <a:prstGeom prst="rect">
                      <a:avLst/>
                    </a:prstGeom>
                  </pic:spPr>
                </pic:pic>
              </a:graphicData>
            </a:graphic>
          </wp:inline>
        </w:drawing>
      </w:r>
    </w:p>
    <w:p w14:paraId="7B5DC52C" w14:textId="77777777" w:rsidR="00235DA9" w:rsidRDefault="00235DA9" w:rsidP="00235DA9">
      <w:pPr>
        <w:spacing w:after="200" w:line="276" w:lineRule="auto"/>
        <w:jc w:val="both"/>
        <w:rPr>
          <w:rFonts w:ascii="Arial" w:eastAsia="Calibri" w:hAnsi="Arial" w:cs="Arial"/>
          <w:kern w:val="2"/>
          <w14:ligatures w14:val="standardContextual"/>
        </w:rPr>
      </w:pPr>
      <w:r w:rsidRPr="00727AC6">
        <w:rPr>
          <w:rFonts w:ascii="Arial" w:eastAsia="Calibri" w:hAnsi="Arial" w:cs="Arial"/>
          <w:kern w:val="2"/>
          <w14:ligatures w14:val="standardContextual"/>
        </w:rPr>
        <w:t xml:space="preserve">Figure </w:t>
      </w:r>
      <w:r w:rsidRPr="00727AC6">
        <w:rPr>
          <w:rFonts w:ascii="Arial" w:eastAsia="Calibri" w:hAnsi="Arial" w:cs="Arial"/>
          <w:kern w:val="2"/>
          <w14:ligatures w14:val="standardContextual"/>
        </w:rPr>
        <w:fldChar w:fldCharType="begin"/>
      </w:r>
      <w:r w:rsidRPr="00727AC6">
        <w:rPr>
          <w:rFonts w:ascii="Arial" w:eastAsia="Calibri" w:hAnsi="Arial" w:cs="Arial"/>
          <w:kern w:val="2"/>
          <w14:ligatures w14:val="standardContextual"/>
        </w:rPr>
        <w:instrText xml:space="preserve"> SEQ Figure \* ARABIC </w:instrText>
      </w:r>
      <w:r w:rsidRPr="00727AC6">
        <w:rPr>
          <w:rFonts w:ascii="Arial" w:eastAsia="Calibri" w:hAnsi="Arial" w:cs="Arial"/>
          <w:kern w:val="2"/>
          <w14:ligatures w14:val="standardContextual"/>
        </w:rPr>
        <w:fldChar w:fldCharType="separate"/>
      </w:r>
      <w:r w:rsidRPr="00727AC6">
        <w:rPr>
          <w:rFonts w:ascii="Arial" w:eastAsia="Calibri" w:hAnsi="Arial" w:cs="Arial"/>
          <w:kern w:val="2"/>
          <w14:ligatures w14:val="standardContextual"/>
        </w:rPr>
        <w:t>5</w:t>
      </w:r>
      <w:r w:rsidRPr="00727AC6">
        <w:rPr>
          <w:rFonts w:ascii="Arial" w:eastAsia="Calibri" w:hAnsi="Arial" w:cs="Arial"/>
          <w:kern w:val="2"/>
          <w14:ligatures w14:val="standardContextual"/>
        </w:rPr>
        <w:fldChar w:fldCharType="end"/>
      </w:r>
      <w:r w:rsidRPr="00727AC6">
        <w:rPr>
          <w:rFonts w:ascii="Arial" w:eastAsia="Calibri" w:hAnsi="Arial" w:cs="Arial"/>
          <w:kern w:val="2"/>
          <w14:ligatures w14:val="standardContextual"/>
        </w:rPr>
        <w:t>.Factor contributing the current challenges the dam safety</w:t>
      </w:r>
    </w:p>
    <w:p w14:paraId="57621D59" w14:textId="77777777" w:rsidR="00235DA9" w:rsidRDefault="00235DA9" w:rsidP="00235DA9">
      <w:pPr>
        <w:spacing w:after="200"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All 30 participants unanimously agreed that the local management of dam safety is deficient.</w:t>
      </w:r>
      <w:r w:rsidRPr="00D62A3B">
        <w:rPr>
          <w:rFonts w:ascii="Arial" w:hAnsi="Arial" w:cs="Arial"/>
        </w:rPr>
        <w:t xml:space="preserve"> </w:t>
      </w:r>
      <w:r w:rsidRPr="00D62A3B">
        <w:rPr>
          <w:rFonts w:ascii="Arial" w:eastAsia="Calibri" w:hAnsi="Arial" w:cs="Arial"/>
          <w:kern w:val="2"/>
          <w14:ligatures w14:val="standardContextual"/>
        </w:rPr>
        <w:t>This represents 100% agreement among participants, showing a unanimous concern about the competence and effectiveness of local management in ensuring dam safety by the concerned authority. 83.3% of the participants believe that the current methods used to evaluate the safety risks of dams are inadequate.</w:t>
      </w:r>
      <w:r w:rsidRPr="00D62A3B">
        <w:rPr>
          <w:rFonts w:ascii="Arial" w:hAnsi="Arial" w:cs="Arial"/>
        </w:rPr>
        <w:t xml:space="preserve"> While </w:t>
      </w:r>
      <w:r w:rsidRPr="00D62A3B">
        <w:rPr>
          <w:rFonts w:ascii="Arial" w:eastAsia="Calibri" w:hAnsi="Arial" w:cs="Arial"/>
          <w:kern w:val="2"/>
          <w14:ligatures w14:val="standardContextual"/>
        </w:rPr>
        <w:t>66.7% of the participants see the lack of a central authority as a significant issue in managing dam safety effectively. In addition, 18% agreement among participants, suggests that a minority perceives a disregard for human life in dam safety considerations.</w:t>
      </w:r>
    </w:p>
    <w:p w14:paraId="4ED9F1F8" w14:textId="77777777" w:rsidR="00DE3490" w:rsidRPr="003E2E67" w:rsidRDefault="00DE3490" w:rsidP="00DE3490">
      <w:pPr>
        <w:spacing w:line="276" w:lineRule="auto"/>
        <w:jc w:val="both"/>
        <w:rPr>
          <w:rFonts w:ascii="Arial" w:eastAsia="Calibri" w:hAnsi="Arial" w:cs="Arial"/>
          <w:kern w:val="2"/>
          <w:lang w:val="en-GB"/>
          <w14:ligatures w14:val="standardContextual"/>
        </w:rPr>
      </w:pPr>
      <w:r w:rsidRPr="003E2E67">
        <w:rPr>
          <w:rFonts w:ascii="Arial" w:eastAsia="Calibri" w:hAnsi="Arial" w:cs="Arial"/>
          <w:kern w:val="2"/>
          <w:lang w:val="en-GB"/>
          <w14:ligatures w14:val="standardContextual"/>
        </w:rPr>
        <w:t xml:space="preserve">Table </w:t>
      </w:r>
      <w:r>
        <w:rPr>
          <w:rFonts w:ascii="Arial" w:eastAsia="Calibri" w:hAnsi="Arial" w:cs="Arial"/>
          <w:kern w:val="2"/>
          <w:lang w:val="en-GB"/>
          <w14:ligatures w14:val="standardContextual"/>
        </w:rPr>
        <w:t>9</w:t>
      </w:r>
      <w:r w:rsidRPr="003E2E67">
        <w:rPr>
          <w:rFonts w:ascii="Arial" w:eastAsia="Calibri" w:hAnsi="Arial" w:cs="Arial"/>
          <w:kern w:val="2"/>
          <w:lang w:val="en-GB"/>
          <w14:ligatures w14:val="standardContextual"/>
        </w:rPr>
        <w:t>.Key stakeholders’ shared concerns about the Mindu dam</w:t>
      </w:r>
    </w:p>
    <w:tbl>
      <w:tblPr>
        <w:tblStyle w:val="TableGrid"/>
        <w:tblW w:w="10268" w:type="dxa"/>
        <w:tblLook w:val="04A0" w:firstRow="1" w:lastRow="0" w:firstColumn="1" w:lastColumn="0" w:noHBand="0" w:noVBand="1"/>
      </w:tblPr>
      <w:tblGrid>
        <w:gridCol w:w="5102"/>
        <w:gridCol w:w="2940"/>
        <w:gridCol w:w="2226"/>
      </w:tblGrid>
      <w:tr w:rsidR="00DE3490" w:rsidRPr="00B337CE" w14:paraId="75E1F5AF" w14:textId="77777777" w:rsidTr="003F7FEC">
        <w:trPr>
          <w:trHeight w:val="774"/>
        </w:trPr>
        <w:tc>
          <w:tcPr>
            <w:tcW w:w="5102" w:type="dxa"/>
          </w:tcPr>
          <w:p w14:paraId="1A24A1B8"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Problems associated with the dam</w:t>
            </w:r>
          </w:p>
        </w:tc>
        <w:tc>
          <w:tcPr>
            <w:tcW w:w="2940" w:type="dxa"/>
          </w:tcPr>
          <w:p w14:paraId="0A5CD588"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No.of key participants (n=30)</w:t>
            </w:r>
          </w:p>
        </w:tc>
        <w:tc>
          <w:tcPr>
            <w:tcW w:w="2226" w:type="dxa"/>
          </w:tcPr>
          <w:p w14:paraId="26787309" w14:textId="77777777" w:rsidR="00DE3490" w:rsidRPr="00B337CE" w:rsidRDefault="00DE3490" w:rsidP="003F7FEC">
            <w:pPr>
              <w:spacing w:line="276" w:lineRule="auto"/>
              <w:jc w:val="both"/>
              <w:rPr>
                <w:rFonts w:ascii="Arial" w:hAnsi="Arial" w:cs="Arial"/>
                <w:b/>
                <w:kern w:val="2"/>
                <w14:ligatures w14:val="standardContextual"/>
              </w:rPr>
            </w:pPr>
            <w:r w:rsidRPr="00B337CE">
              <w:rPr>
                <w:rFonts w:ascii="Arial" w:hAnsi="Arial" w:cs="Arial"/>
                <w:b/>
                <w:kern w:val="2"/>
                <w14:ligatures w14:val="standardContextual"/>
              </w:rPr>
              <w:t>Percentile (%)</w:t>
            </w:r>
          </w:p>
        </w:tc>
      </w:tr>
      <w:tr w:rsidR="00DE3490" w:rsidRPr="00B337CE" w14:paraId="222A6AA0" w14:textId="77777777" w:rsidTr="003F7FEC">
        <w:trPr>
          <w:trHeight w:val="377"/>
        </w:trPr>
        <w:tc>
          <w:tcPr>
            <w:tcW w:w="5102" w:type="dxa"/>
          </w:tcPr>
          <w:p w14:paraId="789B3D79"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Water seepage</w:t>
            </w:r>
          </w:p>
        </w:tc>
        <w:tc>
          <w:tcPr>
            <w:tcW w:w="2940" w:type="dxa"/>
          </w:tcPr>
          <w:p w14:paraId="76923162"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15</w:t>
            </w:r>
          </w:p>
        </w:tc>
        <w:tc>
          <w:tcPr>
            <w:tcW w:w="2226" w:type="dxa"/>
          </w:tcPr>
          <w:p w14:paraId="617D6221"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50.0</w:t>
            </w:r>
          </w:p>
        </w:tc>
      </w:tr>
      <w:tr w:rsidR="00DE3490" w:rsidRPr="00B337CE" w14:paraId="409F9464" w14:textId="77777777" w:rsidTr="003F7FEC">
        <w:trPr>
          <w:trHeight w:val="377"/>
        </w:trPr>
        <w:tc>
          <w:tcPr>
            <w:tcW w:w="5102" w:type="dxa"/>
          </w:tcPr>
          <w:p w14:paraId="50493F69"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Soil Erosion</w:t>
            </w:r>
          </w:p>
        </w:tc>
        <w:tc>
          <w:tcPr>
            <w:tcW w:w="2940" w:type="dxa"/>
          </w:tcPr>
          <w:p w14:paraId="25127D55"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28</w:t>
            </w:r>
          </w:p>
        </w:tc>
        <w:tc>
          <w:tcPr>
            <w:tcW w:w="2226" w:type="dxa"/>
          </w:tcPr>
          <w:p w14:paraId="515EE5B8"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93.3</w:t>
            </w:r>
          </w:p>
        </w:tc>
      </w:tr>
      <w:tr w:rsidR="00DE3490" w:rsidRPr="00B337CE" w14:paraId="5A8D21D0" w14:textId="77777777" w:rsidTr="003F7FEC">
        <w:trPr>
          <w:trHeight w:val="377"/>
        </w:trPr>
        <w:tc>
          <w:tcPr>
            <w:tcW w:w="5102" w:type="dxa"/>
          </w:tcPr>
          <w:p w14:paraId="450CA448"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Breaking</w:t>
            </w:r>
          </w:p>
        </w:tc>
        <w:tc>
          <w:tcPr>
            <w:tcW w:w="2940" w:type="dxa"/>
          </w:tcPr>
          <w:p w14:paraId="110743D6"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20</w:t>
            </w:r>
          </w:p>
        </w:tc>
        <w:tc>
          <w:tcPr>
            <w:tcW w:w="2226" w:type="dxa"/>
          </w:tcPr>
          <w:p w14:paraId="5EC22EE0"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66.7</w:t>
            </w:r>
          </w:p>
        </w:tc>
      </w:tr>
      <w:tr w:rsidR="00DE3490" w:rsidRPr="00B337CE" w14:paraId="7553287F" w14:textId="77777777" w:rsidTr="003F7FEC">
        <w:trPr>
          <w:trHeight w:val="377"/>
        </w:trPr>
        <w:tc>
          <w:tcPr>
            <w:tcW w:w="5102" w:type="dxa"/>
          </w:tcPr>
          <w:p w14:paraId="73570B9D"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 xml:space="preserve">Incapacity due to sedimentation and/or losses </w:t>
            </w:r>
          </w:p>
        </w:tc>
        <w:tc>
          <w:tcPr>
            <w:tcW w:w="2940" w:type="dxa"/>
          </w:tcPr>
          <w:p w14:paraId="6D658B2E"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30</w:t>
            </w:r>
          </w:p>
        </w:tc>
        <w:tc>
          <w:tcPr>
            <w:tcW w:w="2226" w:type="dxa"/>
          </w:tcPr>
          <w:p w14:paraId="6B995B5E"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100.0</w:t>
            </w:r>
          </w:p>
        </w:tc>
      </w:tr>
      <w:tr w:rsidR="00DE3490" w:rsidRPr="00B337CE" w14:paraId="2D7312C4" w14:textId="77777777" w:rsidTr="003F7FEC">
        <w:trPr>
          <w:trHeight w:val="377"/>
        </w:trPr>
        <w:tc>
          <w:tcPr>
            <w:tcW w:w="5102" w:type="dxa"/>
          </w:tcPr>
          <w:p w14:paraId="12457A03"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blocked exit</w:t>
            </w:r>
          </w:p>
        </w:tc>
        <w:tc>
          <w:tcPr>
            <w:tcW w:w="2940" w:type="dxa"/>
          </w:tcPr>
          <w:p w14:paraId="0E6691E5"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15</w:t>
            </w:r>
          </w:p>
        </w:tc>
        <w:tc>
          <w:tcPr>
            <w:tcW w:w="2226" w:type="dxa"/>
          </w:tcPr>
          <w:p w14:paraId="0FF7B8A4"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50.0</w:t>
            </w:r>
          </w:p>
        </w:tc>
      </w:tr>
      <w:tr w:rsidR="00DE3490" w:rsidRPr="00B337CE" w14:paraId="0685529E" w14:textId="77777777" w:rsidTr="003F7FEC">
        <w:trPr>
          <w:trHeight w:val="377"/>
        </w:trPr>
        <w:tc>
          <w:tcPr>
            <w:tcW w:w="5102" w:type="dxa"/>
          </w:tcPr>
          <w:p w14:paraId="32A3C2F8"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An improperly constructed spillway</w:t>
            </w:r>
          </w:p>
        </w:tc>
        <w:tc>
          <w:tcPr>
            <w:tcW w:w="2940" w:type="dxa"/>
          </w:tcPr>
          <w:p w14:paraId="4F7B6ECC"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20</w:t>
            </w:r>
          </w:p>
        </w:tc>
        <w:tc>
          <w:tcPr>
            <w:tcW w:w="2226" w:type="dxa"/>
          </w:tcPr>
          <w:p w14:paraId="4D56659F"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66.7</w:t>
            </w:r>
          </w:p>
        </w:tc>
      </w:tr>
      <w:tr w:rsidR="00DE3490" w:rsidRPr="00B337CE" w14:paraId="07FFE564" w14:textId="77777777" w:rsidTr="003F7FEC">
        <w:trPr>
          <w:trHeight w:val="377"/>
        </w:trPr>
        <w:tc>
          <w:tcPr>
            <w:tcW w:w="5102" w:type="dxa"/>
          </w:tcPr>
          <w:p w14:paraId="43BF204F"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Unlawful activity (sabotage or vandalism)</w:t>
            </w:r>
          </w:p>
        </w:tc>
        <w:tc>
          <w:tcPr>
            <w:tcW w:w="2940" w:type="dxa"/>
          </w:tcPr>
          <w:p w14:paraId="16475749"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19</w:t>
            </w:r>
          </w:p>
        </w:tc>
        <w:tc>
          <w:tcPr>
            <w:tcW w:w="2226" w:type="dxa"/>
          </w:tcPr>
          <w:p w14:paraId="49EC442A"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63.3</w:t>
            </w:r>
          </w:p>
        </w:tc>
      </w:tr>
      <w:tr w:rsidR="00DE3490" w:rsidRPr="00B337CE" w14:paraId="5F3A737E" w14:textId="77777777" w:rsidTr="003F7FEC">
        <w:trPr>
          <w:trHeight w:val="377"/>
        </w:trPr>
        <w:tc>
          <w:tcPr>
            <w:tcW w:w="5102" w:type="dxa"/>
          </w:tcPr>
          <w:p w14:paraId="7F0FD08A"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 xml:space="preserve">Excessing growing of vegetation/ trees </w:t>
            </w:r>
          </w:p>
        </w:tc>
        <w:tc>
          <w:tcPr>
            <w:tcW w:w="2940" w:type="dxa"/>
          </w:tcPr>
          <w:p w14:paraId="1CC04C93"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29</w:t>
            </w:r>
          </w:p>
        </w:tc>
        <w:tc>
          <w:tcPr>
            <w:tcW w:w="2226" w:type="dxa"/>
          </w:tcPr>
          <w:p w14:paraId="1846626B"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96.7</w:t>
            </w:r>
          </w:p>
        </w:tc>
      </w:tr>
      <w:tr w:rsidR="00DE3490" w:rsidRPr="00B337CE" w14:paraId="39B9DEE6" w14:textId="77777777" w:rsidTr="003F7FEC">
        <w:trPr>
          <w:trHeight w:val="377"/>
        </w:trPr>
        <w:tc>
          <w:tcPr>
            <w:tcW w:w="5102" w:type="dxa"/>
          </w:tcPr>
          <w:p w14:paraId="606D93B2"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lastRenderedPageBreak/>
              <w:t>A sinkhole</w:t>
            </w:r>
          </w:p>
        </w:tc>
        <w:tc>
          <w:tcPr>
            <w:tcW w:w="2940" w:type="dxa"/>
          </w:tcPr>
          <w:p w14:paraId="66C7F538"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20</w:t>
            </w:r>
          </w:p>
        </w:tc>
        <w:tc>
          <w:tcPr>
            <w:tcW w:w="2226" w:type="dxa"/>
          </w:tcPr>
          <w:p w14:paraId="20175238"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66.7</w:t>
            </w:r>
          </w:p>
        </w:tc>
      </w:tr>
      <w:tr w:rsidR="00DE3490" w:rsidRPr="00B337CE" w14:paraId="5BB059C0" w14:textId="77777777" w:rsidTr="003F7FEC">
        <w:trPr>
          <w:trHeight w:val="377"/>
        </w:trPr>
        <w:tc>
          <w:tcPr>
            <w:tcW w:w="5102" w:type="dxa"/>
          </w:tcPr>
          <w:p w14:paraId="2AA8EC02"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Land/Soil slides</w:t>
            </w:r>
          </w:p>
        </w:tc>
        <w:tc>
          <w:tcPr>
            <w:tcW w:w="2940" w:type="dxa"/>
          </w:tcPr>
          <w:p w14:paraId="2D72C306"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30</w:t>
            </w:r>
          </w:p>
        </w:tc>
        <w:tc>
          <w:tcPr>
            <w:tcW w:w="2226" w:type="dxa"/>
          </w:tcPr>
          <w:p w14:paraId="26B07CCC" w14:textId="77777777" w:rsidR="00DE3490" w:rsidRPr="00B337CE" w:rsidRDefault="00DE3490" w:rsidP="003F7FEC">
            <w:pPr>
              <w:spacing w:line="276" w:lineRule="auto"/>
              <w:jc w:val="both"/>
              <w:rPr>
                <w:rFonts w:ascii="Arial" w:hAnsi="Arial" w:cs="Arial"/>
                <w:kern w:val="2"/>
                <w14:ligatures w14:val="standardContextual"/>
              </w:rPr>
            </w:pPr>
            <w:r w:rsidRPr="00B337CE">
              <w:rPr>
                <w:rFonts w:ascii="Arial" w:hAnsi="Arial" w:cs="Arial"/>
                <w:kern w:val="2"/>
                <w14:ligatures w14:val="standardContextual"/>
              </w:rPr>
              <w:t>100.0</w:t>
            </w:r>
          </w:p>
        </w:tc>
      </w:tr>
    </w:tbl>
    <w:p w14:paraId="46ABFB71" w14:textId="4C55F761" w:rsidR="00DE3490" w:rsidRDefault="00DE3490" w:rsidP="00235DA9">
      <w:pPr>
        <w:spacing w:after="200" w:line="276" w:lineRule="auto"/>
      </w:pPr>
      <w:r w:rsidRPr="00B337CE">
        <w:rPr>
          <w:rFonts w:ascii="Arial" w:eastAsia="Calibri" w:hAnsi="Arial" w:cs="Arial"/>
          <w:noProof/>
          <w:kern w:val="2"/>
        </w:rPr>
        <w:drawing>
          <wp:anchor distT="0" distB="0" distL="114300" distR="114300" simplePos="0" relativeHeight="251659264" behindDoc="1" locked="0" layoutInCell="1" allowOverlap="1" wp14:anchorId="190021AD" wp14:editId="2DD6914E">
            <wp:simplePos x="0" y="0"/>
            <wp:positionH relativeFrom="margin">
              <wp:align>left</wp:align>
            </wp:positionH>
            <wp:positionV relativeFrom="page">
              <wp:posOffset>1709420</wp:posOffset>
            </wp:positionV>
            <wp:extent cx="5791835" cy="3067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ystakeholder concern.png"/>
                    <pic:cNvPicPr/>
                  </pic:nvPicPr>
                  <pic:blipFill>
                    <a:blip r:embed="rId19">
                      <a:extLst>
                        <a:ext uri="{28A0092B-C50C-407E-A947-70E740481C1C}">
                          <a14:useLocalDpi xmlns:a14="http://schemas.microsoft.com/office/drawing/2010/main" val="0"/>
                        </a:ext>
                      </a:extLst>
                    </a:blip>
                    <a:stretch>
                      <a:fillRect/>
                    </a:stretch>
                  </pic:blipFill>
                  <pic:spPr>
                    <a:xfrm>
                      <a:off x="0" y="0"/>
                      <a:ext cx="5791835" cy="3067050"/>
                    </a:xfrm>
                    <a:prstGeom prst="rect">
                      <a:avLst/>
                    </a:prstGeom>
                  </pic:spPr>
                </pic:pic>
              </a:graphicData>
            </a:graphic>
          </wp:anchor>
        </w:drawing>
      </w:r>
    </w:p>
    <w:p w14:paraId="0F40C955" w14:textId="77777777" w:rsidR="00DE3490" w:rsidRDefault="00DE3490" w:rsidP="00235DA9">
      <w:pPr>
        <w:spacing w:after="200" w:line="276" w:lineRule="auto"/>
      </w:pPr>
    </w:p>
    <w:p w14:paraId="598E3F9D" w14:textId="77777777" w:rsidR="00DE3490" w:rsidRDefault="00DE3490" w:rsidP="00235DA9">
      <w:pPr>
        <w:spacing w:after="200" w:line="276" w:lineRule="auto"/>
      </w:pPr>
    </w:p>
    <w:p w14:paraId="412B4BBE" w14:textId="77777777" w:rsidR="00DE3490" w:rsidRDefault="00DE3490" w:rsidP="00235DA9">
      <w:pPr>
        <w:spacing w:after="200" w:line="276" w:lineRule="auto"/>
      </w:pPr>
    </w:p>
    <w:p w14:paraId="35058C78" w14:textId="77777777" w:rsidR="00DE3490" w:rsidRDefault="00DE3490" w:rsidP="00235DA9">
      <w:pPr>
        <w:spacing w:after="200" w:line="276" w:lineRule="auto"/>
      </w:pPr>
    </w:p>
    <w:p w14:paraId="30EAA645" w14:textId="77777777" w:rsidR="00DE3490" w:rsidRDefault="00DE3490" w:rsidP="00235DA9">
      <w:pPr>
        <w:spacing w:after="200" w:line="276" w:lineRule="auto"/>
      </w:pPr>
    </w:p>
    <w:p w14:paraId="34F97444" w14:textId="77777777" w:rsidR="00DE3490" w:rsidRDefault="00DE3490" w:rsidP="00235DA9">
      <w:pPr>
        <w:spacing w:after="200" w:line="276" w:lineRule="auto"/>
      </w:pPr>
    </w:p>
    <w:p w14:paraId="60EE2E51" w14:textId="77777777" w:rsidR="00DE3490" w:rsidRDefault="00DE3490" w:rsidP="00235DA9">
      <w:pPr>
        <w:spacing w:after="200" w:line="276" w:lineRule="auto"/>
      </w:pPr>
    </w:p>
    <w:p w14:paraId="2C73BC8F" w14:textId="77777777" w:rsidR="00DE3490" w:rsidRDefault="00DE3490" w:rsidP="00235DA9">
      <w:pPr>
        <w:spacing w:after="200" w:line="276" w:lineRule="auto"/>
      </w:pPr>
    </w:p>
    <w:p w14:paraId="6F157956" w14:textId="77777777" w:rsidR="00DE3490" w:rsidRDefault="00DE3490" w:rsidP="00235DA9">
      <w:pPr>
        <w:spacing w:after="200" w:line="276" w:lineRule="auto"/>
      </w:pPr>
    </w:p>
    <w:p w14:paraId="25DCCBB5" w14:textId="77777777" w:rsidR="00DE3490" w:rsidRDefault="00DE3490" w:rsidP="00235DA9">
      <w:pPr>
        <w:spacing w:after="200" w:line="276" w:lineRule="auto"/>
      </w:pPr>
    </w:p>
    <w:p w14:paraId="5F20C5BA" w14:textId="77777777" w:rsidR="008E567A" w:rsidRDefault="008E567A" w:rsidP="003941BF">
      <w:pPr>
        <w:spacing w:after="200" w:line="276" w:lineRule="auto"/>
        <w:jc w:val="both"/>
      </w:pPr>
    </w:p>
    <w:p w14:paraId="2619741B" w14:textId="77777777" w:rsidR="00DE3490" w:rsidRDefault="00DE3490" w:rsidP="00DE3490">
      <w:pPr>
        <w:spacing w:line="276" w:lineRule="auto"/>
        <w:jc w:val="both"/>
        <w:rPr>
          <w:rFonts w:ascii="Arial" w:eastAsia="Calibri" w:hAnsi="Arial" w:cs="Arial"/>
          <w:kern w:val="2"/>
          <w14:ligatures w14:val="standardContextual"/>
        </w:rPr>
      </w:pPr>
      <w:r w:rsidRPr="00727AC6">
        <w:rPr>
          <w:rFonts w:ascii="Arial" w:eastAsia="Calibri" w:hAnsi="Arial" w:cs="Arial"/>
          <w:kern w:val="2"/>
          <w14:ligatures w14:val="standardContextual"/>
        </w:rPr>
        <w:t>Figure</w:t>
      </w:r>
      <w:r>
        <w:rPr>
          <w:rFonts w:ascii="Arial" w:eastAsia="Calibri" w:hAnsi="Arial" w:cs="Arial"/>
          <w:kern w:val="2"/>
          <w14:ligatures w14:val="standardContextual"/>
        </w:rPr>
        <w:t xml:space="preserve"> 6</w:t>
      </w:r>
      <w:r w:rsidRPr="00727AC6">
        <w:rPr>
          <w:rFonts w:ascii="Arial" w:eastAsia="Calibri" w:hAnsi="Arial" w:cs="Arial"/>
          <w:kern w:val="2"/>
          <w14:ligatures w14:val="standardContextual"/>
        </w:rPr>
        <w:t>. Stakeholders</w:t>
      </w:r>
      <w:r w:rsidRPr="0054467E">
        <w:rPr>
          <w:rFonts w:ascii="Arial" w:eastAsia="Calibri" w:hAnsi="Arial" w:cs="Arial"/>
          <w:kern w:val="2"/>
          <w14:ligatures w14:val="standardContextual"/>
        </w:rPr>
        <w:t xml:space="preserve"> concerning on problem affecting the </w:t>
      </w:r>
      <w:r w:rsidRPr="00727AC6">
        <w:rPr>
          <w:rFonts w:ascii="Arial" w:eastAsia="Calibri" w:hAnsi="Arial" w:cs="Arial"/>
          <w:kern w:val="2"/>
          <w14:ligatures w14:val="standardContextual"/>
        </w:rPr>
        <w:t>Mindu</w:t>
      </w:r>
      <w:r w:rsidRPr="00DE0D93">
        <w:rPr>
          <w:rFonts w:ascii="Arial" w:eastAsia="Calibri" w:hAnsi="Arial" w:cs="Arial"/>
          <w:kern w:val="2"/>
          <w14:ligatures w14:val="standardContextual"/>
        </w:rPr>
        <w:t xml:space="preserve"> dam.</w:t>
      </w:r>
    </w:p>
    <w:p w14:paraId="1B912186" w14:textId="77777777" w:rsidR="00DE3490" w:rsidRPr="001052B8" w:rsidRDefault="00DE3490" w:rsidP="00DE3490">
      <w:pPr>
        <w:spacing w:line="276" w:lineRule="auto"/>
        <w:jc w:val="both"/>
        <w:rPr>
          <w:rFonts w:ascii="Arial" w:eastAsia="Calibri" w:hAnsi="Arial" w:cs="Arial"/>
          <w:kern w:val="2"/>
          <w14:ligatures w14:val="standardContextual"/>
        </w:rPr>
      </w:pPr>
    </w:p>
    <w:p w14:paraId="3987E7DB" w14:textId="77777777" w:rsidR="00DE3490" w:rsidRDefault="00DE3490" w:rsidP="00DE3490">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100% of all stakeholders agree that sedimentation and material losses reduce the dam's capacity to hold water, affecting its efficiency and longevity. (93.3%) of the household are worried about soil erosion around the dam area. 93.3% of the respondents agreed that</w:t>
      </w:r>
      <w:r w:rsidRPr="00D62A3B">
        <w:rPr>
          <w:rFonts w:ascii="Arial" w:hAnsi="Arial" w:cs="Arial"/>
        </w:rPr>
        <w:t xml:space="preserve"> </w:t>
      </w:r>
      <w:r w:rsidRPr="00D62A3B">
        <w:rPr>
          <w:rFonts w:ascii="Arial" w:eastAsia="Calibri" w:hAnsi="Arial" w:cs="Arial"/>
          <w:kern w:val="2"/>
          <w14:ligatures w14:val="standardContextual"/>
        </w:rPr>
        <w:t>Erosion can undermine the dam’s foundation, leading to structural instability.50% of the households interviewed are concerned about water seeping through the dam, which can weaken the structure and lead to potential failures.66.7%</w:t>
      </w:r>
      <w:r w:rsidRPr="00D62A3B">
        <w:rPr>
          <w:rFonts w:ascii="Arial" w:hAnsi="Arial" w:cs="Arial"/>
        </w:rPr>
        <w:t xml:space="preserve"> </w:t>
      </w:r>
      <w:r w:rsidRPr="00D62A3B">
        <w:rPr>
          <w:rFonts w:ascii="Arial" w:eastAsia="Calibri" w:hAnsi="Arial" w:cs="Arial"/>
          <w:kern w:val="2"/>
          <w14:ligatures w14:val="standardContextual"/>
        </w:rPr>
        <w:t>of the participants are concerned about the dam breaking. This reflects fears of catastrophic failure resulting in flooding and extensive damage downstream.</w:t>
      </w:r>
    </w:p>
    <w:p w14:paraId="1BF877D2" w14:textId="77777777" w:rsidR="00DE3490" w:rsidRDefault="00DE3490" w:rsidP="003941BF">
      <w:pPr>
        <w:spacing w:after="200" w:line="276" w:lineRule="auto"/>
        <w:jc w:val="both"/>
        <w:rPr>
          <w:rFonts w:ascii="Arial" w:eastAsia="Calibri" w:hAnsi="Arial" w:cs="Arial"/>
          <w:kern w:val="2"/>
          <w14:ligatures w14:val="standardContextual"/>
        </w:rPr>
      </w:pPr>
    </w:p>
    <w:p w14:paraId="0567A27C" w14:textId="77777777" w:rsidR="00DE3490" w:rsidRPr="00AB691A" w:rsidRDefault="00DE3490" w:rsidP="00DE3490">
      <w:pPr>
        <w:spacing w:line="276" w:lineRule="auto"/>
        <w:jc w:val="both"/>
        <w:rPr>
          <w:rFonts w:ascii="Arial" w:eastAsia="Calibri" w:hAnsi="Arial" w:cs="Arial"/>
          <w:bCs/>
          <w:kern w:val="2"/>
          <w14:ligatures w14:val="standardContextual"/>
        </w:rPr>
      </w:pPr>
      <w:r>
        <w:rPr>
          <w:rFonts w:ascii="Arial" w:eastAsia="Calibri" w:hAnsi="Arial" w:cs="Arial"/>
          <w:bCs/>
          <w:kern w:val="2"/>
          <w14:ligatures w14:val="standardContextual"/>
        </w:rPr>
        <w:t>Table 10.</w:t>
      </w:r>
      <w:r w:rsidRPr="00AB691A">
        <w:rPr>
          <w:rFonts w:ascii="Arial" w:eastAsia="Calibri" w:hAnsi="Arial" w:cs="Arial"/>
          <w:bCs/>
          <w:kern w:val="2"/>
          <w14:ligatures w14:val="standardContextual"/>
        </w:rPr>
        <w:t>Most Vulnerable Social Groups Affected by Dam Risks</w:t>
      </w:r>
    </w:p>
    <w:tbl>
      <w:tblPr>
        <w:tblStyle w:val="TableGrid1"/>
        <w:tblW w:w="9350" w:type="dxa"/>
        <w:tblLook w:val="04A0" w:firstRow="1" w:lastRow="0" w:firstColumn="1" w:lastColumn="0" w:noHBand="0" w:noVBand="1"/>
      </w:tblPr>
      <w:tblGrid>
        <w:gridCol w:w="1908"/>
        <w:gridCol w:w="1993"/>
        <w:gridCol w:w="1689"/>
        <w:gridCol w:w="1754"/>
        <w:gridCol w:w="2006"/>
      </w:tblGrid>
      <w:tr w:rsidR="00DE3490" w:rsidRPr="00E0659C" w14:paraId="5DEE8C98" w14:textId="77777777" w:rsidTr="003F7FEC">
        <w:tc>
          <w:tcPr>
            <w:tcW w:w="1930" w:type="dxa"/>
            <w:hideMark/>
          </w:tcPr>
          <w:p w14:paraId="73D12F8F" w14:textId="77777777" w:rsidR="00DE3490" w:rsidRPr="00E0659C" w:rsidRDefault="00DE3490" w:rsidP="003F7FEC">
            <w:pPr>
              <w:tabs>
                <w:tab w:val="left" w:pos="1560"/>
              </w:tabs>
              <w:spacing w:line="259" w:lineRule="auto"/>
              <w:rPr>
                <w:rFonts w:ascii="Arial" w:hAnsi="Arial" w:cs="Arial"/>
                <w:b/>
                <w:bCs/>
                <w:sz w:val="20"/>
                <w:szCs w:val="20"/>
              </w:rPr>
            </w:pPr>
            <w:r w:rsidRPr="00E0659C">
              <w:rPr>
                <w:rFonts w:ascii="Arial" w:hAnsi="Arial" w:cs="Arial"/>
                <w:b/>
                <w:bCs/>
                <w:sz w:val="20"/>
                <w:szCs w:val="20"/>
              </w:rPr>
              <w:t>Vulnerable Social Group</w:t>
            </w:r>
          </w:p>
        </w:tc>
        <w:tc>
          <w:tcPr>
            <w:tcW w:w="2023" w:type="dxa"/>
            <w:hideMark/>
          </w:tcPr>
          <w:p w14:paraId="3B1A69D9" w14:textId="77777777" w:rsidR="00DE3490" w:rsidRPr="00E0659C" w:rsidRDefault="00DE3490" w:rsidP="003F7FEC">
            <w:pPr>
              <w:tabs>
                <w:tab w:val="left" w:pos="1560"/>
              </w:tabs>
              <w:spacing w:line="259" w:lineRule="auto"/>
              <w:rPr>
                <w:rFonts w:ascii="Arial" w:hAnsi="Arial" w:cs="Arial"/>
                <w:b/>
                <w:bCs/>
                <w:sz w:val="20"/>
                <w:szCs w:val="20"/>
              </w:rPr>
            </w:pPr>
            <w:r w:rsidRPr="00E0659C">
              <w:rPr>
                <w:rFonts w:ascii="Arial" w:hAnsi="Arial" w:cs="Arial"/>
                <w:b/>
                <w:bCs/>
                <w:sz w:val="20"/>
                <w:szCs w:val="20"/>
              </w:rPr>
              <w:t>Vulnerability</w:t>
            </w:r>
          </w:p>
        </w:tc>
        <w:tc>
          <w:tcPr>
            <w:tcW w:w="1702" w:type="dxa"/>
            <w:hideMark/>
          </w:tcPr>
          <w:p w14:paraId="7F5B8F0E" w14:textId="77777777" w:rsidR="00DE3490" w:rsidRPr="00E0659C" w:rsidRDefault="00DE3490" w:rsidP="003F7FEC">
            <w:pPr>
              <w:tabs>
                <w:tab w:val="left" w:pos="1560"/>
              </w:tabs>
              <w:spacing w:line="259" w:lineRule="auto"/>
              <w:rPr>
                <w:rFonts w:ascii="Arial" w:hAnsi="Arial" w:cs="Arial"/>
                <w:b/>
                <w:bCs/>
                <w:sz w:val="20"/>
                <w:szCs w:val="20"/>
              </w:rPr>
            </w:pPr>
            <w:r w:rsidRPr="00E0659C">
              <w:rPr>
                <w:rFonts w:ascii="Arial" w:hAnsi="Arial" w:cs="Arial"/>
                <w:b/>
                <w:bCs/>
                <w:sz w:val="20"/>
                <w:szCs w:val="20"/>
              </w:rPr>
              <w:t>Group community</w:t>
            </w:r>
          </w:p>
        </w:tc>
        <w:tc>
          <w:tcPr>
            <w:tcW w:w="1766" w:type="dxa"/>
            <w:hideMark/>
          </w:tcPr>
          <w:p w14:paraId="768C1B7F" w14:textId="77777777" w:rsidR="00DE3490" w:rsidRPr="00E0659C" w:rsidRDefault="00DE3490" w:rsidP="003F7FEC">
            <w:pPr>
              <w:tabs>
                <w:tab w:val="left" w:pos="1560"/>
              </w:tabs>
              <w:spacing w:line="259" w:lineRule="auto"/>
              <w:rPr>
                <w:rFonts w:ascii="Arial" w:hAnsi="Arial" w:cs="Arial"/>
                <w:b/>
                <w:bCs/>
                <w:sz w:val="20"/>
                <w:szCs w:val="20"/>
              </w:rPr>
            </w:pPr>
            <w:r w:rsidRPr="00E0659C">
              <w:rPr>
                <w:rFonts w:ascii="Arial" w:hAnsi="Arial" w:cs="Arial"/>
                <w:b/>
                <w:bCs/>
                <w:sz w:val="20"/>
                <w:szCs w:val="20"/>
              </w:rPr>
              <w:t>Protection Strategies</w:t>
            </w:r>
          </w:p>
        </w:tc>
        <w:tc>
          <w:tcPr>
            <w:tcW w:w="1929" w:type="dxa"/>
          </w:tcPr>
          <w:p w14:paraId="7807CA73" w14:textId="77777777" w:rsidR="00DE3490" w:rsidRPr="00E0659C" w:rsidRDefault="00DE3490" w:rsidP="003F7FEC">
            <w:pPr>
              <w:tabs>
                <w:tab w:val="left" w:pos="1560"/>
              </w:tabs>
              <w:rPr>
                <w:rFonts w:ascii="Arial" w:hAnsi="Arial" w:cs="Arial"/>
                <w:b/>
                <w:bCs/>
                <w:sz w:val="20"/>
                <w:szCs w:val="20"/>
              </w:rPr>
            </w:pPr>
            <w:r w:rsidRPr="00E0659C">
              <w:rPr>
                <w:rFonts w:ascii="Arial" w:hAnsi="Arial" w:cs="Arial"/>
                <w:b/>
                <w:bCs/>
                <w:sz w:val="20"/>
                <w:szCs w:val="20"/>
              </w:rPr>
              <w:t>Protection Strategies (General)</w:t>
            </w:r>
          </w:p>
        </w:tc>
      </w:tr>
      <w:tr w:rsidR="00DE3490" w:rsidRPr="00E0659C" w14:paraId="1CFB4F8B" w14:textId="77777777" w:rsidTr="003F7FEC">
        <w:tc>
          <w:tcPr>
            <w:tcW w:w="1930" w:type="dxa"/>
            <w:hideMark/>
          </w:tcPr>
          <w:p w14:paraId="239495F0"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b/>
                <w:bCs/>
                <w:sz w:val="20"/>
                <w:szCs w:val="20"/>
              </w:rPr>
              <w:t>1. Low-Income Households</w:t>
            </w:r>
          </w:p>
        </w:tc>
        <w:tc>
          <w:tcPr>
            <w:tcW w:w="2023" w:type="dxa"/>
            <w:hideMark/>
          </w:tcPr>
          <w:p w14:paraId="1648CF30"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Reside in high-risk zones due to limited and unequal land access.</w:t>
            </w:r>
          </w:p>
        </w:tc>
        <w:tc>
          <w:tcPr>
            <w:tcW w:w="1702" w:type="dxa"/>
            <w:hideMark/>
          </w:tcPr>
          <w:p w14:paraId="0241245B"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Informal settlers near Mindu Dam face displacement.</w:t>
            </w:r>
          </w:p>
        </w:tc>
        <w:tc>
          <w:tcPr>
            <w:tcW w:w="1766" w:type="dxa"/>
            <w:hideMark/>
          </w:tcPr>
          <w:p w14:paraId="181C6837"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 Social Safety Nets: Cash transfers, subsidized relocation.</w:t>
            </w:r>
          </w:p>
          <w:p w14:paraId="14D6BF75"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 xml:space="preserve"> - Legal Safeguards: Enforce land tenure rights.</w:t>
            </w:r>
          </w:p>
        </w:tc>
        <w:tc>
          <w:tcPr>
            <w:tcW w:w="1929" w:type="dxa"/>
          </w:tcPr>
          <w:p w14:paraId="0D7B9BD6" w14:textId="77777777" w:rsidR="00DE3490" w:rsidRPr="00E0659C" w:rsidRDefault="00DE3490" w:rsidP="003F7FEC">
            <w:pPr>
              <w:tabs>
                <w:tab w:val="left" w:pos="1560"/>
              </w:tabs>
              <w:rPr>
                <w:rFonts w:ascii="Arial" w:hAnsi="Arial" w:cs="Arial"/>
                <w:b/>
                <w:bCs/>
                <w:sz w:val="20"/>
                <w:szCs w:val="20"/>
              </w:rPr>
            </w:pPr>
            <w:r w:rsidRPr="00E0659C">
              <w:rPr>
                <w:rFonts w:ascii="Arial" w:hAnsi="Arial" w:cs="Arial"/>
                <w:b/>
                <w:bCs/>
                <w:sz w:val="20"/>
                <w:szCs w:val="20"/>
              </w:rPr>
              <w:t>Participatory Risk Assessments</w:t>
            </w:r>
          </w:p>
          <w:p w14:paraId="5A161A49"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 Involve vulnerable groups in mapping risks and solutions</w:t>
            </w:r>
            <w:r w:rsidRPr="00E0659C">
              <w:rPr>
                <w:rFonts w:ascii="Arial" w:hAnsi="Arial" w:cs="Arial"/>
                <w:b/>
                <w:bCs/>
                <w:sz w:val="20"/>
                <w:szCs w:val="20"/>
              </w:rPr>
              <w:t>.</w:t>
            </w:r>
          </w:p>
        </w:tc>
      </w:tr>
      <w:tr w:rsidR="00DE3490" w:rsidRPr="00E0659C" w14:paraId="427A48A3" w14:textId="77777777" w:rsidTr="003F7FEC">
        <w:tc>
          <w:tcPr>
            <w:tcW w:w="1930" w:type="dxa"/>
            <w:hideMark/>
          </w:tcPr>
          <w:p w14:paraId="702745FC"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b/>
                <w:bCs/>
                <w:sz w:val="20"/>
                <w:szCs w:val="20"/>
              </w:rPr>
              <w:t>2. Subsistence Farmers and Fisher folk</w:t>
            </w:r>
          </w:p>
        </w:tc>
        <w:tc>
          <w:tcPr>
            <w:tcW w:w="2023" w:type="dxa"/>
            <w:hideMark/>
          </w:tcPr>
          <w:p w14:paraId="2DB4C11F"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 xml:space="preserve">Depend on ecosystems disrupted by dam </w:t>
            </w:r>
            <w:r w:rsidRPr="00E0659C">
              <w:rPr>
                <w:rFonts w:ascii="Arial" w:hAnsi="Arial" w:cs="Arial"/>
                <w:sz w:val="20"/>
                <w:szCs w:val="20"/>
              </w:rPr>
              <w:lastRenderedPageBreak/>
              <w:t>operations (e.g., altered water flow, reduced fish stocks).</w:t>
            </w:r>
          </w:p>
        </w:tc>
        <w:tc>
          <w:tcPr>
            <w:tcW w:w="1702" w:type="dxa"/>
            <w:hideMark/>
          </w:tcPr>
          <w:p w14:paraId="0A617D62"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lastRenderedPageBreak/>
              <w:t xml:space="preserve">Farmers along Uluguru Mountains </w:t>
            </w:r>
            <w:r w:rsidRPr="00E0659C">
              <w:rPr>
                <w:rFonts w:ascii="Arial" w:hAnsi="Arial" w:cs="Arial"/>
                <w:sz w:val="20"/>
                <w:szCs w:val="20"/>
              </w:rPr>
              <w:lastRenderedPageBreak/>
              <w:t>facing crop failure.</w:t>
            </w:r>
          </w:p>
        </w:tc>
        <w:tc>
          <w:tcPr>
            <w:tcW w:w="1766" w:type="dxa"/>
            <w:hideMark/>
          </w:tcPr>
          <w:p w14:paraId="5913D824"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lastRenderedPageBreak/>
              <w:t xml:space="preserve">- Livelihood Diversification: Climate-resilient </w:t>
            </w:r>
            <w:r w:rsidRPr="00E0659C">
              <w:rPr>
                <w:rFonts w:ascii="Arial" w:hAnsi="Arial" w:cs="Arial"/>
                <w:sz w:val="20"/>
                <w:szCs w:val="20"/>
              </w:rPr>
              <w:lastRenderedPageBreak/>
              <w:t>farming. - Ecosystem Restoration: Rehabilitate riparian zones.</w:t>
            </w:r>
          </w:p>
        </w:tc>
        <w:tc>
          <w:tcPr>
            <w:tcW w:w="1929" w:type="dxa"/>
          </w:tcPr>
          <w:p w14:paraId="6957B81D" w14:textId="77777777" w:rsidR="00DE3490" w:rsidRPr="00E0659C" w:rsidRDefault="00DE3490" w:rsidP="003F7FEC">
            <w:pPr>
              <w:tabs>
                <w:tab w:val="left" w:pos="1560"/>
              </w:tabs>
              <w:spacing w:line="259" w:lineRule="auto"/>
              <w:rPr>
                <w:rFonts w:ascii="Arial" w:hAnsi="Arial" w:cs="Arial"/>
                <w:b/>
                <w:bCs/>
                <w:sz w:val="20"/>
                <w:szCs w:val="20"/>
              </w:rPr>
            </w:pPr>
            <w:r w:rsidRPr="00E0659C">
              <w:rPr>
                <w:rFonts w:ascii="Arial" w:hAnsi="Arial" w:cs="Arial"/>
                <w:b/>
                <w:bCs/>
                <w:sz w:val="20"/>
                <w:szCs w:val="20"/>
              </w:rPr>
              <w:lastRenderedPageBreak/>
              <w:t>Legal/Policy Frameworks</w:t>
            </w:r>
          </w:p>
          <w:p w14:paraId="653F24F9"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b/>
                <w:bCs/>
                <w:sz w:val="20"/>
                <w:szCs w:val="20"/>
              </w:rPr>
              <w:lastRenderedPageBreak/>
              <w:t>-</w:t>
            </w:r>
            <w:r w:rsidRPr="00E0659C">
              <w:rPr>
                <w:rFonts w:ascii="Arial" w:hAnsi="Arial" w:cs="Arial"/>
                <w:sz w:val="20"/>
                <w:szCs w:val="20"/>
              </w:rPr>
              <w:t xml:space="preserve"> Enforce buffer zones and equitable compensation laws.</w:t>
            </w:r>
          </w:p>
        </w:tc>
      </w:tr>
      <w:tr w:rsidR="00DE3490" w:rsidRPr="00E0659C" w14:paraId="4FA3F507" w14:textId="77777777" w:rsidTr="003F7FEC">
        <w:tc>
          <w:tcPr>
            <w:tcW w:w="1930" w:type="dxa"/>
            <w:hideMark/>
          </w:tcPr>
          <w:p w14:paraId="6841696F"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b/>
                <w:bCs/>
                <w:sz w:val="20"/>
                <w:szCs w:val="20"/>
              </w:rPr>
              <w:lastRenderedPageBreak/>
              <w:t>3. Indigenous Communities</w:t>
            </w:r>
          </w:p>
        </w:tc>
        <w:tc>
          <w:tcPr>
            <w:tcW w:w="2023" w:type="dxa"/>
            <w:hideMark/>
          </w:tcPr>
          <w:p w14:paraId="3076A775"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Displacement erodes cultural heritage and traditional knowledge.</w:t>
            </w:r>
          </w:p>
        </w:tc>
        <w:tc>
          <w:tcPr>
            <w:tcW w:w="1702" w:type="dxa"/>
            <w:hideMark/>
          </w:tcPr>
          <w:p w14:paraId="53030F11"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Communities near Rufiji River lost sacred sites due to a hydropower project.</w:t>
            </w:r>
          </w:p>
        </w:tc>
        <w:tc>
          <w:tcPr>
            <w:tcW w:w="1766" w:type="dxa"/>
            <w:hideMark/>
          </w:tcPr>
          <w:p w14:paraId="3765D7AB"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 FPIC: Mandate community consent. - Cultural Impact Assessments: Include traditional knowledge.</w:t>
            </w:r>
          </w:p>
        </w:tc>
        <w:tc>
          <w:tcPr>
            <w:tcW w:w="1929" w:type="dxa"/>
          </w:tcPr>
          <w:p w14:paraId="590F8274"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b/>
                <w:bCs/>
                <w:sz w:val="20"/>
                <w:szCs w:val="20"/>
              </w:rPr>
              <w:t>Social Safety Nets</w:t>
            </w:r>
          </w:p>
          <w:p w14:paraId="430C72FC"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-Provide financial aid and livelihood support post-disaster.</w:t>
            </w:r>
          </w:p>
        </w:tc>
      </w:tr>
      <w:tr w:rsidR="00DE3490" w:rsidRPr="00E0659C" w14:paraId="372BD75E" w14:textId="77777777" w:rsidTr="003F7FEC">
        <w:tc>
          <w:tcPr>
            <w:tcW w:w="1930" w:type="dxa"/>
            <w:hideMark/>
          </w:tcPr>
          <w:p w14:paraId="5FFBF252"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b/>
                <w:bCs/>
                <w:sz w:val="20"/>
                <w:szCs w:val="20"/>
              </w:rPr>
              <w:t>4. Women and Children</w:t>
            </w:r>
          </w:p>
        </w:tc>
        <w:tc>
          <w:tcPr>
            <w:tcW w:w="2023" w:type="dxa"/>
            <w:hideMark/>
          </w:tcPr>
          <w:p w14:paraId="5F8C1964"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Females face caregiving burdens post-disaster, and teen-agers involvement higher mortality and interrupted education.</w:t>
            </w:r>
          </w:p>
        </w:tc>
        <w:tc>
          <w:tcPr>
            <w:tcW w:w="1702" w:type="dxa"/>
            <w:hideMark/>
          </w:tcPr>
          <w:p w14:paraId="1CB6F6DC"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Post-flooding in Morogoro, women struggled to access clean water.</w:t>
            </w:r>
          </w:p>
        </w:tc>
        <w:tc>
          <w:tcPr>
            <w:tcW w:w="1766" w:type="dxa"/>
            <w:hideMark/>
          </w:tcPr>
          <w:p w14:paraId="32290E1F"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 Gender-Sensitive DRR: Include women in planning. - Child-Centered Evacuation: Safe shelters, school continuity.</w:t>
            </w:r>
          </w:p>
        </w:tc>
        <w:tc>
          <w:tcPr>
            <w:tcW w:w="1929" w:type="dxa"/>
          </w:tcPr>
          <w:p w14:paraId="6C0F7794" w14:textId="77777777" w:rsidR="00DE3490" w:rsidRPr="00E0659C" w:rsidRDefault="00DE3490" w:rsidP="003F7FEC">
            <w:pPr>
              <w:tabs>
                <w:tab w:val="left" w:pos="1560"/>
              </w:tabs>
              <w:spacing w:line="259" w:lineRule="auto"/>
              <w:rPr>
                <w:rFonts w:ascii="Arial" w:hAnsi="Arial" w:cs="Arial"/>
                <w:b/>
                <w:bCs/>
                <w:sz w:val="20"/>
                <w:szCs w:val="20"/>
              </w:rPr>
            </w:pPr>
            <w:r w:rsidRPr="00E0659C">
              <w:rPr>
                <w:rFonts w:ascii="Arial" w:hAnsi="Arial" w:cs="Arial"/>
                <w:b/>
                <w:bCs/>
                <w:sz w:val="20"/>
                <w:szCs w:val="20"/>
              </w:rPr>
              <w:t>Ecosystem-Based Adaptation</w:t>
            </w:r>
          </w:p>
          <w:p w14:paraId="286B4B13" w14:textId="77777777" w:rsidR="00DE3490" w:rsidRPr="00E0659C" w:rsidRDefault="00DE3490" w:rsidP="003F7FEC">
            <w:pPr>
              <w:tabs>
                <w:tab w:val="left" w:pos="1560"/>
              </w:tabs>
              <w:spacing w:line="259" w:lineRule="auto"/>
              <w:rPr>
                <w:rFonts w:ascii="Arial" w:hAnsi="Arial" w:cs="Arial"/>
                <w:b/>
                <w:bCs/>
                <w:sz w:val="20"/>
                <w:szCs w:val="20"/>
              </w:rPr>
            </w:pPr>
            <w:r w:rsidRPr="00E0659C">
              <w:rPr>
                <w:rFonts w:ascii="Arial" w:hAnsi="Arial" w:cs="Arial"/>
                <w:b/>
                <w:bCs/>
                <w:sz w:val="20"/>
                <w:szCs w:val="20"/>
              </w:rPr>
              <w:t>-</w:t>
            </w:r>
            <w:r w:rsidRPr="00E0659C">
              <w:rPr>
                <w:rFonts w:ascii="Arial" w:hAnsi="Arial" w:cs="Arial"/>
                <w:sz w:val="20"/>
                <w:szCs w:val="20"/>
              </w:rPr>
              <w:t>Restore ecosystems (wetlands/forests) to buffer flood impacts.</w:t>
            </w:r>
          </w:p>
        </w:tc>
      </w:tr>
      <w:tr w:rsidR="00DE3490" w:rsidRPr="00E0659C" w14:paraId="678D071A" w14:textId="77777777" w:rsidTr="003F7FEC">
        <w:tc>
          <w:tcPr>
            <w:tcW w:w="1930" w:type="dxa"/>
            <w:hideMark/>
          </w:tcPr>
          <w:p w14:paraId="27F20538"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b/>
                <w:bCs/>
                <w:sz w:val="20"/>
                <w:szCs w:val="20"/>
              </w:rPr>
              <w:t>5. Elderly and Persons with Disabilities</w:t>
            </w:r>
          </w:p>
        </w:tc>
        <w:tc>
          <w:tcPr>
            <w:tcW w:w="2023" w:type="dxa"/>
            <w:hideMark/>
          </w:tcPr>
          <w:p w14:paraId="0ABF078B"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Mobility constraints hinder evacuation and aid access.</w:t>
            </w:r>
          </w:p>
        </w:tc>
        <w:tc>
          <w:tcPr>
            <w:tcW w:w="1702" w:type="dxa"/>
            <w:hideMark/>
          </w:tcPr>
          <w:p w14:paraId="5D911CF0"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w:t>
            </w:r>
          </w:p>
        </w:tc>
        <w:tc>
          <w:tcPr>
            <w:tcW w:w="1766" w:type="dxa"/>
            <w:hideMark/>
          </w:tcPr>
          <w:p w14:paraId="230FFAEE"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 Inclusive Early Warning Systems: Tailored alerts. - Community-Based Support Networks: Train locals to assist.</w:t>
            </w:r>
          </w:p>
        </w:tc>
        <w:tc>
          <w:tcPr>
            <w:tcW w:w="1929" w:type="dxa"/>
          </w:tcPr>
          <w:p w14:paraId="371A4AD6"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b/>
                <w:bCs/>
                <w:sz w:val="20"/>
                <w:szCs w:val="20"/>
              </w:rPr>
              <w:t>Gender-Responsive Planning</w:t>
            </w:r>
          </w:p>
          <w:p w14:paraId="06B5CD6F"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-Prioritize women’s leadership in disaster planning</w:t>
            </w:r>
          </w:p>
          <w:p w14:paraId="0796DF10" w14:textId="77777777" w:rsidR="00DE3490" w:rsidRPr="00E0659C" w:rsidRDefault="00DE3490" w:rsidP="003F7FEC">
            <w:pPr>
              <w:tabs>
                <w:tab w:val="left" w:pos="1560"/>
              </w:tabs>
              <w:spacing w:line="259" w:lineRule="auto"/>
              <w:rPr>
                <w:rFonts w:ascii="Arial" w:hAnsi="Arial" w:cs="Arial"/>
                <w:b/>
                <w:bCs/>
                <w:sz w:val="20"/>
                <w:szCs w:val="20"/>
              </w:rPr>
            </w:pPr>
            <w:r w:rsidRPr="00E0659C">
              <w:rPr>
                <w:rFonts w:ascii="Arial" w:hAnsi="Arial" w:cs="Arial"/>
                <w:b/>
                <w:bCs/>
                <w:sz w:val="20"/>
                <w:szCs w:val="20"/>
              </w:rPr>
              <w:t>Policy Recommendations for Morogoro</w:t>
            </w:r>
          </w:p>
          <w:p w14:paraId="41F82415" w14:textId="77777777" w:rsidR="00DE3490" w:rsidRPr="00E0659C" w:rsidRDefault="00DE3490" w:rsidP="003F7FEC">
            <w:pPr>
              <w:tabs>
                <w:tab w:val="left" w:pos="1560"/>
              </w:tabs>
              <w:spacing w:line="259" w:lineRule="auto"/>
              <w:rPr>
                <w:rFonts w:ascii="Arial" w:hAnsi="Arial" w:cs="Arial"/>
                <w:sz w:val="20"/>
                <w:szCs w:val="20"/>
              </w:rPr>
            </w:pPr>
            <w:r w:rsidRPr="00E0659C">
              <w:rPr>
                <w:rFonts w:ascii="Arial" w:hAnsi="Arial" w:cs="Arial"/>
                <w:sz w:val="20"/>
                <w:szCs w:val="20"/>
              </w:rPr>
              <w:t xml:space="preserve">- Strengthen Buffer Zone Governance - Community-Led Early Warning Systems - </w:t>
            </w:r>
          </w:p>
        </w:tc>
      </w:tr>
    </w:tbl>
    <w:p w14:paraId="746A59EF" w14:textId="77777777" w:rsidR="00DE3490" w:rsidRDefault="00DE3490" w:rsidP="00441B6F">
      <w:pPr>
        <w:pStyle w:val="Body"/>
        <w:spacing w:after="0"/>
        <w:rPr>
          <w:rFonts w:ascii="Arial" w:hAnsi="Arial" w:cs="Arial"/>
        </w:rPr>
      </w:pPr>
    </w:p>
    <w:p w14:paraId="70E77426" w14:textId="77777777" w:rsidR="00790ADA" w:rsidRPr="00FB3A86" w:rsidRDefault="00790ADA" w:rsidP="00441B6F">
      <w:pPr>
        <w:pStyle w:val="Body"/>
        <w:spacing w:after="0"/>
        <w:rPr>
          <w:rFonts w:ascii="Arial" w:hAnsi="Arial" w:cs="Arial"/>
        </w:rPr>
      </w:pPr>
    </w:p>
    <w:p w14:paraId="7A5FD9A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A2EB610" w14:textId="77777777" w:rsidR="00790ADA" w:rsidRPr="00FB3A86" w:rsidRDefault="00790ADA" w:rsidP="00441B6F">
      <w:pPr>
        <w:pStyle w:val="ConcHead"/>
        <w:spacing w:after="0"/>
        <w:jc w:val="both"/>
        <w:rPr>
          <w:rFonts w:ascii="Arial" w:hAnsi="Arial" w:cs="Arial"/>
        </w:rPr>
      </w:pPr>
    </w:p>
    <w:p w14:paraId="522890C8" w14:textId="77777777" w:rsidR="00DE3490" w:rsidRDefault="00DE3490" w:rsidP="00DE3490">
      <w:pPr>
        <w:spacing w:line="276" w:lineRule="auto"/>
        <w:rPr>
          <w:rFonts w:ascii="Arial" w:eastAsia="Calibri" w:hAnsi="Arial" w:cs="Arial"/>
          <w:kern w:val="2"/>
          <w14:ligatures w14:val="standardContextual"/>
        </w:rPr>
      </w:pPr>
      <w:r w:rsidRPr="001A0885">
        <w:rPr>
          <w:rFonts w:ascii="Arial" w:eastAsia="Calibri" w:hAnsi="Arial" w:cs="Arial"/>
          <w:kern w:val="2"/>
          <w14:ligatures w14:val="standardContextual"/>
        </w:rPr>
        <w:t xml:space="preserve">"The Mindu Dam’s classification as a ‘high-hazard’ structure (Table 3) is validated by severe structural deficiencies (100% outlet corrosion, 40% spillway deficit) and environmental risks (93.3% erosion, Table 7). These findings reflect Tanzania’s broader failure to adopt even minimum global standards (Approach 1 + 2), particularly in emergency preparedness (0% EAP compliance) and governance (66.7% lack of central oversight, Table 6). Immediate upgrades to spillways and outlets, paired with mandatory EAPs under the Tanzanian Water Act (2009), are critical to mitigating flood risks for </w:t>
      </w:r>
      <w:r>
        <w:rPr>
          <w:rFonts w:ascii="Arial" w:eastAsia="Calibri" w:hAnsi="Arial" w:cs="Arial"/>
          <w:kern w:val="2"/>
          <w14:ligatures w14:val="standardContextual"/>
        </w:rPr>
        <w:t>1</w:t>
      </w:r>
      <w:r w:rsidRPr="001A0885">
        <w:rPr>
          <w:rFonts w:ascii="Arial" w:eastAsia="Calibri" w:hAnsi="Arial" w:cs="Arial"/>
          <w:kern w:val="2"/>
          <w14:ligatures w14:val="standardContextual"/>
        </w:rPr>
        <w:t>,000 downstream residents. Long-term solutions require institutional reforms, including a national dam safety authority and IoT-based monitoring systems to address sedimentation (100% capacity loss, Table 7) and climate-driven flooding (86.7% linkage, Table 5). This case study underscores the urgency of adapting global frameworks to local contexts, offering a model for aging dam management in developing regions.</w:t>
      </w:r>
    </w:p>
    <w:p w14:paraId="79473620" w14:textId="77777777" w:rsidR="00DE3490" w:rsidRDefault="00DE3490" w:rsidP="00DE3490">
      <w:pPr>
        <w:spacing w:line="276" w:lineRule="auto"/>
        <w:rPr>
          <w:rFonts w:ascii="Arial" w:eastAsia="Calibri" w:hAnsi="Arial" w:cs="Arial"/>
          <w:kern w:val="2"/>
          <w14:ligatures w14:val="standardContextual"/>
        </w:rPr>
      </w:pPr>
      <w:r w:rsidRPr="001A0885">
        <w:rPr>
          <w:rFonts w:ascii="Arial" w:eastAsia="Calibri" w:hAnsi="Arial" w:cs="Arial"/>
          <w:kern w:val="2"/>
          <w14:ligatures w14:val="standardContextual"/>
        </w:rPr>
        <w:lastRenderedPageBreak/>
        <w:t>To strengthen the study’s applicability, we propose a follow-up phase involving collaboration with Tanzanian dam operators, policymakers, and communities to co-develop a draft National Dam Safety Policy. This would incorporate findings from this study while addressing contextual distinctions</w:t>
      </w:r>
    </w:p>
    <w:p w14:paraId="17AF0B39" w14:textId="77777777" w:rsidR="00910788" w:rsidRDefault="00910788" w:rsidP="00DE3490">
      <w:pPr>
        <w:spacing w:line="276" w:lineRule="auto"/>
        <w:rPr>
          <w:rFonts w:ascii="Arial" w:eastAsia="Calibri" w:hAnsi="Arial" w:cs="Arial"/>
          <w:kern w:val="2"/>
          <w14:ligatures w14:val="standardContextual"/>
        </w:rPr>
      </w:pPr>
    </w:p>
    <w:p w14:paraId="2A6FA238" w14:textId="77777777" w:rsidR="00910788" w:rsidRDefault="00910788" w:rsidP="00910788">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314E4B1F" w14:textId="77777777" w:rsidR="00910788" w:rsidRDefault="00910788" w:rsidP="00910788">
      <w:pPr>
        <w:pStyle w:val="AcknHead"/>
        <w:spacing w:after="0"/>
        <w:jc w:val="both"/>
        <w:rPr>
          <w:rFonts w:ascii="Arial" w:hAnsi="Arial" w:cs="Arial"/>
        </w:rPr>
      </w:pPr>
    </w:p>
    <w:p w14:paraId="58F2A4CC" w14:textId="0188626B" w:rsidR="00910788" w:rsidRPr="00513E7D" w:rsidRDefault="00910788" w:rsidP="00513E7D">
      <w:pPr>
        <w:rPr>
          <w:rFonts w:ascii="Arial" w:eastAsia="Calibri" w:hAnsi="Arial" w:cs="Arial"/>
          <w:kern w:val="2"/>
          <w14:ligatures w14:val="standardContextual"/>
        </w:rPr>
      </w:pPr>
      <w:r w:rsidRPr="00513E7D">
        <w:t xml:space="preserve">I sincerely thank the </w:t>
      </w:r>
      <w:r w:rsidRPr="00513E7D">
        <w:rPr>
          <w:rStyle w:val="Strong"/>
          <w:b w:val="0"/>
        </w:rPr>
        <w:t>East Africa Community Scholarship Programme</w:t>
      </w:r>
      <w:r w:rsidRPr="00513E7D">
        <w:t xml:space="preserve">, sponsored by </w:t>
      </w:r>
      <w:r w:rsidRPr="00513E7D">
        <w:rPr>
          <w:rStyle w:val="Strong"/>
          <w:b w:val="0"/>
        </w:rPr>
        <w:t>KFW Germany Bank</w:t>
      </w:r>
      <w:r w:rsidRPr="00513E7D">
        <w:t xml:space="preserve"> and administered by the </w:t>
      </w:r>
      <w:r w:rsidRPr="00513E7D">
        <w:rPr>
          <w:rStyle w:val="Strong"/>
          <w:b w:val="0"/>
        </w:rPr>
        <w:t>Inter-University Council for East Africa</w:t>
      </w:r>
      <w:r w:rsidRPr="00513E7D">
        <w:rPr>
          <w:b/>
        </w:rPr>
        <w:t>,</w:t>
      </w:r>
      <w:r w:rsidRPr="00513E7D">
        <w:t xml:space="preserve"> for funding this research. Special thanks to </w:t>
      </w:r>
      <w:r w:rsidRPr="00513E7D">
        <w:rPr>
          <w:rStyle w:val="Strong"/>
          <w:b w:val="0"/>
        </w:rPr>
        <w:t>Adroit Consult International</w:t>
      </w:r>
      <w:r w:rsidRPr="00513E7D">
        <w:t xml:space="preserve"> for its support. I am also grateful to my </w:t>
      </w:r>
      <w:r w:rsidRPr="00513E7D">
        <w:rPr>
          <w:rStyle w:val="Strong"/>
          <w:b w:val="0"/>
        </w:rPr>
        <w:t>classmates</w:t>
      </w:r>
      <w:r w:rsidRPr="00513E7D">
        <w:t xml:space="preserve"> for their collaboration and encouragement. Heartfelt appreciation goes to my</w:t>
      </w:r>
      <w:r w:rsidRPr="00513E7D">
        <w:rPr>
          <w:b/>
        </w:rPr>
        <w:t xml:space="preserve"> </w:t>
      </w:r>
      <w:r w:rsidRPr="00513E7D">
        <w:rPr>
          <w:rStyle w:val="Strong"/>
          <w:b w:val="0"/>
        </w:rPr>
        <w:t>family</w:t>
      </w:r>
      <w:r w:rsidRPr="00513E7D">
        <w:t xml:space="preserve"> for their unwavering love and support.</w:t>
      </w:r>
    </w:p>
    <w:p w14:paraId="3BFC7774" w14:textId="77777777" w:rsidR="000C56B0" w:rsidRPr="000C56B0" w:rsidRDefault="000C56B0" w:rsidP="003941BF">
      <w:pPr>
        <w:pStyle w:val="Body"/>
        <w:spacing w:after="0"/>
        <w:rPr>
          <w:rFonts w:ascii="Arial" w:eastAsia="Calibri" w:hAnsi="Arial" w:cs="Arial"/>
          <w:kern w:val="2"/>
          <w14:ligatures w14:val="standardContextual"/>
        </w:rPr>
      </w:pPr>
    </w:p>
    <w:p w14:paraId="5F7F6B37" w14:textId="77777777" w:rsidR="003941BF" w:rsidRPr="00FB3A86" w:rsidRDefault="003941BF" w:rsidP="003941BF">
      <w:pPr>
        <w:pStyle w:val="Body"/>
        <w:spacing w:after="0"/>
        <w:rPr>
          <w:rFonts w:ascii="Arial" w:hAnsi="Arial" w:cs="Arial"/>
        </w:rPr>
      </w:pPr>
    </w:p>
    <w:p w14:paraId="72E0CA9F" w14:textId="77777777" w:rsidR="00F54485" w:rsidRPr="00513E7D" w:rsidRDefault="00F54485" w:rsidP="00F54485">
      <w:pPr>
        <w:spacing w:after="200" w:line="276" w:lineRule="auto"/>
        <w:rPr>
          <w:rFonts w:ascii="Arial" w:eastAsia="Calibri" w:hAnsi="Arial" w:cs="Arial"/>
          <w:b/>
          <w:kern w:val="2"/>
          <w:sz w:val="22"/>
          <w:szCs w:val="22"/>
        </w:rPr>
      </w:pPr>
      <w:bookmarkStart w:id="1" w:name="_Hlk180402183"/>
      <w:bookmarkStart w:id="2" w:name="_Hlk183680988"/>
      <w:r w:rsidRPr="00513E7D">
        <w:rPr>
          <w:rFonts w:ascii="Arial" w:eastAsia="Calibri" w:hAnsi="Arial" w:cs="Arial"/>
          <w:b/>
          <w:kern w:val="2"/>
          <w:sz w:val="22"/>
          <w:szCs w:val="22"/>
        </w:rPr>
        <w:t>Disclaimer (Artificial intelligence)</w:t>
      </w:r>
    </w:p>
    <w:p w14:paraId="4A183269" w14:textId="77777777" w:rsidR="00F54485" w:rsidRPr="00DE3490" w:rsidRDefault="00F54485" w:rsidP="00F54485">
      <w:pPr>
        <w:spacing w:after="200" w:line="276" w:lineRule="auto"/>
        <w:rPr>
          <w:rFonts w:ascii="Arial" w:eastAsia="Calibri" w:hAnsi="Arial" w:cs="Arial"/>
          <w:kern w:val="2"/>
          <w:sz w:val="22"/>
          <w:szCs w:val="22"/>
        </w:rPr>
      </w:pPr>
      <w:r w:rsidRPr="00DE3490">
        <w:rPr>
          <w:rFonts w:ascii="Arial" w:eastAsia="Calibri" w:hAnsi="Arial" w:cs="Arial"/>
          <w:kern w:val="2"/>
          <w:sz w:val="22"/>
          <w:szCs w:val="22"/>
        </w:rPr>
        <w:t xml:space="preserve">Author(s) hereby declare that NO generative AI technologies such as Large Language Models (ChatGPT, COPILOT, etc.) and text-to-image generators have been used during the writing or editing of this manuscript. </w:t>
      </w:r>
    </w:p>
    <w:bookmarkEnd w:id="1"/>
    <w:p w14:paraId="274BE56F" w14:textId="77777777" w:rsidR="00F54485" w:rsidRDefault="00F54485" w:rsidP="00F54485">
      <w:pPr>
        <w:spacing w:after="200" w:line="276" w:lineRule="auto"/>
        <w:rPr>
          <w:rFonts w:ascii="Calibri" w:eastAsia="Calibri" w:hAnsi="Calibri"/>
          <w:kern w:val="2"/>
          <w:sz w:val="22"/>
          <w:szCs w:val="22"/>
        </w:rPr>
      </w:pPr>
    </w:p>
    <w:p w14:paraId="04CC1471" w14:textId="77777777" w:rsidR="001C2EE1" w:rsidRDefault="001C2EE1" w:rsidP="00F54485">
      <w:pPr>
        <w:spacing w:after="200" w:line="276" w:lineRule="auto"/>
        <w:rPr>
          <w:rFonts w:ascii="Calibri" w:eastAsia="Calibri" w:hAnsi="Calibri"/>
          <w:kern w:val="2"/>
          <w:sz w:val="22"/>
          <w:szCs w:val="22"/>
        </w:rPr>
      </w:pPr>
    </w:p>
    <w:p w14:paraId="68E2AB20" w14:textId="77777777" w:rsidR="001C2EE1" w:rsidRDefault="001C2EE1" w:rsidP="00F54485">
      <w:pPr>
        <w:spacing w:after="200" w:line="276" w:lineRule="auto"/>
        <w:rPr>
          <w:rFonts w:ascii="Calibri" w:eastAsia="Calibri" w:hAnsi="Calibri"/>
          <w:kern w:val="2"/>
          <w:sz w:val="22"/>
          <w:szCs w:val="22"/>
        </w:rPr>
      </w:pPr>
    </w:p>
    <w:p w14:paraId="51D02499" w14:textId="77777777" w:rsidR="001C2EE1" w:rsidRDefault="001C2EE1" w:rsidP="00F54485">
      <w:pPr>
        <w:spacing w:after="200" w:line="276" w:lineRule="auto"/>
        <w:rPr>
          <w:rFonts w:ascii="Calibri" w:eastAsia="Calibri" w:hAnsi="Calibri"/>
          <w:kern w:val="2"/>
          <w:sz w:val="22"/>
          <w:szCs w:val="22"/>
        </w:rPr>
      </w:pPr>
    </w:p>
    <w:p w14:paraId="3A714C07" w14:textId="77777777" w:rsidR="001C2EE1" w:rsidRDefault="001C2EE1" w:rsidP="00F54485">
      <w:pPr>
        <w:spacing w:after="200" w:line="276" w:lineRule="auto"/>
        <w:rPr>
          <w:rFonts w:ascii="Calibri" w:eastAsia="Calibri" w:hAnsi="Calibri"/>
          <w:kern w:val="2"/>
          <w:sz w:val="22"/>
          <w:szCs w:val="22"/>
        </w:rPr>
      </w:pPr>
    </w:p>
    <w:p w14:paraId="2E579993" w14:textId="77777777" w:rsidR="001C2EE1" w:rsidRDefault="001C2EE1" w:rsidP="00F54485">
      <w:pPr>
        <w:spacing w:after="200" w:line="276" w:lineRule="auto"/>
        <w:rPr>
          <w:rFonts w:ascii="Calibri" w:eastAsia="Calibri" w:hAnsi="Calibri"/>
          <w:kern w:val="2"/>
          <w:sz w:val="22"/>
          <w:szCs w:val="22"/>
        </w:rPr>
      </w:pPr>
    </w:p>
    <w:p w14:paraId="71AB6E39" w14:textId="77777777" w:rsidR="001C2EE1" w:rsidRDefault="001C2EE1" w:rsidP="00F54485">
      <w:pPr>
        <w:spacing w:after="200" w:line="276" w:lineRule="auto"/>
        <w:rPr>
          <w:rFonts w:ascii="Calibri" w:eastAsia="Calibri" w:hAnsi="Calibri"/>
          <w:kern w:val="2"/>
          <w:sz w:val="22"/>
          <w:szCs w:val="22"/>
        </w:rPr>
      </w:pPr>
    </w:p>
    <w:p w14:paraId="58B06808" w14:textId="77777777" w:rsidR="001C2EE1" w:rsidRDefault="001C2EE1" w:rsidP="00F54485">
      <w:pPr>
        <w:spacing w:after="200" w:line="276" w:lineRule="auto"/>
        <w:rPr>
          <w:rFonts w:ascii="Calibri" w:eastAsia="Calibri" w:hAnsi="Calibri"/>
          <w:kern w:val="2"/>
          <w:sz w:val="22"/>
          <w:szCs w:val="22"/>
        </w:rPr>
      </w:pPr>
    </w:p>
    <w:p w14:paraId="0293E755" w14:textId="77777777" w:rsidR="001C2EE1" w:rsidRDefault="001C2EE1" w:rsidP="00F54485">
      <w:pPr>
        <w:spacing w:after="200" w:line="276" w:lineRule="auto"/>
        <w:rPr>
          <w:rFonts w:ascii="Calibri" w:eastAsia="Calibri" w:hAnsi="Calibri"/>
          <w:kern w:val="2"/>
          <w:sz w:val="22"/>
          <w:szCs w:val="22"/>
        </w:rPr>
      </w:pPr>
    </w:p>
    <w:p w14:paraId="7F1E54FB" w14:textId="77777777" w:rsidR="001C2EE1" w:rsidRDefault="001C2EE1" w:rsidP="00F54485">
      <w:pPr>
        <w:spacing w:after="200" w:line="276" w:lineRule="auto"/>
        <w:rPr>
          <w:rFonts w:ascii="Calibri" w:eastAsia="Calibri" w:hAnsi="Calibri"/>
          <w:kern w:val="2"/>
          <w:sz w:val="22"/>
          <w:szCs w:val="22"/>
        </w:rPr>
      </w:pPr>
    </w:p>
    <w:p w14:paraId="49AF2EBA" w14:textId="77777777" w:rsidR="001C2EE1" w:rsidRDefault="001C2EE1" w:rsidP="00F54485">
      <w:pPr>
        <w:spacing w:after="200" w:line="276" w:lineRule="auto"/>
        <w:rPr>
          <w:rFonts w:ascii="Calibri" w:eastAsia="Calibri" w:hAnsi="Calibri"/>
          <w:kern w:val="2"/>
          <w:sz w:val="22"/>
          <w:szCs w:val="22"/>
        </w:rPr>
      </w:pPr>
    </w:p>
    <w:p w14:paraId="60A0649E" w14:textId="77777777" w:rsidR="001C2EE1" w:rsidRDefault="001C2EE1" w:rsidP="00F54485">
      <w:pPr>
        <w:spacing w:after="200" w:line="276" w:lineRule="auto"/>
        <w:rPr>
          <w:rFonts w:ascii="Calibri" w:eastAsia="Calibri" w:hAnsi="Calibri"/>
          <w:kern w:val="2"/>
          <w:sz w:val="22"/>
          <w:szCs w:val="22"/>
        </w:rPr>
      </w:pPr>
    </w:p>
    <w:p w14:paraId="0440F371" w14:textId="77777777" w:rsidR="001C2EE1" w:rsidRDefault="001C2EE1" w:rsidP="00F54485">
      <w:pPr>
        <w:spacing w:after="200" w:line="276" w:lineRule="auto"/>
        <w:rPr>
          <w:rFonts w:ascii="Calibri" w:eastAsia="Calibri" w:hAnsi="Calibri"/>
          <w:kern w:val="2"/>
          <w:sz w:val="22"/>
          <w:szCs w:val="22"/>
        </w:rPr>
      </w:pPr>
    </w:p>
    <w:p w14:paraId="4AC7FB0F" w14:textId="77777777" w:rsidR="001C2EE1" w:rsidRPr="00F54485" w:rsidRDefault="001C2EE1" w:rsidP="00F54485">
      <w:pPr>
        <w:spacing w:after="200" w:line="276" w:lineRule="auto"/>
        <w:rPr>
          <w:rFonts w:ascii="Calibri" w:eastAsia="Calibri" w:hAnsi="Calibri"/>
          <w:kern w:val="2"/>
          <w:sz w:val="22"/>
          <w:szCs w:val="22"/>
        </w:rPr>
      </w:pPr>
    </w:p>
    <w:bookmarkEnd w:id="2"/>
    <w:p w14:paraId="56E52866" w14:textId="77777777" w:rsidR="00E8111D" w:rsidRDefault="00E8111D" w:rsidP="00441B6F">
      <w:pPr>
        <w:pStyle w:val="ReferHead"/>
        <w:spacing w:after="0"/>
        <w:jc w:val="both"/>
        <w:rPr>
          <w:b w:val="0"/>
          <w:caps w:val="0"/>
          <w:sz w:val="20"/>
        </w:rPr>
      </w:pPr>
    </w:p>
    <w:p w14:paraId="74F75373" w14:textId="77777777" w:rsidR="001C2EE1" w:rsidRPr="00F469F0" w:rsidRDefault="001C2EE1" w:rsidP="00441B6F">
      <w:pPr>
        <w:pStyle w:val="ReferHead"/>
        <w:spacing w:after="0"/>
        <w:jc w:val="both"/>
        <w:rPr>
          <w:rFonts w:ascii="Arial" w:hAnsi="Arial" w:cs="Arial"/>
          <w:b w:val="0"/>
          <w:caps w:val="0"/>
          <w:sz w:val="20"/>
          <w:u w:val="single"/>
        </w:rPr>
      </w:pPr>
    </w:p>
    <w:p w14:paraId="304BA846" w14:textId="77777777" w:rsidR="00860000" w:rsidRDefault="00860000" w:rsidP="00441B6F">
      <w:pPr>
        <w:pStyle w:val="ReferHead"/>
        <w:spacing w:after="0"/>
        <w:jc w:val="both"/>
        <w:rPr>
          <w:rFonts w:ascii="Arial" w:hAnsi="Arial" w:cs="Arial"/>
        </w:rPr>
      </w:pPr>
    </w:p>
    <w:p w14:paraId="61834963" w14:textId="77777777" w:rsidR="00B01FCD" w:rsidRDefault="001731B8" w:rsidP="00441B6F">
      <w:pPr>
        <w:pStyle w:val="ReferHead"/>
        <w:spacing w:after="0"/>
        <w:jc w:val="both"/>
        <w:rPr>
          <w:rFonts w:ascii="Arial" w:hAnsi="Arial" w:cs="Arial"/>
        </w:rPr>
      </w:pPr>
      <w:r>
        <w:rPr>
          <w:rFonts w:ascii="Arial" w:hAnsi="Arial" w:cs="Arial"/>
        </w:rPr>
        <w:t xml:space="preserve">6. </w:t>
      </w:r>
      <w:r w:rsidR="00B01FCD" w:rsidRPr="00FB3A86">
        <w:rPr>
          <w:rFonts w:ascii="Arial" w:hAnsi="Arial" w:cs="Arial"/>
        </w:rPr>
        <w:t>References</w:t>
      </w:r>
    </w:p>
    <w:p w14:paraId="04A35181" w14:textId="77777777" w:rsidR="00790ADA" w:rsidRPr="00FB3A86" w:rsidRDefault="00790ADA" w:rsidP="00441B6F">
      <w:pPr>
        <w:pStyle w:val="ReferHead"/>
        <w:spacing w:after="0"/>
        <w:jc w:val="both"/>
        <w:rPr>
          <w:rFonts w:ascii="Arial" w:hAnsi="Arial" w:cs="Arial"/>
        </w:rPr>
      </w:pPr>
    </w:p>
    <w:p w14:paraId="08CB17B7"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62A3B">
        <w:rPr>
          <w:rFonts w:ascii="Arial" w:eastAsia="Calibri" w:hAnsi="Arial" w:cs="Arial"/>
          <w:kern w:val="2"/>
          <w14:ligatures w14:val="standardContextual"/>
        </w:rPr>
        <w:fldChar w:fldCharType="begin" w:fldLock="1"/>
      </w:r>
      <w:r w:rsidRPr="00D62A3B">
        <w:rPr>
          <w:rFonts w:ascii="Arial" w:eastAsia="Calibri" w:hAnsi="Arial" w:cs="Arial"/>
          <w:kern w:val="2"/>
          <w:lang w:val="it-IT"/>
          <w14:ligatures w14:val="standardContextual"/>
        </w:rPr>
        <w:instrText xml:space="preserve">ADDIN Mendeley Bibliography CSL_BIBLIOGRAPHY </w:instrText>
      </w:r>
      <w:r w:rsidRPr="00D62A3B">
        <w:rPr>
          <w:rFonts w:ascii="Arial" w:eastAsia="Calibri" w:hAnsi="Arial" w:cs="Arial"/>
          <w:kern w:val="2"/>
          <w14:ligatures w14:val="standardContextual"/>
        </w:rPr>
        <w:fldChar w:fldCharType="separate"/>
      </w:r>
      <w:r w:rsidRPr="00DB423C">
        <w:rPr>
          <w:rFonts w:ascii="Arial" w:hAnsi="Arial" w:cs="Arial"/>
          <w:noProof/>
          <w:szCs w:val="24"/>
        </w:rPr>
        <w:t xml:space="preserve">Adamo, N., Al-Ansari, N., Sissakian, V., Laue, J., &amp; Knutsson, S. (2020). Dam Safety : General Considerations. </w:t>
      </w:r>
      <w:r w:rsidRPr="00DB423C">
        <w:rPr>
          <w:rFonts w:ascii="Arial" w:hAnsi="Arial" w:cs="Arial"/>
          <w:i/>
          <w:iCs/>
          <w:noProof/>
          <w:szCs w:val="24"/>
        </w:rPr>
        <w:t>Journal of Earth Sciences and Geotechnical Engineering</w:t>
      </w:r>
      <w:r w:rsidRPr="00DB423C">
        <w:rPr>
          <w:rFonts w:ascii="Arial" w:hAnsi="Arial" w:cs="Arial"/>
          <w:noProof/>
          <w:szCs w:val="24"/>
        </w:rPr>
        <w:t xml:space="preserve">, </w:t>
      </w:r>
      <w:r w:rsidRPr="00DB423C">
        <w:rPr>
          <w:rFonts w:ascii="Arial" w:hAnsi="Arial" w:cs="Arial"/>
          <w:i/>
          <w:iCs/>
          <w:noProof/>
          <w:szCs w:val="24"/>
        </w:rPr>
        <w:t>10</w:t>
      </w:r>
      <w:r w:rsidRPr="00DB423C">
        <w:rPr>
          <w:rFonts w:ascii="Arial" w:hAnsi="Arial" w:cs="Arial"/>
          <w:noProof/>
          <w:szCs w:val="24"/>
        </w:rPr>
        <w:t>(6), 1–21.</w:t>
      </w:r>
    </w:p>
    <w:p w14:paraId="7259854B"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Arslan et al. (2016). This document is discoverable and free to researchers across the globe due to the work of AgEcon Search . Help ensure our sustainability . </w:t>
      </w:r>
    </w:p>
    <w:p w14:paraId="6F5B88D4"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Brewer, C. K., Winne, J. C., Redmond, R. L., Opitz, D. W., &amp; Mangrich, M. V. (2005). 04-001.Qxd. </w:t>
      </w:r>
      <w:r w:rsidRPr="00DB423C">
        <w:rPr>
          <w:rFonts w:ascii="Arial" w:hAnsi="Arial" w:cs="Arial"/>
          <w:i/>
          <w:iCs/>
          <w:noProof/>
          <w:szCs w:val="24"/>
        </w:rPr>
        <w:t>Photogrammetric Engineering and Remote Sensing</w:t>
      </w:r>
      <w:r w:rsidRPr="00DB423C">
        <w:rPr>
          <w:rFonts w:ascii="Arial" w:hAnsi="Arial" w:cs="Arial"/>
          <w:noProof/>
          <w:szCs w:val="24"/>
        </w:rPr>
        <w:t xml:space="preserve">, </w:t>
      </w:r>
      <w:r w:rsidRPr="00DB423C">
        <w:rPr>
          <w:rFonts w:ascii="Arial" w:hAnsi="Arial" w:cs="Arial"/>
          <w:i/>
          <w:iCs/>
          <w:noProof/>
          <w:szCs w:val="24"/>
        </w:rPr>
        <w:t>71</w:t>
      </w:r>
      <w:r w:rsidRPr="00DB423C">
        <w:rPr>
          <w:rFonts w:ascii="Arial" w:hAnsi="Arial" w:cs="Arial"/>
          <w:noProof/>
          <w:szCs w:val="24"/>
        </w:rPr>
        <w:t>(11), 1311–1320.</w:t>
      </w:r>
    </w:p>
    <w:p w14:paraId="259D0D27"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Cocklin, C., Mautner, N., &amp; Dibden, J. (2007). Public policy, private landholders: Perspectives on policy mechanisms for sustainable land management. </w:t>
      </w:r>
      <w:r w:rsidRPr="00DB423C">
        <w:rPr>
          <w:rFonts w:ascii="Arial" w:hAnsi="Arial" w:cs="Arial"/>
          <w:i/>
          <w:iCs/>
          <w:noProof/>
          <w:szCs w:val="24"/>
        </w:rPr>
        <w:t>Journal of Environmental Management</w:t>
      </w:r>
      <w:r w:rsidRPr="00DB423C">
        <w:rPr>
          <w:rFonts w:ascii="Arial" w:hAnsi="Arial" w:cs="Arial"/>
          <w:noProof/>
          <w:szCs w:val="24"/>
        </w:rPr>
        <w:t xml:space="preserve">, </w:t>
      </w:r>
      <w:r w:rsidRPr="00DB423C">
        <w:rPr>
          <w:rFonts w:ascii="Arial" w:hAnsi="Arial" w:cs="Arial"/>
          <w:i/>
          <w:iCs/>
          <w:noProof/>
          <w:szCs w:val="24"/>
        </w:rPr>
        <w:t>85</w:t>
      </w:r>
      <w:r w:rsidRPr="00DB423C">
        <w:rPr>
          <w:rFonts w:ascii="Arial" w:hAnsi="Arial" w:cs="Arial"/>
          <w:noProof/>
          <w:szCs w:val="24"/>
        </w:rPr>
        <w:t>(4), 986–998. https://doi.org/10.1016/j.jenvman.2006.11.009</w:t>
      </w:r>
    </w:p>
    <w:p w14:paraId="150E4672"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Donnelly, C. R., Bechai, M., Trias, M., Vaillancourt, J., &amp; Roy, A. (2009). The Development of A National Dam Safety Standard for Parks Canada. </w:t>
      </w:r>
      <w:r w:rsidRPr="00DB423C">
        <w:rPr>
          <w:rFonts w:ascii="Arial" w:hAnsi="Arial" w:cs="Arial"/>
          <w:i/>
          <w:iCs/>
          <w:noProof/>
          <w:szCs w:val="24"/>
        </w:rPr>
        <w:t>CDA 2009 Annual Conference</w:t>
      </w:r>
      <w:r w:rsidRPr="00DB423C">
        <w:rPr>
          <w:rFonts w:ascii="Arial" w:hAnsi="Arial" w:cs="Arial"/>
          <w:noProof/>
          <w:szCs w:val="24"/>
        </w:rPr>
        <w:t xml:space="preserve">, </w:t>
      </w:r>
      <w:r w:rsidRPr="00DB423C">
        <w:rPr>
          <w:rFonts w:ascii="Arial" w:hAnsi="Arial" w:cs="Arial"/>
          <w:i/>
          <w:iCs/>
          <w:noProof/>
          <w:szCs w:val="24"/>
        </w:rPr>
        <w:t>October 2009</w:t>
      </w:r>
      <w:r w:rsidRPr="00DB423C">
        <w:rPr>
          <w:rFonts w:ascii="Arial" w:hAnsi="Arial" w:cs="Arial"/>
          <w:noProof/>
          <w:szCs w:val="24"/>
        </w:rPr>
        <w:t>, 21. https://doi.org/10.13140/2.1.3606.8806</w:t>
      </w:r>
    </w:p>
    <w:p w14:paraId="5FB13C82"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Eisner, E. W. (2004). What can education learn from the arts about the practice of education? </w:t>
      </w:r>
      <w:r w:rsidRPr="00DB423C">
        <w:rPr>
          <w:rFonts w:ascii="Arial" w:hAnsi="Arial" w:cs="Arial"/>
          <w:i/>
          <w:iCs/>
          <w:noProof/>
          <w:szCs w:val="24"/>
        </w:rPr>
        <w:t>International Journal of Education and the Arts</w:t>
      </w:r>
      <w:r w:rsidRPr="00DB423C">
        <w:rPr>
          <w:rFonts w:ascii="Arial" w:hAnsi="Arial" w:cs="Arial"/>
          <w:noProof/>
          <w:szCs w:val="24"/>
        </w:rPr>
        <w:t xml:space="preserve">, </w:t>
      </w:r>
      <w:r w:rsidRPr="00DB423C">
        <w:rPr>
          <w:rFonts w:ascii="Arial" w:hAnsi="Arial" w:cs="Arial"/>
          <w:i/>
          <w:iCs/>
          <w:noProof/>
          <w:szCs w:val="24"/>
        </w:rPr>
        <w:t>5</w:t>
      </w:r>
      <w:r w:rsidRPr="00DB423C">
        <w:rPr>
          <w:rFonts w:ascii="Arial" w:hAnsi="Arial" w:cs="Arial"/>
          <w:noProof/>
          <w:szCs w:val="24"/>
        </w:rPr>
        <w:t>(4), 1–13. https://doi.org/10.4324/9780203019078-25</w:t>
      </w:r>
    </w:p>
    <w:p w14:paraId="2D6B30CD"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Gobry, J. J., Twisa, S. S., Ngassapa, F., &amp; Kilulya, K. F. (2023). Impact of land-use/cover change on water quality in the Mindu Dam drainage, Tanzania. </w:t>
      </w:r>
      <w:r w:rsidRPr="00DB423C">
        <w:rPr>
          <w:rFonts w:ascii="Arial" w:hAnsi="Arial" w:cs="Arial"/>
          <w:i/>
          <w:iCs/>
          <w:noProof/>
          <w:szCs w:val="24"/>
        </w:rPr>
        <w:t>Water Practice and Technology</w:t>
      </w:r>
      <w:r w:rsidRPr="00DB423C">
        <w:rPr>
          <w:rFonts w:ascii="Arial" w:hAnsi="Arial" w:cs="Arial"/>
          <w:noProof/>
          <w:szCs w:val="24"/>
        </w:rPr>
        <w:t xml:space="preserve">, </w:t>
      </w:r>
      <w:r w:rsidRPr="00DB423C">
        <w:rPr>
          <w:rFonts w:ascii="Arial" w:hAnsi="Arial" w:cs="Arial"/>
          <w:i/>
          <w:iCs/>
          <w:noProof/>
          <w:szCs w:val="24"/>
        </w:rPr>
        <w:t>18</w:t>
      </w:r>
      <w:r w:rsidRPr="00DB423C">
        <w:rPr>
          <w:rFonts w:ascii="Arial" w:hAnsi="Arial" w:cs="Arial"/>
          <w:noProof/>
          <w:szCs w:val="24"/>
        </w:rPr>
        <w:t>(5), 1086–1098. https://doi.org/10.2166/wpt.2023.067</w:t>
      </w:r>
    </w:p>
    <w:p w14:paraId="043BFFB1"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Gunningham, N., &amp; Sinclair, D. (1999). Integrative regulation: A principle-based approach to environmental policy. </w:t>
      </w:r>
      <w:r w:rsidRPr="00DB423C">
        <w:rPr>
          <w:rFonts w:ascii="Arial" w:hAnsi="Arial" w:cs="Arial"/>
          <w:i/>
          <w:iCs/>
          <w:noProof/>
          <w:szCs w:val="24"/>
        </w:rPr>
        <w:t>Law and Social Inquiry</w:t>
      </w:r>
      <w:r w:rsidRPr="00DB423C">
        <w:rPr>
          <w:rFonts w:ascii="Arial" w:hAnsi="Arial" w:cs="Arial"/>
          <w:noProof/>
          <w:szCs w:val="24"/>
        </w:rPr>
        <w:t xml:space="preserve">, </w:t>
      </w:r>
      <w:r w:rsidRPr="00DB423C">
        <w:rPr>
          <w:rFonts w:ascii="Arial" w:hAnsi="Arial" w:cs="Arial"/>
          <w:i/>
          <w:iCs/>
          <w:noProof/>
          <w:szCs w:val="24"/>
        </w:rPr>
        <w:t>24</w:t>
      </w:r>
      <w:r w:rsidRPr="00DB423C">
        <w:rPr>
          <w:rFonts w:ascii="Arial" w:hAnsi="Arial" w:cs="Arial"/>
          <w:noProof/>
          <w:szCs w:val="24"/>
        </w:rPr>
        <w:t>(4), 853–896. https://doi.org/10.1111/j.1747-4469.1999.tb00407.x</w:t>
      </w:r>
    </w:p>
    <w:p w14:paraId="0CCCED44"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Isomäki, E., Maijala, T., Sulkakoski, M., &amp; Torkkel, M. (2012). Dam safety guide. In </w:t>
      </w:r>
      <w:r w:rsidRPr="00DB423C">
        <w:rPr>
          <w:rFonts w:ascii="Arial" w:hAnsi="Arial" w:cs="Arial"/>
          <w:i/>
          <w:iCs/>
          <w:noProof/>
          <w:szCs w:val="24"/>
        </w:rPr>
        <w:t>Ely</w:t>
      </w:r>
      <w:r w:rsidRPr="00DB423C">
        <w:rPr>
          <w:rFonts w:ascii="Arial" w:hAnsi="Arial" w:cs="Arial"/>
          <w:noProof/>
          <w:szCs w:val="24"/>
        </w:rPr>
        <w:t>. http://www.doria.fi/handle/10024/98859</w:t>
      </w:r>
    </w:p>
    <w:p w14:paraId="2CB6F384"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Kimambo, O. N., Chikoore, H., Gumbo, J. R., &amp; Msagati, T. A. M. (2019). Retrospective analysis of Chlorophyll-a and its correlation with climate and hydrological variations in Mindu Dam, Morogoro, Tanzania. </w:t>
      </w:r>
      <w:r w:rsidRPr="00DB423C">
        <w:rPr>
          <w:rFonts w:ascii="Arial" w:hAnsi="Arial" w:cs="Arial"/>
          <w:i/>
          <w:iCs/>
          <w:noProof/>
          <w:szCs w:val="24"/>
        </w:rPr>
        <w:t>Heliyon</w:t>
      </w:r>
      <w:r w:rsidRPr="00DB423C">
        <w:rPr>
          <w:rFonts w:ascii="Arial" w:hAnsi="Arial" w:cs="Arial"/>
          <w:noProof/>
          <w:szCs w:val="24"/>
        </w:rPr>
        <w:t xml:space="preserve">, </w:t>
      </w:r>
      <w:r w:rsidRPr="00DB423C">
        <w:rPr>
          <w:rFonts w:ascii="Arial" w:hAnsi="Arial" w:cs="Arial"/>
          <w:i/>
          <w:iCs/>
          <w:noProof/>
          <w:szCs w:val="24"/>
        </w:rPr>
        <w:t>5</w:t>
      </w:r>
      <w:r w:rsidRPr="00DB423C">
        <w:rPr>
          <w:rFonts w:ascii="Arial" w:hAnsi="Arial" w:cs="Arial"/>
          <w:noProof/>
          <w:szCs w:val="24"/>
        </w:rPr>
        <w:t>(11), e02834. https://doi.org/10.1016/j.heliyon.2019.e02834</w:t>
      </w:r>
    </w:p>
    <w:p w14:paraId="01A8D012"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Lein, H., &amp; Tagseth, M. (2009). Tanzanian water policy reforms - Between principles and practical applications. </w:t>
      </w:r>
      <w:r w:rsidRPr="00DB423C">
        <w:rPr>
          <w:rFonts w:ascii="Arial" w:hAnsi="Arial" w:cs="Arial"/>
          <w:i/>
          <w:iCs/>
          <w:noProof/>
          <w:szCs w:val="24"/>
        </w:rPr>
        <w:t>Water Policy</w:t>
      </w:r>
      <w:r w:rsidRPr="00DB423C">
        <w:rPr>
          <w:rFonts w:ascii="Arial" w:hAnsi="Arial" w:cs="Arial"/>
          <w:noProof/>
          <w:szCs w:val="24"/>
        </w:rPr>
        <w:t xml:space="preserve">, </w:t>
      </w:r>
      <w:r w:rsidRPr="00DB423C">
        <w:rPr>
          <w:rFonts w:ascii="Arial" w:hAnsi="Arial" w:cs="Arial"/>
          <w:i/>
          <w:iCs/>
          <w:noProof/>
          <w:szCs w:val="24"/>
        </w:rPr>
        <w:t>11</w:t>
      </w:r>
      <w:r w:rsidRPr="00DB423C">
        <w:rPr>
          <w:rFonts w:ascii="Arial" w:hAnsi="Arial" w:cs="Arial"/>
          <w:noProof/>
          <w:szCs w:val="24"/>
        </w:rPr>
        <w:t>(2), 203–220. https://doi.org/10.2166/wp.2009.024</w:t>
      </w:r>
    </w:p>
    <w:p w14:paraId="4442F018"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Madhi, S. A., Baillie, V., Cutland, C. L., Voysey, M., Koen, A. L., Fairlie, L., Padayachee, S. D., Dheda, K., Barnabas, S. L., Bhorat, Q. E., Briner, C., Kwatra, G., Ahmed, K., Aley, P., Bhikha, S., Bhiman, J. N., Bhorat, A. E., du Plessis, J., Esmail, A., … Izu, A. (2021). Efficacy of the ChAdOx1 nCoV-19 Covid-19 Vaccine against the B.1.351 Variant. </w:t>
      </w:r>
      <w:r w:rsidRPr="00DB423C">
        <w:rPr>
          <w:rFonts w:ascii="Arial" w:hAnsi="Arial" w:cs="Arial"/>
          <w:i/>
          <w:iCs/>
          <w:noProof/>
          <w:szCs w:val="24"/>
        </w:rPr>
        <w:t>New England Journal of Medicine</w:t>
      </w:r>
      <w:r w:rsidRPr="00DB423C">
        <w:rPr>
          <w:rFonts w:ascii="Arial" w:hAnsi="Arial" w:cs="Arial"/>
          <w:noProof/>
          <w:szCs w:val="24"/>
        </w:rPr>
        <w:t xml:space="preserve">, </w:t>
      </w:r>
      <w:r w:rsidRPr="00DB423C">
        <w:rPr>
          <w:rFonts w:ascii="Arial" w:hAnsi="Arial" w:cs="Arial"/>
          <w:i/>
          <w:iCs/>
          <w:noProof/>
          <w:szCs w:val="24"/>
        </w:rPr>
        <w:t>384</w:t>
      </w:r>
      <w:r w:rsidRPr="00DB423C">
        <w:rPr>
          <w:rFonts w:ascii="Arial" w:hAnsi="Arial" w:cs="Arial"/>
          <w:noProof/>
          <w:szCs w:val="24"/>
        </w:rPr>
        <w:t>(20), 1885–1898. https://doi.org/10.1056/nejmoa2102214</w:t>
      </w:r>
    </w:p>
    <w:p w14:paraId="5701B357"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Materu, S. F., Urban, B., &amp; Heise, S. (2018). A critical review of policies and legislation protecting Tanzanian wetlands. </w:t>
      </w:r>
      <w:r w:rsidRPr="00DB423C">
        <w:rPr>
          <w:rFonts w:ascii="Arial" w:hAnsi="Arial" w:cs="Arial"/>
          <w:i/>
          <w:iCs/>
          <w:noProof/>
          <w:szCs w:val="24"/>
        </w:rPr>
        <w:t>Ecosystem Health and Sustainability</w:t>
      </w:r>
      <w:r w:rsidRPr="00DB423C">
        <w:rPr>
          <w:rFonts w:ascii="Arial" w:hAnsi="Arial" w:cs="Arial"/>
          <w:noProof/>
          <w:szCs w:val="24"/>
        </w:rPr>
        <w:t xml:space="preserve">, </w:t>
      </w:r>
      <w:r w:rsidRPr="00DB423C">
        <w:rPr>
          <w:rFonts w:ascii="Arial" w:hAnsi="Arial" w:cs="Arial"/>
          <w:i/>
          <w:iCs/>
          <w:noProof/>
          <w:szCs w:val="24"/>
        </w:rPr>
        <w:t>4</w:t>
      </w:r>
      <w:r w:rsidRPr="00DB423C">
        <w:rPr>
          <w:rFonts w:ascii="Arial" w:hAnsi="Arial" w:cs="Arial"/>
          <w:noProof/>
          <w:szCs w:val="24"/>
        </w:rPr>
        <w:t>(12), 310–320. https://doi.org/10.1080/20964129.2018.1549510</w:t>
      </w:r>
    </w:p>
    <w:p w14:paraId="774A081D"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Munshi, S. A., &amp; Ansari, M. A. (2021). Collections and services of public libraries in West Bengal, India: An evaluative study against the backdrop of the IFLA guidelines. </w:t>
      </w:r>
      <w:r w:rsidRPr="00DB423C">
        <w:rPr>
          <w:rFonts w:ascii="Arial" w:hAnsi="Arial" w:cs="Arial"/>
          <w:i/>
          <w:iCs/>
          <w:noProof/>
          <w:szCs w:val="24"/>
        </w:rPr>
        <w:t>IFLA Journal</w:t>
      </w:r>
      <w:r w:rsidRPr="00DB423C">
        <w:rPr>
          <w:rFonts w:ascii="Arial" w:hAnsi="Arial" w:cs="Arial"/>
          <w:noProof/>
          <w:szCs w:val="24"/>
        </w:rPr>
        <w:t xml:space="preserve">, </w:t>
      </w:r>
      <w:r w:rsidRPr="00DB423C">
        <w:rPr>
          <w:rFonts w:ascii="Arial" w:hAnsi="Arial" w:cs="Arial"/>
          <w:i/>
          <w:iCs/>
          <w:noProof/>
          <w:szCs w:val="24"/>
        </w:rPr>
        <w:t>47</w:t>
      </w:r>
      <w:r w:rsidRPr="00DB423C">
        <w:rPr>
          <w:rFonts w:ascii="Arial" w:hAnsi="Arial" w:cs="Arial"/>
          <w:noProof/>
          <w:szCs w:val="24"/>
        </w:rPr>
        <w:t>(2), 250–262. https://doi.org/10.1177/0340035220958022</w:t>
      </w:r>
    </w:p>
    <w:p w14:paraId="6E2635DF"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Mwaka, I. (1999). Water Law , Water Rights and Water Supply ( Africa ) Tanzania - study country report. </w:t>
      </w:r>
      <w:r w:rsidRPr="00DB423C">
        <w:rPr>
          <w:rFonts w:ascii="Arial" w:hAnsi="Arial" w:cs="Arial"/>
          <w:i/>
          <w:iCs/>
          <w:noProof/>
          <w:szCs w:val="24"/>
        </w:rPr>
        <w:t>Dfid</w:t>
      </w:r>
      <w:r w:rsidRPr="00DB423C">
        <w:rPr>
          <w:rFonts w:ascii="Arial" w:hAnsi="Arial" w:cs="Arial"/>
          <w:noProof/>
          <w:szCs w:val="24"/>
        </w:rPr>
        <w:t xml:space="preserve">, </w:t>
      </w:r>
      <w:r w:rsidRPr="00DB423C">
        <w:rPr>
          <w:rFonts w:ascii="Arial" w:hAnsi="Arial" w:cs="Arial"/>
          <w:i/>
          <w:iCs/>
          <w:noProof/>
          <w:szCs w:val="24"/>
        </w:rPr>
        <w:t>August</w:t>
      </w:r>
      <w:r w:rsidRPr="00DB423C">
        <w:rPr>
          <w:rFonts w:ascii="Arial" w:hAnsi="Arial" w:cs="Arial"/>
          <w:noProof/>
          <w:szCs w:val="24"/>
        </w:rPr>
        <w:t>.</w:t>
      </w:r>
    </w:p>
    <w:p w14:paraId="4AED973C"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Phiri, I. M. ., Phiri, S. ., &amp; Saka, A. . (2007). </w:t>
      </w:r>
      <w:r w:rsidRPr="00DB423C">
        <w:rPr>
          <w:rFonts w:ascii="Arial" w:hAnsi="Arial" w:cs="Arial"/>
          <w:i/>
          <w:iCs/>
          <w:noProof/>
          <w:szCs w:val="24"/>
        </w:rPr>
        <w:t>Rapid Appraisal of Policies &amp; Institutional Frameworks for Agricultural Water Management</w:t>
      </w:r>
      <w:r w:rsidRPr="00DB423C">
        <w:rPr>
          <w:rFonts w:ascii="Arial" w:hAnsi="Arial" w:cs="Arial"/>
          <w:noProof/>
          <w:szCs w:val="24"/>
        </w:rPr>
        <w:t>.</w:t>
      </w:r>
    </w:p>
    <w:p w14:paraId="17CFAFF1"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(2010). Attitudes and Policy Responses to Australian farm dam safety threats: Comparative lessons for water resources managers. </w:t>
      </w:r>
      <w:r w:rsidRPr="00DB423C">
        <w:rPr>
          <w:rFonts w:ascii="Arial" w:hAnsi="Arial" w:cs="Arial"/>
          <w:i/>
          <w:iCs/>
          <w:noProof/>
          <w:szCs w:val="24"/>
        </w:rPr>
        <w:t>International Journal of Water Resources Development</w:t>
      </w:r>
      <w:r w:rsidRPr="00DB423C">
        <w:rPr>
          <w:rFonts w:ascii="Arial" w:hAnsi="Arial" w:cs="Arial"/>
          <w:noProof/>
          <w:szCs w:val="24"/>
        </w:rPr>
        <w:t xml:space="preserve">, </w:t>
      </w:r>
      <w:r w:rsidRPr="00DB423C">
        <w:rPr>
          <w:rFonts w:ascii="Arial" w:hAnsi="Arial" w:cs="Arial"/>
          <w:i/>
          <w:iCs/>
          <w:noProof/>
          <w:szCs w:val="24"/>
        </w:rPr>
        <w:t>26</w:t>
      </w:r>
      <w:r w:rsidRPr="00DB423C">
        <w:rPr>
          <w:rFonts w:ascii="Arial" w:hAnsi="Arial" w:cs="Arial"/>
          <w:noProof/>
          <w:szCs w:val="24"/>
        </w:rPr>
        <w:t>(3), 381–402. https://doi.org/10.1080/07900627.2010.489306</w:t>
      </w:r>
    </w:p>
    <w:p w14:paraId="159D6D8C"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(2011). A Comparative Review of Environmental Policies and Laws Involving Hazardous Private Dams : ’ Appropriate ’ Practice Models for Safe Catchments. </w:t>
      </w:r>
      <w:r w:rsidRPr="00DB423C">
        <w:rPr>
          <w:rFonts w:ascii="Arial" w:hAnsi="Arial" w:cs="Arial"/>
          <w:i/>
          <w:iCs/>
          <w:noProof/>
          <w:szCs w:val="24"/>
        </w:rPr>
        <w:t>William &amp; Mary Environmental Law &amp; Policy Review</w:t>
      </w:r>
      <w:r w:rsidRPr="00DB423C">
        <w:rPr>
          <w:rFonts w:ascii="Arial" w:hAnsi="Arial" w:cs="Arial"/>
          <w:noProof/>
          <w:szCs w:val="24"/>
        </w:rPr>
        <w:t xml:space="preserve">, </w:t>
      </w:r>
      <w:r w:rsidRPr="00DB423C">
        <w:rPr>
          <w:rFonts w:ascii="Arial" w:hAnsi="Arial" w:cs="Arial"/>
          <w:i/>
          <w:iCs/>
          <w:noProof/>
          <w:szCs w:val="24"/>
        </w:rPr>
        <w:t>35</w:t>
      </w:r>
      <w:r w:rsidRPr="00DB423C">
        <w:rPr>
          <w:rFonts w:ascii="Arial" w:hAnsi="Arial" w:cs="Arial"/>
          <w:noProof/>
          <w:szCs w:val="24"/>
        </w:rPr>
        <w:t>(2).</w:t>
      </w:r>
    </w:p>
    <w:p w14:paraId="538041CA"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Burritt, R. L., &amp; Tingey-Holyoak, J. (2011). Dam safety management for sustainable farming businesses and catchments. </w:t>
      </w:r>
      <w:r w:rsidRPr="00DB423C">
        <w:rPr>
          <w:rFonts w:ascii="Arial" w:hAnsi="Arial" w:cs="Arial"/>
          <w:i/>
          <w:iCs/>
          <w:noProof/>
          <w:szCs w:val="24"/>
        </w:rPr>
        <w:t>Agricultural Water Management</w:t>
      </w:r>
      <w:r w:rsidRPr="00DB423C">
        <w:rPr>
          <w:rFonts w:ascii="Arial" w:hAnsi="Arial" w:cs="Arial"/>
          <w:noProof/>
          <w:szCs w:val="24"/>
        </w:rPr>
        <w:t xml:space="preserve">, </w:t>
      </w:r>
      <w:r w:rsidRPr="00DB423C">
        <w:rPr>
          <w:rFonts w:ascii="Arial" w:hAnsi="Arial" w:cs="Arial"/>
          <w:i/>
          <w:iCs/>
          <w:noProof/>
          <w:szCs w:val="24"/>
        </w:rPr>
        <w:t>98</w:t>
      </w:r>
      <w:r w:rsidRPr="00DB423C">
        <w:rPr>
          <w:rFonts w:ascii="Arial" w:hAnsi="Arial" w:cs="Arial"/>
          <w:noProof/>
          <w:szCs w:val="24"/>
        </w:rPr>
        <w:t>(4), 507–516. https://doi.org/10.1016/j.agwat.2010.10.001</w:t>
      </w:r>
    </w:p>
    <w:p w14:paraId="7A68C97B"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&amp; McKay, J. M. (2003). A Farmer-Friendly Dam Safety Evaluation Procedure As A Key Part of </w:t>
      </w:r>
      <w:r w:rsidRPr="00DB423C">
        <w:rPr>
          <w:rFonts w:ascii="Arial" w:hAnsi="Arial" w:cs="Arial"/>
          <w:noProof/>
          <w:szCs w:val="24"/>
        </w:rPr>
        <w:lastRenderedPageBreak/>
        <w:t xml:space="preserve">Modern Australian Water Laws. </w:t>
      </w:r>
      <w:r w:rsidRPr="00DB423C">
        <w:rPr>
          <w:rFonts w:ascii="Arial" w:hAnsi="Arial" w:cs="Arial"/>
          <w:i/>
          <w:iCs/>
          <w:noProof/>
          <w:szCs w:val="24"/>
        </w:rPr>
        <w:t>Water International</w:t>
      </w:r>
      <w:r w:rsidRPr="00DB423C">
        <w:rPr>
          <w:rFonts w:ascii="Arial" w:hAnsi="Arial" w:cs="Arial"/>
          <w:noProof/>
          <w:szCs w:val="24"/>
        </w:rPr>
        <w:t xml:space="preserve">, </w:t>
      </w:r>
      <w:r w:rsidRPr="00DB423C">
        <w:rPr>
          <w:rFonts w:ascii="Arial" w:hAnsi="Arial" w:cs="Arial"/>
          <w:i/>
          <w:iCs/>
          <w:noProof/>
          <w:szCs w:val="24"/>
        </w:rPr>
        <w:t>28</w:t>
      </w:r>
      <w:r w:rsidRPr="00DB423C">
        <w:rPr>
          <w:rFonts w:ascii="Arial" w:hAnsi="Arial" w:cs="Arial"/>
          <w:noProof/>
          <w:szCs w:val="24"/>
        </w:rPr>
        <w:t>(1), 90–102. https://doi.org/10.1080/02508060308691668</w:t>
      </w:r>
    </w:p>
    <w:p w14:paraId="2106717E"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Tingey-Holyoak, J. L., &amp; Burritt, R. L. (2013). Dual-extreme cumulative impacts and threats in agricultural catchments: The need for effective integrated policy. </w:t>
      </w:r>
      <w:r w:rsidRPr="00DB423C">
        <w:rPr>
          <w:rFonts w:ascii="Arial" w:hAnsi="Arial" w:cs="Arial"/>
          <w:i/>
          <w:iCs/>
          <w:noProof/>
          <w:szCs w:val="24"/>
        </w:rPr>
        <w:t>Agricultural Water Management</w:t>
      </w:r>
      <w:r w:rsidRPr="00DB423C">
        <w:rPr>
          <w:rFonts w:ascii="Arial" w:hAnsi="Arial" w:cs="Arial"/>
          <w:noProof/>
          <w:szCs w:val="24"/>
        </w:rPr>
        <w:t xml:space="preserve">, </w:t>
      </w:r>
      <w:r w:rsidRPr="00DB423C">
        <w:rPr>
          <w:rFonts w:ascii="Arial" w:hAnsi="Arial" w:cs="Arial"/>
          <w:i/>
          <w:iCs/>
          <w:noProof/>
          <w:szCs w:val="24"/>
        </w:rPr>
        <w:t>118</w:t>
      </w:r>
      <w:r w:rsidRPr="00DB423C">
        <w:rPr>
          <w:rFonts w:ascii="Arial" w:hAnsi="Arial" w:cs="Arial"/>
          <w:noProof/>
          <w:szCs w:val="24"/>
        </w:rPr>
        <w:t>(2013), 103–112. https://doi.org/10.1016/j.agwat.2012.12.003</w:t>
      </w:r>
    </w:p>
    <w:p w14:paraId="0F3CA15A"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Ramachandra, T. V, &amp; Kumar, U. (2004). Geographic Resources Decision Support System for land use, land cover dynamics analysis. </w:t>
      </w:r>
      <w:r w:rsidRPr="00DB423C">
        <w:rPr>
          <w:rFonts w:ascii="Arial" w:hAnsi="Arial" w:cs="Arial"/>
          <w:i/>
          <w:iCs/>
          <w:noProof/>
          <w:szCs w:val="24"/>
        </w:rPr>
        <w:t>Proceedings of the FOSS/GRASS Users Conference</w:t>
      </w:r>
      <w:r w:rsidRPr="00DB423C">
        <w:rPr>
          <w:rFonts w:ascii="Arial" w:hAnsi="Arial" w:cs="Arial"/>
          <w:noProof/>
          <w:szCs w:val="24"/>
        </w:rPr>
        <w:t xml:space="preserve">, </w:t>
      </w:r>
      <w:r w:rsidRPr="00DB423C">
        <w:rPr>
          <w:rFonts w:ascii="Arial" w:hAnsi="Arial" w:cs="Arial"/>
          <w:i/>
          <w:iCs/>
          <w:noProof/>
          <w:szCs w:val="24"/>
        </w:rPr>
        <w:t>September</w:t>
      </w:r>
      <w:r w:rsidRPr="00DB423C">
        <w:rPr>
          <w:rFonts w:ascii="Arial" w:hAnsi="Arial" w:cs="Arial"/>
          <w:noProof/>
          <w:szCs w:val="24"/>
        </w:rPr>
        <w:t>, 15.</w:t>
      </w:r>
    </w:p>
    <w:p w14:paraId="2406C47A"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Salgado, S. R. T., &amp; Silva Carvalho, E. M. da. (2023). Recommendations for the process of classification of dams in Brazil. </w:t>
      </w:r>
      <w:r w:rsidRPr="00DB423C">
        <w:rPr>
          <w:rFonts w:ascii="Arial" w:hAnsi="Arial" w:cs="Arial"/>
          <w:i/>
          <w:iCs/>
          <w:noProof/>
          <w:szCs w:val="24"/>
        </w:rPr>
        <w:t>U.Porto Journal of Engineering</w:t>
      </w:r>
      <w:r w:rsidRPr="00DB423C">
        <w:rPr>
          <w:rFonts w:ascii="Arial" w:hAnsi="Arial" w:cs="Arial"/>
          <w:noProof/>
          <w:szCs w:val="24"/>
        </w:rPr>
        <w:t xml:space="preserve">, </w:t>
      </w:r>
      <w:r w:rsidRPr="00DB423C">
        <w:rPr>
          <w:rFonts w:ascii="Arial" w:hAnsi="Arial" w:cs="Arial"/>
          <w:i/>
          <w:iCs/>
          <w:noProof/>
          <w:szCs w:val="24"/>
        </w:rPr>
        <w:t>9</w:t>
      </w:r>
      <w:r w:rsidRPr="00DB423C">
        <w:rPr>
          <w:rFonts w:ascii="Arial" w:hAnsi="Arial" w:cs="Arial"/>
          <w:noProof/>
          <w:szCs w:val="24"/>
        </w:rPr>
        <w:t>(3), 223–239. https://doi.org/10.24840/2183-6493_009-003_001968</w:t>
      </w:r>
    </w:p>
    <w:p w14:paraId="32AC3A70"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Stott, R. (1999). The World Bank. </w:t>
      </w:r>
      <w:r w:rsidRPr="00DB423C">
        <w:rPr>
          <w:rFonts w:ascii="Arial" w:hAnsi="Arial" w:cs="Arial"/>
          <w:i/>
          <w:iCs/>
          <w:noProof/>
          <w:szCs w:val="24"/>
        </w:rPr>
        <w:t>British Medical Journal</w:t>
      </w:r>
      <w:r w:rsidRPr="00DB423C">
        <w:rPr>
          <w:rFonts w:ascii="Arial" w:hAnsi="Arial" w:cs="Arial"/>
          <w:noProof/>
          <w:szCs w:val="24"/>
        </w:rPr>
        <w:t xml:space="preserve">, </w:t>
      </w:r>
      <w:r w:rsidRPr="00DB423C">
        <w:rPr>
          <w:rFonts w:ascii="Arial" w:hAnsi="Arial" w:cs="Arial"/>
          <w:i/>
          <w:iCs/>
          <w:noProof/>
          <w:szCs w:val="24"/>
        </w:rPr>
        <w:t>318</w:t>
      </w:r>
      <w:r w:rsidRPr="00DB423C">
        <w:rPr>
          <w:rFonts w:ascii="Arial" w:hAnsi="Arial" w:cs="Arial"/>
          <w:noProof/>
          <w:szCs w:val="24"/>
        </w:rPr>
        <w:t>(7187), 822–823. https://doi.org/10.1136/bmj.318.7187.822</w:t>
      </w:r>
    </w:p>
    <w:p w14:paraId="144AA46C"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6B40FA">
        <w:rPr>
          <w:rFonts w:ascii="Arial" w:hAnsi="Arial" w:cs="Arial"/>
          <w:noProof/>
          <w:szCs w:val="24"/>
          <w:lang w:val="fr-FR"/>
        </w:rPr>
        <w:t xml:space="preserve">Thi, T., Burritt, R. L., &amp; Pisaniello, J. D. (2012). </w:t>
      </w:r>
      <w:r w:rsidRPr="00DB423C">
        <w:rPr>
          <w:rFonts w:ascii="Arial" w:hAnsi="Arial" w:cs="Arial"/>
          <w:i/>
          <w:iCs/>
          <w:noProof/>
          <w:szCs w:val="24"/>
        </w:rPr>
        <w:t>Adequacy of policy and practices for small agricultural dam safety accountability and assurance in Vietnam</w:t>
      </w:r>
      <w:r w:rsidRPr="00DB423C">
        <w:rPr>
          <w:rFonts w:ascii="Arial" w:hAnsi="Arial" w:cs="Arial"/>
          <w:noProof/>
          <w:szCs w:val="24"/>
        </w:rPr>
        <w:t xml:space="preserve">. </w:t>
      </w:r>
      <w:r w:rsidRPr="00DB423C">
        <w:rPr>
          <w:rFonts w:ascii="Arial" w:hAnsi="Arial" w:cs="Arial"/>
          <w:i/>
          <w:iCs/>
          <w:noProof/>
          <w:szCs w:val="24"/>
        </w:rPr>
        <w:t>112</w:t>
      </w:r>
      <w:r w:rsidRPr="00DB423C">
        <w:rPr>
          <w:rFonts w:ascii="Arial" w:hAnsi="Arial" w:cs="Arial"/>
          <w:noProof/>
          <w:szCs w:val="24"/>
        </w:rPr>
        <w:t>, 63–74.</w:t>
      </w:r>
    </w:p>
    <w:p w14:paraId="0E926C86"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Tietenberg, T. (1998). Disclosure strategies for pollution control. </w:t>
      </w:r>
      <w:r w:rsidRPr="00DB423C">
        <w:rPr>
          <w:rFonts w:ascii="Arial" w:hAnsi="Arial" w:cs="Arial"/>
          <w:i/>
          <w:iCs/>
          <w:noProof/>
          <w:szCs w:val="24"/>
        </w:rPr>
        <w:t>Environmental and Resource Economics</w:t>
      </w:r>
      <w:r w:rsidRPr="00DB423C">
        <w:rPr>
          <w:rFonts w:ascii="Arial" w:hAnsi="Arial" w:cs="Arial"/>
          <w:noProof/>
          <w:szCs w:val="24"/>
        </w:rPr>
        <w:t xml:space="preserve">, </w:t>
      </w:r>
      <w:r w:rsidRPr="00DB423C">
        <w:rPr>
          <w:rFonts w:ascii="Arial" w:hAnsi="Arial" w:cs="Arial"/>
          <w:i/>
          <w:iCs/>
          <w:noProof/>
          <w:szCs w:val="24"/>
        </w:rPr>
        <w:t>11</w:t>
      </w:r>
      <w:r w:rsidRPr="00DB423C">
        <w:rPr>
          <w:rFonts w:ascii="Arial" w:hAnsi="Arial" w:cs="Arial"/>
          <w:noProof/>
          <w:szCs w:val="24"/>
        </w:rPr>
        <w:t>(3–4), 587–602. https://doi.org/10.1023/a:1008291411492</w:t>
      </w:r>
    </w:p>
    <w:p w14:paraId="225A0761"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Tingey-Holyoak, J., Pisaniello, J. D., &amp; Burritt, R. L. (2011). Analysis and application of international dam safety policy benchmarks. </w:t>
      </w:r>
      <w:r w:rsidRPr="00DB423C">
        <w:rPr>
          <w:rFonts w:ascii="Arial" w:hAnsi="Arial" w:cs="Arial"/>
          <w:i/>
          <w:iCs/>
          <w:noProof/>
          <w:szCs w:val="24"/>
        </w:rPr>
        <w:t>Benchmarking</w:t>
      </w:r>
      <w:r w:rsidRPr="00DB423C">
        <w:rPr>
          <w:rFonts w:ascii="Arial" w:hAnsi="Arial" w:cs="Arial"/>
          <w:noProof/>
          <w:szCs w:val="24"/>
        </w:rPr>
        <w:t xml:space="preserve">, </w:t>
      </w:r>
      <w:r w:rsidRPr="00DB423C">
        <w:rPr>
          <w:rFonts w:ascii="Arial" w:hAnsi="Arial" w:cs="Arial"/>
          <w:i/>
          <w:iCs/>
          <w:noProof/>
          <w:szCs w:val="24"/>
        </w:rPr>
        <w:t>18</w:t>
      </w:r>
      <w:r w:rsidRPr="00DB423C">
        <w:rPr>
          <w:rFonts w:ascii="Arial" w:hAnsi="Arial" w:cs="Arial"/>
          <w:noProof/>
          <w:szCs w:val="24"/>
        </w:rPr>
        <w:t>(2), 301–317. https://doi.org/10.1108/14635771111121720</w:t>
      </w:r>
    </w:p>
    <w:p w14:paraId="72D9DEA4" w14:textId="77777777" w:rsidR="00DE3490" w:rsidRPr="00DB423C" w:rsidRDefault="00DE3490" w:rsidP="00DE3490">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Wagner, M., &amp; Schaltegger, S. (2003). How does sustainability performance relate to business competitiveness? </w:t>
      </w:r>
      <w:r w:rsidRPr="00DB423C">
        <w:rPr>
          <w:rFonts w:ascii="Arial" w:hAnsi="Arial" w:cs="Arial"/>
          <w:i/>
          <w:iCs/>
          <w:noProof/>
          <w:szCs w:val="24"/>
        </w:rPr>
        <w:t>Greener Management International</w:t>
      </w:r>
      <w:r w:rsidRPr="00DB423C">
        <w:rPr>
          <w:rFonts w:ascii="Arial" w:hAnsi="Arial" w:cs="Arial"/>
          <w:noProof/>
          <w:szCs w:val="24"/>
        </w:rPr>
        <w:t xml:space="preserve">, </w:t>
      </w:r>
      <w:r w:rsidRPr="00DB423C">
        <w:rPr>
          <w:rFonts w:ascii="Arial" w:hAnsi="Arial" w:cs="Arial"/>
          <w:i/>
          <w:iCs/>
          <w:noProof/>
          <w:szCs w:val="24"/>
        </w:rPr>
        <w:t>44</w:t>
      </w:r>
      <w:r w:rsidRPr="00DB423C">
        <w:rPr>
          <w:rFonts w:ascii="Arial" w:hAnsi="Arial" w:cs="Arial"/>
          <w:noProof/>
          <w:szCs w:val="24"/>
        </w:rPr>
        <w:t>, 5–16. https://doi.org/10.9774/GLEAF.3062.2003.wi.00003</w:t>
      </w:r>
    </w:p>
    <w:p w14:paraId="2B3F2195" w14:textId="77777777" w:rsidR="00DE3490" w:rsidRPr="00DB423C" w:rsidRDefault="00DE3490" w:rsidP="00DE3490">
      <w:pPr>
        <w:widowControl w:val="0"/>
        <w:autoSpaceDE w:val="0"/>
        <w:autoSpaceDN w:val="0"/>
        <w:adjustRightInd w:val="0"/>
        <w:ind w:left="480" w:hanging="480"/>
        <w:rPr>
          <w:rFonts w:ascii="Arial" w:hAnsi="Arial" w:cs="Arial"/>
          <w:noProof/>
        </w:rPr>
      </w:pPr>
      <w:r w:rsidRPr="00DB423C">
        <w:rPr>
          <w:rFonts w:ascii="Arial" w:hAnsi="Arial" w:cs="Arial"/>
          <w:noProof/>
          <w:szCs w:val="24"/>
        </w:rPr>
        <w:t xml:space="preserve">Zivie-Cohce, C. (1997). No Titleیلیب. </w:t>
      </w:r>
      <w:r w:rsidRPr="00DB423C">
        <w:rPr>
          <w:rFonts w:ascii="Arial" w:hAnsi="Arial" w:cs="Arial"/>
          <w:i/>
          <w:iCs/>
          <w:noProof/>
          <w:szCs w:val="24"/>
        </w:rPr>
        <w:t>Nucl. Phys.</w:t>
      </w:r>
      <w:r w:rsidRPr="00DB423C">
        <w:rPr>
          <w:rFonts w:ascii="Arial" w:hAnsi="Arial" w:cs="Arial"/>
          <w:noProof/>
          <w:szCs w:val="24"/>
        </w:rPr>
        <w:t xml:space="preserve">, </w:t>
      </w:r>
      <w:r w:rsidRPr="00DB423C">
        <w:rPr>
          <w:rFonts w:ascii="Arial" w:hAnsi="Arial" w:cs="Arial"/>
          <w:i/>
          <w:iCs/>
          <w:noProof/>
          <w:szCs w:val="24"/>
        </w:rPr>
        <w:t>13</w:t>
      </w:r>
      <w:r w:rsidRPr="00DB423C">
        <w:rPr>
          <w:rFonts w:ascii="Arial" w:hAnsi="Arial" w:cs="Arial"/>
          <w:noProof/>
          <w:szCs w:val="24"/>
        </w:rPr>
        <w:t>(1), 1–122.</w:t>
      </w:r>
    </w:p>
    <w:p w14:paraId="2DA36B31" w14:textId="2FF8091A" w:rsidR="00B01FCD" w:rsidRPr="00FB3A86" w:rsidRDefault="00DE3490" w:rsidP="00DE3490">
      <w:pPr>
        <w:pStyle w:val="Appendix"/>
        <w:spacing w:after="0"/>
        <w:jc w:val="both"/>
        <w:rPr>
          <w:rFonts w:ascii="Arial" w:hAnsi="Arial" w:cs="Arial"/>
          <w:b w:val="0"/>
        </w:rPr>
      </w:pPr>
      <w:r w:rsidRPr="00D62A3B">
        <w:rPr>
          <w:rFonts w:ascii="Arial" w:eastAsia="Calibri" w:hAnsi="Arial" w:cs="Arial"/>
          <w:kern w:val="2"/>
          <w14:ligatures w14:val="standardContextual"/>
        </w:rPr>
        <w:fldChar w:fldCharType="end"/>
      </w:r>
    </w:p>
    <w:sectPr w:rsidR="00B01FCD" w:rsidRPr="00FB3A86" w:rsidSect="000E2D4C">
      <w:headerReference w:type="even" r:id="rId20"/>
      <w:headerReference w:type="default" r:id="rId21"/>
      <w:footerReference w:type="default" r:id="rId22"/>
      <w:headerReference w:type="first" r:id="rId23"/>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6E102" w14:textId="77777777" w:rsidR="00BF4040" w:rsidRDefault="00BF4040" w:rsidP="00C37E61">
      <w:r>
        <w:separator/>
      </w:r>
    </w:p>
  </w:endnote>
  <w:endnote w:type="continuationSeparator" w:id="0">
    <w:p w14:paraId="32E6E873" w14:textId="77777777" w:rsidR="00BF4040" w:rsidRDefault="00BF40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AE65" w14:textId="77777777" w:rsidR="00ED20E9" w:rsidRDefault="00ED2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4AF3F" w14:textId="77777777" w:rsidR="00ED20E9" w:rsidRDefault="00ED2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0FE3" w14:textId="77777777" w:rsidR="00ED20E9" w:rsidRDefault="00ED20E9">
    <w:pPr>
      <w:pStyle w:val="Footer"/>
      <w:rPr>
        <w:rFonts w:ascii="Arial" w:hAnsi="Arial" w:cs="Arial"/>
        <w:sz w:val="16"/>
      </w:rPr>
    </w:pPr>
  </w:p>
  <w:p w14:paraId="30183249" w14:textId="77777777" w:rsidR="00ED20E9" w:rsidRDefault="00ED20E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B4DE48D" w14:textId="77777777" w:rsidR="00ED20E9" w:rsidRDefault="00ED20E9">
    <w:pPr>
      <w:pStyle w:val="Footer"/>
      <w:rPr>
        <w:rFonts w:ascii="Arial" w:hAnsi="Arial" w:cs="Arial"/>
        <w:sz w:val="16"/>
      </w:rPr>
    </w:pPr>
  </w:p>
  <w:p w14:paraId="6645BA61" w14:textId="77777777" w:rsidR="00ED20E9" w:rsidRPr="009E048A" w:rsidRDefault="00ED20E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8C69E" w14:textId="77777777" w:rsidR="00ED20E9" w:rsidRPr="00C37E61" w:rsidRDefault="00ED20E9"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D0BF2" w14:textId="77777777" w:rsidR="00BF4040" w:rsidRDefault="00BF4040" w:rsidP="00C37E61">
      <w:r>
        <w:separator/>
      </w:r>
    </w:p>
  </w:footnote>
  <w:footnote w:type="continuationSeparator" w:id="0">
    <w:p w14:paraId="4376B2BA" w14:textId="77777777" w:rsidR="00BF4040" w:rsidRDefault="00BF404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0325E" w14:textId="606A8635" w:rsidR="00ED20E9" w:rsidRDefault="00BF4040">
    <w:pPr>
      <w:pStyle w:val="Header"/>
    </w:pPr>
    <w:r>
      <w:rPr>
        <w:noProof/>
      </w:rPr>
      <w:pict w14:anchorId="3062F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2"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4FF5" w14:textId="0D076410" w:rsidR="00ED20E9" w:rsidRDefault="00BF4040">
    <w:pPr>
      <w:pStyle w:val="Header"/>
    </w:pPr>
    <w:r>
      <w:rPr>
        <w:noProof/>
      </w:rPr>
      <w:pict w14:anchorId="2CCB4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3"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B95FC" w14:textId="40E1FCAE" w:rsidR="00ED20E9" w:rsidRPr="00296529" w:rsidRDefault="00BF4040" w:rsidP="00296529">
    <w:pPr>
      <w:ind w:left="2160"/>
      <w:jc w:val="center"/>
      <w:rPr>
        <w:rFonts w:ascii="Times New Roman" w:eastAsia="Calibri" w:hAnsi="Times New Roman"/>
        <w:i/>
        <w:sz w:val="18"/>
        <w:szCs w:val="22"/>
      </w:rPr>
    </w:pPr>
    <w:r>
      <w:rPr>
        <w:noProof/>
      </w:rPr>
      <w:pict w14:anchorId="0B010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1" o:spid="_x0000_s2049"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7D59B52" w14:textId="77777777" w:rsidR="00ED20E9" w:rsidRPr="00296529" w:rsidRDefault="00ED20E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8B46A28" w14:textId="77777777" w:rsidR="00ED20E9" w:rsidRPr="00296529" w:rsidRDefault="00ED20E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598AC6" w14:textId="77777777" w:rsidR="00ED20E9" w:rsidRPr="00296529" w:rsidRDefault="00ED20E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2DACB7" w14:textId="77777777" w:rsidR="00ED20E9" w:rsidRDefault="00ED20E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47B9B4" w14:textId="77777777" w:rsidR="00ED20E9" w:rsidRDefault="00ED20E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3AC0456" w14:textId="77777777" w:rsidR="00ED20E9" w:rsidRDefault="00ED20E9">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1348" w14:textId="72BC700B" w:rsidR="00ED20E9" w:rsidRDefault="00BF4040">
    <w:pPr>
      <w:pStyle w:val="Header"/>
    </w:pPr>
    <w:r>
      <w:rPr>
        <w:noProof/>
      </w:rPr>
      <w:pict w14:anchorId="26E9C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5" o:spid="_x0000_s2053" type="#_x0000_t136" style="position:absolute;margin-left:0;margin-top:0;width:639.45pt;height:71.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2631" w14:textId="21F210C1" w:rsidR="00ED20E9" w:rsidRDefault="00BF4040">
    <w:pPr>
      <w:pStyle w:val="Header"/>
    </w:pPr>
    <w:r>
      <w:rPr>
        <w:noProof/>
      </w:rPr>
      <w:pict w14:anchorId="30F4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6" o:spid="_x0000_s2054" type="#_x0000_t136" style="position:absolute;margin-left:0;margin-top:0;width:639.45pt;height:71.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97F7B" w14:textId="240264CF" w:rsidR="00ED20E9" w:rsidRDefault="00BF4040">
    <w:pPr>
      <w:pStyle w:val="Header"/>
    </w:pPr>
    <w:r>
      <w:rPr>
        <w:noProof/>
      </w:rPr>
      <w:pict w14:anchorId="6E148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4" o:spid="_x0000_s2052" type="#_x0000_t136" style="position:absolute;margin-left:0;margin-top:0;width:639.45pt;height:71.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E702A7"/>
    <w:multiLevelType w:val="multilevel"/>
    <w:tmpl w:val="57E702A7"/>
    <w:lvl w:ilvl="0">
      <w:start w:val="1"/>
      <w:numFmt w:val="decimal"/>
      <w:lvlText w:val="%1."/>
      <w:lvlJc w:val="left"/>
      <w:pPr>
        <w:ind w:left="72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82C4F"/>
    <w:rsid w:val="000A47FA"/>
    <w:rsid w:val="000A65D3"/>
    <w:rsid w:val="000B1E33"/>
    <w:rsid w:val="000C56B0"/>
    <w:rsid w:val="000D636D"/>
    <w:rsid w:val="000D689F"/>
    <w:rsid w:val="000E2D4C"/>
    <w:rsid w:val="000E7B7B"/>
    <w:rsid w:val="000E7D62"/>
    <w:rsid w:val="00103357"/>
    <w:rsid w:val="001234D1"/>
    <w:rsid w:val="00123C9F"/>
    <w:rsid w:val="00126190"/>
    <w:rsid w:val="00130F17"/>
    <w:rsid w:val="001320BF"/>
    <w:rsid w:val="00163BC4"/>
    <w:rsid w:val="001731B8"/>
    <w:rsid w:val="0018105A"/>
    <w:rsid w:val="00191062"/>
    <w:rsid w:val="00192B72"/>
    <w:rsid w:val="001A29D8"/>
    <w:rsid w:val="001A5CAA"/>
    <w:rsid w:val="001B0427"/>
    <w:rsid w:val="001B34AF"/>
    <w:rsid w:val="001C097D"/>
    <w:rsid w:val="001C2EE1"/>
    <w:rsid w:val="001D3A51"/>
    <w:rsid w:val="001E10D2"/>
    <w:rsid w:val="001E25B4"/>
    <w:rsid w:val="001E44FE"/>
    <w:rsid w:val="00200595"/>
    <w:rsid w:val="00204835"/>
    <w:rsid w:val="00231920"/>
    <w:rsid w:val="0023195C"/>
    <w:rsid w:val="00235DA9"/>
    <w:rsid w:val="0024282C"/>
    <w:rsid w:val="002460DC"/>
    <w:rsid w:val="00250985"/>
    <w:rsid w:val="002556F6"/>
    <w:rsid w:val="00283105"/>
    <w:rsid w:val="00284C4C"/>
    <w:rsid w:val="00287E68"/>
    <w:rsid w:val="00287ED5"/>
    <w:rsid w:val="00296529"/>
    <w:rsid w:val="002B27FB"/>
    <w:rsid w:val="002B685A"/>
    <w:rsid w:val="002B7540"/>
    <w:rsid w:val="002C57D2"/>
    <w:rsid w:val="002D0EB1"/>
    <w:rsid w:val="002E0D56"/>
    <w:rsid w:val="00315186"/>
    <w:rsid w:val="003223C1"/>
    <w:rsid w:val="0033343E"/>
    <w:rsid w:val="003512C2"/>
    <w:rsid w:val="00371FB6"/>
    <w:rsid w:val="003763C1"/>
    <w:rsid w:val="00376BBE"/>
    <w:rsid w:val="0039224F"/>
    <w:rsid w:val="003941B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4E96"/>
    <w:rsid w:val="00471A80"/>
    <w:rsid w:val="004D305E"/>
    <w:rsid w:val="004D4277"/>
    <w:rsid w:val="00502516"/>
    <w:rsid w:val="00505F06"/>
    <w:rsid w:val="00506828"/>
    <w:rsid w:val="00513E7D"/>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4E8C"/>
    <w:rsid w:val="006B21D3"/>
    <w:rsid w:val="006B57D0"/>
    <w:rsid w:val="006D30FF"/>
    <w:rsid w:val="006D6940"/>
    <w:rsid w:val="006F11EC"/>
    <w:rsid w:val="0070082C"/>
    <w:rsid w:val="007369E6"/>
    <w:rsid w:val="00746E59"/>
    <w:rsid w:val="00754C9A"/>
    <w:rsid w:val="0075599A"/>
    <w:rsid w:val="00761D52"/>
    <w:rsid w:val="0076207D"/>
    <w:rsid w:val="0077749E"/>
    <w:rsid w:val="00790ADA"/>
    <w:rsid w:val="007D2288"/>
    <w:rsid w:val="007E088F"/>
    <w:rsid w:val="007F7B32"/>
    <w:rsid w:val="00804BC2"/>
    <w:rsid w:val="0081431A"/>
    <w:rsid w:val="008206FC"/>
    <w:rsid w:val="0083216F"/>
    <w:rsid w:val="00860000"/>
    <w:rsid w:val="00863BD3"/>
    <w:rsid w:val="008641ED"/>
    <w:rsid w:val="00866D66"/>
    <w:rsid w:val="008671C6"/>
    <w:rsid w:val="00875803"/>
    <w:rsid w:val="008B459E"/>
    <w:rsid w:val="008D20B5"/>
    <w:rsid w:val="008E13AE"/>
    <w:rsid w:val="008E1506"/>
    <w:rsid w:val="008E4381"/>
    <w:rsid w:val="008E567A"/>
    <w:rsid w:val="008E710C"/>
    <w:rsid w:val="008F69D6"/>
    <w:rsid w:val="00902823"/>
    <w:rsid w:val="00910788"/>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3916"/>
    <w:rsid w:val="00B52583"/>
    <w:rsid w:val="00B52896"/>
    <w:rsid w:val="00B95236"/>
    <w:rsid w:val="00B96BD9"/>
    <w:rsid w:val="00BA1B01"/>
    <w:rsid w:val="00BA2641"/>
    <w:rsid w:val="00BB37AA"/>
    <w:rsid w:val="00BB60DB"/>
    <w:rsid w:val="00BC53A0"/>
    <w:rsid w:val="00BE4482"/>
    <w:rsid w:val="00BE62AD"/>
    <w:rsid w:val="00BF121F"/>
    <w:rsid w:val="00BF1D15"/>
    <w:rsid w:val="00BF1F80"/>
    <w:rsid w:val="00BF4040"/>
    <w:rsid w:val="00C15D52"/>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A2A91"/>
    <w:rsid w:val="00DC2A65"/>
    <w:rsid w:val="00DE15F0"/>
    <w:rsid w:val="00DE3490"/>
    <w:rsid w:val="00DE5663"/>
    <w:rsid w:val="00DE78AA"/>
    <w:rsid w:val="00E053D0"/>
    <w:rsid w:val="00E15994"/>
    <w:rsid w:val="00E3114E"/>
    <w:rsid w:val="00E31A70"/>
    <w:rsid w:val="00E35B02"/>
    <w:rsid w:val="00E655E6"/>
    <w:rsid w:val="00E66496"/>
    <w:rsid w:val="00E66B35"/>
    <w:rsid w:val="00E66E10"/>
    <w:rsid w:val="00E769F6"/>
    <w:rsid w:val="00E8111D"/>
    <w:rsid w:val="00E8407C"/>
    <w:rsid w:val="00E84F3C"/>
    <w:rsid w:val="00EA012C"/>
    <w:rsid w:val="00EB0E30"/>
    <w:rsid w:val="00EC6A55"/>
    <w:rsid w:val="00ED0288"/>
    <w:rsid w:val="00ED20E9"/>
    <w:rsid w:val="00EE04EB"/>
    <w:rsid w:val="00EE52CB"/>
    <w:rsid w:val="00EF581D"/>
    <w:rsid w:val="00EF7FD8"/>
    <w:rsid w:val="00F06F59"/>
    <w:rsid w:val="00F17988"/>
    <w:rsid w:val="00F469F0"/>
    <w:rsid w:val="00F53273"/>
    <w:rsid w:val="00F54485"/>
    <w:rsid w:val="00F755E4"/>
    <w:rsid w:val="00F77D02"/>
    <w:rsid w:val="00F9435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1D2165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3941BF"/>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E34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3490"/>
    <w:rPr>
      <w:color w:val="808080"/>
    </w:rPr>
  </w:style>
  <w:style w:type="character" w:styleId="Strong">
    <w:name w:val="Strong"/>
    <w:basedOn w:val="DefaultParagraphFont"/>
    <w:uiPriority w:val="22"/>
    <w:qFormat/>
    <w:rsid w:val="00910788"/>
    <w:rPr>
      <w:b/>
      <w:bCs/>
    </w:rPr>
  </w:style>
  <w:style w:type="paragraph" w:styleId="Subtitle">
    <w:name w:val="Subtitle"/>
    <w:basedOn w:val="Normal"/>
    <w:next w:val="Normal"/>
    <w:link w:val="SubtitleChar"/>
    <w:qFormat/>
    <w:rsid w:val="00513E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3E7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6D3E-B2D3-4999-9252-EBA435E9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TotalTime>
  <Pages>1</Pages>
  <Words>18992</Words>
  <Characters>108260</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126999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5</cp:revision>
  <cp:lastPrinted>1999-07-06T11:00:00Z</cp:lastPrinted>
  <dcterms:created xsi:type="dcterms:W3CDTF">2025-02-03T20:37:00Z</dcterms:created>
  <dcterms:modified xsi:type="dcterms:W3CDTF">2025-02-03T20:49:00Z</dcterms:modified>
</cp:coreProperties>
</file>