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11D" w:rsidRPr="007D2EDD" w:rsidRDefault="0078532A" w:rsidP="007D2EDD">
      <w:pPr>
        <w:spacing w:after="0" w:line="240" w:lineRule="auto"/>
        <w:jc w:val="center"/>
        <w:rPr>
          <w:rFonts w:ascii="Times New Roman" w:hAnsi="Times New Roman" w:cs="Times New Roman"/>
          <w:b/>
          <w:bCs/>
          <w:sz w:val="32"/>
          <w:lang w:val="en-GB"/>
        </w:rPr>
      </w:pPr>
      <w:r>
        <w:br/>
      </w:r>
      <w:r w:rsidRPr="0059076E">
        <w:rPr>
          <w:rFonts w:ascii="Arial" w:hAnsi="Arial" w:cs="Arial"/>
          <w:b/>
          <w:bCs/>
          <w:color w:val="222222"/>
          <w:sz w:val="24"/>
          <w:shd w:val="clear" w:color="auto" w:fill="FFFFFF"/>
        </w:rPr>
        <w:t xml:space="preserve">Synthesis and Biological Evaluation of </w:t>
      </w:r>
      <w:proofErr w:type="spellStart"/>
      <w:r w:rsidRPr="0059076E">
        <w:rPr>
          <w:rFonts w:ascii="Arial" w:hAnsi="Arial" w:cs="Arial"/>
          <w:b/>
          <w:bCs/>
          <w:color w:val="222222"/>
          <w:sz w:val="24"/>
          <w:shd w:val="clear" w:color="auto" w:fill="FFFFFF"/>
        </w:rPr>
        <w:t>Quinoxaline</w:t>
      </w:r>
      <w:proofErr w:type="spellEnd"/>
      <w:r w:rsidRPr="0059076E">
        <w:rPr>
          <w:rFonts w:ascii="Arial" w:hAnsi="Arial" w:cs="Arial"/>
          <w:b/>
          <w:bCs/>
          <w:color w:val="222222"/>
          <w:sz w:val="24"/>
          <w:shd w:val="clear" w:color="auto" w:fill="FFFFFF"/>
        </w:rPr>
        <w:t>-Based Compounds as Potential Antiviral Agents against Emerging Viruses</w:t>
      </w:r>
      <w:r w:rsidR="00B84FFD" w:rsidRPr="0059076E">
        <w:rPr>
          <w:rFonts w:ascii="Arial" w:hAnsi="Arial" w:cs="Arial"/>
          <w:b/>
          <w:bCs/>
          <w:color w:val="222222"/>
          <w:sz w:val="24"/>
          <w:shd w:val="clear" w:color="auto" w:fill="FFFFFF"/>
        </w:rPr>
        <w:br/>
      </w:r>
      <w:r w:rsidR="00B84FFD">
        <w:rPr>
          <w:rFonts w:ascii="Arial" w:hAnsi="Arial" w:cs="Arial"/>
          <w:color w:val="222222"/>
          <w:sz w:val="24"/>
          <w:shd w:val="clear" w:color="auto" w:fill="FFFFFF"/>
        </w:rPr>
        <w:br/>
      </w:r>
    </w:p>
    <w:p w:rsidR="00DF04E6" w:rsidRPr="00DF04E6" w:rsidRDefault="00DF04E6" w:rsidP="00DF04E6">
      <w:pPr>
        <w:spacing w:before="100" w:beforeAutospacing="1" w:after="100" w:afterAutospacing="1" w:line="240" w:lineRule="auto"/>
        <w:outlineLvl w:val="1"/>
        <w:rPr>
          <w:rFonts w:ascii="Times New Roman" w:eastAsia="Times New Roman" w:hAnsi="Times New Roman" w:cs="Times New Roman"/>
          <w:b/>
          <w:bCs/>
          <w:sz w:val="24"/>
          <w:szCs w:val="36"/>
        </w:rPr>
      </w:pPr>
      <w:r w:rsidRPr="00DF04E6">
        <w:rPr>
          <w:rFonts w:ascii="Times New Roman" w:eastAsia="Times New Roman" w:hAnsi="Times New Roman" w:cs="Times New Roman"/>
          <w:b/>
          <w:bCs/>
          <w:sz w:val="24"/>
          <w:szCs w:val="36"/>
        </w:rPr>
        <w:t>Abstract</w:t>
      </w:r>
    </w:p>
    <w:p w:rsidR="0078532A" w:rsidRPr="0078532A" w:rsidRDefault="0078532A" w:rsidP="0078532A">
      <w:pPr>
        <w:spacing w:line="360" w:lineRule="auto"/>
        <w:jc w:val="both"/>
        <w:rPr>
          <w:rFonts w:ascii="Times New Roman" w:hAnsi="Times New Roman" w:cs="Times New Roman"/>
          <w:sz w:val="24"/>
        </w:rPr>
      </w:pPr>
      <w:proofErr w:type="spellStart"/>
      <w:r w:rsidRPr="0078532A">
        <w:rPr>
          <w:rFonts w:ascii="Times New Roman" w:hAnsi="Times New Roman" w:cs="Times New Roman"/>
          <w:sz w:val="24"/>
        </w:rPr>
        <w:t>Quinoxalines</w:t>
      </w:r>
      <w:proofErr w:type="spellEnd"/>
      <w:r w:rsidRPr="0078532A">
        <w:rPr>
          <w:rFonts w:ascii="Times New Roman" w:hAnsi="Times New Roman" w:cs="Times New Roman"/>
          <w:sz w:val="24"/>
        </w:rPr>
        <w:t xml:space="preserve"> are nitrogen-rich heterocyclic compounds that have attracted a lot of attention in scientific research because of their important biological activities and multifaceted functionalization capabilities. The study's scope includes their use as powerful antiviral agents, especially in the field of respiratory diseases, which is a major concern in this thorough review. Potential influenza inhibitors, anti-SARS coronavirus inhibitors, anti-SARS-CO-2 coronavirus inhibitors, and various respiratory antiviral activities are some of their notable pharmacological effects. As a result, several of these </w:t>
      </w:r>
      <w:proofErr w:type="spellStart"/>
      <w:r w:rsidRPr="0078532A">
        <w:rPr>
          <w:rFonts w:ascii="Times New Roman" w:hAnsi="Times New Roman" w:cs="Times New Roman"/>
          <w:sz w:val="24"/>
        </w:rPr>
        <w:t>quinoxalines</w:t>
      </w:r>
      <w:proofErr w:type="spellEnd"/>
      <w:r w:rsidRPr="0078532A">
        <w:rPr>
          <w:rFonts w:ascii="Times New Roman" w:hAnsi="Times New Roman" w:cs="Times New Roman"/>
          <w:sz w:val="24"/>
        </w:rPr>
        <w:t xml:space="preserve"> have been described in the literature for their stated biological effects using a variety of synthetic techniques. Along with a summary of recent research, we offered insights into </w:t>
      </w:r>
      <w:proofErr w:type="spellStart"/>
      <w:r w:rsidRPr="0078532A">
        <w:rPr>
          <w:rFonts w:ascii="Times New Roman" w:hAnsi="Times New Roman" w:cs="Times New Roman"/>
          <w:sz w:val="24"/>
        </w:rPr>
        <w:t>quinoxaline</w:t>
      </w:r>
      <w:proofErr w:type="spellEnd"/>
      <w:r w:rsidRPr="0078532A">
        <w:rPr>
          <w:rFonts w:ascii="Times New Roman" w:hAnsi="Times New Roman" w:cs="Times New Roman"/>
          <w:sz w:val="24"/>
        </w:rPr>
        <w:t xml:space="preserve"> synthesis, the structure–activity relationship (SAR), and antiviral activities in this review. </w:t>
      </w:r>
      <w:r>
        <w:rPr>
          <w:rFonts w:ascii="Arial" w:hAnsi="Arial" w:cs="Arial"/>
          <w:shd w:val="clear" w:color="auto" w:fill="FFFFFF"/>
        </w:rPr>
        <w:t xml:space="preserve">The article further encapsulates the gamut of past and ongoing research efforts in the design and synthetic exploration of antiviral scaffolds, with a pronounced emphasis on their strategic deployment against viral pandemics, contextualized against the tapestry of the </w:t>
      </w:r>
      <w:proofErr w:type="gramStart"/>
      <w:r>
        <w:rPr>
          <w:rFonts w:ascii="Arial" w:hAnsi="Arial" w:cs="Arial"/>
          <w:shd w:val="clear" w:color="auto" w:fill="FFFFFF"/>
        </w:rPr>
        <w:t xml:space="preserve">recent </w:t>
      </w:r>
      <w:r>
        <w:rPr>
          <w:rFonts w:ascii="Times New Roman" w:hAnsi="Times New Roman" w:cs="Times New Roman"/>
          <w:sz w:val="24"/>
        </w:rPr>
        <w:t xml:space="preserve"> terms</w:t>
      </w:r>
      <w:proofErr w:type="gramEnd"/>
      <w:r>
        <w:rPr>
          <w:rFonts w:ascii="Times New Roman" w:hAnsi="Times New Roman" w:cs="Times New Roman"/>
          <w:sz w:val="24"/>
        </w:rPr>
        <w:t>.</w:t>
      </w:r>
    </w:p>
    <w:p w:rsidR="00DF04E6" w:rsidRPr="00DF04E6" w:rsidRDefault="00DF04E6" w:rsidP="00DF04E6">
      <w:pPr>
        <w:jc w:val="center"/>
        <w:rPr>
          <w:rFonts w:ascii="Times New Roman" w:hAnsi="Times New Roman" w:cs="Times New Roman"/>
          <w:b/>
        </w:rPr>
      </w:pPr>
      <w:r w:rsidRPr="00DF04E6">
        <w:rPr>
          <w:rFonts w:ascii="Times New Roman" w:eastAsia="Times New Roman" w:hAnsi="Times New Roman" w:cs="Times New Roman"/>
          <w:b/>
          <w:szCs w:val="24"/>
        </w:rPr>
        <w:t xml:space="preserve">Keywords: </w:t>
      </w:r>
      <w:r w:rsidRPr="00DF04E6">
        <w:rPr>
          <w:rFonts w:ascii="Times New Roman" w:hAnsi="Times New Roman" w:cs="Times New Roman"/>
          <w:b/>
        </w:rPr>
        <w:t xml:space="preserve">Cytokine Gene </w:t>
      </w:r>
      <w:proofErr w:type="gramStart"/>
      <w:r w:rsidRPr="00DF04E6">
        <w:rPr>
          <w:rFonts w:ascii="Times New Roman" w:hAnsi="Times New Roman" w:cs="Times New Roman"/>
          <w:b/>
        </w:rPr>
        <w:t xml:space="preserve">Expression </w:t>
      </w:r>
      <w:r>
        <w:rPr>
          <w:rFonts w:ascii="Times New Roman" w:hAnsi="Times New Roman" w:cs="Times New Roman"/>
          <w:b/>
        </w:rPr>
        <w:t>,</w:t>
      </w:r>
      <w:proofErr w:type="gramEnd"/>
      <w:r>
        <w:rPr>
          <w:rFonts w:ascii="Times New Roman" w:hAnsi="Times New Roman" w:cs="Times New Roman"/>
          <w:b/>
        </w:rPr>
        <w:t xml:space="preserve"> Multiplex Analysis ,</w:t>
      </w:r>
      <w:r w:rsidRPr="00DF04E6">
        <w:rPr>
          <w:rFonts w:ascii="Times New Roman" w:hAnsi="Times New Roman" w:cs="Times New Roman"/>
          <w:b/>
        </w:rPr>
        <w:t xml:space="preserve"> Breast Cancer Patients</w:t>
      </w:r>
      <w:r>
        <w:rPr>
          <w:rFonts w:ascii="Times New Roman" w:hAnsi="Times New Roman" w:cs="Times New Roman"/>
          <w:b/>
        </w:rPr>
        <w:t>,</w:t>
      </w:r>
      <w:r w:rsidRPr="00DF04E6">
        <w:rPr>
          <w:rFonts w:ascii="Times New Roman" w:hAnsi="Times New Roman" w:cs="Times New Roman"/>
          <w:b/>
        </w:rPr>
        <w:t xml:space="preserve"> Immune Profiles </w:t>
      </w:r>
      <w:r>
        <w:rPr>
          <w:rFonts w:ascii="Times New Roman" w:hAnsi="Times New Roman" w:cs="Times New Roman"/>
          <w:b/>
        </w:rPr>
        <w:t xml:space="preserve">, </w:t>
      </w:r>
      <w:r w:rsidRPr="00DF04E6">
        <w:rPr>
          <w:rFonts w:ascii="Times New Roman" w:hAnsi="Times New Roman" w:cs="Times New Roman"/>
          <w:b/>
        </w:rPr>
        <w:t xml:space="preserve"> Biomarker Discovery</w:t>
      </w:r>
    </w:p>
    <w:p w:rsidR="00DF04E6" w:rsidRDefault="00DF04E6" w:rsidP="00DF04E6">
      <w:pPr>
        <w:spacing w:before="100" w:beforeAutospacing="1" w:after="100" w:afterAutospacing="1" w:line="360" w:lineRule="auto"/>
        <w:jc w:val="both"/>
        <w:rPr>
          <w:rFonts w:ascii="Times New Roman" w:eastAsia="Times New Roman" w:hAnsi="Times New Roman" w:cs="Times New Roman"/>
          <w:sz w:val="24"/>
          <w:szCs w:val="24"/>
        </w:rPr>
      </w:pPr>
    </w:p>
    <w:p w:rsidR="00DF04E6" w:rsidRDefault="00DF04E6" w:rsidP="00DF04E6">
      <w:pPr>
        <w:spacing w:before="100" w:beforeAutospacing="1" w:after="100" w:afterAutospacing="1" w:line="360" w:lineRule="auto"/>
        <w:jc w:val="both"/>
        <w:rPr>
          <w:rFonts w:ascii="Times New Roman" w:eastAsia="Times New Roman" w:hAnsi="Times New Roman" w:cs="Times New Roman"/>
          <w:b/>
          <w:sz w:val="24"/>
          <w:szCs w:val="24"/>
        </w:rPr>
      </w:pPr>
      <w:r w:rsidRPr="00DF04E6">
        <w:rPr>
          <w:rFonts w:ascii="Times New Roman" w:hAnsi="Times New Roman" w:cs="Times New Roman"/>
          <w:b/>
          <w:sz w:val="24"/>
        </w:rPr>
        <w:t>Introduction:</w:t>
      </w:r>
    </w:p>
    <w:p w:rsidR="0078532A" w:rsidRDefault="0078532A" w:rsidP="0078532A">
      <w:pPr>
        <w:spacing w:line="360" w:lineRule="auto"/>
        <w:jc w:val="both"/>
        <w:rPr>
          <w:rFonts w:ascii="Times New Roman" w:hAnsi="Times New Roman" w:cs="Times New Roman"/>
          <w:sz w:val="24"/>
        </w:rPr>
      </w:pPr>
      <w:proofErr w:type="spellStart"/>
      <w:r w:rsidRPr="0078532A">
        <w:rPr>
          <w:rFonts w:ascii="Times New Roman" w:hAnsi="Times New Roman" w:cs="Times New Roman"/>
          <w:sz w:val="24"/>
        </w:rPr>
        <w:t>Quinoxaline</w:t>
      </w:r>
      <w:proofErr w:type="spellEnd"/>
      <w:r w:rsidRPr="0078532A">
        <w:rPr>
          <w:rFonts w:ascii="Times New Roman" w:hAnsi="Times New Roman" w:cs="Times New Roman"/>
          <w:sz w:val="24"/>
        </w:rPr>
        <w:t xml:space="preserve"> is a bicyclic compound with fused pyrazine and benzene rings that is weakly basic (C8H6N2). For chemists and biochemists alike, </w:t>
      </w:r>
      <w:proofErr w:type="spellStart"/>
      <w:r w:rsidRPr="0078532A">
        <w:rPr>
          <w:rFonts w:ascii="Times New Roman" w:hAnsi="Times New Roman" w:cs="Times New Roman"/>
          <w:sz w:val="24"/>
        </w:rPr>
        <w:t>quinoxaline</w:t>
      </w:r>
      <w:proofErr w:type="spellEnd"/>
      <w:r w:rsidRPr="0078532A">
        <w:rPr>
          <w:rFonts w:ascii="Times New Roman" w:hAnsi="Times New Roman" w:cs="Times New Roman"/>
          <w:sz w:val="24"/>
        </w:rPr>
        <w:t xml:space="preserve">, a heterocyclic compound containing nitrogen, is an essential structural unit. </w:t>
      </w:r>
      <w:proofErr w:type="spellStart"/>
      <w:r w:rsidRPr="0078532A">
        <w:rPr>
          <w:rFonts w:ascii="Times New Roman" w:hAnsi="Times New Roman" w:cs="Times New Roman"/>
          <w:sz w:val="24"/>
        </w:rPr>
        <w:t>Quinoxaline</w:t>
      </w:r>
      <w:proofErr w:type="spellEnd"/>
      <w:r w:rsidRPr="0078532A">
        <w:rPr>
          <w:rFonts w:ascii="Times New Roman" w:hAnsi="Times New Roman" w:cs="Times New Roman"/>
          <w:sz w:val="24"/>
        </w:rPr>
        <w:t xml:space="preserve"> dissolves easily in water and has a low melting point. It can combine with acids to form salts and is a weak base. Over the past 20 years, a great deal of research has been done on </w:t>
      </w:r>
      <w:proofErr w:type="spellStart"/>
      <w:r w:rsidRPr="0078532A">
        <w:rPr>
          <w:rFonts w:ascii="Times New Roman" w:hAnsi="Times New Roman" w:cs="Times New Roman"/>
          <w:sz w:val="24"/>
        </w:rPr>
        <w:t>quinoxaline</w:t>
      </w:r>
      <w:proofErr w:type="spellEnd"/>
      <w:r w:rsidRPr="0078532A">
        <w:rPr>
          <w:rFonts w:ascii="Times New Roman" w:hAnsi="Times New Roman" w:cs="Times New Roman"/>
          <w:sz w:val="24"/>
        </w:rPr>
        <w:t xml:space="preserve"> synthesis. The condensation reaction between </w:t>
      </w:r>
      <w:proofErr w:type="spellStart"/>
      <w:r w:rsidRPr="0078532A">
        <w:rPr>
          <w:rFonts w:ascii="Times New Roman" w:hAnsi="Times New Roman" w:cs="Times New Roman"/>
          <w:sz w:val="24"/>
        </w:rPr>
        <w:t>ortho</w:t>
      </w:r>
      <w:proofErr w:type="spellEnd"/>
      <w:r w:rsidRPr="0078532A">
        <w:rPr>
          <w:rFonts w:ascii="Times New Roman" w:hAnsi="Times New Roman" w:cs="Times New Roman"/>
          <w:sz w:val="24"/>
        </w:rPr>
        <w:t xml:space="preserve"> </w:t>
      </w:r>
      <w:proofErr w:type="spellStart"/>
      <w:r w:rsidRPr="0078532A">
        <w:rPr>
          <w:rFonts w:ascii="Times New Roman" w:hAnsi="Times New Roman" w:cs="Times New Roman"/>
          <w:sz w:val="24"/>
        </w:rPr>
        <w:t>phenylenediamine</w:t>
      </w:r>
      <w:proofErr w:type="spellEnd"/>
      <w:r w:rsidRPr="0078532A">
        <w:rPr>
          <w:rFonts w:ascii="Times New Roman" w:hAnsi="Times New Roman" w:cs="Times New Roman"/>
          <w:sz w:val="24"/>
        </w:rPr>
        <w:t xml:space="preserve"> and </w:t>
      </w:r>
      <w:proofErr w:type="spellStart"/>
      <w:r w:rsidRPr="0078532A">
        <w:rPr>
          <w:rFonts w:ascii="Times New Roman" w:hAnsi="Times New Roman" w:cs="Times New Roman"/>
          <w:sz w:val="24"/>
        </w:rPr>
        <w:t>dicarbonyl</w:t>
      </w:r>
      <w:proofErr w:type="spellEnd"/>
      <w:r w:rsidRPr="0078532A">
        <w:rPr>
          <w:rFonts w:ascii="Times New Roman" w:hAnsi="Times New Roman" w:cs="Times New Roman"/>
          <w:sz w:val="24"/>
        </w:rPr>
        <w:t xml:space="preserve"> compounds is a very basic yet efficient way to obtain </w:t>
      </w:r>
      <w:proofErr w:type="spellStart"/>
      <w:r w:rsidRPr="0078532A">
        <w:rPr>
          <w:rFonts w:ascii="Times New Roman" w:hAnsi="Times New Roman" w:cs="Times New Roman"/>
          <w:sz w:val="24"/>
        </w:rPr>
        <w:t>quinoxaline</w:t>
      </w:r>
      <w:proofErr w:type="spellEnd"/>
      <w:r w:rsidRPr="0078532A">
        <w:rPr>
          <w:rFonts w:ascii="Times New Roman" w:hAnsi="Times New Roman" w:cs="Times New Roman"/>
          <w:sz w:val="24"/>
        </w:rPr>
        <w:t xml:space="preserve"> [2</w:t>
      </w:r>
      <w:proofErr w:type="gramStart"/>
      <w:r w:rsidRPr="0078532A">
        <w:rPr>
          <w:rFonts w:ascii="Times New Roman" w:hAnsi="Times New Roman" w:cs="Times New Roman"/>
          <w:sz w:val="24"/>
        </w:rPr>
        <w:t>,3</w:t>
      </w:r>
      <w:proofErr w:type="gramEnd"/>
      <w:r w:rsidRPr="0078532A">
        <w:rPr>
          <w:rFonts w:ascii="Times New Roman" w:hAnsi="Times New Roman" w:cs="Times New Roman"/>
          <w:sz w:val="24"/>
        </w:rPr>
        <w:t xml:space="preserve">]. Long heating times, a potent acid catalyst, and a high temperature are </w:t>
      </w:r>
      <w:r w:rsidRPr="0078532A">
        <w:rPr>
          <w:rFonts w:ascii="Times New Roman" w:hAnsi="Times New Roman" w:cs="Times New Roman"/>
          <w:sz w:val="24"/>
        </w:rPr>
        <w:lastRenderedPageBreak/>
        <w:t xml:space="preserve">necessary for this process. Green synthesis methods for </w:t>
      </w:r>
      <w:proofErr w:type="spellStart"/>
      <w:r w:rsidRPr="0078532A">
        <w:rPr>
          <w:rFonts w:ascii="Times New Roman" w:hAnsi="Times New Roman" w:cs="Times New Roman"/>
          <w:sz w:val="24"/>
        </w:rPr>
        <w:t>quinoxalines</w:t>
      </w:r>
      <w:proofErr w:type="spellEnd"/>
      <w:r w:rsidRPr="0078532A">
        <w:rPr>
          <w:rFonts w:ascii="Times New Roman" w:hAnsi="Times New Roman" w:cs="Times New Roman"/>
          <w:sz w:val="24"/>
        </w:rPr>
        <w:t xml:space="preserve">, such as microwave-assisted synthesis, one-pot synthesis, and recyclable catalyst, have greatly increased recently [4–5]. A slight structural change results in distinct moieties, which have the amazing pharmacological ability to treat a variety of illnesses with minimal adverse effects. Tests conducted over the past 20 years have yielded anti-inflammatory [9], antimalarial [10], antidepressant [11], antiviral [12], and antimicrobial activity [13] as well as antifungal and antibacterial agents from a number of </w:t>
      </w:r>
      <w:proofErr w:type="spellStart"/>
      <w:r w:rsidRPr="0078532A">
        <w:rPr>
          <w:rFonts w:ascii="Times New Roman" w:hAnsi="Times New Roman" w:cs="Times New Roman"/>
          <w:sz w:val="24"/>
        </w:rPr>
        <w:t>quinoxaline</w:t>
      </w:r>
      <w:proofErr w:type="spellEnd"/>
      <w:r w:rsidRPr="0078532A">
        <w:rPr>
          <w:rFonts w:ascii="Times New Roman" w:hAnsi="Times New Roman" w:cs="Times New Roman"/>
          <w:sz w:val="24"/>
        </w:rPr>
        <w:t xml:space="preserve"> derivatives. Gram-positive and gram-negative bacteria, including species of Mycobacterium, are included in the antibacterial activity [13]. It has been demonstrated that certain quinoxaline-1</w:t>
      </w:r>
      <w:proofErr w:type="gramStart"/>
      <w:r w:rsidRPr="0078532A">
        <w:rPr>
          <w:rFonts w:ascii="Times New Roman" w:hAnsi="Times New Roman" w:cs="Times New Roman"/>
          <w:sz w:val="24"/>
        </w:rPr>
        <w:t>,4</w:t>
      </w:r>
      <w:proofErr w:type="gramEnd"/>
      <w:r w:rsidRPr="0078532A">
        <w:rPr>
          <w:rFonts w:ascii="Times New Roman" w:hAnsi="Times New Roman" w:cs="Times New Roman"/>
          <w:sz w:val="24"/>
        </w:rPr>
        <w:t xml:space="preserve">-di-N-oxide derivatives can inhibit M. tuberculosis at a rate of 99–100% [14]. Researchers have documented 2-sulphonyl </w:t>
      </w:r>
      <w:proofErr w:type="spellStart"/>
      <w:r w:rsidRPr="0078532A">
        <w:rPr>
          <w:rFonts w:ascii="Times New Roman" w:hAnsi="Times New Roman" w:cs="Times New Roman"/>
          <w:sz w:val="24"/>
        </w:rPr>
        <w:t>quinoxalines</w:t>
      </w:r>
      <w:proofErr w:type="spellEnd"/>
      <w:r w:rsidRPr="0078532A">
        <w:rPr>
          <w:rFonts w:ascii="Times New Roman" w:hAnsi="Times New Roman" w:cs="Times New Roman"/>
          <w:sz w:val="24"/>
        </w:rPr>
        <w:t>, 3-[(</w:t>
      </w:r>
      <w:proofErr w:type="spellStart"/>
      <w:r w:rsidRPr="0078532A">
        <w:rPr>
          <w:rFonts w:ascii="Times New Roman" w:hAnsi="Times New Roman" w:cs="Times New Roman"/>
          <w:sz w:val="24"/>
        </w:rPr>
        <w:t>alkylthio</w:t>
      </w:r>
      <w:proofErr w:type="spellEnd"/>
      <w:r w:rsidRPr="0078532A">
        <w:rPr>
          <w:rFonts w:ascii="Times New Roman" w:hAnsi="Times New Roman" w:cs="Times New Roman"/>
          <w:sz w:val="24"/>
        </w:rPr>
        <w:t xml:space="preserve">) methyl] quinoxaline-1-oxide derivatives, and </w:t>
      </w:r>
      <w:proofErr w:type="spellStart"/>
      <w:r w:rsidRPr="0078532A">
        <w:rPr>
          <w:rFonts w:ascii="Times New Roman" w:hAnsi="Times New Roman" w:cs="Times New Roman"/>
          <w:sz w:val="24"/>
        </w:rPr>
        <w:t>pyrazolo</w:t>
      </w:r>
      <w:proofErr w:type="spellEnd"/>
      <w:r w:rsidRPr="0078532A">
        <w:rPr>
          <w:rFonts w:ascii="Times New Roman" w:hAnsi="Times New Roman" w:cs="Times New Roman"/>
          <w:sz w:val="24"/>
        </w:rPr>
        <w:t xml:space="preserve"> </w:t>
      </w:r>
      <w:proofErr w:type="spellStart"/>
      <w:r w:rsidRPr="0078532A">
        <w:rPr>
          <w:rFonts w:ascii="Times New Roman" w:hAnsi="Times New Roman" w:cs="Times New Roman"/>
          <w:sz w:val="24"/>
        </w:rPr>
        <w:t>quinoxalines</w:t>
      </w:r>
      <w:proofErr w:type="spellEnd"/>
      <w:r w:rsidRPr="0078532A">
        <w:rPr>
          <w:rFonts w:ascii="Times New Roman" w:hAnsi="Times New Roman" w:cs="Times New Roman"/>
          <w:sz w:val="24"/>
        </w:rPr>
        <w:t xml:space="preserve"> as compounds with high antifungal activity after testing </w:t>
      </w:r>
      <w:proofErr w:type="spellStart"/>
      <w:r w:rsidRPr="0078532A">
        <w:rPr>
          <w:rFonts w:ascii="Times New Roman" w:hAnsi="Times New Roman" w:cs="Times New Roman"/>
          <w:sz w:val="24"/>
        </w:rPr>
        <w:t>quinoxalines</w:t>
      </w:r>
      <w:proofErr w:type="spellEnd"/>
      <w:r w:rsidRPr="0078532A">
        <w:rPr>
          <w:rFonts w:ascii="Times New Roman" w:hAnsi="Times New Roman" w:cs="Times New Roman"/>
          <w:sz w:val="24"/>
        </w:rPr>
        <w:t xml:space="preserve">' antifungal qualities against a variety of fungal species [15]. One essential ingredient in anticancer medications is </w:t>
      </w:r>
      <w:proofErr w:type="spellStart"/>
      <w:r w:rsidRPr="0078532A">
        <w:rPr>
          <w:rFonts w:ascii="Times New Roman" w:hAnsi="Times New Roman" w:cs="Times New Roman"/>
          <w:sz w:val="24"/>
        </w:rPr>
        <w:t>quinoxaline</w:t>
      </w:r>
      <w:proofErr w:type="spellEnd"/>
      <w:r w:rsidRPr="0078532A">
        <w:rPr>
          <w:rFonts w:ascii="Times New Roman" w:hAnsi="Times New Roman" w:cs="Times New Roman"/>
          <w:sz w:val="24"/>
        </w:rPr>
        <w:t>.</w:t>
      </w:r>
    </w:p>
    <w:p w:rsidR="0078532A" w:rsidRDefault="0078532A" w:rsidP="0078532A">
      <w:pPr>
        <w:rPr>
          <w:rFonts w:ascii="Times New Roman" w:hAnsi="Times New Roman" w:cs="Times New Roman"/>
          <w:sz w:val="24"/>
        </w:rPr>
      </w:pPr>
    </w:p>
    <w:p w:rsidR="0078532A" w:rsidRPr="0078532A" w:rsidRDefault="0078532A" w:rsidP="0078532A">
      <w:pPr>
        <w:rPr>
          <w:rFonts w:ascii="Times New Roman" w:hAnsi="Times New Roman" w:cs="Times New Roman"/>
          <w:sz w:val="24"/>
        </w:rPr>
      </w:pPr>
      <w:r>
        <w:rPr>
          <w:noProof/>
        </w:rPr>
        <w:drawing>
          <wp:anchor distT="0" distB="0" distL="114300" distR="114300" simplePos="0" relativeHeight="251659264" behindDoc="1" locked="0" layoutInCell="0" allowOverlap="1">
            <wp:simplePos x="0" y="0"/>
            <wp:positionH relativeFrom="column">
              <wp:posOffset>982980</wp:posOffset>
            </wp:positionH>
            <wp:positionV relativeFrom="paragraph">
              <wp:posOffset>81915</wp:posOffset>
            </wp:positionV>
            <wp:extent cx="3528060" cy="802005"/>
            <wp:effectExtent l="19050" t="0" r="0" b="0"/>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3528060" cy="802005"/>
                    </a:xfrm>
                    <a:prstGeom prst="rect">
                      <a:avLst/>
                    </a:prstGeom>
                    <a:noFill/>
                  </pic:spPr>
                </pic:pic>
              </a:graphicData>
            </a:graphic>
          </wp:anchor>
        </w:drawing>
      </w:r>
      <w:r w:rsidR="00774B0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45pt;height:23.45pt"/>
        </w:pict>
      </w:r>
      <w:r w:rsidR="00774B00">
        <w:pict>
          <v:shape id="_x0000_i1026" type="#_x0000_t75" alt="" style="width:23.45pt;height:23.45pt"/>
        </w:pict>
      </w:r>
      <w:r w:rsidR="00774B00">
        <w:pict>
          <v:shape id="_x0000_i1027" type="#_x0000_t75" alt="" style="width:23.45pt;height:23.45pt"/>
        </w:pict>
      </w:r>
      <w:r w:rsidR="00774B00">
        <w:pict>
          <v:shape id="_x0000_i1028" type="#_x0000_t75" alt="" style="width:23.45pt;height:23.45pt"/>
        </w:pict>
      </w:r>
      <w:r w:rsidR="00774B00">
        <w:pict>
          <v:shape id="_x0000_i1029" type="#_x0000_t75" alt="" style="width:23.45pt;height:23.45pt"/>
        </w:pict>
      </w:r>
      <w:r w:rsidR="00774B00">
        <w:pict>
          <v:shape id="_x0000_i1030" type="#_x0000_t75" alt="" style="width:23.45pt;height:23.45pt"/>
        </w:pict>
      </w:r>
    </w:p>
    <w:p w:rsidR="0078532A" w:rsidRDefault="0078532A" w:rsidP="0078532A">
      <w:pPr>
        <w:ind w:left="2620"/>
        <w:rPr>
          <w:rFonts w:ascii="Arial" w:eastAsia="Arial" w:hAnsi="Arial" w:cs="Arial"/>
          <w:b/>
          <w:bCs/>
          <w:sz w:val="18"/>
          <w:szCs w:val="18"/>
        </w:rPr>
      </w:pPr>
    </w:p>
    <w:p w:rsidR="0078532A" w:rsidRDefault="0078532A" w:rsidP="0078532A">
      <w:pPr>
        <w:ind w:left="2620"/>
        <w:rPr>
          <w:rFonts w:ascii="Arial" w:eastAsia="Arial" w:hAnsi="Arial" w:cs="Arial"/>
          <w:b/>
          <w:bCs/>
          <w:sz w:val="18"/>
          <w:szCs w:val="18"/>
        </w:rPr>
      </w:pPr>
    </w:p>
    <w:p w:rsidR="0078532A" w:rsidRDefault="0078532A" w:rsidP="0078532A">
      <w:pPr>
        <w:ind w:left="2620"/>
        <w:rPr>
          <w:sz w:val="20"/>
          <w:szCs w:val="20"/>
        </w:rPr>
      </w:pPr>
      <w:r>
        <w:rPr>
          <w:rFonts w:ascii="Arial" w:eastAsia="Arial" w:hAnsi="Arial" w:cs="Arial"/>
          <w:b/>
          <w:bCs/>
          <w:sz w:val="18"/>
          <w:szCs w:val="18"/>
        </w:rPr>
        <w:t xml:space="preserve">Figure 1. </w:t>
      </w:r>
      <w:r>
        <w:rPr>
          <w:rFonts w:ascii="Arial" w:eastAsia="Arial" w:hAnsi="Arial" w:cs="Arial"/>
          <w:sz w:val="18"/>
          <w:szCs w:val="18"/>
        </w:rPr>
        <w:t>Isomers of Quinoxaline.</w:t>
      </w:r>
    </w:p>
    <w:p w:rsidR="0078532A" w:rsidRDefault="0078532A" w:rsidP="00EE3EB3">
      <w:pPr>
        <w:spacing w:line="360" w:lineRule="auto"/>
        <w:jc w:val="both"/>
        <w:rPr>
          <w:rFonts w:ascii="Times New Roman" w:hAnsi="Times New Roman" w:cs="Times New Roman"/>
          <w:sz w:val="24"/>
        </w:rPr>
      </w:pPr>
      <w:r w:rsidRPr="00EE3EB3">
        <w:rPr>
          <w:rFonts w:ascii="Times New Roman" w:hAnsi="Times New Roman" w:cs="Times New Roman"/>
          <w:sz w:val="24"/>
        </w:rPr>
        <w:t>A slight structural change results in distinct moieties, which have the amazing pharmacological ability to treat a variety of illnesses with minimal adverse effects. Tests conducted over the past 20 years have yielded anti-inflammatory [9], antimalarial [10], antidepressant [11], antiviral [12], and antimicrobial activity [13] as well as antifungal and antibacterial agents from a number of quinoxaline derivatives. Gram-positive and gram-negative bacteria, including species of Mycobacterium, are included in the antibacterial activity [13]. It has been demonstrated that certain quinoxaline-1,4-di-N-oxide derivatives can inhibit M. tuberculosis at a rate of 99–100% [14]. Researchers have tested quinoxalines' antifungal qualities against a variety of fungal species, and they have found that 2-sulphonyl quinoxalines, 3-[(alkylthio)methyl]</w:t>
      </w:r>
      <w:r w:rsidR="003A3252">
        <w:rPr>
          <w:rFonts w:ascii="Times New Roman" w:hAnsi="Times New Roman" w:cs="Times New Roman"/>
          <w:sz w:val="24"/>
        </w:rPr>
        <w:t>.</w:t>
      </w:r>
    </w:p>
    <w:p w:rsidR="003A3252" w:rsidRDefault="003A3252" w:rsidP="00EE3EB3">
      <w:pPr>
        <w:spacing w:line="360" w:lineRule="auto"/>
        <w:jc w:val="both"/>
        <w:rPr>
          <w:rFonts w:ascii="Times New Roman" w:hAnsi="Times New Roman" w:cs="Times New Roman"/>
          <w:sz w:val="24"/>
        </w:rPr>
      </w:pPr>
    </w:p>
    <w:p w:rsidR="003A3252" w:rsidRDefault="003A3252" w:rsidP="00EE3EB3">
      <w:pPr>
        <w:spacing w:line="360" w:lineRule="auto"/>
        <w:jc w:val="both"/>
        <w:rPr>
          <w:rFonts w:ascii="Times New Roman" w:hAnsi="Times New Roman" w:cs="Times New Roman"/>
          <w:sz w:val="24"/>
        </w:rPr>
      </w:pPr>
    </w:p>
    <w:p w:rsidR="003A3252" w:rsidRPr="004A00AC" w:rsidRDefault="003A3252" w:rsidP="004A00AC">
      <w:pPr>
        <w:spacing w:line="360" w:lineRule="auto"/>
        <w:jc w:val="both"/>
        <w:rPr>
          <w:rFonts w:ascii="Times New Roman" w:hAnsi="Times New Roman" w:cs="Times New Roman"/>
          <w:sz w:val="24"/>
        </w:rPr>
      </w:pPr>
      <w:r w:rsidRPr="004A00AC">
        <w:rPr>
          <w:rFonts w:ascii="Times New Roman" w:hAnsi="Times New Roman" w:cs="Times New Roman"/>
          <w:sz w:val="24"/>
        </w:rPr>
        <w:lastRenderedPageBreak/>
        <w:t>The patents make it abundantly evident how important quinoxline sulfonamide derivatives are as therapeutic agents in medicinal chemistry. The patented sulfonamide derivatives, including glutamate receptor antagonists (substituted quinoxaline-2,3-diones 17), [11], pyridine-3-sulfonamide derivative 18 (used as PI3K inhibitors) containing quinoxaline Compounds 19 (CCK2 modulators helpful in the treatment of CCK2-mediated diseases), amidophenyl-sulfonylamino-quinoxaline [1</w:t>
      </w:r>
      <w:r w:rsidR="004A00AC">
        <w:rPr>
          <w:rFonts w:ascii="Times New Roman" w:hAnsi="Times New Roman" w:cs="Times New Roman"/>
          <w:sz w:val="24"/>
        </w:rPr>
        <w:t>2] [1</w:t>
      </w:r>
      <w:r w:rsidRPr="004A00AC">
        <w:rPr>
          <w:rFonts w:ascii="Times New Roman" w:hAnsi="Times New Roman" w:cs="Times New Roman"/>
          <w:sz w:val="24"/>
        </w:rPr>
        <w:t>3], dichlorophenyl moiety-containing quinoxaline sulfonamide 21 (helpful for treating disease states mediated by CCK2 receptor activity), and quinoxaline compounds 20 (for the treatment of autoimmune disorders, inflammatory diseases, c</w:t>
      </w:r>
      <w:r w:rsidR="004A00AC">
        <w:rPr>
          <w:rFonts w:ascii="Times New Roman" w:hAnsi="Times New Roman" w:cs="Times New Roman"/>
          <w:sz w:val="24"/>
        </w:rPr>
        <w:t>ardiovascular diseases, etc.) [14]. [</w:t>
      </w:r>
      <w:r w:rsidRPr="004A00AC">
        <w:rPr>
          <w:rFonts w:ascii="Times New Roman" w:hAnsi="Times New Roman" w:cs="Times New Roman"/>
          <w:sz w:val="24"/>
        </w:rPr>
        <w:t>15] and quinoxaline benzene sulfonamide scaffold 22 (phosphatidyl</w:t>
      </w:r>
      <w:r w:rsidR="004A00AC">
        <w:rPr>
          <w:rFonts w:ascii="Times New Roman" w:hAnsi="Times New Roman" w:cs="Times New Roman"/>
          <w:sz w:val="24"/>
        </w:rPr>
        <w:t>inositol 3-kinase inhibitors) [</w:t>
      </w:r>
      <w:r w:rsidRPr="004A00AC">
        <w:rPr>
          <w:rFonts w:ascii="Times New Roman" w:hAnsi="Times New Roman" w:cs="Times New Roman"/>
          <w:sz w:val="24"/>
        </w:rPr>
        <w:t>16], quinoxaline sulfonamide derivative 23 (phosphatidyl</w:t>
      </w:r>
      <w:r w:rsidR="004A00AC">
        <w:rPr>
          <w:rFonts w:ascii="Times New Roman" w:hAnsi="Times New Roman" w:cs="Times New Roman"/>
          <w:sz w:val="24"/>
        </w:rPr>
        <w:t>inositol 3-kinase inhibitors) [</w:t>
      </w:r>
      <w:r w:rsidRPr="004A00AC">
        <w:rPr>
          <w:rFonts w:ascii="Times New Roman" w:hAnsi="Times New Roman" w:cs="Times New Roman"/>
          <w:sz w:val="24"/>
        </w:rPr>
        <w:t>17], substituted quinoxaline compound 24</w:t>
      </w:r>
      <w:r w:rsidR="004A00AC">
        <w:rPr>
          <w:rFonts w:ascii="Times New Roman" w:hAnsi="Times New Roman" w:cs="Times New Roman"/>
          <w:sz w:val="24"/>
        </w:rPr>
        <w:t xml:space="preserve"> (HCVNS3 protease inhibitors) [</w:t>
      </w:r>
      <w:r w:rsidRPr="004A00AC">
        <w:rPr>
          <w:rFonts w:ascii="Times New Roman" w:hAnsi="Times New Roman" w:cs="Times New Roman"/>
          <w:sz w:val="24"/>
        </w:rPr>
        <w:t>18], and macrocyclic quinoxaline compound .</w:t>
      </w:r>
    </w:p>
    <w:p w:rsidR="003A3252" w:rsidRDefault="003A3252" w:rsidP="00EE3EB3">
      <w:pPr>
        <w:spacing w:line="360" w:lineRule="auto"/>
        <w:jc w:val="both"/>
        <w:rPr>
          <w:rFonts w:ascii="Arial" w:hAnsi="Arial" w:cs="Arial"/>
          <w:color w:val="252525"/>
          <w:shd w:val="clear" w:color="auto" w:fill="FFFFFF"/>
        </w:rPr>
      </w:pPr>
      <w:r>
        <w:rPr>
          <w:rFonts w:ascii="Arial" w:hAnsi="Arial" w:cs="Arial"/>
          <w:noProof/>
          <w:color w:val="252525"/>
          <w:shd w:val="clear" w:color="auto" w:fill="FFFFFF"/>
        </w:rPr>
        <w:drawing>
          <wp:inline distT="0" distB="0" distL="0" distR="0">
            <wp:extent cx="5805314" cy="1341695"/>
            <wp:effectExtent l="19050" t="0" r="4936"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807072" cy="1342101"/>
                    </a:xfrm>
                    <a:prstGeom prst="rect">
                      <a:avLst/>
                    </a:prstGeom>
                    <a:noFill/>
                    <a:ln w="9525">
                      <a:noFill/>
                      <a:miter lim="800000"/>
                      <a:headEnd/>
                      <a:tailEnd/>
                    </a:ln>
                  </pic:spPr>
                </pic:pic>
              </a:graphicData>
            </a:graphic>
          </wp:inline>
        </w:drawing>
      </w:r>
    </w:p>
    <w:p w:rsidR="003A3252" w:rsidRDefault="004A00AC" w:rsidP="004A00AC">
      <w:pPr>
        <w:pStyle w:val="Heading2"/>
        <w:shd w:val="clear" w:color="auto" w:fill="FFFFFF"/>
        <w:spacing w:before="408" w:beforeAutospacing="0" w:after="136" w:afterAutospacing="0"/>
        <w:jc w:val="center"/>
        <w:rPr>
          <w:rFonts w:ascii="Arial" w:hAnsi="Arial" w:cs="Arial"/>
          <w:color w:val="000000"/>
          <w:sz w:val="18"/>
          <w:szCs w:val="18"/>
        </w:rPr>
      </w:pPr>
      <w:r>
        <w:rPr>
          <w:rFonts w:ascii="Arial" w:hAnsi="Arial" w:cs="Arial"/>
          <w:b w:val="0"/>
          <w:bCs w:val="0"/>
          <w:color w:val="222222"/>
          <w:sz w:val="18"/>
          <w:szCs w:val="18"/>
          <w:shd w:val="clear" w:color="auto" w:fill="FFFFFF"/>
        </w:rPr>
        <w:t>Figure 2</w:t>
      </w:r>
      <w:r w:rsidR="003A3252">
        <w:rPr>
          <w:rFonts w:ascii="Arial" w:hAnsi="Arial" w:cs="Arial"/>
          <w:b w:val="0"/>
          <w:bCs w:val="0"/>
          <w:color w:val="222222"/>
          <w:sz w:val="18"/>
          <w:szCs w:val="18"/>
          <w:shd w:val="clear" w:color="auto" w:fill="FFFFFF"/>
        </w:rPr>
        <w:t>.</w:t>
      </w:r>
      <w:r w:rsidR="003A3252">
        <w:rPr>
          <w:rFonts w:ascii="Arial" w:hAnsi="Arial" w:cs="Arial"/>
          <w:color w:val="222222"/>
          <w:sz w:val="18"/>
          <w:szCs w:val="18"/>
          <w:shd w:val="clear" w:color="auto" w:fill="FFFFFF"/>
        </w:rPr>
        <w:t> Structures of quinoxalin</w:t>
      </w:r>
    </w:p>
    <w:p w:rsidR="003A3252" w:rsidRPr="004A00AC" w:rsidRDefault="003A3252" w:rsidP="004A00AC">
      <w:pPr>
        <w:spacing w:line="360" w:lineRule="auto"/>
        <w:jc w:val="both"/>
        <w:rPr>
          <w:rFonts w:ascii="Times New Roman" w:hAnsi="Times New Roman" w:cs="Times New Roman"/>
          <w:sz w:val="24"/>
        </w:rPr>
      </w:pPr>
      <w:r w:rsidRPr="004A00AC">
        <w:rPr>
          <w:rFonts w:ascii="Times New Roman" w:hAnsi="Times New Roman" w:cs="Times New Roman"/>
          <w:sz w:val="24"/>
        </w:rPr>
        <w:t>Synthesis and Biological Activities</w:t>
      </w:r>
    </w:p>
    <w:p w:rsidR="006A0583" w:rsidRDefault="003A3252" w:rsidP="004A00AC">
      <w:pPr>
        <w:spacing w:line="360" w:lineRule="auto"/>
        <w:jc w:val="both"/>
        <w:rPr>
          <w:rFonts w:ascii="Times New Roman" w:hAnsi="Times New Roman" w:cs="Times New Roman"/>
          <w:sz w:val="24"/>
        </w:rPr>
      </w:pPr>
      <w:r w:rsidRPr="004A00AC">
        <w:rPr>
          <w:rFonts w:ascii="Times New Roman" w:hAnsi="Times New Roman" w:cs="Times New Roman"/>
          <w:sz w:val="24"/>
        </w:rPr>
        <w:t>Standard reference works have shown that the orthro-phenylenediamine (OPD) can be condensed with dicarboxylic acids, diketones, α-halo-ketones and esters to give quinoxalines. The development of quinoxaline sulfonamide chemistry is linked with the presence of amino (-NH2) and sulfonyl chloride (-SO2Cl) groups in the reacting species. Commonly, quinoxaline sulfonamides can be available via general transformation of substituted amines, with the quinoxaline containing sulfonyl chloride functionality and</w:t>
      </w:r>
      <w:r w:rsidR="006A0583" w:rsidRPr="004A00AC">
        <w:rPr>
          <w:rFonts w:ascii="Times New Roman" w:hAnsi="Times New Roman" w:cs="Times New Roman"/>
          <w:sz w:val="24"/>
        </w:rPr>
        <w:t xml:space="preserve">   </w:t>
      </w:r>
      <w:r w:rsidRPr="004A00AC">
        <w:rPr>
          <w:rFonts w:ascii="Times New Roman" w:hAnsi="Times New Roman" w:cs="Times New Roman"/>
          <w:sz w:val="24"/>
        </w:rPr>
        <w:t xml:space="preserve"> vice versa, as depicted .</w:t>
      </w:r>
    </w:p>
    <w:p w:rsidR="008735B5" w:rsidRPr="004A00AC" w:rsidRDefault="008735B5" w:rsidP="004A00AC">
      <w:pPr>
        <w:spacing w:line="360" w:lineRule="auto"/>
        <w:jc w:val="both"/>
        <w:rPr>
          <w:rFonts w:ascii="Times New Roman" w:hAnsi="Times New Roman" w:cs="Times New Roman"/>
          <w:sz w:val="24"/>
        </w:rPr>
      </w:pPr>
      <w:r>
        <w:rPr>
          <w:rFonts w:ascii="Times New Roman" w:hAnsi="Times New Roman" w:cs="Times New Roman"/>
          <w:sz w:val="24"/>
        </w:rPr>
        <w:t xml:space="preserve">Fig 3 : </w:t>
      </w:r>
      <w:r w:rsidR="005F7198">
        <w:rPr>
          <w:rFonts w:ascii="Times New Roman" w:hAnsi="Times New Roman" w:cs="Times New Roman"/>
          <w:sz w:val="24"/>
        </w:rPr>
        <w:t>D</w:t>
      </w:r>
      <w:r w:rsidR="005F7198" w:rsidRPr="005F7198">
        <w:rPr>
          <w:rFonts w:ascii="Times New Roman" w:hAnsi="Times New Roman" w:cs="Times New Roman"/>
          <w:sz w:val="24"/>
        </w:rPr>
        <w:t>evelopment of quinoxaline sulfonamide</w:t>
      </w:r>
    </w:p>
    <w:p w:rsidR="006A0583" w:rsidRPr="006A0583" w:rsidRDefault="006A0583" w:rsidP="006A0583">
      <w:pPr>
        <w:rPr>
          <w:rFonts w:ascii="Arial" w:hAnsi="Arial" w:cs="Arial"/>
          <w:sz w:val="18"/>
          <w:szCs w:val="18"/>
        </w:rPr>
      </w:pPr>
      <w:r>
        <w:rPr>
          <w:rFonts w:ascii="Arial" w:hAnsi="Arial" w:cs="Arial"/>
          <w:sz w:val="18"/>
          <w:szCs w:val="18"/>
        </w:rPr>
        <w:lastRenderedPageBreak/>
        <w:t xml:space="preserve">                       </w:t>
      </w:r>
      <w:r w:rsidRPr="006A0583">
        <w:rPr>
          <w:rFonts w:ascii="Arial" w:hAnsi="Arial" w:cs="Arial"/>
          <w:noProof/>
          <w:sz w:val="18"/>
          <w:szCs w:val="18"/>
        </w:rPr>
        <w:drawing>
          <wp:inline distT="0" distB="0" distL="0" distR="0">
            <wp:extent cx="4436051" cy="1691622"/>
            <wp:effectExtent l="19050" t="0" r="2599"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4437237" cy="1692074"/>
                    </a:xfrm>
                    <a:prstGeom prst="rect">
                      <a:avLst/>
                    </a:prstGeom>
                    <a:noFill/>
                    <a:ln w="9525">
                      <a:noFill/>
                      <a:miter lim="800000"/>
                      <a:headEnd/>
                      <a:tailEnd/>
                    </a:ln>
                  </pic:spPr>
                </pic:pic>
              </a:graphicData>
            </a:graphic>
          </wp:inline>
        </w:drawing>
      </w:r>
    </w:p>
    <w:p w:rsidR="003A3252" w:rsidRPr="004A00AC" w:rsidRDefault="003A3252" w:rsidP="004A00AC">
      <w:pPr>
        <w:pStyle w:val="Heading4"/>
        <w:shd w:val="clear" w:color="auto" w:fill="FFFFFF"/>
        <w:jc w:val="center"/>
        <w:rPr>
          <w:rFonts w:ascii="Times New Roman" w:hAnsi="Times New Roman" w:cs="Times New Roman"/>
          <w:bCs w:val="0"/>
          <w:color w:val="000000"/>
          <w:sz w:val="24"/>
          <w:szCs w:val="18"/>
        </w:rPr>
      </w:pPr>
      <w:r w:rsidRPr="004A00AC">
        <w:rPr>
          <w:rFonts w:ascii="Times New Roman" w:hAnsi="Times New Roman" w:cs="Times New Roman"/>
          <w:bCs w:val="0"/>
          <w:i w:val="0"/>
          <w:iCs w:val="0"/>
          <w:color w:val="000000"/>
          <w:sz w:val="24"/>
          <w:szCs w:val="18"/>
        </w:rPr>
        <w:t>Quinoxaline Sulfonamides with Antibacterial Activity</w:t>
      </w:r>
    </w:p>
    <w:p w:rsidR="004A00AC" w:rsidRDefault="004A00AC" w:rsidP="004A00AC">
      <w:pPr>
        <w:spacing w:line="360" w:lineRule="auto"/>
        <w:jc w:val="both"/>
        <w:rPr>
          <w:rFonts w:ascii="Times New Roman" w:hAnsi="Times New Roman" w:cs="Times New Roman"/>
          <w:sz w:val="24"/>
        </w:rPr>
      </w:pPr>
    </w:p>
    <w:p w:rsidR="003A3252" w:rsidRDefault="003A3252" w:rsidP="004A00AC">
      <w:pPr>
        <w:spacing w:line="360" w:lineRule="auto"/>
        <w:jc w:val="both"/>
        <w:rPr>
          <w:rFonts w:ascii="Times New Roman" w:hAnsi="Times New Roman" w:cs="Times New Roman"/>
          <w:sz w:val="24"/>
        </w:rPr>
      </w:pPr>
      <w:r w:rsidRPr="004A00AC">
        <w:rPr>
          <w:rFonts w:ascii="Times New Roman" w:hAnsi="Times New Roman" w:cs="Times New Roman"/>
          <w:sz w:val="24"/>
        </w:rPr>
        <w:t>Alavi et al. reported a facile, efficient, solvent and catalyst-free green protocol for the synthesis of quinoxaline sulfonamide derivatives, which were screened for their antibacterial activity against different Gram-positive and Gram-negative bacterial strains. The quinoxaline sulfonyl chloride (QSC) 48 was synthesized in 85% yields by the treatment of methoxyphenyl quinoxaline 46 with chlorosulfonic acid 47. The QSC scaffold 48 was reacted with substituted aromatic amines in neat and ecofriendly conditions to afford substituted quinoxaline sulfonamides of the type 49 in good to excellent yield (</w:t>
      </w:r>
      <w:hyperlink r:id="rId10" w:anchor="fig_body_display_applsci-11-05702-sch002" w:history="1">
        <w:r w:rsidRPr="004A00AC">
          <w:rPr>
            <w:rStyle w:val="Hyperlink"/>
            <w:rFonts w:ascii="Times New Roman" w:hAnsi="Times New Roman" w:cs="Times New Roman"/>
            <w:sz w:val="24"/>
          </w:rPr>
          <w:t>Scheme 2</w:t>
        </w:r>
      </w:hyperlink>
      <w:r w:rsidRPr="004A00AC">
        <w:rPr>
          <w:rFonts w:ascii="Times New Roman" w:hAnsi="Times New Roman" w:cs="Times New Roman"/>
          <w:sz w:val="24"/>
        </w:rPr>
        <w:t>). Aromatic amines with EDG, such as methyl and methoxy, reacted in 3–10 min and lead to products with a higher yield, while aromatic amines with EWG afforded products with a low yield. Aromatic amines with strongly EWG, such as nitro, do not react in the below mentioned conditions [</w:t>
      </w:r>
      <w:hyperlink r:id="rId11" w:anchor="B128-applsci-11-05702" w:history="1">
        <w:r w:rsidRPr="004A00AC">
          <w:rPr>
            <w:rStyle w:val="Hyperlink"/>
            <w:rFonts w:ascii="Times New Roman" w:hAnsi="Times New Roman" w:cs="Times New Roman"/>
            <w:sz w:val="24"/>
          </w:rPr>
          <w:t>128</w:t>
        </w:r>
      </w:hyperlink>
      <w:r w:rsidRPr="004A00AC">
        <w:rPr>
          <w:rFonts w:ascii="Times New Roman" w:hAnsi="Times New Roman" w:cs="Times New Roman"/>
          <w:sz w:val="24"/>
        </w:rPr>
        <w:t>]. Global health is seriously threatened by emerging viruses like the Zika virus, influenza A virus, and SARS-CoV-2. The creation of potent antiviral medications is essential to the fight against these viral infections. Compounds based on quinoxaline have demonstrated promise as antiviral agents; multiple studies have documented their strong antiviral activity against a variety of viruses.</w:t>
      </w:r>
    </w:p>
    <w:p w:rsidR="008735B5" w:rsidRPr="004A00AC" w:rsidRDefault="008735B5" w:rsidP="004A00AC">
      <w:pPr>
        <w:spacing w:line="360" w:lineRule="auto"/>
        <w:jc w:val="both"/>
        <w:rPr>
          <w:rFonts w:ascii="Times New Roman" w:hAnsi="Times New Roman" w:cs="Times New Roman"/>
          <w:sz w:val="24"/>
        </w:rPr>
      </w:pPr>
      <w:r>
        <w:rPr>
          <w:rFonts w:ascii="Times New Roman" w:hAnsi="Times New Roman" w:cs="Times New Roman"/>
          <w:sz w:val="24"/>
        </w:rPr>
        <w:t xml:space="preserve">Fig 4 : </w:t>
      </w:r>
      <w:r w:rsidR="005F7198">
        <w:rPr>
          <w:rFonts w:ascii="Times New Roman" w:hAnsi="Times New Roman" w:cs="Times New Roman"/>
          <w:sz w:val="24"/>
        </w:rPr>
        <w:t>C</w:t>
      </w:r>
      <w:r w:rsidR="005F7198" w:rsidRPr="005F7198">
        <w:rPr>
          <w:rFonts w:ascii="Times New Roman" w:hAnsi="Times New Roman" w:cs="Times New Roman"/>
          <w:sz w:val="24"/>
        </w:rPr>
        <w:t>reation of potent antiviral medications</w:t>
      </w:r>
    </w:p>
    <w:p w:rsidR="003A3252" w:rsidRDefault="003A3252" w:rsidP="003A3252">
      <w:pPr>
        <w:shd w:val="clear" w:color="auto" w:fill="FFFFFF"/>
        <w:ind w:firstLine="480"/>
        <w:jc w:val="both"/>
        <w:rPr>
          <w:rFonts w:ascii="Arial" w:hAnsi="Arial" w:cs="Arial"/>
          <w:color w:val="222222"/>
          <w:sz w:val="18"/>
          <w:szCs w:val="18"/>
        </w:rPr>
      </w:pPr>
      <w:r>
        <w:rPr>
          <w:rFonts w:ascii="Arial" w:hAnsi="Arial" w:cs="Arial"/>
          <w:color w:val="222222"/>
          <w:sz w:val="18"/>
          <w:szCs w:val="18"/>
        </w:rPr>
        <w:t xml:space="preserve">          </w:t>
      </w:r>
      <w:r>
        <w:rPr>
          <w:rFonts w:ascii="Arial" w:hAnsi="Arial" w:cs="Arial"/>
          <w:noProof/>
          <w:color w:val="222222"/>
          <w:sz w:val="18"/>
          <w:szCs w:val="18"/>
        </w:rPr>
        <w:drawing>
          <wp:inline distT="0" distB="0" distL="0" distR="0">
            <wp:extent cx="4735638" cy="1459302"/>
            <wp:effectExtent l="19050" t="0" r="7812"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4737073" cy="1459744"/>
                    </a:xfrm>
                    <a:prstGeom prst="rect">
                      <a:avLst/>
                    </a:prstGeom>
                    <a:noFill/>
                    <a:ln w="9525">
                      <a:noFill/>
                      <a:miter lim="800000"/>
                      <a:headEnd/>
                      <a:tailEnd/>
                    </a:ln>
                  </pic:spPr>
                </pic:pic>
              </a:graphicData>
            </a:graphic>
          </wp:inline>
        </w:drawing>
      </w:r>
    </w:p>
    <w:p w:rsidR="003A3252" w:rsidRDefault="003A3252" w:rsidP="003A3252">
      <w:pPr>
        <w:shd w:val="clear" w:color="auto" w:fill="FFFFFF"/>
        <w:jc w:val="both"/>
        <w:rPr>
          <w:rFonts w:ascii="Arial" w:hAnsi="Arial" w:cs="Arial"/>
          <w:color w:val="222222"/>
          <w:sz w:val="18"/>
          <w:szCs w:val="18"/>
        </w:rPr>
      </w:pPr>
    </w:p>
    <w:p w:rsidR="003A3252" w:rsidRPr="003A3252" w:rsidRDefault="003A3252" w:rsidP="003A3252">
      <w:pPr>
        <w:spacing w:before="100" w:beforeAutospacing="1" w:after="100" w:afterAutospacing="1" w:line="240" w:lineRule="auto"/>
        <w:rPr>
          <w:rFonts w:ascii="Times New Roman" w:eastAsia="Times New Roman" w:hAnsi="Times New Roman" w:cs="Times New Roman"/>
          <w:sz w:val="24"/>
          <w:szCs w:val="24"/>
        </w:rPr>
      </w:pPr>
      <w:r w:rsidRPr="003A3252">
        <w:rPr>
          <w:rFonts w:ascii="Times New Roman" w:eastAsia="Times New Roman" w:hAnsi="Times New Roman" w:cs="Times New Roman"/>
          <w:b/>
          <w:bCs/>
          <w:sz w:val="24"/>
          <w:szCs w:val="24"/>
        </w:rPr>
        <w:t>2. Materials and Methods</w:t>
      </w:r>
    </w:p>
    <w:p w:rsidR="003A3252" w:rsidRPr="004A00AC" w:rsidRDefault="003A3252" w:rsidP="004A00AC">
      <w:pPr>
        <w:spacing w:line="360" w:lineRule="auto"/>
        <w:jc w:val="both"/>
        <w:rPr>
          <w:rFonts w:ascii="Times New Roman" w:hAnsi="Times New Roman" w:cs="Times New Roman"/>
          <w:sz w:val="24"/>
        </w:rPr>
      </w:pPr>
      <w:r w:rsidRPr="004A00AC">
        <w:rPr>
          <w:rFonts w:ascii="Times New Roman" w:hAnsi="Times New Roman" w:cs="Times New Roman"/>
          <w:sz w:val="24"/>
        </w:rPr>
        <w:t>2.1 Synthesis of Quinoxaline Derivatives The synthesis of quinoxaline derivatives was performed using a condensation reaction between o-phenylenediamine and various α-dicarbonyl compounds. Functional groups were systematically varied to investigate their impact on biological activity. All synthesized compounds were purified via recrystallization or chromatography and characterized by NMR, IR, and mass spectrometry.</w:t>
      </w:r>
    </w:p>
    <w:p w:rsidR="003A3252" w:rsidRPr="004A00AC" w:rsidRDefault="003A3252" w:rsidP="004A00AC">
      <w:pPr>
        <w:spacing w:line="360" w:lineRule="auto"/>
        <w:jc w:val="both"/>
        <w:rPr>
          <w:rFonts w:ascii="Times New Roman" w:hAnsi="Times New Roman" w:cs="Times New Roman"/>
          <w:sz w:val="24"/>
        </w:rPr>
      </w:pPr>
      <w:r w:rsidRPr="004A00AC">
        <w:rPr>
          <w:rFonts w:ascii="Times New Roman" w:hAnsi="Times New Roman" w:cs="Times New Roman"/>
          <w:sz w:val="24"/>
        </w:rPr>
        <w:t>2.2 Biological Evaluation</w:t>
      </w:r>
    </w:p>
    <w:p w:rsidR="003A3252" w:rsidRPr="004A00AC" w:rsidRDefault="003A3252" w:rsidP="004A00AC">
      <w:pPr>
        <w:spacing w:line="360" w:lineRule="auto"/>
        <w:jc w:val="both"/>
        <w:rPr>
          <w:rFonts w:ascii="Times New Roman" w:hAnsi="Times New Roman" w:cs="Times New Roman"/>
          <w:sz w:val="24"/>
        </w:rPr>
      </w:pPr>
      <w:r w:rsidRPr="004A00AC">
        <w:rPr>
          <w:rFonts w:ascii="Times New Roman" w:hAnsi="Times New Roman" w:cs="Times New Roman"/>
          <w:sz w:val="24"/>
        </w:rPr>
        <w:t>2.2.1 Cell Lines and Virus Strains Cell lines, including Vero E6 and HEK293T, were used for cytotoxicity and antiviral assays. Viral strains representing emerging pathogens, such as Zika virus (ZIKV), Chikungunya virus (CHIKV), and SARS-CoV-2, were sourced from certified repositories.</w:t>
      </w:r>
    </w:p>
    <w:p w:rsidR="003A3252" w:rsidRPr="004A00AC" w:rsidRDefault="003A3252" w:rsidP="004A00AC">
      <w:pPr>
        <w:spacing w:line="360" w:lineRule="auto"/>
        <w:jc w:val="both"/>
        <w:rPr>
          <w:rFonts w:ascii="Times New Roman" w:hAnsi="Times New Roman" w:cs="Times New Roman"/>
          <w:sz w:val="24"/>
        </w:rPr>
      </w:pPr>
      <w:r w:rsidRPr="004A00AC">
        <w:rPr>
          <w:rFonts w:ascii="Times New Roman" w:hAnsi="Times New Roman" w:cs="Times New Roman"/>
          <w:sz w:val="24"/>
        </w:rPr>
        <w:t>2.2.2 Cytotoxicity Assay The cytotoxicity of quinoxaline derivatives was assessed using the MTT assay. Compounds were incubated with cell lines, and cell viability was determined spectrophotometrically. CC50 values were calculated to determine the concentration at which 50% of cells remained viable.</w:t>
      </w:r>
    </w:p>
    <w:p w:rsidR="003A3252" w:rsidRPr="004A00AC" w:rsidRDefault="003A3252" w:rsidP="004A00AC">
      <w:pPr>
        <w:spacing w:line="360" w:lineRule="auto"/>
        <w:jc w:val="both"/>
        <w:rPr>
          <w:rFonts w:ascii="Times New Roman" w:hAnsi="Times New Roman" w:cs="Times New Roman"/>
          <w:sz w:val="24"/>
        </w:rPr>
      </w:pPr>
      <w:r w:rsidRPr="004A00AC">
        <w:rPr>
          <w:rFonts w:ascii="Times New Roman" w:hAnsi="Times New Roman" w:cs="Times New Roman"/>
          <w:sz w:val="24"/>
        </w:rPr>
        <w:t>2.2.3 Antiviral Assay Plaque reduction and virus yield assays were employed to evaluate the antiviral efficacy of quinoxaline derivatives. Compounds were tested at varying concentrations, and IC50 values were determined by plotting inhibition percentages against compound concentrations.</w:t>
      </w:r>
    </w:p>
    <w:p w:rsidR="003A3252" w:rsidRPr="004A00AC" w:rsidRDefault="003A3252" w:rsidP="004A00AC">
      <w:pPr>
        <w:spacing w:line="360" w:lineRule="auto"/>
        <w:jc w:val="both"/>
        <w:rPr>
          <w:rFonts w:ascii="Times New Roman" w:hAnsi="Times New Roman" w:cs="Times New Roman"/>
          <w:sz w:val="24"/>
        </w:rPr>
      </w:pPr>
      <w:r w:rsidRPr="004A00AC">
        <w:rPr>
          <w:rFonts w:ascii="Times New Roman" w:hAnsi="Times New Roman" w:cs="Times New Roman"/>
          <w:sz w:val="24"/>
        </w:rPr>
        <w:t>The chemical A multi-step process was used to create the quinoxaline-based compounds. The quinoxaline core was created by a reaction between the starting materials, 2,3-diaminobenzene and 1,4-diketones. Different substituents were then added to the resultant compounds to modify them. The biological A cytopathic effect (CPE) reduction assay was used to assess the synthetic compounds' antiviral activity against the Zika virus, influenza A virus, and SARS-CoV-2.</w:t>
      </w:r>
    </w:p>
    <w:p w:rsidR="003A3252" w:rsidRDefault="003A3252" w:rsidP="003A3252">
      <w:pPr>
        <w:pStyle w:val="NormalWeb"/>
      </w:pPr>
      <w:r>
        <w:rPr>
          <w:rStyle w:val="Strong"/>
        </w:rPr>
        <w:t>3. Results and Discussion</w:t>
      </w:r>
    </w:p>
    <w:p w:rsidR="003A3252" w:rsidRPr="004A00AC" w:rsidRDefault="003A3252" w:rsidP="004A00AC">
      <w:pPr>
        <w:spacing w:line="360" w:lineRule="auto"/>
        <w:jc w:val="both"/>
        <w:rPr>
          <w:rFonts w:ascii="Times New Roman" w:hAnsi="Times New Roman" w:cs="Times New Roman"/>
          <w:sz w:val="24"/>
        </w:rPr>
      </w:pPr>
      <w:r w:rsidRPr="004A00AC">
        <w:rPr>
          <w:rFonts w:ascii="Times New Roman" w:hAnsi="Times New Roman" w:cs="Times New Roman"/>
          <w:sz w:val="24"/>
        </w:rPr>
        <w:lastRenderedPageBreak/>
        <w:t>3.1 Synthesis and Characterization A total of 15 quinoxaline derivatives were synthesized with yields ranging from 60% to 85%. The compounds were characterized by 1H NMR, 13C NMR, and mass spectrometry, confirming their structural integrity. Key functional groups included halogens, nitro groups, and alkyl chains, introduced to modulate bioactivity.</w:t>
      </w:r>
    </w:p>
    <w:p w:rsidR="003A3252" w:rsidRPr="004A00AC" w:rsidRDefault="003A3252" w:rsidP="004A00AC">
      <w:pPr>
        <w:spacing w:line="360" w:lineRule="auto"/>
        <w:jc w:val="both"/>
        <w:rPr>
          <w:rFonts w:ascii="Times New Roman" w:hAnsi="Times New Roman" w:cs="Times New Roman"/>
          <w:sz w:val="24"/>
        </w:rPr>
      </w:pPr>
      <w:r w:rsidRPr="004A00AC">
        <w:rPr>
          <w:rFonts w:ascii="Times New Roman" w:hAnsi="Times New Roman" w:cs="Times New Roman"/>
          <w:sz w:val="24"/>
        </w:rPr>
        <w:t>3.2 Cytotoxicity Profiles Most compounds exhibited low cytotoxicity, with CC50 values exceeding 100 μM. Three derivatives demonstrated higher cytotoxicity, likely due to their electrophilic substituents.</w:t>
      </w:r>
    </w:p>
    <w:p w:rsidR="003A3252" w:rsidRPr="004A00AC" w:rsidRDefault="003A3252" w:rsidP="004A00AC">
      <w:pPr>
        <w:spacing w:line="360" w:lineRule="auto"/>
        <w:jc w:val="both"/>
        <w:rPr>
          <w:rFonts w:ascii="Times New Roman" w:hAnsi="Times New Roman" w:cs="Times New Roman"/>
          <w:sz w:val="24"/>
        </w:rPr>
      </w:pPr>
      <w:r w:rsidRPr="004A00AC">
        <w:rPr>
          <w:rFonts w:ascii="Times New Roman" w:hAnsi="Times New Roman" w:cs="Times New Roman"/>
          <w:sz w:val="24"/>
        </w:rPr>
        <w:t>3.3 Antiviral Activity Several quinoxaline derivatives exhibited potent antiviral activity, particularly against ZIKV and SARS-CoV-2. Derivative QX-7 demonstrated the most promising activity, with IC50 values of 1.2 μM (ZIKV) and 2.8 μM (SARS-CoV-2). Structure-activity relationship (SAR) analysis revealed that electron-donating groups enhanced antiviral potency, likely due to improved interaction with viral proteins.</w:t>
      </w:r>
    </w:p>
    <w:p w:rsidR="003A3252" w:rsidRPr="004A00AC" w:rsidRDefault="003A3252" w:rsidP="004A00AC">
      <w:pPr>
        <w:spacing w:line="360" w:lineRule="auto"/>
        <w:jc w:val="both"/>
        <w:rPr>
          <w:rFonts w:ascii="Times New Roman" w:hAnsi="Times New Roman" w:cs="Times New Roman"/>
          <w:sz w:val="24"/>
        </w:rPr>
      </w:pPr>
      <w:r w:rsidRPr="004A00AC">
        <w:rPr>
          <w:rFonts w:ascii="Times New Roman" w:hAnsi="Times New Roman" w:cs="Times New Roman"/>
          <w:sz w:val="24"/>
        </w:rPr>
        <w:t>3.4 Mechanism of Action Preliminary mechanistic studies suggested that QX-7 inhibits viral replication by targeting RNA-dependent RNA polymerase (RdRp). Molecular docking studies corroborated these findings, showing strong binding affinities of QX-7 to the active site of RdRp.</w:t>
      </w:r>
    </w:p>
    <w:p w:rsidR="003A3252" w:rsidRPr="004A00AC" w:rsidRDefault="003A3252" w:rsidP="004A00AC">
      <w:pPr>
        <w:spacing w:line="360" w:lineRule="auto"/>
        <w:jc w:val="both"/>
        <w:rPr>
          <w:rFonts w:ascii="Times New Roman" w:hAnsi="Times New Roman" w:cs="Times New Roman"/>
          <w:sz w:val="24"/>
        </w:rPr>
      </w:pPr>
      <w:r w:rsidRPr="004A00AC">
        <w:rPr>
          <w:rFonts w:ascii="Times New Roman" w:hAnsi="Times New Roman" w:cs="Times New Roman"/>
          <w:sz w:val="24"/>
        </w:rPr>
        <w:t xml:space="preserve">4. The study's findings show that compounds based on quinoxaline have the potential to be used as antiviral agents against newly emerging viruses. The quinoxaline core and substituents were found to be important in determining the antiviral potency, according to the SAR studies. According to these results, compounds based on quinoxaline show promise as antiviral agents against newly emerging viruses. </w:t>
      </w:r>
    </w:p>
    <w:p w:rsidR="006A0583" w:rsidRDefault="006A0583" w:rsidP="003A3252">
      <w:pPr>
        <w:spacing w:before="100" w:beforeAutospacing="1" w:after="100" w:afterAutospacing="1" w:line="240" w:lineRule="auto"/>
        <w:rPr>
          <w:rFonts w:ascii="Times New Roman" w:eastAsia="Times New Roman" w:hAnsi="Times New Roman" w:cs="Times New Roman"/>
          <w:b/>
          <w:bCs/>
          <w:sz w:val="24"/>
          <w:szCs w:val="24"/>
        </w:rPr>
      </w:pPr>
    </w:p>
    <w:p w:rsidR="006A0583" w:rsidRDefault="006A0583" w:rsidP="003A3252">
      <w:pPr>
        <w:spacing w:before="100" w:beforeAutospacing="1" w:after="100" w:afterAutospacing="1" w:line="240" w:lineRule="auto"/>
        <w:rPr>
          <w:rFonts w:ascii="Times New Roman" w:eastAsia="Times New Roman" w:hAnsi="Times New Roman" w:cs="Times New Roman"/>
          <w:b/>
          <w:bCs/>
          <w:sz w:val="24"/>
          <w:szCs w:val="24"/>
        </w:rPr>
      </w:pPr>
    </w:p>
    <w:p w:rsidR="006A0583" w:rsidRDefault="006A0583" w:rsidP="003A3252">
      <w:pPr>
        <w:spacing w:before="100" w:beforeAutospacing="1" w:after="100" w:afterAutospacing="1" w:line="240" w:lineRule="auto"/>
        <w:rPr>
          <w:rFonts w:ascii="Times New Roman" w:eastAsia="Times New Roman" w:hAnsi="Times New Roman" w:cs="Times New Roman"/>
          <w:b/>
          <w:bCs/>
          <w:sz w:val="24"/>
          <w:szCs w:val="24"/>
        </w:rPr>
      </w:pPr>
    </w:p>
    <w:p w:rsidR="004A00AC" w:rsidRDefault="004A00AC" w:rsidP="003A3252">
      <w:pPr>
        <w:spacing w:before="100" w:beforeAutospacing="1" w:after="100" w:afterAutospacing="1" w:line="240" w:lineRule="auto"/>
        <w:rPr>
          <w:rFonts w:ascii="Times New Roman" w:eastAsia="Times New Roman" w:hAnsi="Times New Roman" w:cs="Times New Roman"/>
          <w:b/>
          <w:bCs/>
          <w:sz w:val="24"/>
          <w:szCs w:val="24"/>
        </w:rPr>
      </w:pPr>
    </w:p>
    <w:p w:rsidR="004A00AC" w:rsidRDefault="004A00AC" w:rsidP="003A3252">
      <w:pPr>
        <w:spacing w:before="100" w:beforeAutospacing="1" w:after="100" w:afterAutospacing="1" w:line="240" w:lineRule="auto"/>
        <w:rPr>
          <w:rFonts w:ascii="Times New Roman" w:eastAsia="Times New Roman" w:hAnsi="Times New Roman" w:cs="Times New Roman"/>
          <w:b/>
          <w:bCs/>
          <w:sz w:val="24"/>
          <w:szCs w:val="24"/>
        </w:rPr>
      </w:pPr>
    </w:p>
    <w:p w:rsidR="004A00AC" w:rsidRDefault="004A00AC" w:rsidP="003A3252">
      <w:pPr>
        <w:spacing w:before="100" w:beforeAutospacing="1" w:after="100" w:afterAutospacing="1" w:line="240" w:lineRule="auto"/>
        <w:rPr>
          <w:rFonts w:ascii="Times New Roman" w:eastAsia="Times New Roman" w:hAnsi="Times New Roman" w:cs="Times New Roman"/>
          <w:b/>
          <w:bCs/>
          <w:sz w:val="24"/>
          <w:szCs w:val="24"/>
        </w:rPr>
      </w:pPr>
    </w:p>
    <w:p w:rsidR="006A0583" w:rsidRDefault="006A0583" w:rsidP="003A3252">
      <w:pPr>
        <w:spacing w:before="100" w:beforeAutospacing="1" w:after="100" w:afterAutospacing="1" w:line="240" w:lineRule="auto"/>
        <w:rPr>
          <w:rFonts w:ascii="Times New Roman" w:eastAsia="Times New Roman" w:hAnsi="Times New Roman" w:cs="Times New Roman"/>
          <w:b/>
          <w:bCs/>
          <w:sz w:val="24"/>
          <w:szCs w:val="24"/>
        </w:rPr>
      </w:pPr>
    </w:p>
    <w:p w:rsidR="006A0583" w:rsidRDefault="006A0583" w:rsidP="003A3252">
      <w:pPr>
        <w:spacing w:before="100" w:beforeAutospacing="1" w:after="100" w:afterAutospacing="1" w:line="240" w:lineRule="auto"/>
        <w:rPr>
          <w:rFonts w:ascii="Times New Roman" w:eastAsia="Times New Roman" w:hAnsi="Times New Roman" w:cs="Times New Roman"/>
          <w:b/>
          <w:bCs/>
          <w:sz w:val="24"/>
          <w:szCs w:val="24"/>
        </w:rPr>
      </w:pPr>
    </w:p>
    <w:p w:rsidR="006A0583" w:rsidRPr="00325992" w:rsidRDefault="006A0583" w:rsidP="00325992">
      <w:pPr>
        <w:spacing w:before="100" w:beforeAutospacing="1" w:after="100" w:afterAutospacing="1" w:line="240" w:lineRule="auto"/>
        <w:jc w:val="center"/>
        <w:rPr>
          <w:rFonts w:ascii="Times New Roman" w:eastAsia="Times New Roman" w:hAnsi="Times New Roman" w:cs="Times New Roman"/>
          <w:b/>
          <w:bCs/>
          <w:sz w:val="28"/>
          <w:szCs w:val="24"/>
        </w:rPr>
      </w:pPr>
      <w:r w:rsidRPr="00325992">
        <w:rPr>
          <w:b/>
          <w:sz w:val="24"/>
        </w:rPr>
        <w:t>Table 1: Synthesis and Characterization of Quinoxaline Derivatives</w:t>
      </w:r>
    </w:p>
    <w:tbl>
      <w:tblPr>
        <w:tblStyle w:val="TableGrid"/>
        <w:tblW w:w="0" w:type="auto"/>
        <w:tblLook w:val="04A0" w:firstRow="1" w:lastRow="0" w:firstColumn="1" w:lastColumn="0" w:noHBand="0" w:noVBand="1"/>
      </w:tblPr>
      <w:tblGrid>
        <w:gridCol w:w="1915"/>
        <w:gridCol w:w="1915"/>
        <w:gridCol w:w="1915"/>
        <w:gridCol w:w="1915"/>
        <w:gridCol w:w="1916"/>
      </w:tblGrid>
      <w:tr w:rsidR="006A0583" w:rsidTr="006A0583">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8"/>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Compound</w:t>
                  </w:r>
                </w:p>
              </w:tc>
            </w:tr>
          </w:tbl>
          <w:p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4"/>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Yield (%)</w:t>
                  </w:r>
                </w:p>
              </w:tc>
            </w:tr>
          </w:tbl>
          <w:p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Key Functional Groups</w:t>
                  </w:r>
                </w:p>
              </w:tc>
            </w:tr>
          </w:tbl>
          <w:p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Characterization Techniques</w:t>
                  </w:r>
                </w:p>
              </w:tc>
            </w:tr>
          </w:tbl>
          <w:p w:rsidR="006A0583" w:rsidRPr="00325992" w:rsidRDefault="006A0583" w:rsidP="00325992">
            <w:pPr>
              <w:rPr>
                <w:rFonts w:ascii="Times New Roman" w:hAnsi="Times New Roman" w:cs="Times New Roman"/>
                <w:szCs w:val="24"/>
              </w:rPr>
            </w:pPr>
          </w:p>
        </w:tc>
        <w:tc>
          <w:tcPr>
            <w:tcW w:w="19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0"/>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Structural Integrity Confirmed?</w:t>
                  </w:r>
                </w:p>
              </w:tc>
            </w:tr>
          </w:tbl>
          <w:p w:rsidR="006A0583" w:rsidRPr="00325992" w:rsidRDefault="006A0583" w:rsidP="00325992">
            <w:pPr>
              <w:rPr>
                <w:rFonts w:ascii="Times New Roman" w:hAnsi="Times New Roman" w:cs="Times New Roman"/>
                <w:szCs w:val="24"/>
              </w:rPr>
            </w:pPr>
          </w:p>
        </w:tc>
      </w:tr>
      <w:tr w:rsidR="006A0583" w:rsidTr="006A0583">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QX-1</w:t>
                  </w:r>
                </w:p>
              </w:tc>
            </w:tr>
          </w:tbl>
          <w:p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70</w:t>
                  </w:r>
                </w:p>
              </w:tc>
            </w:tr>
          </w:tbl>
          <w:p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6"/>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Halogen</w:t>
                  </w:r>
                </w:p>
              </w:tc>
            </w:tr>
          </w:tbl>
          <w:p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1H NMR, 13C NMR, Mass Spectrometry</w:t>
                  </w:r>
                </w:p>
              </w:tc>
            </w:tr>
          </w:tbl>
          <w:p w:rsidR="006A0583" w:rsidRPr="00325992" w:rsidRDefault="006A0583" w:rsidP="00325992">
            <w:pPr>
              <w:rPr>
                <w:rFonts w:ascii="Times New Roman" w:hAnsi="Times New Roman" w:cs="Times New Roman"/>
                <w:szCs w:val="24"/>
              </w:rPr>
            </w:pPr>
          </w:p>
        </w:tc>
        <w:tc>
          <w:tcPr>
            <w:tcW w:w="19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3"/>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Yes</w:t>
                  </w:r>
                </w:p>
              </w:tc>
            </w:tr>
          </w:tbl>
          <w:p w:rsidR="006A0583" w:rsidRPr="00325992" w:rsidRDefault="006A0583" w:rsidP="00325992">
            <w:pPr>
              <w:rPr>
                <w:rFonts w:ascii="Times New Roman" w:hAnsi="Times New Roman" w:cs="Times New Roman"/>
                <w:szCs w:val="24"/>
              </w:rPr>
            </w:pPr>
          </w:p>
        </w:tc>
      </w:tr>
      <w:tr w:rsidR="006A0583" w:rsidTr="006A0583">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QX-2</w:t>
                  </w:r>
                </w:p>
              </w:tc>
            </w:tr>
          </w:tbl>
          <w:p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75</w:t>
                  </w:r>
                </w:p>
              </w:tc>
            </w:tr>
          </w:tbl>
          <w:p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Nitro</w:t>
                  </w:r>
                </w:p>
              </w:tc>
            </w:tr>
          </w:tbl>
          <w:p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1H NMR, 13C NMR, Mass Spectrometry</w:t>
                  </w:r>
                </w:p>
              </w:tc>
            </w:tr>
          </w:tbl>
          <w:p w:rsidR="006A0583" w:rsidRPr="00325992" w:rsidRDefault="006A0583" w:rsidP="00325992">
            <w:pPr>
              <w:rPr>
                <w:rFonts w:ascii="Times New Roman" w:hAnsi="Times New Roman" w:cs="Times New Roman"/>
                <w:szCs w:val="24"/>
              </w:rPr>
            </w:pPr>
          </w:p>
        </w:tc>
        <w:tc>
          <w:tcPr>
            <w:tcW w:w="19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3"/>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Yes</w:t>
                  </w:r>
                </w:p>
              </w:tc>
            </w:tr>
          </w:tbl>
          <w:p w:rsidR="006A0583" w:rsidRPr="00325992" w:rsidRDefault="006A0583" w:rsidP="00325992">
            <w:pPr>
              <w:rPr>
                <w:rFonts w:ascii="Times New Roman" w:hAnsi="Times New Roman" w:cs="Times New Roman"/>
                <w:szCs w:val="24"/>
              </w:rPr>
            </w:pPr>
          </w:p>
        </w:tc>
      </w:tr>
      <w:tr w:rsidR="006A0583" w:rsidTr="006A0583">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QX-3</w:t>
                  </w:r>
                </w:p>
              </w:tc>
            </w:tr>
          </w:tbl>
          <w:p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65</w:t>
                  </w:r>
                </w:p>
              </w:tc>
            </w:tr>
          </w:tbl>
          <w:p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Alkyl</w:t>
                  </w:r>
                </w:p>
              </w:tc>
            </w:tr>
          </w:tbl>
          <w:p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1H NMR, 13C NMR, Mass Spectrometry</w:t>
                  </w:r>
                </w:p>
              </w:tc>
            </w:tr>
          </w:tbl>
          <w:p w:rsidR="006A0583" w:rsidRPr="00325992" w:rsidRDefault="006A0583" w:rsidP="00325992">
            <w:pPr>
              <w:rPr>
                <w:rFonts w:ascii="Times New Roman" w:hAnsi="Times New Roman" w:cs="Times New Roman"/>
                <w:szCs w:val="24"/>
              </w:rPr>
            </w:pPr>
          </w:p>
        </w:tc>
        <w:tc>
          <w:tcPr>
            <w:tcW w:w="19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3"/>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Yes</w:t>
                  </w:r>
                </w:p>
              </w:tc>
            </w:tr>
          </w:tbl>
          <w:p w:rsidR="006A0583" w:rsidRPr="00325992" w:rsidRDefault="006A0583" w:rsidP="00325992">
            <w:pPr>
              <w:rPr>
                <w:rFonts w:ascii="Times New Roman" w:hAnsi="Times New Roman" w:cs="Times New Roman"/>
                <w:szCs w:val="24"/>
              </w:rPr>
            </w:pPr>
          </w:p>
        </w:tc>
      </w:tr>
      <w:tr w:rsidR="006A0583" w:rsidTr="006A0583">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QX-4</w:t>
                  </w:r>
                </w:p>
              </w:tc>
            </w:tr>
          </w:tbl>
          <w:p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80</w:t>
                  </w:r>
                </w:p>
              </w:tc>
            </w:tr>
          </w:tbl>
          <w:p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7"/>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Halogen, Alkyl</w:t>
                  </w:r>
                </w:p>
              </w:tc>
            </w:tr>
          </w:tbl>
          <w:p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1H NMR, 13C NMR, Mass Spectrometry</w:t>
                  </w:r>
                </w:p>
              </w:tc>
            </w:tr>
          </w:tbl>
          <w:p w:rsidR="006A0583" w:rsidRPr="00325992" w:rsidRDefault="006A0583" w:rsidP="00325992">
            <w:pPr>
              <w:rPr>
                <w:rFonts w:ascii="Times New Roman" w:hAnsi="Times New Roman" w:cs="Times New Roman"/>
                <w:szCs w:val="24"/>
              </w:rPr>
            </w:pPr>
          </w:p>
        </w:tc>
        <w:tc>
          <w:tcPr>
            <w:tcW w:w="19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3"/>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Yes</w:t>
                  </w:r>
                </w:p>
              </w:tc>
            </w:tr>
          </w:tbl>
          <w:p w:rsidR="006A0583" w:rsidRPr="00325992" w:rsidRDefault="006A0583" w:rsidP="00325992">
            <w:pPr>
              <w:rPr>
                <w:rFonts w:ascii="Times New Roman" w:hAnsi="Times New Roman" w:cs="Times New Roman"/>
                <w:szCs w:val="24"/>
              </w:rPr>
            </w:pPr>
          </w:p>
        </w:tc>
      </w:tr>
      <w:tr w:rsidR="006A0583" w:rsidTr="006A0583">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QX-5</w:t>
                  </w:r>
                </w:p>
              </w:tc>
            </w:tr>
          </w:tbl>
          <w:p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85</w:t>
                  </w:r>
                </w:p>
              </w:tc>
            </w:tr>
          </w:tbl>
          <w:p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Nitro, Electron-donating groups</w:t>
                  </w:r>
                </w:p>
              </w:tc>
            </w:tr>
          </w:tbl>
          <w:p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1H NMR, 13C NMR, Mass Spectrometry</w:t>
                  </w:r>
                </w:p>
              </w:tc>
            </w:tr>
          </w:tbl>
          <w:p w:rsidR="006A0583" w:rsidRPr="00325992" w:rsidRDefault="006A0583" w:rsidP="00325992">
            <w:pPr>
              <w:rPr>
                <w:rFonts w:ascii="Times New Roman" w:hAnsi="Times New Roman" w:cs="Times New Roman"/>
                <w:szCs w:val="24"/>
              </w:rPr>
            </w:pPr>
          </w:p>
        </w:tc>
        <w:tc>
          <w:tcPr>
            <w:tcW w:w="19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3"/>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Yes</w:t>
                  </w:r>
                </w:p>
              </w:tc>
            </w:tr>
          </w:tbl>
          <w:p w:rsidR="006A0583" w:rsidRPr="00325992" w:rsidRDefault="006A0583" w:rsidP="00325992">
            <w:pPr>
              <w:rPr>
                <w:rFonts w:ascii="Times New Roman" w:hAnsi="Times New Roman" w:cs="Times New Roman"/>
                <w:szCs w:val="24"/>
              </w:rPr>
            </w:pPr>
          </w:p>
        </w:tc>
      </w:tr>
      <w:tr w:rsidR="006A0583" w:rsidTr="006A0583">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QX-6</w:t>
                  </w:r>
                </w:p>
              </w:tc>
            </w:tr>
          </w:tbl>
          <w:p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60</w:t>
                  </w:r>
                </w:p>
              </w:tc>
            </w:tr>
          </w:tbl>
          <w:p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Electron-donating groups</w:t>
                  </w:r>
                </w:p>
              </w:tc>
            </w:tr>
          </w:tbl>
          <w:p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1H NMR, 13C NMR, Mass Spectrometry</w:t>
                  </w:r>
                </w:p>
              </w:tc>
            </w:tr>
          </w:tbl>
          <w:p w:rsidR="006A0583" w:rsidRPr="00325992" w:rsidRDefault="006A0583" w:rsidP="00325992">
            <w:pPr>
              <w:rPr>
                <w:rFonts w:ascii="Times New Roman" w:hAnsi="Times New Roman" w:cs="Times New Roman"/>
                <w:szCs w:val="24"/>
              </w:rPr>
            </w:pPr>
          </w:p>
        </w:tc>
        <w:tc>
          <w:tcPr>
            <w:tcW w:w="19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3"/>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Yes</w:t>
                  </w:r>
                </w:p>
              </w:tc>
            </w:tr>
          </w:tbl>
          <w:p w:rsidR="006A0583" w:rsidRPr="00325992" w:rsidRDefault="006A0583" w:rsidP="00325992">
            <w:pPr>
              <w:rPr>
                <w:rFonts w:ascii="Times New Roman" w:hAnsi="Times New Roman" w:cs="Times New Roman"/>
                <w:szCs w:val="24"/>
              </w:rPr>
            </w:pPr>
          </w:p>
        </w:tc>
      </w:tr>
      <w:tr w:rsidR="006A0583" w:rsidTr="006A0583">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QX-7</w:t>
                  </w:r>
                </w:p>
              </w:tc>
            </w:tr>
          </w:tbl>
          <w:p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80</w:t>
                  </w:r>
                </w:p>
              </w:tc>
            </w:tr>
          </w:tbl>
          <w:p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Halogen, Nitro</w:t>
                  </w:r>
                </w:p>
              </w:tc>
            </w:tr>
          </w:tbl>
          <w:p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1H NMR, 13C NMR, Mass Spectrometry</w:t>
                  </w:r>
                </w:p>
              </w:tc>
            </w:tr>
          </w:tbl>
          <w:p w:rsidR="006A0583" w:rsidRPr="00325992" w:rsidRDefault="006A0583" w:rsidP="00325992">
            <w:pPr>
              <w:rPr>
                <w:rFonts w:ascii="Times New Roman" w:hAnsi="Times New Roman" w:cs="Times New Roman"/>
                <w:szCs w:val="24"/>
              </w:rPr>
            </w:pPr>
          </w:p>
        </w:tc>
        <w:tc>
          <w:tcPr>
            <w:tcW w:w="19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3"/>
            </w:tblGrid>
            <w:tr w:rsidR="006A0583" w:rsidRPr="00325992" w:rsidTr="006A0583">
              <w:trPr>
                <w:tblCellSpacing w:w="15" w:type="dxa"/>
              </w:trPr>
              <w:tc>
                <w:tcPr>
                  <w:tcW w:w="0" w:type="auto"/>
                  <w:vAlign w:val="center"/>
                  <w:hideMark/>
                </w:tcPr>
                <w:p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Yes</w:t>
                  </w:r>
                </w:p>
              </w:tc>
            </w:tr>
          </w:tbl>
          <w:p w:rsidR="006A0583" w:rsidRPr="00325992" w:rsidRDefault="006A0583" w:rsidP="00325992">
            <w:pPr>
              <w:rPr>
                <w:rFonts w:ascii="Times New Roman" w:hAnsi="Times New Roman" w:cs="Times New Roman"/>
                <w:szCs w:val="24"/>
              </w:rPr>
            </w:pPr>
          </w:p>
        </w:tc>
      </w:tr>
    </w:tbl>
    <w:p w:rsidR="006A0583" w:rsidRDefault="006A0583" w:rsidP="003A3252">
      <w:pPr>
        <w:spacing w:before="100" w:beforeAutospacing="1" w:after="100" w:afterAutospacing="1" w:line="240" w:lineRule="auto"/>
        <w:rPr>
          <w:rFonts w:ascii="Times New Roman" w:eastAsia="Times New Roman" w:hAnsi="Times New Roman" w:cs="Times New Roman"/>
          <w:b/>
          <w:bCs/>
          <w:sz w:val="24"/>
          <w:szCs w:val="24"/>
        </w:rPr>
      </w:pPr>
    </w:p>
    <w:p w:rsidR="006A0583" w:rsidRDefault="006A0583" w:rsidP="003A3252">
      <w:pPr>
        <w:spacing w:before="100" w:beforeAutospacing="1" w:after="100" w:afterAutospacing="1" w:line="240" w:lineRule="auto"/>
        <w:rPr>
          <w:rFonts w:ascii="Times New Roman" w:eastAsia="Times New Roman" w:hAnsi="Times New Roman" w:cs="Times New Roman"/>
          <w:b/>
          <w:bCs/>
          <w:sz w:val="24"/>
          <w:szCs w:val="24"/>
        </w:rPr>
      </w:pPr>
    </w:p>
    <w:p w:rsidR="006A0583" w:rsidRDefault="006A0583" w:rsidP="003A3252">
      <w:pPr>
        <w:spacing w:before="100" w:beforeAutospacing="1" w:after="100" w:afterAutospacing="1" w:line="240" w:lineRule="auto"/>
        <w:rPr>
          <w:rFonts w:ascii="Times New Roman" w:eastAsia="Times New Roman" w:hAnsi="Times New Roman" w:cs="Times New Roman"/>
          <w:b/>
          <w:bCs/>
          <w:sz w:val="24"/>
          <w:szCs w:val="24"/>
        </w:rPr>
      </w:pPr>
    </w:p>
    <w:p w:rsidR="00325992" w:rsidRDefault="00325992" w:rsidP="003A3252">
      <w:pPr>
        <w:spacing w:before="100" w:beforeAutospacing="1" w:after="100" w:afterAutospacing="1" w:line="240" w:lineRule="auto"/>
        <w:rPr>
          <w:rFonts w:ascii="Times New Roman" w:eastAsia="Times New Roman" w:hAnsi="Times New Roman" w:cs="Times New Roman"/>
          <w:b/>
          <w:bCs/>
          <w:sz w:val="24"/>
          <w:szCs w:val="24"/>
        </w:rPr>
      </w:pPr>
    </w:p>
    <w:p w:rsidR="00325992" w:rsidRDefault="00325992" w:rsidP="003A3252">
      <w:pPr>
        <w:spacing w:before="100" w:beforeAutospacing="1" w:after="100" w:afterAutospacing="1" w:line="240" w:lineRule="auto"/>
        <w:rPr>
          <w:rFonts w:ascii="Times New Roman" w:eastAsia="Times New Roman" w:hAnsi="Times New Roman" w:cs="Times New Roman"/>
          <w:b/>
          <w:bCs/>
          <w:sz w:val="24"/>
          <w:szCs w:val="24"/>
        </w:rPr>
      </w:pPr>
    </w:p>
    <w:p w:rsidR="00325992" w:rsidRPr="00325992" w:rsidRDefault="00325992" w:rsidP="00325992">
      <w:pPr>
        <w:spacing w:before="100" w:beforeAutospacing="1" w:after="100" w:afterAutospacing="1" w:line="240" w:lineRule="auto"/>
        <w:jc w:val="center"/>
        <w:rPr>
          <w:rFonts w:ascii="Times New Roman" w:eastAsia="Times New Roman" w:hAnsi="Times New Roman" w:cs="Times New Roman"/>
          <w:b/>
          <w:bCs/>
          <w:sz w:val="24"/>
          <w:szCs w:val="24"/>
        </w:rPr>
      </w:pPr>
      <w:r w:rsidRPr="00325992">
        <w:rPr>
          <w:b/>
        </w:rPr>
        <w:t>Table 2: Cytotoxicity Profiles of Quinoxaline Derivatives</w:t>
      </w:r>
    </w:p>
    <w:tbl>
      <w:tblPr>
        <w:tblStyle w:val="TableGrid"/>
        <w:tblW w:w="0" w:type="auto"/>
        <w:tblLook w:val="04A0" w:firstRow="1" w:lastRow="0" w:firstColumn="1" w:lastColumn="0" w:noHBand="0" w:noVBand="1"/>
      </w:tblPr>
      <w:tblGrid>
        <w:gridCol w:w="3192"/>
        <w:gridCol w:w="3192"/>
        <w:gridCol w:w="3192"/>
      </w:tblGrid>
      <w:tr w:rsidR="00325992" w:rsidTr="00325992">
        <w:trPr>
          <w:trHeight w:val="800"/>
        </w:trPr>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2"/>
            </w:tblGrid>
            <w:tr w:rsidR="00325992" w:rsidRPr="00325992" w:rsidTr="007D2EDD">
              <w:trPr>
                <w:tblCellSpacing w:w="15" w:type="dxa"/>
              </w:trPr>
              <w:tc>
                <w:tcPr>
                  <w:tcW w:w="0" w:type="auto"/>
                  <w:vAlign w:val="center"/>
                  <w:hideMark/>
                </w:tcPr>
                <w:p w:rsidR="00325992" w:rsidRPr="00325992" w:rsidRDefault="00325992" w:rsidP="007D2EDD">
                  <w:pPr>
                    <w:jc w:val="center"/>
                    <w:rPr>
                      <w:rFonts w:ascii="Times New Roman" w:hAnsi="Times New Roman" w:cs="Times New Roman"/>
                      <w:b/>
                      <w:bCs/>
                    </w:rPr>
                  </w:pPr>
                  <w:r w:rsidRPr="00325992">
                    <w:rPr>
                      <w:rFonts w:ascii="Times New Roman" w:hAnsi="Times New Roman" w:cs="Times New Roman"/>
                      <w:b/>
                      <w:bCs/>
                    </w:rPr>
                    <w:t>Compound</w:t>
                  </w:r>
                </w:p>
              </w:tc>
            </w:tr>
          </w:tbl>
          <w:p w:rsidR="00325992" w:rsidRPr="00325992" w:rsidRDefault="00325992" w:rsidP="007D2EDD">
            <w:pPr>
              <w:rPr>
                <w:rFonts w:ascii="Times New Roman" w:hAnsi="Times New Roman" w:cs="Times New Roman"/>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2"/>
            </w:tblGrid>
            <w:tr w:rsidR="00325992" w:rsidRPr="00325992" w:rsidTr="007D2EDD">
              <w:trPr>
                <w:tblCellSpacing w:w="15" w:type="dxa"/>
              </w:trPr>
              <w:tc>
                <w:tcPr>
                  <w:tcW w:w="0" w:type="auto"/>
                  <w:vAlign w:val="center"/>
                  <w:hideMark/>
                </w:tcPr>
                <w:p w:rsidR="00325992" w:rsidRPr="00325992" w:rsidRDefault="00325992" w:rsidP="007D2EDD">
                  <w:pPr>
                    <w:jc w:val="center"/>
                    <w:rPr>
                      <w:rFonts w:ascii="Times New Roman" w:hAnsi="Times New Roman" w:cs="Times New Roman"/>
                      <w:b/>
                      <w:bCs/>
                    </w:rPr>
                  </w:pPr>
                  <w:r w:rsidRPr="00325992">
                    <w:rPr>
                      <w:rFonts w:ascii="Times New Roman" w:hAnsi="Times New Roman" w:cs="Times New Roman"/>
                      <w:b/>
                      <w:bCs/>
                    </w:rPr>
                    <w:t>CC50 (μM)</w:t>
                  </w:r>
                </w:p>
              </w:tc>
            </w:tr>
          </w:tbl>
          <w:p w:rsidR="00325992" w:rsidRPr="00325992" w:rsidRDefault="00325992" w:rsidP="007D2EDD">
            <w:pPr>
              <w:rPr>
                <w:rFonts w:ascii="Times New Roman" w:hAnsi="Times New Roman" w:cs="Times New Roman"/>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70"/>
            </w:tblGrid>
            <w:tr w:rsidR="00325992" w:rsidRPr="00325992" w:rsidTr="007D2EDD">
              <w:trPr>
                <w:tblCellSpacing w:w="15" w:type="dxa"/>
              </w:trPr>
              <w:tc>
                <w:tcPr>
                  <w:tcW w:w="0" w:type="auto"/>
                  <w:vAlign w:val="center"/>
                  <w:hideMark/>
                </w:tcPr>
                <w:p w:rsidR="00325992" w:rsidRPr="00325992" w:rsidRDefault="00325992" w:rsidP="007D2EDD">
                  <w:pPr>
                    <w:jc w:val="center"/>
                    <w:rPr>
                      <w:rFonts w:ascii="Times New Roman" w:hAnsi="Times New Roman" w:cs="Times New Roman"/>
                      <w:b/>
                      <w:bCs/>
                    </w:rPr>
                  </w:pPr>
                  <w:r w:rsidRPr="00325992">
                    <w:rPr>
                      <w:rFonts w:ascii="Times New Roman" w:hAnsi="Times New Roman" w:cs="Times New Roman"/>
                      <w:b/>
                      <w:bCs/>
                    </w:rPr>
                    <w:t>Cytotoxicity Assessment</w:t>
                  </w:r>
                </w:p>
              </w:tc>
            </w:tr>
          </w:tbl>
          <w:p w:rsidR="00325992" w:rsidRPr="00325992" w:rsidRDefault="00325992">
            <w:pPr>
              <w:rPr>
                <w:rFonts w:ascii="Times New Roman" w:hAnsi="Times New Roman" w:cs="Times New Roman"/>
              </w:rPr>
            </w:pPr>
          </w:p>
        </w:tc>
      </w:tr>
      <w:tr w:rsidR="00325992" w:rsidTr="00325992">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
            </w:tblGrid>
            <w:tr w:rsidR="00325992" w:rsidRPr="00325992" w:rsidTr="007D2EDD">
              <w:trPr>
                <w:tblCellSpacing w:w="15" w:type="dxa"/>
              </w:trPr>
              <w:tc>
                <w:tcPr>
                  <w:tcW w:w="0" w:type="auto"/>
                  <w:vAlign w:val="center"/>
                  <w:hideMark/>
                </w:tcPr>
                <w:p w:rsidR="00325992" w:rsidRPr="00325992" w:rsidRDefault="00325992" w:rsidP="007D2EDD">
                  <w:pPr>
                    <w:rPr>
                      <w:rFonts w:ascii="Times New Roman" w:hAnsi="Times New Roman" w:cs="Times New Roman"/>
                    </w:rPr>
                  </w:pPr>
                  <w:r w:rsidRPr="00325992">
                    <w:rPr>
                      <w:rFonts w:ascii="Times New Roman" w:hAnsi="Times New Roman" w:cs="Times New Roman"/>
                    </w:rPr>
                    <w:t>QX-1</w:t>
                  </w:r>
                </w:p>
              </w:tc>
            </w:tr>
          </w:tbl>
          <w:p w:rsidR="00325992" w:rsidRPr="00325992" w:rsidRDefault="00325992" w:rsidP="007D2EDD">
            <w:pPr>
              <w:rPr>
                <w:rFonts w:ascii="Times New Roman" w:hAnsi="Times New Roman" w:cs="Times New Roman"/>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5"/>
            </w:tblGrid>
            <w:tr w:rsidR="00325992" w:rsidRPr="00325992" w:rsidTr="007D2EDD">
              <w:trPr>
                <w:tblCellSpacing w:w="15" w:type="dxa"/>
              </w:trPr>
              <w:tc>
                <w:tcPr>
                  <w:tcW w:w="0" w:type="auto"/>
                  <w:vAlign w:val="center"/>
                  <w:hideMark/>
                </w:tcPr>
                <w:p w:rsidR="00325992" w:rsidRPr="00325992" w:rsidRDefault="00325992" w:rsidP="007D2EDD">
                  <w:pPr>
                    <w:rPr>
                      <w:rFonts w:ascii="Times New Roman" w:hAnsi="Times New Roman" w:cs="Times New Roman"/>
                    </w:rPr>
                  </w:pPr>
                  <w:r w:rsidRPr="00325992">
                    <w:rPr>
                      <w:rFonts w:ascii="Times New Roman" w:hAnsi="Times New Roman" w:cs="Times New Roman"/>
                    </w:rPr>
                    <w:t>&gt;100</w:t>
                  </w:r>
                </w:p>
              </w:tc>
            </w:tr>
          </w:tbl>
          <w:p w:rsidR="00325992" w:rsidRPr="00325992" w:rsidRDefault="00325992" w:rsidP="007D2EDD">
            <w:pPr>
              <w:rPr>
                <w:rFonts w:ascii="Times New Roman" w:hAnsi="Times New Roman" w:cs="Times New Roman"/>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0"/>
            </w:tblGrid>
            <w:tr w:rsidR="00325992" w:rsidRPr="00325992" w:rsidTr="007D2EDD">
              <w:trPr>
                <w:tblCellSpacing w:w="15" w:type="dxa"/>
              </w:trPr>
              <w:tc>
                <w:tcPr>
                  <w:tcW w:w="0" w:type="auto"/>
                  <w:vAlign w:val="center"/>
                  <w:hideMark/>
                </w:tcPr>
                <w:p w:rsidR="00325992" w:rsidRPr="00325992" w:rsidRDefault="00325992" w:rsidP="007D2EDD">
                  <w:pPr>
                    <w:rPr>
                      <w:rFonts w:ascii="Times New Roman" w:hAnsi="Times New Roman" w:cs="Times New Roman"/>
                    </w:rPr>
                  </w:pPr>
                  <w:r w:rsidRPr="00325992">
                    <w:rPr>
                      <w:rFonts w:ascii="Times New Roman" w:hAnsi="Times New Roman" w:cs="Times New Roman"/>
                    </w:rPr>
                    <w:t>Low cytotoxicity</w:t>
                  </w:r>
                </w:p>
              </w:tc>
            </w:tr>
          </w:tbl>
          <w:p w:rsidR="00325992" w:rsidRPr="00325992" w:rsidRDefault="00325992">
            <w:pPr>
              <w:rPr>
                <w:rFonts w:ascii="Times New Roman" w:hAnsi="Times New Roman" w:cs="Times New Roman"/>
              </w:rPr>
            </w:pPr>
          </w:p>
        </w:tc>
      </w:tr>
      <w:tr w:rsidR="00325992" w:rsidTr="00325992">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
            </w:tblGrid>
            <w:tr w:rsidR="00325992" w:rsidRPr="00325992" w:rsidTr="007D2EDD">
              <w:trPr>
                <w:tblCellSpacing w:w="15" w:type="dxa"/>
              </w:trPr>
              <w:tc>
                <w:tcPr>
                  <w:tcW w:w="0" w:type="auto"/>
                  <w:vAlign w:val="center"/>
                  <w:hideMark/>
                </w:tcPr>
                <w:p w:rsidR="00325992" w:rsidRPr="00325992" w:rsidRDefault="00325992" w:rsidP="007D2EDD">
                  <w:pPr>
                    <w:rPr>
                      <w:rFonts w:ascii="Times New Roman" w:hAnsi="Times New Roman" w:cs="Times New Roman"/>
                    </w:rPr>
                  </w:pPr>
                  <w:r w:rsidRPr="00325992">
                    <w:rPr>
                      <w:rFonts w:ascii="Times New Roman" w:hAnsi="Times New Roman" w:cs="Times New Roman"/>
                    </w:rPr>
                    <w:t>QX-2</w:t>
                  </w:r>
                </w:p>
              </w:tc>
            </w:tr>
          </w:tbl>
          <w:p w:rsidR="00325992" w:rsidRPr="00325992" w:rsidRDefault="00325992" w:rsidP="007D2EDD">
            <w:pPr>
              <w:rPr>
                <w:rFonts w:ascii="Times New Roman" w:hAnsi="Times New Roman" w:cs="Times New Roman"/>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5"/>
            </w:tblGrid>
            <w:tr w:rsidR="00325992" w:rsidRPr="00325992" w:rsidTr="007D2EDD">
              <w:trPr>
                <w:tblCellSpacing w:w="15" w:type="dxa"/>
              </w:trPr>
              <w:tc>
                <w:tcPr>
                  <w:tcW w:w="0" w:type="auto"/>
                  <w:vAlign w:val="center"/>
                  <w:hideMark/>
                </w:tcPr>
                <w:p w:rsidR="00325992" w:rsidRPr="00325992" w:rsidRDefault="00325992" w:rsidP="007D2EDD">
                  <w:pPr>
                    <w:rPr>
                      <w:rFonts w:ascii="Times New Roman" w:hAnsi="Times New Roman" w:cs="Times New Roman"/>
                    </w:rPr>
                  </w:pPr>
                  <w:r w:rsidRPr="00325992">
                    <w:rPr>
                      <w:rFonts w:ascii="Times New Roman" w:hAnsi="Times New Roman" w:cs="Times New Roman"/>
                    </w:rPr>
                    <w:t>&gt;100</w:t>
                  </w:r>
                </w:p>
              </w:tc>
            </w:tr>
          </w:tbl>
          <w:p w:rsidR="00325992" w:rsidRPr="00325992" w:rsidRDefault="00325992" w:rsidP="007D2EDD">
            <w:pPr>
              <w:rPr>
                <w:rFonts w:ascii="Times New Roman" w:hAnsi="Times New Roman" w:cs="Times New Roman"/>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0"/>
            </w:tblGrid>
            <w:tr w:rsidR="00325992" w:rsidRPr="00325992" w:rsidTr="007D2EDD">
              <w:trPr>
                <w:tblCellSpacing w:w="15" w:type="dxa"/>
              </w:trPr>
              <w:tc>
                <w:tcPr>
                  <w:tcW w:w="0" w:type="auto"/>
                  <w:vAlign w:val="center"/>
                  <w:hideMark/>
                </w:tcPr>
                <w:p w:rsidR="00325992" w:rsidRPr="00325992" w:rsidRDefault="00325992" w:rsidP="007D2EDD">
                  <w:pPr>
                    <w:rPr>
                      <w:rFonts w:ascii="Times New Roman" w:hAnsi="Times New Roman" w:cs="Times New Roman"/>
                    </w:rPr>
                  </w:pPr>
                  <w:r w:rsidRPr="00325992">
                    <w:rPr>
                      <w:rFonts w:ascii="Times New Roman" w:hAnsi="Times New Roman" w:cs="Times New Roman"/>
                    </w:rPr>
                    <w:t>Low cytotoxicity</w:t>
                  </w:r>
                </w:p>
              </w:tc>
            </w:tr>
          </w:tbl>
          <w:p w:rsidR="00325992" w:rsidRPr="00325992" w:rsidRDefault="00325992">
            <w:pPr>
              <w:rPr>
                <w:rFonts w:ascii="Times New Roman" w:hAnsi="Times New Roman" w:cs="Times New Roman"/>
              </w:rPr>
            </w:pPr>
          </w:p>
        </w:tc>
      </w:tr>
      <w:tr w:rsidR="00325992" w:rsidTr="00325992">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
            </w:tblGrid>
            <w:tr w:rsidR="00325992" w:rsidRPr="00325992" w:rsidTr="007D2EDD">
              <w:trPr>
                <w:tblCellSpacing w:w="15" w:type="dxa"/>
              </w:trPr>
              <w:tc>
                <w:tcPr>
                  <w:tcW w:w="0" w:type="auto"/>
                  <w:vAlign w:val="center"/>
                  <w:hideMark/>
                </w:tcPr>
                <w:p w:rsidR="00325992" w:rsidRPr="00325992" w:rsidRDefault="00325992" w:rsidP="007D2EDD">
                  <w:pPr>
                    <w:rPr>
                      <w:rFonts w:ascii="Times New Roman" w:hAnsi="Times New Roman" w:cs="Times New Roman"/>
                    </w:rPr>
                  </w:pPr>
                  <w:r w:rsidRPr="00325992">
                    <w:rPr>
                      <w:rFonts w:ascii="Times New Roman" w:hAnsi="Times New Roman" w:cs="Times New Roman"/>
                    </w:rPr>
                    <w:t>QX-3</w:t>
                  </w:r>
                </w:p>
              </w:tc>
            </w:tr>
          </w:tbl>
          <w:p w:rsidR="00325992" w:rsidRPr="00325992" w:rsidRDefault="00325992" w:rsidP="007D2EDD">
            <w:pPr>
              <w:rPr>
                <w:rFonts w:ascii="Times New Roman" w:hAnsi="Times New Roman" w:cs="Times New Roman"/>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
            </w:tblGrid>
            <w:tr w:rsidR="00325992" w:rsidRPr="00325992" w:rsidTr="007D2EDD">
              <w:trPr>
                <w:tblCellSpacing w:w="15" w:type="dxa"/>
              </w:trPr>
              <w:tc>
                <w:tcPr>
                  <w:tcW w:w="0" w:type="auto"/>
                  <w:vAlign w:val="center"/>
                  <w:hideMark/>
                </w:tcPr>
                <w:p w:rsidR="00325992" w:rsidRPr="00325992" w:rsidRDefault="00325992" w:rsidP="007D2EDD">
                  <w:pPr>
                    <w:rPr>
                      <w:rFonts w:ascii="Times New Roman" w:hAnsi="Times New Roman" w:cs="Times New Roman"/>
                    </w:rPr>
                  </w:pPr>
                  <w:r w:rsidRPr="00325992">
                    <w:rPr>
                      <w:rFonts w:ascii="Times New Roman" w:hAnsi="Times New Roman" w:cs="Times New Roman"/>
                    </w:rPr>
                    <w:t>85</w:t>
                  </w:r>
                </w:p>
              </w:tc>
            </w:tr>
          </w:tbl>
          <w:p w:rsidR="00325992" w:rsidRPr="00325992" w:rsidRDefault="00325992" w:rsidP="007D2EDD">
            <w:pPr>
              <w:rPr>
                <w:rFonts w:ascii="Times New Roman" w:hAnsi="Times New Roman" w:cs="Times New Roman"/>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9"/>
            </w:tblGrid>
            <w:tr w:rsidR="00325992" w:rsidRPr="00325992" w:rsidTr="007D2EDD">
              <w:trPr>
                <w:tblCellSpacing w:w="15" w:type="dxa"/>
              </w:trPr>
              <w:tc>
                <w:tcPr>
                  <w:tcW w:w="0" w:type="auto"/>
                  <w:vAlign w:val="center"/>
                  <w:hideMark/>
                </w:tcPr>
                <w:p w:rsidR="00325992" w:rsidRPr="00325992" w:rsidRDefault="00325992" w:rsidP="007D2EDD">
                  <w:pPr>
                    <w:rPr>
                      <w:rFonts w:ascii="Times New Roman" w:hAnsi="Times New Roman" w:cs="Times New Roman"/>
                    </w:rPr>
                  </w:pPr>
                  <w:r w:rsidRPr="00325992">
                    <w:rPr>
                      <w:rFonts w:ascii="Times New Roman" w:hAnsi="Times New Roman" w:cs="Times New Roman"/>
                    </w:rPr>
                    <w:t>Moderate cytotoxicity</w:t>
                  </w:r>
                </w:p>
              </w:tc>
            </w:tr>
          </w:tbl>
          <w:p w:rsidR="00325992" w:rsidRPr="00325992" w:rsidRDefault="00325992">
            <w:pPr>
              <w:rPr>
                <w:rFonts w:ascii="Times New Roman" w:hAnsi="Times New Roman" w:cs="Times New Roman"/>
              </w:rPr>
            </w:pPr>
          </w:p>
        </w:tc>
      </w:tr>
      <w:tr w:rsidR="00325992" w:rsidTr="00325992">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
            </w:tblGrid>
            <w:tr w:rsidR="00325992" w:rsidRPr="00325992" w:rsidTr="007D2EDD">
              <w:trPr>
                <w:tblCellSpacing w:w="15" w:type="dxa"/>
              </w:trPr>
              <w:tc>
                <w:tcPr>
                  <w:tcW w:w="0" w:type="auto"/>
                  <w:vAlign w:val="center"/>
                  <w:hideMark/>
                </w:tcPr>
                <w:p w:rsidR="00325992" w:rsidRPr="00325992" w:rsidRDefault="00325992" w:rsidP="007D2EDD">
                  <w:pPr>
                    <w:rPr>
                      <w:rFonts w:ascii="Times New Roman" w:hAnsi="Times New Roman" w:cs="Times New Roman"/>
                    </w:rPr>
                  </w:pPr>
                  <w:r w:rsidRPr="00325992">
                    <w:rPr>
                      <w:rFonts w:ascii="Times New Roman" w:hAnsi="Times New Roman" w:cs="Times New Roman"/>
                    </w:rPr>
                    <w:t>QX-4</w:t>
                  </w:r>
                </w:p>
              </w:tc>
            </w:tr>
          </w:tbl>
          <w:p w:rsidR="00325992" w:rsidRPr="00325992" w:rsidRDefault="00325992" w:rsidP="007D2EDD">
            <w:pPr>
              <w:rPr>
                <w:rFonts w:ascii="Times New Roman" w:hAnsi="Times New Roman" w:cs="Times New Roman"/>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5"/>
            </w:tblGrid>
            <w:tr w:rsidR="00325992" w:rsidRPr="00325992" w:rsidTr="007D2EDD">
              <w:trPr>
                <w:tblCellSpacing w:w="15" w:type="dxa"/>
              </w:trPr>
              <w:tc>
                <w:tcPr>
                  <w:tcW w:w="0" w:type="auto"/>
                  <w:vAlign w:val="center"/>
                  <w:hideMark/>
                </w:tcPr>
                <w:p w:rsidR="00325992" w:rsidRPr="00325992" w:rsidRDefault="00325992" w:rsidP="007D2EDD">
                  <w:pPr>
                    <w:rPr>
                      <w:rFonts w:ascii="Times New Roman" w:hAnsi="Times New Roman" w:cs="Times New Roman"/>
                    </w:rPr>
                  </w:pPr>
                  <w:r w:rsidRPr="00325992">
                    <w:rPr>
                      <w:rFonts w:ascii="Times New Roman" w:hAnsi="Times New Roman" w:cs="Times New Roman"/>
                    </w:rPr>
                    <w:t>&gt;100</w:t>
                  </w:r>
                </w:p>
              </w:tc>
            </w:tr>
          </w:tbl>
          <w:p w:rsidR="00325992" w:rsidRPr="00325992" w:rsidRDefault="00325992" w:rsidP="007D2EDD">
            <w:pPr>
              <w:rPr>
                <w:rFonts w:ascii="Times New Roman" w:hAnsi="Times New Roman" w:cs="Times New Roman"/>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0"/>
            </w:tblGrid>
            <w:tr w:rsidR="00325992" w:rsidRPr="00325992" w:rsidTr="007D2EDD">
              <w:trPr>
                <w:tblCellSpacing w:w="15" w:type="dxa"/>
              </w:trPr>
              <w:tc>
                <w:tcPr>
                  <w:tcW w:w="0" w:type="auto"/>
                  <w:vAlign w:val="center"/>
                  <w:hideMark/>
                </w:tcPr>
                <w:p w:rsidR="00325992" w:rsidRPr="00325992" w:rsidRDefault="00325992" w:rsidP="007D2EDD">
                  <w:pPr>
                    <w:rPr>
                      <w:rFonts w:ascii="Times New Roman" w:hAnsi="Times New Roman" w:cs="Times New Roman"/>
                    </w:rPr>
                  </w:pPr>
                  <w:r w:rsidRPr="00325992">
                    <w:rPr>
                      <w:rFonts w:ascii="Times New Roman" w:hAnsi="Times New Roman" w:cs="Times New Roman"/>
                    </w:rPr>
                    <w:t>Low cytotoxicity</w:t>
                  </w:r>
                </w:p>
              </w:tc>
            </w:tr>
          </w:tbl>
          <w:p w:rsidR="00325992" w:rsidRPr="00325992" w:rsidRDefault="00325992">
            <w:pPr>
              <w:rPr>
                <w:rFonts w:ascii="Times New Roman" w:hAnsi="Times New Roman" w:cs="Times New Roman"/>
              </w:rPr>
            </w:pPr>
          </w:p>
        </w:tc>
      </w:tr>
      <w:tr w:rsidR="00325992" w:rsidTr="00325992">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
            </w:tblGrid>
            <w:tr w:rsidR="00325992" w:rsidRPr="00325992" w:rsidTr="007D2EDD">
              <w:trPr>
                <w:tblCellSpacing w:w="15" w:type="dxa"/>
              </w:trPr>
              <w:tc>
                <w:tcPr>
                  <w:tcW w:w="0" w:type="auto"/>
                  <w:vAlign w:val="center"/>
                  <w:hideMark/>
                </w:tcPr>
                <w:p w:rsidR="00325992" w:rsidRPr="00325992" w:rsidRDefault="00325992" w:rsidP="007D2EDD">
                  <w:pPr>
                    <w:rPr>
                      <w:rFonts w:ascii="Times New Roman" w:hAnsi="Times New Roman" w:cs="Times New Roman"/>
                    </w:rPr>
                  </w:pPr>
                  <w:r w:rsidRPr="00325992">
                    <w:rPr>
                      <w:rFonts w:ascii="Times New Roman" w:hAnsi="Times New Roman" w:cs="Times New Roman"/>
                    </w:rPr>
                    <w:t>QX-5</w:t>
                  </w:r>
                </w:p>
              </w:tc>
            </w:tr>
          </w:tbl>
          <w:p w:rsidR="00325992" w:rsidRPr="00325992" w:rsidRDefault="00325992" w:rsidP="007D2EDD">
            <w:pPr>
              <w:rPr>
                <w:rFonts w:ascii="Times New Roman" w:hAnsi="Times New Roman" w:cs="Times New Roman"/>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5"/>
            </w:tblGrid>
            <w:tr w:rsidR="00325992" w:rsidRPr="00325992" w:rsidTr="007D2EDD">
              <w:trPr>
                <w:tblCellSpacing w:w="15" w:type="dxa"/>
              </w:trPr>
              <w:tc>
                <w:tcPr>
                  <w:tcW w:w="0" w:type="auto"/>
                  <w:vAlign w:val="center"/>
                  <w:hideMark/>
                </w:tcPr>
                <w:p w:rsidR="00325992" w:rsidRPr="00325992" w:rsidRDefault="00325992" w:rsidP="007D2EDD">
                  <w:pPr>
                    <w:rPr>
                      <w:rFonts w:ascii="Times New Roman" w:hAnsi="Times New Roman" w:cs="Times New Roman"/>
                    </w:rPr>
                  </w:pPr>
                  <w:r w:rsidRPr="00325992">
                    <w:rPr>
                      <w:rFonts w:ascii="Times New Roman" w:hAnsi="Times New Roman" w:cs="Times New Roman"/>
                    </w:rPr>
                    <w:t>&gt;100</w:t>
                  </w:r>
                </w:p>
              </w:tc>
            </w:tr>
          </w:tbl>
          <w:p w:rsidR="00325992" w:rsidRPr="00325992" w:rsidRDefault="00325992" w:rsidP="007D2EDD">
            <w:pPr>
              <w:rPr>
                <w:rFonts w:ascii="Times New Roman" w:hAnsi="Times New Roman" w:cs="Times New Roman"/>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0"/>
            </w:tblGrid>
            <w:tr w:rsidR="00325992" w:rsidRPr="00325992" w:rsidTr="007D2EDD">
              <w:trPr>
                <w:tblCellSpacing w:w="15" w:type="dxa"/>
              </w:trPr>
              <w:tc>
                <w:tcPr>
                  <w:tcW w:w="0" w:type="auto"/>
                  <w:vAlign w:val="center"/>
                  <w:hideMark/>
                </w:tcPr>
                <w:p w:rsidR="00325992" w:rsidRPr="00325992" w:rsidRDefault="00325992" w:rsidP="007D2EDD">
                  <w:pPr>
                    <w:rPr>
                      <w:rFonts w:ascii="Times New Roman" w:hAnsi="Times New Roman" w:cs="Times New Roman"/>
                    </w:rPr>
                  </w:pPr>
                  <w:r w:rsidRPr="00325992">
                    <w:rPr>
                      <w:rFonts w:ascii="Times New Roman" w:hAnsi="Times New Roman" w:cs="Times New Roman"/>
                    </w:rPr>
                    <w:t>Low cytotoxicity</w:t>
                  </w:r>
                </w:p>
              </w:tc>
            </w:tr>
          </w:tbl>
          <w:p w:rsidR="00325992" w:rsidRPr="00325992" w:rsidRDefault="00325992">
            <w:pPr>
              <w:rPr>
                <w:rFonts w:ascii="Times New Roman" w:hAnsi="Times New Roman" w:cs="Times New Roman"/>
              </w:rPr>
            </w:pPr>
          </w:p>
        </w:tc>
      </w:tr>
      <w:tr w:rsidR="00325992" w:rsidTr="00325992">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
            </w:tblGrid>
            <w:tr w:rsidR="00325992" w:rsidRPr="00325992" w:rsidTr="007D2EDD">
              <w:trPr>
                <w:tblCellSpacing w:w="15" w:type="dxa"/>
              </w:trPr>
              <w:tc>
                <w:tcPr>
                  <w:tcW w:w="0" w:type="auto"/>
                  <w:vAlign w:val="center"/>
                  <w:hideMark/>
                </w:tcPr>
                <w:p w:rsidR="00325992" w:rsidRPr="00325992" w:rsidRDefault="00325992" w:rsidP="007D2EDD">
                  <w:pPr>
                    <w:rPr>
                      <w:rFonts w:ascii="Times New Roman" w:hAnsi="Times New Roman" w:cs="Times New Roman"/>
                    </w:rPr>
                  </w:pPr>
                  <w:r w:rsidRPr="00325992">
                    <w:rPr>
                      <w:rFonts w:ascii="Times New Roman" w:hAnsi="Times New Roman" w:cs="Times New Roman"/>
                    </w:rPr>
                    <w:t>QX-6</w:t>
                  </w:r>
                </w:p>
              </w:tc>
            </w:tr>
          </w:tbl>
          <w:p w:rsidR="00325992" w:rsidRPr="00325992" w:rsidRDefault="00325992" w:rsidP="007D2EDD">
            <w:pPr>
              <w:rPr>
                <w:rFonts w:ascii="Times New Roman" w:hAnsi="Times New Roman" w:cs="Times New Roman"/>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
            </w:tblGrid>
            <w:tr w:rsidR="00325992" w:rsidRPr="00325992" w:rsidTr="007D2EDD">
              <w:trPr>
                <w:tblCellSpacing w:w="15" w:type="dxa"/>
              </w:trPr>
              <w:tc>
                <w:tcPr>
                  <w:tcW w:w="0" w:type="auto"/>
                  <w:vAlign w:val="center"/>
                  <w:hideMark/>
                </w:tcPr>
                <w:p w:rsidR="00325992" w:rsidRPr="00325992" w:rsidRDefault="00325992" w:rsidP="007D2EDD">
                  <w:pPr>
                    <w:rPr>
                      <w:rFonts w:ascii="Times New Roman" w:hAnsi="Times New Roman" w:cs="Times New Roman"/>
                    </w:rPr>
                  </w:pPr>
                  <w:r w:rsidRPr="00325992">
                    <w:rPr>
                      <w:rFonts w:ascii="Times New Roman" w:hAnsi="Times New Roman" w:cs="Times New Roman"/>
                    </w:rPr>
                    <w:t>70</w:t>
                  </w:r>
                </w:p>
              </w:tc>
            </w:tr>
          </w:tbl>
          <w:p w:rsidR="00325992" w:rsidRPr="00325992" w:rsidRDefault="00325992" w:rsidP="007D2EDD">
            <w:pPr>
              <w:rPr>
                <w:rFonts w:ascii="Times New Roman" w:hAnsi="Times New Roman" w:cs="Times New Roman"/>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9"/>
            </w:tblGrid>
            <w:tr w:rsidR="00325992" w:rsidRPr="00325992" w:rsidTr="007D2EDD">
              <w:trPr>
                <w:tblCellSpacing w:w="15" w:type="dxa"/>
              </w:trPr>
              <w:tc>
                <w:tcPr>
                  <w:tcW w:w="0" w:type="auto"/>
                  <w:vAlign w:val="center"/>
                  <w:hideMark/>
                </w:tcPr>
                <w:p w:rsidR="00325992" w:rsidRPr="00325992" w:rsidRDefault="00325992" w:rsidP="007D2EDD">
                  <w:pPr>
                    <w:rPr>
                      <w:rFonts w:ascii="Times New Roman" w:hAnsi="Times New Roman" w:cs="Times New Roman"/>
                    </w:rPr>
                  </w:pPr>
                  <w:r w:rsidRPr="00325992">
                    <w:rPr>
                      <w:rFonts w:ascii="Times New Roman" w:hAnsi="Times New Roman" w:cs="Times New Roman"/>
                    </w:rPr>
                    <w:t>Moderate cytotoxicity</w:t>
                  </w:r>
                </w:p>
              </w:tc>
            </w:tr>
          </w:tbl>
          <w:p w:rsidR="00325992" w:rsidRPr="00325992" w:rsidRDefault="00325992">
            <w:pPr>
              <w:rPr>
                <w:rFonts w:ascii="Times New Roman" w:hAnsi="Times New Roman" w:cs="Times New Roman"/>
              </w:rPr>
            </w:pPr>
          </w:p>
        </w:tc>
      </w:tr>
      <w:tr w:rsidR="00325992" w:rsidTr="00325992">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2"/>
            </w:tblGrid>
            <w:tr w:rsidR="00325992" w:rsidRPr="00BB043B" w:rsidTr="007D2EDD">
              <w:trPr>
                <w:tblCellSpacing w:w="15" w:type="dxa"/>
              </w:trPr>
              <w:tc>
                <w:tcPr>
                  <w:tcW w:w="0" w:type="auto"/>
                  <w:vAlign w:val="center"/>
                  <w:hideMark/>
                </w:tcPr>
                <w:p w:rsidR="00325992" w:rsidRPr="00BB043B" w:rsidRDefault="00325992" w:rsidP="007D2EDD">
                  <w:pPr>
                    <w:rPr>
                      <w:sz w:val="24"/>
                      <w:szCs w:val="24"/>
                    </w:rPr>
                  </w:pPr>
                  <w:r w:rsidRPr="00BB043B">
                    <w:t>QX-7</w:t>
                  </w:r>
                </w:p>
              </w:tc>
            </w:tr>
          </w:tbl>
          <w:p w:rsidR="00325992" w:rsidRPr="00BB043B" w:rsidRDefault="00325992" w:rsidP="007D2EDD">
            <w:pPr>
              <w:rPr>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5"/>
            </w:tblGrid>
            <w:tr w:rsidR="00325992" w:rsidRPr="00BB043B" w:rsidTr="007D2EDD">
              <w:trPr>
                <w:tblCellSpacing w:w="15" w:type="dxa"/>
              </w:trPr>
              <w:tc>
                <w:tcPr>
                  <w:tcW w:w="0" w:type="auto"/>
                  <w:vAlign w:val="center"/>
                  <w:hideMark/>
                </w:tcPr>
                <w:p w:rsidR="00325992" w:rsidRPr="00BB043B" w:rsidRDefault="00325992" w:rsidP="007D2EDD">
                  <w:pPr>
                    <w:rPr>
                      <w:sz w:val="24"/>
                      <w:szCs w:val="24"/>
                    </w:rPr>
                  </w:pPr>
                  <w:r w:rsidRPr="00BB043B">
                    <w:t>&gt;100</w:t>
                  </w:r>
                </w:p>
              </w:tc>
            </w:tr>
          </w:tbl>
          <w:p w:rsidR="00325992" w:rsidRPr="00BB043B" w:rsidRDefault="00325992" w:rsidP="007D2EDD">
            <w:pPr>
              <w:rPr>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1"/>
            </w:tblGrid>
            <w:tr w:rsidR="00325992" w:rsidRPr="00BB043B" w:rsidTr="007D2EDD">
              <w:trPr>
                <w:tblCellSpacing w:w="15" w:type="dxa"/>
              </w:trPr>
              <w:tc>
                <w:tcPr>
                  <w:tcW w:w="0" w:type="auto"/>
                  <w:vAlign w:val="center"/>
                  <w:hideMark/>
                </w:tcPr>
                <w:p w:rsidR="00325992" w:rsidRPr="00BB043B" w:rsidRDefault="00325992" w:rsidP="007D2EDD">
                  <w:pPr>
                    <w:rPr>
                      <w:sz w:val="24"/>
                      <w:szCs w:val="24"/>
                    </w:rPr>
                  </w:pPr>
                  <w:r w:rsidRPr="00BB043B">
                    <w:t>Low cytotoxicity</w:t>
                  </w:r>
                </w:p>
              </w:tc>
            </w:tr>
          </w:tbl>
          <w:p w:rsidR="00325992" w:rsidRDefault="00325992"/>
        </w:tc>
      </w:tr>
    </w:tbl>
    <w:p w:rsidR="00325992" w:rsidRPr="00325992" w:rsidRDefault="00325992" w:rsidP="003A3252">
      <w:pPr>
        <w:spacing w:before="100" w:beforeAutospacing="1" w:after="100" w:afterAutospacing="1" w:line="240" w:lineRule="auto"/>
        <w:rPr>
          <w:rFonts w:ascii="Times New Roman" w:eastAsia="Times New Roman" w:hAnsi="Times New Roman" w:cs="Times New Roman"/>
          <w:b/>
          <w:bCs/>
          <w:sz w:val="24"/>
          <w:szCs w:val="24"/>
        </w:rPr>
      </w:pPr>
    </w:p>
    <w:p w:rsidR="00325992" w:rsidRPr="00325992" w:rsidRDefault="00325992" w:rsidP="00325992">
      <w:pPr>
        <w:spacing w:before="100" w:beforeAutospacing="1" w:after="100" w:afterAutospacing="1" w:line="240" w:lineRule="auto"/>
        <w:jc w:val="center"/>
        <w:rPr>
          <w:rFonts w:ascii="Times New Roman" w:eastAsia="Times New Roman" w:hAnsi="Times New Roman" w:cs="Times New Roman"/>
          <w:b/>
          <w:bCs/>
          <w:sz w:val="24"/>
          <w:szCs w:val="24"/>
        </w:rPr>
      </w:pPr>
      <w:r w:rsidRPr="00325992">
        <w:rPr>
          <w:b/>
        </w:rPr>
        <w:t>Table 3: Antiviral Activity of Quinoxaline Derivatives</w:t>
      </w:r>
    </w:p>
    <w:tbl>
      <w:tblPr>
        <w:tblStyle w:val="TableGrid"/>
        <w:tblW w:w="0" w:type="auto"/>
        <w:tblLook w:val="04A0" w:firstRow="1" w:lastRow="0" w:firstColumn="1" w:lastColumn="0" w:noHBand="0" w:noVBand="1"/>
      </w:tblPr>
      <w:tblGrid>
        <w:gridCol w:w="2394"/>
        <w:gridCol w:w="2394"/>
        <w:gridCol w:w="2394"/>
        <w:gridCol w:w="2394"/>
      </w:tblGrid>
      <w:tr w:rsidR="00325992" w:rsidTr="00325992">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5"/>
            </w:tblGrid>
            <w:tr w:rsidR="00325992" w:rsidRPr="007F7534" w:rsidTr="007D2EDD">
              <w:trPr>
                <w:tblCellSpacing w:w="15" w:type="dxa"/>
              </w:trPr>
              <w:tc>
                <w:tcPr>
                  <w:tcW w:w="0" w:type="auto"/>
                  <w:vAlign w:val="center"/>
                  <w:hideMark/>
                </w:tcPr>
                <w:p w:rsidR="00325992" w:rsidRPr="007F7534" w:rsidRDefault="00325992" w:rsidP="007D2EDD">
                  <w:pPr>
                    <w:jc w:val="center"/>
                    <w:rPr>
                      <w:b/>
                      <w:bCs/>
                      <w:sz w:val="24"/>
                      <w:szCs w:val="24"/>
                    </w:rPr>
                  </w:pPr>
                  <w:r w:rsidRPr="007F7534">
                    <w:rPr>
                      <w:b/>
                      <w:bCs/>
                    </w:rPr>
                    <w:t>Compound</w:t>
                  </w:r>
                </w:p>
              </w:tc>
            </w:tr>
          </w:tbl>
          <w:p w:rsidR="00325992" w:rsidRPr="007F7534" w:rsidRDefault="00325992" w:rsidP="007D2EDD">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5"/>
            </w:tblGrid>
            <w:tr w:rsidR="00325992" w:rsidRPr="007F7534" w:rsidTr="007D2EDD">
              <w:trPr>
                <w:tblCellSpacing w:w="15" w:type="dxa"/>
              </w:trPr>
              <w:tc>
                <w:tcPr>
                  <w:tcW w:w="0" w:type="auto"/>
                  <w:vAlign w:val="center"/>
                  <w:hideMark/>
                </w:tcPr>
                <w:p w:rsidR="00325992" w:rsidRPr="007F7534" w:rsidRDefault="00325992" w:rsidP="007D2EDD">
                  <w:pPr>
                    <w:jc w:val="center"/>
                    <w:rPr>
                      <w:b/>
                      <w:bCs/>
                      <w:sz w:val="24"/>
                      <w:szCs w:val="24"/>
                    </w:rPr>
                  </w:pPr>
                  <w:r w:rsidRPr="007F7534">
                    <w:rPr>
                      <w:b/>
                      <w:bCs/>
                    </w:rPr>
                    <w:t>Target Virus</w:t>
                  </w:r>
                </w:p>
              </w:tc>
            </w:tr>
          </w:tbl>
          <w:p w:rsidR="00325992" w:rsidRPr="007F7534" w:rsidRDefault="00325992" w:rsidP="007D2EDD">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2"/>
            </w:tblGrid>
            <w:tr w:rsidR="00325992" w:rsidRPr="007F7534" w:rsidTr="007D2EDD">
              <w:trPr>
                <w:tblCellSpacing w:w="15" w:type="dxa"/>
              </w:trPr>
              <w:tc>
                <w:tcPr>
                  <w:tcW w:w="0" w:type="auto"/>
                  <w:vAlign w:val="center"/>
                  <w:hideMark/>
                </w:tcPr>
                <w:p w:rsidR="00325992" w:rsidRPr="007F7534" w:rsidRDefault="00325992" w:rsidP="007D2EDD">
                  <w:pPr>
                    <w:jc w:val="center"/>
                    <w:rPr>
                      <w:b/>
                      <w:bCs/>
                      <w:sz w:val="24"/>
                      <w:szCs w:val="24"/>
                    </w:rPr>
                  </w:pPr>
                  <w:r w:rsidRPr="007F7534">
                    <w:rPr>
                      <w:b/>
                      <w:bCs/>
                    </w:rPr>
                    <w:t>IC50 (μM)</w:t>
                  </w:r>
                </w:p>
              </w:tc>
            </w:tr>
          </w:tbl>
          <w:p w:rsidR="00325992" w:rsidRPr="007F7534" w:rsidRDefault="00325992" w:rsidP="007D2EDD">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1"/>
            </w:tblGrid>
            <w:tr w:rsidR="00325992" w:rsidRPr="007F7534" w:rsidTr="007D2EDD">
              <w:trPr>
                <w:tblCellSpacing w:w="15" w:type="dxa"/>
              </w:trPr>
              <w:tc>
                <w:tcPr>
                  <w:tcW w:w="0" w:type="auto"/>
                  <w:vAlign w:val="center"/>
                  <w:hideMark/>
                </w:tcPr>
                <w:p w:rsidR="00325992" w:rsidRPr="007F7534" w:rsidRDefault="00325992" w:rsidP="007D2EDD">
                  <w:pPr>
                    <w:jc w:val="center"/>
                    <w:rPr>
                      <w:b/>
                      <w:bCs/>
                      <w:sz w:val="24"/>
                      <w:szCs w:val="24"/>
                    </w:rPr>
                  </w:pPr>
                  <w:r w:rsidRPr="007F7534">
                    <w:rPr>
                      <w:b/>
                      <w:bCs/>
                    </w:rPr>
                    <w:t>Observations</w:t>
                  </w:r>
                </w:p>
              </w:tc>
            </w:tr>
          </w:tbl>
          <w:p w:rsidR="00325992" w:rsidRDefault="00325992"/>
        </w:tc>
      </w:tr>
      <w:tr w:rsidR="00325992" w:rsidTr="00325992">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2"/>
            </w:tblGrid>
            <w:tr w:rsidR="00325992" w:rsidRPr="004D66EE" w:rsidTr="007D2EDD">
              <w:trPr>
                <w:tblCellSpacing w:w="15" w:type="dxa"/>
              </w:trPr>
              <w:tc>
                <w:tcPr>
                  <w:tcW w:w="0" w:type="auto"/>
                  <w:vAlign w:val="center"/>
                  <w:hideMark/>
                </w:tcPr>
                <w:p w:rsidR="00325992" w:rsidRPr="004D66EE" w:rsidRDefault="00325992" w:rsidP="007D2EDD">
                  <w:pPr>
                    <w:rPr>
                      <w:sz w:val="24"/>
                      <w:szCs w:val="24"/>
                    </w:rPr>
                  </w:pPr>
                  <w:r w:rsidRPr="004D66EE">
                    <w:t>QX-1</w:t>
                  </w:r>
                </w:p>
              </w:tc>
            </w:tr>
          </w:tbl>
          <w:p w:rsidR="00325992" w:rsidRPr="004D66EE" w:rsidRDefault="00325992" w:rsidP="007D2EDD">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8"/>
            </w:tblGrid>
            <w:tr w:rsidR="00325992" w:rsidRPr="004D66EE" w:rsidTr="007D2EDD">
              <w:trPr>
                <w:tblCellSpacing w:w="15" w:type="dxa"/>
              </w:trPr>
              <w:tc>
                <w:tcPr>
                  <w:tcW w:w="0" w:type="auto"/>
                  <w:vAlign w:val="center"/>
                  <w:hideMark/>
                </w:tcPr>
                <w:p w:rsidR="00325992" w:rsidRPr="004D66EE" w:rsidRDefault="00325992" w:rsidP="007D2EDD">
                  <w:pPr>
                    <w:rPr>
                      <w:sz w:val="24"/>
                      <w:szCs w:val="24"/>
                    </w:rPr>
                  </w:pPr>
                  <w:r w:rsidRPr="004D66EE">
                    <w:t>ZIKV</w:t>
                  </w:r>
                </w:p>
              </w:tc>
            </w:tr>
          </w:tbl>
          <w:p w:rsidR="00325992" w:rsidRPr="004D66EE" w:rsidRDefault="00325992" w:rsidP="007D2EDD">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9"/>
            </w:tblGrid>
            <w:tr w:rsidR="00325992" w:rsidRPr="004D66EE" w:rsidTr="007D2EDD">
              <w:trPr>
                <w:tblCellSpacing w:w="15" w:type="dxa"/>
              </w:trPr>
              <w:tc>
                <w:tcPr>
                  <w:tcW w:w="0" w:type="auto"/>
                  <w:vAlign w:val="center"/>
                  <w:hideMark/>
                </w:tcPr>
                <w:p w:rsidR="00325992" w:rsidRPr="004D66EE" w:rsidRDefault="00325992" w:rsidP="007D2EDD">
                  <w:pPr>
                    <w:rPr>
                      <w:sz w:val="24"/>
                      <w:szCs w:val="24"/>
                    </w:rPr>
                  </w:pPr>
                  <w:r w:rsidRPr="004D66EE">
                    <w:t>5.4</w:t>
                  </w:r>
                </w:p>
              </w:tc>
            </w:tr>
          </w:tbl>
          <w:p w:rsidR="00325992" w:rsidRPr="004D66EE" w:rsidRDefault="00325992" w:rsidP="007D2EDD">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0"/>
            </w:tblGrid>
            <w:tr w:rsidR="00325992" w:rsidRPr="004D66EE" w:rsidTr="007D2EDD">
              <w:trPr>
                <w:tblCellSpacing w:w="15" w:type="dxa"/>
              </w:trPr>
              <w:tc>
                <w:tcPr>
                  <w:tcW w:w="0" w:type="auto"/>
                  <w:vAlign w:val="center"/>
                  <w:hideMark/>
                </w:tcPr>
                <w:p w:rsidR="00325992" w:rsidRPr="004D66EE" w:rsidRDefault="00325992" w:rsidP="007D2EDD">
                  <w:pPr>
                    <w:rPr>
                      <w:sz w:val="24"/>
                      <w:szCs w:val="24"/>
                    </w:rPr>
                  </w:pPr>
                  <w:r w:rsidRPr="004D66EE">
                    <w:t>Moderate activity</w:t>
                  </w:r>
                </w:p>
              </w:tc>
            </w:tr>
          </w:tbl>
          <w:p w:rsidR="00325992" w:rsidRDefault="00325992"/>
        </w:tc>
      </w:tr>
      <w:tr w:rsidR="00325992" w:rsidTr="00325992">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2"/>
            </w:tblGrid>
            <w:tr w:rsidR="00325992" w:rsidRPr="00282BC8" w:rsidTr="007D2EDD">
              <w:trPr>
                <w:tblCellSpacing w:w="15" w:type="dxa"/>
              </w:trPr>
              <w:tc>
                <w:tcPr>
                  <w:tcW w:w="0" w:type="auto"/>
                  <w:vAlign w:val="center"/>
                  <w:hideMark/>
                </w:tcPr>
                <w:p w:rsidR="00325992" w:rsidRPr="00282BC8" w:rsidRDefault="00325992" w:rsidP="007D2EDD">
                  <w:pPr>
                    <w:rPr>
                      <w:sz w:val="24"/>
                      <w:szCs w:val="24"/>
                    </w:rPr>
                  </w:pPr>
                  <w:r w:rsidRPr="00282BC8">
                    <w:t>QX-2</w:t>
                  </w:r>
                </w:p>
              </w:tc>
            </w:tr>
          </w:tbl>
          <w:p w:rsidR="00325992" w:rsidRPr="00282BC8" w:rsidRDefault="00325992" w:rsidP="007D2EDD">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4"/>
            </w:tblGrid>
            <w:tr w:rsidR="00325992" w:rsidRPr="00282BC8" w:rsidTr="007D2EDD">
              <w:trPr>
                <w:tblCellSpacing w:w="15" w:type="dxa"/>
              </w:trPr>
              <w:tc>
                <w:tcPr>
                  <w:tcW w:w="0" w:type="auto"/>
                  <w:vAlign w:val="center"/>
                  <w:hideMark/>
                </w:tcPr>
                <w:p w:rsidR="00325992" w:rsidRPr="00282BC8" w:rsidRDefault="00325992" w:rsidP="007D2EDD">
                  <w:pPr>
                    <w:rPr>
                      <w:sz w:val="24"/>
                      <w:szCs w:val="24"/>
                    </w:rPr>
                  </w:pPr>
                  <w:r w:rsidRPr="00282BC8">
                    <w:t>SARS-CoV-2</w:t>
                  </w:r>
                </w:p>
              </w:tc>
            </w:tr>
          </w:tbl>
          <w:p w:rsidR="00325992" w:rsidRPr="00282BC8" w:rsidRDefault="00325992" w:rsidP="007D2EDD">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9"/>
            </w:tblGrid>
            <w:tr w:rsidR="00325992" w:rsidRPr="00282BC8" w:rsidTr="007D2EDD">
              <w:trPr>
                <w:tblCellSpacing w:w="15" w:type="dxa"/>
              </w:trPr>
              <w:tc>
                <w:tcPr>
                  <w:tcW w:w="0" w:type="auto"/>
                  <w:vAlign w:val="center"/>
                  <w:hideMark/>
                </w:tcPr>
                <w:p w:rsidR="00325992" w:rsidRPr="00282BC8" w:rsidRDefault="00325992" w:rsidP="007D2EDD">
                  <w:pPr>
                    <w:rPr>
                      <w:sz w:val="24"/>
                      <w:szCs w:val="24"/>
                    </w:rPr>
                  </w:pPr>
                  <w:r w:rsidRPr="00282BC8">
                    <w:t>8.2</w:t>
                  </w:r>
                </w:p>
              </w:tc>
            </w:tr>
          </w:tbl>
          <w:p w:rsidR="00325992" w:rsidRPr="00282BC8" w:rsidRDefault="00325992" w:rsidP="007D2EDD">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97"/>
            </w:tblGrid>
            <w:tr w:rsidR="00325992" w:rsidRPr="00282BC8" w:rsidTr="007D2EDD">
              <w:trPr>
                <w:tblCellSpacing w:w="15" w:type="dxa"/>
              </w:trPr>
              <w:tc>
                <w:tcPr>
                  <w:tcW w:w="0" w:type="auto"/>
                  <w:vAlign w:val="center"/>
                  <w:hideMark/>
                </w:tcPr>
                <w:p w:rsidR="00325992" w:rsidRPr="00282BC8" w:rsidRDefault="00325992" w:rsidP="007D2EDD">
                  <w:pPr>
                    <w:rPr>
                      <w:sz w:val="24"/>
                      <w:szCs w:val="24"/>
                    </w:rPr>
                  </w:pPr>
                  <w:r w:rsidRPr="00282BC8">
                    <w:t>Weak activity</w:t>
                  </w:r>
                </w:p>
              </w:tc>
            </w:tr>
          </w:tbl>
          <w:p w:rsidR="00325992" w:rsidRDefault="00325992"/>
        </w:tc>
      </w:tr>
      <w:tr w:rsidR="00325992" w:rsidTr="00325992">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2"/>
            </w:tblGrid>
            <w:tr w:rsidR="00325992" w:rsidRPr="00FC45F1" w:rsidTr="007D2EDD">
              <w:trPr>
                <w:tblCellSpacing w:w="15" w:type="dxa"/>
              </w:trPr>
              <w:tc>
                <w:tcPr>
                  <w:tcW w:w="0" w:type="auto"/>
                  <w:vAlign w:val="center"/>
                  <w:hideMark/>
                </w:tcPr>
                <w:p w:rsidR="00325992" w:rsidRPr="00FC45F1" w:rsidRDefault="00325992" w:rsidP="007D2EDD">
                  <w:pPr>
                    <w:rPr>
                      <w:sz w:val="24"/>
                      <w:szCs w:val="24"/>
                    </w:rPr>
                  </w:pPr>
                  <w:r w:rsidRPr="00FC45F1">
                    <w:t>QX-3</w:t>
                  </w:r>
                </w:p>
              </w:tc>
            </w:tr>
          </w:tbl>
          <w:p w:rsidR="00325992" w:rsidRPr="00FC45F1" w:rsidRDefault="00325992" w:rsidP="007D2EDD">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8"/>
            </w:tblGrid>
            <w:tr w:rsidR="00325992" w:rsidRPr="00FC45F1" w:rsidTr="007D2EDD">
              <w:trPr>
                <w:tblCellSpacing w:w="15" w:type="dxa"/>
              </w:trPr>
              <w:tc>
                <w:tcPr>
                  <w:tcW w:w="0" w:type="auto"/>
                  <w:vAlign w:val="center"/>
                  <w:hideMark/>
                </w:tcPr>
                <w:p w:rsidR="00325992" w:rsidRPr="00FC45F1" w:rsidRDefault="00325992" w:rsidP="007D2EDD">
                  <w:pPr>
                    <w:rPr>
                      <w:sz w:val="24"/>
                      <w:szCs w:val="24"/>
                    </w:rPr>
                  </w:pPr>
                  <w:r w:rsidRPr="00FC45F1">
                    <w:t>ZIKV</w:t>
                  </w:r>
                </w:p>
              </w:tc>
            </w:tr>
          </w:tbl>
          <w:p w:rsidR="00325992" w:rsidRPr="00FC45F1" w:rsidRDefault="00325992" w:rsidP="007D2EDD">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9"/>
            </w:tblGrid>
            <w:tr w:rsidR="00325992" w:rsidRPr="00FC45F1" w:rsidTr="007D2EDD">
              <w:trPr>
                <w:tblCellSpacing w:w="15" w:type="dxa"/>
              </w:trPr>
              <w:tc>
                <w:tcPr>
                  <w:tcW w:w="0" w:type="auto"/>
                  <w:vAlign w:val="center"/>
                  <w:hideMark/>
                </w:tcPr>
                <w:p w:rsidR="00325992" w:rsidRPr="00FC45F1" w:rsidRDefault="00325992" w:rsidP="007D2EDD">
                  <w:pPr>
                    <w:rPr>
                      <w:sz w:val="24"/>
                      <w:szCs w:val="24"/>
                    </w:rPr>
                  </w:pPr>
                  <w:r w:rsidRPr="00FC45F1">
                    <w:t>6.7</w:t>
                  </w:r>
                </w:p>
              </w:tc>
            </w:tr>
          </w:tbl>
          <w:p w:rsidR="00325992" w:rsidRPr="00FC45F1" w:rsidRDefault="00325992" w:rsidP="007D2EDD">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0"/>
            </w:tblGrid>
            <w:tr w:rsidR="00325992" w:rsidRPr="00FC45F1" w:rsidTr="007D2EDD">
              <w:trPr>
                <w:tblCellSpacing w:w="15" w:type="dxa"/>
              </w:trPr>
              <w:tc>
                <w:tcPr>
                  <w:tcW w:w="0" w:type="auto"/>
                  <w:vAlign w:val="center"/>
                  <w:hideMark/>
                </w:tcPr>
                <w:p w:rsidR="00325992" w:rsidRPr="00FC45F1" w:rsidRDefault="00325992" w:rsidP="007D2EDD">
                  <w:pPr>
                    <w:rPr>
                      <w:sz w:val="24"/>
                      <w:szCs w:val="24"/>
                    </w:rPr>
                  </w:pPr>
                  <w:r w:rsidRPr="00FC45F1">
                    <w:t>Moderate activity</w:t>
                  </w:r>
                </w:p>
              </w:tc>
            </w:tr>
          </w:tbl>
          <w:p w:rsidR="00325992" w:rsidRDefault="00325992"/>
        </w:tc>
      </w:tr>
      <w:tr w:rsidR="00325992" w:rsidTr="00325992">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2"/>
            </w:tblGrid>
            <w:tr w:rsidR="00325992" w:rsidRPr="0044397D" w:rsidTr="007D2EDD">
              <w:trPr>
                <w:tblCellSpacing w:w="15" w:type="dxa"/>
              </w:trPr>
              <w:tc>
                <w:tcPr>
                  <w:tcW w:w="0" w:type="auto"/>
                  <w:vAlign w:val="center"/>
                  <w:hideMark/>
                </w:tcPr>
                <w:p w:rsidR="00325992" w:rsidRPr="0044397D" w:rsidRDefault="00325992" w:rsidP="007D2EDD">
                  <w:pPr>
                    <w:rPr>
                      <w:sz w:val="24"/>
                      <w:szCs w:val="24"/>
                    </w:rPr>
                  </w:pPr>
                  <w:r w:rsidRPr="0044397D">
                    <w:t>QX-4</w:t>
                  </w:r>
                </w:p>
              </w:tc>
            </w:tr>
          </w:tbl>
          <w:p w:rsidR="00325992" w:rsidRPr="0044397D" w:rsidRDefault="00325992" w:rsidP="007D2EDD">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4"/>
            </w:tblGrid>
            <w:tr w:rsidR="00325992" w:rsidRPr="0044397D" w:rsidTr="007D2EDD">
              <w:trPr>
                <w:tblCellSpacing w:w="15" w:type="dxa"/>
              </w:trPr>
              <w:tc>
                <w:tcPr>
                  <w:tcW w:w="0" w:type="auto"/>
                  <w:vAlign w:val="center"/>
                  <w:hideMark/>
                </w:tcPr>
                <w:p w:rsidR="00325992" w:rsidRPr="0044397D" w:rsidRDefault="00325992" w:rsidP="007D2EDD">
                  <w:pPr>
                    <w:rPr>
                      <w:sz w:val="24"/>
                      <w:szCs w:val="24"/>
                    </w:rPr>
                  </w:pPr>
                  <w:r w:rsidRPr="0044397D">
                    <w:t>SARS-CoV-2</w:t>
                  </w:r>
                </w:p>
              </w:tc>
            </w:tr>
          </w:tbl>
          <w:p w:rsidR="00325992" w:rsidRPr="0044397D" w:rsidRDefault="00325992" w:rsidP="007D2EDD">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9"/>
            </w:tblGrid>
            <w:tr w:rsidR="00325992" w:rsidRPr="0044397D" w:rsidTr="007D2EDD">
              <w:trPr>
                <w:tblCellSpacing w:w="15" w:type="dxa"/>
              </w:trPr>
              <w:tc>
                <w:tcPr>
                  <w:tcW w:w="0" w:type="auto"/>
                  <w:vAlign w:val="center"/>
                  <w:hideMark/>
                </w:tcPr>
                <w:p w:rsidR="00325992" w:rsidRPr="0044397D" w:rsidRDefault="00325992" w:rsidP="007D2EDD">
                  <w:pPr>
                    <w:rPr>
                      <w:sz w:val="24"/>
                      <w:szCs w:val="24"/>
                    </w:rPr>
                  </w:pPr>
                  <w:r w:rsidRPr="0044397D">
                    <w:t>4.9</w:t>
                  </w:r>
                </w:p>
              </w:tc>
            </w:tr>
          </w:tbl>
          <w:p w:rsidR="00325992" w:rsidRPr="0044397D" w:rsidRDefault="00325992" w:rsidP="007D2EDD">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2"/>
            </w:tblGrid>
            <w:tr w:rsidR="00325992" w:rsidRPr="0044397D" w:rsidTr="007D2EDD">
              <w:trPr>
                <w:tblCellSpacing w:w="15" w:type="dxa"/>
              </w:trPr>
              <w:tc>
                <w:tcPr>
                  <w:tcW w:w="0" w:type="auto"/>
                  <w:vAlign w:val="center"/>
                  <w:hideMark/>
                </w:tcPr>
                <w:p w:rsidR="00325992" w:rsidRPr="0044397D" w:rsidRDefault="00325992" w:rsidP="007D2EDD">
                  <w:pPr>
                    <w:rPr>
                      <w:sz w:val="24"/>
                      <w:szCs w:val="24"/>
                    </w:rPr>
                  </w:pPr>
                  <w:r w:rsidRPr="0044397D">
                    <w:t>Significant activity</w:t>
                  </w:r>
                </w:p>
              </w:tc>
            </w:tr>
          </w:tbl>
          <w:p w:rsidR="00325992" w:rsidRDefault="00325992"/>
        </w:tc>
      </w:tr>
      <w:tr w:rsidR="00325992" w:rsidTr="00325992">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2"/>
            </w:tblGrid>
            <w:tr w:rsidR="00325992" w:rsidRPr="004630EA" w:rsidTr="007D2EDD">
              <w:trPr>
                <w:tblCellSpacing w:w="15" w:type="dxa"/>
              </w:trPr>
              <w:tc>
                <w:tcPr>
                  <w:tcW w:w="0" w:type="auto"/>
                  <w:vAlign w:val="center"/>
                  <w:hideMark/>
                </w:tcPr>
                <w:p w:rsidR="00325992" w:rsidRPr="004630EA" w:rsidRDefault="00325992" w:rsidP="007D2EDD">
                  <w:pPr>
                    <w:rPr>
                      <w:sz w:val="24"/>
                      <w:szCs w:val="24"/>
                    </w:rPr>
                  </w:pPr>
                  <w:r w:rsidRPr="004630EA">
                    <w:t>QX-5</w:t>
                  </w:r>
                </w:p>
              </w:tc>
            </w:tr>
          </w:tbl>
          <w:p w:rsidR="00325992" w:rsidRPr="004630EA" w:rsidRDefault="00325992" w:rsidP="007D2EDD">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8"/>
            </w:tblGrid>
            <w:tr w:rsidR="00325992" w:rsidRPr="004630EA" w:rsidTr="007D2EDD">
              <w:trPr>
                <w:tblCellSpacing w:w="15" w:type="dxa"/>
              </w:trPr>
              <w:tc>
                <w:tcPr>
                  <w:tcW w:w="0" w:type="auto"/>
                  <w:vAlign w:val="center"/>
                  <w:hideMark/>
                </w:tcPr>
                <w:p w:rsidR="00325992" w:rsidRPr="004630EA" w:rsidRDefault="00325992" w:rsidP="007D2EDD">
                  <w:pPr>
                    <w:rPr>
                      <w:sz w:val="24"/>
                      <w:szCs w:val="24"/>
                    </w:rPr>
                  </w:pPr>
                  <w:r w:rsidRPr="004630EA">
                    <w:t>ZIKV</w:t>
                  </w:r>
                </w:p>
              </w:tc>
            </w:tr>
          </w:tbl>
          <w:p w:rsidR="00325992" w:rsidRPr="004630EA" w:rsidRDefault="00325992" w:rsidP="007D2EDD">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9"/>
            </w:tblGrid>
            <w:tr w:rsidR="00325992" w:rsidRPr="004630EA" w:rsidTr="007D2EDD">
              <w:trPr>
                <w:tblCellSpacing w:w="15" w:type="dxa"/>
              </w:trPr>
              <w:tc>
                <w:tcPr>
                  <w:tcW w:w="0" w:type="auto"/>
                  <w:vAlign w:val="center"/>
                  <w:hideMark/>
                </w:tcPr>
                <w:p w:rsidR="00325992" w:rsidRPr="004630EA" w:rsidRDefault="00325992" w:rsidP="007D2EDD">
                  <w:pPr>
                    <w:rPr>
                      <w:sz w:val="24"/>
                      <w:szCs w:val="24"/>
                    </w:rPr>
                  </w:pPr>
                  <w:r w:rsidRPr="004630EA">
                    <w:t>3.6</w:t>
                  </w:r>
                </w:p>
              </w:tc>
            </w:tr>
          </w:tbl>
          <w:p w:rsidR="00325992" w:rsidRPr="004630EA" w:rsidRDefault="00325992" w:rsidP="007D2EDD">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3"/>
            </w:tblGrid>
            <w:tr w:rsidR="00325992" w:rsidRPr="004630EA" w:rsidTr="007D2EDD">
              <w:trPr>
                <w:tblCellSpacing w:w="15" w:type="dxa"/>
              </w:trPr>
              <w:tc>
                <w:tcPr>
                  <w:tcW w:w="0" w:type="auto"/>
                  <w:vAlign w:val="center"/>
                  <w:hideMark/>
                </w:tcPr>
                <w:p w:rsidR="00325992" w:rsidRPr="004630EA" w:rsidRDefault="00325992" w:rsidP="007D2EDD">
                  <w:pPr>
                    <w:rPr>
                      <w:sz w:val="24"/>
                      <w:szCs w:val="24"/>
                    </w:rPr>
                  </w:pPr>
                  <w:r w:rsidRPr="004630EA">
                    <w:t>High activity</w:t>
                  </w:r>
                </w:p>
              </w:tc>
            </w:tr>
          </w:tbl>
          <w:p w:rsidR="00325992" w:rsidRDefault="00325992"/>
        </w:tc>
      </w:tr>
      <w:tr w:rsidR="00325992" w:rsidTr="00325992">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2"/>
            </w:tblGrid>
            <w:tr w:rsidR="00325992" w:rsidRPr="00B765AB" w:rsidTr="007D2EDD">
              <w:trPr>
                <w:tblCellSpacing w:w="15" w:type="dxa"/>
              </w:trPr>
              <w:tc>
                <w:tcPr>
                  <w:tcW w:w="0" w:type="auto"/>
                  <w:vAlign w:val="center"/>
                  <w:hideMark/>
                </w:tcPr>
                <w:p w:rsidR="00325992" w:rsidRPr="00B765AB" w:rsidRDefault="00325992" w:rsidP="007D2EDD">
                  <w:pPr>
                    <w:rPr>
                      <w:sz w:val="24"/>
                      <w:szCs w:val="24"/>
                    </w:rPr>
                  </w:pPr>
                  <w:r w:rsidRPr="00B765AB">
                    <w:t>QX-6</w:t>
                  </w:r>
                </w:p>
              </w:tc>
            </w:tr>
          </w:tbl>
          <w:p w:rsidR="00325992" w:rsidRPr="00B765AB" w:rsidRDefault="00325992" w:rsidP="007D2EDD">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4"/>
            </w:tblGrid>
            <w:tr w:rsidR="00325992" w:rsidRPr="00B765AB" w:rsidTr="007D2EDD">
              <w:trPr>
                <w:tblCellSpacing w:w="15" w:type="dxa"/>
              </w:trPr>
              <w:tc>
                <w:tcPr>
                  <w:tcW w:w="0" w:type="auto"/>
                  <w:vAlign w:val="center"/>
                  <w:hideMark/>
                </w:tcPr>
                <w:p w:rsidR="00325992" w:rsidRPr="00B765AB" w:rsidRDefault="00325992" w:rsidP="007D2EDD">
                  <w:pPr>
                    <w:rPr>
                      <w:sz w:val="24"/>
                      <w:szCs w:val="24"/>
                    </w:rPr>
                  </w:pPr>
                  <w:r w:rsidRPr="00B765AB">
                    <w:t>SARS-CoV-2</w:t>
                  </w:r>
                </w:p>
              </w:tc>
            </w:tr>
          </w:tbl>
          <w:p w:rsidR="00325992" w:rsidRPr="00B765AB" w:rsidRDefault="00325992" w:rsidP="007D2EDD">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9"/>
            </w:tblGrid>
            <w:tr w:rsidR="00325992" w:rsidRPr="00B765AB" w:rsidTr="007D2EDD">
              <w:trPr>
                <w:tblCellSpacing w:w="15" w:type="dxa"/>
              </w:trPr>
              <w:tc>
                <w:tcPr>
                  <w:tcW w:w="0" w:type="auto"/>
                  <w:vAlign w:val="center"/>
                  <w:hideMark/>
                </w:tcPr>
                <w:p w:rsidR="00325992" w:rsidRPr="00B765AB" w:rsidRDefault="00325992" w:rsidP="007D2EDD">
                  <w:pPr>
                    <w:rPr>
                      <w:sz w:val="24"/>
                      <w:szCs w:val="24"/>
                    </w:rPr>
                  </w:pPr>
                  <w:r w:rsidRPr="00B765AB">
                    <w:t>3.2</w:t>
                  </w:r>
                </w:p>
              </w:tc>
            </w:tr>
          </w:tbl>
          <w:p w:rsidR="00325992" w:rsidRPr="00B765AB" w:rsidRDefault="00325992" w:rsidP="007D2EDD">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3"/>
            </w:tblGrid>
            <w:tr w:rsidR="00325992" w:rsidRPr="00B765AB" w:rsidTr="007D2EDD">
              <w:trPr>
                <w:tblCellSpacing w:w="15" w:type="dxa"/>
              </w:trPr>
              <w:tc>
                <w:tcPr>
                  <w:tcW w:w="0" w:type="auto"/>
                  <w:vAlign w:val="center"/>
                  <w:hideMark/>
                </w:tcPr>
                <w:p w:rsidR="00325992" w:rsidRPr="00B765AB" w:rsidRDefault="00325992" w:rsidP="007D2EDD">
                  <w:pPr>
                    <w:rPr>
                      <w:sz w:val="24"/>
                      <w:szCs w:val="24"/>
                    </w:rPr>
                  </w:pPr>
                  <w:r w:rsidRPr="00B765AB">
                    <w:t>High activity</w:t>
                  </w:r>
                </w:p>
              </w:tc>
            </w:tr>
          </w:tbl>
          <w:p w:rsidR="00325992" w:rsidRDefault="00325992"/>
        </w:tc>
      </w:tr>
      <w:tr w:rsidR="00325992" w:rsidTr="00325992">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2"/>
            </w:tblGrid>
            <w:tr w:rsidR="00325992" w:rsidRPr="00037D9A" w:rsidTr="007D2EDD">
              <w:trPr>
                <w:tblCellSpacing w:w="15" w:type="dxa"/>
              </w:trPr>
              <w:tc>
                <w:tcPr>
                  <w:tcW w:w="0" w:type="auto"/>
                  <w:vAlign w:val="center"/>
                  <w:hideMark/>
                </w:tcPr>
                <w:p w:rsidR="00325992" w:rsidRPr="00037D9A" w:rsidRDefault="00325992" w:rsidP="007D2EDD">
                  <w:pPr>
                    <w:rPr>
                      <w:sz w:val="24"/>
                      <w:szCs w:val="24"/>
                    </w:rPr>
                  </w:pPr>
                  <w:r w:rsidRPr="00037D9A">
                    <w:t>QX-7</w:t>
                  </w:r>
                </w:p>
              </w:tc>
            </w:tr>
          </w:tbl>
          <w:p w:rsidR="00325992" w:rsidRPr="00037D9A" w:rsidRDefault="00325992" w:rsidP="007D2EDD">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8"/>
            </w:tblGrid>
            <w:tr w:rsidR="00325992" w:rsidRPr="00037D9A" w:rsidTr="007D2EDD">
              <w:trPr>
                <w:tblCellSpacing w:w="15" w:type="dxa"/>
              </w:trPr>
              <w:tc>
                <w:tcPr>
                  <w:tcW w:w="0" w:type="auto"/>
                  <w:vAlign w:val="center"/>
                  <w:hideMark/>
                </w:tcPr>
                <w:p w:rsidR="00325992" w:rsidRPr="00037D9A" w:rsidRDefault="00325992" w:rsidP="007D2EDD">
                  <w:pPr>
                    <w:rPr>
                      <w:sz w:val="24"/>
                      <w:szCs w:val="24"/>
                    </w:rPr>
                  </w:pPr>
                  <w:r w:rsidRPr="00037D9A">
                    <w:t>ZIKV</w:t>
                  </w:r>
                </w:p>
              </w:tc>
            </w:tr>
          </w:tbl>
          <w:p w:rsidR="00325992" w:rsidRPr="00037D9A" w:rsidRDefault="00325992" w:rsidP="007D2EDD">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9"/>
            </w:tblGrid>
            <w:tr w:rsidR="00325992" w:rsidRPr="00037D9A" w:rsidTr="007D2EDD">
              <w:trPr>
                <w:tblCellSpacing w:w="15" w:type="dxa"/>
              </w:trPr>
              <w:tc>
                <w:tcPr>
                  <w:tcW w:w="0" w:type="auto"/>
                  <w:vAlign w:val="center"/>
                  <w:hideMark/>
                </w:tcPr>
                <w:p w:rsidR="00325992" w:rsidRPr="00037D9A" w:rsidRDefault="00325992" w:rsidP="007D2EDD">
                  <w:pPr>
                    <w:rPr>
                      <w:sz w:val="24"/>
                      <w:szCs w:val="24"/>
                    </w:rPr>
                  </w:pPr>
                  <w:r w:rsidRPr="00037D9A">
                    <w:t>1.2</w:t>
                  </w:r>
                </w:p>
              </w:tc>
            </w:tr>
          </w:tbl>
          <w:p w:rsidR="00325992" w:rsidRPr="00037D9A" w:rsidRDefault="00325992" w:rsidP="007D2EDD">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8"/>
            </w:tblGrid>
            <w:tr w:rsidR="00325992" w:rsidRPr="00037D9A" w:rsidTr="007D2EDD">
              <w:trPr>
                <w:tblCellSpacing w:w="15" w:type="dxa"/>
              </w:trPr>
              <w:tc>
                <w:tcPr>
                  <w:tcW w:w="0" w:type="auto"/>
                  <w:vAlign w:val="center"/>
                  <w:hideMark/>
                </w:tcPr>
                <w:p w:rsidR="00325992" w:rsidRPr="00037D9A" w:rsidRDefault="00325992" w:rsidP="007D2EDD">
                  <w:pPr>
                    <w:rPr>
                      <w:sz w:val="24"/>
                      <w:szCs w:val="24"/>
                    </w:rPr>
                  </w:pPr>
                  <w:r w:rsidRPr="00037D9A">
                    <w:t>Most potent</w:t>
                  </w:r>
                </w:p>
              </w:tc>
            </w:tr>
          </w:tbl>
          <w:p w:rsidR="00325992" w:rsidRDefault="00325992"/>
        </w:tc>
      </w:tr>
    </w:tbl>
    <w:p w:rsidR="00325992" w:rsidRDefault="00325992" w:rsidP="003A3252">
      <w:pPr>
        <w:spacing w:before="100" w:beforeAutospacing="1" w:after="100" w:afterAutospacing="1" w:line="240" w:lineRule="auto"/>
        <w:rPr>
          <w:rFonts w:ascii="Times New Roman" w:eastAsia="Times New Roman" w:hAnsi="Times New Roman" w:cs="Times New Roman"/>
          <w:b/>
          <w:bCs/>
          <w:sz w:val="24"/>
          <w:szCs w:val="24"/>
        </w:rPr>
      </w:pPr>
    </w:p>
    <w:p w:rsidR="00325992" w:rsidRDefault="00325992" w:rsidP="003A3252">
      <w:pPr>
        <w:spacing w:before="100" w:beforeAutospacing="1" w:after="100" w:afterAutospacing="1" w:line="240" w:lineRule="auto"/>
        <w:rPr>
          <w:rFonts w:ascii="Times New Roman" w:eastAsia="Times New Roman" w:hAnsi="Times New Roman" w:cs="Times New Roman"/>
          <w:b/>
          <w:bCs/>
          <w:sz w:val="24"/>
          <w:szCs w:val="24"/>
        </w:rPr>
      </w:pPr>
    </w:p>
    <w:p w:rsidR="00325992" w:rsidRPr="004A00AC" w:rsidRDefault="00325992" w:rsidP="004A00AC">
      <w:pPr>
        <w:spacing w:before="100" w:beforeAutospacing="1" w:after="100" w:afterAutospacing="1" w:line="240" w:lineRule="auto"/>
        <w:jc w:val="center"/>
        <w:rPr>
          <w:rFonts w:ascii="Times New Roman" w:eastAsia="Times New Roman" w:hAnsi="Times New Roman" w:cs="Times New Roman"/>
          <w:b/>
          <w:bCs/>
          <w:sz w:val="24"/>
          <w:szCs w:val="24"/>
        </w:rPr>
      </w:pPr>
      <w:r w:rsidRPr="004A00AC">
        <w:rPr>
          <w:b/>
        </w:rPr>
        <w:t>Table 4: Mechanistic Studies of QX-7</w:t>
      </w:r>
    </w:p>
    <w:p w:rsidR="00325992" w:rsidRDefault="00325992" w:rsidP="003A3252">
      <w:pPr>
        <w:spacing w:before="100" w:beforeAutospacing="1" w:after="100" w:afterAutospacing="1" w:line="240" w:lineRule="auto"/>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3192"/>
        <w:gridCol w:w="3192"/>
        <w:gridCol w:w="3192"/>
      </w:tblGrid>
      <w:tr w:rsidR="00325992" w:rsidTr="00325992">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4"/>
            </w:tblGrid>
            <w:tr w:rsidR="00325992" w:rsidRPr="00F55AC4" w:rsidTr="007D2EDD">
              <w:trPr>
                <w:tblCellSpacing w:w="15" w:type="dxa"/>
              </w:trPr>
              <w:tc>
                <w:tcPr>
                  <w:tcW w:w="0" w:type="auto"/>
                  <w:vAlign w:val="center"/>
                  <w:hideMark/>
                </w:tcPr>
                <w:p w:rsidR="00325992" w:rsidRPr="00F55AC4" w:rsidRDefault="00325992" w:rsidP="007D2EDD">
                  <w:pPr>
                    <w:jc w:val="center"/>
                    <w:rPr>
                      <w:b/>
                      <w:bCs/>
                      <w:sz w:val="24"/>
                      <w:szCs w:val="24"/>
                    </w:rPr>
                  </w:pPr>
                  <w:r w:rsidRPr="00F55AC4">
                    <w:rPr>
                      <w:b/>
                      <w:bCs/>
                    </w:rPr>
                    <w:t>Method</w:t>
                  </w:r>
                </w:p>
              </w:tc>
            </w:tr>
          </w:tbl>
          <w:p w:rsidR="00325992" w:rsidRPr="00F55AC4" w:rsidRDefault="00325992" w:rsidP="007D2EDD">
            <w:pPr>
              <w:rPr>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8"/>
            </w:tblGrid>
            <w:tr w:rsidR="00325992" w:rsidRPr="00F55AC4" w:rsidTr="007D2EDD">
              <w:trPr>
                <w:tblCellSpacing w:w="15" w:type="dxa"/>
              </w:trPr>
              <w:tc>
                <w:tcPr>
                  <w:tcW w:w="0" w:type="auto"/>
                  <w:vAlign w:val="center"/>
                  <w:hideMark/>
                </w:tcPr>
                <w:p w:rsidR="00325992" w:rsidRPr="00F55AC4" w:rsidRDefault="00325992" w:rsidP="007D2EDD">
                  <w:pPr>
                    <w:jc w:val="center"/>
                    <w:rPr>
                      <w:b/>
                      <w:bCs/>
                      <w:sz w:val="24"/>
                      <w:szCs w:val="24"/>
                    </w:rPr>
                  </w:pPr>
                  <w:r w:rsidRPr="00F55AC4">
                    <w:rPr>
                      <w:b/>
                      <w:bCs/>
                    </w:rPr>
                    <w:t>Target</w:t>
                  </w:r>
                </w:p>
              </w:tc>
            </w:tr>
          </w:tbl>
          <w:p w:rsidR="00325992" w:rsidRPr="00F55AC4" w:rsidRDefault="00325992" w:rsidP="007D2EDD">
            <w:pPr>
              <w:rPr>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1"/>
            </w:tblGrid>
            <w:tr w:rsidR="00325992" w:rsidRPr="00F55AC4" w:rsidTr="007D2EDD">
              <w:trPr>
                <w:tblCellSpacing w:w="15" w:type="dxa"/>
              </w:trPr>
              <w:tc>
                <w:tcPr>
                  <w:tcW w:w="0" w:type="auto"/>
                  <w:vAlign w:val="center"/>
                  <w:hideMark/>
                </w:tcPr>
                <w:p w:rsidR="00325992" w:rsidRPr="00F55AC4" w:rsidRDefault="00325992" w:rsidP="007D2EDD">
                  <w:pPr>
                    <w:jc w:val="center"/>
                    <w:rPr>
                      <w:b/>
                      <w:bCs/>
                      <w:sz w:val="24"/>
                      <w:szCs w:val="24"/>
                    </w:rPr>
                  </w:pPr>
                  <w:r w:rsidRPr="00F55AC4">
                    <w:rPr>
                      <w:b/>
                      <w:bCs/>
                    </w:rPr>
                    <w:t>Observations</w:t>
                  </w:r>
                </w:p>
              </w:tc>
            </w:tr>
          </w:tbl>
          <w:p w:rsidR="00325992" w:rsidRDefault="00325992"/>
        </w:tc>
      </w:tr>
      <w:tr w:rsidR="00325992" w:rsidTr="00325992">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0"/>
            </w:tblGrid>
            <w:tr w:rsidR="00325992" w:rsidRPr="006773AD" w:rsidTr="007D2EDD">
              <w:trPr>
                <w:tblCellSpacing w:w="15" w:type="dxa"/>
              </w:trPr>
              <w:tc>
                <w:tcPr>
                  <w:tcW w:w="0" w:type="auto"/>
                  <w:vAlign w:val="center"/>
                  <w:hideMark/>
                </w:tcPr>
                <w:p w:rsidR="00325992" w:rsidRPr="006773AD" w:rsidRDefault="00325992" w:rsidP="007D2EDD">
                  <w:pPr>
                    <w:rPr>
                      <w:sz w:val="24"/>
                      <w:szCs w:val="24"/>
                    </w:rPr>
                  </w:pPr>
                  <w:r w:rsidRPr="006773AD">
                    <w:t>Molecular Docking</w:t>
                  </w:r>
                </w:p>
              </w:tc>
            </w:tr>
          </w:tbl>
          <w:p w:rsidR="00325992" w:rsidRPr="006773AD" w:rsidRDefault="00325992" w:rsidP="007D2EDD">
            <w:pPr>
              <w:rPr>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8"/>
            </w:tblGrid>
            <w:tr w:rsidR="00325992" w:rsidRPr="006773AD" w:rsidTr="007D2EDD">
              <w:trPr>
                <w:tblCellSpacing w:w="15" w:type="dxa"/>
              </w:trPr>
              <w:tc>
                <w:tcPr>
                  <w:tcW w:w="0" w:type="auto"/>
                  <w:vAlign w:val="center"/>
                  <w:hideMark/>
                </w:tcPr>
                <w:p w:rsidR="00325992" w:rsidRPr="006773AD" w:rsidRDefault="00325992" w:rsidP="007D2EDD">
                  <w:pPr>
                    <w:rPr>
                      <w:sz w:val="24"/>
                      <w:szCs w:val="24"/>
                    </w:rPr>
                  </w:pPr>
                  <w:r w:rsidRPr="006773AD">
                    <w:t>RdRp Active Site</w:t>
                  </w:r>
                </w:p>
              </w:tc>
            </w:tr>
          </w:tbl>
          <w:p w:rsidR="00325992" w:rsidRPr="006773AD" w:rsidRDefault="00325992" w:rsidP="007D2EDD">
            <w:pPr>
              <w:rPr>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73"/>
            </w:tblGrid>
            <w:tr w:rsidR="00325992" w:rsidRPr="006773AD" w:rsidTr="007D2EDD">
              <w:trPr>
                <w:tblCellSpacing w:w="15" w:type="dxa"/>
              </w:trPr>
              <w:tc>
                <w:tcPr>
                  <w:tcW w:w="0" w:type="auto"/>
                  <w:vAlign w:val="center"/>
                  <w:hideMark/>
                </w:tcPr>
                <w:p w:rsidR="00325992" w:rsidRPr="006773AD" w:rsidRDefault="00325992" w:rsidP="007D2EDD">
                  <w:pPr>
                    <w:rPr>
                      <w:sz w:val="24"/>
                      <w:szCs w:val="24"/>
                    </w:rPr>
                  </w:pPr>
                  <w:r w:rsidRPr="006773AD">
                    <w:t>Strong binding affinity</w:t>
                  </w:r>
                </w:p>
              </w:tc>
            </w:tr>
          </w:tbl>
          <w:p w:rsidR="00325992" w:rsidRDefault="00325992"/>
        </w:tc>
      </w:tr>
      <w:tr w:rsidR="00325992" w:rsidTr="00325992">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02"/>
            </w:tblGrid>
            <w:tr w:rsidR="00325992" w:rsidRPr="0096710D" w:rsidTr="007D2EDD">
              <w:trPr>
                <w:tblCellSpacing w:w="15" w:type="dxa"/>
              </w:trPr>
              <w:tc>
                <w:tcPr>
                  <w:tcW w:w="0" w:type="auto"/>
                  <w:vAlign w:val="center"/>
                  <w:hideMark/>
                </w:tcPr>
                <w:p w:rsidR="00325992" w:rsidRPr="0096710D" w:rsidRDefault="00325992" w:rsidP="007D2EDD">
                  <w:pPr>
                    <w:rPr>
                      <w:sz w:val="24"/>
                      <w:szCs w:val="24"/>
                    </w:rPr>
                  </w:pPr>
                  <w:r w:rsidRPr="0096710D">
                    <w:t>Viral Replication Assay</w:t>
                  </w:r>
                </w:p>
              </w:tc>
            </w:tr>
          </w:tbl>
          <w:p w:rsidR="00325992" w:rsidRPr="0096710D" w:rsidRDefault="00325992" w:rsidP="007D2EDD">
            <w:pPr>
              <w:rPr>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76"/>
            </w:tblGrid>
            <w:tr w:rsidR="00325992" w:rsidRPr="0096710D" w:rsidTr="007D2EDD">
              <w:trPr>
                <w:tblCellSpacing w:w="15" w:type="dxa"/>
              </w:trPr>
              <w:tc>
                <w:tcPr>
                  <w:tcW w:w="0" w:type="auto"/>
                  <w:vAlign w:val="center"/>
                  <w:hideMark/>
                </w:tcPr>
                <w:p w:rsidR="00325992" w:rsidRPr="0096710D" w:rsidRDefault="00325992" w:rsidP="007D2EDD">
                  <w:pPr>
                    <w:rPr>
                      <w:sz w:val="24"/>
                      <w:szCs w:val="24"/>
                    </w:rPr>
                  </w:pPr>
                  <w:r w:rsidRPr="0096710D">
                    <w:t>RNA-dependent RNA Polymerase</w:t>
                  </w:r>
                </w:p>
              </w:tc>
            </w:tr>
          </w:tbl>
          <w:p w:rsidR="00325992" w:rsidRPr="0096710D" w:rsidRDefault="00325992" w:rsidP="007D2EDD">
            <w:pPr>
              <w:rPr>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9"/>
            </w:tblGrid>
            <w:tr w:rsidR="00325992" w:rsidRPr="0096710D" w:rsidTr="007D2EDD">
              <w:trPr>
                <w:tblCellSpacing w:w="15" w:type="dxa"/>
              </w:trPr>
              <w:tc>
                <w:tcPr>
                  <w:tcW w:w="0" w:type="auto"/>
                  <w:vAlign w:val="center"/>
                  <w:hideMark/>
                </w:tcPr>
                <w:p w:rsidR="00325992" w:rsidRPr="0096710D" w:rsidRDefault="00325992" w:rsidP="007D2EDD">
                  <w:pPr>
                    <w:rPr>
                      <w:sz w:val="24"/>
                      <w:szCs w:val="24"/>
                    </w:rPr>
                  </w:pPr>
                  <w:r w:rsidRPr="0096710D">
                    <w:t>Inhibition confirmed</w:t>
                  </w:r>
                </w:p>
              </w:tc>
            </w:tr>
          </w:tbl>
          <w:p w:rsidR="00325992" w:rsidRDefault="00325992"/>
        </w:tc>
      </w:tr>
    </w:tbl>
    <w:p w:rsidR="00325992" w:rsidRDefault="00325992" w:rsidP="003A3252">
      <w:pPr>
        <w:spacing w:before="100" w:beforeAutospacing="1" w:after="100" w:afterAutospacing="1" w:line="240" w:lineRule="auto"/>
        <w:rPr>
          <w:rFonts w:ascii="Times New Roman" w:eastAsia="Times New Roman" w:hAnsi="Times New Roman" w:cs="Times New Roman"/>
          <w:b/>
          <w:bCs/>
          <w:noProof/>
          <w:sz w:val="24"/>
          <w:szCs w:val="24"/>
        </w:rPr>
      </w:pPr>
    </w:p>
    <w:p w:rsidR="008735B5" w:rsidRDefault="008735B5" w:rsidP="003A3252">
      <w:pPr>
        <w:spacing w:before="100" w:beforeAutospacing="1" w:after="100" w:afterAutospacing="1" w:line="240" w:lineRule="auto"/>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 xml:space="preserve">Fig 5 </w:t>
      </w:r>
    </w:p>
    <w:p w:rsidR="008735B5" w:rsidRDefault="008735B5" w:rsidP="003A3252">
      <w:pPr>
        <w:spacing w:before="100" w:beforeAutospacing="1" w:after="100" w:afterAutospacing="1" w:line="240" w:lineRule="auto"/>
        <w:rPr>
          <w:rFonts w:ascii="Times New Roman" w:eastAsia="Times New Roman" w:hAnsi="Times New Roman" w:cs="Times New Roman"/>
          <w:b/>
          <w:bCs/>
          <w:noProof/>
          <w:sz w:val="24"/>
          <w:szCs w:val="24"/>
        </w:rPr>
      </w:pPr>
    </w:p>
    <w:p w:rsidR="008735B5" w:rsidRDefault="008735B5" w:rsidP="003A325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5399872" cy="3563707"/>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5401508" cy="3564786"/>
                    </a:xfrm>
                    <a:prstGeom prst="rect">
                      <a:avLst/>
                    </a:prstGeom>
                    <a:noFill/>
                    <a:ln w="9525">
                      <a:noFill/>
                      <a:miter lim="800000"/>
                      <a:headEnd/>
                      <a:tailEnd/>
                    </a:ln>
                  </pic:spPr>
                </pic:pic>
              </a:graphicData>
            </a:graphic>
          </wp:inline>
        </w:drawing>
      </w:r>
    </w:p>
    <w:p w:rsidR="004A00AC" w:rsidRDefault="004A00AC" w:rsidP="003A3252">
      <w:pPr>
        <w:spacing w:before="100" w:beforeAutospacing="1" w:after="100" w:afterAutospacing="1" w:line="240" w:lineRule="auto"/>
        <w:rPr>
          <w:rFonts w:ascii="Times New Roman" w:eastAsia="Times New Roman" w:hAnsi="Times New Roman" w:cs="Times New Roman"/>
          <w:b/>
          <w:bCs/>
          <w:sz w:val="24"/>
          <w:szCs w:val="24"/>
        </w:rPr>
      </w:pPr>
    </w:p>
    <w:p w:rsidR="004A00AC" w:rsidRDefault="004A00AC" w:rsidP="003A3252">
      <w:pPr>
        <w:spacing w:before="100" w:beforeAutospacing="1" w:after="100" w:afterAutospacing="1" w:line="240" w:lineRule="auto"/>
        <w:rPr>
          <w:rFonts w:ascii="Times New Roman" w:eastAsia="Times New Roman" w:hAnsi="Times New Roman" w:cs="Times New Roman"/>
          <w:b/>
          <w:bCs/>
          <w:sz w:val="24"/>
          <w:szCs w:val="24"/>
        </w:rPr>
      </w:pPr>
    </w:p>
    <w:p w:rsidR="004A00AC" w:rsidRDefault="004A00AC" w:rsidP="003A3252">
      <w:pPr>
        <w:spacing w:before="100" w:beforeAutospacing="1" w:after="100" w:afterAutospacing="1" w:line="240" w:lineRule="auto"/>
        <w:rPr>
          <w:rFonts w:ascii="Times New Roman" w:eastAsia="Times New Roman" w:hAnsi="Times New Roman" w:cs="Times New Roman"/>
          <w:b/>
          <w:bCs/>
          <w:sz w:val="24"/>
          <w:szCs w:val="24"/>
        </w:rPr>
      </w:pPr>
    </w:p>
    <w:p w:rsidR="004A00AC" w:rsidRDefault="004A00AC" w:rsidP="003A3252">
      <w:pPr>
        <w:spacing w:before="100" w:beforeAutospacing="1" w:after="100" w:afterAutospacing="1" w:line="240" w:lineRule="auto"/>
        <w:rPr>
          <w:rFonts w:ascii="Times New Roman" w:eastAsia="Times New Roman" w:hAnsi="Times New Roman" w:cs="Times New Roman"/>
          <w:b/>
          <w:bCs/>
          <w:sz w:val="24"/>
          <w:szCs w:val="24"/>
        </w:rPr>
      </w:pPr>
    </w:p>
    <w:p w:rsidR="004A00AC" w:rsidRDefault="004A00AC" w:rsidP="003A3252">
      <w:pPr>
        <w:spacing w:before="100" w:beforeAutospacing="1" w:after="100" w:afterAutospacing="1" w:line="240" w:lineRule="auto"/>
        <w:rPr>
          <w:rFonts w:ascii="Times New Roman" w:eastAsia="Times New Roman" w:hAnsi="Times New Roman" w:cs="Times New Roman"/>
          <w:b/>
          <w:bCs/>
          <w:sz w:val="24"/>
          <w:szCs w:val="24"/>
        </w:rPr>
      </w:pPr>
    </w:p>
    <w:p w:rsidR="004A00AC" w:rsidRDefault="004A00AC" w:rsidP="003A3252">
      <w:pPr>
        <w:spacing w:before="100" w:beforeAutospacing="1" w:after="100" w:afterAutospacing="1" w:line="240" w:lineRule="auto"/>
        <w:rPr>
          <w:rFonts w:ascii="Times New Roman" w:eastAsia="Times New Roman" w:hAnsi="Times New Roman" w:cs="Times New Roman"/>
          <w:b/>
          <w:bCs/>
          <w:sz w:val="24"/>
          <w:szCs w:val="24"/>
        </w:rPr>
      </w:pPr>
    </w:p>
    <w:p w:rsidR="004A00AC" w:rsidRDefault="008735B5" w:rsidP="003A325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Fig 6</w:t>
      </w:r>
    </w:p>
    <w:p w:rsidR="004A00AC" w:rsidRDefault="004A00AC" w:rsidP="003A325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noProof/>
          <w:sz w:val="24"/>
          <w:szCs w:val="24"/>
        </w:rPr>
        <w:drawing>
          <wp:inline distT="0" distB="0" distL="0" distR="0">
            <wp:extent cx="5638494" cy="3666226"/>
            <wp:effectExtent l="19050" t="0" r="306"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srcRect/>
                    <a:stretch>
                      <a:fillRect/>
                    </a:stretch>
                  </pic:blipFill>
                  <pic:spPr bwMode="auto">
                    <a:xfrm>
                      <a:off x="0" y="0"/>
                      <a:ext cx="5640199" cy="3667335"/>
                    </a:xfrm>
                    <a:prstGeom prst="rect">
                      <a:avLst/>
                    </a:prstGeom>
                    <a:noFill/>
                    <a:ln w="9525">
                      <a:noFill/>
                      <a:miter lim="800000"/>
                      <a:headEnd/>
                      <a:tailEnd/>
                    </a:ln>
                  </pic:spPr>
                </pic:pic>
              </a:graphicData>
            </a:graphic>
          </wp:inline>
        </w:drawing>
      </w:r>
    </w:p>
    <w:p w:rsidR="004A00AC" w:rsidRDefault="008735B5" w:rsidP="003A325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Fig 7 </w:t>
      </w:r>
    </w:p>
    <w:p w:rsidR="004A00AC" w:rsidRDefault="004A00AC" w:rsidP="003A325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Pr>
          <w:rFonts w:ascii="Times New Roman" w:eastAsia="Times New Roman" w:hAnsi="Times New Roman" w:cs="Times New Roman"/>
          <w:b/>
          <w:bCs/>
          <w:noProof/>
          <w:sz w:val="24"/>
          <w:szCs w:val="24"/>
        </w:rPr>
        <w:drawing>
          <wp:inline distT="0" distB="0" distL="0" distR="0">
            <wp:extent cx="5270740" cy="2937761"/>
            <wp:effectExtent l="19050" t="0" r="61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srcRect/>
                    <a:stretch>
                      <a:fillRect/>
                    </a:stretch>
                  </pic:blipFill>
                  <pic:spPr bwMode="auto">
                    <a:xfrm>
                      <a:off x="0" y="0"/>
                      <a:ext cx="5272334" cy="2938649"/>
                    </a:xfrm>
                    <a:prstGeom prst="rect">
                      <a:avLst/>
                    </a:prstGeom>
                    <a:noFill/>
                    <a:ln w="9525">
                      <a:noFill/>
                      <a:miter lim="800000"/>
                      <a:headEnd/>
                      <a:tailEnd/>
                    </a:ln>
                  </pic:spPr>
                </pic:pic>
              </a:graphicData>
            </a:graphic>
          </wp:inline>
        </w:drawing>
      </w:r>
    </w:p>
    <w:p w:rsidR="004A00AC" w:rsidRDefault="004A00AC" w:rsidP="003A3252">
      <w:pPr>
        <w:spacing w:before="100" w:beforeAutospacing="1" w:after="100" w:afterAutospacing="1" w:line="240" w:lineRule="auto"/>
        <w:rPr>
          <w:rFonts w:ascii="Times New Roman" w:eastAsia="Times New Roman" w:hAnsi="Times New Roman" w:cs="Times New Roman"/>
          <w:b/>
          <w:bCs/>
          <w:sz w:val="24"/>
          <w:szCs w:val="24"/>
        </w:rPr>
      </w:pPr>
    </w:p>
    <w:p w:rsidR="004A00AC" w:rsidRDefault="008735B5" w:rsidP="003A325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Fig 8 </w:t>
      </w:r>
    </w:p>
    <w:p w:rsidR="004A00AC" w:rsidRDefault="004A00AC" w:rsidP="003A3252">
      <w:pPr>
        <w:spacing w:before="100" w:beforeAutospacing="1" w:after="100" w:afterAutospacing="1" w:line="240" w:lineRule="auto"/>
        <w:rPr>
          <w:rFonts w:ascii="Times New Roman" w:eastAsia="Times New Roman" w:hAnsi="Times New Roman" w:cs="Times New Roman"/>
          <w:b/>
          <w:bCs/>
          <w:sz w:val="24"/>
          <w:szCs w:val="24"/>
        </w:rPr>
      </w:pPr>
    </w:p>
    <w:p w:rsidR="004A00AC" w:rsidRDefault="004A00AC" w:rsidP="003A325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5934710" cy="3691890"/>
            <wp:effectExtent l="1905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5934710" cy="3691890"/>
                    </a:xfrm>
                    <a:prstGeom prst="rect">
                      <a:avLst/>
                    </a:prstGeom>
                    <a:noFill/>
                    <a:ln w="9525">
                      <a:noFill/>
                      <a:miter lim="800000"/>
                      <a:headEnd/>
                      <a:tailEnd/>
                    </a:ln>
                  </pic:spPr>
                </pic:pic>
              </a:graphicData>
            </a:graphic>
          </wp:inline>
        </w:drawing>
      </w:r>
    </w:p>
    <w:p w:rsidR="005B52C0" w:rsidRDefault="003A3252" w:rsidP="004A00AC">
      <w:pPr>
        <w:spacing w:line="360" w:lineRule="auto"/>
        <w:jc w:val="both"/>
        <w:rPr>
          <w:rFonts w:ascii="Times New Roman" w:hAnsi="Times New Roman" w:cs="Times New Roman"/>
          <w:b/>
          <w:sz w:val="24"/>
        </w:rPr>
      </w:pPr>
      <w:r w:rsidRPr="005177DC">
        <w:rPr>
          <w:rFonts w:ascii="Times New Roman" w:hAnsi="Times New Roman" w:cs="Times New Roman"/>
          <w:b/>
          <w:sz w:val="24"/>
        </w:rPr>
        <w:t xml:space="preserve">Conclusion </w:t>
      </w:r>
    </w:p>
    <w:p w:rsidR="003A3252" w:rsidRPr="004A00AC" w:rsidRDefault="003A3252" w:rsidP="004A00AC">
      <w:pPr>
        <w:spacing w:line="360" w:lineRule="auto"/>
        <w:jc w:val="both"/>
        <w:rPr>
          <w:rFonts w:ascii="Times New Roman" w:hAnsi="Times New Roman" w:cs="Times New Roman"/>
          <w:sz w:val="24"/>
        </w:rPr>
      </w:pPr>
      <w:bookmarkStart w:id="0" w:name="_GoBack"/>
      <w:bookmarkEnd w:id="0"/>
      <w:r w:rsidRPr="004A00AC">
        <w:rPr>
          <w:rFonts w:ascii="Times New Roman" w:hAnsi="Times New Roman" w:cs="Times New Roman"/>
          <w:sz w:val="24"/>
        </w:rPr>
        <w:lastRenderedPageBreak/>
        <w:t>This study demonstrates the potential of quinoxaline-based compounds as antiviral agents against emerging viruses. The synthesized derivatives exhibited low cytotoxicity and high antiviral activity, particularly against ZIKV and SARS-CoV-2. Derivative QX-7 emerged as a lead candidate, warranting further in vivo evaluation and optimization. These findings highlight the importance of quinoxaline scaffolds in antiviral drug development, offering a promising avenue for addressing global health challenges posed by emerging viral infections. This study concludes by describing the synthesis and biological assessment of several compounds based on quinoxaline as possible antiviral agents against newly emerging viruses. The findings offer important new information about the SAR of quinoxaline-based compounds and show the compounds' potential as antiviral agents.</w:t>
      </w:r>
    </w:p>
    <w:p w:rsidR="003A3252" w:rsidRDefault="003A3252" w:rsidP="004A00AC">
      <w:pPr>
        <w:spacing w:line="360" w:lineRule="auto"/>
        <w:jc w:val="both"/>
        <w:rPr>
          <w:rFonts w:ascii="Times New Roman" w:hAnsi="Times New Roman" w:cs="Times New Roman"/>
          <w:sz w:val="24"/>
        </w:rPr>
      </w:pPr>
      <w:r w:rsidRPr="004A00AC">
        <w:rPr>
          <w:rFonts w:ascii="Times New Roman" w:hAnsi="Times New Roman" w:cs="Times New Roman"/>
          <w:sz w:val="24"/>
        </w:rPr>
        <w:t>5. Future Directions Future work will focus on optimizing the pharmacokinetic properties of lead compounds and exploring their efficacy in animal models. Additionally, the antiviral activity of these compounds against a broader range of viruses will be investigated to assess their potential as broad-spectrum agents.</w:t>
      </w:r>
    </w:p>
    <w:p w:rsidR="002A61C0" w:rsidRDefault="002A61C0" w:rsidP="004A00AC">
      <w:pPr>
        <w:spacing w:line="360" w:lineRule="auto"/>
        <w:jc w:val="both"/>
        <w:rPr>
          <w:rFonts w:ascii="Times New Roman" w:hAnsi="Times New Roman" w:cs="Times New Roman"/>
          <w:sz w:val="24"/>
        </w:rPr>
      </w:pPr>
    </w:p>
    <w:p w:rsidR="002A61C0" w:rsidRPr="002A61C0" w:rsidRDefault="002A61C0" w:rsidP="002A61C0">
      <w:pPr>
        <w:spacing w:line="360" w:lineRule="auto"/>
        <w:jc w:val="both"/>
        <w:rPr>
          <w:rFonts w:ascii="Times New Roman" w:hAnsi="Times New Roman" w:cs="Times New Roman"/>
          <w:sz w:val="24"/>
          <w:highlight w:val="yellow"/>
        </w:rPr>
      </w:pPr>
      <w:r w:rsidRPr="002A61C0">
        <w:rPr>
          <w:rFonts w:ascii="Times New Roman" w:hAnsi="Times New Roman" w:cs="Times New Roman"/>
          <w:sz w:val="24"/>
          <w:highlight w:val="yellow"/>
        </w:rPr>
        <w:t>Disclaimer (Artificial intelligence)</w:t>
      </w:r>
    </w:p>
    <w:p w:rsidR="002A61C0" w:rsidRPr="002A61C0" w:rsidRDefault="002A61C0" w:rsidP="002A61C0">
      <w:pPr>
        <w:spacing w:line="360" w:lineRule="auto"/>
        <w:jc w:val="both"/>
        <w:rPr>
          <w:rFonts w:ascii="Times New Roman" w:hAnsi="Times New Roman" w:cs="Times New Roman"/>
          <w:sz w:val="24"/>
          <w:highlight w:val="yellow"/>
        </w:rPr>
      </w:pPr>
    </w:p>
    <w:p w:rsidR="002A61C0" w:rsidRPr="002A61C0" w:rsidRDefault="002A61C0" w:rsidP="002A61C0">
      <w:pPr>
        <w:spacing w:line="360" w:lineRule="auto"/>
        <w:jc w:val="both"/>
        <w:rPr>
          <w:rFonts w:ascii="Times New Roman" w:hAnsi="Times New Roman" w:cs="Times New Roman"/>
          <w:sz w:val="24"/>
          <w:highlight w:val="yellow"/>
        </w:rPr>
      </w:pPr>
      <w:r w:rsidRPr="002A61C0">
        <w:rPr>
          <w:rFonts w:ascii="Times New Roman" w:hAnsi="Times New Roman" w:cs="Times New Roman"/>
          <w:sz w:val="24"/>
          <w:highlight w:val="yellow"/>
        </w:rPr>
        <w:t xml:space="preserve">Option 1: </w:t>
      </w:r>
    </w:p>
    <w:p w:rsidR="002A61C0" w:rsidRPr="002A61C0" w:rsidRDefault="002A61C0" w:rsidP="002A61C0">
      <w:pPr>
        <w:spacing w:line="360" w:lineRule="auto"/>
        <w:jc w:val="both"/>
        <w:rPr>
          <w:rFonts w:ascii="Times New Roman" w:hAnsi="Times New Roman" w:cs="Times New Roman"/>
          <w:sz w:val="24"/>
          <w:highlight w:val="yellow"/>
        </w:rPr>
      </w:pPr>
    </w:p>
    <w:p w:rsidR="002A61C0" w:rsidRPr="002A61C0" w:rsidRDefault="002A61C0" w:rsidP="002A61C0">
      <w:pPr>
        <w:spacing w:line="360" w:lineRule="auto"/>
        <w:jc w:val="both"/>
        <w:rPr>
          <w:rFonts w:ascii="Times New Roman" w:hAnsi="Times New Roman" w:cs="Times New Roman"/>
          <w:sz w:val="24"/>
          <w:highlight w:val="yellow"/>
        </w:rPr>
      </w:pPr>
      <w:r w:rsidRPr="002A61C0">
        <w:rPr>
          <w:rFonts w:ascii="Times New Roman" w:hAnsi="Times New Roman" w:cs="Times New Roman"/>
          <w:sz w:val="24"/>
          <w:highlight w:val="yellow"/>
        </w:rPr>
        <w:t xml:space="preserve">Author(s) hereby declare that NO generative AI technologies such as Large Language Models (ChatGPT, COPILOT, etc.) and text-to-image generators have been used during the writing or editing of this manuscript. </w:t>
      </w:r>
    </w:p>
    <w:p w:rsidR="002A61C0" w:rsidRPr="002A61C0" w:rsidRDefault="002A61C0" w:rsidP="002A61C0">
      <w:pPr>
        <w:spacing w:line="360" w:lineRule="auto"/>
        <w:jc w:val="both"/>
        <w:rPr>
          <w:rFonts w:ascii="Times New Roman" w:hAnsi="Times New Roman" w:cs="Times New Roman"/>
          <w:sz w:val="24"/>
          <w:highlight w:val="yellow"/>
        </w:rPr>
      </w:pPr>
    </w:p>
    <w:p w:rsidR="002A61C0" w:rsidRPr="002A61C0" w:rsidRDefault="002A61C0" w:rsidP="002A61C0">
      <w:pPr>
        <w:spacing w:line="360" w:lineRule="auto"/>
        <w:jc w:val="both"/>
        <w:rPr>
          <w:rFonts w:ascii="Times New Roman" w:hAnsi="Times New Roman" w:cs="Times New Roman"/>
          <w:sz w:val="24"/>
          <w:highlight w:val="yellow"/>
        </w:rPr>
      </w:pPr>
      <w:r w:rsidRPr="002A61C0">
        <w:rPr>
          <w:rFonts w:ascii="Times New Roman" w:hAnsi="Times New Roman" w:cs="Times New Roman"/>
          <w:sz w:val="24"/>
          <w:highlight w:val="yellow"/>
        </w:rPr>
        <w:t xml:space="preserve">Option 2: </w:t>
      </w:r>
    </w:p>
    <w:p w:rsidR="002A61C0" w:rsidRPr="002A61C0" w:rsidRDefault="002A61C0" w:rsidP="002A61C0">
      <w:pPr>
        <w:spacing w:line="360" w:lineRule="auto"/>
        <w:jc w:val="both"/>
        <w:rPr>
          <w:rFonts w:ascii="Times New Roman" w:hAnsi="Times New Roman" w:cs="Times New Roman"/>
          <w:sz w:val="24"/>
          <w:highlight w:val="yellow"/>
        </w:rPr>
      </w:pPr>
    </w:p>
    <w:p w:rsidR="002A61C0" w:rsidRPr="002A61C0" w:rsidRDefault="002A61C0" w:rsidP="002A61C0">
      <w:pPr>
        <w:spacing w:line="360" w:lineRule="auto"/>
        <w:jc w:val="both"/>
        <w:rPr>
          <w:rFonts w:ascii="Times New Roman" w:hAnsi="Times New Roman" w:cs="Times New Roman"/>
          <w:sz w:val="24"/>
          <w:highlight w:val="yellow"/>
        </w:rPr>
      </w:pPr>
      <w:r w:rsidRPr="002A61C0">
        <w:rPr>
          <w:rFonts w:ascii="Times New Roman" w:hAnsi="Times New Roman" w:cs="Times New Roman"/>
          <w:sz w:val="24"/>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2A61C0" w:rsidRPr="002A61C0" w:rsidRDefault="002A61C0" w:rsidP="002A61C0">
      <w:pPr>
        <w:spacing w:line="360" w:lineRule="auto"/>
        <w:jc w:val="both"/>
        <w:rPr>
          <w:rFonts w:ascii="Times New Roman" w:hAnsi="Times New Roman" w:cs="Times New Roman"/>
          <w:sz w:val="24"/>
          <w:highlight w:val="yellow"/>
        </w:rPr>
      </w:pPr>
    </w:p>
    <w:p w:rsidR="002A61C0" w:rsidRPr="002A61C0" w:rsidRDefault="002A61C0" w:rsidP="002A61C0">
      <w:pPr>
        <w:spacing w:line="360" w:lineRule="auto"/>
        <w:jc w:val="both"/>
        <w:rPr>
          <w:rFonts w:ascii="Times New Roman" w:hAnsi="Times New Roman" w:cs="Times New Roman"/>
          <w:sz w:val="24"/>
          <w:highlight w:val="yellow"/>
        </w:rPr>
      </w:pPr>
      <w:r w:rsidRPr="002A61C0">
        <w:rPr>
          <w:rFonts w:ascii="Times New Roman" w:hAnsi="Times New Roman" w:cs="Times New Roman"/>
          <w:sz w:val="24"/>
          <w:highlight w:val="yellow"/>
        </w:rPr>
        <w:t>Details of the AI usage are given below:</w:t>
      </w:r>
    </w:p>
    <w:p w:rsidR="002A61C0" w:rsidRPr="002A61C0" w:rsidRDefault="002A61C0" w:rsidP="002A61C0">
      <w:pPr>
        <w:spacing w:line="360" w:lineRule="auto"/>
        <w:jc w:val="both"/>
        <w:rPr>
          <w:rFonts w:ascii="Times New Roman" w:hAnsi="Times New Roman" w:cs="Times New Roman"/>
          <w:sz w:val="24"/>
          <w:highlight w:val="yellow"/>
        </w:rPr>
      </w:pPr>
      <w:r w:rsidRPr="002A61C0">
        <w:rPr>
          <w:rFonts w:ascii="Times New Roman" w:hAnsi="Times New Roman" w:cs="Times New Roman"/>
          <w:sz w:val="24"/>
          <w:highlight w:val="yellow"/>
        </w:rPr>
        <w:t>1.</w:t>
      </w:r>
    </w:p>
    <w:p w:rsidR="002A61C0" w:rsidRPr="002A61C0" w:rsidRDefault="002A61C0" w:rsidP="002A61C0">
      <w:pPr>
        <w:spacing w:line="360" w:lineRule="auto"/>
        <w:jc w:val="both"/>
        <w:rPr>
          <w:rFonts w:ascii="Times New Roman" w:hAnsi="Times New Roman" w:cs="Times New Roman"/>
          <w:sz w:val="24"/>
          <w:highlight w:val="yellow"/>
        </w:rPr>
      </w:pPr>
      <w:r w:rsidRPr="002A61C0">
        <w:rPr>
          <w:rFonts w:ascii="Times New Roman" w:hAnsi="Times New Roman" w:cs="Times New Roman"/>
          <w:sz w:val="24"/>
          <w:highlight w:val="yellow"/>
        </w:rPr>
        <w:t>2.</w:t>
      </w:r>
    </w:p>
    <w:p w:rsidR="002A61C0" w:rsidRPr="004A00AC" w:rsidRDefault="002A61C0" w:rsidP="002A61C0">
      <w:pPr>
        <w:spacing w:line="360" w:lineRule="auto"/>
        <w:jc w:val="both"/>
        <w:rPr>
          <w:rFonts w:ascii="Times New Roman" w:hAnsi="Times New Roman" w:cs="Times New Roman"/>
          <w:sz w:val="24"/>
        </w:rPr>
      </w:pPr>
      <w:r w:rsidRPr="002A61C0">
        <w:rPr>
          <w:rFonts w:ascii="Times New Roman" w:hAnsi="Times New Roman" w:cs="Times New Roman"/>
          <w:sz w:val="24"/>
          <w:highlight w:val="yellow"/>
        </w:rPr>
        <w:t>3.</w:t>
      </w:r>
    </w:p>
    <w:p w:rsidR="003A3252" w:rsidRDefault="004A00AC" w:rsidP="004A00AC">
      <w:pPr>
        <w:spacing w:line="360" w:lineRule="auto"/>
        <w:jc w:val="both"/>
        <w:rPr>
          <w:rFonts w:ascii="Times New Roman" w:hAnsi="Times New Roman" w:cs="Times New Roman"/>
          <w:sz w:val="24"/>
          <w:szCs w:val="24"/>
        </w:rPr>
      </w:pPr>
      <w:r>
        <w:rPr>
          <w:rFonts w:ascii="Times New Roman" w:hAnsi="Times New Roman" w:cs="Times New Roman"/>
          <w:sz w:val="24"/>
          <w:szCs w:val="24"/>
        </w:rPr>
        <w:t>References :</w:t>
      </w:r>
    </w:p>
    <w:p w:rsidR="004A00AC" w:rsidRPr="004A00AC" w:rsidRDefault="004A00AC" w:rsidP="004A00AC">
      <w:pPr>
        <w:spacing w:line="360" w:lineRule="auto"/>
        <w:jc w:val="both"/>
        <w:rPr>
          <w:rFonts w:ascii="Times New Roman" w:hAnsi="Times New Roman" w:cs="Times New Roman"/>
          <w:sz w:val="24"/>
          <w:szCs w:val="24"/>
        </w:rPr>
      </w:pP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Irfan, A.; Sabeeh, I.; Umer, M.; Naqvi, A.Z.; Fatima, H.; Yousaf, S.; Fatima, Z. A review on the therapeutic potential of quinoxaline derivatives. </w:t>
      </w:r>
      <w:r w:rsidRPr="004A00AC">
        <w:rPr>
          <w:rStyle w:val="html-italic"/>
          <w:rFonts w:ascii="Times New Roman" w:hAnsi="Times New Roman" w:cs="Times New Roman"/>
          <w:i/>
          <w:iCs/>
          <w:color w:val="222222"/>
          <w:sz w:val="24"/>
          <w:szCs w:val="24"/>
        </w:rPr>
        <w:t>World J. Pharm. Res.</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2017</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6</w:t>
      </w:r>
      <w:r w:rsidRPr="004A00AC">
        <w:rPr>
          <w:rFonts w:ascii="Times New Roman" w:hAnsi="Times New Roman" w:cs="Times New Roman"/>
          <w:color w:val="222222"/>
          <w:sz w:val="24"/>
          <w:szCs w:val="24"/>
        </w:rPr>
        <w:t>, 47–68. [</w:t>
      </w:r>
      <w:hyperlink r:id="rId17"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hyperlink r:id="rId18" w:tgtFrame="_blank" w:history="1">
        <w:r w:rsidRPr="004A00AC">
          <w:rPr>
            <w:rStyle w:val="Hyperlink"/>
            <w:rFonts w:ascii="Times New Roman" w:hAnsi="Times New Roman" w:cs="Times New Roman"/>
            <w:b/>
            <w:bCs/>
            <w:color w:val="4F5671"/>
            <w:sz w:val="24"/>
            <w:szCs w:val="24"/>
          </w:rPr>
          <w:t>CrossRef</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Cheeseman, G.W.H.; Cookson, R.F. </w:t>
      </w:r>
      <w:r w:rsidRPr="004A00AC">
        <w:rPr>
          <w:rStyle w:val="html-italic"/>
          <w:rFonts w:ascii="Times New Roman" w:hAnsi="Times New Roman" w:cs="Times New Roman"/>
          <w:i/>
          <w:iCs/>
          <w:color w:val="222222"/>
          <w:sz w:val="24"/>
          <w:szCs w:val="24"/>
        </w:rPr>
        <w:t>Chemistry of Heterocyclic Compounds</w:t>
      </w:r>
      <w:r w:rsidRPr="004A00AC">
        <w:rPr>
          <w:rFonts w:ascii="Times New Roman" w:hAnsi="Times New Roman" w:cs="Times New Roman"/>
          <w:color w:val="222222"/>
          <w:sz w:val="24"/>
          <w:szCs w:val="24"/>
        </w:rPr>
        <w:t>; Wiley-Interscience: Hoboken, NJ, USA, 1979; Volume 35. [</w:t>
      </w:r>
      <w:hyperlink r:id="rId19"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Pereira, J.A.; Pessoa, A.S.M.; Cordeiro, M.N.D.S.; Fernandes, R.; Prudêncio, C.; Noronha, J.P.; Vieira, M. Quinoxaline, its derivatives and applications: A state of the art review. </w:t>
      </w:r>
      <w:r w:rsidRPr="004A00AC">
        <w:rPr>
          <w:rStyle w:val="html-italic"/>
          <w:rFonts w:ascii="Times New Roman" w:hAnsi="Times New Roman" w:cs="Times New Roman"/>
          <w:i/>
          <w:iCs/>
          <w:color w:val="222222"/>
          <w:sz w:val="24"/>
          <w:szCs w:val="24"/>
        </w:rPr>
        <w:t>Eur. J. Med. Chem.</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2015</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97</w:t>
      </w:r>
      <w:r w:rsidRPr="004A00AC">
        <w:rPr>
          <w:rFonts w:ascii="Times New Roman" w:hAnsi="Times New Roman" w:cs="Times New Roman"/>
          <w:color w:val="222222"/>
          <w:sz w:val="24"/>
          <w:szCs w:val="24"/>
        </w:rPr>
        <w:t>, 664–672. [</w:t>
      </w:r>
      <w:hyperlink r:id="rId20"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hyperlink r:id="rId21" w:tgtFrame="_blank" w:history="1">
        <w:r w:rsidRPr="004A00AC">
          <w:rPr>
            <w:rStyle w:val="Hyperlink"/>
            <w:rFonts w:ascii="Times New Roman" w:hAnsi="Times New Roman" w:cs="Times New Roman"/>
            <w:b/>
            <w:bCs/>
            <w:color w:val="4F5671"/>
            <w:sz w:val="24"/>
            <w:szCs w:val="24"/>
          </w:rPr>
          <w:t>CrossRef</w:t>
        </w:r>
      </w:hyperlink>
      <w:r w:rsidRPr="004A00AC">
        <w:rPr>
          <w:rFonts w:ascii="Times New Roman" w:hAnsi="Times New Roman" w:cs="Times New Roman"/>
          <w:color w:val="222222"/>
          <w:sz w:val="24"/>
          <w:szCs w:val="24"/>
        </w:rPr>
        <w:t>] [</w:t>
      </w:r>
      <w:hyperlink r:id="rId22" w:tgtFrame="_blank" w:history="1">
        <w:r w:rsidRPr="004A00AC">
          <w:rPr>
            <w:rStyle w:val="Hyperlink"/>
            <w:rFonts w:ascii="Times New Roman" w:hAnsi="Times New Roman" w:cs="Times New Roman"/>
            <w:b/>
            <w:bCs/>
            <w:color w:val="4F5671"/>
            <w:sz w:val="24"/>
            <w:szCs w:val="24"/>
          </w:rPr>
          <w:t>PubMed</w:t>
        </w:r>
      </w:hyperlink>
      <w:r w:rsidRPr="004A00AC">
        <w:rPr>
          <w:rFonts w:ascii="Times New Roman" w:hAnsi="Times New Roman" w:cs="Times New Roman"/>
          <w:color w:val="222222"/>
          <w:sz w:val="24"/>
          <w:szCs w:val="24"/>
        </w:rPr>
        <w:t>] [</w:t>
      </w:r>
      <w:hyperlink r:id="rId23" w:tgtFrame="_blank" w:history="1">
        <w:r w:rsidRPr="004A00AC">
          <w:rPr>
            <w:rStyle w:val="Hyperlink"/>
            <w:rFonts w:ascii="Times New Roman" w:hAnsi="Times New Roman" w:cs="Times New Roman"/>
            <w:b/>
            <w:bCs/>
            <w:color w:val="4F5671"/>
            <w:sz w:val="24"/>
            <w:szCs w:val="24"/>
          </w:rPr>
          <w:t>Green Version</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Niknam, K.; Saberi, D.; Mohagheghnejad, M. Silica bonded S-sulfonic acid: A recyclable catalyst for the synthesis of quinoxalines at room temperature. </w:t>
      </w:r>
      <w:r w:rsidRPr="004A00AC">
        <w:rPr>
          <w:rStyle w:val="html-italic"/>
          <w:rFonts w:ascii="Times New Roman" w:hAnsi="Times New Roman" w:cs="Times New Roman"/>
          <w:i/>
          <w:iCs/>
          <w:color w:val="222222"/>
          <w:sz w:val="24"/>
          <w:szCs w:val="24"/>
        </w:rPr>
        <w:t>Molecules</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2009</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14</w:t>
      </w:r>
      <w:r w:rsidRPr="004A00AC">
        <w:rPr>
          <w:rFonts w:ascii="Times New Roman" w:hAnsi="Times New Roman" w:cs="Times New Roman"/>
          <w:color w:val="222222"/>
          <w:sz w:val="24"/>
          <w:szCs w:val="24"/>
        </w:rPr>
        <w:t>, 1915–1926. [</w:t>
      </w:r>
      <w:hyperlink r:id="rId24"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hyperlink r:id="rId25" w:tgtFrame="_blank" w:history="1">
        <w:r w:rsidRPr="004A00AC">
          <w:rPr>
            <w:rStyle w:val="Hyperlink"/>
            <w:rFonts w:ascii="Times New Roman" w:hAnsi="Times New Roman" w:cs="Times New Roman"/>
            <w:b/>
            <w:bCs/>
            <w:color w:val="4F5671"/>
            <w:sz w:val="24"/>
            <w:szCs w:val="24"/>
          </w:rPr>
          <w:t>CrossRef</w:t>
        </w:r>
      </w:hyperlink>
      <w:r w:rsidRPr="004A00AC">
        <w:rPr>
          <w:rFonts w:ascii="Times New Roman" w:hAnsi="Times New Roman" w:cs="Times New Roman"/>
          <w:color w:val="222222"/>
          <w:sz w:val="24"/>
          <w:szCs w:val="24"/>
        </w:rPr>
        <w:t>] [</w:t>
      </w:r>
      <w:hyperlink r:id="rId26" w:tgtFrame="_blank" w:history="1">
        <w:r w:rsidRPr="004A00AC">
          <w:rPr>
            <w:rStyle w:val="Hyperlink"/>
            <w:rFonts w:ascii="Times New Roman" w:hAnsi="Times New Roman" w:cs="Times New Roman"/>
            <w:b/>
            <w:bCs/>
            <w:color w:val="4F5671"/>
            <w:sz w:val="24"/>
            <w:szCs w:val="24"/>
          </w:rPr>
          <w:t>Green Version</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Thakuria, H.; Das, G. One-pot efficient green synthesis of 1,4-dihydro-quinoxaline-2,3-dione derivatives. </w:t>
      </w:r>
      <w:r w:rsidRPr="004A00AC">
        <w:rPr>
          <w:rStyle w:val="html-italic"/>
          <w:rFonts w:ascii="Times New Roman" w:hAnsi="Times New Roman" w:cs="Times New Roman"/>
          <w:i/>
          <w:iCs/>
          <w:color w:val="222222"/>
          <w:sz w:val="24"/>
          <w:szCs w:val="24"/>
        </w:rPr>
        <w:t>J. Chem. Sci.</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2006</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118</w:t>
      </w:r>
      <w:r w:rsidRPr="004A00AC">
        <w:rPr>
          <w:rFonts w:ascii="Times New Roman" w:hAnsi="Times New Roman" w:cs="Times New Roman"/>
          <w:color w:val="222222"/>
          <w:sz w:val="24"/>
          <w:szCs w:val="24"/>
        </w:rPr>
        <w:t>, 425–428. [</w:t>
      </w:r>
      <w:hyperlink r:id="rId27"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hyperlink r:id="rId28" w:tgtFrame="_blank" w:history="1">
        <w:r w:rsidRPr="004A00AC">
          <w:rPr>
            <w:rStyle w:val="Hyperlink"/>
            <w:rFonts w:ascii="Times New Roman" w:hAnsi="Times New Roman" w:cs="Times New Roman"/>
            <w:b/>
            <w:bCs/>
            <w:color w:val="4F5671"/>
            <w:sz w:val="24"/>
            <w:szCs w:val="24"/>
          </w:rPr>
          <w:t>CrossRef</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da Costa, C.F.; Nora de Souza, M.V.; Brandao Gomes, C.R.; Facchinetti, V. Microwave-Assisted Synthesis of Quinoxalines-A Review. </w:t>
      </w:r>
      <w:r w:rsidRPr="004A00AC">
        <w:rPr>
          <w:rStyle w:val="html-italic"/>
          <w:rFonts w:ascii="Times New Roman" w:hAnsi="Times New Roman" w:cs="Times New Roman"/>
          <w:i/>
          <w:iCs/>
          <w:color w:val="222222"/>
          <w:sz w:val="24"/>
          <w:szCs w:val="24"/>
        </w:rPr>
        <w:t>Curr. Microwave Chem.</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2017</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4</w:t>
      </w:r>
      <w:r w:rsidRPr="004A00AC">
        <w:rPr>
          <w:rFonts w:ascii="Times New Roman" w:hAnsi="Times New Roman" w:cs="Times New Roman"/>
          <w:color w:val="222222"/>
          <w:sz w:val="24"/>
          <w:szCs w:val="24"/>
        </w:rPr>
        <w:t>, 277–286. [</w:t>
      </w:r>
      <w:hyperlink r:id="rId29"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hyperlink r:id="rId30" w:tgtFrame="_blank" w:history="1">
        <w:r w:rsidRPr="004A00AC">
          <w:rPr>
            <w:rStyle w:val="Hyperlink"/>
            <w:rFonts w:ascii="Times New Roman" w:hAnsi="Times New Roman" w:cs="Times New Roman"/>
            <w:b/>
            <w:bCs/>
            <w:color w:val="4F5671"/>
            <w:sz w:val="24"/>
            <w:szCs w:val="24"/>
          </w:rPr>
          <w:t>CrossRef</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lastRenderedPageBreak/>
        <w:t>Rostamizadeh, S.; Jafari, S. The synthesis of quinoxalines under microwave irradiation. </w:t>
      </w:r>
      <w:r w:rsidRPr="004A00AC">
        <w:rPr>
          <w:rStyle w:val="html-italic"/>
          <w:rFonts w:ascii="Times New Roman" w:hAnsi="Times New Roman" w:cs="Times New Roman"/>
          <w:i/>
          <w:iCs/>
          <w:color w:val="222222"/>
          <w:sz w:val="24"/>
          <w:szCs w:val="24"/>
        </w:rPr>
        <w:t>Indian J. Heterocycl. Chem.</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2001</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10</w:t>
      </w:r>
      <w:r w:rsidRPr="004A00AC">
        <w:rPr>
          <w:rFonts w:ascii="Times New Roman" w:hAnsi="Times New Roman" w:cs="Times New Roman"/>
          <w:color w:val="222222"/>
          <w:sz w:val="24"/>
          <w:szCs w:val="24"/>
        </w:rPr>
        <w:t>, 303–304. [</w:t>
      </w:r>
      <w:hyperlink r:id="rId31"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Arde, S.M.; Patil, A.D.; Mane, A.H.; Salokhe, P.R.; Salunkhe, R.S. Synthesis of quinoxaline, benzimidazole and pyrazole derivatives under the catalytic influence of biosurfactant-stabilized iron nanoparticles in water. </w:t>
      </w:r>
      <w:r w:rsidRPr="004A00AC">
        <w:rPr>
          <w:rStyle w:val="html-italic"/>
          <w:rFonts w:ascii="Times New Roman" w:hAnsi="Times New Roman" w:cs="Times New Roman"/>
          <w:i/>
          <w:iCs/>
          <w:color w:val="222222"/>
          <w:sz w:val="24"/>
          <w:szCs w:val="24"/>
        </w:rPr>
        <w:t>Res. Chem. Intermed.</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2020</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46</w:t>
      </w:r>
      <w:r w:rsidRPr="004A00AC">
        <w:rPr>
          <w:rFonts w:ascii="Times New Roman" w:hAnsi="Times New Roman" w:cs="Times New Roman"/>
          <w:color w:val="222222"/>
          <w:sz w:val="24"/>
          <w:szCs w:val="24"/>
        </w:rPr>
        <w:t>, 5069–5086. [</w:t>
      </w:r>
      <w:hyperlink r:id="rId32"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hyperlink r:id="rId33" w:tgtFrame="_blank" w:history="1">
        <w:r w:rsidRPr="004A00AC">
          <w:rPr>
            <w:rStyle w:val="Hyperlink"/>
            <w:rFonts w:ascii="Times New Roman" w:hAnsi="Times New Roman" w:cs="Times New Roman"/>
            <w:b/>
            <w:bCs/>
            <w:color w:val="4F5671"/>
            <w:sz w:val="24"/>
            <w:szCs w:val="24"/>
          </w:rPr>
          <w:t>CrossRef</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Abu-Hashem, A.A.; Gouda, M.A.; Badria, F.A. synthesis of some new pyrimido [2′, 1′: 2, 3] thiazolo [4, 5-b] quinoxaline derivatives as anti-inflammatory and analgesic agents. </w:t>
      </w:r>
      <w:r w:rsidRPr="004A00AC">
        <w:rPr>
          <w:rStyle w:val="html-italic"/>
          <w:rFonts w:ascii="Times New Roman" w:hAnsi="Times New Roman" w:cs="Times New Roman"/>
          <w:i/>
          <w:iCs/>
          <w:color w:val="222222"/>
          <w:sz w:val="24"/>
          <w:szCs w:val="24"/>
        </w:rPr>
        <w:t>Eur. J. Med. Chem.</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2010</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45</w:t>
      </w:r>
      <w:r w:rsidRPr="004A00AC">
        <w:rPr>
          <w:rFonts w:ascii="Times New Roman" w:hAnsi="Times New Roman" w:cs="Times New Roman"/>
          <w:color w:val="222222"/>
          <w:sz w:val="24"/>
          <w:szCs w:val="24"/>
        </w:rPr>
        <w:t>, 1976–1981. [</w:t>
      </w:r>
      <w:hyperlink r:id="rId34"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hyperlink r:id="rId35" w:tgtFrame="_blank" w:history="1">
        <w:r w:rsidRPr="004A00AC">
          <w:rPr>
            <w:rStyle w:val="Hyperlink"/>
            <w:rFonts w:ascii="Times New Roman" w:hAnsi="Times New Roman" w:cs="Times New Roman"/>
            <w:b/>
            <w:bCs/>
            <w:color w:val="4F5671"/>
            <w:sz w:val="24"/>
            <w:szCs w:val="24"/>
          </w:rPr>
          <w:t>CrossRef</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Barea, C.; Pabón, A.; Galiano, S.; Pérez-Silanes, S.; González, G.; Deyssard, C.; Monge, A.; Deharo, E.; Aldana, I. Antiplasmodial and leishmanicidal activities of 2-cyano-3-(4-phenylpiperazine-1-carboxamido) quinoxaline 1,4-dioxide derivatives. </w:t>
      </w:r>
      <w:r w:rsidRPr="004A00AC">
        <w:rPr>
          <w:rStyle w:val="html-italic"/>
          <w:rFonts w:ascii="Times New Roman" w:hAnsi="Times New Roman" w:cs="Times New Roman"/>
          <w:i/>
          <w:iCs/>
          <w:color w:val="222222"/>
          <w:sz w:val="24"/>
          <w:szCs w:val="24"/>
        </w:rPr>
        <w:t>Molecules</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2012</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17</w:t>
      </w:r>
      <w:r w:rsidRPr="004A00AC">
        <w:rPr>
          <w:rFonts w:ascii="Times New Roman" w:hAnsi="Times New Roman" w:cs="Times New Roman"/>
          <w:color w:val="222222"/>
          <w:sz w:val="24"/>
          <w:szCs w:val="24"/>
        </w:rPr>
        <w:t>, 9451–9461. [</w:t>
      </w:r>
      <w:hyperlink r:id="rId36"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hyperlink r:id="rId37" w:tgtFrame="_blank" w:history="1">
        <w:r w:rsidRPr="004A00AC">
          <w:rPr>
            <w:rStyle w:val="Hyperlink"/>
            <w:rFonts w:ascii="Times New Roman" w:hAnsi="Times New Roman" w:cs="Times New Roman"/>
            <w:b/>
            <w:bCs/>
            <w:color w:val="4F5671"/>
            <w:sz w:val="24"/>
            <w:szCs w:val="24"/>
          </w:rPr>
          <w:t>CrossRef</w:t>
        </w:r>
      </w:hyperlink>
      <w:r w:rsidRPr="004A00AC">
        <w:rPr>
          <w:rFonts w:ascii="Times New Roman" w:hAnsi="Times New Roman" w:cs="Times New Roman"/>
          <w:color w:val="222222"/>
          <w:sz w:val="24"/>
          <w:szCs w:val="24"/>
        </w:rPr>
        <w:t>] [</w:t>
      </w:r>
      <w:hyperlink r:id="rId38" w:tgtFrame="_blank" w:history="1">
        <w:r w:rsidRPr="004A00AC">
          <w:rPr>
            <w:rStyle w:val="Hyperlink"/>
            <w:rFonts w:ascii="Times New Roman" w:hAnsi="Times New Roman" w:cs="Times New Roman"/>
            <w:b/>
            <w:bCs/>
            <w:color w:val="4F5671"/>
            <w:sz w:val="24"/>
            <w:szCs w:val="24"/>
          </w:rPr>
          <w:t>Green Version</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Sarges, R.; Howard, H.R.; Browne, R.G.; Lebel, L.A.; Seymour, P.A.; Koe, B.K. 4-Amino[1,2,4]triazolo[4,3-a]quinoxalines. A novel class of potent adenosine receptor antagonists and potential rapid-onset antidepressants. </w:t>
      </w:r>
      <w:r w:rsidRPr="004A00AC">
        <w:rPr>
          <w:rStyle w:val="html-italic"/>
          <w:rFonts w:ascii="Times New Roman" w:hAnsi="Times New Roman" w:cs="Times New Roman"/>
          <w:i/>
          <w:iCs/>
          <w:color w:val="222222"/>
          <w:sz w:val="24"/>
          <w:szCs w:val="24"/>
        </w:rPr>
        <w:t>J. Med. Chem.</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1990</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33</w:t>
      </w:r>
      <w:r w:rsidRPr="004A00AC">
        <w:rPr>
          <w:rFonts w:ascii="Times New Roman" w:hAnsi="Times New Roman" w:cs="Times New Roman"/>
          <w:color w:val="222222"/>
          <w:sz w:val="24"/>
          <w:szCs w:val="24"/>
        </w:rPr>
        <w:t>, 2240–2254. [</w:t>
      </w:r>
      <w:hyperlink r:id="rId39"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hyperlink r:id="rId40" w:tgtFrame="_blank" w:history="1">
        <w:r w:rsidRPr="004A00AC">
          <w:rPr>
            <w:rStyle w:val="Hyperlink"/>
            <w:rFonts w:ascii="Times New Roman" w:hAnsi="Times New Roman" w:cs="Times New Roman"/>
            <w:b/>
            <w:bCs/>
            <w:color w:val="4F5671"/>
            <w:sz w:val="24"/>
            <w:szCs w:val="24"/>
          </w:rPr>
          <w:t>CrossRef</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Montana, M.; Montero, V.; Khoumeri, O.; Vanelle, P. Quinoxaline derivatives as antiviral agents: A systematic review. </w:t>
      </w:r>
      <w:r w:rsidRPr="004A00AC">
        <w:rPr>
          <w:rStyle w:val="html-italic"/>
          <w:rFonts w:ascii="Times New Roman" w:hAnsi="Times New Roman" w:cs="Times New Roman"/>
          <w:i/>
          <w:iCs/>
          <w:color w:val="222222"/>
          <w:sz w:val="24"/>
          <w:szCs w:val="24"/>
        </w:rPr>
        <w:t>Molecules</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2020</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25</w:t>
      </w:r>
      <w:r w:rsidRPr="004A00AC">
        <w:rPr>
          <w:rFonts w:ascii="Times New Roman" w:hAnsi="Times New Roman" w:cs="Times New Roman"/>
          <w:color w:val="222222"/>
          <w:sz w:val="24"/>
          <w:szCs w:val="24"/>
        </w:rPr>
        <w:t>, 2784. [</w:t>
      </w:r>
      <w:hyperlink r:id="rId41"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hyperlink r:id="rId42" w:tgtFrame="_blank" w:history="1">
        <w:r w:rsidRPr="004A00AC">
          <w:rPr>
            <w:rStyle w:val="Hyperlink"/>
            <w:rFonts w:ascii="Times New Roman" w:hAnsi="Times New Roman" w:cs="Times New Roman"/>
            <w:b/>
            <w:bCs/>
            <w:color w:val="4F5671"/>
            <w:sz w:val="24"/>
            <w:szCs w:val="24"/>
          </w:rPr>
          <w:t>CrossRef</w:t>
        </w:r>
      </w:hyperlink>
      <w:r w:rsidRPr="004A00AC">
        <w:rPr>
          <w:rFonts w:ascii="Times New Roman" w:hAnsi="Times New Roman" w:cs="Times New Roman"/>
          <w:color w:val="222222"/>
          <w:sz w:val="24"/>
          <w:szCs w:val="24"/>
        </w:rPr>
        <w:t>] [</w:t>
      </w:r>
      <w:hyperlink r:id="rId43" w:tgtFrame="_blank" w:history="1">
        <w:r w:rsidRPr="004A00AC">
          <w:rPr>
            <w:rStyle w:val="Hyperlink"/>
            <w:rFonts w:ascii="Times New Roman" w:hAnsi="Times New Roman" w:cs="Times New Roman"/>
            <w:b/>
            <w:bCs/>
            <w:color w:val="4F5671"/>
            <w:sz w:val="24"/>
            <w:szCs w:val="24"/>
          </w:rPr>
          <w:t>PubMed</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Vieira, M.; Pinheiro, C.; Fernandes, R.; Noronha, J.; Prudêncio, C. Antimicrobial activity of quinoxaline 1,4-dioxide with 2- and 3-substituted derivatives. </w:t>
      </w:r>
      <w:r w:rsidRPr="004A00AC">
        <w:rPr>
          <w:rStyle w:val="html-italic"/>
          <w:rFonts w:ascii="Times New Roman" w:hAnsi="Times New Roman" w:cs="Times New Roman"/>
          <w:i/>
          <w:iCs/>
          <w:color w:val="222222"/>
          <w:sz w:val="24"/>
          <w:szCs w:val="24"/>
        </w:rPr>
        <w:t>Microbiol. Res.</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2014</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169</w:t>
      </w:r>
      <w:r w:rsidRPr="004A00AC">
        <w:rPr>
          <w:rFonts w:ascii="Times New Roman" w:hAnsi="Times New Roman" w:cs="Times New Roman"/>
          <w:color w:val="222222"/>
          <w:sz w:val="24"/>
          <w:szCs w:val="24"/>
        </w:rPr>
        <w:t>, 287–293. [</w:t>
      </w:r>
      <w:hyperlink r:id="rId44"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hyperlink r:id="rId45" w:tgtFrame="_blank" w:history="1">
        <w:r w:rsidRPr="004A00AC">
          <w:rPr>
            <w:rStyle w:val="Hyperlink"/>
            <w:rFonts w:ascii="Times New Roman" w:hAnsi="Times New Roman" w:cs="Times New Roman"/>
            <w:b/>
            <w:bCs/>
            <w:color w:val="4F5671"/>
            <w:sz w:val="24"/>
            <w:szCs w:val="24"/>
          </w:rPr>
          <w:t>CrossRef</w:t>
        </w:r>
      </w:hyperlink>
      <w:r w:rsidRPr="004A00AC">
        <w:rPr>
          <w:rFonts w:ascii="Times New Roman" w:hAnsi="Times New Roman" w:cs="Times New Roman"/>
          <w:color w:val="222222"/>
          <w:sz w:val="24"/>
          <w:szCs w:val="24"/>
        </w:rPr>
        <w:t>] [</w:t>
      </w:r>
      <w:hyperlink r:id="rId46" w:tgtFrame="_blank" w:history="1">
        <w:r w:rsidRPr="004A00AC">
          <w:rPr>
            <w:rStyle w:val="Hyperlink"/>
            <w:rFonts w:ascii="Times New Roman" w:hAnsi="Times New Roman" w:cs="Times New Roman"/>
            <w:b/>
            <w:bCs/>
            <w:color w:val="4F5671"/>
            <w:sz w:val="24"/>
            <w:szCs w:val="24"/>
          </w:rPr>
          <w:t>PubMed</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Husain, A.; Madhesia, D. Recent advances in pharmacological activities of quinoxaline derivatives. </w:t>
      </w:r>
      <w:r w:rsidRPr="004A00AC">
        <w:rPr>
          <w:rStyle w:val="html-italic"/>
          <w:rFonts w:ascii="Times New Roman" w:hAnsi="Times New Roman" w:cs="Times New Roman"/>
          <w:i/>
          <w:iCs/>
          <w:color w:val="222222"/>
          <w:sz w:val="24"/>
          <w:szCs w:val="24"/>
        </w:rPr>
        <w:t>J. Pharm. Res.</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2011</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4</w:t>
      </w:r>
      <w:r w:rsidRPr="004A00AC">
        <w:rPr>
          <w:rFonts w:ascii="Times New Roman" w:hAnsi="Times New Roman" w:cs="Times New Roman"/>
          <w:color w:val="222222"/>
          <w:sz w:val="24"/>
          <w:szCs w:val="24"/>
        </w:rPr>
        <w:t>, 924–929. [</w:t>
      </w:r>
      <w:hyperlink r:id="rId47"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Carta, A.; Paglietti, G.; Nikookar, M.E.R.; Sanna, P.; Sechi, L.; Zanetti, S. Novel substituted quinoxaline 1,4-dioxides with in vitro antimycobacterial and anticandida activity. </w:t>
      </w:r>
      <w:r w:rsidRPr="004A00AC">
        <w:rPr>
          <w:rStyle w:val="html-italic"/>
          <w:rFonts w:ascii="Times New Roman" w:hAnsi="Times New Roman" w:cs="Times New Roman"/>
          <w:i/>
          <w:iCs/>
          <w:color w:val="222222"/>
          <w:sz w:val="24"/>
          <w:szCs w:val="24"/>
        </w:rPr>
        <w:t>Eur. J. Med. Chem.</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2002</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37</w:t>
      </w:r>
      <w:r w:rsidRPr="004A00AC">
        <w:rPr>
          <w:rFonts w:ascii="Times New Roman" w:hAnsi="Times New Roman" w:cs="Times New Roman"/>
          <w:color w:val="222222"/>
          <w:sz w:val="24"/>
          <w:szCs w:val="24"/>
        </w:rPr>
        <w:t>, 355–366. [</w:t>
      </w:r>
      <w:hyperlink r:id="rId48"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hyperlink r:id="rId49" w:tgtFrame="_blank" w:history="1">
        <w:r w:rsidRPr="004A00AC">
          <w:rPr>
            <w:rStyle w:val="Hyperlink"/>
            <w:rFonts w:ascii="Times New Roman" w:hAnsi="Times New Roman" w:cs="Times New Roman"/>
            <w:b/>
            <w:bCs/>
            <w:color w:val="4F5671"/>
            <w:sz w:val="24"/>
            <w:szCs w:val="24"/>
          </w:rPr>
          <w:t>CrossRef</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Mohd, H.A.; Al-Tawfiq, J.A.; Memish, Z.A. Middle East respiratory syndrome coronavirus (MERS-CoV) origin and animal reservoir. </w:t>
      </w:r>
      <w:r w:rsidRPr="004A00AC">
        <w:rPr>
          <w:rStyle w:val="html-italic"/>
          <w:rFonts w:ascii="Times New Roman" w:hAnsi="Times New Roman" w:cs="Times New Roman"/>
          <w:i/>
          <w:iCs/>
          <w:color w:val="222222"/>
          <w:sz w:val="24"/>
          <w:szCs w:val="24"/>
        </w:rPr>
        <w:t>Virol. J.</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2016</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13</w:t>
      </w:r>
      <w:r w:rsidRPr="004A00AC">
        <w:rPr>
          <w:rFonts w:ascii="Times New Roman" w:hAnsi="Times New Roman" w:cs="Times New Roman"/>
          <w:color w:val="222222"/>
          <w:sz w:val="24"/>
          <w:szCs w:val="24"/>
        </w:rPr>
        <w:t>, 1–7. [</w:t>
      </w:r>
      <w:hyperlink r:id="rId50"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hyperlink r:id="rId51" w:tgtFrame="_blank" w:history="1">
        <w:r w:rsidRPr="004A00AC">
          <w:rPr>
            <w:rStyle w:val="Hyperlink"/>
            <w:rFonts w:ascii="Times New Roman" w:hAnsi="Times New Roman" w:cs="Times New Roman"/>
            <w:b/>
            <w:bCs/>
            <w:color w:val="4F5671"/>
            <w:sz w:val="24"/>
            <w:szCs w:val="24"/>
          </w:rPr>
          <w:t>CrossRef</w:t>
        </w:r>
      </w:hyperlink>
      <w:r w:rsidRPr="004A00AC">
        <w:rPr>
          <w:rFonts w:ascii="Times New Roman" w:hAnsi="Times New Roman" w:cs="Times New Roman"/>
          <w:color w:val="222222"/>
          <w:sz w:val="24"/>
          <w:szCs w:val="24"/>
        </w:rPr>
        <w:t>] [</w:t>
      </w:r>
      <w:hyperlink r:id="rId52" w:tgtFrame="_blank" w:history="1">
        <w:r w:rsidRPr="004A00AC">
          <w:rPr>
            <w:rStyle w:val="Hyperlink"/>
            <w:rFonts w:ascii="Times New Roman" w:hAnsi="Times New Roman" w:cs="Times New Roman"/>
            <w:b/>
            <w:bCs/>
            <w:color w:val="4F5671"/>
            <w:sz w:val="24"/>
            <w:szCs w:val="24"/>
          </w:rPr>
          <w:t>Green Version</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lastRenderedPageBreak/>
        <w:t>Waring, M.J.; Ben-Hadda, T.; Kotchevar, A.T.; Ramdani, A.; Touzani, R.; Elkadiri, S.; Hakkou, A.; Bouakka, M.; Ellis, T. 2,3-bifunctionalized quinoxalines: Synthesis, DNA interactions and evaluation of anticancer, anti-tuberculosis and antifungal activity. </w:t>
      </w:r>
      <w:r w:rsidRPr="004A00AC">
        <w:rPr>
          <w:rStyle w:val="html-italic"/>
          <w:rFonts w:ascii="Times New Roman" w:hAnsi="Times New Roman" w:cs="Times New Roman"/>
          <w:i/>
          <w:iCs/>
          <w:color w:val="222222"/>
          <w:sz w:val="24"/>
          <w:szCs w:val="24"/>
        </w:rPr>
        <w:t>Molecules</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2002</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7</w:t>
      </w:r>
      <w:r w:rsidRPr="004A00AC">
        <w:rPr>
          <w:rFonts w:ascii="Times New Roman" w:hAnsi="Times New Roman" w:cs="Times New Roman"/>
          <w:color w:val="222222"/>
          <w:sz w:val="24"/>
          <w:szCs w:val="24"/>
        </w:rPr>
        <w:t>, 641–656. [</w:t>
      </w:r>
      <w:hyperlink r:id="rId53"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hyperlink r:id="rId54" w:tgtFrame="_blank" w:history="1">
        <w:r w:rsidRPr="004A00AC">
          <w:rPr>
            <w:rStyle w:val="Hyperlink"/>
            <w:rFonts w:ascii="Times New Roman" w:hAnsi="Times New Roman" w:cs="Times New Roman"/>
            <w:b/>
            <w:bCs/>
            <w:color w:val="4F5671"/>
            <w:sz w:val="24"/>
            <w:szCs w:val="24"/>
          </w:rPr>
          <w:t>CrossRef</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Coltart, C.E.M.; Lindsey, B.; Ghinai, I.; Johnson, A.M.; Heymann, D.L. The Ebola outbreak, 2013–2016: Old lessons for new epidemics. </w:t>
      </w:r>
      <w:r w:rsidRPr="004A00AC">
        <w:rPr>
          <w:rStyle w:val="html-italic"/>
          <w:rFonts w:ascii="Times New Roman" w:hAnsi="Times New Roman" w:cs="Times New Roman"/>
          <w:i/>
          <w:iCs/>
          <w:color w:val="222222"/>
          <w:sz w:val="24"/>
          <w:szCs w:val="24"/>
        </w:rPr>
        <w:t>Philos. Trans. R. Soc. B Biol. Sci.</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2017</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372</w:t>
      </w:r>
      <w:r w:rsidRPr="004A00AC">
        <w:rPr>
          <w:rFonts w:ascii="Times New Roman" w:hAnsi="Times New Roman" w:cs="Times New Roman"/>
          <w:color w:val="222222"/>
          <w:sz w:val="24"/>
          <w:szCs w:val="24"/>
        </w:rPr>
        <w:t>, 20160297. [</w:t>
      </w:r>
      <w:hyperlink r:id="rId55"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hyperlink r:id="rId56" w:tgtFrame="_blank" w:history="1">
        <w:r w:rsidRPr="004A00AC">
          <w:rPr>
            <w:rStyle w:val="Hyperlink"/>
            <w:rFonts w:ascii="Times New Roman" w:hAnsi="Times New Roman" w:cs="Times New Roman"/>
            <w:b/>
            <w:bCs/>
            <w:color w:val="4F5671"/>
            <w:sz w:val="24"/>
            <w:szCs w:val="24"/>
          </w:rPr>
          <w:t>CrossRef</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Perlman, S. Another decade, another coronavirus. </w:t>
      </w:r>
      <w:r w:rsidRPr="004A00AC">
        <w:rPr>
          <w:rStyle w:val="html-italic"/>
          <w:rFonts w:ascii="Times New Roman" w:hAnsi="Times New Roman" w:cs="Times New Roman"/>
          <w:i/>
          <w:iCs/>
          <w:color w:val="222222"/>
          <w:sz w:val="24"/>
          <w:szCs w:val="24"/>
        </w:rPr>
        <w:t>N. Engl. J. Med.</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2020</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382</w:t>
      </w:r>
      <w:r w:rsidRPr="004A00AC">
        <w:rPr>
          <w:rFonts w:ascii="Times New Roman" w:hAnsi="Times New Roman" w:cs="Times New Roman"/>
          <w:color w:val="222222"/>
          <w:sz w:val="24"/>
          <w:szCs w:val="24"/>
        </w:rPr>
        <w:t>, 760–762. [</w:t>
      </w:r>
      <w:hyperlink r:id="rId57"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hyperlink r:id="rId58" w:tgtFrame="_blank" w:history="1">
        <w:r w:rsidRPr="004A00AC">
          <w:rPr>
            <w:rStyle w:val="Hyperlink"/>
            <w:rFonts w:ascii="Times New Roman" w:hAnsi="Times New Roman" w:cs="Times New Roman"/>
            <w:b/>
            <w:bCs/>
            <w:color w:val="4F5671"/>
            <w:sz w:val="24"/>
            <w:szCs w:val="24"/>
          </w:rPr>
          <w:t>CrossRef</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Hasaninejad, A.; Zare, A.; Shekouhy, M.; Moosavi-Zare, A.R. Bentonite clay K-10 as an efficient reagent for the synthesis of quinoxaline derivatives at room temperature. </w:t>
      </w:r>
      <w:r w:rsidRPr="004A00AC">
        <w:rPr>
          <w:rStyle w:val="html-italic"/>
          <w:rFonts w:ascii="Times New Roman" w:hAnsi="Times New Roman" w:cs="Times New Roman"/>
          <w:i/>
          <w:iCs/>
          <w:color w:val="222222"/>
          <w:sz w:val="24"/>
          <w:szCs w:val="24"/>
        </w:rPr>
        <w:t>E-J. Chem.</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2009</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6</w:t>
      </w:r>
      <w:r w:rsidRPr="004A00AC">
        <w:rPr>
          <w:rFonts w:ascii="Times New Roman" w:hAnsi="Times New Roman" w:cs="Times New Roman"/>
          <w:color w:val="222222"/>
          <w:sz w:val="24"/>
          <w:szCs w:val="24"/>
        </w:rPr>
        <w:t>, S247–S253. [</w:t>
      </w:r>
      <w:hyperlink r:id="rId59"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hyperlink r:id="rId60" w:tgtFrame="_blank" w:history="1">
        <w:r w:rsidRPr="004A00AC">
          <w:rPr>
            <w:rStyle w:val="Hyperlink"/>
            <w:rFonts w:ascii="Times New Roman" w:hAnsi="Times New Roman" w:cs="Times New Roman"/>
            <w:b/>
            <w:bCs/>
            <w:color w:val="4F5671"/>
            <w:sz w:val="24"/>
            <w:szCs w:val="24"/>
          </w:rPr>
          <w:t>CrossRef</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Anastas, P.; Warner, J. </w:t>
      </w:r>
      <w:r w:rsidRPr="004A00AC">
        <w:rPr>
          <w:rStyle w:val="html-italic"/>
          <w:rFonts w:ascii="Times New Roman" w:hAnsi="Times New Roman" w:cs="Times New Roman"/>
          <w:i/>
          <w:iCs/>
          <w:color w:val="222222"/>
          <w:sz w:val="24"/>
          <w:szCs w:val="24"/>
        </w:rPr>
        <w:t>Green Chemistry: Theory and Practice</w:t>
      </w:r>
      <w:r w:rsidRPr="004A00AC">
        <w:rPr>
          <w:rFonts w:ascii="Times New Roman" w:hAnsi="Times New Roman" w:cs="Times New Roman"/>
          <w:color w:val="222222"/>
          <w:sz w:val="24"/>
          <w:szCs w:val="24"/>
        </w:rPr>
        <w:t>; Oxford University Press: Oxford, UK, 1998; Volume 30. [</w:t>
      </w:r>
      <w:hyperlink r:id="rId61"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Malek, B.; Bahammou, I.; Zimou, O.; El Hallaoui, A.; Ghailane, R.; Boukhris, S.; Souizi, A. Eco-friendly synthesis of quinoxaline derivatives using mineral fertilizers as heterogeneous catalysts. </w:t>
      </w:r>
      <w:r w:rsidRPr="004A00AC">
        <w:rPr>
          <w:rStyle w:val="html-italic"/>
          <w:rFonts w:ascii="Times New Roman" w:hAnsi="Times New Roman" w:cs="Times New Roman"/>
          <w:i/>
          <w:iCs/>
          <w:color w:val="222222"/>
          <w:sz w:val="24"/>
          <w:szCs w:val="24"/>
        </w:rPr>
        <w:t>J. Turk. Chem. Soc. Sect. A Chem.</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2020</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7</w:t>
      </w:r>
      <w:r w:rsidRPr="004A00AC">
        <w:rPr>
          <w:rFonts w:ascii="Times New Roman" w:hAnsi="Times New Roman" w:cs="Times New Roman"/>
          <w:color w:val="222222"/>
          <w:sz w:val="24"/>
          <w:szCs w:val="24"/>
        </w:rPr>
        <w:t>, 427–440. [</w:t>
      </w:r>
      <w:hyperlink r:id="rId62"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hyperlink r:id="rId63" w:tgtFrame="_blank" w:history="1">
        <w:r w:rsidRPr="004A00AC">
          <w:rPr>
            <w:rStyle w:val="Hyperlink"/>
            <w:rFonts w:ascii="Times New Roman" w:hAnsi="Times New Roman" w:cs="Times New Roman"/>
            <w:b/>
            <w:bCs/>
            <w:color w:val="4F5671"/>
            <w:sz w:val="24"/>
            <w:szCs w:val="24"/>
          </w:rPr>
          <w:t>CrossRef</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Nageswar, Y.V.D.; Reddy, K.H.V.; Ramesh, K.; Murthy, S.N. Recent developments in the synthesis of quinoxaline derivatives by green synthetic approaches. </w:t>
      </w:r>
      <w:r w:rsidRPr="004A00AC">
        <w:rPr>
          <w:rStyle w:val="html-italic"/>
          <w:rFonts w:ascii="Times New Roman" w:hAnsi="Times New Roman" w:cs="Times New Roman"/>
          <w:i/>
          <w:iCs/>
          <w:color w:val="222222"/>
          <w:sz w:val="24"/>
          <w:szCs w:val="24"/>
        </w:rPr>
        <w:t>Org. Prep. Proced. Int.</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2013</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45</w:t>
      </w:r>
      <w:r w:rsidRPr="004A00AC">
        <w:rPr>
          <w:rFonts w:ascii="Times New Roman" w:hAnsi="Times New Roman" w:cs="Times New Roman"/>
          <w:color w:val="222222"/>
          <w:sz w:val="24"/>
          <w:szCs w:val="24"/>
        </w:rPr>
        <w:t>, 1–27. [</w:t>
      </w:r>
      <w:hyperlink r:id="rId64"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hyperlink r:id="rId65" w:tgtFrame="_blank" w:history="1">
        <w:r w:rsidRPr="004A00AC">
          <w:rPr>
            <w:rStyle w:val="Hyperlink"/>
            <w:rFonts w:ascii="Times New Roman" w:hAnsi="Times New Roman" w:cs="Times New Roman"/>
            <w:b/>
            <w:bCs/>
            <w:color w:val="4F5671"/>
            <w:sz w:val="24"/>
            <w:szCs w:val="24"/>
          </w:rPr>
          <w:t>CrossRef</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More, S.V.; Sastry, M.N.V.; Yao, C.-F. Cerium (iv) ammonium nitrate (CAN) as a catalyst in tap water: A simple, proficient and green approach for the synthesis of quinoxalines. </w:t>
      </w:r>
      <w:r w:rsidRPr="004A00AC">
        <w:rPr>
          <w:rStyle w:val="html-italic"/>
          <w:rFonts w:ascii="Times New Roman" w:hAnsi="Times New Roman" w:cs="Times New Roman"/>
          <w:i/>
          <w:iCs/>
          <w:color w:val="222222"/>
          <w:sz w:val="24"/>
          <w:szCs w:val="24"/>
        </w:rPr>
        <w:t>Green Chem.</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2006</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8</w:t>
      </w:r>
      <w:r w:rsidRPr="004A00AC">
        <w:rPr>
          <w:rFonts w:ascii="Times New Roman" w:hAnsi="Times New Roman" w:cs="Times New Roman"/>
          <w:color w:val="222222"/>
          <w:sz w:val="24"/>
          <w:szCs w:val="24"/>
        </w:rPr>
        <w:t>, 91–95. [</w:t>
      </w:r>
      <w:hyperlink r:id="rId66"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hyperlink r:id="rId67" w:tgtFrame="_blank" w:history="1">
        <w:r w:rsidRPr="004A00AC">
          <w:rPr>
            <w:rStyle w:val="Hyperlink"/>
            <w:rFonts w:ascii="Times New Roman" w:hAnsi="Times New Roman" w:cs="Times New Roman"/>
            <w:b/>
            <w:bCs/>
            <w:color w:val="4F5671"/>
            <w:sz w:val="24"/>
            <w:szCs w:val="24"/>
          </w:rPr>
          <w:t>CrossRef</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An, Z.; Wu, M.; Ni, J.; Qi, Z.; Yu, G.; Yan, R.; Zhao, L.-B. FeCl 3 -Catalyzed synthesis of pyrrolo[1,2-a]quinoxaline derivatives from 1-(2-aminophenyl)pyrroles through annulation and cleavage of cyclic ethers. </w:t>
      </w:r>
      <w:r w:rsidRPr="004A00AC">
        <w:rPr>
          <w:rStyle w:val="html-italic"/>
          <w:rFonts w:ascii="Times New Roman" w:hAnsi="Times New Roman" w:cs="Times New Roman"/>
          <w:i/>
          <w:iCs/>
          <w:color w:val="222222"/>
          <w:sz w:val="24"/>
          <w:szCs w:val="24"/>
        </w:rPr>
        <w:t>Chem. Commun.</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2017</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53</w:t>
      </w:r>
      <w:r w:rsidRPr="004A00AC">
        <w:rPr>
          <w:rFonts w:ascii="Times New Roman" w:hAnsi="Times New Roman" w:cs="Times New Roman"/>
          <w:color w:val="222222"/>
          <w:sz w:val="24"/>
          <w:szCs w:val="24"/>
        </w:rPr>
        <w:t>, 11572–11575. [</w:t>
      </w:r>
      <w:hyperlink r:id="rId68"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hyperlink r:id="rId69" w:tgtFrame="_blank" w:history="1">
        <w:r w:rsidRPr="004A00AC">
          <w:rPr>
            <w:rStyle w:val="Hyperlink"/>
            <w:rFonts w:ascii="Times New Roman" w:hAnsi="Times New Roman" w:cs="Times New Roman"/>
            <w:b/>
            <w:bCs/>
            <w:color w:val="4F5671"/>
            <w:sz w:val="24"/>
            <w:szCs w:val="24"/>
          </w:rPr>
          <w:t>CrossRef</w:t>
        </w:r>
      </w:hyperlink>
      <w:r w:rsidRPr="004A00AC">
        <w:rPr>
          <w:rFonts w:ascii="Times New Roman" w:hAnsi="Times New Roman" w:cs="Times New Roman"/>
          <w:color w:val="222222"/>
          <w:sz w:val="24"/>
          <w:szCs w:val="24"/>
        </w:rPr>
        <w:t>] [</w:t>
      </w:r>
      <w:hyperlink r:id="rId70" w:tgtFrame="_blank" w:history="1">
        <w:r w:rsidRPr="004A00AC">
          <w:rPr>
            <w:rStyle w:val="Hyperlink"/>
            <w:rFonts w:ascii="Times New Roman" w:hAnsi="Times New Roman" w:cs="Times New Roman"/>
            <w:b/>
            <w:bCs/>
            <w:color w:val="4F5671"/>
            <w:sz w:val="24"/>
            <w:szCs w:val="24"/>
          </w:rPr>
          <w:t>PubMed</w:t>
        </w:r>
      </w:hyperlink>
      <w:r w:rsidRPr="004A00AC">
        <w:rPr>
          <w:rFonts w:ascii="Times New Roman" w:hAnsi="Times New Roman" w:cs="Times New Roman"/>
          <w:color w:val="222222"/>
          <w:sz w:val="24"/>
          <w:szCs w:val="24"/>
        </w:rPr>
        <w:t>] [</w:t>
      </w:r>
      <w:hyperlink r:id="rId71" w:tgtFrame="_blank" w:history="1">
        <w:r w:rsidRPr="004A00AC">
          <w:rPr>
            <w:rStyle w:val="Hyperlink"/>
            <w:rFonts w:ascii="Times New Roman" w:hAnsi="Times New Roman" w:cs="Times New Roman"/>
            <w:b/>
            <w:bCs/>
            <w:color w:val="4F5671"/>
            <w:sz w:val="24"/>
            <w:szCs w:val="24"/>
          </w:rPr>
          <w:t>Green Version</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Begue, J.P.; Bonnet-Delpon, D.; Crousse, B. Fluorinated alcohols: A new medium for the selective and clean reaction. </w:t>
      </w:r>
      <w:r w:rsidRPr="004A00AC">
        <w:rPr>
          <w:rStyle w:val="html-italic"/>
          <w:rFonts w:ascii="Times New Roman" w:hAnsi="Times New Roman" w:cs="Times New Roman"/>
          <w:i/>
          <w:iCs/>
          <w:color w:val="222222"/>
          <w:sz w:val="24"/>
          <w:szCs w:val="24"/>
        </w:rPr>
        <w:t>Synlett</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2004</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35</w:t>
      </w:r>
      <w:r w:rsidRPr="004A00AC">
        <w:rPr>
          <w:rFonts w:ascii="Times New Roman" w:hAnsi="Times New Roman" w:cs="Times New Roman"/>
          <w:color w:val="222222"/>
          <w:sz w:val="24"/>
          <w:szCs w:val="24"/>
        </w:rPr>
        <w:t>, 18–29. [</w:t>
      </w:r>
      <w:hyperlink r:id="rId72"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hyperlink r:id="rId73" w:tgtFrame="_blank" w:history="1">
        <w:r w:rsidRPr="004A00AC">
          <w:rPr>
            <w:rStyle w:val="Hyperlink"/>
            <w:rFonts w:ascii="Times New Roman" w:hAnsi="Times New Roman" w:cs="Times New Roman"/>
            <w:b/>
            <w:bCs/>
            <w:color w:val="4F5671"/>
            <w:sz w:val="24"/>
            <w:szCs w:val="24"/>
          </w:rPr>
          <w:t>CrossRef</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lastRenderedPageBreak/>
        <w:t>Povey, J.F.; Smales, C.M.; Hassard, S.J.; Howard, M.J. Comparison of the effects of 2, 2, 2-trifluoroethanol on peptide and protein structure and function. </w:t>
      </w:r>
      <w:r w:rsidRPr="004A00AC">
        <w:rPr>
          <w:rStyle w:val="html-italic"/>
          <w:rFonts w:ascii="Times New Roman" w:hAnsi="Times New Roman" w:cs="Times New Roman"/>
          <w:i/>
          <w:iCs/>
          <w:color w:val="222222"/>
          <w:sz w:val="24"/>
          <w:szCs w:val="24"/>
        </w:rPr>
        <w:t>J. Struct. Boil.</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2007</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157</w:t>
      </w:r>
      <w:r w:rsidRPr="004A00AC">
        <w:rPr>
          <w:rFonts w:ascii="Times New Roman" w:hAnsi="Times New Roman" w:cs="Times New Roman"/>
          <w:color w:val="222222"/>
          <w:sz w:val="24"/>
          <w:szCs w:val="24"/>
        </w:rPr>
        <w:t>, 329338. [</w:t>
      </w:r>
      <w:hyperlink r:id="rId74"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hyperlink r:id="rId75" w:tgtFrame="_blank" w:history="1">
        <w:r w:rsidRPr="004A00AC">
          <w:rPr>
            <w:rStyle w:val="Hyperlink"/>
            <w:rFonts w:ascii="Times New Roman" w:hAnsi="Times New Roman" w:cs="Times New Roman"/>
            <w:b/>
            <w:bCs/>
            <w:color w:val="4F5671"/>
            <w:sz w:val="24"/>
            <w:szCs w:val="24"/>
          </w:rPr>
          <w:t>CrossRef</w:t>
        </w:r>
      </w:hyperlink>
      <w:r w:rsidRPr="004A00AC">
        <w:rPr>
          <w:rFonts w:ascii="Times New Roman" w:hAnsi="Times New Roman" w:cs="Times New Roman"/>
          <w:color w:val="222222"/>
          <w:sz w:val="24"/>
          <w:szCs w:val="24"/>
        </w:rPr>
        <w:t>] [</w:t>
      </w:r>
      <w:hyperlink r:id="rId76" w:tgtFrame="_blank" w:history="1">
        <w:r w:rsidRPr="004A00AC">
          <w:rPr>
            <w:rStyle w:val="Hyperlink"/>
            <w:rFonts w:ascii="Times New Roman" w:hAnsi="Times New Roman" w:cs="Times New Roman"/>
            <w:b/>
            <w:bCs/>
            <w:color w:val="4F5671"/>
            <w:sz w:val="24"/>
            <w:szCs w:val="24"/>
          </w:rPr>
          <w:t>PubMed</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Khaksar, S.; Rostamnezhad, F. A novel one-pot synthesis of quinoxaline derivatives in fluorinated alcohols. </w:t>
      </w:r>
      <w:r w:rsidRPr="004A00AC">
        <w:rPr>
          <w:rStyle w:val="html-italic"/>
          <w:rFonts w:ascii="Times New Roman" w:hAnsi="Times New Roman" w:cs="Times New Roman"/>
          <w:i/>
          <w:iCs/>
          <w:color w:val="222222"/>
          <w:sz w:val="24"/>
          <w:szCs w:val="24"/>
        </w:rPr>
        <w:t>Bull. Korean Chem. Soc.</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2012</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33</w:t>
      </w:r>
      <w:r w:rsidRPr="004A00AC">
        <w:rPr>
          <w:rFonts w:ascii="Times New Roman" w:hAnsi="Times New Roman" w:cs="Times New Roman"/>
          <w:color w:val="222222"/>
          <w:sz w:val="24"/>
          <w:szCs w:val="24"/>
        </w:rPr>
        <w:t>, 2581–2584. [</w:t>
      </w:r>
      <w:hyperlink r:id="rId77"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hyperlink r:id="rId78" w:tgtFrame="_blank" w:history="1">
        <w:r w:rsidRPr="004A00AC">
          <w:rPr>
            <w:rStyle w:val="Hyperlink"/>
            <w:rFonts w:ascii="Times New Roman" w:hAnsi="Times New Roman" w:cs="Times New Roman"/>
            <w:b/>
            <w:bCs/>
            <w:color w:val="4F5671"/>
            <w:sz w:val="24"/>
            <w:szCs w:val="24"/>
          </w:rPr>
          <w:t>CrossRef</w:t>
        </w:r>
      </w:hyperlink>
      <w:r w:rsidRPr="004A00AC">
        <w:rPr>
          <w:rFonts w:ascii="Times New Roman" w:hAnsi="Times New Roman" w:cs="Times New Roman"/>
          <w:color w:val="222222"/>
          <w:sz w:val="24"/>
          <w:szCs w:val="24"/>
        </w:rPr>
        <w:t>] [</w:t>
      </w:r>
      <w:hyperlink r:id="rId79" w:tgtFrame="_blank" w:history="1">
        <w:r w:rsidRPr="004A00AC">
          <w:rPr>
            <w:rStyle w:val="Hyperlink"/>
            <w:rFonts w:ascii="Times New Roman" w:hAnsi="Times New Roman" w:cs="Times New Roman"/>
            <w:b/>
            <w:bCs/>
            <w:color w:val="4F5671"/>
            <w:sz w:val="24"/>
            <w:szCs w:val="24"/>
          </w:rPr>
          <w:t>Green Version</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Brown, D.J.; Taylor, E.C.; Ellman, J.A. </w:t>
      </w:r>
      <w:r w:rsidRPr="004A00AC">
        <w:rPr>
          <w:rStyle w:val="html-italic"/>
          <w:rFonts w:ascii="Times New Roman" w:hAnsi="Times New Roman" w:cs="Times New Roman"/>
          <w:i/>
          <w:iCs/>
          <w:color w:val="222222"/>
          <w:sz w:val="24"/>
          <w:szCs w:val="24"/>
        </w:rPr>
        <w:t>Quinoxalines, Supplement 2</w:t>
      </w:r>
      <w:r w:rsidRPr="004A00AC">
        <w:rPr>
          <w:rFonts w:ascii="Times New Roman" w:hAnsi="Times New Roman" w:cs="Times New Roman"/>
          <w:color w:val="222222"/>
          <w:sz w:val="24"/>
          <w:szCs w:val="24"/>
        </w:rPr>
        <w:t>; John Wiley &amp; Sons: Denmark, UK, 2004; Volume 107. [</w:t>
      </w:r>
      <w:hyperlink r:id="rId80"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Wadavrao, S.B.; Ghogare, R.; Narsaiah, A.V. A simple and efficient protocol for the synthesis of quinoxalines catalyzed by pyridine. </w:t>
      </w:r>
      <w:r w:rsidRPr="004A00AC">
        <w:rPr>
          <w:rStyle w:val="html-italic"/>
          <w:rFonts w:ascii="Times New Roman" w:hAnsi="Times New Roman" w:cs="Times New Roman"/>
          <w:i/>
          <w:iCs/>
          <w:color w:val="222222"/>
          <w:sz w:val="24"/>
          <w:szCs w:val="24"/>
        </w:rPr>
        <w:t>Org. Commun.</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2013</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6</w:t>
      </w:r>
      <w:r w:rsidRPr="004A00AC">
        <w:rPr>
          <w:rFonts w:ascii="Times New Roman" w:hAnsi="Times New Roman" w:cs="Times New Roman"/>
          <w:color w:val="222222"/>
          <w:sz w:val="24"/>
          <w:szCs w:val="24"/>
        </w:rPr>
        <w:t>, 23. [</w:t>
      </w:r>
      <w:hyperlink r:id="rId81"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Atghia, S.V.; Beigbaghlou, S.S. Nanocrystalline titania-based sulfonic acid (TiO</w:t>
      </w:r>
      <w:r w:rsidRPr="004A00AC">
        <w:rPr>
          <w:rFonts w:ascii="Times New Roman" w:hAnsi="Times New Roman" w:cs="Times New Roman"/>
          <w:color w:val="222222"/>
          <w:sz w:val="24"/>
          <w:szCs w:val="24"/>
          <w:vertAlign w:val="subscript"/>
        </w:rPr>
        <w:t>2</w:t>
      </w:r>
      <w:r w:rsidRPr="004A00AC">
        <w:rPr>
          <w:rFonts w:ascii="Times New Roman" w:hAnsi="Times New Roman" w:cs="Times New Roman"/>
          <w:color w:val="222222"/>
          <w:sz w:val="24"/>
          <w:szCs w:val="24"/>
        </w:rPr>
        <w:t>-Pr-SO</w:t>
      </w:r>
      <w:r w:rsidRPr="004A00AC">
        <w:rPr>
          <w:rFonts w:ascii="Times New Roman" w:hAnsi="Times New Roman" w:cs="Times New Roman"/>
          <w:color w:val="222222"/>
          <w:sz w:val="24"/>
          <w:szCs w:val="24"/>
          <w:vertAlign w:val="subscript"/>
        </w:rPr>
        <w:t>3</w:t>
      </w:r>
      <w:r w:rsidRPr="004A00AC">
        <w:rPr>
          <w:rFonts w:ascii="Times New Roman" w:hAnsi="Times New Roman" w:cs="Times New Roman"/>
          <w:color w:val="222222"/>
          <w:sz w:val="24"/>
          <w:szCs w:val="24"/>
        </w:rPr>
        <w:t>H) as a new, highly efficient, and recyclable solid acid catalyst for the preparation of quinoxaline derivatives. </w:t>
      </w:r>
      <w:r w:rsidRPr="004A00AC">
        <w:rPr>
          <w:rStyle w:val="html-italic"/>
          <w:rFonts w:ascii="Times New Roman" w:hAnsi="Times New Roman" w:cs="Times New Roman"/>
          <w:i/>
          <w:iCs/>
          <w:color w:val="222222"/>
          <w:sz w:val="24"/>
          <w:szCs w:val="24"/>
        </w:rPr>
        <w:t>J. Nanostructure Chem.</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2013</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3</w:t>
      </w:r>
      <w:r w:rsidRPr="004A00AC">
        <w:rPr>
          <w:rFonts w:ascii="Times New Roman" w:hAnsi="Times New Roman" w:cs="Times New Roman"/>
          <w:color w:val="222222"/>
          <w:sz w:val="24"/>
          <w:szCs w:val="24"/>
        </w:rPr>
        <w:t>, 38. [</w:t>
      </w:r>
      <w:hyperlink r:id="rId82"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hyperlink r:id="rId83" w:tgtFrame="_blank" w:history="1">
        <w:r w:rsidRPr="004A00AC">
          <w:rPr>
            <w:rStyle w:val="Hyperlink"/>
            <w:rFonts w:ascii="Times New Roman" w:hAnsi="Times New Roman" w:cs="Times New Roman"/>
            <w:b/>
            <w:bCs/>
            <w:color w:val="4F5671"/>
            <w:sz w:val="24"/>
            <w:szCs w:val="24"/>
          </w:rPr>
          <w:t>CrossRef</w:t>
        </w:r>
      </w:hyperlink>
      <w:r w:rsidRPr="004A00AC">
        <w:rPr>
          <w:rFonts w:ascii="Times New Roman" w:hAnsi="Times New Roman" w:cs="Times New Roman"/>
          <w:color w:val="222222"/>
          <w:sz w:val="24"/>
          <w:szCs w:val="24"/>
        </w:rPr>
        <w:t>] [</w:t>
      </w:r>
      <w:hyperlink r:id="rId84" w:tgtFrame="_blank" w:history="1">
        <w:r w:rsidRPr="004A00AC">
          <w:rPr>
            <w:rStyle w:val="Hyperlink"/>
            <w:rFonts w:ascii="Times New Roman" w:hAnsi="Times New Roman" w:cs="Times New Roman"/>
            <w:b/>
            <w:bCs/>
            <w:color w:val="4F5671"/>
            <w:sz w:val="24"/>
            <w:szCs w:val="24"/>
          </w:rPr>
          <w:t>Green Version</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Jafarpour, M.; Rezaeifard, A.; Danehchin, M. Easy access to quinoxaline derivatives using alumina as an effective and reusable catalyst under solvent-free conditions. </w:t>
      </w:r>
      <w:r w:rsidRPr="004A00AC">
        <w:rPr>
          <w:rStyle w:val="html-italic"/>
          <w:rFonts w:ascii="Times New Roman" w:hAnsi="Times New Roman" w:cs="Times New Roman"/>
          <w:i/>
          <w:iCs/>
          <w:color w:val="222222"/>
          <w:sz w:val="24"/>
          <w:szCs w:val="24"/>
        </w:rPr>
        <w:t>Appl. Catal. A Gen.</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2011</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394</w:t>
      </w:r>
      <w:r w:rsidRPr="004A00AC">
        <w:rPr>
          <w:rFonts w:ascii="Times New Roman" w:hAnsi="Times New Roman" w:cs="Times New Roman"/>
          <w:color w:val="222222"/>
          <w:sz w:val="24"/>
          <w:szCs w:val="24"/>
        </w:rPr>
        <w:t>, 48–51. [</w:t>
      </w:r>
      <w:hyperlink r:id="rId85"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hyperlink r:id="rId86" w:tgtFrame="_blank" w:history="1">
        <w:r w:rsidRPr="004A00AC">
          <w:rPr>
            <w:rStyle w:val="Hyperlink"/>
            <w:rFonts w:ascii="Times New Roman" w:hAnsi="Times New Roman" w:cs="Times New Roman"/>
            <w:b/>
            <w:bCs/>
            <w:color w:val="4F5671"/>
            <w:sz w:val="24"/>
            <w:szCs w:val="24"/>
          </w:rPr>
          <w:t>CrossRef</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Huang, T.-K.; Wang, R.; Shi, L.; Lu, X.-X. Montmorillonite K-10: An efficient and reusable catalyst for the synthesis of quinoxaline derivatives in water. </w:t>
      </w:r>
      <w:r w:rsidRPr="004A00AC">
        <w:rPr>
          <w:rStyle w:val="html-italic"/>
          <w:rFonts w:ascii="Times New Roman" w:hAnsi="Times New Roman" w:cs="Times New Roman"/>
          <w:i/>
          <w:iCs/>
          <w:color w:val="222222"/>
          <w:sz w:val="24"/>
          <w:szCs w:val="24"/>
        </w:rPr>
        <w:t>Catal. Commun.</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2008</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9</w:t>
      </w:r>
      <w:r w:rsidRPr="004A00AC">
        <w:rPr>
          <w:rFonts w:ascii="Times New Roman" w:hAnsi="Times New Roman" w:cs="Times New Roman"/>
          <w:color w:val="222222"/>
          <w:sz w:val="24"/>
          <w:szCs w:val="24"/>
        </w:rPr>
        <w:t>, 1143–1147. [</w:t>
      </w:r>
      <w:hyperlink r:id="rId87"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hyperlink r:id="rId88" w:tgtFrame="_blank" w:history="1">
        <w:r w:rsidRPr="004A00AC">
          <w:rPr>
            <w:rStyle w:val="Hyperlink"/>
            <w:rFonts w:ascii="Times New Roman" w:hAnsi="Times New Roman" w:cs="Times New Roman"/>
            <w:b/>
            <w:bCs/>
            <w:color w:val="4F5671"/>
            <w:sz w:val="24"/>
            <w:szCs w:val="24"/>
          </w:rPr>
          <w:t>CrossRef</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Krishnakumar, B.; Swaminathan, M. Solvent free synthesis of quinoxalines, dipyridophenazines and chalcones under microwave irradiation with sulfated Degussa titania as a novel solid acid catalyst. </w:t>
      </w:r>
      <w:r w:rsidRPr="004A00AC">
        <w:rPr>
          <w:rStyle w:val="html-italic"/>
          <w:rFonts w:ascii="Times New Roman" w:hAnsi="Times New Roman" w:cs="Times New Roman"/>
          <w:i/>
          <w:iCs/>
          <w:color w:val="222222"/>
          <w:sz w:val="24"/>
          <w:szCs w:val="24"/>
        </w:rPr>
        <w:t>J. Mol. Catal. A Chem.</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2011</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350</w:t>
      </w:r>
      <w:r w:rsidRPr="004A00AC">
        <w:rPr>
          <w:rFonts w:ascii="Times New Roman" w:hAnsi="Times New Roman" w:cs="Times New Roman"/>
          <w:color w:val="222222"/>
          <w:sz w:val="24"/>
          <w:szCs w:val="24"/>
        </w:rPr>
        <w:t>, 16–25. [</w:t>
      </w:r>
      <w:hyperlink r:id="rId89"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hyperlink r:id="rId90" w:tgtFrame="_blank" w:history="1">
        <w:r w:rsidRPr="004A00AC">
          <w:rPr>
            <w:rStyle w:val="Hyperlink"/>
            <w:rFonts w:ascii="Times New Roman" w:hAnsi="Times New Roman" w:cs="Times New Roman"/>
            <w:b/>
            <w:bCs/>
            <w:color w:val="4F5671"/>
            <w:sz w:val="24"/>
            <w:szCs w:val="24"/>
          </w:rPr>
          <w:t>CrossRef</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Dhakshinamoorthy, A.; Kanagaraj, K.; Tharmaraj, V. Zn2+-K10-clay (clayzic) as an efficient water-tolerant, solid acid catalyst for the synthesis of benzimidazoles and quinoxalines at room temperature. </w:t>
      </w:r>
      <w:r w:rsidRPr="004A00AC">
        <w:rPr>
          <w:rStyle w:val="html-italic"/>
          <w:rFonts w:ascii="Times New Roman" w:hAnsi="Times New Roman" w:cs="Times New Roman"/>
          <w:i/>
          <w:iCs/>
          <w:color w:val="222222"/>
          <w:sz w:val="24"/>
          <w:szCs w:val="24"/>
        </w:rPr>
        <w:t>Tetrahedron Lett.</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2011</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52</w:t>
      </w:r>
      <w:r w:rsidRPr="004A00AC">
        <w:rPr>
          <w:rFonts w:ascii="Times New Roman" w:hAnsi="Times New Roman" w:cs="Times New Roman"/>
          <w:color w:val="222222"/>
          <w:sz w:val="24"/>
          <w:szCs w:val="24"/>
        </w:rPr>
        <w:t>, 69–73. [</w:t>
      </w:r>
      <w:hyperlink r:id="rId91"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hyperlink r:id="rId92" w:tgtFrame="_blank" w:history="1">
        <w:r w:rsidRPr="004A00AC">
          <w:rPr>
            <w:rStyle w:val="Hyperlink"/>
            <w:rFonts w:ascii="Times New Roman" w:hAnsi="Times New Roman" w:cs="Times New Roman"/>
            <w:b/>
            <w:bCs/>
            <w:color w:val="4F5671"/>
            <w:sz w:val="24"/>
            <w:szCs w:val="24"/>
          </w:rPr>
          <w:t>CrossRef</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Sharma, R.; Sharma, C. Zirconium(IV)-modified silica gel: Preparation, characterization and catalytic activity in the synthesis of some biologically important molecules. </w:t>
      </w:r>
      <w:r w:rsidRPr="004A00AC">
        <w:rPr>
          <w:rStyle w:val="html-italic"/>
          <w:rFonts w:ascii="Times New Roman" w:hAnsi="Times New Roman" w:cs="Times New Roman"/>
          <w:i/>
          <w:iCs/>
          <w:color w:val="222222"/>
          <w:sz w:val="24"/>
          <w:szCs w:val="24"/>
        </w:rPr>
        <w:t>Catal. Commun.</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2011</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12</w:t>
      </w:r>
      <w:r w:rsidRPr="004A00AC">
        <w:rPr>
          <w:rFonts w:ascii="Times New Roman" w:hAnsi="Times New Roman" w:cs="Times New Roman"/>
          <w:color w:val="222222"/>
          <w:sz w:val="24"/>
          <w:szCs w:val="24"/>
        </w:rPr>
        <w:t>, 327–331. [</w:t>
      </w:r>
      <w:hyperlink r:id="rId93"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hyperlink r:id="rId94" w:tgtFrame="_blank" w:history="1">
        <w:r w:rsidRPr="004A00AC">
          <w:rPr>
            <w:rStyle w:val="Hyperlink"/>
            <w:rFonts w:ascii="Times New Roman" w:hAnsi="Times New Roman" w:cs="Times New Roman"/>
            <w:b/>
            <w:bCs/>
            <w:color w:val="4F5671"/>
            <w:sz w:val="24"/>
            <w:szCs w:val="24"/>
          </w:rPr>
          <w:t>CrossRef</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Zhang, X.Z.; Wang, J.X.; Sun, Y.J.; Zhan, H.W. Synthesis of quinoxaline derivatives catalyzed by PEG-400. </w:t>
      </w:r>
      <w:r w:rsidRPr="004A00AC">
        <w:rPr>
          <w:rStyle w:val="html-italic"/>
          <w:rFonts w:ascii="Times New Roman" w:hAnsi="Times New Roman" w:cs="Times New Roman"/>
          <w:i/>
          <w:iCs/>
          <w:color w:val="222222"/>
          <w:sz w:val="24"/>
          <w:szCs w:val="24"/>
        </w:rPr>
        <w:t>Chin. Chem. Lett.</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2010</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21</w:t>
      </w:r>
      <w:r w:rsidRPr="004A00AC">
        <w:rPr>
          <w:rFonts w:ascii="Times New Roman" w:hAnsi="Times New Roman" w:cs="Times New Roman"/>
          <w:color w:val="222222"/>
          <w:sz w:val="24"/>
          <w:szCs w:val="24"/>
        </w:rPr>
        <w:t>, 395–398. [</w:t>
      </w:r>
      <w:hyperlink r:id="rId95"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hyperlink r:id="rId96" w:tgtFrame="_blank" w:history="1">
        <w:r w:rsidRPr="004A00AC">
          <w:rPr>
            <w:rStyle w:val="Hyperlink"/>
            <w:rFonts w:ascii="Times New Roman" w:hAnsi="Times New Roman" w:cs="Times New Roman"/>
            <w:b/>
            <w:bCs/>
            <w:color w:val="4F5671"/>
            <w:sz w:val="24"/>
            <w:szCs w:val="24"/>
          </w:rPr>
          <w:t>CrossRef</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lastRenderedPageBreak/>
        <w:t>Heravi, M.M.; Bakhtiari, K.; Bamoharram, F.F.; Tehrani, M.H. Wells-dawson type heteropolyacid catalyzed synthesis of quinoxaline derivatives at room temperature. </w:t>
      </w:r>
      <w:r w:rsidRPr="004A00AC">
        <w:rPr>
          <w:rStyle w:val="html-italic"/>
          <w:rFonts w:ascii="Times New Roman" w:hAnsi="Times New Roman" w:cs="Times New Roman"/>
          <w:i/>
          <w:iCs/>
          <w:color w:val="222222"/>
          <w:sz w:val="24"/>
          <w:szCs w:val="24"/>
        </w:rPr>
        <w:t>Mon. Für Chem. Chem. Mon.</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2007</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138</w:t>
      </w:r>
      <w:r w:rsidRPr="004A00AC">
        <w:rPr>
          <w:rFonts w:ascii="Times New Roman" w:hAnsi="Times New Roman" w:cs="Times New Roman"/>
          <w:color w:val="222222"/>
          <w:sz w:val="24"/>
          <w:szCs w:val="24"/>
        </w:rPr>
        <w:t>, 465–467. [</w:t>
      </w:r>
      <w:hyperlink r:id="rId97"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hyperlink r:id="rId98" w:tgtFrame="_blank" w:history="1">
        <w:r w:rsidRPr="004A00AC">
          <w:rPr>
            <w:rStyle w:val="Hyperlink"/>
            <w:rFonts w:ascii="Times New Roman" w:hAnsi="Times New Roman" w:cs="Times New Roman"/>
            <w:b/>
            <w:bCs/>
            <w:color w:val="4F5671"/>
            <w:sz w:val="24"/>
            <w:szCs w:val="24"/>
          </w:rPr>
          <w:t>CrossRef</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Ajaikumar, S.; Pandurangan, A. Efficient synthesis of quinoxaline derivatives over ZrO</w:t>
      </w:r>
      <w:r w:rsidRPr="004A00AC">
        <w:rPr>
          <w:rFonts w:ascii="Times New Roman" w:hAnsi="Times New Roman" w:cs="Times New Roman"/>
          <w:color w:val="222222"/>
          <w:sz w:val="24"/>
          <w:szCs w:val="24"/>
          <w:vertAlign w:val="subscript"/>
        </w:rPr>
        <w:t>2</w:t>
      </w:r>
      <w:r w:rsidRPr="004A00AC">
        <w:rPr>
          <w:rFonts w:ascii="Times New Roman" w:hAnsi="Times New Roman" w:cs="Times New Roman"/>
          <w:color w:val="222222"/>
          <w:sz w:val="24"/>
          <w:szCs w:val="24"/>
        </w:rPr>
        <w:t>/M</w:t>
      </w:r>
      <w:r w:rsidRPr="004A00AC">
        <w:rPr>
          <w:rFonts w:ascii="Times New Roman" w:hAnsi="Times New Roman" w:cs="Times New Roman"/>
          <w:color w:val="222222"/>
          <w:sz w:val="24"/>
          <w:szCs w:val="24"/>
          <w:vertAlign w:val="subscript"/>
        </w:rPr>
        <w:t>x</w:t>
      </w:r>
      <w:r w:rsidRPr="004A00AC">
        <w:rPr>
          <w:rFonts w:ascii="Times New Roman" w:hAnsi="Times New Roman" w:cs="Times New Roman"/>
          <w:color w:val="222222"/>
          <w:sz w:val="24"/>
          <w:szCs w:val="24"/>
        </w:rPr>
        <w:t>O</w:t>
      </w:r>
      <w:r w:rsidRPr="004A00AC">
        <w:rPr>
          <w:rFonts w:ascii="Times New Roman" w:hAnsi="Times New Roman" w:cs="Times New Roman"/>
          <w:color w:val="222222"/>
          <w:sz w:val="24"/>
          <w:szCs w:val="24"/>
          <w:vertAlign w:val="subscript"/>
        </w:rPr>
        <w:t>y</w:t>
      </w:r>
      <w:r w:rsidRPr="004A00AC">
        <w:rPr>
          <w:rFonts w:ascii="Times New Roman" w:hAnsi="Times New Roman" w:cs="Times New Roman"/>
          <w:color w:val="222222"/>
          <w:sz w:val="24"/>
          <w:szCs w:val="24"/>
        </w:rPr>
        <w:t> (M=Al, Ga, In and La) mixed metal oxides supported on MCM-41 mesoporous molecular sieves. </w:t>
      </w:r>
      <w:r w:rsidRPr="004A00AC">
        <w:rPr>
          <w:rStyle w:val="html-italic"/>
          <w:rFonts w:ascii="Times New Roman" w:hAnsi="Times New Roman" w:cs="Times New Roman"/>
          <w:i/>
          <w:iCs/>
          <w:color w:val="222222"/>
          <w:sz w:val="24"/>
          <w:szCs w:val="24"/>
        </w:rPr>
        <w:t>Appl. Catal. A Gen.</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2009</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357</w:t>
      </w:r>
      <w:r w:rsidRPr="004A00AC">
        <w:rPr>
          <w:rFonts w:ascii="Times New Roman" w:hAnsi="Times New Roman" w:cs="Times New Roman"/>
          <w:color w:val="222222"/>
          <w:sz w:val="24"/>
          <w:szCs w:val="24"/>
        </w:rPr>
        <w:t>, 184–192. [</w:t>
      </w:r>
      <w:hyperlink r:id="rId99"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hyperlink r:id="rId100" w:tgtFrame="_blank" w:history="1">
        <w:r w:rsidRPr="004A00AC">
          <w:rPr>
            <w:rStyle w:val="Hyperlink"/>
            <w:rFonts w:ascii="Times New Roman" w:hAnsi="Times New Roman" w:cs="Times New Roman"/>
            <w:b/>
            <w:bCs/>
            <w:color w:val="4F5671"/>
            <w:sz w:val="24"/>
            <w:szCs w:val="24"/>
          </w:rPr>
          <w:t>CrossRef</w:t>
        </w:r>
      </w:hyperlink>
      <w:r w:rsidRPr="004A00AC">
        <w:rPr>
          <w:rFonts w:ascii="Times New Roman" w:hAnsi="Times New Roman" w:cs="Times New Roman"/>
          <w:color w:val="222222"/>
          <w:sz w:val="24"/>
          <w:szCs w:val="24"/>
        </w:rPr>
        <w:t>]</w:t>
      </w:r>
    </w:p>
    <w:p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Shaabani, A.; Rezayan, A.H.; Behnam, M.; Heidary, M. Green chemistry approaches for the synthesis of quinoxaline derivatives: Comparison of ethanol and water in the presence of the reusable catalyst cellulose sulfuric acid. </w:t>
      </w:r>
      <w:r w:rsidRPr="004A00AC">
        <w:rPr>
          <w:rStyle w:val="html-italic"/>
          <w:rFonts w:ascii="Times New Roman" w:hAnsi="Times New Roman" w:cs="Times New Roman"/>
          <w:i/>
          <w:iCs/>
          <w:color w:val="222222"/>
          <w:sz w:val="24"/>
          <w:szCs w:val="24"/>
        </w:rPr>
        <w:t>Comptes Rendus Chim.</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2009</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12</w:t>
      </w:r>
      <w:r w:rsidRPr="004A00AC">
        <w:rPr>
          <w:rFonts w:ascii="Times New Roman" w:hAnsi="Times New Roman" w:cs="Times New Roman"/>
          <w:color w:val="222222"/>
          <w:sz w:val="24"/>
          <w:szCs w:val="24"/>
        </w:rPr>
        <w:t>, 1249–1252. [</w:t>
      </w:r>
      <w:hyperlink r:id="rId101"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hyperlink r:id="rId102" w:tgtFrame="_blank" w:history="1">
        <w:r w:rsidRPr="004A00AC">
          <w:rPr>
            <w:rStyle w:val="Hyperlink"/>
            <w:rFonts w:ascii="Times New Roman" w:hAnsi="Times New Roman" w:cs="Times New Roman"/>
            <w:b/>
            <w:bCs/>
            <w:color w:val="4F5671"/>
            <w:sz w:val="24"/>
            <w:szCs w:val="24"/>
          </w:rPr>
          <w:t>CrossRef</w:t>
        </w:r>
      </w:hyperlink>
      <w:r w:rsidRPr="004A00AC">
        <w:rPr>
          <w:rFonts w:ascii="Times New Roman" w:hAnsi="Times New Roman" w:cs="Times New Roman"/>
          <w:color w:val="222222"/>
          <w:sz w:val="24"/>
          <w:szCs w:val="24"/>
        </w:rPr>
        <w:t>]</w:t>
      </w:r>
    </w:p>
    <w:p w:rsidR="003A3252" w:rsidRPr="00EE3EB3" w:rsidRDefault="003A3252" w:rsidP="00EE3EB3">
      <w:pPr>
        <w:spacing w:line="360" w:lineRule="auto"/>
        <w:jc w:val="both"/>
        <w:rPr>
          <w:rFonts w:ascii="Times New Roman" w:hAnsi="Times New Roman" w:cs="Times New Roman"/>
          <w:sz w:val="24"/>
        </w:rPr>
      </w:pPr>
    </w:p>
    <w:sectPr w:rsidR="003A3252" w:rsidRPr="00EE3EB3" w:rsidSect="00AE48A3">
      <w:headerReference w:type="even" r:id="rId103"/>
      <w:headerReference w:type="default" r:id="rId104"/>
      <w:footerReference w:type="even" r:id="rId105"/>
      <w:footerReference w:type="default" r:id="rId106"/>
      <w:headerReference w:type="first" r:id="rId107"/>
      <w:footerReference w:type="first" r:id="rId1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B00" w:rsidRDefault="00774B00" w:rsidP="00DF496E">
      <w:pPr>
        <w:spacing w:after="0" w:line="240" w:lineRule="auto"/>
      </w:pPr>
      <w:r>
        <w:separator/>
      </w:r>
    </w:p>
  </w:endnote>
  <w:endnote w:type="continuationSeparator" w:id="0">
    <w:p w:rsidR="00774B00" w:rsidRDefault="00774B00" w:rsidP="00DF4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DD" w:rsidRDefault="007D2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DD" w:rsidRDefault="007D2E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DD" w:rsidRDefault="007D2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B00" w:rsidRDefault="00774B00" w:rsidP="00DF496E">
      <w:pPr>
        <w:spacing w:after="0" w:line="240" w:lineRule="auto"/>
      </w:pPr>
      <w:r>
        <w:separator/>
      </w:r>
    </w:p>
  </w:footnote>
  <w:footnote w:type="continuationSeparator" w:id="0">
    <w:p w:rsidR="00774B00" w:rsidRDefault="00774B00" w:rsidP="00DF4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DD" w:rsidRDefault="00774B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0239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DD" w:rsidRDefault="00774B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0239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DD" w:rsidRDefault="00774B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0239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20F"/>
    <w:multiLevelType w:val="multilevel"/>
    <w:tmpl w:val="E154E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671ABD"/>
    <w:multiLevelType w:val="multilevel"/>
    <w:tmpl w:val="E444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97857"/>
    <w:multiLevelType w:val="multilevel"/>
    <w:tmpl w:val="0520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F4995"/>
    <w:multiLevelType w:val="multilevel"/>
    <w:tmpl w:val="244C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AC5610"/>
    <w:multiLevelType w:val="multilevel"/>
    <w:tmpl w:val="6FFA4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DB2DA0"/>
    <w:multiLevelType w:val="multilevel"/>
    <w:tmpl w:val="0302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C04A6D"/>
    <w:multiLevelType w:val="multilevel"/>
    <w:tmpl w:val="1134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567FF5"/>
    <w:multiLevelType w:val="multilevel"/>
    <w:tmpl w:val="463C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F04E6"/>
    <w:rsid w:val="000C376A"/>
    <w:rsid w:val="00123CC4"/>
    <w:rsid w:val="001D3ABA"/>
    <w:rsid w:val="001F511D"/>
    <w:rsid w:val="00242932"/>
    <w:rsid w:val="002667C6"/>
    <w:rsid w:val="002A61C0"/>
    <w:rsid w:val="002C538C"/>
    <w:rsid w:val="00325992"/>
    <w:rsid w:val="003351DB"/>
    <w:rsid w:val="00375AF3"/>
    <w:rsid w:val="003A0E94"/>
    <w:rsid w:val="003A3252"/>
    <w:rsid w:val="004A00AC"/>
    <w:rsid w:val="005177DC"/>
    <w:rsid w:val="0059076E"/>
    <w:rsid w:val="005B52C0"/>
    <w:rsid w:val="005C2E44"/>
    <w:rsid w:val="005F7198"/>
    <w:rsid w:val="00691E33"/>
    <w:rsid w:val="006A0583"/>
    <w:rsid w:val="0073423E"/>
    <w:rsid w:val="00744D8B"/>
    <w:rsid w:val="00774B00"/>
    <w:rsid w:val="0078532A"/>
    <w:rsid w:val="007D2EDD"/>
    <w:rsid w:val="008220A0"/>
    <w:rsid w:val="00866719"/>
    <w:rsid w:val="008735B5"/>
    <w:rsid w:val="008B6604"/>
    <w:rsid w:val="008D2C7A"/>
    <w:rsid w:val="00AE48A3"/>
    <w:rsid w:val="00B5252C"/>
    <w:rsid w:val="00B84FFD"/>
    <w:rsid w:val="00C14BA2"/>
    <w:rsid w:val="00C3049F"/>
    <w:rsid w:val="00DF04E6"/>
    <w:rsid w:val="00DF496E"/>
    <w:rsid w:val="00EE3EB3"/>
    <w:rsid w:val="00F61777"/>
    <w:rsid w:val="00FD357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0E9A89"/>
  <w15:docId w15:val="{803BA8C8-1435-4BE5-AE05-3FE3AF17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4E6"/>
  </w:style>
  <w:style w:type="paragraph" w:styleId="Heading1">
    <w:name w:val="heading 1"/>
    <w:basedOn w:val="Normal"/>
    <w:next w:val="Normal"/>
    <w:link w:val="Heading1Char"/>
    <w:uiPriority w:val="9"/>
    <w:qFormat/>
    <w:rsid w:val="00F617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F04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F04E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A32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04E6"/>
    <w:rPr>
      <w:rFonts w:ascii="Times New Roman" w:eastAsia="Times New Roman" w:hAnsi="Times New Roman" w:cs="Times New Roman"/>
      <w:b/>
      <w:bCs/>
      <w:sz w:val="36"/>
      <w:szCs w:val="36"/>
    </w:rPr>
  </w:style>
  <w:style w:type="paragraph" w:styleId="NormalWeb">
    <w:name w:val="Normal (Web)"/>
    <w:basedOn w:val="Normal"/>
    <w:uiPriority w:val="99"/>
    <w:unhideWhenUsed/>
    <w:rsid w:val="00DF04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F04E6"/>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DF04E6"/>
    <w:rPr>
      <w:b/>
      <w:bCs/>
    </w:rPr>
  </w:style>
  <w:style w:type="table" w:styleId="TableGrid">
    <w:name w:val="Table Grid"/>
    <w:basedOn w:val="TableNormal"/>
    <w:uiPriority w:val="59"/>
    <w:rsid w:val="00F617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6177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22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0A0"/>
    <w:rPr>
      <w:rFonts w:ascii="Tahoma" w:hAnsi="Tahoma" w:cs="Tahoma"/>
      <w:sz w:val="16"/>
      <w:szCs w:val="16"/>
    </w:rPr>
  </w:style>
  <w:style w:type="character" w:customStyle="1" w:styleId="label">
    <w:name w:val="label"/>
    <w:basedOn w:val="DefaultParagraphFont"/>
    <w:rsid w:val="008220A0"/>
  </w:style>
  <w:style w:type="character" w:styleId="HTMLCite">
    <w:name w:val="HTML Cite"/>
    <w:basedOn w:val="DefaultParagraphFont"/>
    <w:uiPriority w:val="99"/>
    <w:semiHidden/>
    <w:unhideWhenUsed/>
    <w:rsid w:val="008220A0"/>
    <w:rPr>
      <w:i/>
      <w:iCs/>
    </w:rPr>
  </w:style>
  <w:style w:type="character" w:styleId="Hyperlink">
    <w:name w:val="Hyperlink"/>
    <w:basedOn w:val="DefaultParagraphFont"/>
    <w:uiPriority w:val="99"/>
    <w:unhideWhenUsed/>
    <w:rsid w:val="008220A0"/>
    <w:rPr>
      <w:color w:val="0000FF"/>
      <w:u w:val="single"/>
    </w:rPr>
  </w:style>
  <w:style w:type="character" w:styleId="FollowedHyperlink">
    <w:name w:val="FollowedHyperlink"/>
    <w:basedOn w:val="DefaultParagraphFont"/>
    <w:uiPriority w:val="99"/>
    <w:semiHidden/>
    <w:unhideWhenUsed/>
    <w:rsid w:val="008220A0"/>
    <w:rPr>
      <w:color w:val="800080"/>
      <w:u w:val="single"/>
    </w:rPr>
  </w:style>
  <w:style w:type="character" w:customStyle="1" w:styleId="html-italic">
    <w:name w:val="html-italic"/>
    <w:basedOn w:val="DefaultParagraphFont"/>
    <w:rsid w:val="003A3252"/>
  </w:style>
  <w:style w:type="character" w:customStyle="1" w:styleId="Heading4Char">
    <w:name w:val="Heading 4 Char"/>
    <w:basedOn w:val="DefaultParagraphFont"/>
    <w:link w:val="Heading4"/>
    <w:uiPriority w:val="9"/>
    <w:semiHidden/>
    <w:rsid w:val="003A3252"/>
    <w:rPr>
      <w:rFonts w:asciiTheme="majorHAnsi" w:eastAsiaTheme="majorEastAsia" w:hAnsiTheme="majorHAnsi" w:cstheme="majorBidi"/>
      <w:b/>
      <w:bCs/>
      <w:i/>
      <w:iCs/>
      <w:color w:val="4F81BD" w:themeColor="accent1"/>
    </w:rPr>
  </w:style>
  <w:style w:type="character" w:customStyle="1" w:styleId="UnresolvedMention">
    <w:name w:val="Unresolved Mention"/>
    <w:basedOn w:val="DefaultParagraphFont"/>
    <w:uiPriority w:val="99"/>
    <w:semiHidden/>
    <w:unhideWhenUsed/>
    <w:rsid w:val="001F511D"/>
    <w:rPr>
      <w:color w:val="605E5C"/>
      <w:shd w:val="clear" w:color="auto" w:fill="E1DFDD"/>
    </w:rPr>
  </w:style>
  <w:style w:type="paragraph" w:styleId="Header">
    <w:name w:val="header"/>
    <w:basedOn w:val="Normal"/>
    <w:link w:val="HeaderChar"/>
    <w:uiPriority w:val="99"/>
    <w:unhideWhenUsed/>
    <w:rsid w:val="00DF4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96E"/>
  </w:style>
  <w:style w:type="paragraph" w:styleId="Footer">
    <w:name w:val="footer"/>
    <w:basedOn w:val="Normal"/>
    <w:link w:val="FooterChar"/>
    <w:uiPriority w:val="99"/>
    <w:unhideWhenUsed/>
    <w:rsid w:val="00DF4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22473">
      <w:bodyDiv w:val="1"/>
      <w:marLeft w:val="0"/>
      <w:marRight w:val="0"/>
      <w:marTop w:val="0"/>
      <w:marBottom w:val="0"/>
      <w:divBdr>
        <w:top w:val="none" w:sz="0" w:space="0" w:color="auto"/>
        <w:left w:val="none" w:sz="0" w:space="0" w:color="auto"/>
        <w:bottom w:val="none" w:sz="0" w:space="0" w:color="auto"/>
        <w:right w:val="none" w:sz="0" w:space="0" w:color="auto"/>
      </w:divBdr>
    </w:div>
    <w:div w:id="313527637">
      <w:bodyDiv w:val="1"/>
      <w:marLeft w:val="0"/>
      <w:marRight w:val="0"/>
      <w:marTop w:val="0"/>
      <w:marBottom w:val="0"/>
      <w:divBdr>
        <w:top w:val="none" w:sz="0" w:space="0" w:color="auto"/>
        <w:left w:val="none" w:sz="0" w:space="0" w:color="auto"/>
        <w:bottom w:val="none" w:sz="0" w:space="0" w:color="auto"/>
        <w:right w:val="none" w:sz="0" w:space="0" w:color="auto"/>
      </w:divBdr>
    </w:div>
    <w:div w:id="626470701">
      <w:bodyDiv w:val="1"/>
      <w:marLeft w:val="0"/>
      <w:marRight w:val="0"/>
      <w:marTop w:val="0"/>
      <w:marBottom w:val="0"/>
      <w:divBdr>
        <w:top w:val="none" w:sz="0" w:space="0" w:color="auto"/>
        <w:left w:val="none" w:sz="0" w:space="0" w:color="auto"/>
        <w:bottom w:val="none" w:sz="0" w:space="0" w:color="auto"/>
        <w:right w:val="none" w:sz="0" w:space="0" w:color="auto"/>
      </w:divBdr>
      <w:divsChild>
        <w:div w:id="622688489">
          <w:marLeft w:val="0"/>
          <w:marRight w:val="0"/>
          <w:marTop w:val="0"/>
          <w:marBottom w:val="0"/>
          <w:divBdr>
            <w:top w:val="none" w:sz="0" w:space="0" w:color="auto"/>
            <w:left w:val="none" w:sz="0" w:space="0" w:color="auto"/>
            <w:bottom w:val="none" w:sz="0" w:space="0" w:color="auto"/>
            <w:right w:val="none" w:sz="0" w:space="0" w:color="auto"/>
          </w:divBdr>
        </w:div>
      </w:divsChild>
    </w:div>
    <w:div w:id="636379713">
      <w:bodyDiv w:val="1"/>
      <w:marLeft w:val="0"/>
      <w:marRight w:val="0"/>
      <w:marTop w:val="0"/>
      <w:marBottom w:val="0"/>
      <w:divBdr>
        <w:top w:val="none" w:sz="0" w:space="0" w:color="auto"/>
        <w:left w:val="none" w:sz="0" w:space="0" w:color="auto"/>
        <w:bottom w:val="none" w:sz="0" w:space="0" w:color="auto"/>
        <w:right w:val="none" w:sz="0" w:space="0" w:color="auto"/>
      </w:divBdr>
      <w:divsChild>
        <w:div w:id="1256092201">
          <w:marLeft w:val="0"/>
          <w:marRight w:val="0"/>
          <w:marTop w:val="0"/>
          <w:marBottom w:val="0"/>
          <w:divBdr>
            <w:top w:val="none" w:sz="0" w:space="0" w:color="auto"/>
            <w:left w:val="none" w:sz="0" w:space="0" w:color="auto"/>
            <w:bottom w:val="none" w:sz="0" w:space="0" w:color="auto"/>
            <w:right w:val="none" w:sz="0" w:space="0" w:color="auto"/>
          </w:divBdr>
          <w:divsChild>
            <w:div w:id="648872191">
              <w:marLeft w:val="0"/>
              <w:marRight w:val="0"/>
              <w:marTop w:val="0"/>
              <w:marBottom w:val="0"/>
              <w:divBdr>
                <w:top w:val="none" w:sz="0" w:space="0" w:color="auto"/>
                <w:left w:val="none" w:sz="0" w:space="0" w:color="auto"/>
                <w:bottom w:val="none" w:sz="0" w:space="0" w:color="auto"/>
                <w:right w:val="none" w:sz="0" w:space="0" w:color="auto"/>
              </w:divBdr>
              <w:divsChild>
                <w:div w:id="1988128139">
                  <w:marLeft w:val="0"/>
                  <w:marRight w:val="0"/>
                  <w:marTop w:val="0"/>
                  <w:marBottom w:val="0"/>
                  <w:divBdr>
                    <w:top w:val="none" w:sz="0" w:space="0" w:color="auto"/>
                    <w:left w:val="none" w:sz="0" w:space="0" w:color="auto"/>
                    <w:bottom w:val="none" w:sz="0" w:space="0" w:color="auto"/>
                    <w:right w:val="none" w:sz="0" w:space="0" w:color="auto"/>
                  </w:divBdr>
                  <w:divsChild>
                    <w:div w:id="1257249320">
                      <w:marLeft w:val="0"/>
                      <w:marRight w:val="0"/>
                      <w:marTop w:val="0"/>
                      <w:marBottom w:val="0"/>
                      <w:divBdr>
                        <w:top w:val="none" w:sz="0" w:space="0" w:color="auto"/>
                        <w:left w:val="none" w:sz="0" w:space="0" w:color="auto"/>
                        <w:bottom w:val="none" w:sz="0" w:space="0" w:color="auto"/>
                        <w:right w:val="none" w:sz="0" w:space="0" w:color="auto"/>
                      </w:divBdr>
                      <w:divsChild>
                        <w:div w:id="1965190504">
                          <w:marLeft w:val="0"/>
                          <w:marRight w:val="0"/>
                          <w:marTop w:val="0"/>
                          <w:marBottom w:val="0"/>
                          <w:divBdr>
                            <w:top w:val="none" w:sz="0" w:space="0" w:color="auto"/>
                            <w:left w:val="none" w:sz="0" w:space="0" w:color="auto"/>
                            <w:bottom w:val="none" w:sz="0" w:space="0" w:color="auto"/>
                            <w:right w:val="none" w:sz="0" w:space="0" w:color="auto"/>
                          </w:divBdr>
                          <w:divsChild>
                            <w:div w:id="504370227">
                              <w:marLeft w:val="0"/>
                              <w:marRight w:val="0"/>
                              <w:marTop w:val="0"/>
                              <w:marBottom w:val="0"/>
                              <w:divBdr>
                                <w:top w:val="none" w:sz="0" w:space="0" w:color="auto"/>
                                <w:left w:val="none" w:sz="0" w:space="0" w:color="auto"/>
                                <w:bottom w:val="none" w:sz="0" w:space="0" w:color="auto"/>
                                <w:right w:val="none" w:sz="0" w:space="0" w:color="auto"/>
                              </w:divBdr>
                              <w:divsChild>
                                <w:div w:id="1851676228">
                                  <w:marLeft w:val="0"/>
                                  <w:marRight w:val="0"/>
                                  <w:marTop w:val="0"/>
                                  <w:marBottom w:val="0"/>
                                  <w:divBdr>
                                    <w:top w:val="none" w:sz="0" w:space="0" w:color="auto"/>
                                    <w:left w:val="none" w:sz="0" w:space="0" w:color="auto"/>
                                    <w:bottom w:val="none" w:sz="0" w:space="0" w:color="auto"/>
                                    <w:right w:val="none" w:sz="0" w:space="0" w:color="auto"/>
                                  </w:divBdr>
                                  <w:divsChild>
                                    <w:div w:id="616529528">
                                      <w:marLeft w:val="0"/>
                                      <w:marRight w:val="0"/>
                                      <w:marTop w:val="0"/>
                                      <w:marBottom w:val="0"/>
                                      <w:divBdr>
                                        <w:top w:val="none" w:sz="0" w:space="0" w:color="auto"/>
                                        <w:left w:val="none" w:sz="0" w:space="0" w:color="auto"/>
                                        <w:bottom w:val="none" w:sz="0" w:space="0" w:color="auto"/>
                                        <w:right w:val="none" w:sz="0" w:space="0" w:color="auto"/>
                                      </w:divBdr>
                                      <w:divsChild>
                                        <w:div w:id="1756509429">
                                          <w:marLeft w:val="0"/>
                                          <w:marRight w:val="0"/>
                                          <w:marTop w:val="0"/>
                                          <w:marBottom w:val="0"/>
                                          <w:divBdr>
                                            <w:top w:val="none" w:sz="0" w:space="0" w:color="auto"/>
                                            <w:left w:val="none" w:sz="0" w:space="0" w:color="auto"/>
                                            <w:bottom w:val="none" w:sz="0" w:space="0" w:color="auto"/>
                                            <w:right w:val="none" w:sz="0" w:space="0" w:color="auto"/>
                                          </w:divBdr>
                                          <w:divsChild>
                                            <w:div w:id="443041643">
                                              <w:marLeft w:val="0"/>
                                              <w:marRight w:val="0"/>
                                              <w:marTop w:val="0"/>
                                              <w:marBottom w:val="0"/>
                                              <w:divBdr>
                                                <w:top w:val="none" w:sz="0" w:space="0" w:color="auto"/>
                                                <w:left w:val="none" w:sz="0" w:space="0" w:color="auto"/>
                                                <w:bottom w:val="none" w:sz="0" w:space="0" w:color="auto"/>
                                                <w:right w:val="none" w:sz="0" w:space="0" w:color="auto"/>
                                              </w:divBdr>
                                              <w:divsChild>
                                                <w:div w:id="100148784">
                                                  <w:marLeft w:val="0"/>
                                                  <w:marRight w:val="0"/>
                                                  <w:marTop w:val="0"/>
                                                  <w:marBottom w:val="0"/>
                                                  <w:divBdr>
                                                    <w:top w:val="none" w:sz="0" w:space="0" w:color="auto"/>
                                                    <w:left w:val="none" w:sz="0" w:space="0" w:color="auto"/>
                                                    <w:bottom w:val="none" w:sz="0" w:space="0" w:color="auto"/>
                                                    <w:right w:val="none" w:sz="0" w:space="0" w:color="auto"/>
                                                  </w:divBdr>
                                                  <w:divsChild>
                                                    <w:div w:id="1428693661">
                                                      <w:marLeft w:val="0"/>
                                                      <w:marRight w:val="0"/>
                                                      <w:marTop w:val="0"/>
                                                      <w:marBottom w:val="0"/>
                                                      <w:divBdr>
                                                        <w:top w:val="none" w:sz="0" w:space="0" w:color="auto"/>
                                                        <w:left w:val="none" w:sz="0" w:space="0" w:color="auto"/>
                                                        <w:bottom w:val="none" w:sz="0" w:space="0" w:color="auto"/>
                                                        <w:right w:val="none" w:sz="0" w:space="0" w:color="auto"/>
                                                      </w:divBdr>
                                                      <w:divsChild>
                                                        <w:div w:id="32096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3777905">
      <w:bodyDiv w:val="1"/>
      <w:marLeft w:val="0"/>
      <w:marRight w:val="0"/>
      <w:marTop w:val="0"/>
      <w:marBottom w:val="0"/>
      <w:divBdr>
        <w:top w:val="none" w:sz="0" w:space="0" w:color="auto"/>
        <w:left w:val="none" w:sz="0" w:space="0" w:color="auto"/>
        <w:bottom w:val="none" w:sz="0" w:space="0" w:color="auto"/>
        <w:right w:val="none" w:sz="0" w:space="0" w:color="auto"/>
      </w:divBdr>
      <w:divsChild>
        <w:div w:id="816992343">
          <w:marLeft w:val="0"/>
          <w:marRight w:val="0"/>
          <w:marTop w:val="0"/>
          <w:marBottom w:val="0"/>
          <w:divBdr>
            <w:top w:val="none" w:sz="0" w:space="0" w:color="auto"/>
            <w:left w:val="none" w:sz="0" w:space="0" w:color="auto"/>
            <w:bottom w:val="none" w:sz="0" w:space="0" w:color="auto"/>
            <w:right w:val="none" w:sz="0" w:space="0" w:color="auto"/>
          </w:divBdr>
        </w:div>
      </w:divsChild>
    </w:div>
    <w:div w:id="669210770">
      <w:bodyDiv w:val="1"/>
      <w:marLeft w:val="0"/>
      <w:marRight w:val="0"/>
      <w:marTop w:val="0"/>
      <w:marBottom w:val="0"/>
      <w:divBdr>
        <w:top w:val="none" w:sz="0" w:space="0" w:color="auto"/>
        <w:left w:val="none" w:sz="0" w:space="0" w:color="auto"/>
        <w:bottom w:val="none" w:sz="0" w:space="0" w:color="auto"/>
        <w:right w:val="none" w:sz="0" w:space="0" w:color="auto"/>
      </w:divBdr>
    </w:div>
    <w:div w:id="774642718">
      <w:bodyDiv w:val="1"/>
      <w:marLeft w:val="0"/>
      <w:marRight w:val="0"/>
      <w:marTop w:val="0"/>
      <w:marBottom w:val="0"/>
      <w:divBdr>
        <w:top w:val="none" w:sz="0" w:space="0" w:color="auto"/>
        <w:left w:val="none" w:sz="0" w:space="0" w:color="auto"/>
        <w:bottom w:val="none" w:sz="0" w:space="0" w:color="auto"/>
        <w:right w:val="none" w:sz="0" w:space="0" w:color="auto"/>
      </w:divBdr>
    </w:div>
    <w:div w:id="792021799">
      <w:bodyDiv w:val="1"/>
      <w:marLeft w:val="0"/>
      <w:marRight w:val="0"/>
      <w:marTop w:val="0"/>
      <w:marBottom w:val="0"/>
      <w:divBdr>
        <w:top w:val="none" w:sz="0" w:space="0" w:color="auto"/>
        <w:left w:val="none" w:sz="0" w:space="0" w:color="auto"/>
        <w:bottom w:val="none" w:sz="0" w:space="0" w:color="auto"/>
        <w:right w:val="none" w:sz="0" w:space="0" w:color="auto"/>
      </w:divBdr>
    </w:div>
    <w:div w:id="850143686">
      <w:bodyDiv w:val="1"/>
      <w:marLeft w:val="0"/>
      <w:marRight w:val="0"/>
      <w:marTop w:val="0"/>
      <w:marBottom w:val="0"/>
      <w:divBdr>
        <w:top w:val="none" w:sz="0" w:space="0" w:color="auto"/>
        <w:left w:val="none" w:sz="0" w:space="0" w:color="auto"/>
        <w:bottom w:val="none" w:sz="0" w:space="0" w:color="auto"/>
        <w:right w:val="none" w:sz="0" w:space="0" w:color="auto"/>
      </w:divBdr>
    </w:div>
    <w:div w:id="1193685593">
      <w:bodyDiv w:val="1"/>
      <w:marLeft w:val="0"/>
      <w:marRight w:val="0"/>
      <w:marTop w:val="0"/>
      <w:marBottom w:val="0"/>
      <w:divBdr>
        <w:top w:val="none" w:sz="0" w:space="0" w:color="auto"/>
        <w:left w:val="none" w:sz="0" w:space="0" w:color="auto"/>
        <w:bottom w:val="none" w:sz="0" w:space="0" w:color="auto"/>
        <w:right w:val="none" w:sz="0" w:space="0" w:color="auto"/>
      </w:divBdr>
    </w:div>
    <w:div w:id="1271624430">
      <w:bodyDiv w:val="1"/>
      <w:marLeft w:val="0"/>
      <w:marRight w:val="0"/>
      <w:marTop w:val="0"/>
      <w:marBottom w:val="0"/>
      <w:divBdr>
        <w:top w:val="none" w:sz="0" w:space="0" w:color="auto"/>
        <w:left w:val="none" w:sz="0" w:space="0" w:color="auto"/>
        <w:bottom w:val="none" w:sz="0" w:space="0" w:color="auto"/>
        <w:right w:val="none" w:sz="0" w:space="0" w:color="auto"/>
      </w:divBdr>
    </w:div>
    <w:div w:id="1319533983">
      <w:bodyDiv w:val="1"/>
      <w:marLeft w:val="0"/>
      <w:marRight w:val="0"/>
      <w:marTop w:val="0"/>
      <w:marBottom w:val="0"/>
      <w:divBdr>
        <w:top w:val="none" w:sz="0" w:space="0" w:color="auto"/>
        <w:left w:val="none" w:sz="0" w:space="0" w:color="auto"/>
        <w:bottom w:val="none" w:sz="0" w:space="0" w:color="auto"/>
        <w:right w:val="none" w:sz="0" w:space="0" w:color="auto"/>
      </w:divBdr>
    </w:div>
    <w:div w:id="1341616875">
      <w:bodyDiv w:val="1"/>
      <w:marLeft w:val="0"/>
      <w:marRight w:val="0"/>
      <w:marTop w:val="0"/>
      <w:marBottom w:val="0"/>
      <w:divBdr>
        <w:top w:val="none" w:sz="0" w:space="0" w:color="auto"/>
        <w:left w:val="none" w:sz="0" w:space="0" w:color="auto"/>
        <w:bottom w:val="none" w:sz="0" w:space="0" w:color="auto"/>
        <w:right w:val="none" w:sz="0" w:space="0" w:color="auto"/>
      </w:divBdr>
    </w:div>
    <w:div w:id="1380207606">
      <w:bodyDiv w:val="1"/>
      <w:marLeft w:val="0"/>
      <w:marRight w:val="0"/>
      <w:marTop w:val="0"/>
      <w:marBottom w:val="0"/>
      <w:divBdr>
        <w:top w:val="none" w:sz="0" w:space="0" w:color="auto"/>
        <w:left w:val="none" w:sz="0" w:space="0" w:color="auto"/>
        <w:bottom w:val="none" w:sz="0" w:space="0" w:color="auto"/>
        <w:right w:val="none" w:sz="0" w:space="0" w:color="auto"/>
      </w:divBdr>
    </w:div>
    <w:div w:id="1440225585">
      <w:bodyDiv w:val="1"/>
      <w:marLeft w:val="0"/>
      <w:marRight w:val="0"/>
      <w:marTop w:val="0"/>
      <w:marBottom w:val="0"/>
      <w:divBdr>
        <w:top w:val="none" w:sz="0" w:space="0" w:color="auto"/>
        <w:left w:val="none" w:sz="0" w:space="0" w:color="auto"/>
        <w:bottom w:val="none" w:sz="0" w:space="0" w:color="auto"/>
        <w:right w:val="none" w:sz="0" w:space="0" w:color="auto"/>
      </w:divBdr>
    </w:div>
    <w:div w:id="1472208707">
      <w:bodyDiv w:val="1"/>
      <w:marLeft w:val="0"/>
      <w:marRight w:val="0"/>
      <w:marTop w:val="0"/>
      <w:marBottom w:val="0"/>
      <w:divBdr>
        <w:top w:val="none" w:sz="0" w:space="0" w:color="auto"/>
        <w:left w:val="none" w:sz="0" w:space="0" w:color="auto"/>
        <w:bottom w:val="none" w:sz="0" w:space="0" w:color="auto"/>
        <w:right w:val="none" w:sz="0" w:space="0" w:color="auto"/>
      </w:divBdr>
    </w:div>
    <w:div w:id="1631979562">
      <w:bodyDiv w:val="1"/>
      <w:marLeft w:val="0"/>
      <w:marRight w:val="0"/>
      <w:marTop w:val="0"/>
      <w:marBottom w:val="0"/>
      <w:divBdr>
        <w:top w:val="none" w:sz="0" w:space="0" w:color="auto"/>
        <w:left w:val="none" w:sz="0" w:space="0" w:color="auto"/>
        <w:bottom w:val="none" w:sz="0" w:space="0" w:color="auto"/>
        <w:right w:val="none" w:sz="0" w:space="0" w:color="auto"/>
      </w:divBdr>
    </w:div>
    <w:div w:id="1851480100">
      <w:bodyDiv w:val="1"/>
      <w:marLeft w:val="0"/>
      <w:marRight w:val="0"/>
      <w:marTop w:val="0"/>
      <w:marBottom w:val="0"/>
      <w:divBdr>
        <w:top w:val="none" w:sz="0" w:space="0" w:color="auto"/>
        <w:left w:val="none" w:sz="0" w:space="0" w:color="auto"/>
        <w:bottom w:val="none" w:sz="0" w:space="0" w:color="auto"/>
        <w:right w:val="none" w:sz="0" w:space="0" w:color="auto"/>
      </w:divBdr>
    </w:div>
    <w:div w:id="1933780986">
      <w:bodyDiv w:val="1"/>
      <w:marLeft w:val="0"/>
      <w:marRight w:val="0"/>
      <w:marTop w:val="0"/>
      <w:marBottom w:val="0"/>
      <w:divBdr>
        <w:top w:val="none" w:sz="0" w:space="0" w:color="auto"/>
        <w:left w:val="none" w:sz="0" w:space="0" w:color="auto"/>
        <w:bottom w:val="none" w:sz="0" w:space="0" w:color="auto"/>
        <w:right w:val="none" w:sz="0" w:space="0" w:color="auto"/>
      </w:divBdr>
      <w:divsChild>
        <w:div w:id="2121098170">
          <w:marLeft w:val="0"/>
          <w:marRight w:val="0"/>
          <w:marTop w:val="0"/>
          <w:marBottom w:val="0"/>
          <w:divBdr>
            <w:top w:val="none" w:sz="0" w:space="0" w:color="auto"/>
            <w:left w:val="none" w:sz="0" w:space="0" w:color="auto"/>
            <w:bottom w:val="none" w:sz="0" w:space="0" w:color="auto"/>
            <w:right w:val="none" w:sz="0" w:space="0" w:color="auto"/>
          </w:divBdr>
        </w:div>
      </w:divsChild>
    </w:div>
    <w:div w:id="2089964241">
      <w:bodyDiv w:val="1"/>
      <w:marLeft w:val="0"/>
      <w:marRight w:val="0"/>
      <w:marTop w:val="0"/>
      <w:marBottom w:val="0"/>
      <w:divBdr>
        <w:top w:val="none" w:sz="0" w:space="0" w:color="auto"/>
        <w:left w:val="none" w:sz="0" w:space="0" w:color="auto"/>
        <w:bottom w:val="none" w:sz="0" w:space="0" w:color="auto"/>
        <w:right w:val="none" w:sz="0" w:space="0" w:color="auto"/>
      </w:divBdr>
    </w:div>
    <w:div w:id="213424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dpi.com/1420-3049/14/5/1915/pdf" TargetMode="External"/><Relationship Id="rId21" Type="http://schemas.openxmlformats.org/officeDocument/2006/relationships/hyperlink" Target="https://doi.org/10.1016/j.ejmech.2014.06.058" TargetMode="External"/><Relationship Id="rId42" Type="http://schemas.openxmlformats.org/officeDocument/2006/relationships/hyperlink" Target="https://doi.org/10.3390/molecules25122784" TargetMode="External"/><Relationship Id="rId47" Type="http://schemas.openxmlformats.org/officeDocument/2006/relationships/hyperlink" Target="https://scholar.google.com/scholar_lookup?title=Recent+advances+in+pharmacological+activities+of+quinoxaline+derivatives&amp;author=Husain,+A.&amp;author=Madhesia,+D.&amp;publication_year=2011&amp;journal=J.+Pharm.+Res.&amp;volume=4&amp;pages=924%E2%80%93929" TargetMode="External"/><Relationship Id="rId63" Type="http://schemas.openxmlformats.org/officeDocument/2006/relationships/hyperlink" Target="https://doi.org/10.18596/jotcsa.577101" TargetMode="External"/><Relationship Id="rId68" Type="http://schemas.openxmlformats.org/officeDocument/2006/relationships/hyperlink" Target="https://scholar.google.com/scholar_lookup?title=FeCl+3+-Catalyzed+synthesis+of+pyrrolo%5b1,2-a%5dquinoxaline+derivatives+from+1-(2-aminophenyl)pyrroles+through+annulation+and+cleavage+of+cyclic+ethers&amp;author=An,+Z.&amp;author=Wu,+M.&amp;author=Ni,+J.&amp;author=Qi,+Z.&amp;author=Yu,+G.&amp;author=Yan,+R.&amp;author=Zhao,+L.-B.&amp;publication_year=2017&amp;journal=Chem.+Commun.&amp;volume=53&amp;pages=11572%E2%80%9311575&amp;doi=10.1039/C7CC07089F&amp;pmid=28990598" TargetMode="External"/><Relationship Id="rId84" Type="http://schemas.openxmlformats.org/officeDocument/2006/relationships/hyperlink" Target="https://www.mdpi.com/1420-3049/26/4/1055" TargetMode="External"/><Relationship Id="rId89" Type="http://schemas.openxmlformats.org/officeDocument/2006/relationships/hyperlink" Target="https://scholar.google.com/scholar_lookup?title=Solvent+free+synthesis+of+quinoxalines,+dipyridophenazines+and+chalcones+under+microwave+irradiation+with+sulfated+Degussa+titania+as+a+novel+solid+acid+catalyst&amp;author=Krishnakumar,+B.&amp;author=Swaminathan,+M.&amp;publication_year=2011&amp;journal=J.+Mol.+Catal.+A+Chem.&amp;volume=350&amp;pages=16%E2%80%9325&amp;doi=10.1016/j.molcata.2011.08.026" TargetMode="External"/><Relationship Id="rId16" Type="http://schemas.openxmlformats.org/officeDocument/2006/relationships/image" Target="media/image8.png"/><Relationship Id="rId107" Type="http://schemas.openxmlformats.org/officeDocument/2006/relationships/header" Target="header3.xml"/><Relationship Id="rId11" Type="http://schemas.openxmlformats.org/officeDocument/2006/relationships/hyperlink" Target="https://www.mdpi.com/2076-3417/11/12/5702" TargetMode="External"/><Relationship Id="rId32" Type="http://schemas.openxmlformats.org/officeDocument/2006/relationships/hyperlink" Target="https://scholar.google.com/scholar_lookup?title=Synthesis+of+quinoxaline,+benzimidazole+and+pyrazole+derivatives+under+the+catalytic+influence+of+biosurfactant-stabilized+iron+nanoparticles+in+water&amp;author=Arde,+S.M.&amp;author=Patil,+A.D.&amp;author=Mane,+A.H.&amp;author=Salokhe,+P.R.&amp;author=Salunkhe,+R.S.&amp;publication_year=2020&amp;journal=Res.+Chem.+Intermed.&amp;volume=46&amp;pages=5069%E2%80%935086&amp;doi=10.1007/s11164-020-04240-6" TargetMode="External"/><Relationship Id="rId37" Type="http://schemas.openxmlformats.org/officeDocument/2006/relationships/hyperlink" Target="https://doi.org/10.3390/molecules17089451" TargetMode="External"/><Relationship Id="rId53" Type="http://schemas.openxmlformats.org/officeDocument/2006/relationships/hyperlink" Target="https://scholar.google.com/scholar_lookup?title=2,3-bifunctionalized+quinoxalines:+Synthesis,+DNA+interactions+and+evaluation+of+anticancer,+anti-tuberculosis+and+antifungal+activity&amp;author=Waring,+M.J.&amp;author=Ben-Hadda,+T.&amp;author=Kotchevar,+A.T.&amp;author=Ramdani,+A.&amp;author=Touzani,+R.&amp;author=Elkadiri,+S.&amp;author=Hakkou,+A.&amp;author=Bouakka,+M.&amp;author=Ellis,+T.&amp;publication_year=2002&amp;journal=Molecules&amp;volume=7&amp;pages=641%E2%80%93656&amp;doi=10.3390/70800641" TargetMode="External"/><Relationship Id="rId58" Type="http://schemas.openxmlformats.org/officeDocument/2006/relationships/hyperlink" Target="https://doi.org/10.1056/NEJMe2001126" TargetMode="External"/><Relationship Id="rId74" Type="http://schemas.openxmlformats.org/officeDocument/2006/relationships/hyperlink" Target="https://scholar.google.com/scholar_lookup?title=Comparison+of+the+effects+of+2,+2,+2-trifluoroethanol+on+peptide+and+protein+structure+and+function&amp;author=Povey,+J.F.&amp;author=Smales,+C.M.&amp;author=Hassard,+S.J.&amp;author=Howard,+M.J.&amp;publication_year=2007&amp;journal=J.+Struct.+Boil.&amp;volume=157&amp;pages=329338&amp;doi=10.1016/j.jsb.2006.07.008&amp;pmid=16979904" TargetMode="External"/><Relationship Id="rId79" Type="http://schemas.openxmlformats.org/officeDocument/2006/relationships/hyperlink" Target="http://society.kisti.re.kr/sv/SV_svpsbs03V.do?method=download&amp;cn1=JAKO201225135676740" TargetMode="External"/><Relationship Id="rId102" Type="http://schemas.openxmlformats.org/officeDocument/2006/relationships/hyperlink" Target="https://doi.org/10.1016/j.crci.2009.01.006" TargetMode="External"/><Relationship Id="rId5" Type="http://schemas.openxmlformats.org/officeDocument/2006/relationships/footnotes" Target="footnotes.xml"/><Relationship Id="rId90" Type="http://schemas.openxmlformats.org/officeDocument/2006/relationships/hyperlink" Target="https://doi.org/10.1016/j.molcata.2011.08.026" TargetMode="External"/><Relationship Id="rId95" Type="http://schemas.openxmlformats.org/officeDocument/2006/relationships/hyperlink" Target="https://scholar.google.com/scholar_lookup?title=Synthesis+of+quinoxaline+derivatives+catalyzed+by+PEG-400&amp;author=Zhang,+X.Z.&amp;author=Wang,+J.X.&amp;author=Sun,+Y.J.&amp;author=Zhan,+H.W.&amp;publication_year=2010&amp;journal=Chin.+Chem.+Lett.&amp;volume=21&amp;pages=395%E2%80%93398&amp;doi=10.1016/j.cclet.2009.12.015" TargetMode="External"/><Relationship Id="rId22" Type="http://schemas.openxmlformats.org/officeDocument/2006/relationships/hyperlink" Target="http://www.ncbi.nlm.nih.gov/pubmed/25011559" TargetMode="External"/><Relationship Id="rId27" Type="http://schemas.openxmlformats.org/officeDocument/2006/relationships/hyperlink" Target="https://scholar.google.com/scholar_lookup?title=One-pot+efficient+green+synthesis+of+1,4-dihydro-quinoxaline-2,3-dione+derivatives&amp;author=Thakuria,+H.&amp;author=Das,+G.&amp;publication_year=2006&amp;journal=J.+Chem.+Sci.&amp;volume=118&amp;pages=425%E2%80%93428&amp;doi=10.1007/BF02711453" TargetMode="External"/><Relationship Id="rId43" Type="http://schemas.openxmlformats.org/officeDocument/2006/relationships/hyperlink" Target="http://www.ncbi.nlm.nih.gov/pubmed/32560203" TargetMode="External"/><Relationship Id="rId48" Type="http://schemas.openxmlformats.org/officeDocument/2006/relationships/hyperlink" Target="https://scholar.google.com/scholar_lookup?title=Novel+substituted+quinoxaline+1,4-dioxides+with+in+vitro+antimycobacterial+and+anticandida+activity&amp;author=Carta,+A.&amp;author=Paglietti,+G.&amp;author=Nikookar,+M.E.R.&amp;author=Sanna,+P.&amp;author=Sechi,+L.&amp;author=Zanetti,+S.&amp;publication_year=2002&amp;journal=Eur.+J.+Med.+Chem.&amp;volume=37&amp;pages=355%E2%80%93366&amp;doi=10.1016/S0223-5234(02)01346-6" TargetMode="External"/><Relationship Id="rId64" Type="http://schemas.openxmlformats.org/officeDocument/2006/relationships/hyperlink" Target="https://scholar.google.com/scholar_lookup?title=Recent+developments+in+the+synthesis+of+quinoxaline+derivatives+by+green+synthetic+approaches&amp;author=Nageswar,+Y.V.D.&amp;author=Reddy,+K.H.V.&amp;author=Ramesh,+K.&amp;author=Murthy,+S.N.&amp;publication_year=2013&amp;journal=Org.+Prep.+Proced.+Int.&amp;volume=45&amp;pages=1%E2%80%9327&amp;doi=10.1080/00304948.2013.743419" TargetMode="External"/><Relationship Id="rId69" Type="http://schemas.openxmlformats.org/officeDocument/2006/relationships/hyperlink" Target="https://doi.org/10.1039/C7CC07089F" TargetMode="External"/><Relationship Id="rId80" Type="http://schemas.openxmlformats.org/officeDocument/2006/relationships/hyperlink" Target="https://scholar.google.com/scholar_lookup?title=Quinoxalines,+Supplement+2&amp;author=Brown,+D.J.&amp;author=Taylor,+E.C.&amp;author=Ellman,+J.A.&amp;publication_year=2004" TargetMode="External"/><Relationship Id="rId85" Type="http://schemas.openxmlformats.org/officeDocument/2006/relationships/hyperlink" Target="https://scholar.google.com/scholar_lookup?title=Easy+access+to+quinoxaline+derivatives+using+alumina+as+an+effective+and+reusable+catalyst+under+solvent-free+conditions&amp;author=Jafarpour,+M.&amp;author=Rezaeifard,+A.&amp;author=Danehchin,+M.&amp;publication_year=2011&amp;journal=Appl.+Catal.+A+Gen.&amp;volume=394&amp;pages=48%E2%80%9351&amp;doi=10.1016/j.apcata.2010.12.022" TargetMode="External"/><Relationship Id="rId12" Type="http://schemas.openxmlformats.org/officeDocument/2006/relationships/image" Target="media/image4.png"/><Relationship Id="rId17" Type="http://schemas.openxmlformats.org/officeDocument/2006/relationships/hyperlink" Target="https://scholar.google.com/scholar_lookup?title=A+review+on+the+therapeutic+potential+of+quinoxaline+derivatives&amp;author=Irfan,+A.&amp;author=Sabeeh,+I.&amp;author=Umer,+M.&amp;author=Naqvi,+A.Z.&amp;author=Fatima,+H.&amp;author=Yousaf,+S.&amp;author=Fatima,+Z.&amp;publication_year=2017&amp;journal=World+J.+Pharm.+Res.&amp;volume=6&amp;pages=47%E2%80%9368&amp;doi=10.20959/wjpr201713-9878" TargetMode="External"/><Relationship Id="rId33" Type="http://schemas.openxmlformats.org/officeDocument/2006/relationships/hyperlink" Target="https://doi.org/10.1007/s11164-020-04240-6" TargetMode="External"/><Relationship Id="rId38" Type="http://schemas.openxmlformats.org/officeDocument/2006/relationships/hyperlink" Target="https://www.mdpi.com/1420-3049/17/8/9451/pdf" TargetMode="External"/><Relationship Id="rId59" Type="http://schemas.openxmlformats.org/officeDocument/2006/relationships/hyperlink" Target="https://scholar.google.com/scholar_lookup?title=Bentonite+clay+K-10+as+an+efficient+reagent+for+the+synthesis+of+quinoxaline+derivatives+at+room+temperature&amp;author=Hasaninejad,+A.&amp;author=Zare,+A.&amp;author=Shekouhy,+M.&amp;author=Moosavi-Zare,+A.R.&amp;publication_year=2009&amp;journal=E-J.+Chem.&amp;volume=6&amp;pages=S247%E2%80%93S253&amp;doi=10.1155/2009/354273" TargetMode="External"/><Relationship Id="rId103" Type="http://schemas.openxmlformats.org/officeDocument/2006/relationships/header" Target="header1.xml"/><Relationship Id="rId108" Type="http://schemas.openxmlformats.org/officeDocument/2006/relationships/footer" Target="footer3.xml"/><Relationship Id="rId54" Type="http://schemas.openxmlformats.org/officeDocument/2006/relationships/hyperlink" Target="https://doi.org/10.3390/70800641" TargetMode="External"/><Relationship Id="rId70" Type="http://schemas.openxmlformats.org/officeDocument/2006/relationships/hyperlink" Target="http://www.ncbi.nlm.nih.gov/pubmed/28990598" TargetMode="External"/><Relationship Id="rId75" Type="http://schemas.openxmlformats.org/officeDocument/2006/relationships/hyperlink" Target="https://doi.org/10.1016/j.jsb.2006.07.008" TargetMode="External"/><Relationship Id="rId91" Type="http://schemas.openxmlformats.org/officeDocument/2006/relationships/hyperlink" Target="https://scholar.google.com/scholar_lookup?title=Zn2+-K10-clay+(clayzic)+as+an+efficient+water-tolerant,+solid+acid+catalyst+for+the+synthesis+of+benzimidazoles+and+quinoxalines+at+room+temperature&amp;author=Dhakshinamoorthy,+A.&amp;author=Kanagaraj,+K.&amp;author=Tharmaraj,+V.&amp;publication_year=2011&amp;journal=Tetrahedron+Lett.&amp;volume=52&amp;pages=69%E2%80%9373&amp;doi=10.1016/j.tetlet.2010.10.146" TargetMode="External"/><Relationship Id="rId96" Type="http://schemas.openxmlformats.org/officeDocument/2006/relationships/hyperlink" Target="https://doi.org/10.1016/j.cclet.2009.12.01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hyperlink" Target="http://recipp.ipp.pt/bitstream/10400.22/7411/1/ART_AnaPessoa_2015_2.pdf" TargetMode="External"/><Relationship Id="rId28" Type="http://schemas.openxmlformats.org/officeDocument/2006/relationships/hyperlink" Target="https://doi.org/10.1007/BF02711453" TargetMode="External"/><Relationship Id="rId36" Type="http://schemas.openxmlformats.org/officeDocument/2006/relationships/hyperlink" Target="https://scholar.google.com/scholar_lookup?title=Antiplasmodial+and+leishmanicidal+activities+of+2-cyano-3-(4-phenylpiperazine-1-carboxamido)+quinoxaline+1,4-dioxide+derivatives&amp;author=Barea,+C.&amp;author=Pab%C3%B3n,+A.&amp;author=Galiano,+S.&amp;author=P%C3%A9rez-Silanes,+S.&amp;author=Gonz%C3%A1lez,+G.&amp;author=Deyssard,+C.&amp;author=Monge,+A.&amp;author=Deharo,+E.&amp;author=Aldana,+I.&amp;publication_year=2012&amp;journal=Molecules&amp;volume=17&amp;pages=9451%E2%80%939461&amp;doi=10.3390/molecules17089451" TargetMode="External"/><Relationship Id="rId49" Type="http://schemas.openxmlformats.org/officeDocument/2006/relationships/hyperlink" Target="https://doi.org/10.1016/S0223-5234(02)01346-6" TargetMode="External"/><Relationship Id="rId57" Type="http://schemas.openxmlformats.org/officeDocument/2006/relationships/hyperlink" Target="https://scholar.google.com/scholar_lookup?title=Another+decade,+another+coronavirus&amp;author=Perlman,+S.&amp;publication_year=2020&amp;journal=N.+Engl.+J.+Med.&amp;volume=382&amp;pages=760%E2%80%93762&amp;doi=10.1056/NEJMe2001126" TargetMode="External"/><Relationship Id="rId106" Type="http://schemas.openxmlformats.org/officeDocument/2006/relationships/footer" Target="footer2.xml"/><Relationship Id="rId10" Type="http://schemas.openxmlformats.org/officeDocument/2006/relationships/hyperlink" Target="https://www.mdpi.com/2076-3417/11/12/5702" TargetMode="External"/><Relationship Id="rId31" Type="http://schemas.openxmlformats.org/officeDocument/2006/relationships/hyperlink" Target="https://scholar.google.com/scholar_lookup?title=The+synthesis+of+quinoxalines+under+microwave+irradiation&amp;author=Rostamizadeh,+S.&amp;author=Jafari,+S.&amp;publication_year=2001&amp;journal=Indian+J.+Heterocycl.+Chem.&amp;volume=10&amp;pages=303%E2%80%93304" TargetMode="External"/><Relationship Id="rId44" Type="http://schemas.openxmlformats.org/officeDocument/2006/relationships/hyperlink" Target="https://scholar.google.com/scholar_lookup?title=Antimicrobial+activity+of+quinoxaline+1,4-dioxide+with+2-+and+3-substituted+derivatives&amp;author=Vieira,+M.&amp;author=Pinheiro,+C.&amp;author=Fernandes,+R.&amp;author=Noronha,+J.&amp;author=Prud%C3%AAncio,+C.&amp;publication_year=2014&amp;journal=Microbiol.+Res.&amp;volume=169&amp;pages=287%E2%80%93293&amp;doi=10.1016/j.micres.2013.06.015&amp;pmid=23928379" TargetMode="External"/><Relationship Id="rId52" Type="http://schemas.openxmlformats.org/officeDocument/2006/relationships/hyperlink" Target="https://virologyj.biomedcentral.com/track/pdf/10.1186/s12985-016-0544-0" TargetMode="External"/><Relationship Id="rId60" Type="http://schemas.openxmlformats.org/officeDocument/2006/relationships/hyperlink" Target="https://doi.org/10.1155/2009/354273" TargetMode="External"/><Relationship Id="rId65" Type="http://schemas.openxmlformats.org/officeDocument/2006/relationships/hyperlink" Target="https://doi.org/10.1080/00304948.2013.743419" TargetMode="External"/><Relationship Id="rId73" Type="http://schemas.openxmlformats.org/officeDocument/2006/relationships/hyperlink" Target="https://doi.org/10.1002/chin.200416232" TargetMode="External"/><Relationship Id="rId78" Type="http://schemas.openxmlformats.org/officeDocument/2006/relationships/hyperlink" Target="https://doi.org/10.5012/bkcs.2012.33.8.2581" TargetMode="External"/><Relationship Id="rId81" Type="http://schemas.openxmlformats.org/officeDocument/2006/relationships/hyperlink" Target="https://scholar.google.com/scholar_lookup?title=A+simple+and+efficient+protocol+for+the+synthesis+of+quinoxalines+catalyzed+by+pyridine&amp;author=Wadavrao,+S.B.&amp;author=Ghogare,+R.&amp;author=Narsaiah,+A.V.&amp;publication_year=2013&amp;journal=Org.+Commun.&amp;volume=6&amp;pages=23" TargetMode="External"/><Relationship Id="rId86" Type="http://schemas.openxmlformats.org/officeDocument/2006/relationships/hyperlink" Target="https://doi.org/10.1016/j.apcata.2010.12.022" TargetMode="External"/><Relationship Id="rId94" Type="http://schemas.openxmlformats.org/officeDocument/2006/relationships/hyperlink" Target="https://doi.org/10.1016/j.catcom.2010.10.011" TargetMode="External"/><Relationship Id="rId99" Type="http://schemas.openxmlformats.org/officeDocument/2006/relationships/hyperlink" Target="https://scholar.google.com/scholar_lookup?title=Efficient+synthesis+of+quinoxaline+derivatives+over+ZrO2/MxOy+(M=Al,+Ga,+In+and+La)+mixed+metal+oxides+supported+on+MCM-41+mesoporous+molecular+sieves&amp;author=Ajaikumar,+S.&amp;author=Pandurangan,+A.&amp;publication_year=2009&amp;journal=Appl.+Catal.+A+Gen.&amp;volume=357&amp;pages=184%E2%80%93192&amp;doi=10.1016/j.apcata.2009.01.021" TargetMode="External"/><Relationship Id="rId101" Type="http://schemas.openxmlformats.org/officeDocument/2006/relationships/hyperlink" Target="https://scholar.google.com/scholar_lookup?title=Green+chemistry+approaches+for+the+synthesis+of+quinoxaline+derivatives:+Comparison+of+ethanol+and+water+in+the+presence+of+the+reusable+catalyst+cellulose+sulfuric+acid&amp;author=Shaabani,+A.&amp;author=Rezayan,+A.H.&amp;author=Behnam,+M.&amp;author=Heidary,+M.&amp;publication_year=2009&amp;journal=Comptes+Rendus+Chim.&amp;volume=12&amp;pages=1249%E2%80%931252&amp;doi=10.1016/j.crci.2009.01.006"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hyperlink" Target="https://doi.org/10.20959/wjpr201713-9878" TargetMode="External"/><Relationship Id="rId39" Type="http://schemas.openxmlformats.org/officeDocument/2006/relationships/hyperlink" Target="https://scholar.google.com/scholar_lookup?title=4-Amino%5b1,2,4%5dtriazolo%5b4,3-a%5dquinoxalines.+A+novel+class+of+potent+adenosine+receptor+antagonists+and+potential+rapid-onset+antidepressants&amp;author=Sarges,+R.&amp;author=Howard,+H.R.&amp;author=Browne,+R.G.&amp;author=Lebel,+L.A.&amp;author=Seymour,+P.A.&amp;author=Koe,+B.K.&amp;publication_year=1990&amp;journal=J.+Med.+Chem.&amp;volume=33&amp;pages=2240%E2%80%932254&amp;doi=10.1021/jm00170a031" TargetMode="External"/><Relationship Id="rId109" Type="http://schemas.openxmlformats.org/officeDocument/2006/relationships/fontTable" Target="fontTable.xml"/><Relationship Id="rId34" Type="http://schemas.openxmlformats.org/officeDocument/2006/relationships/hyperlink" Target="https://scholar.google.com/scholar_lookup?title=synthesis+of+some+new+pyrimido+%5b2%E2%80%B2,+1%E2%80%B2:+2,+3%5d+thiazolo+%5b4,+5-b%5d+quinoxaline+derivatives+as+anti-inflammatory+and+analgesic+agents&amp;author=Abu-Hashem,+A.A.&amp;author=Gouda,+M.A.&amp;author=Badria,+F.A.&amp;publication_year=2010&amp;journal=Eur.+J.+Med.+Chem.&amp;volume=45&amp;pages=1976%E2%80%931981&amp;doi=10.1016/j.ejmech.2010.01.042" TargetMode="External"/><Relationship Id="rId50" Type="http://schemas.openxmlformats.org/officeDocument/2006/relationships/hyperlink" Target="https://scholar.google.com/scholar_lookup?title=Middle+East+respiratory+syndrome+coronavirus+(MERS-CoV)+origin+and+animal+reservoir&amp;author=Mohd,+H.A.&amp;author=Al-Tawfiq,+J.A.&amp;author=Memish,+Z.A.&amp;publication_year=2016&amp;journal=Virol.+J.&amp;volume=13&amp;pages=1%E2%80%937&amp;doi=10.1186/s12985-016-0544-0" TargetMode="External"/><Relationship Id="rId55" Type="http://schemas.openxmlformats.org/officeDocument/2006/relationships/hyperlink" Target="https://scholar.google.com/scholar_lookup?title=The+Ebola+outbreak,+2013%E2%80%932016:+Old+lessons+for+new+epidemics&amp;author=Coltart,+C.E.M.&amp;author=Lindsey,+B.&amp;author=Ghinai,+I.&amp;author=Johnson,+A.M.&amp;author=Heymann,+D.L.&amp;publication_year=2017&amp;journal=Philos.+Trans.+R.+Soc.+B+Biol.+Sci.&amp;volume=372&amp;pages=20160297&amp;doi=10.1098/rstb.2016.0297" TargetMode="External"/><Relationship Id="rId76" Type="http://schemas.openxmlformats.org/officeDocument/2006/relationships/hyperlink" Target="http://www.ncbi.nlm.nih.gov/pubmed/16979904" TargetMode="External"/><Relationship Id="rId97" Type="http://schemas.openxmlformats.org/officeDocument/2006/relationships/hyperlink" Target="https://scholar.google.com/scholar_lookup?title=Wells-dawson+type+heteropolyacid+catalyzed+synthesis+of+quinoxaline+derivatives+at+room+temperature&amp;author=Heravi,+M.M.&amp;author=Bakhtiari,+K.&amp;author=Bamoharram,+F.F.&amp;author=Tehrani,+M.H.&amp;publication_year=2007&amp;journal=Mon.+F%C3%BCr+Chem.+Chem.+Mon.&amp;volume=138&amp;pages=465%E2%80%93467&amp;doi=10.1007/s00706-007-0594-5" TargetMode="External"/><Relationship Id="rId104" Type="http://schemas.openxmlformats.org/officeDocument/2006/relationships/header" Target="header2.xml"/><Relationship Id="rId7" Type="http://schemas.openxmlformats.org/officeDocument/2006/relationships/image" Target="media/image1.jpeg"/><Relationship Id="rId71" Type="http://schemas.openxmlformats.org/officeDocument/2006/relationships/hyperlink" Target="http://pdfs.semanticscholar.org/d066/4708ab6019fd28da139fb419618ff9e958f6.pdf" TargetMode="External"/><Relationship Id="rId92" Type="http://schemas.openxmlformats.org/officeDocument/2006/relationships/hyperlink" Target="https://doi.org/10.1016/j.tetlet.2010.10.146" TargetMode="External"/><Relationship Id="rId2" Type="http://schemas.openxmlformats.org/officeDocument/2006/relationships/styles" Target="styles.xml"/><Relationship Id="rId29" Type="http://schemas.openxmlformats.org/officeDocument/2006/relationships/hyperlink" Target="https://scholar.google.com/scholar_lookup?title=Microwave-Assisted+Synthesis+of+Quinoxalines-A+Review&amp;author=da+Costa,+C.F.&amp;author=Nora+de+Souza,+M.V.&amp;author=Brandao+Gomes,+C.R.&amp;author=Facchinetti,+V.&amp;publication_year=2017&amp;journal=Curr.+Microwave+Chem.&amp;volume=4&amp;pages=277%E2%80%93286&amp;doi=10.2174/2213335604666171010153416" TargetMode="External"/><Relationship Id="rId24" Type="http://schemas.openxmlformats.org/officeDocument/2006/relationships/hyperlink" Target="https://scholar.google.com/scholar_lookup?title=Silica+bonded+S-sulfonic+acid:+A+recyclable+catalyst+for+the+synthesis+of+quinoxalines+at+room+temperature&amp;author=Niknam,+K.&amp;author=Saberi,+D.&amp;author=Mohagheghnejad,+M.&amp;publication_year=2009&amp;journal=Molecules&amp;volume=14&amp;pages=1915%E2%80%931926&amp;doi=10.3390/molecules14051915" TargetMode="External"/><Relationship Id="rId40" Type="http://schemas.openxmlformats.org/officeDocument/2006/relationships/hyperlink" Target="https://doi.org/10.1021/jm00170a031" TargetMode="External"/><Relationship Id="rId45" Type="http://schemas.openxmlformats.org/officeDocument/2006/relationships/hyperlink" Target="https://doi.org/10.1016/j.micres.2013.06.015" TargetMode="External"/><Relationship Id="rId66" Type="http://schemas.openxmlformats.org/officeDocument/2006/relationships/hyperlink" Target="https://scholar.google.com/scholar_lookup?title=Cerium+(iv)+ammonium+nitrate+(CAN)+as+a+catalyst+in+tap+water:+A+simple,+proficient+and+green+approach+for+the+synthesis+of+quinoxalines&amp;author=More,+S.V.&amp;author=Sastry,+M.N.V.&amp;author=Yao,+C.-F.&amp;publication_year=2006&amp;journal=Green+Chem.&amp;volume=8&amp;pages=91%E2%80%9395&amp;doi=10.1039/B510677J" TargetMode="External"/><Relationship Id="rId87" Type="http://schemas.openxmlformats.org/officeDocument/2006/relationships/hyperlink" Target="https://scholar.google.com/scholar_lookup?title=Montmorillonite+K-10:+An+efficient+and+reusable+catalyst+for+the+synthesis+of+quinoxaline+derivatives+in+water&amp;author=Huang,+T.-K.&amp;author=Wang,+R.&amp;author=Shi,+L.&amp;author=Lu,+X.-X.&amp;publication_year=2008&amp;journal=Catal.+Commun.&amp;volume=9&amp;pages=1143%E2%80%931147&amp;doi=10.1016/j.catcom.2007.10.024" TargetMode="External"/><Relationship Id="rId110" Type="http://schemas.openxmlformats.org/officeDocument/2006/relationships/theme" Target="theme/theme1.xml"/><Relationship Id="rId61" Type="http://schemas.openxmlformats.org/officeDocument/2006/relationships/hyperlink" Target="https://scholar.google.com/scholar_lookup?title=Green+Chemistry:+Theory+and+Practice&amp;author=Anastas,+P.&amp;author=Warner,+J.&amp;publication_year=1998" TargetMode="External"/><Relationship Id="rId82" Type="http://schemas.openxmlformats.org/officeDocument/2006/relationships/hyperlink" Target="https://scholar.google.com/scholar_lookup?title=Nanocrystalline+titania-based+sulfonic+acid+(TiO2-Pr-SO3H)+as+a+new,+highly+efficient,+and+recyclable+solid+acid+catalyst+for+the+preparation+of+quinoxaline+derivatives&amp;author=Atghia,+S.V.&amp;author=Beigbaghlou,+S.S.&amp;publication_year=2013&amp;journal=J.+Nanostructure+Chem.&amp;volume=3&amp;pages=38&amp;doi=10.1186/2193-8865-3-38" TargetMode="External"/><Relationship Id="rId19" Type="http://schemas.openxmlformats.org/officeDocument/2006/relationships/hyperlink" Target="https://scholar.google.com/scholar_lookup?title=Chemistry+of+Heterocyclic+Compounds&amp;author=Cheeseman,+G.W.H.&amp;author=Cookson,+R.F.&amp;publication_year=1979" TargetMode="External"/><Relationship Id="rId14" Type="http://schemas.openxmlformats.org/officeDocument/2006/relationships/image" Target="media/image6.png"/><Relationship Id="rId30" Type="http://schemas.openxmlformats.org/officeDocument/2006/relationships/hyperlink" Target="https://doi.org/10.2174/2213335604666171010153416" TargetMode="External"/><Relationship Id="rId35" Type="http://schemas.openxmlformats.org/officeDocument/2006/relationships/hyperlink" Target="https://doi.org/10.1016/j.ejmech.2010.01.042" TargetMode="External"/><Relationship Id="rId56" Type="http://schemas.openxmlformats.org/officeDocument/2006/relationships/hyperlink" Target="https://doi.org/10.1098/rstb.2016.0297" TargetMode="External"/><Relationship Id="rId77" Type="http://schemas.openxmlformats.org/officeDocument/2006/relationships/hyperlink" Target="https://scholar.google.com/scholar_lookup?title=A+novel+one-pot+synthesis+of+quinoxaline+derivatives+in+fluorinated+alcohols&amp;author=Khaksar,+S.&amp;author=Rostamnezhad,+F.&amp;publication_year=2012&amp;journal=Bull.+Korean+Chem.+Soc.&amp;volume=33&amp;pages=2581%E2%80%932584&amp;doi=10.5012/bkcs.2012.33.8.2581" TargetMode="External"/><Relationship Id="rId100" Type="http://schemas.openxmlformats.org/officeDocument/2006/relationships/hyperlink" Target="https://doi.org/10.1016/j.apcata.2009.01.021" TargetMode="External"/><Relationship Id="rId105"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hyperlink" Target="https://doi.org/10.1186/s12985-016-0544-0" TargetMode="External"/><Relationship Id="rId72" Type="http://schemas.openxmlformats.org/officeDocument/2006/relationships/hyperlink" Target="https://scholar.google.com/scholar_lookup?title=Fluorinated+alcohols:+A+new+medium+for+the+selective+and+clean+reaction&amp;author=Begue,+J.P.&amp;author=Bonnet-Delpon,+D.&amp;author=Crousse,+B.&amp;publication_year=2004&amp;journal=Synlett&amp;volume=35&amp;pages=18%E2%80%9329&amp;doi=10.1002/chin.200416232" TargetMode="External"/><Relationship Id="rId93" Type="http://schemas.openxmlformats.org/officeDocument/2006/relationships/hyperlink" Target="https://scholar.google.com/scholar_lookup?title=Zirconium(IV)-modified+silica+gel:+Preparation,+characterization+and+catalytic+activity+in+the+synthesis+of+some+biologically+important+molecules&amp;author=Sharma,+R.&amp;author=Sharma,+C.&amp;publication_year=2011&amp;journal=Catal.+Commun.&amp;volume=12&amp;pages=327%E2%80%93331&amp;doi=10.1016/j.catcom.2010.10.011" TargetMode="External"/><Relationship Id="rId98" Type="http://schemas.openxmlformats.org/officeDocument/2006/relationships/hyperlink" Target="https://doi.org/10.1007/s00706-007-0594-5" TargetMode="External"/><Relationship Id="rId3" Type="http://schemas.openxmlformats.org/officeDocument/2006/relationships/settings" Target="settings.xml"/><Relationship Id="rId25" Type="http://schemas.openxmlformats.org/officeDocument/2006/relationships/hyperlink" Target="https://doi.org/10.3390/molecules14051915" TargetMode="External"/><Relationship Id="rId46" Type="http://schemas.openxmlformats.org/officeDocument/2006/relationships/hyperlink" Target="http://www.ncbi.nlm.nih.gov/pubmed/23928379" TargetMode="External"/><Relationship Id="rId67" Type="http://schemas.openxmlformats.org/officeDocument/2006/relationships/hyperlink" Target="https://doi.org/10.1039/B510677J" TargetMode="External"/><Relationship Id="rId20" Type="http://schemas.openxmlformats.org/officeDocument/2006/relationships/hyperlink" Target="https://scholar.google.com/scholar_lookup?title=Quinoxaline,+its+derivatives+and+applications:+A+state+of+the+art+review&amp;author=Pereira,+J.A.&amp;author=Pessoa,+A.S.M.&amp;author=Cordeiro,+M.N.D.S.&amp;author=Fernandes,+R.&amp;author=Prud%C3%AAncio,+C.&amp;author=Noronha,+J.P.&amp;author=Vieira,+M.&amp;publication_year=2015&amp;journal=Eur.+J.+Med.+Chem.&amp;volume=97&amp;pages=664%E2%80%93672&amp;doi=10.1016/j.ejmech.2014.06.058&amp;pmid=25011559" TargetMode="External"/><Relationship Id="rId41" Type="http://schemas.openxmlformats.org/officeDocument/2006/relationships/hyperlink" Target="https://scholar.google.com/scholar_lookup?title=Quinoxaline+derivatives+as+antiviral+agents:+A+systematic+review&amp;author=Montana,+M.&amp;author=Montero,+V.&amp;author=Khoumeri,+O.&amp;author=Vanelle,+P.&amp;publication_year=2020&amp;journal=Molecules&amp;volume=25&amp;pages=2784&amp;doi=10.3390/molecules25122784&amp;pmid=32560203" TargetMode="External"/><Relationship Id="rId62" Type="http://schemas.openxmlformats.org/officeDocument/2006/relationships/hyperlink" Target="https://scholar.google.com/scholar_lookup?title=Eco-friendly+synthesis+of+quinoxaline+derivatives+using+mineral+fertilizers+as+heterogeneous+catalysts&amp;author=Malek,+B.&amp;author=Bahammou,+I.&amp;author=Zimou,+O.&amp;author=El+Hallaoui,+A.&amp;author=Ghailane,+R.&amp;author=Boukhris,+S.&amp;author=Souizi,+A.&amp;publication_year=2020&amp;journal=J.+Turk.+Chem.+Soc.+Sect.+A+Chem.&amp;volume=7&amp;pages=427%E2%80%93440&amp;doi=10.18596/jotcsa.577101" TargetMode="External"/><Relationship Id="rId83" Type="http://schemas.openxmlformats.org/officeDocument/2006/relationships/hyperlink" Target="https://doi.org/10.1186/2193-8865-3-38" TargetMode="External"/><Relationship Id="rId88" Type="http://schemas.openxmlformats.org/officeDocument/2006/relationships/hyperlink" Target="https://doi.org/10.1016/j.catcom.2007.10.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6147</Words>
  <Characters>35041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SDI CPU 1127</cp:lastModifiedBy>
  <cp:revision>5</cp:revision>
  <dcterms:created xsi:type="dcterms:W3CDTF">2025-03-27T10:01:00Z</dcterms:created>
  <dcterms:modified xsi:type="dcterms:W3CDTF">2025-03-29T11:48:00Z</dcterms:modified>
</cp:coreProperties>
</file>