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2150" w14:textId="77777777" w:rsidR="00761CC0" w:rsidRPr="00327C93" w:rsidRDefault="00761CC0" w:rsidP="00327C93">
      <w:pPr>
        <w:spacing w:line="240" w:lineRule="auto"/>
        <w:jc w:val="center"/>
        <w:rPr>
          <w:rFonts w:ascii="Times New Roman" w:hAnsi="Times New Roman" w:cs="Times New Roman"/>
          <w:b/>
          <w:bCs/>
          <w:sz w:val="24"/>
          <w:szCs w:val="24"/>
        </w:rPr>
      </w:pPr>
      <w:r w:rsidRPr="00327C93">
        <w:rPr>
          <w:rFonts w:ascii="Times New Roman" w:hAnsi="Times New Roman" w:cs="Times New Roman"/>
          <w:b/>
          <w:bCs/>
          <w:sz w:val="24"/>
          <w:szCs w:val="24"/>
        </w:rPr>
        <w:t>Effect of Sodium Nitroprusside (SNP) Treatment on Shelf-Life Extension and Quality Preservation of Jamun (</w:t>
      </w:r>
      <w:proofErr w:type="spellStart"/>
      <w:r w:rsidRPr="00327C93">
        <w:rPr>
          <w:rFonts w:ascii="Times New Roman" w:hAnsi="Times New Roman" w:cs="Times New Roman"/>
          <w:b/>
          <w:bCs/>
          <w:i/>
          <w:iCs/>
          <w:sz w:val="24"/>
          <w:szCs w:val="24"/>
        </w:rPr>
        <w:t>Syzygium</w:t>
      </w:r>
      <w:proofErr w:type="spellEnd"/>
      <w:r w:rsidRPr="00327C93">
        <w:rPr>
          <w:rFonts w:ascii="Times New Roman" w:hAnsi="Times New Roman" w:cs="Times New Roman"/>
          <w:b/>
          <w:bCs/>
          <w:i/>
          <w:iCs/>
          <w:sz w:val="24"/>
          <w:szCs w:val="24"/>
        </w:rPr>
        <w:t xml:space="preserve"> </w:t>
      </w:r>
      <w:proofErr w:type="spellStart"/>
      <w:r w:rsidRPr="00327C93">
        <w:rPr>
          <w:rFonts w:ascii="Times New Roman" w:hAnsi="Times New Roman" w:cs="Times New Roman"/>
          <w:b/>
          <w:bCs/>
          <w:i/>
          <w:iCs/>
          <w:sz w:val="24"/>
          <w:szCs w:val="24"/>
        </w:rPr>
        <w:t>cumini</w:t>
      </w:r>
      <w:proofErr w:type="spellEnd"/>
      <w:r w:rsidR="002C6BAC">
        <w:rPr>
          <w:rFonts w:ascii="Times New Roman" w:hAnsi="Times New Roman" w:cs="Times New Roman"/>
          <w:b/>
          <w:bCs/>
          <w:i/>
          <w:iCs/>
          <w:sz w:val="24"/>
          <w:szCs w:val="24"/>
        </w:rPr>
        <w:t xml:space="preserve"> </w:t>
      </w:r>
      <w:r w:rsidRPr="00327C93">
        <w:rPr>
          <w:rFonts w:ascii="Times New Roman" w:hAnsi="Times New Roman" w:cs="Times New Roman"/>
          <w:b/>
          <w:bCs/>
          <w:sz w:val="24"/>
          <w:szCs w:val="24"/>
        </w:rPr>
        <w:t>Skeels) Fruits During Cold Storage</w:t>
      </w:r>
    </w:p>
    <w:p w14:paraId="6F4F355A" w14:textId="77777777" w:rsidR="00761CC0" w:rsidRDefault="00761CC0" w:rsidP="00327C93">
      <w:pPr>
        <w:pStyle w:val="Default"/>
        <w:jc w:val="both"/>
        <w:rPr>
          <w:rFonts w:ascii="Times New Roman" w:hAnsi="Times New Roman" w:cs="Times New Roman"/>
          <w:bCs/>
          <w:color w:val="auto"/>
          <w:lang w:val="en-GB"/>
        </w:rPr>
      </w:pPr>
    </w:p>
    <w:p w14:paraId="6BEB9FCC" w14:textId="77777777" w:rsidR="00646420" w:rsidRPr="00327C93" w:rsidRDefault="00646420" w:rsidP="00327C93">
      <w:pPr>
        <w:pStyle w:val="Default"/>
        <w:jc w:val="both"/>
        <w:rPr>
          <w:rFonts w:ascii="Times New Roman" w:hAnsi="Times New Roman" w:cs="Times New Roman"/>
          <w:bCs/>
          <w:color w:val="auto"/>
          <w:lang w:val="en-GB"/>
        </w:rPr>
      </w:pPr>
    </w:p>
    <w:p w14:paraId="4CBEB282"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Abstract</w:t>
      </w:r>
    </w:p>
    <w:p w14:paraId="4AD305F5" w14:textId="30BA5080" w:rsidR="00464807" w:rsidRPr="00327C93" w:rsidRDefault="00464807"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i/>
          <w:iCs/>
          <w:sz w:val="24"/>
          <w:szCs w:val="24"/>
        </w:rPr>
        <w:t>Syzygium</w:t>
      </w:r>
      <w:proofErr w:type="spellEnd"/>
      <w:r w:rsidRPr="00327C93">
        <w:rPr>
          <w:rFonts w:ascii="Times New Roman" w:hAnsi="Times New Roman" w:cs="Times New Roman"/>
          <w:i/>
          <w:iCs/>
          <w:sz w:val="24"/>
          <w:szCs w:val="24"/>
        </w:rPr>
        <w:t xml:space="preserve"> </w:t>
      </w:r>
      <w:proofErr w:type="spellStart"/>
      <w:r w:rsidRPr="00327C93">
        <w:rPr>
          <w:rFonts w:ascii="Times New Roman" w:hAnsi="Times New Roman" w:cs="Times New Roman"/>
          <w:i/>
          <w:iCs/>
          <w:sz w:val="24"/>
          <w:szCs w:val="24"/>
        </w:rPr>
        <w:t>cumini</w:t>
      </w:r>
      <w:proofErr w:type="spellEnd"/>
      <w:r w:rsidRPr="00327C93">
        <w:rPr>
          <w:rFonts w:ascii="Times New Roman" w:hAnsi="Times New Roman" w:cs="Times New Roman"/>
          <w:sz w:val="24"/>
          <w:szCs w:val="24"/>
        </w:rPr>
        <w:t xml:space="preserve"> Skeels, commonly referred to as Indian blackberry, Jamun, or Java Plum, is a medicinally significant fruit indigenous to India, characterized by its high content of hydrolysable tannins, flavonoids, anthocyanins, gallic acid, and quercetin. Despite its nutritional benefits, the fruit's perishable nature restricts its postharvest viability to 3–4 days under ambient conditions. To enhance shelf life and maintain quality during cold storage, a study was conducted wherein fully ripe jamun fruits were subjected to postharvest dipping in sodium nitroprusside (SNP) solutions at concentrations of 0.5 mM, 1.0 mM, and 1.5 mM</w:t>
      </w:r>
      <w:r w:rsidR="0033541A">
        <w:rPr>
          <w:rFonts w:ascii="Times New Roman" w:hAnsi="Times New Roman" w:cs="Times New Roman"/>
          <w:sz w:val="24"/>
          <w:szCs w:val="24"/>
        </w:rPr>
        <w:t xml:space="preserve"> </w:t>
      </w:r>
      <w:r w:rsidR="0033541A" w:rsidRPr="00917698">
        <w:rPr>
          <w:rFonts w:ascii="Times New Roman" w:hAnsi="Times New Roman" w:cs="Times New Roman"/>
          <w:sz w:val="24"/>
          <w:szCs w:val="24"/>
          <w:highlight w:val="yellow"/>
        </w:rPr>
        <w:t xml:space="preserve">for 5 </w:t>
      </w:r>
      <w:r w:rsidR="00917698" w:rsidRPr="00917698">
        <w:rPr>
          <w:rFonts w:ascii="Times New Roman" w:hAnsi="Times New Roman" w:cs="Times New Roman"/>
          <w:sz w:val="24"/>
          <w:szCs w:val="24"/>
          <w:highlight w:val="yellow"/>
        </w:rPr>
        <w:t>minutes</w:t>
      </w:r>
      <w:r w:rsidRPr="00917698">
        <w:rPr>
          <w:rFonts w:ascii="Times New Roman" w:hAnsi="Times New Roman" w:cs="Times New Roman"/>
          <w:sz w:val="24"/>
          <w:szCs w:val="24"/>
          <w:highlight w:val="yellow"/>
        </w:rPr>
        <w:t>.</w:t>
      </w:r>
      <w:r w:rsidRPr="00327C93">
        <w:rPr>
          <w:rFonts w:ascii="Times New Roman" w:hAnsi="Times New Roman" w:cs="Times New Roman"/>
          <w:sz w:val="24"/>
          <w:szCs w:val="24"/>
        </w:rPr>
        <w:t xml:space="preserve"> Post-treatment, the fruits were air-dried and stored in low-density polyethylene (LDPE) film bags at 7 ± 1°C. Control fruits were either immersed in distilled water and stored in open LDPE bags or sealed bags at the same temperature. The results indicated that the 1.5 mM SNP treatment was most efficacious, sustaining physicochemical and functional quality parameters</w:t>
      </w:r>
      <w:r w:rsidR="001F7417">
        <w:rPr>
          <w:rFonts w:ascii="Times New Roman" w:hAnsi="Times New Roman" w:cs="Times New Roman"/>
          <w:sz w:val="24"/>
          <w:szCs w:val="24"/>
        </w:rPr>
        <w:t xml:space="preserve"> </w:t>
      </w:r>
      <w:r w:rsidRPr="00327C93">
        <w:rPr>
          <w:rFonts w:ascii="Times New Roman" w:hAnsi="Times New Roman" w:cs="Times New Roman"/>
          <w:sz w:val="24"/>
          <w:szCs w:val="24"/>
        </w:rPr>
        <w:t>such as reducing physiological weight loss (4.66% after 15 days), preserving ascorbic acid content (31.06 mg/100g), retaining antioxidant capacity (6.65 mg TE/100g FW), and maintaining phenolic content (297.66 mg GAE/100g FW) for up to 30 days. Furthermore, the 1.5 mM SNP treatment effectively preserved total soluble solids (TSS%) at 14.43% and anthocyanin content at 27.52 mg/100g FW at 30 days after storage (DAS). These findings present substantial advantages for farmers and traders by mitigating postharvest losses and facilitating long-distance marketing, while also improving consumer access through an extended shelf life.</w:t>
      </w:r>
    </w:p>
    <w:p w14:paraId="1C9874F4" w14:textId="77777777"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b/>
          <w:bCs/>
          <w:sz w:val="24"/>
          <w:szCs w:val="24"/>
        </w:rPr>
        <w:t>Keywords:</w:t>
      </w:r>
      <w:r w:rsidRPr="00327C93">
        <w:rPr>
          <w:rFonts w:ascii="Times New Roman" w:hAnsi="Times New Roman" w:cs="Times New Roman"/>
          <w:sz w:val="24"/>
          <w:szCs w:val="24"/>
        </w:rPr>
        <w:t xml:space="preserve"> Jamun, </w:t>
      </w:r>
      <w:r w:rsidR="004A7054" w:rsidRPr="00327C93">
        <w:rPr>
          <w:rFonts w:ascii="Times New Roman" w:hAnsi="Times New Roman" w:cs="Times New Roman"/>
          <w:sz w:val="24"/>
          <w:szCs w:val="24"/>
        </w:rPr>
        <w:t>Phytochemical,</w:t>
      </w:r>
      <w:r w:rsidRPr="00327C93">
        <w:rPr>
          <w:rFonts w:ascii="Times New Roman" w:hAnsi="Times New Roman" w:cs="Times New Roman"/>
          <w:sz w:val="24"/>
          <w:szCs w:val="24"/>
        </w:rPr>
        <w:t xml:space="preserve"> Sodium nitroprusside, Low-density polyethylene</w:t>
      </w:r>
      <w:r w:rsidR="004A7054" w:rsidRPr="00327C93">
        <w:rPr>
          <w:rFonts w:ascii="Times New Roman" w:hAnsi="Times New Roman" w:cs="Times New Roman"/>
          <w:sz w:val="24"/>
          <w:szCs w:val="24"/>
        </w:rPr>
        <w:t>, Shelf-life</w:t>
      </w:r>
    </w:p>
    <w:p w14:paraId="1FCB6C2A"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Introduction</w:t>
      </w:r>
    </w:p>
    <w:p w14:paraId="5A015196" w14:textId="3C81B6DE" w:rsidR="005346FE" w:rsidRPr="00327C93" w:rsidRDefault="005346FE"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Indian blackberry (</w:t>
      </w:r>
      <w:proofErr w:type="spellStart"/>
      <w:r w:rsidRPr="00327C93">
        <w:rPr>
          <w:rFonts w:ascii="Times New Roman" w:hAnsi="Times New Roman" w:cs="Times New Roman"/>
          <w:i/>
          <w:iCs/>
          <w:sz w:val="24"/>
          <w:szCs w:val="24"/>
        </w:rPr>
        <w:t>Syzygiumcumini</w:t>
      </w:r>
      <w:proofErr w:type="spellEnd"/>
      <w:r w:rsidRPr="00327C93">
        <w:rPr>
          <w:rFonts w:ascii="Times New Roman" w:hAnsi="Times New Roman" w:cs="Times New Roman"/>
          <w:sz w:val="24"/>
          <w:szCs w:val="24"/>
        </w:rPr>
        <w:t xml:space="preserve"> Skeels), a significant evergreen tropical fruit crop of the </w:t>
      </w:r>
      <w:proofErr w:type="spellStart"/>
      <w:r w:rsidRPr="00327C93">
        <w:rPr>
          <w:rFonts w:ascii="Times New Roman" w:hAnsi="Times New Roman" w:cs="Times New Roman"/>
          <w:sz w:val="24"/>
          <w:szCs w:val="24"/>
        </w:rPr>
        <w:t>Myrtaceae</w:t>
      </w:r>
      <w:proofErr w:type="spellEnd"/>
      <w:r w:rsidRPr="00327C93">
        <w:rPr>
          <w:rFonts w:ascii="Times New Roman" w:hAnsi="Times New Roman" w:cs="Times New Roman"/>
          <w:sz w:val="24"/>
          <w:szCs w:val="24"/>
        </w:rPr>
        <w:t xml:space="preserve"> family with a chromosome number of 2n = 40, is indigenous to India and cultivated globally in tropical and subtropical regions such as West Africa, West Indies, South America, Eastern Africa, Florida, Israel, and California due to its high commercial value (de Carvalho Tavares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2016). The oblong berries feature purplish-black skin, purplish-pink or white pulp, and a hard seed, and are rich in water-soluble vitamins (e.g., vitamins C, B</w:t>
      </w:r>
      <w:r w:rsidR="001F7417">
        <w:rPr>
          <w:rFonts w:ascii="Times New Roman" w:hAnsi="Times New Roman" w:cs="Times New Roman"/>
          <w:sz w:val="24"/>
          <w:szCs w:val="24"/>
          <w:vertAlign w:val="subscript"/>
        </w:rPr>
        <w:t>1</w:t>
      </w:r>
      <w:r w:rsidRPr="00327C93">
        <w:rPr>
          <w:rFonts w:ascii="Times New Roman" w:hAnsi="Times New Roman" w:cs="Times New Roman"/>
          <w:sz w:val="24"/>
          <w:szCs w:val="24"/>
        </w:rPr>
        <w:t>, B</w:t>
      </w:r>
      <w:r w:rsidR="001F7417">
        <w:rPr>
          <w:rFonts w:ascii="Times New Roman" w:hAnsi="Times New Roman" w:cs="Times New Roman"/>
          <w:sz w:val="24"/>
          <w:szCs w:val="24"/>
          <w:vertAlign w:val="subscript"/>
        </w:rPr>
        <w:t>2</w:t>
      </w:r>
      <w:r w:rsidRPr="00327C93">
        <w:rPr>
          <w:rFonts w:ascii="Times New Roman" w:hAnsi="Times New Roman" w:cs="Times New Roman"/>
          <w:sz w:val="24"/>
          <w:szCs w:val="24"/>
        </w:rPr>
        <w:t xml:space="preserve">), minerals (e.g., iron, calcium, phosphorus, potassium, sodium, zinc), sugars, fiber, amino acids, anthocyanins, and phenolic compounds (e.g., tannins, flavonoids, gallic acid). The pulp is used to produce jams, jellies, wines, squashes, ready-to-serve beverages, and sauces. Medicinally, jamun offers benefits including blood sugar regulation due to alkaloids like </w:t>
      </w:r>
      <w:proofErr w:type="spellStart"/>
      <w:r w:rsidRPr="00327C93">
        <w:rPr>
          <w:rFonts w:ascii="Times New Roman" w:hAnsi="Times New Roman" w:cs="Times New Roman"/>
          <w:sz w:val="24"/>
          <w:szCs w:val="24"/>
        </w:rPr>
        <w:t>jambosin</w:t>
      </w:r>
      <w:proofErr w:type="spellEnd"/>
      <w:r w:rsidRPr="00327C93">
        <w:rPr>
          <w:rFonts w:ascii="Times New Roman" w:hAnsi="Times New Roman" w:cs="Times New Roman"/>
          <w:sz w:val="24"/>
          <w:szCs w:val="24"/>
        </w:rPr>
        <w:t xml:space="preserve"> and glycoside in seeds (Koley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2011),</w:t>
      </w:r>
      <w:r w:rsidR="001A66CD" w:rsidRPr="00327C93">
        <w:rPr>
          <w:rFonts w:ascii="Times New Roman" w:hAnsi="Times New Roman" w:cs="Times New Roman"/>
          <w:sz w:val="24"/>
          <w:szCs w:val="24"/>
        </w:rPr>
        <w:t xml:space="preserve"> blood pressure management, </w:t>
      </w:r>
      <w:r w:rsidRPr="00327C93">
        <w:rPr>
          <w:rFonts w:ascii="Times New Roman" w:hAnsi="Times New Roman" w:cs="Times New Roman"/>
          <w:sz w:val="24"/>
          <w:szCs w:val="24"/>
        </w:rPr>
        <w:t>and treatment of heart, liver, and lung diseases (</w:t>
      </w:r>
      <w:r w:rsidRPr="0004375A">
        <w:rPr>
          <w:rFonts w:ascii="Times New Roman" w:hAnsi="Times New Roman" w:cs="Times New Roman"/>
          <w:sz w:val="24"/>
          <w:szCs w:val="24"/>
          <w:highlight w:val="yellow"/>
        </w:rPr>
        <w:t xml:space="preserve">Raza </w:t>
      </w:r>
      <w:r w:rsidR="0004375A" w:rsidRPr="0004375A">
        <w:rPr>
          <w:rFonts w:ascii="Times New Roman" w:hAnsi="Times New Roman" w:cs="Times New Roman"/>
          <w:i/>
          <w:iCs/>
          <w:sz w:val="24"/>
          <w:szCs w:val="24"/>
          <w:highlight w:val="yellow"/>
        </w:rPr>
        <w:t>et al</w:t>
      </w:r>
      <w:r w:rsidRPr="0004375A">
        <w:rPr>
          <w:rFonts w:ascii="Times New Roman" w:hAnsi="Times New Roman" w:cs="Times New Roman"/>
          <w:sz w:val="24"/>
          <w:szCs w:val="24"/>
          <w:highlight w:val="yellow"/>
        </w:rPr>
        <w:t>., 2015</w:t>
      </w:r>
      <w:r w:rsidRPr="00327C93">
        <w:rPr>
          <w:rFonts w:ascii="Times New Roman" w:hAnsi="Times New Roman" w:cs="Times New Roman"/>
          <w:sz w:val="24"/>
          <w:szCs w:val="24"/>
        </w:rPr>
        <w:t>). Despite these advantages, approximately 0.5 million tons of jamun are lost postharvest due to its perishable nature, lasting only 2–3 days at room temperature (</w:t>
      </w:r>
      <w:r w:rsidRPr="0004375A">
        <w:rPr>
          <w:rFonts w:ascii="Times New Roman" w:hAnsi="Times New Roman" w:cs="Times New Roman"/>
          <w:sz w:val="24"/>
          <w:szCs w:val="24"/>
          <w:highlight w:val="yellow"/>
        </w:rPr>
        <w:t xml:space="preserve">Patil </w:t>
      </w:r>
      <w:r w:rsidR="0004375A" w:rsidRPr="0004375A">
        <w:rPr>
          <w:rFonts w:ascii="Times New Roman" w:hAnsi="Times New Roman" w:cs="Times New Roman"/>
          <w:i/>
          <w:iCs/>
          <w:sz w:val="24"/>
          <w:szCs w:val="24"/>
          <w:highlight w:val="yellow"/>
        </w:rPr>
        <w:t>et al</w:t>
      </w:r>
      <w:r w:rsidRPr="0004375A">
        <w:rPr>
          <w:rFonts w:ascii="Times New Roman" w:hAnsi="Times New Roman" w:cs="Times New Roman"/>
          <w:sz w:val="24"/>
          <w:szCs w:val="24"/>
          <w:highlight w:val="yellow"/>
        </w:rPr>
        <w:t>., 2012).</w:t>
      </w:r>
      <w:r w:rsidR="0004375A" w:rsidRPr="0004375A">
        <w:rPr>
          <w:rFonts w:ascii="Times New Roman" w:hAnsi="Times New Roman" w:cs="Times New Roman"/>
          <w:sz w:val="24"/>
          <w:szCs w:val="24"/>
          <w:highlight w:val="yellow"/>
        </w:rPr>
        <w:t xml:space="preserve"> </w:t>
      </w:r>
      <w:r w:rsidRPr="0004375A">
        <w:rPr>
          <w:rFonts w:ascii="Times New Roman" w:hAnsi="Times New Roman" w:cs="Times New Roman"/>
          <w:sz w:val="24"/>
          <w:szCs w:val="24"/>
          <w:highlight w:val="yellow"/>
        </w:rPr>
        <w:t>Harvesting</w:t>
      </w:r>
      <w:r w:rsidRPr="00327C93">
        <w:rPr>
          <w:rFonts w:ascii="Times New Roman" w:hAnsi="Times New Roman" w:cs="Times New Roman"/>
          <w:sz w:val="24"/>
          <w:szCs w:val="24"/>
        </w:rPr>
        <w:t xml:space="preserve"> occurs from June to August with the onset of rains (Koley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2011), but the fruit’s rapid deterioration and perishability hinder transportation to distant markets, compelling orchard owners to sell at low prices (Rai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2011). Recent postharvest strategies to extend shelf life and reduce losses include calcium chloride and gibberellic acid applications (Ayar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2011), edible coatings with antioxidants (Baraiya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2015), modified atmosphere </w:t>
      </w:r>
      <w:r w:rsidRPr="00327C93">
        <w:rPr>
          <w:rFonts w:ascii="Times New Roman" w:hAnsi="Times New Roman" w:cs="Times New Roman"/>
          <w:sz w:val="24"/>
          <w:szCs w:val="24"/>
        </w:rPr>
        <w:lastRenderedPageBreak/>
        <w:t xml:space="preserve">packaging (Rai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2011), and salicylic acid combined with chitosan coatings to delay senescence (Saurabh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2019).</w:t>
      </w:r>
    </w:p>
    <w:p w14:paraId="7FA3C885" w14:textId="3F0DCDC2" w:rsidR="005346FE" w:rsidRPr="00327C93" w:rsidRDefault="005346FE"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Nitric oxide (NO), a multifunctional plant signaling molecule synthesized via enzymatic and non-enzymatic pathways, regulates physiological processes and responses to biotic and abiotic stresses (Nabi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2019). Exogenous NO donors, such as sodium nitroprusside (SNP), have been shown to delay ripening and senescence, preserving the physicochemical and functional quality of fruits and vegetables during storage (Palma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2019). Consequently, this study investigates the efficacy of SNP in delaying senescence and maintaining the physicochemical and functional quality of jamun fruit under low-temperature storage.</w:t>
      </w:r>
    </w:p>
    <w:p w14:paraId="49509F23"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Materials and methods</w:t>
      </w:r>
    </w:p>
    <w:p w14:paraId="34F5CF44" w14:textId="267A5379" w:rsidR="0054523B" w:rsidRPr="00327C93" w:rsidRDefault="001F4847"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Jamun fruits were harvested at full ripening stage in July 2019 from ~20-year-old trees and immediately transported to the Postharvest Laboratory, Department of Horticulture, Institute of Agricultural Sciences, Banaras Hindu University. Uniform, healthy fruits free from blemishes, pests, diseases, and mechanical injury were selected. Fruits were </w:t>
      </w:r>
      <w:r w:rsidR="009A55F7" w:rsidRPr="00327C93">
        <w:rPr>
          <w:rFonts w:ascii="Times New Roman" w:hAnsi="Times New Roman" w:cs="Times New Roman"/>
          <w:sz w:val="24"/>
          <w:szCs w:val="24"/>
        </w:rPr>
        <w:t>surface disinfected</w:t>
      </w:r>
      <w:r w:rsidRPr="00327C93">
        <w:rPr>
          <w:rFonts w:ascii="Times New Roman" w:hAnsi="Times New Roman" w:cs="Times New Roman"/>
          <w:sz w:val="24"/>
          <w:szCs w:val="24"/>
        </w:rPr>
        <w:t xml:space="preserve"> with 2% sodium hypochlorite for 2 minutes, air-dried, and subsequently treated with aqueous sodium </w:t>
      </w:r>
      <w:r w:rsidR="005346FE" w:rsidRPr="00327C93">
        <w:rPr>
          <w:rFonts w:ascii="Times New Roman" w:hAnsi="Times New Roman" w:cs="Times New Roman"/>
          <w:sz w:val="24"/>
          <w:szCs w:val="24"/>
        </w:rPr>
        <w:t>nitroprusside (</w:t>
      </w:r>
      <w:r w:rsidRPr="00327C93">
        <w:rPr>
          <w:rFonts w:ascii="Times New Roman" w:hAnsi="Times New Roman" w:cs="Times New Roman"/>
          <w:sz w:val="24"/>
          <w:szCs w:val="24"/>
        </w:rPr>
        <w:t xml:space="preserve">0.5 mM, 1.0 mM, 1.5 mM), for 5 minutes. Control fruits were immersed in distilled water under the same conditions. </w:t>
      </w:r>
      <w:r w:rsidR="0054523B" w:rsidRPr="00327C93">
        <w:rPr>
          <w:rFonts w:ascii="Times New Roman" w:hAnsi="Times New Roman" w:cs="Times New Roman"/>
          <w:sz w:val="24"/>
          <w:szCs w:val="24"/>
        </w:rPr>
        <w:t>After air-drying at</w:t>
      </w:r>
      <w:r w:rsidRPr="00327C93">
        <w:rPr>
          <w:rFonts w:ascii="Times New Roman" w:hAnsi="Times New Roman" w:cs="Times New Roman"/>
          <w:sz w:val="24"/>
          <w:szCs w:val="24"/>
        </w:rPr>
        <w:t xml:space="preserve"> room temperature, the fruits wer</w:t>
      </w:r>
      <w:r w:rsidR="0054523B" w:rsidRPr="00327C93">
        <w:rPr>
          <w:rFonts w:ascii="Times New Roman" w:hAnsi="Times New Roman" w:cs="Times New Roman"/>
          <w:sz w:val="24"/>
          <w:szCs w:val="24"/>
        </w:rPr>
        <w:t xml:space="preserve">e packaged in low-density polyethylene (LDPE) and </w:t>
      </w:r>
      <w:r w:rsidR="0054523B" w:rsidRPr="00247BA8">
        <w:rPr>
          <w:rFonts w:ascii="Times New Roman" w:hAnsi="Times New Roman" w:cs="Times New Roman"/>
          <w:sz w:val="24"/>
          <w:szCs w:val="24"/>
          <w:highlight w:val="yellow"/>
        </w:rPr>
        <w:t>stored at low temperature (7±1⁰C).</w:t>
      </w:r>
      <w:r w:rsidR="0054523B" w:rsidRPr="00327C93">
        <w:rPr>
          <w:rFonts w:ascii="Times New Roman" w:hAnsi="Times New Roman" w:cs="Times New Roman"/>
          <w:sz w:val="24"/>
          <w:szCs w:val="24"/>
        </w:rPr>
        <w:t xml:space="preserve"> During storage under low temperature conditions, the observation results of different physical, chemical and functional quality attributes are recorded every 5 days.</w:t>
      </w:r>
    </w:p>
    <w:p w14:paraId="551D3D77"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Weight loss (WL)</w:t>
      </w:r>
    </w:p>
    <w:p w14:paraId="5DCBEF4C" w14:textId="45EF3001" w:rsidR="0054523B"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Fruit weight loss (%) was determined by measuring the difference between the initial weight and the weight recorded on each sampling day</w:t>
      </w:r>
      <w:r w:rsidR="006C56C5">
        <w:rPr>
          <w:rFonts w:ascii="Times New Roman" w:hAnsi="Times New Roman" w:cs="Times New Roman"/>
          <w:sz w:val="24"/>
          <w:szCs w:val="24"/>
        </w:rPr>
        <w:t xml:space="preserve"> </w:t>
      </w:r>
      <w:r w:rsidR="006C56C5" w:rsidRPr="00023CE4">
        <w:rPr>
          <w:rFonts w:ascii="Times New Roman" w:hAnsi="Times New Roman" w:cs="Times New Roman"/>
          <w:sz w:val="24"/>
          <w:szCs w:val="24"/>
          <w:highlight w:val="yellow"/>
        </w:rPr>
        <w:t>(</w:t>
      </w:r>
      <w:proofErr w:type="spellStart"/>
      <w:r w:rsidR="006C56C5" w:rsidRPr="006C56C5">
        <w:rPr>
          <w:rFonts w:ascii="Times New Roman" w:hAnsi="Times New Roman" w:cs="Times New Roman"/>
          <w:sz w:val="24"/>
          <w:szCs w:val="24"/>
          <w:highlight w:val="yellow"/>
        </w:rPr>
        <w:t>Ziaolhagh</w:t>
      </w:r>
      <w:proofErr w:type="spellEnd"/>
      <w:r w:rsidR="006C56C5" w:rsidRPr="00023CE4">
        <w:rPr>
          <w:rFonts w:ascii="Times New Roman" w:hAnsi="Times New Roman" w:cs="Times New Roman"/>
          <w:sz w:val="24"/>
          <w:szCs w:val="24"/>
          <w:highlight w:val="yellow"/>
        </w:rPr>
        <w:t>, 1999)</w:t>
      </w:r>
      <w:r w:rsidRPr="00327C93">
        <w:rPr>
          <w:rFonts w:ascii="Times New Roman" w:hAnsi="Times New Roman" w:cs="Times New Roman"/>
          <w:sz w:val="24"/>
          <w:szCs w:val="24"/>
        </w:rPr>
        <w:t>. It was calculated using the formula: Weight Loss (%) = [(IW − FW) / IW] × 100, where IW represents the initial weight of the fruit and FW is the fruit weight at the time of sampling. The result was expressed as a percentage to indicate the proportion of weight lost during storage.</w:t>
      </w:r>
    </w:p>
    <w:p w14:paraId="73A8141E"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Decay loss</w:t>
      </w:r>
    </w:p>
    <w:p w14:paraId="1218B71E" w14:textId="24EBEA6E" w:rsidR="0054523B"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Decay loss</w:t>
      </w:r>
      <w:r w:rsidR="00832C1B">
        <w:rPr>
          <w:rFonts w:ascii="Times New Roman" w:hAnsi="Times New Roman" w:cs="Times New Roman"/>
          <w:sz w:val="24"/>
          <w:szCs w:val="24"/>
        </w:rPr>
        <w:t xml:space="preserve"> </w:t>
      </w:r>
      <w:r w:rsidRPr="00327C93">
        <w:rPr>
          <w:rFonts w:ascii="Times New Roman" w:hAnsi="Times New Roman" w:cs="Times New Roman"/>
          <w:sz w:val="24"/>
          <w:szCs w:val="24"/>
        </w:rPr>
        <w:t xml:space="preserve">is assessed based on fungal growth or the appearance of symptoms of </w:t>
      </w:r>
      <w:r w:rsidR="0053251C" w:rsidRPr="00327C93">
        <w:rPr>
          <w:rFonts w:ascii="Times New Roman" w:hAnsi="Times New Roman" w:cs="Times New Roman"/>
          <w:sz w:val="24"/>
          <w:szCs w:val="24"/>
        </w:rPr>
        <w:t>decay, regardless</w:t>
      </w:r>
      <w:r w:rsidRPr="00327C93">
        <w:rPr>
          <w:rFonts w:ascii="Times New Roman" w:hAnsi="Times New Roman" w:cs="Times New Roman"/>
          <w:sz w:val="24"/>
          <w:szCs w:val="24"/>
        </w:rPr>
        <w:t xml:space="preserve"> of its severity</w:t>
      </w:r>
      <w:r w:rsidR="00832C1B">
        <w:rPr>
          <w:rFonts w:ascii="Times New Roman" w:hAnsi="Times New Roman" w:cs="Times New Roman"/>
          <w:sz w:val="24"/>
          <w:szCs w:val="24"/>
        </w:rPr>
        <w:t xml:space="preserve"> </w:t>
      </w:r>
      <w:r w:rsidR="00832C1B" w:rsidRPr="00023CE4">
        <w:rPr>
          <w:rFonts w:ascii="Times New Roman" w:hAnsi="Times New Roman" w:cs="Times New Roman"/>
          <w:sz w:val="24"/>
          <w:szCs w:val="24"/>
          <w:highlight w:val="yellow"/>
        </w:rPr>
        <w:t>(</w:t>
      </w:r>
      <w:proofErr w:type="spellStart"/>
      <w:r w:rsidR="00832C1B" w:rsidRPr="00832C1B">
        <w:rPr>
          <w:rFonts w:ascii="Times New Roman" w:hAnsi="Times New Roman" w:cs="Times New Roman"/>
          <w:sz w:val="24"/>
          <w:szCs w:val="24"/>
          <w:highlight w:val="yellow"/>
        </w:rPr>
        <w:t>Ziaolhagh</w:t>
      </w:r>
      <w:proofErr w:type="spellEnd"/>
      <w:r w:rsidR="00832C1B" w:rsidRPr="00023CE4">
        <w:rPr>
          <w:rFonts w:ascii="Times New Roman" w:hAnsi="Times New Roman" w:cs="Times New Roman"/>
          <w:sz w:val="24"/>
          <w:szCs w:val="24"/>
          <w:highlight w:val="yellow"/>
        </w:rPr>
        <w:t>,</w:t>
      </w:r>
      <w:r w:rsidR="00832C1B" w:rsidRPr="00023CE4">
        <w:rPr>
          <w:rFonts w:ascii="Times New Roman" w:hAnsi="Times New Roman" w:cs="Times New Roman"/>
          <w:sz w:val="24"/>
          <w:szCs w:val="24"/>
          <w:highlight w:val="yellow"/>
        </w:rPr>
        <w:t xml:space="preserve"> 2021)</w:t>
      </w:r>
      <w:r w:rsidRPr="00327C93">
        <w:rPr>
          <w:rFonts w:ascii="Times New Roman" w:hAnsi="Times New Roman" w:cs="Times New Roman"/>
          <w:sz w:val="24"/>
          <w:szCs w:val="24"/>
        </w:rPr>
        <w:t xml:space="preserve">. The result is expressed as a percentage (%) and calculated using </w:t>
      </w:r>
      <w:r w:rsidR="0053251C" w:rsidRPr="00327C93">
        <w:rPr>
          <w:rFonts w:ascii="Times New Roman" w:hAnsi="Times New Roman" w:cs="Times New Roman"/>
          <w:sz w:val="24"/>
          <w:szCs w:val="24"/>
        </w:rPr>
        <w:t>the given</w:t>
      </w:r>
      <w:r w:rsidRPr="00327C93">
        <w:rPr>
          <w:rFonts w:ascii="Times New Roman" w:hAnsi="Times New Roman" w:cs="Times New Roman"/>
          <w:sz w:val="24"/>
          <w:szCs w:val="24"/>
        </w:rPr>
        <w:t xml:space="preserve"> formula. Decay loss (%) = (Number of fruit spoiled/Total number of fruits </w:t>
      </w:r>
      <w:r w:rsidR="0053251C" w:rsidRPr="00327C93">
        <w:rPr>
          <w:rFonts w:ascii="Times New Roman" w:hAnsi="Times New Roman" w:cs="Times New Roman"/>
          <w:sz w:val="24"/>
          <w:szCs w:val="24"/>
        </w:rPr>
        <w:t>under observation</w:t>
      </w:r>
      <w:r w:rsidRPr="00327C93">
        <w:rPr>
          <w:rFonts w:ascii="Times New Roman" w:hAnsi="Times New Roman" w:cs="Times New Roman"/>
          <w:sz w:val="24"/>
          <w:szCs w:val="24"/>
        </w:rPr>
        <w:t>) ×100.</w:t>
      </w:r>
    </w:p>
    <w:p w14:paraId="5935A2E2"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Malondialdehyde content</w:t>
      </w:r>
    </w:p>
    <w:p w14:paraId="79B69FA6" w14:textId="77777777" w:rsidR="005346FE" w:rsidRPr="00327C93" w:rsidRDefault="005346FE"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Malondialdehyde (MDA) content, a marker of lipid peroxidation, was measured using the </w:t>
      </w:r>
      <w:r w:rsidR="00875D1F" w:rsidRPr="00327C93">
        <w:rPr>
          <w:rFonts w:ascii="Times New Roman" w:hAnsi="Times New Roman" w:cs="Times New Roman"/>
          <w:sz w:val="24"/>
          <w:szCs w:val="24"/>
        </w:rPr>
        <w:t>Zheng</w:t>
      </w:r>
      <w:r w:rsidRPr="00327C93">
        <w:rPr>
          <w:rFonts w:ascii="Times New Roman" w:hAnsi="Times New Roman" w:cs="Times New Roman"/>
          <w:sz w:val="24"/>
          <w:szCs w:val="24"/>
        </w:rPr>
        <w:t xml:space="preserve"> and Tian (2006). Approximately 0.5 g of jamun fruit tissue (peel and pulp) was homogenized in 5 mL of 5% (w/v) trichloroacetic acid (TCA), then centrifuged at 10,000 rpm for 15 minutes to obtain the supernatant. A 2 mL aliquot of the supernatant was mixed with 2 mL of a 5% TCA and 0.6% (w/v) </w:t>
      </w:r>
      <w:proofErr w:type="spellStart"/>
      <w:r w:rsidRPr="00327C93">
        <w:rPr>
          <w:rFonts w:ascii="Times New Roman" w:hAnsi="Times New Roman" w:cs="Times New Roman"/>
          <w:sz w:val="24"/>
          <w:szCs w:val="24"/>
        </w:rPr>
        <w:t>thiobarbituric</w:t>
      </w:r>
      <w:proofErr w:type="spellEnd"/>
      <w:r w:rsidRPr="00327C93">
        <w:rPr>
          <w:rFonts w:ascii="Times New Roman" w:hAnsi="Times New Roman" w:cs="Times New Roman"/>
          <w:sz w:val="24"/>
          <w:szCs w:val="24"/>
        </w:rPr>
        <w:t xml:space="preserve"> acid (TBA) solution, incubated at 90°C, and rapidly cooled. The volume was adjusted to 4 mL with TCA-TBA solution, and absorbance was read at 450 nm and 532 nm using a spectrophotometer. MDA concentration was calculated and expressed as nmol/g FW.</w:t>
      </w:r>
    </w:p>
    <w:p w14:paraId="6E17A48E"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soluble solids and titratable acidity</w:t>
      </w:r>
    </w:p>
    <w:p w14:paraId="1C10C22A" w14:textId="77777777" w:rsidR="00E76D08"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lastRenderedPageBreak/>
        <w:t>The total soluble solids (TSS) of jamun fruits during storage were determined using a digital refractometer (</w:t>
      </w:r>
      <w:proofErr w:type="spellStart"/>
      <w:r w:rsidRPr="00327C93">
        <w:rPr>
          <w:rFonts w:ascii="Times New Roman" w:hAnsi="Times New Roman" w:cs="Times New Roman"/>
          <w:sz w:val="24"/>
          <w:szCs w:val="24"/>
        </w:rPr>
        <w:t>Atago</w:t>
      </w:r>
      <w:proofErr w:type="spellEnd"/>
      <w:r w:rsidRPr="00327C93">
        <w:rPr>
          <w:rFonts w:ascii="Times New Roman" w:hAnsi="Times New Roman" w:cs="Times New Roman"/>
          <w:sz w:val="24"/>
          <w:szCs w:val="24"/>
        </w:rPr>
        <w:t>, Tokyo, Japan), with results expressed in degrees Brix (°Brix), reflecting the sugar concentration in the juice.</w:t>
      </w:r>
    </w:p>
    <w:p w14:paraId="49F5925C"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anthocyanins content</w:t>
      </w:r>
    </w:p>
    <w:p w14:paraId="6CFCA9BD" w14:textId="77777777"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To estimate the total anthocyanin content, 0.05 g of peel and 0.5 g of pulp were </w:t>
      </w:r>
      <w:r w:rsidR="00761CC0" w:rsidRPr="00327C93">
        <w:rPr>
          <w:rFonts w:ascii="Times New Roman" w:hAnsi="Times New Roman" w:cs="Times New Roman"/>
          <w:sz w:val="24"/>
          <w:szCs w:val="24"/>
        </w:rPr>
        <w:t>taken separately</w:t>
      </w:r>
      <w:r w:rsidRPr="00327C93">
        <w:rPr>
          <w:rFonts w:ascii="Times New Roman" w:hAnsi="Times New Roman" w:cs="Times New Roman"/>
          <w:sz w:val="24"/>
          <w:szCs w:val="24"/>
        </w:rPr>
        <w:t xml:space="preserve"> and mixed with 10 ml of ethanolic HCl (Lees and Francis, 1972). Then store </w:t>
      </w:r>
      <w:r w:rsidR="00761CC0" w:rsidRPr="00327C93">
        <w:rPr>
          <w:rFonts w:ascii="Times New Roman" w:hAnsi="Times New Roman" w:cs="Times New Roman"/>
          <w:sz w:val="24"/>
          <w:szCs w:val="24"/>
        </w:rPr>
        <w:t>the solution</w:t>
      </w:r>
      <w:r w:rsidRPr="00327C93">
        <w:rPr>
          <w:rFonts w:ascii="Times New Roman" w:hAnsi="Times New Roman" w:cs="Times New Roman"/>
          <w:sz w:val="24"/>
          <w:szCs w:val="24"/>
        </w:rPr>
        <w:t xml:space="preserve"> at low temperature overnight. Subsequently, the sample was centrifuged at 10,000rpm for 10 minutes, and the absorbance was recorded at 535 nm. The total </w:t>
      </w:r>
      <w:r w:rsidR="00761CC0" w:rsidRPr="00327C93">
        <w:rPr>
          <w:rFonts w:ascii="Times New Roman" w:hAnsi="Times New Roman" w:cs="Times New Roman"/>
          <w:sz w:val="24"/>
          <w:szCs w:val="24"/>
        </w:rPr>
        <w:t>anthocyanins content</w:t>
      </w:r>
      <w:r w:rsidRPr="00327C93">
        <w:rPr>
          <w:rFonts w:ascii="Times New Roman" w:hAnsi="Times New Roman" w:cs="Times New Roman"/>
          <w:sz w:val="24"/>
          <w:szCs w:val="24"/>
        </w:rPr>
        <w:t xml:space="preserve"> was expressed as mg/100 g FW.</w:t>
      </w:r>
    </w:p>
    <w:p w14:paraId="34089B17"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Ascorbic acid content</w:t>
      </w:r>
    </w:p>
    <w:p w14:paraId="49329CB1" w14:textId="01C2D55E" w:rsidR="0054523B" w:rsidRPr="00327C93" w:rsidRDefault="0054523B"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Jones and Hughes (1983) designed a procedure for the determination of ascorbic acid </w:t>
      </w:r>
      <w:r w:rsidR="00761CC0" w:rsidRPr="00327C93">
        <w:rPr>
          <w:rFonts w:ascii="Times New Roman" w:hAnsi="Times New Roman" w:cs="Times New Roman"/>
          <w:sz w:val="24"/>
          <w:szCs w:val="24"/>
        </w:rPr>
        <w:t>in fruits</w:t>
      </w:r>
      <w:r w:rsidRPr="00327C93">
        <w:rPr>
          <w:rFonts w:ascii="Times New Roman" w:hAnsi="Times New Roman" w:cs="Times New Roman"/>
          <w:sz w:val="24"/>
          <w:szCs w:val="24"/>
        </w:rPr>
        <w:t>. For this, 0.2 g of fruit samples were mixed with 3% w/v metaphosphoric acid solution</w:t>
      </w:r>
      <w:r w:rsidR="00BC6C31">
        <w:rPr>
          <w:rFonts w:ascii="Times New Roman" w:hAnsi="Times New Roman" w:cs="Times New Roman"/>
          <w:sz w:val="24"/>
          <w:szCs w:val="24"/>
        </w:rPr>
        <w:t xml:space="preserve"> </w:t>
      </w:r>
      <w:r w:rsidRPr="00327C93">
        <w:rPr>
          <w:rFonts w:ascii="Times New Roman" w:hAnsi="Times New Roman" w:cs="Times New Roman"/>
          <w:sz w:val="24"/>
          <w:szCs w:val="24"/>
        </w:rPr>
        <w:t xml:space="preserve">and make the volume up to 20 ml. From this, 10 ml aliquot was taken and titrated with 2,6-dichlorophenol indophenol dye to the pink end point. The ascorbic acid content of the </w:t>
      </w:r>
      <w:r w:rsidR="00761CC0" w:rsidRPr="00327C93">
        <w:rPr>
          <w:rFonts w:ascii="Times New Roman" w:hAnsi="Times New Roman" w:cs="Times New Roman"/>
          <w:sz w:val="24"/>
          <w:szCs w:val="24"/>
        </w:rPr>
        <w:t>fruit, expressed</w:t>
      </w:r>
      <w:r w:rsidRPr="00327C93">
        <w:rPr>
          <w:rFonts w:ascii="Times New Roman" w:hAnsi="Times New Roman" w:cs="Times New Roman"/>
          <w:sz w:val="24"/>
          <w:szCs w:val="24"/>
        </w:rPr>
        <w:t xml:space="preserve"> in mg/100 g FW.</w:t>
      </w:r>
    </w:p>
    <w:p w14:paraId="35B21C40"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phenolics content</w:t>
      </w:r>
    </w:p>
    <w:p w14:paraId="0CF296F3" w14:textId="5970703E" w:rsidR="0054523B"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Total phenolic content was determined following Singleton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(1999). A 0.5 g fruit sample was extracted with 10 mL of 80% ethanol. An aliquot (100 µL) was mixed with 2.9 mL distilled water and 0.5 mL 1 N Folin–</w:t>
      </w:r>
      <w:proofErr w:type="spellStart"/>
      <w:r w:rsidRPr="00327C93">
        <w:rPr>
          <w:rFonts w:ascii="Times New Roman" w:hAnsi="Times New Roman" w:cs="Times New Roman"/>
          <w:sz w:val="24"/>
          <w:szCs w:val="24"/>
        </w:rPr>
        <w:t>Ciocalteu</w:t>
      </w:r>
      <w:proofErr w:type="spellEnd"/>
      <w:r w:rsidRPr="00327C93">
        <w:rPr>
          <w:rFonts w:ascii="Times New Roman" w:hAnsi="Times New Roman" w:cs="Times New Roman"/>
          <w:sz w:val="24"/>
          <w:szCs w:val="24"/>
        </w:rPr>
        <w:t xml:space="preserve"> reagent. After 3 minutes, 2 mL of 20% </w:t>
      </w:r>
      <w:proofErr w:type="spellStart"/>
      <w:r w:rsidRPr="00327C93">
        <w:rPr>
          <w:rFonts w:ascii="Times New Roman" w:hAnsi="Times New Roman" w:cs="Times New Roman"/>
          <w:sz w:val="24"/>
          <w:szCs w:val="24"/>
        </w:rPr>
        <w:t>Na₂CO</w:t>
      </w:r>
      <w:proofErr w:type="spellEnd"/>
      <w:r w:rsidRPr="00327C93">
        <w:rPr>
          <w:rFonts w:ascii="Times New Roman" w:hAnsi="Times New Roman" w:cs="Times New Roman"/>
          <w:sz w:val="24"/>
          <w:szCs w:val="24"/>
        </w:rPr>
        <w:t>₃ was added, and the mixture was incubated for 90 minutes. Absorbance was measured at 760 nm, and results were expressed as mg gallic acid equivalents (GAE) per 100 g fresh weight.</w:t>
      </w:r>
    </w:p>
    <w:p w14:paraId="519597A2"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flavonoids content</w:t>
      </w:r>
    </w:p>
    <w:p w14:paraId="72E6F3E5" w14:textId="06817074" w:rsidR="0054523B"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Total flavonoid content was estimated following </w:t>
      </w:r>
      <w:proofErr w:type="spellStart"/>
      <w:r w:rsidRPr="00327C93">
        <w:rPr>
          <w:rFonts w:ascii="Times New Roman" w:hAnsi="Times New Roman" w:cs="Times New Roman"/>
          <w:sz w:val="24"/>
          <w:szCs w:val="24"/>
        </w:rPr>
        <w:t>Zhishen</w:t>
      </w:r>
      <w:proofErr w:type="spellEnd"/>
      <w:r w:rsidRPr="00327C93">
        <w:rPr>
          <w:rFonts w:ascii="Times New Roman" w:hAnsi="Times New Roman" w:cs="Times New Roman"/>
          <w:sz w:val="24"/>
          <w:szCs w:val="24"/>
        </w:rPr>
        <w:t xml:space="preserve">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(1999). A 0.5 g fruit sample was extracted with 10 mL methanol and centrifuged at 10,000 rpm for 10 minutes. To 1 mL supernatant, 4 mL distilled water and 0.3 mL of 5% </w:t>
      </w:r>
      <w:proofErr w:type="spellStart"/>
      <w:r w:rsidRPr="00327C93">
        <w:rPr>
          <w:rFonts w:ascii="Times New Roman" w:hAnsi="Times New Roman" w:cs="Times New Roman"/>
          <w:sz w:val="24"/>
          <w:szCs w:val="24"/>
        </w:rPr>
        <w:t>NaNO</w:t>
      </w:r>
      <w:proofErr w:type="spellEnd"/>
      <w:r w:rsidRPr="00327C93">
        <w:rPr>
          <w:rFonts w:ascii="Times New Roman" w:hAnsi="Times New Roman" w:cs="Times New Roman"/>
          <w:sz w:val="24"/>
          <w:szCs w:val="24"/>
        </w:rPr>
        <w:t xml:space="preserve">₂ were added. After 5 minutes, 0.3 mL of 10% </w:t>
      </w:r>
      <w:proofErr w:type="spellStart"/>
      <w:r w:rsidRPr="00327C93">
        <w:rPr>
          <w:rFonts w:ascii="Times New Roman" w:hAnsi="Times New Roman" w:cs="Times New Roman"/>
          <w:sz w:val="24"/>
          <w:szCs w:val="24"/>
        </w:rPr>
        <w:t>AlCl</w:t>
      </w:r>
      <w:proofErr w:type="spellEnd"/>
      <w:r w:rsidRPr="00327C93">
        <w:rPr>
          <w:rFonts w:ascii="Times New Roman" w:hAnsi="Times New Roman" w:cs="Times New Roman"/>
          <w:sz w:val="24"/>
          <w:szCs w:val="24"/>
        </w:rPr>
        <w:t>₃·6H₂O was added, followed by 1 mL of 1 N NaOH after 6 minutes. The volume was adjusted to 10 mL, and absorbance was read at 510 nm. Results were expressed as mg rutin equivalents (RE) per 100 g fresh weight.</w:t>
      </w:r>
    </w:p>
    <w:p w14:paraId="2127946D" w14:textId="77777777" w:rsidR="0054523B" w:rsidRPr="00327C93" w:rsidRDefault="001A66CD"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antioxidant capacity</w:t>
      </w:r>
    </w:p>
    <w:p w14:paraId="0675D35F" w14:textId="2830682F" w:rsidR="00E76D08" w:rsidRPr="00327C93" w:rsidRDefault="00E76D08"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Total antioxidant capacity was determined using the copper reducing antioxidant capacity (CUPRAC) method, as described by Apak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(2008). In a test tube, 100 µL of 80% ethanolic extract of jamun, 1 mL each of copper (II) chloride solution, </w:t>
      </w:r>
      <w:proofErr w:type="spellStart"/>
      <w:r w:rsidRPr="00327C93">
        <w:rPr>
          <w:rFonts w:ascii="Times New Roman" w:hAnsi="Times New Roman" w:cs="Times New Roman"/>
          <w:sz w:val="24"/>
          <w:szCs w:val="24"/>
        </w:rPr>
        <w:t>neocuproine</w:t>
      </w:r>
      <w:proofErr w:type="spellEnd"/>
      <w:r w:rsidRPr="00327C93">
        <w:rPr>
          <w:rFonts w:ascii="Times New Roman" w:hAnsi="Times New Roman" w:cs="Times New Roman"/>
          <w:sz w:val="24"/>
          <w:szCs w:val="24"/>
        </w:rPr>
        <w:t xml:space="preserve"> solution, ammonium acetate buffer, and distilled water were mixed. The mixture was incubated for 30 minutes, after which absorbance was measured at 450 nm. The results were expressed as micromoles of Trolox equivalents (µmol TE) per gram of fresh weight (FW).</w:t>
      </w:r>
    </w:p>
    <w:p w14:paraId="713A98B5"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Analysis of data</w:t>
      </w:r>
    </w:p>
    <w:p w14:paraId="7001569B" w14:textId="77777777" w:rsidR="0054523B" w:rsidRPr="00327C93" w:rsidRDefault="00513779"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The experiment was organized using a completely randomized design, consisting of 5 treatments with 3 replicates per treatment. Data for different parameters are presented as mean ± standard error. To compare the treatment means, the Tukey's Honest Significant Difference (HSD) test was applied. A p-value of ≤ 0.05 was considered indicative of a </w:t>
      </w:r>
      <w:r w:rsidRPr="00327C93">
        <w:rPr>
          <w:rFonts w:ascii="Times New Roman" w:hAnsi="Times New Roman" w:cs="Times New Roman"/>
          <w:sz w:val="24"/>
          <w:szCs w:val="24"/>
        </w:rPr>
        <w:lastRenderedPageBreak/>
        <w:t>statistically significant difference. All statistical analyses were performed using the SAS 9.2 software (SAS Institute, Cary, NC, USA).</w:t>
      </w:r>
    </w:p>
    <w:p w14:paraId="7E646613"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Results and discussion</w:t>
      </w:r>
    </w:p>
    <w:p w14:paraId="6CACEB26"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Weight loss</w:t>
      </w:r>
    </w:p>
    <w:p w14:paraId="40C60192" w14:textId="78813B97" w:rsidR="000163B2" w:rsidRPr="00327C93" w:rsidRDefault="000163B2"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Postharvest weight loss significantly impacts the qualitative and quantitative quality of jamun fruit, primarily due to rapid water loss, thin skin, and shrinkage after harvest. Jamun pulp contains 80.14–81.32% moisture (Shahnawaz and Sheikh, 2011), and weight loss is driven by respiration, transpiration, and cellular decomposition, which degrade storage quality and accelerate senescence (Tareen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2012; Baraiya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2015;</w:t>
      </w:r>
      <w:r w:rsidR="001A66CD" w:rsidRPr="00327C93">
        <w:rPr>
          <w:rFonts w:ascii="Times New Roman" w:hAnsi="Times New Roman" w:cs="Times New Roman"/>
          <w:sz w:val="24"/>
          <w:szCs w:val="24"/>
        </w:rPr>
        <w:t xml:space="preserve"> Gol </w:t>
      </w:r>
      <w:r w:rsidR="0004375A" w:rsidRPr="0004375A">
        <w:rPr>
          <w:rFonts w:ascii="Times New Roman" w:hAnsi="Times New Roman" w:cs="Times New Roman"/>
          <w:i/>
          <w:iCs/>
          <w:sz w:val="24"/>
          <w:szCs w:val="24"/>
        </w:rPr>
        <w:t>et al</w:t>
      </w:r>
      <w:r w:rsidR="001A66CD" w:rsidRPr="00327C93">
        <w:rPr>
          <w:rFonts w:ascii="Times New Roman" w:hAnsi="Times New Roman" w:cs="Times New Roman"/>
          <w:sz w:val="24"/>
          <w:szCs w:val="24"/>
        </w:rPr>
        <w:t>., 2015</w:t>
      </w:r>
      <w:r w:rsidRPr="00327C93">
        <w:rPr>
          <w:rFonts w:ascii="Times New Roman" w:hAnsi="Times New Roman" w:cs="Times New Roman"/>
          <w:sz w:val="24"/>
          <w:szCs w:val="24"/>
        </w:rPr>
        <w:t xml:space="preserve">).The investigation assessed the effect of postharvest treatments on physiological weight loss in jamun fruit under low-temperature storage. </w:t>
      </w:r>
      <w:r w:rsidR="006B40C0" w:rsidRPr="00327C93">
        <w:rPr>
          <w:rFonts w:ascii="Times New Roman" w:hAnsi="Times New Roman" w:cs="Times New Roman"/>
          <w:sz w:val="24"/>
          <w:szCs w:val="24"/>
        </w:rPr>
        <w:t xml:space="preserve">Table 1 illustrates that the physiological loss in weight (PLW%) increased over a 30-day period, with the most substantial losses observed in the Control Open group, reaching up to 23.3% at 25 days after storage (DAS). The sealing of control samples effectively reduced weight loss by limiting moisture evaporation. All sodium nitroprusside (SNP) treatments (0.5, 1.0, and 1.5 mM) further mitigated PLW, with the 1.5 mM SNP treatment proving to be the most efficacious, resulting in only 3.47% loss at 25 DAS and 0.07% at 30 DAS. These findings suggest that SNP, particularly at a concentration of 1.5 mM, significantly reduces postharvest weight loss by delaying senescence and decelerating metabolic </w:t>
      </w:r>
      <w:r w:rsidR="006B40C0" w:rsidRPr="0004375A">
        <w:rPr>
          <w:rFonts w:ascii="Times New Roman" w:hAnsi="Times New Roman" w:cs="Times New Roman"/>
          <w:sz w:val="24"/>
          <w:szCs w:val="24"/>
          <w:highlight w:val="yellow"/>
        </w:rPr>
        <w:t>activity.</w:t>
      </w:r>
      <w:r w:rsidR="0004375A" w:rsidRPr="0004375A">
        <w:rPr>
          <w:rFonts w:ascii="Times New Roman" w:hAnsi="Times New Roman" w:cs="Times New Roman"/>
          <w:sz w:val="24"/>
          <w:szCs w:val="24"/>
          <w:highlight w:val="yellow"/>
        </w:rPr>
        <w:t xml:space="preserve"> </w:t>
      </w:r>
      <w:r w:rsidRPr="0004375A">
        <w:rPr>
          <w:rFonts w:ascii="Times New Roman" w:hAnsi="Times New Roman" w:cs="Times New Roman"/>
          <w:sz w:val="24"/>
          <w:szCs w:val="24"/>
          <w:highlight w:val="yellow"/>
        </w:rPr>
        <w:t>Additionally,</w:t>
      </w:r>
      <w:r w:rsidRPr="00327C93">
        <w:rPr>
          <w:rFonts w:ascii="Times New Roman" w:hAnsi="Times New Roman" w:cs="Times New Roman"/>
          <w:sz w:val="24"/>
          <w:szCs w:val="24"/>
        </w:rPr>
        <w:t xml:space="preserve"> Leshem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(1998) reported that low nitric oxide (NO) levels enhance plant growth, improve stress tolerance, and postpone senescence, while high levels suppress growth and hasten deterioration. NO also reduces postharvest water loss, preserves nutrient content, and delays aging in fruits and vegetables.</w:t>
      </w:r>
      <w:r w:rsidR="001A66CD" w:rsidRPr="00327C93">
        <w:rPr>
          <w:rFonts w:ascii="Times New Roman" w:hAnsi="Times New Roman" w:cs="Times New Roman"/>
          <w:sz w:val="24"/>
          <w:szCs w:val="24"/>
        </w:rPr>
        <w:t xml:space="preserve"> </w:t>
      </w:r>
      <w:r w:rsidR="0028606D" w:rsidRPr="00327C93">
        <w:rPr>
          <w:rFonts w:ascii="Times New Roman" w:hAnsi="Times New Roman" w:cs="Times New Roman"/>
          <w:sz w:val="24"/>
          <w:szCs w:val="24"/>
        </w:rPr>
        <w:t>This result is consistent with findings in persimmon, peach, and mango (</w:t>
      </w:r>
      <w:r w:rsidR="00A31A5E" w:rsidRPr="00327C93">
        <w:rPr>
          <w:rFonts w:ascii="Times New Roman" w:hAnsi="Times New Roman" w:cs="Times New Roman"/>
          <w:sz w:val="24"/>
          <w:szCs w:val="24"/>
        </w:rPr>
        <w:t xml:space="preserve">Berman </w:t>
      </w:r>
      <w:r w:rsidR="0004375A" w:rsidRPr="0004375A">
        <w:rPr>
          <w:rFonts w:ascii="Times New Roman" w:hAnsi="Times New Roman" w:cs="Times New Roman"/>
          <w:i/>
          <w:iCs/>
          <w:sz w:val="24"/>
          <w:szCs w:val="24"/>
        </w:rPr>
        <w:t>et al</w:t>
      </w:r>
      <w:r w:rsidR="00A31A5E" w:rsidRPr="00327C93">
        <w:rPr>
          <w:rFonts w:ascii="Times New Roman" w:hAnsi="Times New Roman" w:cs="Times New Roman"/>
          <w:sz w:val="24"/>
          <w:szCs w:val="24"/>
        </w:rPr>
        <w:t xml:space="preserve">., 2014; </w:t>
      </w:r>
      <w:proofErr w:type="spellStart"/>
      <w:r w:rsidR="0028606D" w:rsidRPr="00327C93">
        <w:rPr>
          <w:rFonts w:ascii="Times New Roman" w:hAnsi="Times New Roman" w:cs="Times New Roman"/>
          <w:sz w:val="24"/>
          <w:szCs w:val="24"/>
        </w:rPr>
        <w:t>Shahkoomahally</w:t>
      </w:r>
      <w:proofErr w:type="spellEnd"/>
      <w:r w:rsidR="0028606D" w:rsidRPr="00327C93">
        <w:rPr>
          <w:rFonts w:ascii="Times New Roman" w:hAnsi="Times New Roman" w:cs="Times New Roman"/>
          <w:sz w:val="24"/>
          <w:szCs w:val="24"/>
        </w:rPr>
        <w:t xml:space="preserve"> </w:t>
      </w:r>
      <w:r w:rsidR="0004375A" w:rsidRPr="0004375A">
        <w:rPr>
          <w:rFonts w:ascii="Times New Roman" w:hAnsi="Times New Roman" w:cs="Times New Roman"/>
          <w:i/>
          <w:iCs/>
          <w:sz w:val="24"/>
          <w:szCs w:val="24"/>
        </w:rPr>
        <w:t>et al</w:t>
      </w:r>
      <w:r w:rsidR="00A31A5E" w:rsidRPr="00327C93">
        <w:rPr>
          <w:rFonts w:ascii="Times New Roman" w:hAnsi="Times New Roman" w:cs="Times New Roman"/>
          <w:sz w:val="24"/>
          <w:szCs w:val="24"/>
        </w:rPr>
        <w:t xml:space="preserve">., 2015; </w:t>
      </w:r>
      <w:r w:rsidR="0028606D" w:rsidRPr="00327C93">
        <w:rPr>
          <w:rFonts w:ascii="Times New Roman" w:hAnsi="Times New Roman" w:cs="Times New Roman"/>
          <w:sz w:val="24"/>
          <w:szCs w:val="24"/>
        </w:rPr>
        <w:t xml:space="preserve">Ren </w:t>
      </w:r>
      <w:r w:rsidR="0004375A" w:rsidRPr="0004375A">
        <w:rPr>
          <w:rFonts w:ascii="Times New Roman" w:hAnsi="Times New Roman" w:cs="Times New Roman"/>
          <w:i/>
          <w:iCs/>
          <w:sz w:val="24"/>
          <w:szCs w:val="24"/>
        </w:rPr>
        <w:t>et al</w:t>
      </w:r>
      <w:r w:rsidR="0028606D" w:rsidRPr="00327C93">
        <w:rPr>
          <w:rFonts w:ascii="Times New Roman" w:hAnsi="Times New Roman" w:cs="Times New Roman"/>
          <w:sz w:val="24"/>
          <w:szCs w:val="24"/>
        </w:rPr>
        <w:t>., 2017</w:t>
      </w:r>
      <w:r w:rsidR="00A31A5E" w:rsidRPr="00327C93">
        <w:rPr>
          <w:rFonts w:ascii="Times New Roman" w:hAnsi="Times New Roman" w:cs="Times New Roman"/>
          <w:sz w:val="24"/>
          <w:szCs w:val="24"/>
        </w:rPr>
        <w:t xml:space="preserve">; Saba </w:t>
      </w:r>
      <w:r w:rsidR="0004375A" w:rsidRPr="0004375A">
        <w:rPr>
          <w:rFonts w:ascii="Times New Roman" w:hAnsi="Times New Roman" w:cs="Times New Roman"/>
          <w:i/>
          <w:iCs/>
          <w:sz w:val="24"/>
          <w:szCs w:val="24"/>
        </w:rPr>
        <w:t>et al</w:t>
      </w:r>
      <w:r w:rsidR="00A31A5E" w:rsidRPr="00327C93">
        <w:rPr>
          <w:rFonts w:ascii="Times New Roman" w:hAnsi="Times New Roman" w:cs="Times New Roman"/>
          <w:sz w:val="24"/>
          <w:szCs w:val="24"/>
        </w:rPr>
        <w:t>., 2017</w:t>
      </w:r>
      <w:r w:rsidR="0028606D" w:rsidRPr="00327C93">
        <w:rPr>
          <w:rFonts w:ascii="Times New Roman" w:hAnsi="Times New Roman" w:cs="Times New Roman"/>
          <w:sz w:val="24"/>
          <w:szCs w:val="24"/>
        </w:rPr>
        <w:t>).</w:t>
      </w:r>
    </w:p>
    <w:p w14:paraId="0737261E" w14:textId="77777777" w:rsidR="0054523B" w:rsidRPr="00327C93" w:rsidRDefault="0054523B"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t>Decay loss</w:t>
      </w:r>
    </w:p>
    <w:p w14:paraId="69BE0BD6" w14:textId="7CCE2B10" w:rsidR="0028606D" w:rsidRPr="00327C93" w:rsidRDefault="005346FE"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The delicate skin of the jamun fruit renders it highly susceptible to mechanical damage and microbial infection following harvest. Both treated and control fruits exhibited no signs of decay for up to 15 days when stored at low temperatures. </w:t>
      </w:r>
      <w:r w:rsidR="003D64C5" w:rsidRPr="00327C93">
        <w:rPr>
          <w:rFonts w:ascii="Times New Roman" w:hAnsi="Times New Roman" w:cs="Times New Roman"/>
          <w:sz w:val="24"/>
          <w:szCs w:val="24"/>
        </w:rPr>
        <w:t>Table 1 illustrates that decay loss commenced after 15 days of storage and exhibited a significant increase by 30 days, particularly in untreated samples. The Control Open group experienced the highest decay at 34.30%, whereas sealing the control reduced decay to 20.30%. SNP treatments substantially mitigated decay, with the 1.5 mM SNP treatment demonstrating the most favorable outcome, resulting in only 5.73% decay at 30 DAS. This finding suggests that SNP, especially at a concentration of 1.5 mM, is highly effective in reducing postharvest decay and extending shelf life.</w:t>
      </w:r>
      <w:r w:rsidRPr="00327C93">
        <w:rPr>
          <w:rFonts w:ascii="Times New Roman" w:hAnsi="Times New Roman" w:cs="Times New Roman"/>
          <w:sz w:val="24"/>
          <w:szCs w:val="24"/>
        </w:rPr>
        <w:t xml:space="preserve">SNP demonstrated superior efficacy over controls in curbing decomposition, likely attributable to the induction of reactive oxygen species (ROS) by exogenous nitric oxide (NO), which inhibits the growth of </w:t>
      </w:r>
      <w:r w:rsidRPr="00327C93">
        <w:rPr>
          <w:rFonts w:ascii="Times New Roman" w:hAnsi="Times New Roman" w:cs="Times New Roman"/>
          <w:i/>
          <w:iCs/>
          <w:sz w:val="24"/>
          <w:szCs w:val="24"/>
        </w:rPr>
        <w:t xml:space="preserve">P. </w:t>
      </w:r>
      <w:proofErr w:type="spellStart"/>
      <w:r w:rsidRPr="00327C93">
        <w:rPr>
          <w:rFonts w:ascii="Times New Roman" w:hAnsi="Times New Roman" w:cs="Times New Roman"/>
          <w:i/>
          <w:iCs/>
          <w:sz w:val="24"/>
          <w:szCs w:val="24"/>
        </w:rPr>
        <w:t>expansum</w:t>
      </w:r>
      <w:proofErr w:type="spellEnd"/>
      <w:r w:rsidRPr="00327C93">
        <w:rPr>
          <w:rFonts w:ascii="Times New Roman" w:hAnsi="Times New Roman" w:cs="Times New Roman"/>
          <w:sz w:val="24"/>
          <w:szCs w:val="24"/>
        </w:rPr>
        <w:t xml:space="preserve"> (Lai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2011). Furthermore, the low oxygen levels, augmented by SNP, contribute to the suppression of fungal growth (Wells and </w:t>
      </w:r>
      <w:proofErr w:type="spellStart"/>
      <w:r w:rsidRPr="00327C93">
        <w:rPr>
          <w:rFonts w:ascii="Times New Roman" w:hAnsi="Times New Roman" w:cs="Times New Roman"/>
          <w:sz w:val="24"/>
          <w:szCs w:val="24"/>
        </w:rPr>
        <w:t>Uota</w:t>
      </w:r>
      <w:proofErr w:type="spellEnd"/>
      <w:r w:rsidRPr="00327C93">
        <w:rPr>
          <w:rFonts w:ascii="Times New Roman" w:hAnsi="Times New Roman" w:cs="Times New Roman"/>
          <w:sz w:val="24"/>
          <w:szCs w:val="24"/>
        </w:rPr>
        <w:t>, 1970; Barkai-Golan, 199</w:t>
      </w:r>
      <w:r w:rsidR="0028606D" w:rsidRPr="00327C93">
        <w:rPr>
          <w:rFonts w:ascii="Times New Roman" w:hAnsi="Times New Roman" w:cs="Times New Roman"/>
          <w:sz w:val="24"/>
          <w:szCs w:val="24"/>
        </w:rPr>
        <w:t xml:space="preserve">0). The effectiveness of SNP in reducing decay is corroborated by studies on mango (Ren </w:t>
      </w:r>
      <w:r w:rsidR="0004375A" w:rsidRPr="0004375A">
        <w:rPr>
          <w:rFonts w:ascii="Times New Roman" w:hAnsi="Times New Roman" w:cs="Times New Roman"/>
          <w:i/>
          <w:iCs/>
          <w:sz w:val="24"/>
          <w:szCs w:val="24"/>
        </w:rPr>
        <w:t>et al</w:t>
      </w:r>
      <w:r w:rsidR="0028606D" w:rsidRPr="00327C93">
        <w:rPr>
          <w:rFonts w:ascii="Times New Roman" w:hAnsi="Times New Roman" w:cs="Times New Roman"/>
          <w:sz w:val="24"/>
          <w:szCs w:val="24"/>
        </w:rPr>
        <w:t xml:space="preserve">., 2017) and kiwi (Zheng </w:t>
      </w:r>
      <w:r w:rsidR="0004375A" w:rsidRPr="0004375A">
        <w:rPr>
          <w:rFonts w:ascii="Times New Roman" w:hAnsi="Times New Roman" w:cs="Times New Roman"/>
          <w:i/>
          <w:iCs/>
          <w:sz w:val="24"/>
          <w:szCs w:val="24"/>
        </w:rPr>
        <w:t>et al</w:t>
      </w:r>
      <w:r w:rsidR="0028606D" w:rsidRPr="00327C93">
        <w:rPr>
          <w:rFonts w:ascii="Times New Roman" w:hAnsi="Times New Roman" w:cs="Times New Roman"/>
          <w:sz w:val="24"/>
          <w:szCs w:val="24"/>
        </w:rPr>
        <w:t>., 2017).</w:t>
      </w:r>
    </w:p>
    <w:p w14:paraId="3AD900C3" w14:textId="77777777" w:rsidR="009E07AE" w:rsidRPr="00327C93" w:rsidRDefault="009E07AE" w:rsidP="00327C93">
      <w:pPr>
        <w:spacing w:line="240" w:lineRule="auto"/>
        <w:ind w:firstLine="720"/>
        <w:jc w:val="both"/>
        <w:rPr>
          <w:rFonts w:ascii="Times New Roman" w:hAnsi="Times New Roman" w:cs="Times New Roman"/>
          <w:sz w:val="24"/>
          <w:szCs w:val="24"/>
        </w:rPr>
        <w:sectPr w:rsidR="009E07AE" w:rsidRPr="00327C93" w:rsidSect="006E7A6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p w14:paraId="31FF0185" w14:textId="77777777" w:rsidR="00EC6BCF" w:rsidRPr="00327C93" w:rsidRDefault="00EC6BCF" w:rsidP="00327C93">
      <w:pPr>
        <w:spacing w:line="240" w:lineRule="auto"/>
        <w:rPr>
          <w:rFonts w:ascii="Times New Roman" w:hAnsi="Times New Roman" w:cs="Times New Roman"/>
          <w:b/>
          <w:bCs/>
          <w:sz w:val="24"/>
          <w:szCs w:val="24"/>
        </w:rPr>
      </w:pPr>
    </w:p>
    <w:tbl>
      <w:tblPr>
        <w:tblStyle w:val="LightShading1"/>
        <w:tblW w:w="0" w:type="auto"/>
        <w:tblLook w:val="04A0" w:firstRow="1" w:lastRow="0" w:firstColumn="1" w:lastColumn="0" w:noHBand="0" w:noVBand="1"/>
      </w:tblPr>
      <w:tblGrid>
        <w:gridCol w:w="2004"/>
        <w:gridCol w:w="1758"/>
        <w:gridCol w:w="1735"/>
        <w:gridCol w:w="1739"/>
        <w:gridCol w:w="1733"/>
        <w:gridCol w:w="1735"/>
        <w:gridCol w:w="1735"/>
        <w:gridCol w:w="1735"/>
      </w:tblGrid>
      <w:tr w:rsidR="009E07AE" w:rsidRPr="00327C93" w14:paraId="20F5E941" w14:textId="77777777" w:rsidTr="00717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val="restart"/>
            <w:shd w:val="clear" w:color="auto" w:fill="auto"/>
            <w:vAlign w:val="center"/>
          </w:tcPr>
          <w:p w14:paraId="1EEA2C80" w14:textId="77777777" w:rsidR="009E07AE" w:rsidRPr="00327C93" w:rsidRDefault="009E07AE"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Parameters</w:t>
            </w:r>
          </w:p>
        </w:tc>
        <w:tc>
          <w:tcPr>
            <w:tcW w:w="1771" w:type="dxa"/>
            <w:vMerge w:val="restart"/>
            <w:shd w:val="clear" w:color="auto" w:fill="auto"/>
            <w:vAlign w:val="center"/>
          </w:tcPr>
          <w:p w14:paraId="18B9F488" w14:textId="77777777" w:rsidR="009E07AE" w:rsidRPr="00327C93" w:rsidRDefault="009E07AE" w:rsidP="00327C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b w:val="0"/>
                <w:bCs w:val="0"/>
                <w:color w:val="auto"/>
                <w:sz w:val="24"/>
                <w:szCs w:val="24"/>
              </w:rPr>
              <w:t>T</w:t>
            </w:r>
            <w:r w:rsidRPr="00327C93">
              <w:rPr>
                <w:rFonts w:ascii="Times New Roman" w:hAnsi="Times New Roman" w:cs="Times New Roman"/>
                <w:color w:val="auto"/>
                <w:sz w:val="24"/>
                <w:szCs w:val="24"/>
              </w:rPr>
              <w:t>reatments</w:t>
            </w:r>
          </w:p>
        </w:tc>
        <w:tc>
          <w:tcPr>
            <w:tcW w:w="10632" w:type="dxa"/>
            <w:gridSpan w:val="6"/>
            <w:shd w:val="clear" w:color="auto" w:fill="auto"/>
          </w:tcPr>
          <w:p w14:paraId="30E6CA91" w14:textId="77777777" w:rsidR="009E07AE" w:rsidRPr="00327C93" w:rsidRDefault="009E07AE" w:rsidP="00327C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Days after storage (DAS)</w:t>
            </w:r>
          </w:p>
        </w:tc>
      </w:tr>
      <w:tr w:rsidR="009E07AE" w:rsidRPr="00327C93" w14:paraId="6449B321"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bottom w:val="single" w:sz="4" w:space="0" w:color="auto"/>
            </w:tcBorders>
            <w:shd w:val="clear" w:color="auto" w:fill="auto"/>
            <w:vAlign w:val="center"/>
          </w:tcPr>
          <w:p w14:paraId="15022E85" w14:textId="77777777" w:rsidR="009E07AE" w:rsidRPr="00327C93" w:rsidRDefault="009E07AE" w:rsidP="00327C93">
            <w:pPr>
              <w:rPr>
                <w:rFonts w:ascii="Times New Roman" w:hAnsi="Times New Roman" w:cs="Times New Roman"/>
                <w:color w:val="auto"/>
                <w:sz w:val="24"/>
                <w:szCs w:val="24"/>
              </w:rPr>
            </w:pPr>
          </w:p>
        </w:tc>
        <w:tc>
          <w:tcPr>
            <w:tcW w:w="1771" w:type="dxa"/>
            <w:vMerge/>
            <w:tcBorders>
              <w:bottom w:val="single" w:sz="4" w:space="0" w:color="auto"/>
            </w:tcBorders>
            <w:shd w:val="clear" w:color="auto" w:fill="auto"/>
          </w:tcPr>
          <w:p w14:paraId="0FBF57DF"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p>
        </w:tc>
        <w:tc>
          <w:tcPr>
            <w:tcW w:w="1772" w:type="dxa"/>
            <w:tcBorders>
              <w:bottom w:val="single" w:sz="4" w:space="0" w:color="auto"/>
            </w:tcBorders>
            <w:shd w:val="clear" w:color="auto" w:fill="auto"/>
          </w:tcPr>
          <w:p w14:paraId="3A9AB84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r w:rsidRPr="00327C93">
              <w:rPr>
                <w:rFonts w:ascii="Times New Roman" w:hAnsi="Times New Roman" w:cs="Times New Roman"/>
                <w:b/>
                <w:bCs/>
                <w:color w:val="auto"/>
                <w:sz w:val="24"/>
                <w:szCs w:val="24"/>
              </w:rPr>
              <w:t>5 DAS</w:t>
            </w:r>
          </w:p>
        </w:tc>
        <w:tc>
          <w:tcPr>
            <w:tcW w:w="1772" w:type="dxa"/>
            <w:tcBorders>
              <w:bottom w:val="single" w:sz="4" w:space="0" w:color="auto"/>
            </w:tcBorders>
            <w:shd w:val="clear" w:color="auto" w:fill="auto"/>
          </w:tcPr>
          <w:p w14:paraId="5C9CC42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10 DAS</w:t>
            </w:r>
          </w:p>
        </w:tc>
        <w:tc>
          <w:tcPr>
            <w:tcW w:w="1772" w:type="dxa"/>
            <w:tcBorders>
              <w:bottom w:val="single" w:sz="4" w:space="0" w:color="auto"/>
            </w:tcBorders>
            <w:shd w:val="clear" w:color="auto" w:fill="auto"/>
          </w:tcPr>
          <w:p w14:paraId="051DDAC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15 DAS</w:t>
            </w:r>
          </w:p>
        </w:tc>
        <w:tc>
          <w:tcPr>
            <w:tcW w:w="1772" w:type="dxa"/>
            <w:tcBorders>
              <w:bottom w:val="single" w:sz="4" w:space="0" w:color="auto"/>
            </w:tcBorders>
            <w:shd w:val="clear" w:color="auto" w:fill="auto"/>
          </w:tcPr>
          <w:p w14:paraId="655E7FCC"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20 DAS</w:t>
            </w:r>
          </w:p>
        </w:tc>
        <w:tc>
          <w:tcPr>
            <w:tcW w:w="1772" w:type="dxa"/>
            <w:tcBorders>
              <w:bottom w:val="single" w:sz="4" w:space="0" w:color="auto"/>
            </w:tcBorders>
            <w:shd w:val="clear" w:color="auto" w:fill="auto"/>
          </w:tcPr>
          <w:p w14:paraId="755992D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25 DAS</w:t>
            </w:r>
          </w:p>
        </w:tc>
        <w:tc>
          <w:tcPr>
            <w:tcW w:w="1772" w:type="dxa"/>
            <w:tcBorders>
              <w:bottom w:val="single" w:sz="4" w:space="0" w:color="auto"/>
            </w:tcBorders>
            <w:shd w:val="clear" w:color="auto" w:fill="auto"/>
          </w:tcPr>
          <w:p w14:paraId="08634B3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30 DAS</w:t>
            </w:r>
          </w:p>
        </w:tc>
      </w:tr>
      <w:tr w:rsidR="009E07AE" w:rsidRPr="00327C93" w14:paraId="58DD3313"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val="restart"/>
            <w:tcBorders>
              <w:top w:val="single" w:sz="4" w:space="0" w:color="auto"/>
              <w:bottom w:val="nil"/>
            </w:tcBorders>
            <w:shd w:val="clear" w:color="auto" w:fill="auto"/>
            <w:vAlign w:val="center"/>
          </w:tcPr>
          <w:p w14:paraId="7A69E8A1" w14:textId="77777777" w:rsidR="009E07AE" w:rsidRPr="00327C93" w:rsidRDefault="009E07AE"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Physiological loss in weight (%)</w:t>
            </w:r>
          </w:p>
        </w:tc>
        <w:tc>
          <w:tcPr>
            <w:tcW w:w="1771" w:type="dxa"/>
            <w:tcBorders>
              <w:top w:val="single" w:sz="4" w:space="0" w:color="auto"/>
              <w:bottom w:val="nil"/>
            </w:tcBorders>
            <w:shd w:val="clear" w:color="auto" w:fill="auto"/>
          </w:tcPr>
          <w:p w14:paraId="4C0E5B0E"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772" w:type="dxa"/>
            <w:tcBorders>
              <w:top w:val="single" w:sz="4" w:space="0" w:color="auto"/>
              <w:bottom w:val="nil"/>
            </w:tcBorders>
            <w:shd w:val="clear" w:color="auto" w:fill="auto"/>
          </w:tcPr>
          <w:p w14:paraId="5DC7F795"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2.53 ± 0.12 a</w:t>
            </w:r>
          </w:p>
        </w:tc>
        <w:tc>
          <w:tcPr>
            <w:tcW w:w="1772" w:type="dxa"/>
            <w:tcBorders>
              <w:top w:val="single" w:sz="4" w:space="0" w:color="auto"/>
              <w:bottom w:val="nil"/>
            </w:tcBorders>
            <w:shd w:val="clear" w:color="auto" w:fill="auto"/>
          </w:tcPr>
          <w:p w14:paraId="5B72049D"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5.07 ± 0.25 a</w:t>
            </w:r>
          </w:p>
        </w:tc>
        <w:tc>
          <w:tcPr>
            <w:tcW w:w="1772" w:type="dxa"/>
            <w:tcBorders>
              <w:top w:val="single" w:sz="4" w:space="0" w:color="auto"/>
              <w:bottom w:val="nil"/>
            </w:tcBorders>
            <w:shd w:val="clear" w:color="auto" w:fill="auto"/>
          </w:tcPr>
          <w:p w14:paraId="4027F40B"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11.4 ± 0.4 a</w:t>
            </w:r>
          </w:p>
        </w:tc>
        <w:tc>
          <w:tcPr>
            <w:tcW w:w="1772" w:type="dxa"/>
            <w:tcBorders>
              <w:top w:val="single" w:sz="4" w:space="0" w:color="auto"/>
              <w:bottom w:val="nil"/>
            </w:tcBorders>
            <w:shd w:val="clear" w:color="auto" w:fill="auto"/>
          </w:tcPr>
          <w:p w14:paraId="57CA313F"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17.2 ± 0.52 a</w:t>
            </w:r>
          </w:p>
        </w:tc>
        <w:tc>
          <w:tcPr>
            <w:tcW w:w="1772" w:type="dxa"/>
            <w:tcBorders>
              <w:top w:val="single" w:sz="4" w:space="0" w:color="auto"/>
              <w:bottom w:val="nil"/>
            </w:tcBorders>
            <w:shd w:val="clear" w:color="auto" w:fill="auto"/>
          </w:tcPr>
          <w:p w14:paraId="02D02345"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23.3 ± 0.41 a</w:t>
            </w:r>
          </w:p>
        </w:tc>
        <w:tc>
          <w:tcPr>
            <w:tcW w:w="1772" w:type="dxa"/>
            <w:tcBorders>
              <w:top w:val="single" w:sz="4" w:space="0" w:color="auto"/>
              <w:bottom w:val="nil"/>
            </w:tcBorders>
            <w:shd w:val="clear" w:color="auto" w:fill="auto"/>
          </w:tcPr>
          <w:p w14:paraId="05E5B85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1.39 ± 0.80 a</w:t>
            </w:r>
          </w:p>
        </w:tc>
      </w:tr>
      <w:tr w:rsidR="009E07AE" w:rsidRPr="00327C93" w14:paraId="78A8F074"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38FD5874"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6A372EA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772" w:type="dxa"/>
            <w:tcBorders>
              <w:top w:val="nil"/>
              <w:bottom w:val="nil"/>
            </w:tcBorders>
            <w:shd w:val="clear" w:color="auto" w:fill="auto"/>
          </w:tcPr>
          <w:p w14:paraId="6205DF09"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0.59 ± 0.08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164A4DB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1.35 ± 0.18 b</w:t>
            </w:r>
          </w:p>
        </w:tc>
        <w:tc>
          <w:tcPr>
            <w:tcW w:w="1772" w:type="dxa"/>
            <w:tcBorders>
              <w:top w:val="nil"/>
              <w:bottom w:val="nil"/>
            </w:tcBorders>
            <w:shd w:val="clear" w:color="auto" w:fill="auto"/>
          </w:tcPr>
          <w:p w14:paraId="3B94191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2.6 ± 0.10 b</w:t>
            </w:r>
          </w:p>
        </w:tc>
        <w:tc>
          <w:tcPr>
            <w:tcW w:w="1772" w:type="dxa"/>
            <w:tcBorders>
              <w:top w:val="nil"/>
              <w:bottom w:val="nil"/>
            </w:tcBorders>
            <w:shd w:val="clear" w:color="auto" w:fill="auto"/>
          </w:tcPr>
          <w:p w14:paraId="3B94006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5.4 ± 0.33 b</w:t>
            </w:r>
          </w:p>
        </w:tc>
        <w:tc>
          <w:tcPr>
            <w:tcW w:w="1772" w:type="dxa"/>
            <w:tcBorders>
              <w:top w:val="nil"/>
              <w:bottom w:val="nil"/>
            </w:tcBorders>
            <w:shd w:val="clear" w:color="auto" w:fill="auto"/>
          </w:tcPr>
          <w:p w14:paraId="37E0DA05"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6.64 ± 0.18 b</w:t>
            </w:r>
          </w:p>
        </w:tc>
        <w:tc>
          <w:tcPr>
            <w:tcW w:w="1772" w:type="dxa"/>
            <w:tcBorders>
              <w:top w:val="nil"/>
              <w:bottom w:val="nil"/>
            </w:tcBorders>
            <w:shd w:val="clear" w:color="auto" w:fill="auto"/>
          </w:tcPr>
          <w:p w14:paraId="4818C0C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0.46 ± 0.26 b</w:t>
            </w:r>
          </w:p>
        </w:tc>
      </w:tr>
      <w:tr w:rsidR="009E07AE" w:rsidRPr="00327C93" w14:paraId="589666AA"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041D81A3"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7B03087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772" w:type="dxa"/>
            <w:tcBorders>
              <w:top w:val="nil"/>
              <w:bottom w:val="nil"/>
            </w:tcBorders>
            <w:shd w:val="clear" w:color="auto" w:fill="auto"/>
          </w:tcPr>
          <w:p w14:paraId="3E692E5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0.66 ± 0.02 b</w:t>
            </w:r>
          </w:p>
        </w:tc>
        <w:tc>
          <w:tcPr>
            <w:tcW w:w="1772" w:type="dxa"/>
            <w:tcBorders>
              <w:top w:val="nil"/>
              <w:bottom w:val="nil"/>
            </w:tcBorders>
            <w:shd w:val="clear" w:color="auto" w:fill="auto"/>
          </w:tcPr>
          <w:p w14:paraId="6423FA40"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0.81 ± 0.03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534454FF"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1.42 ± 0.23 c</w:t>
            </w:r>
          </w:p>
        </w:tc>
        <w:tc>
          <w:tcPr>
            <w:tcW w:w="1772" w:type="dxa"/>
            <w:tcBorders>
              <w:top w:val="nil"/>
              <w:bottom w:val="nil"/>
            </w:tcBorders>
            <w:shd w:val="clear" w:color="auto" w:fill="auto"/>
          </w:tcPr>
          <w:p w14:paraId="7F7D9C1D"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3.19 ± 0.21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10DB10CE"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3.93 ± 0.19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3F206383"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0.38 ± 0.22 </w:t>
            </w:r>
            <w:r w:rsidR="00EC768E" w:rsidRPr="00327C93">
              <w:rPr>
                <w:rFonts w:ascii="Times New Roman" w:hAnsi="Times New Roman" w:cs="Times New Roman"/>
                <w:color w:val="auto"/>
                <w:sz w:val="24"/>
                <w:szCs w:val="24"/>
              </w:rPr>
              <w:t>c</w:t>
            </w:r>
          </w:p>
        </w:tc>
      </w:tr>
      <w:tr w:rsidR="009E07AE" w:rsidRPr="00327C93" w14:paraId="00F31DC0"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1CED6BF0"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5B52AA6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772" w:type="dxa"/>
            <w:tcBorders>
              <w:top w:val="nil"/>
              <w:bottom w:val="nil"/>
            </w:tcBorders>
            <w:shd w:val="clear" w:color="auto" w:fill="auto"/>
          </w:tcPr>
          <w:p w14:paraId="0D6037E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0.65 ± 0.09 b</w:t>
            </w:r>
          </w:p>
        </w:tc>
        <w:tc>
          <w:tcPr>
            <w:tcW w:w="1772" w:type="dxa"/>
            <w:tcBorders>
              <w:top w:val="nil"/>
              <w:bottom w:val="nil"/>
            </w:tcBorders>
            <w:shd w:val="clear" w:color="auto" w:fill="auto"/>
          </w:tcPr>
          <w:p w14:paraId="3F4DE792"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0.68 ± 0.13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2AB9A48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1.35 ± 0.10 c</w:t>
            </w:r>
          </w:p>
        </w:tc>
        <w:tc>
          <w:tcPr>
            <w:tcW w:w="1772" w:type="dxa"/>
            <w:tcBorders>
              <w:top w:val="nil"/>
              <w:bottom w:val="nil"/>
            </w:tcBorders>
            <w:shd w:val="clear" w:color="auto" w:fill="auto"/>
          </w:tcPr>
          <w:p w14:paraId="2EE9BCBD"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2.80 ± 0.42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57FA7580" w14:textId="77777777" w:rsidR="009E07AE" w:rsidRPr="00327C93" w:rsidRDefault="00EC768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3.39 ± 0.02 c</w:t>
            </w:r>
          </w:p>
        </w:tc>
        <w:tc>
          <w:tcPr>
            <w:tcW w:w="1772" w:type="dxa"/>
            <w:tcBorders>
              <w:top w:val="nil"/>
              <w:bottom w:val="nil"/>
            </w:tcBorders>
            <w:shd w:val="clear" w:color="auto" w:fill="auto"/>
          </w:tcPr>
          <w:p w14:paraId="3E7A9D5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0.40 ± 0.23 </w:t>
            </w:r>
            <w:r w:rsidR="00EC768E" w:rsidRPr="00327C93">
              <w:rPr>
                <w:rFonts w:ascii="Times New Roman" w:hAnsi="Times New Roman" w:cs="Times New Roman"/>
                <w:color w:val="auto"/>
                <w:sz w:val="24"/>
                <w:szCs w:val="24"/>
              </w:rPr>
              <w:t>c</w:t>
            </w:r>
          </w:p>
        </w:tc>
      </w:tr>
      <w:tr w:rsidR="009E07AE" w:rsidRPr="00327C93" w14:paraId="34933039"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single" w:sz="4" w:space="0" w:color="auto"/>
            </w:tcBorders>
            <w:shd w:val="clear" w:color="auto" w:fill="auto"/>
            <w:vAlign w:val="center"/>
          </w:tcPr>
          <w:p w14:paraId="09C90DFE"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single" w:sz="4" w:space="0" w:color="auto"/>
            </w:tcBorders>
            <w:shd w:val="clear" w:color="auto" w:fill="auto"/>
          </w:tcPr>
          <w:p w14:paraId="012A8871"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772" w:type="dxa"/>
            <w:tcBorders>
              <w:top w:val="nil"/>
              <w:bottom w:val="single" w:sz="4" w:space="0" w:color="auto"/>
            </w:tcBorders>
            <w:shd w:val="clear" w:color="auto" w:fill="auto"/>
          </w:tcPr>
          <w:p w14:paraId="57C11ABF"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0.30 ± 0.05 </w:t>
            </w:r>
            <w:r w:rsidR="00EC768E" w:rsidRPr="00327C93">
              <w:rPr>
                <w:rFonts w:ascii="Times New Roman" w:hAnsi="Times New Roman" w:cs="Times New Roman"/>
                <w:color w:val="auto"/>
                <w:sz w:val="24"/>
                <w:szCs w:val="24"/>
              </w:rPr>
              <w:t>b</w:t>
            </w:r>
          </w:p>
        </w:tc>
        <w:tc>
          <w:tcPr>
            <w:tcW w:w="1772" w:type="dxa"/>
            <w:tcBorders>
              <w:top w:val="nil"/>
              <w:bottom w:val="single" w:sz="4" w:space="0" w:color="auto"/>
            </w:tcBorders>
            <w:shd w:val="clear" w:color="auto" w:fill="auto"/>
          </w:tcPr>
          <w:p w14:paraId="262C02B8" w14:textId="77777777" w:rsidR="009E07AE" w:rsidRPr="00327C93" w:rsidRDefault="00EC768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0.78 ± 0.07 b</w:t>
            </w:r>
          </w:p>
        </w:tc>
        <w:tc>
          <w:tcPr>
            <w:tcW w:w="1772" w:type="dxa"/>
            <w:tcBorders>
              <w:top w:val="nil"/>
              <w:bottom w:val="single" w:sz="4" w:space="0" w:color="auto"/>
            </w:tcBorders>
            <w:shd w:val="clear" w:color="auto" w:fill="auto"/>
          </w:tcPr>
          <w:p w14:paraId="017114B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1.19 ± 0.05 c</w:t>
            </w:r>
          </w:p>
        </w:tc>
        <w:tc>
          <w:tcPr>
            <w:tcW w:w="1772" w:type="dxa"/>
            <w:tcBorders>
              <w:top w:val="nil"/>
              <w:bottom w:val="single" w:sz="4" w:space="0" w:color="auto"/>
            </w:tcBorders>
            <w:shd w:val="clear" w:color="auto" w:fill="auto"/>
          </w:tcPr>
          <w:p w14:paraId="6A33F848"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2.81 ± 0.02 </w:t>
            </w:r>
            <w:r w:rsidR="00EC768E" w:rsidRPr="00327C93">
              <w:rPr>
                <w:rFonts w:ascii="Times New Roman" w:hAnsi="Times New Roman" w:cs="Times New Roman"/>
                <w:color w:val="auto"/>
                <w:sz w:val="24"/>
                <w:szCs w:val="24"/>
              </w:rPr>
              <w:t>c</w:t>
            </w:r>
          </w:p>
        </w:tc>
        <w:tc>
          <w:tcPr>
            <w:tcW w:w="1772" w:type="dxa"/>
            <w:tcBorders>
              <w:top w:val="nil"/>
              <w:bottom w:val="single" w:sz="4" w:space="0" w:color="auto"/>
            </w:tcBorders>
            <w:shd w:val="clear" w:color="auto" w:fill="auto"/>
          </w:tcPr>
          <w:p w14:paraId="66C8D98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3.47 ± 0.11 </w:t>
            </w:r>
            <w:r w:rsidR="00EC768E" w:rsidRPr="00327C93">
              <w:rPr>
                <w:rFonts w:ascii="Times New Roman" w:hAnsi="Times New Roman" w:cs="Times New Roman"/>
                <w:color w:val="auto"/>
                <w:sz w:val="24"/>
                <w:szCs w:val="24"/>
              </w:rPr>
              <w:t>c</w:t>
            </w:r>
          </w:p>
        </w:tc>
        <w:tc>
          <w:tcPr>
            <w:tcW w:w="1772" w:type="dxa"/>
            <w:tcBorders>
              <w:top w:val="nil"/>
              <w:bottom w:val="single" w:sz="4" w:space="0" w:color="auto"/>
            </w:tcBorders>
            <w:shd w:val="clear" w:color="auto" w:fill="auto"/>
          </w:tcPr>
          <w:p w14:paraId="424D8FD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0.07 ± 0.04 </w:t>
            </w:r>
            <w:r w:rsidR="00EC768E" w:rsidRPr="00327C93">
              <w:rPr>
                <w:rFonts w:ascii="Times New Roman" w:hAnsi="Times New Roman" w:cs="Times New Roman"/>
                <w:color w:val="auto"/>
                <w:sz w:val="24"/>
                <w:szCs w:val="24"/>
              </w:rPr>
              <w:t>c</w:t>
            </w:r>
          </w:p>
        </w:tc>
      </w:tr>
      <w:tr w:rsidR="009E07AE" w:rsidRPr="00327C93" w14:paraId="60B1D526"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val="restart"/>
            <w:tcBorders>
              <w:top w:val="single" w:sz="4" w:space="0" w:color="auto"/>
              <w:bottom w:val="nil"/>
            </w:tcBorders>
            <w:shd w:val="clear" w:color="auto" w:fill="auto"/>
            <w:vAlign w:val="center"/>
          </w:tcPr>
          <w:p w14:paraId="0DADD8BF" w14:textId="77777777" w:rsidR="009E07AE" w:rsidRPr="00327C93" w:rsidRDefault="009E07AE"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Decay loss (%)</w:t>
            </w:r>
          </w:p>
        </w:tc>
        <w:tc>
          <w:tcPr>
            <w:tcW w:w="1771" w:type="dxa"/>
            <w:tcBorders>
              <w:top w:val="single" w:sz="4" w:space="0" w:color="auto"/>
              <w:bottom w:val="nil"/>
            </w:tcBorders>
            <w:shd w:val="clear" w:color="auto" w:fill="auto"/>
          </w:tcPr>
          <w:p w14:paraId="6160C94A"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772" w:type="dxa"/>
            <w:tcBorders>
              <w:top w:val="single" w:sz="4" w:space="0" w:color="auto"/>
              <w:bottom w:val="nil"/>
            </w:tcBorders>
            <w:shd w:val="clear" w:color="auto" w:fill="auto"/>
          </w:tcPr>
          <w:p w14:paraId="5916F4AC"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single" w:sz="4" w:space="0" w:color="auto"/>
              <w:bottom w:val="nil"/>
            </w:tcBorders>
            <w:shd w:val="clear" w:color="auto" w:fill="auto"/>
          </w:tcPr>
          <w:p w14:paraId="60B54DB0"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single" w:sz="4" w:space="0" w:color="auto"/>
              <w:bottom w:val="nil"/>
            </w:tcBorders>
            <w:shd w:val="clear" w:color="auto" w:fill="auto"/>
          </w:tcPr>
          <w:p w14:paraId="267245A9"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single" w:sz="4" w:space="0" w:color="auto"/>
              <w:bottom w:val="nil"/>
            </w:tcBorders>
            <w:shd w:val="clear" w:color="auto" w:fill="auto"/>
          </w:tcPr>
          <w:p w14:paraId="08E72D61"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11.18 ± 0.68 a</w:t>
            </w:r>
          </w:p>
        </w:tc>
        <w:tc>
          <w:tcPr>
            <w:tcW w:w="1772" w:type="dxa"/>
            <w:tcBorders>
              <w:top w:val="single" w:sz="4" w:space="0" w:color="auto"/>
              <w:bottom w:val="nil"/>
            </w:tcBorders>
            <w:shd w:val="clear" w:color="auto" w:fill="auto"/>
          </w:tcPr>
          <w:p w14:paraId="27C49292"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17.29 ± 0.44 a</w:t>
            </w:r>
          </w:p>
        </w:tc>
        <w:tc>
          <w:tcPr>
            <w:tcW w:w="1772" w:type="dxa"/>
            <w:tcBorders>
              <w:top w:val="single" w:sz="4" w:space="0" w:color="auto"/>
              <w:bottom w:val="nil"/>
            </w:tcBorders>
            <w:shd w:val="clear" w:color="auto" w:fill="auto"/>
          </w:tcPr>
          <w:p w14:paraId="3B37A49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34.30 ± 2.12 a</w:t>
            </w:r>
          </w:p>
        </w:tc>
      </w:tr>
      <w:tr w:rsidR="009E07AE" w:rsidRPr="00327C93" w14:paraId="5389C479"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214AF7A9"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540BD49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772" w:type="dxa"/>
            <w:tcBorders>
              <w:top w:val="nil"/>
              <w:bottom w:val="nil"/>
            </w:tcBorders>
            <w:shd w:val="clear" w:color="auto" w:fill="auto"/>
          </w:tcPr>
          <w:p w14:paraId="64E7F95A"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3255D0A1"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21318FA6"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0560A10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7.76 ± 0.20 b</w:t>
            </w:r>
          </w:p>
        </w:tc>
        <w:tc>
          <w:tcPr>
            <w:tcW w:w="1772" w:type="dxa"/>
            <w:tcBorders>
              <w:top w:val="nil"/>
              <w:bottom w:val="nil"/>
            </w:tcBorders>
            <w:shd w:val="clear" w:color="auto" w:fill="auto"/>
          </w:tcPr>
          <w:p w14:paraId="670D8B10"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9.9 ± 0.37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0D9CCDA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20.30 ± 1.12 b</w:t>
            </w:r>
          </w:p>
        </w:tc>
      </w:tr>
      <w:tr w:rsidR="009E07AE" w:rsidRPr="00327C93" w14:paraId="6F2B8B8F"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67434320"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1A73156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772" w:type="dxa"/>
            <w:tcBorders>
              <w:top w:val="nil"/>
              <w:bottom w:val="nil"/>
            </w:tcBorders>
            <w:shd w:val="clear" w:color="auto" w:fill="auto"/>
          </w:tcPr>
          <w:p w14:paraId="4C0967D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1FE15EE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24027573"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0D6072BB"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4.43 ± 0.74 c</w:t>
            </w:r>
          </w:p>
        </w:tc>
        <w:tc>
          <w:tcPr>
            <w:tcW w:w="1772" w:type="dxa"/>
            <w:tcBorders>
              <w:top w:val="nil"/>
              <w:bottom w:val="nil"/>
            </w:tcBorders>
            <w:shd w:val="clear" w:color="auto" w:fill="auto"/>
          </w:tcPr>
          <w:p w14:paraId="481E1B04"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8.80 ± 0.23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45FF534D"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15.91 ± 0.24 c</w:t>
            </w:r>
          </w:p>
        </w:tc>
      </w:tr>
      <w:tr w:rsidR="009E07AE" w:rsidRPr="00327C93" w14:paraId="18B3A95A"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nil"/>
            </w:tcBorders>
            <w:shd w:val="clear" w:color="auto" w:fill="auto"/>
            <w:vAlign w:val="center"/>
          </w:tcPr>
          <w:p w14:paraId="7495DDF0"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nil"/>
            </w:tcBorders>
            <w:shd w:val="clear" w:color="auto" w:fill="auto"/>
          </w:tcPr>
          <w:p w14:paraId="34703D18"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772" w:type="dxa"/>
            <w:tcBorders>
              <w:top w:val="nil"/>
              <w:bottom w:val="nil"/>
            </w:tcBorders>
            <w:shd w:val="clear" w:color="auto" w:fill="auto"/>
          </w:tcPr>
          <w:p w14:paraId="50E493C4"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6C059C1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0</w:t>
            </w:r>
          </w:p>
        </w:tc>
        <w:tc>
          <w:tcPr>
            <w:tcW w:w="1772" w:type="dxa"/>
            <w:tcBorders>
              <w:top w:val="nil"/>
              <w:bottom w:val="nil"/>
            </w:tcBorders>
            <w:shd w:val="clear" w:color="auto" w:fill="auto"/>
          </w:tcPr>
          <w:p w14:paraId="2E413E86"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nil"/>
            </w:tcBorders>
            <w:shd w:val="clear" w:color="auto" w:fill="auto"/>
          </w:tcPr>
          <w:p w14:paraId="18086862"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3.98 ± 0.30 </w:t>
            </w:r>
            <w:r w:rsidR="00EC768E" w:rsidRPr="00327C93">
              <w:rPr>
                <w:rFonts w:ascii="Times New Roman" w:hAnsi="Times New Roman" w:cs="Times New Roman"/>
                <w:color w:val="auto"/>
                <w:sz w:val="24"/>
                <w:szCs w:val="24"/>
              </w:rPr>
              <w:t>c</w:t>
            </w:r>
          </w:p>
        </w:tc>
        <w:tc>
          <w:tcPr>
            <w:tcW w:w="1772" w:type="dxa"/>
            <w:tcBorders>
              <w:top w:val="nil"/>
              <w:bottom w:val="nil"/>
            </w:tcBorders>
            <w:shd w:val="clear" w:color="auto" w:fill="auto"/>
          </w:tcPr>
          <w:p w14:paraId="159938F1"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8.78 ± 0.91 </w:t>
            </w:r>
            <w:r w:rsidR="00EC768E" w:rsidRPr="00327C93">
              <w:rPr>
                <w:rFonts w:ascii="Times New Roman" w:hAnsi="Times New Roman" w:cs="Times New Roman"/>
                <w:color w:val="auto"/>
                <w:sz w:val="24"/>
                <w:szCs w:val="24"/>
              </w:rPr>
              <w:t>b</w:t>
            </w:r>
          </w:p>
        </w:tc>
        <w:tc>
          <w:tcPr>
            <w:tcW w:w="1772" w:type="dxa"/>
            <w:tcBorders>
              <w:top w:val="nil"/>
              <w:bottom w:val="nil"/>
            </w:tcBorders>
            <w:shd w:val="clear" w:color="auto" w:fill="auto"/>
          </w:tcPr>
          <w:p w14:paraId="322A3803" w14:textId="77777777" w:rsidR="009E07AE" w:rsidRPr="00327C93" w:rsidRDefault="009E07AE"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13.89 ± 0.51 c</w:t>
            </w:r>
          </w:p>
        </w:tc>
      </w:tr>
      <w:tr w:rsidR="009E07AE" w:rsidRPr="00327C93" w14:paraId="41243040"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tcBorders>
              <w:top w:val="nil"/>
              <w:bottom w:val="single" w:sz="4" w:space="0" w:color="auto"/>
            </w:tcBorders>
            <w:shd w:val="clear" w:color="auto" w:fill="auto"/>
            <w:vAlign w:val="center"/>
          </w:tcPr>
          <w:p w14:paraId="3F74A881" w14:textId="77777777" w:rsidR="009E07AE" w:rsidRPr="00327C93" w:rsidRDefault="009E07AE" w:rsidP="00327C93">
            <w:pPr>
              <w:rPr>
                <w:rFonts w:ascii="Times New Roman" w:hAnsi="Times New Roman" w:cs="Times New Roman"/>
                <w:color w:val="auto"/>
                <w:sz w:val="24"/>
                <w:szCs w:val="24"/>
              </w:rPr>
            </w:pPr>
          </w:p>
        </w:tc>
        <w:tc>
          <w:tcPr>
            <w:tcW w:w="1771" w:type="dxa"/>
            <w:tcBorders>
              <w:top w:val="nil"/>
              <w:bottom w:val="single" w:sz="4" w:space="0" w:color="auto"/>
            </w:tcBorders>
            <w:shd w:val="clear" w:color="auto" w:fill="auto"/>
          </w:tcPr>
          <w:p w14:paraId="79712949"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772" w:type="dxa"/>
            <w:tcBorders>
              <w:top w:val="nil"/>
              <w:bottom w:val="single" w:sz="4" w:space="0" w:color="auto"/>
            </w:tcBorders>
            <w:shd w:val="clear" w:color="auto" w:fill="auto"/>
          </w:tcPr>
          <w:p w14:paraId="0549E037"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single" w:sz="4" w:space="0" w:color="auto"/>
            </w:tcBorders>
            <w:shd w:val="clear" w:color="auto" w:fill="auto"/>
          </w:tcPr>
          <w:p w14:paraId="7E2B59D8"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single" w:sz="4" w:space="0" w:color="auto"/>
            </w:tcBorders>
            <w:shd w:val="clear" w:color="auto" w:fill="auto"/>
          </w:tcPr>
          <w:p w14:paraId="6022B8B1"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0</w:t>
            </w:r>
          </w:p>
        </w:tc>
        <w:tc>
          <w:tcPr>
            <w:tcW w:w="1772" w:type="dxa"/>
            <w:tcBorders>
              <w:top w:val="nil"/>
              <w:bottom w:val="single" w:sz="4" w:space="0" w:color="auto"/>
            </w:tcBorders>
            <w:shd w:val="clear" w:color="auto" w:fill="auto"/>
          </w:tcPr>
          <w:p w14:paraId="2F1436A5"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1.84 ± 0.17 </w:t>
            </w:r>
            <w:r w:rsidR="00EC768E" w:rsidRPr="00327C93">
              <w:rPr>
                <w:rFonts w:ascii="Times New Roman" w:hAnsi="Times New Roman" w:cs="Times New Roman"/>
                <w:color w:val="auto"/>
                <w:sz w:val="24"/>
                <w:szCs w:val="24"/>
              </w:rPr>
              <w:t>d</w:t>
            </w:r>
          </w:p>
        </w:tc>
        <w:tc>
          <w:tcPr>
            <w:tcW w:w="1772" w:type="dxa"/>
            <w:tcBorders>
              <w:top w:val="nil"/>
              <w:bottom w:val="single" w:sz="4" w:space="0" w:color="auto"/>
            </w:tcBorders>
            <w:shd w:val="clear" w:color="auto" w:fill="auto"/>
          </w:tcPr>
          <w:p w14:paraId="35811156"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3.6 ± 0.35 </w:t>
            </w:r>
            <w:r w:rsidR="00EC768E" w:rsidRPr="00327C93">
              <w:rPr>
                <w:rFonts w:ascii="Times New Roman" w:hAnsi="Times New Roman" w:cs="Times New Roman"/>
                <w:color w:val="auto"/>
                <w:sz w:val="24"/>
                <w:szCs w:val="24"/>
              </w:rPr>
              <w:t>c</w:t>
            </w:r>
          </w:p>
        </w:tc>
        <w:tc>
          <w:tcPr>
            <w:tcW w:w="1772" w:type="dxa"/>
            <w:tcBorders>
              <w:top w:val="nil"/>
              <w:bottom w:val="single" w:sz="4" w:space="0" w:color="auto"/>
            </w:tcBorders>
            <w:shd w:val="clear" w:color="auto" w:fill="auto"/>
          </w:tcPr>
          <w:p w14:paraId="3382EF54" w14:textId="77777777" w:rsidR="009E07AE" w:rsidRPr="00327C93" w:rsidRDefault="009E07AE"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5.73 ± 0.15 </w:t>
            </w:r>
            <w:r w:rsidR="00EC768E" w:rsidRPr="00327C93">
              <w:rPr>
                <w:rFonts w:ascii="Times New Roman" w:hAnsi="Times New Roman" w:cs="Times New Roman"/>
                <w:color w:val="auto"/>
                <w:sz w:val="24"/>
                <w:szCs w:val="24"/>
              </w:rPr>
              <w:t>d</w:t>
            </w:r>
          </w:p>
        </w:tc>
      </w:tr>
      <w:tr w:rsidR="00717810" w:rsidRPr="00327C93" w14:paraId="4B5CFD5C"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val="restart"/>
            <w:tcBorders>
              <w:top w:val="single" w:sz="4" w:space="0" w:color="auto"/>
            </w:tcBorders>
            <w:shd w:val="clear" w:color="auto" w:fill="auto"/>
            <w:vAlign w:val="center"/>
          </w:tcPr>
          <w:p w14:paraId="245BCCB6" w14:textId="77777777" w:rsidR="00717810" w:rsidRPr="00327C93" w:rsidRDefault="00717810"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t>Malondialdehyde content (nmol/ g)</w:t>
            </w:r>
          </w:p>
        </w:tc>
        <w:tc>
          <w:tcPr>
            <w:tcW w:w="1771" w:type="dxa"/>
            <w:tcBorders>
              <w:top w:val="single" w:sz="4" w:space="0" w:color="auto"/>
            </w:tcBorders>
            <w:shd w:val="clear" w:color="auto" w:fill="auto"/>
          </w:tcPr>
          <w:p w14:paraId="70C9243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772" w:type="dxa"/>
            <w:tcBorders>
              <w:top w:val="single" w:sz="4" w:space="0" w:color="auto"/>
            </w:tcBorders>
            <w:shd w:val="clear" w:color="auto" w:fill="auto"/>
          </w:tcPr>
          <w:p w14:paraId="6F7EC0A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2.82 ± 0.14 a</w:t>
            </w:r>
          </w:p>
        </w:tc>
        <w:tc>
          <w:tcPr>
            <w:tcW w:w="1772" w:type="dxa"/>
            <w:tcBorders>
              <w:top w:val="single" w:sz="4" w:space="0" w:color="auto"/>
            </w:tcBorders>
            <w:shd w:val="clear" w:color="auto" w:fill="auto"/>
          </w:tcPr>
          <w:p w14:paraId="6CB261F8"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3.93 ± 0.20 a</w:t>
            </w:r>
          </w:p>
        </w:tc>
        <w:tc>
          <w:tcPr>
            <w:tcW w:w="1772" w:type="dxa"/>
            <w:tcBorders>
              <w:top w:val="single" w:sz="4" w:space="0" w:color="auto"/>
            </w:tcBorders>
            <w:shd w:val="clear" w:color="auto" w:fill="auto"/>
          </w:tcPr>
          <w:p w14:paraId="12655F0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5.00 ± 0.09 a</w:t>
            </w:r>
          </w:p>
        </w:tc>
        <w:tc>
          <w:tcPr>
            <w:tcW w:w="1772" w:type="dxa"/>
            <w:tcBorders>
              <w:top w:val="single" w:sz="4" w:space="0" w:color="auto"/>
            </w:tcBorders>
            <w:shd w:val="clear" w:color="auto" w:fill="auto"/>
          </w:tcPr>
          <w:p w14:paraId="55FC6E95"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6.21 ± 0.20 a</w:t>
            </w:r>
          </w:p>
        </w:tc>
        <w:tc>
          <w:tcPr>
            <w:tcW w:w="1772" w:type="dxa"/>
            <w:tcBorders>
              <w:top w:val="single" w:sz="4" w:space="0" w:color="auto"/>
            </w:tcBorders>
            <w:shd w:val="clear" w:color="auto" w:fill="auto"/>
          </w:tcPr>
          <w:p w14:paraId="502B237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7.44 ± 0.23 a</w:t>
            </w:r>
          </w:p>
        </w:tc>
        <w:tc>
          <w:tcPr>
            <w:tcW w:w="1772" w:type="dxa"/>
            <w:tcBorders>
              <w:top w:val="single" w:sz="4" w:space="0" w:color="auto"/>
            </w:tcBorders>
            <w:shd w:val="clear" w:color="auto" w:fill="auto"/>
          </w:tcPr>
          <w:p w14:paraId="21FB93A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9.73 ± 0.08 a</w:t>
            </w:r>
          </w:p>
        </w:tc>
      </w:tr>
      <w:tr w:rsidR="00717810" w:rsidRPr="00327C93" w14:paraId="2E82D849"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49707E06"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7B9F9095"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772" w:type="dxa"/>
            <w:shd w:val="clear" w:color="auto" w:fill="auto"/>
          </w:tcPr>
          <w:p w14:paraId="337A8D4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2.53 ± 0.07a</w:t>
            </w:r>
          </w:p>
        </w:tc>
        <w:tc>
          <w:tcPr>
            <w:tcW w:w="1772" w:type="dxa"/>
            <w:shd w:val="clear" w:color="auto" w:fill="auto"/>
          </w:tcPr>
          <w:p w14:paraId="7F89CA7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3.61 ± 0.18ab</w:t>
            </w:r>
          </w:p>
        </w:tc>
        <w:tc>
          <w:tcPr>
            <w:tcW w:w="1772" w:type="dxa"/>
            <w:shd w:val="clear" w:color="auto" w:fill="auto"/>
          </w:tcPr>
          <w:p w14:paraId="6428CE28"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3.95 ± 0.14 b</w:t>
            </w:r>
          </w:p>
        </w:tc>
        <w:tc>
          <w:tcPr>
            <w:tcW w:w="1772" w:type="dxa"/>
            <w:shd w:val="clear" w:color="auto" w:fill="auto"/>
          </w:tcPr>
          <w:p w14:paraId="0C79C4D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5.29 ± 0.15 b</w:t>
            </w:r>
          </w:p>
        </w:tc>
        <w:tc>
          <w:tcPr>
            <w:tcW w:w="1772" w:type="dxa"/>
            <w:shd w:val="clear" w:color="auto" w:fill="auto"/>
          </w:tcPr>
          <w:p w14:paraId="36819D6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6.69 ± 0.14 </w:t>
            </w:r>
            <w:r w:rsidR="00934E12" w:rsidRPr="00327C93">
              <w:rPr>
                <w:rFonts w:ascii="Times New Roman" w:hAnsi="Times New Roman" w:cs="Times New Roman"/>
                <w:color w:val="auto"/>
                <w:sz w:val="24"/>
                <w:szCs w:val="24"/>
              </w:rPr>
              <w:t>a</w:t>
            </w:r>
          </w:p>
        </w:tc>
        <w:tc>
          <w:tcPr>
            <w:tcW w:w="1772" w:type="dxa"/>
            <w:shd w:val="clear" w:color="auto" w:fill="auto"/>
          </w:tcPr>
          <w:p w14:paraId="257FAFA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9.20 ± 0.28 </w:t>
            </w:r>
            <w:r w:rsidR="00934E12" w:rsidRPr="00327C93">
              <w:rPr>
                <w:rFonts w:ascii="Times New Roman" w:hAnsi="Times New Roman" w:cs="Times New Roman"/>
                <w:color w:val="auto"/>
                <w:sz w:val="24"/>
                <w:szCs w:val="24"/>
              </w:rPr>
              <w:t>ab</w:t>
            </w:r>
          </w:p>
        </w:tc>
      </w:tr>
      <w:tr w:rsidR="00717810" w:rsidRPr="00327C93" w14:paraId="3E7596C2"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6CB045F4"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41788EE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772" w:type="dxa"/>
            <w:shd w:val="clear" w:color="auto" w:fill="auto"/>
          </w:tcPr>
          <w:p w14:paraId="490E6E02"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2.38 ± 0.27 a</w:t>
            </w:r>
          </w:p>
        </w:tc>
        <w:tc>
          <w:tcPr>
            <w:tcW w:w="1772" w:type="dxa"/>
            <w:shd w:val="clear" w:color="auto" w:fill="auto"/>
          </w:tcPr>
          <w:p w14:paraId="499F30D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3.33 ± 0.12</w:t>
            </w:r>
            <w:r w:rsidR="00934E12" w:rsidRPr="00327C93">
              <w:rPr>
                <w:rFonts w:ascii="Times New Roman" w:hAnsi="Times New Roman" w:cs="Times New Roman"/>
                <w:color w:val="auto"/>
                <w:sz w:val="24"/>
                <w:szCs w:val="24"/>
              </w:rPr>
              <w:t>ab</w:t>
            </w:r>
          </w:p>
        </w:tc>
        <w:tc>
          <w:tcPr>
            <w:tcW w:w="1772" w:type="dxa"/>
            <w:shd w:val="clear" w:color="auto" w:fill="auto"/>
          </w:tcPr>
          <w:p w14:paraId="7B22B54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3.95 ± 0.18 b</w:t>
            </w:r>
          </w:p>
        </w:tc>
        <w:tc>
          <w:tcPr>
            <w:tcW w:w="1772" w:type="dxa"/>
            <w:shd w:val="clear" w:color="auto" w:fill="auto"/>
          </w:tcPr>
          <w:p w14:paraId="7D92201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4.87 ± 0.17 b</w:t>
            </w:r>
          </w:p>
        </w:tc>
        <w:tc>
          <w:tcPr>
            <w:tcW w:w="1772" w:type="dxa"/>
            <w:shd w:val="clear" w:color="auto" w:fill="auto"/>
          </w:tcPr>
          <w:p w14:paraId="69E5F96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6.57 ± 0.20 </w:t>
            </w:r>
            <w:r w:rsidR="00934E12" w:rsidRPr="00327C93">
              <w:rPr>
                <w:rFonts w:ascii="Times New Roman" w:hAnsi="Times New Roman" w:cs="Times New Roman"/>
                <w:color w:val="auto"/>
                <w:sz w:val="24"/>
                <w:szCs w:val="24"/>
              </w:rPr>
              <w:t>a</w:t>
            </w:r>
          </w:p>
        </w:tc>
        <w:tc>
          <w:tcPr>
            <w:tcW w:w="1772" w:type="dxa"/>
            <w:shd w:val="clear" w:color="auto" w:fill="auto"/>
          </w:tcPr>
          <w:p w14:paraId="369CF52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8.59 ± 0.17 b</w:t>
            </w:r>
          </w:p>
        </w:tc>
      </w:tr>
      <w:tr w:rsidR="00717810" w:rsidRPr="00327C93" w14:paraId="6E2C1054" w14:textId="77777777" w:rsidTr="00717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40257628"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7832A2A9"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772" w:type="dxa"/>
            <w:shd w:val="clear" w:color="auto" w:fill="auto"/>
          </w:tcPr>
          <w:p w14:paraId="49972E3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2.40 ± 0.12 a</w:t>
            </w:r>
          </w:p>
        </w:tc>
        <w:tc>
          <w:tcPr>
            <w:tcW w:w="1772" w:type="dxa"/>
            <w:shd w:val="clear" w:color="auto" w:fill="auto"/>
          </w:tcPr>
          <w:p w14:paraId="47D4174B"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3.09 ± 0.29 </w:t>
            </w:r>
            <w:r w:rsidR="00934E12" w:rsidRPr="00327C93">
              <w:rPr>
                <w:rFonts w:ascii="Times New Roman" w:hAnsi="Times New Roman" w:cs="Times New Roman"/>
                <w:color w:val="auto"/>
                <w:sz w:val="24"/>
                <w:szCs w:val="24"/>
              </w:rPr>
              <w:t>ab</w:t>
            </w:r>
          </w:p>
        </w:tc>
        <w:tc>
          <w:tcPr>
            <w:tcW w:w="1772" w:type="dxa"/>
            <w:shd w:val="clear" w:color="auto" w:fill="auto"/>
          </w:tcPr>
          <w:p w14:paraId="2E8E7E0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3.66 ± 0.23 b</w:t>
            </w:r>
          </w:p>
        </w:tc>
        <w:tc>
          <w:tcPr>
            <w:tcW w:w="1772" w:type="dxa"/>
            <w:shd w:val="clear" w:color="auto" w:fill="auto"/>
          </w:tcPr>
          <w:p w14:paraId="2B84931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4.62 ± 0.09 </w:t>
            </w:r>
            <w:r w:rsidR="00934E12" w:rsidRPr="00327C93">
              <w:rPr>
                <w:rFonts w:ascii="Times New Roman" w:hAnsi="Times New Roman" w:cs="Times New Roman"/>
                <w:color w:val="auto"/>
                <w:sz w:val="24"/>
                <w:szCs w:val="24"/>
              </w:rPr>
              <w:t>b</w:t>
            </w:r>
          </w:p>
        </w:tc>
        <w:tc>
          <w:tcPr>
            <w:tcW w:w="1772" w:type="dxa"/>
            <w:shd w:val="clear" w:color="auto" w:fill="auto"/>
          </w:tcPr>
          <w:p w14:paraId="180C22C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5.28 ± 0.21 </w:t>
            </w:r>
            <w:r w:rsidR="00934E12" w:rsidRPr="00327C93">
              <w:rPr>
                <w:rFonts w:ascii="Times New Roman" w:hAnsi="Times New Roman" w:cs="Times New Roman"/>
                <w:color w:val="auto"/>
                <w:sz w:val="24"/>
                <w:szCs w:val="24"/>
              </w:rPr>
              <w:t>b</w:t>
            </w:r>
          </w:p>
        </w:tc>
        <w:tc>
          <w:tcPr>
            <w:tcW w:w="1772" w:type="dxa"/>
            <w:shd w:val="clear" w:color="auto" w:fill="auto"/>
          </w:tcPr>
          <w:p w14:paraId="249E7646"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7.64 ± 0.09 c</w:t>
            </w:r>
          </w:p>
        </w:tc>
      </w:tr>
      <w:tr w:rsidR="00717810" w:rsidRPr="00327C93" w14:paraId="10D34CEB" w14:textId="77777777" w:rsidTr="00717810">
        <w:tc>
          <w:tcPr>
            <w:cnfStyle w:val="001000000000" w:firstRow="0" w:lastRow="0" w:firstColumn="1" w:lastColumn="0" w:oddVBand="0" w:evenVBand="0" w:oddHBand="0" w:evenHBand="0" w:firstRowFirstColumn="0" w:firstRowLastColumn="0" w:lastRowFirstColumn="0" w:lastRowLastColumn="0"/>
            <w:tcW w:w="1771" w:type="dxa"/>
            <w:vMerge/>
            <w:shd w:val="clear" w:color="auto" w:fill="auto"/>
          </w:tcPr>
          <w:p w14:paraId="2B7B497F" w14:textId="77777777" w:rsidR="00717810" w:rsidRPr="00327C93" w:rsidRDefault="00717810" w:rsidP="00327C93">
            <w:pPr>
              <w:rPr>
                <w:rFonts w:ascii="Times New Roman" w:hAnsi="Times New Roman" w:cs="Times New Roman"/>
                <w:b w:val="0"/>
                <w:bCs w:val="0"/>
                <w:color w:val="auto"/>
                <w:sz w:val="24"/>
                <w:szCs w:val="24"/>
              </w:rPr>
            </w:pPr>
          </w:p>
        </w:tc>
        <w:tc>
          <w:tcPr>
            <w:tcW w:w="1771" w:type="dxa"/>
            <w:shd w:val="clear" w:color="auto" w:fill="auto"/>
          </w:tcPr>
          <w:p w14:paraId="33BF6507"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772" w:type="dxa"/>
            <w:shd w:val="clear" w:color="auto" w:fill="auto"/>
          </w:tcPr>
          <w:p w14:paraId="509399D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2.42 ± 0.18 a</w:t>
            </w:r>
          </w:p>
        </w:tc>
        <w:tc>
          <w:tcPr>
            <w:tcW w:w="1772" w:type="dxa"/>
            <w:shd w:val="clear" w:color="auto" w:fill="auto"/>
          </w:tcPr>
          <w:p w14:paraId="4982380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2.99 ± 0.09 </w:t>
            </w:r>
            <w:r w:rsidR="00934E12" w:rsidRPr="00327C93">
              <w:rPr>
                <w:rFonts w:ascii="Times New Roman" w:hAnsi="Times New Roman" w:cs="Times New Roman"/>
                <w:color w:val="auto"/>
                <w:sz w:val="24"/>
                <w:szCs w:val="24"/>
              </w:rPr>
              <w:t>b</w:t>
            </w:r>
          </w:p>
        </w:tc>
        <w:tc>
          <w:tcPr>
            <w:tcW w:w="1772" w:type="dxa"/>
            <w:shd w:val="clear" w:color="auto" w:fill="auto"/>
          </w:tcPr>
          <w:p w14:paraId="23AB6937"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3.39 ± 0.05 </w:t>
            </w:r>
            <w:r w:rsidR="00934E12" w:rsidRPr="00327C93">
              <w:rPr>
                <w:rFonts w:ascii="Times New Roman" w:hAnsi="Times New Roman" w:cs="Times New Roman"/>
                <w:color w:val="auto"/>
                <w:sz w:val="24"/>
                <w:szCs w:val="24"/>
              </w:rPr>
              <w:t>b</w:t>
            </w:r>
          </w:p>
        </w:tc>
        <w:tc>
          <w:tcPr>
            <w:tcW w:w="1772" w:type="dxa"/>
            <w:shd w:val="clear" w:color="auto" w:fill="auto"/>
          </w:tcPr>
          <w:p w14:paraId="01F0173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4.59 ± 0.18 </w:t>
            </w:r>
            <w:r w:rsidR="00934E12" w:rsidRPr="00327C93">
              <w:rPr>
                <w:rFonts w:ascii="Times New Roman" w:hAnsi="Times New Roman" w:cs="Times New Roman"/>
                <w:color w:val="auto"/>
                <w:sz w:val="24"/>
                <w:szCs w:val="24"/>
              </w:rPr>
              <w:t>b</w:t>
            </w:r>
          </w:p>
        </w:tc>
        <w:tc>
          <w:tcPr>
            <w:tcW w:w="1772" w:type="dxa"/>
            <w:shd w:val="clear" w:color="auto" w:fill="auto"/>
          </w:tcPr>
          <w:p w14:paraId="72B716E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 xml:space="preserve">5.09 ± 0.15 </w:t>
            </w:r>
            <w:r w:rsidR="00934E12" w:rsidRPr="00327C93">
              <w:rPr>
                <w:rFonts w:ascii="Times New Roman" w:hAnsi="Times New Roman" w:cs="Times New Roman"/>
                <w:color w:val="auto"/>
                <w:sz w:val="24"/>
                <w:szCs w:val="24"/>
              </w:rPr>
              <w:t>b</w:t>
            </w:r>
          </w:p>
        </w:tc>
        <w:tc>
          <w:tcPr>
            <w:tcW w:w="1772" w:type="dxa"/>
            <w:shd w:val="clear" w:color="auto" w:fill="auto"/>
          </w:tcPr>
          <w:p w14:paraId="74F5B2A5"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color w:val="auto"/>
                <w:sz w:val="24"/>
                <w:szCs w:val="24"/>
              </w:rPr>
              <w:t>6.51 ± 0.13 d</w:t>
            </w:r>
          </w:p>
        </w:tc>
      </w:tr>
    </w:tbl>
    <w:p w14:paraId="153A9948" w14:textId="0F559A7F" w:rsidR="006E7A63" w:rsidRPr="00327C93" w:rsidRDefault="006E7A63"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t xml:space="preserve">Table </w:t>
      </w:r>
      <w:r w:rsidR="00AB51FC" w:rsidRPr="00327C93">
        <w:rPr>
          <w:rFonts w:ascii="Times New Roman" w:hAnsi="Times New Roman" w:cs="Times New Roman"/>
          <w:b/>
          <w:bCs/>
          <w:sz w:val="24"/>
          <w:szCs w:val="24"/>
        </w:rPr>
        <w:t>1.</w:t>
      </w:r>
      <w:r w:rsidRPr="00327C93">
        <w:rPr>
          <w:rFonts w:ascii="Times New Roman" w:hAnsi="Times New Roman" w:cs="Times New Roman"/>
          <w:b/>
          <w:bCs/>
          <w:sz w:val="24"/>
          <w:szCs w:val="24"/>
        </w:rPr>
        <w:t xml:space="preserve"> Effect of sodium nitroprusside (SNP) treatments on physiological loss in weight (%)</w:t>
      </w:r>
      <w:r w:rsidR="00717810" w:rsidRPr="00327C93">
        <w:rPr>
          <w:rFonts w:ascii="Times New Roman" w:hAnsi="Times New Roman" w:cs="Times New Roman"/>
          <w:b/>
          <w:bCs/>
          <w:sz w:val="24"/>
          <w:szCs w:val="24"/>
        </w:rPr>
        <w:t>, decay loss (%) and</w:t>
      </w:r>
      <w:r w:rsidR="00AB51FC">
        <w:rPr>
          <w:rFonts w:ascii="Times New Roman" w:hAnsi="Times New Roman" w:cs="Times New Roman"/>
          <w:b/>
          <w:bCs/>
          <w:sz w:val="24"/>
          <w:szCs w:val="24"/>
        </w:rPr>
        <w:t xml:space="preserve"> </w:t>
      </w:r>
      <w:r w:rsidR="00717810" w:rsidRPr="00327C93">
        <w:rPr>
          <w:rFonts w:ascii="Times New Roman" w:hAnsi="Times New Roman" w:cs="Times New Roman"/>
          <w:b/>
          <w:sz w:val="24"/>
          <w:szCs w:val="24"/>
        </w:rPr>
        <w:t xml:space="preserve">malondialdehyde content (nmol/ </w:t>
      </w:r>
      <w:r w:rsidR="00AB51FC" w:rsidRPr="00327C93">
        <w:rPr>
          <w:rFonts w:ascii="Times New Roman" w:hAnsi="Times New Roman" w:cs="Times New Roman"/>
          <w:b/>
          <w:sz w:val="24"/>
          <w:szCs w:val="24"/>
        </w:rPr>
        <w:t>g)</w:t>
      </w:r>
      <w:r w:rsidR="00AB51FC" w:rsidRPr="00327C93">
        <w:rPr>
          <w:rFonts w:ascii="Times New Roman" w:hAnsi="Times New Roman" w:cs="Times New Roman"/>
          <w:b/>
          <w:bCs/>
          <w:sz w:val="24"/>
          <w:szCs w:val="24"/>
        </w:rPr>
        <w:t xml:space="preserve"> of</w:t>
      </w:r>
      <w:r w:rsidRPr="00327C93">
        <w:rPr>
          <w:rFonts w:ascii="Times New Roman" w:hAnsi="Times New Roman" w:cs="Times New Roman"/>
          <w:b/>
          <w:bCs/>
          <w:sz w:val="24"/>
          <w:szCs w:val="24"/>
        </w:rPr>
        <w:t xml:space="preserve"> jamun fruit during low-temperature storage.</w:t>
      </w:r>
    </w:p>
    <w:p w14:paraId="041724B2" w14:textId="77777777" w:rsidR="006E7A63" w:rsidRPr="00327C93" w:rsidRDefault="006E7A63" w:rsidP="00327C93">
      <w:pPr>
        <w:spacing w:line="240" w:lineRule="auto"/>
        <w:rPr>
          <w:rFonts w:ascii="Times New Roman" w:hAnsi="Times New Roman" w:cs="Times New Roman"/>
          <w:b/>
          <w:bCs/>
          <w:sz w:val="24"/>
          <w:szCs w:val="24"/>
        </w:rPr>
      </w:pPr>
    </w:p>
    <w:p w14:paraId="06E7635C" w14:textId="77777777" w:rsidR="006E7A63" w:rsidRPr="00327C93" w:rsidRDefault="006E7A63" w:rsidP="00327C93">
      <w:pPr>
        <w:spacing w:line="240" w:lineRule="auto"/>
        <w:rPr>
          <w:rFonts w:ascii="Times New Roman" w:hAnsi="Times New Roman" w:cs="Times New Roman"/>
          <w:b/>
          <w:bCs/>
          <w:sz w:val="24"/>
          <w:szCs w:val="24"/>
        </w:rPr>
        <w:sectPr w:rsidR="006E7A63" w:rsidRPr="00327C93" w:rsidSect="006E7A63">
          <w:pgSz w:w="16838" w:h="11906" w:orient="landscape"/>
          <w:pgMar w:top="1440" w:right="1440" w:bottom="1440" w:left="1440" w:header="708" w:footer="708" w:gutter="0"/>
          <w:cols w:space="708"/>
          <w:docGrid w:linePitch="360"/>
        </w:sectPr>
      </w:pPr>
    </w:p>
    <w:p w14:paraId="75DB77B7" w14:textId="77777777" w:rsidR="0028606D" w:rsidRPr="00327C93" w:rsidRDefault="0028606D"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lastRenderedPageBreak/>
        <w:t>Malondialdehyde content</w:t>
      </w:r>
    </w:p>
    <w:p w14:paraId="7F8CA9A1" w14:textId="736E59E8" w:rsidR="0028606D" w:rsidRPr="00327C93" w:rsidRDefault="0028606D"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Malondialdehyde (MDA), a stable product of lipid peroxidation, serves as a key biomarker for oxidative stress in biological samples (Ahmadi-</w:t>
      </w:r>
      <w:proofErr w:type="spellStart"/>
      <w:r w:rsidRPr="00327C93">
        <w:rPr>
          <w:rFonts w:ascii="Times New Roman" w:hAnsi="Times New Roman" w:cs="Times New Roman"/>
          <w:sz w:val="24"/>
          <w:szCs w:val="24"/>
        </w:rPr>
        <w:t>Motamayel</w:t>
      </w:r>
      <w:proofErr w:type="spellEnd"/>
      <w:r w:rsidRPr="00327C93">
        <w:rPr>
          <w:rFonts w:ascii="Times New Roman" w:hAnsi="Times New Roman" w:cs="Times New Roman"/>
          <w:sz w:val="24"/>
          <w:szCs w:val="24"/>
        </w:rPr>
        <w:t xml:space="preserve">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2020; </w:t>
      </w:r>
      <w:proofErr w:type="spellStart"/>
      <w:r w:rsidRPr="00327C93">
        <w:rPr>
          <w:rFonts w:ascii="Times New Roman" w:hAnsi="Times New Roman" w:cs="Times New Roman"/>
          <w:sz w:val="24"/>
          <w:szCs w:val="24"/>
        </w:rPr>
        <w:t>Tsikas</w:t>
      </w:r>
      <w:proofErr w:type="spellEnd"/>
      <w:r w:rsidRPr="00327C93">
        <w:rPr>
          <w:rFonts w:ascii="Times New Roman" w:hAnsi="Times New Roman" w:cs="Times New Roman"/>
          <w:sz w:val="24"/>
          <w:szCs w:val="24"/>
        </w:rPr>
        <w:t xml:space="preserve">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2023). This study observed a progressive rise in MDA</w:t>
      </w:r>
      <w:r w:rsidR="00AB51FC">
        <w:rPr>
          <w:rFonts w:ascii="Times New Roman" w:hAnsi="Times New Roman" w:cs="Times New Roman"/>
          <w:sz w:val="24"/>
          <w:szCs w:val="24"/>
        </w:rPr>
        <w:t xml:space="preserve"> </w:t>
      </w:r>
      <w:r w:rsidRPr="00327C93">
        <w:rPr>
          <w:rFonts w:ascii="Times New Roman" w:hAnsi="Times New Roman" w:cs="Times New Roman"/>
          <w:sz w:val="24"/>
          <w:szCs w:val="24"/>
        </w:rPr>
        <w:t xml:space="preserve">content during jamun fruit storage (Table 1), with significant increases across all treated and control fruits. </w:t>
      </w:r>
      <w:r w:rsidR="00585F9B" w:rsidRPr="00327C93">
        <w:rPr>
          <w:rFonts w:ascii="Times New Roman" w:hAnsi="Times New Roman" w:cs="Times New Roman"/>
          <w:sz w:val="24"/>
          <w:szCs w:val="24"/>
        </w:rPr>
        <w:t xml:space="preserve">The data concerning malondialdehyde (MDA) content, a marker of lipid peroxidation and oxidative stress, indicates a consistent increase over the 30-day storage period across all treatments. The Control Open group persistently exhibited the highest MDA levels, reaching 9.73 nmol/g at 30 DAS, signifying the most pronounced membrane damage. The Control Sealed and SNP (0.5 mM) treatments demonstrated slightly lower MDA accumulation, whereas SNP at 1.0 mM and particularly at 1.5 mM significantly reduced MDA levels. </w:t>
      </w:r>
      <w:r w:rsidR="00585F9B" w:rsidRPr="00510DE5">
        <w:rPr>
          <w:rFonts w:ascii="Times New Roman" w:hAnsi="Times New Roman" w:cs="Times New Roman"/>
          <w:sz w:val="24"/>
          <w:szCs w:val="24"/>
          <w:highlight w:val="yellow"/>
        </w:rPr>
        <w:t>The 1.5 mM SNP treatment consistently maintained the lowest MDA content</w:t>
      </w:r>
      <w:r w:rsidR="0004375A" w:rsidRPr="00510DE5">
        <w:rPr>
          <w:rFonts w:ascii="Times New Roman" w:hAnsi="Times New Roman" w:cs="Times New Roman"/>
          <w:sz w:val="24"/>
          <w:szCs w:val="24"/>
          <w:highlight w:val="yellow"/>
        </w:rPr>
        <w:t xml:space="preserve"> (6.51 nmol/g)</w:t>
      </w:r>
      <w:r w:rsidR="00585F9B" w:rsidRPr="00510DE5">
        <w:rPr>
          <w:rFonts w:ascii="Times New Roman" w:hAnsi="Times New Roman" w:cs="Times New Roman"/>
          <w:sz w:val="24"/>
          <w:szCs w:val="24"/>
          <w:highlight w:val="yellow"/>
        </w:rPr>
        <w:t xml:space="preserve"> </w:t>
      </w:r>
      <w:r w:rsidR="0004375A" w:rsidRPr="00510DE5">
        <w:rPr>
          <w:rFonts w:ascii="Times New Roman" w:hAnsi="Times New Roman" w:cs="Times New Roman"/>
          <w:sz w:val="24"/>
          <w:szCs w:val="24"/>
          <w:highlight w:val="yellow"/>
        </w:rPr>
        <w:t>throughout</w:t>
      </w:r>
      <w:r w:rsidR="00585F9B" w:rsidRPr="00510DE5">
        <w:rPr>
          <w:rFonts w:ascii="Times New Roman" w:hAnsi="Times New Roman" w:cs="Times New Roman"/>
          <w:sz w:val="24"/>
          <w:szCs w:val="24"/>
          <w:highlight w:val="yellow"/>
        </w:rPr>
        <w:t xml:space="preserve"> 30 </w:t>
      </w:r>
      <w:r w:rsidR="00510DE5" w:rsidRPr="00510DE5">
        <w:rPr>
          <w:rFonts w:ascii="Times New Roman" w:hAnsi="Times New Roman" w:cs="Times New Roman"/>
          <w:sz w:val="24"/>
          <w:szCs w:val="24"/>
          <w:highlight w:val="yellow"/>
        </w:rPr>
        <w:t>days after storage</w:t>
      </w:r>
      <w:r w:rsidR="00585F9B" w:rsidRPr="00510DE5">
        <w:rPr>
          <w:rFonts w:ascii="Times New Roman" w:hAnsi="Times New Roman" w:cs="Times New Roman"/>
          <w:sz w:val="24"/>
          <w:szCs w:val="24"/>
          <w:highlight w:val="yellow"/>
        </w:rPr>
        <w:t>.</w:t>
      </w:r>
      <w:r w:rsidR="00585F9B" w:rsidRPr="00327C93">
        <w:rPr>
          <w:rFonts w:ascii="Times New Roman" w:hAnsi="Times New Roman" w:cs="Times New Roman"/>
          <w:sz w:val="24"/>
          <w:szCs w:val="24"/>
        </w:rPr>
        <w:t xml:space="preserve"> This finding suggests that higher concentrations of SNP effectively mitigate oxidative damage and preserve cellular integrity during storage.</w:t>
      </w:r>
      <w:r w:rsidRPr="00327C93">
        <w:rPr>
          <w:rFonts w:ascii="Times New Roman" w:hAnsi="Times New Roman" w:cs="Times New Roman"/>
          <w:sz w:val="24"/>
          <w:szCs w:val="24"/>
        </w:rPr>
        <w:t xml:space="preserve"> Exogenous nitric oxide (NO) application protected lipoproteins and membranes from oxidation, reducing MDA in SNP-coated fruits (Mansouri, 2012).</w:t>
      </w:r>
    </w:p>
    <w:p w14:paraId="525472F5" w14:textId="77777777" w:rsidR="00DD074C" w:rsidRPr="00327C93" w:rsidRDefault="0054523B"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t xml:space="preserve">Total anthocyanins content in fruit peel </w:t>
      </w:r>
      <w:r w:rsidR="00FB1C96" w:rsidRPr="00327C93">
        <w:rPr>
          <w:rFonts w:ascii="Times New Roman" w:hAnsi="Times New Roman" w:cs="Times New Roman"/>
          <w:b/>
          <w:bCs/>
          <w:sz w:val="24"/>
          <w:szCs w:val="24"/>
        </w:rPr>
        <w:t>and pulp</w:t>
      </w:r>
    </w:p>
    <w:p w14:paraId="0CCB0962" w14:textId="0A74F0DC" w:rsidR="006E2D26" w:rsidRPr="00327C93" w:rsidRDefault="0054523B"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The anthocyanins content in fruit peel is responsible for the red, purple, or</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blue colors of many fruits, and it has been reported to have various health</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benefits due to its antioxidant a</w:t>
      </w:r>
      <w:r w:rsidR="00DD074C" w:rsidRPr="00327C93">
        <w:rPr>
          <w:rFonts w:ascii="Times New Roman" w:hAnsi="Times New Roman" w:cs="Times New Roman"/>
          <w:sz w:val="24"/>
          <w:szCs w:val="24"/>
        </w:rPr>
        <w:t>nd anti-inflammatory properties</w:t>
      </w:r>
      <w:r w:rsidRPr="00327C93">
        <w:rPr>
          <w:rFonts w:ascii="Times New Roman" w:hAnsi="Times New Roman" w:cs="Times New Roman"/>
          <w:sz w:val="24"/>
          <w:szCs w:val="24"/>
        </w:rPr>
        <w:t>. The total</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peel anthocyanin content decreased in all treatments during the storage</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period, with the control fruit peel showing a more rapid degradation of</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 xml:space="preserve">anthocyanins </w:t>
      </w:r>
      <w:r w:rsidRPr="00AB51FC">
        <w:rPr>
          <w:rFonts w:ascii="Times New Roman" w:hAnsi="Times New Roman" w:cs="Times New Roman"/>
          <w:sz w:val="24"/>
          <w:szCs w:val="24"/>
          <w:highlight w:val="yellow"/>
        </w:rPr>
        <w:t>compared to SNP-treated fruit. A comparison of the treatments</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revealed that the higher concentration (1.5 mM) of SNP resulted in a slower</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decline in peel anthocyanins (Fig.</w:t>
      </w:r>
      <w:r w:rsidR="00F756F3" w:rsidRPr="00327C93">
        <w:rPr>
          <w:rFonts w:ascii="Times New Roman" w:hAnsi="Times New Roman" w:cs="Times New Roman"/>
          <w:sz w:val="24"/>
          <w:szCs w:val="24"/>
        </w:rPr>
        <w:t xml:space="preserve"> </w:t>
      </w:r>
      <w:r w:rsidR="005C68F0" w:rsidRPr="00327C93">
        <w:rPr>
          <w:rFonts w:ascii="Times New Roman" w:hAnsi="Times New Roman" w:cs="Times New Roman"/>
          <w:sz w:val="24"/>
          <w:szCs w:val="24"/>
        </w:rPr>
        <w:t>1</w:t>
      </w:r>
      <w:r w:rsidRPr="00327C93">
        <w:rPr>
          <w:rFonts w:ascii="Times New Roman" w:hAnsi="Times New Roman" w:cs="Times New Roman"/>
          <w:sz w:val="24"/>
          <w:szCs w:val="24"/>
        </w:rPr>
        <w:t>). The maximum retention of peel</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anthocyanins (368.26 mg/100 g FW) was observed in fruit treated with 1.5 mM</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SNP, whereas the minimum retention (273.13 mg/100 g FW) was found in fruit</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stored without treatment and packaging.</w:t>
      </w:r>
    </w:p>
    <w:p w14:paraId="6433A90D" w14:textId="628CB314" w:rsidR="0054523B" w:rsidRPr="00327C93" w:rsidRDefault="0054523B"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The results of this study indicate that the total anthocyanin content in the pulp of</w:t>
      </w:r>
      <w:r w:rsidR="00FB09D5">
        <w:rPr>
          <w:rFonts w:ascii="Times New Roman" w:hAnsi="Times New Roman" w:cs="Times New Roman"/>
          <w:sz w:val="24"/>
          <w:szCs w:val="24"/>
        </w:rPr>
        <w:t xml:space="preserve"> </w:t>
      </w:r>
      <w:r w:rsidRPr="00327C93">
        <w:rPr>
          <w:rFonts w:ascii="Times New Roman" w:hAnsi="Times New Roman" w:cs="Times New Roman"/>
          <w:sz w:val="24"/>
          <w:szCs w:val="24"/>
        </w:rPr>
        <w:t>all treated and untreated jamun fruit declined rapidly during storage, with the</w:t>
      </w:r>
      <w:r w:rsidR="00FB09D5">
        <w:rPr>
          <w:rFonts w:ascii="Times New Roman" w:hAnsi="Times New Roman" w:cs="Times New Roman"/>
          <w:sz w:val="24"/>
          <w:szCs w:val="24"/>
        </w:rPr>
        <w:t xml:space="preserve"> </w:t>
      </w:r>
      <w:r w:rsidR="00AB51FC" w:rsidRPr="00327C93">
        <w:rPr>
          <w:rFonts w:ascii="Times New Roman" w:hAnsi="Times New Roman" w:cs="Times New Roman"/>
          <w:sz w:val="24"/>
          <w:szCs w:val="24"/>
        </w:rPr>
        <w:t>fruit control</w:t>
      </w:r>
      <w:r w:rsidRPr="00327C93">
        <w:rPr>
          <w:rFonts w:ascii="Times New Roman" w:hAnsi="Times New Roman" w:cs="Times New Roman"/>
          <w:sz w:val="24"/>
          <w:szCs w:val="24"/>
        </w:rPr>
        <w:t xml:space="preserve"> showing the fastest decline regardless of storage conditions. In</w:t>
      </w:r>
      <w:r w:rsidR="00FB09D5">
        <w:rPr>
          <w:rFonts w:ascii="Times New Roman" w:hAnsi="Times New Roman" w:cs="Times New Roman"/>
          <w:sz w:val="24"/>
          <w:szCs w:val="24"/>
        </w:rPr>
        <w:t xml:space="preserve"> </w:t>
      </w:r>
      <w:r w:rsidRPr="00327C93">
        <w:rPr>
          <w:rFonts w:ascii="Times New Roman" w:hAnsi="Times New Roman" w:cs="Times New Roman"/>
          <w:sz w:val="24"/>
          <w:szCs w:val="24"/>
        </w:rPr>
        <w:t>contrast, fruit treated with 1.5 mM SNP had significantly higher anthocyanin</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retention compared to those treated with lower concentrations (Fig.</w:t>
      </w:r>
      <w:r w:rsidR="00F756F3" w:rsidRPr="00327C93">
        <w:rPr>
          <w:rFonts w:ascii="Times New Roman" w:hAnsi="Times New Roman" w:cs="Times New Roman"/>
          <w:sz w:val="24"/>
          <w:szCs w:val="24"/>
        </w:rPr>
        <w:t xml:space="preserve"> </w:t>
      </w:r>
      <w:r w:rsidR="005C68F0" w:rsidRPr="00327C93">
        <w:rPr>
          <w:rFonts w:ascii="Times New Roman" w:hAnsi="Times New Roman" w:cs="Times New Roman"/>
          <w:sz w:val="24"/>
          <w:szCs w:val="24"/>
        </w:rPr>
        <w:t>2</w:t>
      </w:r>
      <w:r w:rsidRPr="00327C93">
        <w:rPr>
          <w:rFonts w:ascii="Times New Roman" w:hAnsi="Times New Roman" w:cs="Times New Roman"/>
          <w:sz w:val="24"/>
          <w:szCs w:val="24"/>
        </w:rPr>
        <w:t>). No</w:t>
      </w:r>
      <w:r w:rsidR="00510DE5">
        <w:rPr>
          <w:rFonts w:ascii="Times New Roman" w:hAnsi="Times New Roman" w:cs="Times New Roman"/>
          <w:sz w:val="24"/>
          <w:szCs w:val="24"/>
        </w:rPr>
        <w:t xml:space="preserve"> </w:t>
      </w:r>
      <w:r w:rsidRPr="00327C93">
        <w:rPr>
          <w:rFonts w:ascii="Times New Roman" w:hAnsi="Times New Roman" w:cs="Times New Roman"/>
          <w:sz w:val="24"/>
          <w:szCs w:val="24"/>
        </w:rPr>
        <w:t>significant difference in anthocyanin content was found in the fruit pulp during</w:t>
      </w:r>
      <w:r w:rsidR="00FB09D5">
        <w:rPr>
          <w:rFonts w:ascii="Times New Roman" w:hAnsi="Times New Roman" w:cs="Times New Roman"/>
          <w:sz w:val="24"/>
          <w:szCs w:val="24"/>
        </w:rPr>
        <w:t xml:space="preserve"> </w:t>
      </w:r>
      <w:r w:rsidRPr="00327C93">
        <w:rPr>
          <w:rFonts w:ascii="Times New Roman" w:hAnsi="Times New Roman" w:cs="Times New Roman"/>
          <w:sz w:val="24"/>
          <w:szCs w:val="24"/>
        </w:rPr>
        <w:t xml:space="preserve">the first 25 days of storage. On the 30th day of storage, fruit treated with 1.5mM SNP had significantly higher anthocyanin retention (6.41 mg/100 g FW)compared to the control (open packet) jamun fruit, which had the lowest level </w:t>
      </w:r>
      <w:r w:rsidR="000A556C" w:rsidRPr="00327C93">
        <w:rPr>
          <w:rFonts w:ascii="Times New Roman" w:hAnsi="Times New Roman" w:cs="Times New Roman"/>
          <w:sz w:val="24"/>
          <w:szCs w:val="24"/>
        </w:rPr>
        <w:t>of anthocyanins</w:t>
      </w:r>
      <w:r w:rsidRPr="00327C93">
        <w:rPr>
          <w:rFonts w:ascii="Times New Roman" w:hAnsi="Times New Roman" w:cs="Times New Roman"/>
          <w:sz w:val="24"/>
          <w:szCs w:val="24"/>
        </w:rPr>
        <w:t xml:space="preserve"> (4.87 mg/100 g FW).</w:t>
      </w:r>
      <w:r w:rsidR="00FB1C96" w:rsidRPr="00327C93">
        <w:rPr>
          <w:rFonts w:ascii="Times New Roman" w:hAnsi="Times New Roman" w:cs="Times New Roman"/>
          <w:sz w:val="24"/>
          <w:szCs w:val="24"/>
        </w:rPr>
        <w:t xml:space="preserve">Enhanced anthocyanin retention in SNP-treated jamun fruit may result from reduced moisture loss, which prevents membrane breakdown and plasmolysis (Sun </w:t>
      </w:r>
      <w:r w:rsidR="0004375A" w:rsidRPr="0004375A">
        <w:rPr>
          <w:rFonts w:ascii="Times New Roman" w:hAnsi="Times New Roman" w:cs="Times New Roman"/>
          <w:i/>
          <w:iCs/>
          <w:sz w:val="24"/>
          <w:szCs w:val="24"/>
        </w:rPr>
        <w:t>et al</w:t>
      </w:r>
      <w:r w:rsidR="00FB1C96" w:rsidRPr="00327C93">
        <w:rPr>
          <w:rFonts w:ascii="Times New Roman" w:hAnsi="Times New Roman" w:cs="Times New Roman"/>
          <w:sz w:val="24"/>
          <w:szCs w:val="24"/>
        </w:rPr>
        <w:t xml:space="preserve">., 2010). Excessive moisture loss leads to anthocyanin leakage from vacuoles, degrading into melanin via PPO, POD, and </w:t>
      </w:r>
      <w:proofErr w:type="spellStart"/>
      <w:r w:rsidR="00FB1C96" w:rsidRPr="00327C93">
        <w:rPr>
          <w:rFonts w:ascii="Times New Roman" w:hAnsi="Times New Roman" w:cs="Times New Roman"/>
          <w:sz w:val="24"/>
          <w:szCs w:val="24"/>
        </w:rPr>
        <w:t>a</w:t>
      </w:r>
      <w:r w:rsidR="003E5695" w:rsidRPr="00327C93">
        <w:rPr>
          <w:rFonts w:ascii="Times New Roman" w:hAnsi="Times New Roman" w:cs="Times New Roman"/>
          <w:sz w:val="24"/>
          <w:szCs w:val="24"/>
        </w:rPr>
        <w:t>nthocyanase</w:t>
      </w:r>
      <w:proofErr w:type="spellEnd"/>
      <w:r w:rsidR="00FB1C96" w:rsidRPr="00327C93">
        <w:rPr>
          <w:rFonts w:ascii="Times New Roman" w:hAnsi="Times New Roman" w:cs="Times New Roman"/>
          <w:sz w:val="24"/>
          <w:szCs w:val="24"/>
        </w:rPr>
        <w:t>. Phenylalanine ammonia lyase (PAL), crucial for anthocyanin biosynthesis (Dixon and Paiva, 1995), is linked to increased anthocyanin accumulation through elevated PAL activity.</w:t>
      </w:r>
    </w:p>
    <w:p w14:paraId="2CE93742" w14:textId="77777777" w:rsidR="00675C72"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noProof/>
          <w:sz w:val="24"/>
          <w:szCs w:val="24"/>
        </w:rPr>
        <w:lastRenderedPageBreak/>
        <w:drawing>
          <wp:inline distT="0" distB="0" distL="0" distR="0" wp14:anchorId="13B87DF9" wp14:editId="27C5862F">
            <wp:extent cx="5737935" cy="3093375"/>
            <wp:effectExtent l="19050" t="0" r="0" b="0"/>
            <wp:docPr id="1" name="Picture 0" descr="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jpg"/>
                    <pic:cNvPicPr/>
                  </pic:nvPicPr>
                  <pic:blipFill>
                    <a:blip r:embed="rId12"/>
                    <a:stretch>
                      <a:fillRect/>
                    </a:stretch>
                  </pic:blipFill>
                  <pic:spPr>
                    <a:xfrm>
                      <a:off x="0" y="0"/>
                      <a:ext cx="5744896" cy="3097128"/>
                    </a:xfrm>
                    <a:prstGeom prst="rect">
                      <a:avLst/>
                    </a:prstGeom>
                  </pic:spPr>
                </pic:pic>
              </a:graphicData>
            </a:graphic>
          </wp:inline>
        </w:drawing>
      </w:r>
    </w:p>
    <w:p w14:paraId="09F9A929" w14:textId="7B456C37" w:rsidR="00FB1C96"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Fig.</w:t>
      </w:r>
      <w:r w:rsidR="00F756F3" w:rsidRPr="00327C93">
        <w:rPr>
          <w:rFonts w:ascii="Times New Roman" w:hAnsi="Times New Roman" w:cs="Times New Roman"/>
          <w:b/>
          <w:bCs/>
          <w:sz w:val="24"/>
          <w:szCs w:val="24"/>
        </w:rPr>
        <w:t xml:space="preserve"> </w:t>
      </w:r>
      <w:r w:rsidRPr="00327C93">
        <w:rPr>
          <w:rFonts w:ascii="Times New Roman" w:hAnsi="Times New Roman" w:cs="Times New Roman"/>
          <w:b/>
          <w:bCs/>
          <w:sz w:val="24"/>
          <w:szCs w:val="24"/>
        </w:rPr>
        <w:t>1</w:t>
      </w:r>
      <w:r w:rsidR="00FB1C96" w:rsidRPr="00327C93">
        <w:rPr>
          <w:rFonts w:ascii="Times New Roman" w:hAnsi="Times New Roman" w:cs="Times New Roman"/>
          <w:b/>
          <w:bCs/>
          <w:sz w:val="24"/>
          <w:szCs w:val="24"/>
        </w:rPr>
        <w:t>. Effect of sodium nitroprusside (SNP) on total peel anthocyanin content (mg/100gFW) of jamun fruit during storage at low temperature.</w:t>
      </w:r>
    </w:p>
    <w:p w14:paraId="49DB36A0" w14:textId="77777777" w:rsidR="00675C72"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noProof/>
          <w:sz w:val="24"/>
          <w:szCs w:val="24"/>
        </w:rPr>
        <w:drawing>
          <wp:inline distT="0" distB="0" distL="0" distR="0" wp14:anchorId="5FB992E9" wp14:editId="6D45ECAD">
            <wp:extent cx="5734050" cy="2987728"/>
            <wp:effectExtent l="19050" t="0" r="0" b="0"/>
            <wp:docPr id="2" name="Picture 1" descr="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jpg"/>
                    <pic:cNvPicPr/>
                  </pic:nvPicPr>
                  <pic:blipFill>
                    <a:blip r:embed="rId13"/>
                    <a:stretch>
                      <a:fillRect/>
                    </a:stretch>
                  </pic:blipFill>
                  <pic:spPr>
                    <a:xfrm>
                      <a:off x="0" y="0"/>
                      <a:ext cx="5735576" cy="2988523"/>
                    </a:xfrm>
                    <a:prstGeom prst="rect">
                      <a:avLst/>
                    </a:prstGeom>
                  </pic:spPr>
                </pic:pic>
              </a:graphicData>
            </a:graphic>
          </wp:inline>
        </w:drawing>
      </w:r>
    </w:p>
    <w:p w14:paraId="79CB82D2" w14:textId="3415733D" w:rsidR="0054523B"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Fig.</w:t>
      </w:r>
      <w:r w:rsidR="00F756F3" w:rsidRPr="00327C93">
        <w:rPr>
          <w:rFonts w:ascii="Times New Roman" w:hAnsi="Times New Roman" w:cs="Times New Roman"/>
          <w:b/>
          <w:bCs/>
          <w:sz w:val="24"/>
          <w:szCs w:val="24"/>
        </w:rPr>
        <w:t xml:space="preserve"> </w:t>
      </w:r>
      <w:r w:rsidRPr="00327C93">
        <w:rPr>
          <w:rFonts w:ascii="Times New Roman" w:hAnsi="Times New Roman" w:cs="Times New Roman"/>
          <w:b/>
          <w:bCs/>
          <w:sz w:val="24"/>
          <w:szCs w:val="24"/>
        </w:rPr>
        <w:t>2</w:t>
      </w:r>
      <w:r w:rsidR="0054523B" w:rsidRPr="00327C93">
        <w:rPr>
          <w:rFonts w:ascii="Times New Roman" w:hAnsi="Times New Roman" w:cs="Times New Roman"/>
          <w:b/>
          <w:bCs/>
          <w:sz w:val="24"/>
          <w:szCs w:val="24"/>
        </w:rPr>
        <w:t>. Effect of sodium nitroprusside (SNP) on total pulp anthocyanin content (mg/100gFW) of jamun fruit during storage at low temperature.</w:t>
      </w:r>
    </w:p>
    <w:p w14:paraId="0F66A54F"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w:t>
      </w:r>
      <w:r w:rsidR="00DD074C" w:rsidRPr="00327C93">
        <w:rPr>
          <w:rFonts w:ascii="Times New Roman" w:hAnsi="Times New Roman" w:cs="Times New Roman"/>
          <w:b/>
          <w:bCs/>
          <w:sz w:val="24"/>
          <w:szCs w:val="24"/>
        </w:rPr>
        <w:t>tal soluble solids</w:t>
      </w:r>
    </w:p>
    <w:p w14:paraId="6FE07447" w14:textId="350FF260" w:rsidR="00D115CA" w:rsidRPr="00327C93" w:rsidRDefault="0054523B"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Total soluble solids (TSS) in fruit comprise a range of organic </w:t>
      </w:r>
      <w:r w:rsidR="000A556C" w:rsidRPr="00327C93">
        <w:rPr>
          <w:rFonts w:ascii="Times New Roman" w:hAnsi="Times New Roman" w:cs="Times New Roman"/>
          <w:sz w:val="24"/>
          <w:szCs w:val="24"/>
        </w:rPr>
        <w:t>compounds, including</w:t>
      </w:r>
      <w:r w:rsidRPr="00327C93">
        <w:rPr>
          <w:rFonts w:ascii="Times New Roman" w:hAnsi="Times New Roman" w:cs="Times New Roman"/>
          <w:sz w:val="24"/>
          <w:szCs w:val="24"/>
        </w:rPr>
        <w:t xml:space="preserve"> organic acids, sugars, pigments, and other salts, that are soluble in</w:t>
      </w:r>
      <w:r w:rsidR="00FB09D5">
        <w:rPr>
          <w:rFonts w:ascii="Times New Roman" w:hAnsi="Times New Roman" w:cs="Times New Roman"/>
          <w:sz w:val="24"/>
          <w:szCs w:val="24"/>
        </w:rPr>
        <w:t xml:space="preserve"> </w:t>
      </w:r>
      <w:r w:rsidRPr="00327C93">
        <w:rPr>
          <w:rFonts w:ascii="Times New Roman" w:hAnsi="Times New Roman" w:cs="Times New Roman"/>
          <w:sz w:val="24"/>
          <w:szCs w:val="24"/>
        </w:rPr>
        <w:t xml:space="preserve">water. According to </w:t>
      </w:r>
      <w:proofErr w:type="spellStart"/>
      <w:r w:rsidRPr="00327C93">
        <w:rPr>
          <w:rFonts w:ascii="Times New Roman" w:hAnsi="Times New Roman" w:cs="Times New Roman"/>
          <w:sz w:val="24"/>
          <w:szCs w:val="24"/>
        </w:rPr>
        <w:t>Noomrio</w:t>
      </w:r>
      <w:proofErr w:type="spellEnd"/>
      <w:r w:rsidRPr="00327C93">
        <w:rPr>
          <w:rFonts w:ascii="Times New Roman" w:hAnsi="Times New Roman" w:cs="Times New Roman"/>
          <w:sz w:val="24"/>
          <w:szCs w:val="24"/>
        </w:rPr>
        <w:t xml:space="preserve"> and </w:t>
      </w:r>
      <w:proofErr w:type="spellStart"/>
      <w:r w:rsidRPr="00327C93">
        <w:rPr>
          <w:rFonts w:ascii="Times New Roman" w:hAnsi="Times New Roman" w:cs="Times New Roman"/>
          <w:sz w:val="24"/>
          <w:szCs w:val="24"/>
        </w:rPr>
        <w:t>Dahot</w:t>
      </w:r>
      <w:proofErr w:type="spellEnd"/>
      <w:r w:rsidRPr="00327C93">
        <w:rPr>
          <w:rFonts w:ascii="Times New Roman" w:hAnsi="Times New Roman" w:cs="Times New Roman"/>
          <w:sz w:val="24"/>
          <w:szCs w:val="24"/>
        </w:rPr>
        <w:t xml:space="preserve"> (1996), the primary sugars present </w:t>
      </w:r>
      <w:r w:rsidR="000A556C" w:rsidRPr="00327C93">
        <w:rPr>
          <w:rFonts w:ascii="Times New Roman" w:hAnsi="Times New Roman" w:cs="Times New Roman"/>
          <w:sz w:val="24"/>
          <w:szCs w:val="24"/>
        </w:rPr>
        <w:t>in jamun</w:t>
      </w:r>
      <w:r w:rsidRPr="00327C93">
        <w:rPr>
          <w:rFonts w:ascii="Times New Roman" w:hAnsi="Times New Roman" w:cs="Times New Roman"/>
          <w:sz w:val="24"/>
          <w:szCs w:val="24"/>
        </w:rPr>
        <w:t xml:space="preserve"> are maltose, fructose, sucrose, galactose, glucose, and mannose. </w:t>
      </w:r>
      <w:r w:rsidR="006E2D26" w:rsidRPr="00327C93">
        <w:rPr>
          <w:rFonts w:ascii="Times New Roman" w:hAnsi="Times New Roman" w:cs="Times New Roman"/>
          <w:sz w:val="24"/>
          <w:szCs w:val="24"/>
        </w:rPr>
        <w:t xml:space="preserve">The study revealed that sodium nitroprusside (SNP) treatments influenced the retention of total soluble solids (TSS) in jamun fruit during cold storage. </w:t>
      </w:r>
      <w:r w:rsidR="006B40C0" w:rsidRPr="00327C93">
        <w:rPr>
          <w:rFonts w:ascii="Times New Roman" w:hAnsi="Times New Roman" w:cs="Times New Roman"/>
          <w:sz w:val="24"/>
          <w:szCs w:val="24"/>
        </w:rPr>
        <w:t xml:space="preserve">The data from Table 2 concerning total soluble solids (TSS%) over a 30-day period reveals distinct trends across different treatments. In the Control Open group, TSS </w:t>
      </w:r>
      <w:r w:rsidR="006B40C0" w:rsidRPr="00327C93">
        <w:rPr>
          <w:rFonts w:ascii="Times New Roman" w:hAnsi="Times New Roman" w:cs="Times New Roman"/>
          <w:sz w:val="24"/>
          <w:szCs w:val="24"/>
        </w:rPr>
        <w:lastRenderedPageBreak/>
        <w:t>initially increased to 17.63% at 15 days after storage (DAS) before declining to 12.86% by 30 DAS, which may indicate potential over-ripening followed by degradation. The Control Sealed samples exhibited slightly more stable TSS levels, although a decline was still observed over time. Treatments with SNP were more effective in maintaining TSS, with the 1.5 mM SNP treatment demonstrating the most consistent values throughout the storage period. By 30 DAS, the 1.5 mM SNP treatment retained the highest TSS at 14.43%, suggesting a delayed ripening effect. Overall, SNP treatments, particularly at 1.5 mM, proved effective in preserving TSS content and, consequently, fruit quality during storage.</w:t>
      </w:r>
      <w:r w:rsidR="00616EC4">
        <w:rPr>
          <w:rFonts w:ascii="Times New Roman" w:hAnsi="Times New Roman" w:cs="Times New Roman"/>
          <w:sz w:val="24"/>
          <w:szCs w:val="24"/>
        </w:rPr>
        <w:t xml:space="preserve"> </w:t>
      </w:r>
      <w:r w:rsidR="00D115CA" w:rsidRPr="00327C93">
        <w:rPr>
          <w:rFonts w:ascii="Times New Roman" w:hAnsi="Times New Roman" w:cs="Times New Roman"/>
          <w:sz w:val="24"/>
          <w:szCs w:val="24"/>
        </w:rPr>
        <w:t>This treatment might have slowed down the respiration rate and other metabolic changes that occurred in the fruit during postharvest storage, thus maintaining higher TSS content over others. The loss of total soluble solids in response to postharvest SNP treatment was also found in mango (</w:t>
      </w:r>
      <w:r w:rsidR="00616EC4" w:rsidRPr="00327C93">
        <w:rPr>
          <w:rFonts w:ascii="Times New Roman" w:hAnsi="Times New Roman" w:cs="Times New Roman"/>
          <w:sz w:val="24"/>
          <w:szCs w:val="24"/>
        </w:rPr>
        <w:t>Zaharah and Singh, 2011</w:t>
      </w:r>
      <w:r w:rsidR="00616EC4">
        <w:rPr>
          <w:rFonts w:ascii="Times New Roman" w:hAnsi="Times New Roman" w:cs="Times New Roman"/>
          <w:sz w:val="24"/>
          <w:szCs w:val="24"/>
        </w:rPr>
        <w:t xml:space="preserve">; </w:t>
      </w:r>
      <w:r w:rsidR="00D115CA" w:rsidRPr="00327C93">
        <w:rPr>
          <w:rFonts w:ascii="Times New Roman" w:hAnsi="Times New Roman" w:cs="Times New Roman"/>
          <w:sz w:val="24"/>
          <w:szCs w:val="24"/>
        </w:rPr>
        <w:t xml:space="preserve">Ren </w:t>
      </w:r>
      <w:r w:rsidR="0004375A" w:rsidRPr="0004375A">
        <w:rPr>
          <w:rFonts w:ascii="Times New Roman" w:hAnsi="Times New Roman" w:cs="Times New Roman"/>
          <w:i/>
          <w:iCs/>
          <w:sz w:val="24"/>
          <w:szCs w:val="24"/>
        </w:rPr>
        <w:t>et al</w:t>
      </w:r>
      <w:r w:rsidR="00D115CA" w:rsidRPr="00327C93">
        <w:rPr>
          <w:rFonts w:ascii="Times New Roman" w:hAnsi="Times New Roman" w:cs="Times New Roman"/>
          <w:i/>
          <w:iCs/>
          <w:sz w:val="24"/>
          <w:szCs w:val="24"/>
        </w:rPr>
        <w:t>.</w:t>
      </w:r>
      <w:r w:rsidR="00D115CA" w:rsidRPr="00327C93">
        <w:rPr>
          <w:rFonts w:ascii="Times New Roman" w:hAnsi="Times New Roman" w:cs="Times New Roman"/>
          <w:sz w:val="24"/>
          <w:szCs w:val="24"/>
        </w:rPr>
        <w:t>, 2017)</w:t>
      </w:r>
    </w:p>
    <w:p w14:paraId="10D9CAEC"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Ascorbic acid content</w:t>
      </w:r>
    </w:p>
    <w:p w14:paraId="0E4A6E6B" w14:textId="5A4E7A76" w:rsidR="00D115CA" w:rsidRPr="00327C93" w:rsidRDefault="006E2D26"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Ascorbic acid levels in jamun fruit declined progressively throughout the storage period, with untreated (control) samples exhibiting a more rapid loss compared to those treated with SNP. </w:t>
      </w:r>
      <w:r w:rsidR="006B40C0" w:rsidRPr="00327C93">
        <w:rPr>
          <w:rFonts w:ascii="Times New Roman" w:hAnsi="Times New Roman" w:cs="Times New Roman"/>
          <w:sz w:val="24"/>
          <w:szCs w:val="24"/>
        </w:rPr>
        <w:t>The data from Table 2 regarding ascorbic acid content indicates a gradual decline across all treatments over the 30-day storage period. The Control Open group exhibited the most rapid decrease, with levels dropping from 58.80 mg/100g at 5 DAS to 21.99 mg/100g at 30 DAS. Sealing the control samples slightly mitigated this decline. SNP treatments proved more effective in preserving ascorbic acid, with higher concentrations providing enhanced protection. The SNP 1.5 mM treatment maintained the highest levels throughout storage, retaining 31.06 mg/100g at 30 DAS. These findings suggest that SNP, particularly at 1.5 mM, significantly delays the degradation of ascorbic acid, thereby preserving nutritional quality during storage.</w:t>
      </w:r>
      <w:r w:rsidR="00616EC4">
        <w:rPr>
          <w:rFonts w:ascii="Times New Roman" w:hAnsi="Times New Roman" w:cs="Times New Roman"/>
          <w:sz w:val="24"/>
          <w:szCs w:val="24"/>
        </w:rPr>
        <w:t xml:space="preserve"> </w:t>
      </w:r>
      <w:r w:rsidR="00D115CA" w:rsidRPr="00327C93">
        <w:rPr>
          <w:rFonts w:ascii="Times New Roman" w:hAnsi="Times New Roman" w:cs="Times New Roman"/>
          <w:sz w:val="24"/>
          <w:szCs w:val="24"/>
        </w:rPr>
        <w:t xml:space="preserve">The antisenescence effect of NO released from SNP may have also contributed to the greater preservation of ascorbic acid. The ability of SNP to slow down the depletion of ascorbic acid has been observed in other fruits like mango (Zaharah and Singh, 2011; Ren </w:t>
      </w:r>
      <w:r w:rsidR="0004375A" w:rsidRPr="0004375A">
        <w:rPr>
          <w:rFonts w:ascii="Times New Roman" w:hAnsi="Times New Roman" w:cs="Times New Roman"/>
          <w:i/>
          <w:iCs/>
          <w:sz w:val="24"/>
          <w:szCs w:val="24"/>
        </w:rPr>
        <w:t>et al</w:t>
      </w:r>
      <w:r w:rsidR="00D115CA" w:rsidRPr="00327C93">
        <w:rPr>
          <w:rFonts w:ascii="Times New Roman" w:hAnsi="Times New Roman" w:cs="Times New Roman"/>
          <w:sz w:val="24"/>
          <w:szCs w:val="24"/>
        </w:rPr>
        <w:t>., 2017).</w:t>
      </w:r>
    </w:p>
    <w:p w14:paraId="587AB891"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Total phenolics content</w:t>
      </w:r>
    </w:p>
    <w:p w14:paraId="77076744" w14:textId="30D6AEC7" w:rsidR="0054523B" w:rsidRPr="00327C93" w:rsidRDefault="00C76666"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Jamun fruit is rich in phenolic compounds, including flavonoids, anthocyanins, and tannins, which enhance its antioxidant activity and nutraceutical value (Baraiya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2015). As shown in </w:t>
      </w:r>
      <w:r w:rsidR="00456E44" w:rsidRPr="00327C93">
        <w:rPr>
          <w:rFonts w:ascii="Times New Roman" w:hAnsi="Times New Roman" w:cs="Times New Roman"/>
          <w:sz w:val="24"/>
          <w:szCs w:val="24"/>
        </w:rPr>
        <w:t>Table 2</w:t>
      </w:r>
      <w:r w:rsidRPr="00327C93">
        <w:rPr>
          <w:rFonts w:ascii="Times New Roman" w:hAnsi="Times New Roman" w:cs="Times New Roman"/>
          <w:sz w:val="24"/>
          <w:szCs w:val="24"/>
        </w:rPr>
        <w:t xml:space="preserve">, </w:t>
      </w:r>
      <w:r w:rsidR="00456E44" w:rsidRPr="00327C93">
        <w:rPr>
          <w:rFonts w:ascii="Times New Roman" w:hAnsi="Times New Roman" w:cs="Times New Roman"/>
          <w:sz w:val="24"/>
          <w:szCs w:val="24"/>
        </w:rPr>
        <w:t>The data on phenolic content (mg GAE/100g FW) indicates a steady decline across all treatments during the 30-day storage period, with notable differences in the rate of loss. The Control Open group experienced the most rapid degradation, decreasing from 440.66 mg at 5 DAS to 22</w:t>
      </w:r>
      <w:r w:rsidR="00327C93" w:rsidRPr="00327C93">
        <w:rPr>
          <w:rFonts w:ascii="Times New Roman" w:hAnsi="Times New Roman" w:cs="Times New Roman"/>
          <w:sz w:val="24"/>
          <w:szCs w:val="24"/>
        </w:rPr>
        <w:t>5.33 mg at 30 DAS. The Control s</w:t>
      </w:r>
      <w:r w:rsidR="00456E44" w:rsidRPr="00327C93">
        <w:rPr>
          <w:rFonts w:ascii="Times New Roman" w:hAnsi="Times New Roman" w:cs="Times New Roman"/>
          <w:sz w:val="24"/>
          <w:szCs w:val="24"/>
        </w:rPr>
        <w:t xml:space="preserve">ealed group performed slightly better, ending with 229.66 mg. In contrast, SNP treatments significantly slowed the decline in phenolics. SNP at 0.5 mM and 1.0 mM retained higher levels than controls, with final values of 261.33 mg and 276.33 mg, respectively. The best results were seen with SNP at 1.5 mM, which maintained the highest phenolic content throughout storage—from 471 mg at 5 DAS to 297.66 mg at 30 DAS. These findings highlight </w:t>
      </w:r>
      <w:r w:rsidR="00965139" w:rsidRPr="00327C93">
        <w:rPr>
          <w:rFonts w:ascii="Times New Roman" w:hAnsi="Times New Roman" w:cs="Times New Roman"/>
          <w:sz w:val="24"/>
          <w:szCs w:val="24"/>
        </w:rPr>
        <w:t>those higher concentrations of SNP</w:t>
      </w:r>
      <w:r w:rsidR="00456E44" w:rsidRPr="00327C93">
        <w:rPr>
          <w:rFonts w:ascii="Times New Roman" w:hAnsi="Times New Roman" w:cs="Times New Roman"/>
          <w:sz w:val="24"/>
          <w:szCs w:val="24"/>
        </w:rPr>
        <w:t>, especially 1.5 mM, are effective in preserving phenolic compounds, likely due to their role in minimizing oxidative stress and delaying degradation processes during postharvest storage.</w:t>
      </w:r>
      <w:r w:rsidRPr="00327C93">
        <w:rPr>
          <w:rFonts w:ascii="Times New Roman" w:hAnsi="Times New Roman" w:cs="Times New Roman"/>
          <w:sz w:val="24"/>
          <w:szCs w:val="24"/>
        </w:rPr>
        <w:t xml:space="preserve">SNP treatment postponed the breakdown of phenolic compounds by lowering the activities of polyphenol oxidase (PPO), peroxidase (POD), and phenylalanine ammonia lyase (PAL), thus preserving elevated phenol levels in fruit during storage (Duan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2007). The protective role of SNP against phenolic compound loss has also been documented in fruits like persimmon (</w:t>
      </w:r>
      <w:proofErr w:type="spellStart"/>
      <w:r w:rsidRPr="00327C93">
        <w:rPr>
          <w:rFonts w:ascii="Times New Roman" w:hAnsi="Times New Roman" w:cs="Times New Roman"/>
          <w:sz w:val="24"/>
          <w:szCs w:val="24"/>
        </w:rPr>
        <w:t>Shahkoomahally</w:t>
      </w:r>
      <w:proofErr w:type="spellEnd"/>
      <w:r w:rsidRPr="00327C93">
        <w:rPr>
          <w:rFonts w:ascii="Times New Roman" w:hAnsi="Times New Roman" w:cs="Times New Roman"/>
          <w:sz w:val="24"/>
          <w:szCs w:val="24"/>
        </w:rPr>
        <w:t xml:space="preserve">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2015) and mango (Hu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2014).</w:t>
      </w:r>
    </w:p>
    <w:p w14:paraId="72119EAD"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lastRenderedPageBreak/>
        <w:t>Total flavonoids content</w:t>
      </w:r>
    </w:p>
    <w:p w14:paraId="2901402B" w14:textId="78D41BDF" w:rsidR="00717810" w:rsidRPr="00327C93" w:rsidRDefault="00C76666"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Flavonoids, potent secondary metabolites with strong antioxidant properties, are abundant in jamun fruit, including flavanols like dihydromyricetin </w:t>
      </w:r>
      <w:proofErr w:type="spellStart"/>
      <w:r w:rsidRPr="00327C93">
        <w:rPr>
          <w:rFonts w:ascii="Times New Roman" w:hAnsi="Times New Roman" w:cs="Times New Roman"/>
          <w:sz w:val="24"/>
          <w:szCs w:val="24"/>
        </w:rPr>
        <w:t>diglucoside</w:t>
      </w:r>
      <w:proofErr w:type="spellEnd"/>
      <w:r w:rsidRPr="00327C93">
        <w:rPr>
          <w:rFonts w:ascii="Times New Roman" w:hAnsi="Times New Roman" w:cs="Times New Roman"/>
          <w:sz w:val="24"/>
          <w:szCs w:val="24"/>
        </w:rPr>
        <w:t xml:space="preserve">, </w:t>
      </w:r>
      <w:proofErr w:type="spellStart"/>
      <w:r w:rsidRPr="00327C93">
        <w:rPr>
          <w:rFonts w:ascii="Times New Roman" w:hAnsi="Times New Roman" w:cs="Times New Roman"/>
          <w:sz w:val="24"/>
          <w:szCs w:val="24"/>
        </w:rPr>
        <w:t>dihydroquercetindiglucoside</w:t>
      </w:r>
      <w:proofErr w:type="spellEnd"/>
      <w:r w:rsidRPr="00327C93">
        <w:rPr>
          <w:rFonts w:ascii="Times New Roman" w:hAnsi="Times New Roman" w:cs="Times New Roman"/>
          <w:sz w:val="24"/>
          <w:szCs w:val="24"/>
        </w:rPr>
        <w:t xml:space="preserve">, and dimethyl dihydromyricetin </w:t>
      </w:r>
      <w:proofErr w:type="spellStart"/>
      <w:r w:rsidRPr="00327C93">
        <w:rPr>
          <w:rFonts w:ascii="Times New Roman" w:hAnsi="Times New Roman" w:cs="Times New Roman"/>
          <w:sz w:val="24"/>
          <w:szCs w:val="24"/>
        </w:rPr>
        <w:t>diglucoside</w:t>
      </w:r>
      <w:proofErr w:type="spellEnd"/>
      <w:r w:rsidRPr="00327C93">
        <w:rPr>
          <w:rFonts w:ascii="Times New Roman" w:hAnsi="Times New Roman" w:cs="Times New Roman"/>
          <w:sz w:val="24"/>
          <w:szCs w:val="24"/>
        </w:rPr>
        <w:t>, supporting its widespread use in the medicinal industry (</w:t>
      </w:r>
      <w:proofErr w:type="spellStart"/>
      <w:r w:rsidRPr="00327C93">
        <w:rPr>
          <w:rFonts w:ascii="Times New Roman" w:hAnsi="Times New Roman" w:cs="Times New Roman"/>
          <w:sz w:val="24"/>
          <w:szCs w:val="24"/>
        </w:rPr>
        <w:t>Jagetia</w:t>
      </w:r>
      <w:proofErr w:type="spellEnd"/>
      <w:r w:rsidRPr="00327C93">
        <w:rPr>
          <w:rFonts w:ascii="Times New Roman" w:hAnsi="Times New Roman" w:cs="Times New Roman"/>
          <w:sz w:val="24"/>
          <w:szCs w:val="24"/>
        </w:rPr>
        <w:t xml:space="preserve">, 2017). This study observed a continuous decline in total flavonoid content during storage in both treated and control jamun fruit, with a notable drop in open-packet controls (Fig. </w:t>
      </w:r>
      <w:r w:rsidR="008C788A" w:rsidRPr="00327C93">
        <w:rPr>
          <w:rFonts w:ascii="Times New Roman" w:hAnsi="Times New Roman" w:cs="Times New Roman"/>
          <w:sz w:val="24"/>
          <w:szCs w:val="24"/>
        </w:rPr>
        <w:t>3</w:t>
      </w:r>
      <w:r w:rsidRPr="00327C93">
        <w:rPr>
          <w:rFonts w:ascii="Times New Roman" w:hAnsi="Times New Roman" w:cs="Times New Roman"/>
          <w:sz w:val="24"/>
          <w:szCs w:val="24"/>
        </w:rPr>
        <w:t xml:space="preserve">). SNP treatment delayed this loss, maintaining higher flavonoid levels than controls over the first 20 days, though differences among SNP concentrations were not significant. By the storage end, 1.5 mM SNP-treated fruits showed the highest retention (35.13 mg RE/100 g FW), significantly surpassing 0.5 mM, but not differing significantly from 1.0 </w:t>
      </w:r>
      <w:proofErr w:type="spellStart"/>
      <w:r w:rsidRPr="00327C93">
        <w:rPr>
          <w:rFonts w:ascii="Times New Roman" w:hAnsi="Times New Roman" w:cs="Times New Roman"/>
          <w:sz w:val="24"/>
          <w:szCs w:val="24"/>
        </w:rPr>
        <w:t>mM.</w:t>
      </w:r>
      <w:proofErr w:type="spellEnd"/>
      <w:r w:rsidRPr="00327C93">
        <w:rPr>
          <w:rFonts w:ascii="Times New Roman" w:hAnsi="Times New Roman" w:cs="Times New Roman"/>
          <w:sz w:val="24"/>
          <w:szCs w:val="24"/>
        </w:rPr>
        <w:t xml:space="preserve"> Enhanced flavonoid retention in SNP-treated fruit may be linked to elevated peroxidase, phenylalanine ammonia lyase, and chitinase activities (Hu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2014).</w:t>
      </w:r>
    </w:p>
    <w:p w14:paraId="30078C10" w14:textId="77777777" w:rsidR="0028606D" w:rsidRPr="00327C93" w:rsidRDefault="00675C72" w:rsidP="00327C93">
      <w:pPr>
        <w:spacing w:line="240" w:lineRule="auto"/>
        <w:rPr>
          <w:rFonts w:ascii="Times New Roman" w:hAnsi="Times New Roman" w:cs="Times New Roman"/>
          <w:b/>
          <w:bCs/>
          <w:sz w:val="24"/>
          <w:szCs w:val="24"/>
        </w:rPr>
      </w:pPr>
      <w:r w:rsidRPr="00327C93">
        <w:rPr>
          <w:rFonts w:ascii="Times New Roman" w:hAnsi="Times New Roman" w:cs="Times New Roman"/>
          <w:b/>
          <w:bCs/>
          <w:noProof/>
          <w:sz w:val="24"/>
          <w:szCs w:val="24"/>
        </w:rPr>
        <w:drawing>
          <wp:inline distT="0" distB="0" distL="0" distR="0" wp14:anchorId="2E95A89A" wp14:editId="3E71EA3F">
            <wp:extent cx="5763104" cy="2895600"/>
            <wp:effectExtent l="19050" t="0" r="9046" b="0"/>
            <wp:docPr id="3" name="Pictur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4"/>
                    <a:stretch>
                      <a:fillRect/>
                    </a:stretch>
                  </pic:blipFill>
                  <pic:spPr>
                    <a:xfrm>
                      <a:off x="0" y="0"/>
                      <a:ext cx="5775995" cy="2902077"/>
                    </a:xfrm>
                    <a:prstGeom prst="rect">
                      <a:avLst/>
                    </a:prstGeom>
                  </pic:spPr>
                </pic:pic>
              </a:graphicData>
            </a:graphic>
          </wp:inline>
        </w:drawing>
      </w:r>
    </w:p>
    <w:p w14:paraId="2C94FE82" w14:textId="3AD32153" w:rsidR="0028606D" w:rsidRPr="00327C93" w:rsidRDefault="0028606D"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 xml:space="preserve">Fig..3 Effect of sodium nitroprusside (SNP) on total </w:t>
      </w:r>
      <w:r w:rsidR="00CE51A5" w:rsidRPr="00327C93">
        <w:rPr>
          <w:rFonts w:ascii="Times New Roman" w:hAnsi="Times New Roman" w:cs="Times New Roman"/>
          <w:b/>
          <w:bCs/>
          <w:sz w:val="24"/>
          <w:szCs w:val="24"/>
        </w:rPr>
        <w:t xml:space="preserve">flavonoids content </w:t>
      </w:r>
      <w:r w:rsidRPr="00327C93">
        <w:rPr>
          <w:rFonts w:ascii="Times New Roman" w:hAnsi="Times New Roman" w:cs="Times New Roman"/>
          <w:b/>
          <w:bCs/>
          <w:sz w:val="24"/>
          <w:szCs w:val="24"/>
        </w:rPr>
        <w:t>(mg CE/100gFW) of jamun fruit during storage at low temperature.</w:t>
      </w:r>
    </w:p>
    <w:p w14:paraId="6AF479A5" w14:textId="77777777" w:rsidR="00717810" w:rsidRPr="00327C93" w:rsidRDefault="00717810" w:rsidP="00327C93">
      <w:pPr>
        <w:spacing w:line="240" w:lineRule="auto"/>
        <w:rPr>
          <w:rFonts w:ascii="Times New Roman" w:hAnsi="Times New Roman" w:cs="Times New Roman"/>
          <w:b/>
          <w:bCs/>
          <w:sz w:val="24"/>
          <w:szCs w:val="24"/>
        </w:rPr>
      </w:pPr>
      <w:r w:rsidRPr="00327C93">
        <w:rPr>
          <w:rFonts w:ascii="Times New Roman" w:hAnsi="Times New Roman" w:cs="Times New Roman"/>
          <w:b/>
          <w:bCs/>
          <w:sz w:val="24"/>
          <w:szCs w:val="24"/>
        </w:rPr>
        <w:br w:type="page"/>
      </w:r>
    </w:p>
    <w:p w14:paraId="3FEBA687" w14:textId="77777777" w:rsidR="00717810" w:rsidRPr="00327C93" w:rsidRDefault="00717810" w:rsidP="00327C93">
      <w:pPr>
        <w:spacing w:line="240" w:lineRule="auto"/>
        <w:jc w:val="both"/>
        <w:rPr>
          <w:rFonts w:ascii="Times New Roman" w:hAnsi="Times New Roman" w:cs="Times New Roman"/>
          <w:b/>
          <w:bCs/>
          <w:sz w:val="24"/>
          <w:szCs w:val="24"/>
        </w:rPr>
        <w:sectPr w:rsidR="00717810" w:rsidRPr="00327C93" w:rsidSect="006E7A63">
          <w:pgSz w:w="11906" w:h="16838"/>
          <w:pgMar w:top="1440" w:right="1440" w:bottom="1440" w:left="1440" w:header="708" w:footer="708" w:gutter="0"/>
          <w:cols w:space="708"/>
          <w:docGrid w:linePitch="360"/>
        </w:sectPr>
      </w:pPr>
    </w:p>
    <w:tbl>
      <w:tblPr>
        <w:tblStyle w:val="LightShading1"/>
        <w:tblW w:w="14992" w:type="dxa"/>
        <w:tblLayout w:type="fixed"/>
        <w:tblLook w:val="04A0" w:firstRow="1" w:lastRow="0" w:firstColumn="1" w:lastColumn="0" w:noHBand="0" w:noVBand="1"/>
      </w:tblPr>
      <w:tblGrid>
        <w:gridCol w:w="1545"/>
        <w:gridCol w:w="1865"/>
        <w:gridCol w:w="1864"/>
        <w:gridCol w:w="2009"/>
        <w:gridCol w:w="2008"/>
        <w:gridCol w:w="1865"/>
        <w:gridCol w:w="1865"/>
        <w:gridCol w:w="1971"/>
      </w:tblGrid>
      <w:tr w:rsidR="00C74F86" w:rsidRPr="00327C93" w14:paraId="18156F79" w14:textId="77777777" w:rsidTr="0028606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45" w:type="dxa"/>
            <w:vMerge w:val="restart"/>
            <w:shd w:val="clear" w:color="auto" w:fill="auto"/>
            <w:vAlign w:val="center"/>
          </w:tcPr>
          <w:p w14:paraId="4E605EFC" w14:textId="77777777" w:rsidR="00717810" w:rsidRPr="00327C93" w:rsidRDefault="00717810" w:rsidP="00327C93">
            <w:pPr>
              <w:rPr>
                <w:rFonts w:ascii="Times New Roman" w:hAnsi="Times New Roman" w:cs="Times New Roman"/>
                <w:color w:val="auto"/>
                <w:sz w:val="24"/>
                <w:szCs w:val="24"/>
              </w:rPr>
            </w:pPr>
            <w:r w:rsidRPr="00327C93">
              <w:rPr>
                <w:rFonts w:ascii="Times New Roman" w:hAnsi="Times New Roman" w:cs="Times New Roman"/>
                <w:color w:val="auto"/>
                <w:sz w:val="24"/>
                <w:szCs w:val="24"/>
              </w:rPr>
              <w:lastRenderedPageBreak/>
              <w:t>Parameters</w:t>
            </w:r>
          </w:p>
        </w:tc>
        <w:tc>
          <w:tcPr>
            <w:tcW w:w="1865" w:type="dxa"/>
            <w:vMerge w:val="restart"/>
            <w:shd w:val="clear" w:color="auto" w:fill="auto"/>
            <w:vAlign w:val="center"/>
          </w:tcPr>
          <w:p w14:paraId="6228D07F" w14:textId="77777777" w:rsidR="00717810" w:rsidRPr="00327C93" w:rsidRDefault="00717810" w:rsidP="00327C9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b w:val="0"/>
                <w:bCs w:val="0"/>
                <w:color w:val="auto"/>
                <w:sz w:val="24"/>
                <w:szCs w:val="24"/>
              </w:rPr>
              <w:t>T</w:t>
            </w:r>
            <w:r w:rsidRPr="00327C93">
              <w:rPr>
                <w:rFonts w:ascii="Times New Roman" w:hAnsi="Times New Roman" w:cs="Times New Roman"/>
                <w:color w:val="auto"/>
                <w:sz w:val="24"/>
                <w:szCs w:val="24"/>
              </w:rPr>
              <w:t>reatments</w:t>
            </w:r>
          </w:p>
        </w:tc>
        <w:tc>
          <w:tcPr>
            <w:tcW w:w="11582" w:type="dxa"/>
            <w:gridSpan w:val="6"/>
            <w:shd w:val="clear" w:color="auto" w:fill="auto"/>
          </w:tcPr>
          <w:p w14:paraId="52D38801" w14:textId="77777777" w:rsidR="00717810" w:rsidRPr="00327C93" w:rsidRDefault="00717810" w:rsidP="00327C9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Days after storage (DAS)</w:t>
            </w:r>
          </w:p>
        </w:tc>
      </w:tr>
      <w:tr w:rsidR="00C74F86" w:rsidRPr="00327C93" w14:paraId="71F5902E"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bottom w:val="single" w:sz="4" w:space="0" w:color="auto"/>
            </w:tcBorders>
            <w:shd w:val="clear" w:color="auto" w:fill="auto"/>
            <w:vAlign w:val="center"/>
          </w:tcPr>
          <w:p w14:paraId="09623806" w14:textId="77777777" w:rsidR="00717810" w:rsidRPr="00327C93" w:rsidRDefault="00717810" w:rsidP="00327C93">
            <w:pPr>
              <w:rPr>
                <w:rFonts w:ascii="Times New Roman" w:hAnsi="Times New Roman" w:cs="Times New Roman"/>
                <w:color w:val="auto"/>
                <w:sz w:val="24"/>
                <w:szCs w:val="24"/>
              </w:rPr>
            </w:pPr>
          </w:p>
        </w:tc>
        <w:tc>
          <w:tcPr>
            <w:tcW w:w="1865" w:type="dxa"/>
            <w:vMerge/>
            <w:tcBorders>
              <w:bottom w:val="single" w:sz="4" w:space="0" w:color="auto"/>
            </w:tcBorders>
            <w:shd w:val="clear" w:color="auto" w:fill="auto"/>
          </w:tcPr>
          <w:p w14:paraId="180BE119"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p>
        </w:tc>
        <w:tc>
          <w:tcPr>
            <w:tcW w:w="1864" w:type="dxa"/>
            <w:tcBorders>
              <w:bottom w:val="single" w:sz="4" w:space="0" w:color="auto"/>
            </w:tcBorders>
            <w:shd w:val="clear" w:color="auto" w:fill="auto"/>
          </w:tcPr>
          <w:p w14:paraId="1AC74849"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r w:rsidRPr="00327C93">
              <w:rPr>
                <w:rFonts w:ascii="Times New Roman" w:hAnsi="Times New Roman" w:cs="Times New Roman"/>
                <w:b/>
                <w:bCs/>
                <w:color w:val="auto"/>
                <w:sz w:val="24"/>
                <w:szCs w:val="24"/>
              </w:rPr>
              <w:t>5 DAS</w:t>
            </w:r>
          </w:p>
        </w:tc>
        <w:tc>
          <w:tcPr>
            <w:tcW w:w="2009" w:type="dxa"/>
            <w:tcBorders>
              <w:bottom w:val="single" w:sz="4" w:space="0" w:color="auto"/>
            </w:tcBorders>
            <w:shd w:val="clear" w:color="auto" w:fill="auto"/>
          </w:tcPr>
          <w:p w14:paraId="6A2CE7F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10 DAS</w:t>
            </w:r>
          </w:p>
        </w:tc>
        <w:tc>
          <w:tcPr>
            <w:tcW w:w="2008" w:type="dxa"/>
            <w:tcBorders>
              <w:bottom w:val="single" w:sz="4" w:space="0" w:color="auto"/>
            </w:tcBorders>
            <w:shd w:val="clear" w:color="auto" w:fill="auto"/>
          </w:tcPr>
          <w:p w14:paraId="57CAF71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15 DAS</w:t>
            </w:r>
          </w:p>
        </w:tc>
        <w:tc>
          <w:tcPr>
            <w:tcW w:w="1865" w:type="dxa"/>
            <w:tcBorders>
              <w:bottom w:val="single" w:sz="4" w:space="0" w:color="auto"/>
            </w:tcBorders>
            <w:shd w:val="clear" w:color="auto" w:fill="auto"/>
          </w:tcPr>
          <w:p w14:paraId="2075444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20 DAS</w:t>
            </w:r>
          </w:p>
        </w:tc>
        <w:tc>
          <w:tcPr>
            <w:tcW w:w="1865" w:type="dxa"/>
            <w:tcBorders>
              <w:bottom w:val="single" w:sz="4" w:space="0" w:color="auto"/>
            </w:tcBorders>
            <w:shd w:val="clear" w:color="auto" w:fill="auto"/>
          </w:tcPr>
          <w:p w14:paraId="4DCA4B36"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25 DAS</w:t>
            </w:r>
          </w:p>
        </w:tc>
        <w:tc>
          <w:tcPr>
            <w:tcW w:w="1971" w:type="dxa"/>
            <w:tcBorders>
              <w:bottom w:val="single" w:sz="4" w:space="0" w:color="auto"/>
            </w:tcBorders>
            <w:shd w:val="clear" w:color="auto" w:fill="auto"/>
          </w:tcPr>
          <w:p w14:paraId="64B43F8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30 DAS</w:t>
            </w:r>
          </w:p>
        </w:tc>
      </w:tr>
      <w:tr w:rsidR="00C74F86" w:rsidRPr="00327C93" w14:paraId="5F31C48D" w14:textId="77777777" w:rsidTr="0028606D">
        <w:trPr>
          <w:trHeight w:val="31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bottom w:val="nil"/>
            </w:tcBorders>
            <w:shd w:val="clear" w:color="auto" w:fill="auto"/>
            <w:vAlign w:val="center"/>
          </w:tcPr>
          <w:p w14:paraId="74A91DC2" w14:textId="77777777" w:rsidR="00717810" w:rsidRPr="00327C93" w:rsidRDefault="00717810" w:rsidP="00327C93">
            <w:pPr>
              <w:jc w:val="both"/>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Total soluble solids</w:t>
            </w:r>
            <w:r w:rsidR="00AC27F6" w:rsidRPr="00327C93">
              <w:rPr>
                <w:rFonts w:ascii="Times New Roman" w:hAnsi="Times New Roman" w:cs="Times New Roman"/>
                <w:b w:val="0"/>
                <w:bCs w:val="0"/>
                <w:color w:val="auto"/>
                <w:sz w:val="24"/>
                <w:szCs w:val="24"/>
              </w:rPr>
              <w:t xml:space="preserve"> (%)</w:t>
            </w:r>
          </w:p>
          <w:p w14:paraId="16E78ECB" w14:textId="77777777" w:rsidR="00717810" w:rsidRPr="00327C93" w:rsidRDefault="00717810" w:rsidP="00327C93">
            <w:pPr>
              <w:rPr>
                <w:rFonts w:ascii="Times New Roman" w:hAnsi="Times New Roman" w:cs="Times New Roman"/>
                <w:color w:val="auto"/>
                <w:sz w:val="24"/>
                <w:szCs w:val="24"/>
              </w:rPr>
            </w:pPr>
          </w:p>
        </w:tc>
        <w:tc>
          <w:tcPr>
            <w:tcW w:w="1865" w:type="dxa"/>
            <w:tcBorders>
              <w:top w:val="single" w:sz="4" w:space="0" w:color="auto"/>
              <w:bottom w:val="nil"/>
            </w:tcBorders>
            <w:shd w:val="clear" w:color="auto" w:fill="auto"/>
          </w:tcPr>
          <w:p w14:paraId="4C5DCA3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864" w:type="dxa"/>
            <w:tcBorders>
              <w:top w:val="single" w:sz="4" w:space="0" w:color="auto"/>
              <w:bottom w:val="nil"/>
            </w:tcBorders>
            <w:shd w:val="clear" w:color="auto" w:fill="auto"/>
          </w:tcPr>
          <w:p w14:paraId="4522F92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14.5 ± 0.11 ab</w:t>
            </w:r>
          </w:p>
        </w:tc>
        <w:tc>
          <w:tcPr>
            <w:tcW w:w="2009" w:type="dxa"/>
            <w:tcBorders>
              <w:top w:val="single" w:sz="4" w:space="0" w:color="auto"/>
              <w:bottom w:val="nil"/>
            </w:tcBorders>
            <w:shd w:val="clear" w:color="auto" w:fill="auto"/>
          </w:tcPr>
          <w:p w14:paraId="69BDBD0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16.26 ± 0.17 a</w:t>
            </w:r>
          </w:p>
        </w:tc>
        <w:tc>
          <w:tcPr>
            <w:tcW w:w="2008" w:type="dxa"/>
            <w:tcBorders>
              <w:top w:val="single" w:sz="4" w:space="0" w:color="auto"/>
              <w:bottom w:val="nil"/>
            </w:tcBorders>
            <w:shd w:val="clear" w:color="auto" w:fill="auto"/>
          </w:tcPr>
          <w:p w14:paraId="2F09067D"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17.63 ± 0.17 a</w:t>
            </w:r>
          </w:p>
        </w:tc>
        <w:tc>
          <w:tcPr>
            <w:tcW w:w="1865" w:type="dxa"/>
            <w:tcBorders>
              <w:top w:val="single" w:sz="4" w:space="0" w:color="auto"/>
              <w:bottom w:val="nil"/>
            </w:tcBorders>
            <w:shd w:val="clear" w:color="auto" w:fill="auto"/>
          </w:tcPr>
          <w:p w14:paraId="084AC08E"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16.93 ± 0.18 a</w:t>
            </w:r>
          </w:p>
        </w:tc>
        <w:tc>
          <w:tcPr>
            <w:tcW w:w="1865" w:type="dxa"/>
            <w:tcBorders>
              <w:top w:val="single" w:sz="4" w:space="0" w:color="auto"/>
              <w:bottom w:val="nil"/>
            </w:tcBorders>
            <w:shd w:val="clear" w:color="auto" w:fill="auto"/>
          </w:tcPr>
          <w:p w14:paraId="36C9C49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13.93 ± 0.52 a</w:t>
            </w:r>
          </w:p>
        </w:tc>
        <w:tc>
          <w:tcPr>
            <w:tcW w:w="1971" w:type="dxa"/>
            <w:tcBorders>
              <w:top w:val="single" w:sz="4" w:space="0" w:color="auto"/>
              <w:bottom w:val="nil"/>
            </w:tcBorders>
            <w:shd w:val="clear" w:color="auto" w:fill="auto"/>
          </w:tcPr>
          <w:p w14:paraId="7587360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12.86 ± 0.18 </w:t>
            </w:r>
            <w:r w:rsidR="00573B12" w:rsidRPr="00327C93">
              <w:rPr>
                <w:rFonts w:ascii="Times New Roman" w:eastAsia="Times New Roman" w:hAnsi="Times New Roman" w:cs="Times New Roman"/>
                <w:color w:val="auto"/>
                <w:sz w:val="24"/>
                <w:szCs w:val="24"/>
              </w:rPr>
              <w:t>b</w:t>
            </w:r>
          </w:p>
        </w:tc>
      </w:tr>
      <w:tr w:rsidR="00C74F86" w:rsidRPr="00327C93" w14:paraId="3C71DE0D"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134E2CAB"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39144EA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864" w:type="dxa"/>
            <w:tcBorders>
              <w:top w:val="nil"/>
              <w:bottom w:val="nil"/>
            </w:tcBorders>
            <w:shd w:val="clear" w:color="auto" w:fill="auto"/>
          </w:tcPr>
          <w:p w14:paraId="5B1913E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14.36 ± 0.08 </w:t>
            </w:r>
            <w:r w:rsidR="00934E12" w:rsidRPr="00327C93">
              <w:rPr>
                <w:rFonts w:ascii="Times New Roman" w:eastAsia="Times New Roman" w:hAnsi="Times New Roman" w:cs="Times New Roman"/>
                <w:color w:val="auto"/>
                <w:sz w:val="24"/>
                <w:szCs w:val="24"/>
              </w:rPr>
              <w:t>ab</w:t>
            </w:r>
          </w:p>
        </w:tc>
        <w:tc>
          <w:tcPr>
            <w:tcW w:w="2009" w:type="dxa"/>
            <w:tcBorders>
              <w:top w:val="nil"/>
              <w:bottom w:val="nil"/>
            </w:tcBorders>
            <w:shd w:val="clear" w:color="auto" w:fill="auto"/>
          </w:tcPr>
          <w:p w14:paraId="6C1EA06C"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15.6 ± 0.41ab</w:t>
            </w:r>
          </w:p>
        </w:tc>
        <w:tc>
          <w:tcPr>
            <w:tcW w:w="2008" w:type="dxa"/>
            <w:tcBorders>
              <w:top w:val="nil"/>
              <w:bottom w:val="nil"/>
            </w:tcBorders>
            <w:shd w:val="clear" w:color="auto" w:fill="auto"/>
          </w:tcPr>
          <w:p w14:paraId="6DFD3EF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16.03 ± 0.23 b</w:t>
            </w:r>
          </w:p>
        </w:tc>
        <w:tc>
          <w:tcPr>
            <w:tcW w:w="1865" w:type="dxa"/>
            <w:tcBorders>
              <w:top w:val="nil"/>
              <w:bottom w:val="nil"/>
            </w:tcBorders>
            <w:shd w:val="clear" w:color="auto" w:fill="auto"/>
          </w:tcPr>
          <w:p w14:paraId="2764E9E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15.7 ± 0.32 b</w:t>
            </w:r>
          </w:p>
        </w:tc>
        <w:tc>
          <w:tcPr>
            <w:tcW w:w="1865" w:type="dxa"/>
            <w:tcBorders>
              <w:top w:val="nil"/>
              <w:bottom w:val="nil"/>
            </w:tcBorders>
            <w:shd w:val="clear" w:color="auto" w:fill="auto"/>
          </w:tcPr>
          <w:p w14:paraId="656D7BC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14.2 ± 0.20  a</w:t>
            </w:r>
          </w:p>
        </w:tc>
        <w:tc>
          <w:tcPr>
            <w:tcW w:w="1971" w:type="dxa"/>
            <w:tcBorders>
              <w:top w:val="nil"/>
              <w:bottom w:val="nil"/>
            </w:tcBorders>
            <w:shd w:val="clear" w:color="auto" w:fill="auto"/>
          </w:tcPr>
          <w:p w14:paraId="3433A5F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13.33 ± 0.24 </w:t>
            </w:r>
            <w:r w:rsidR="00573B12" w:rsidRPr="00327C93">
              <w:rPr>
                <w:rFonts w:ascii="Times New Roman" w:eastAsia="Times New Roman" w:hAnsi="Times New Roman" w:cs="Times New Roman"/>
                <w:color w:val="auto"/>
                <w:sz w:val="24"/>
                <w:szCs w:val="24"/>
              </w:rPr>
              <w:t>ab</w:t>
            </w:r>
          </w:p>
        </w:tc>
      </w:tr>
      <w:tr w:rsidR="00C74F86" w:rsidRPr="00327C93" w14:paraId="12DE62CB"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776067D8"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487CC27A"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864" w:type="dxa"/>
            <w:tcBorders>
              <w:top w:val="nil"/>
              <w:bottom w:val="nil"/>
            </w:tcBorders>
            <w:shd w:val="clear" w:color="auto" w:fill="auto"/>
          </w:tcPr>
          <w:p w14:paraId="753DA9A5"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 ± 0.20 a</w:t>
            </w:r>
          </w:p>
        </w:tc>
        <w:tc>
          <w:tcPr>
            <w:tcW w:w="2009" w:type="dxa"/>
            <w:tcBorders>
              <w:top w:val="nil"/>
              <w:bottom w:val="nil"/>
            </w:tcBorders>
            <w:shd w:val="clear" w:color="auto" w:fill="auto"/>
          </w:tcPr>
          <w:p w14:paraId="59A20B49"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14.96 ± 0.26 </w:t>
            </w:r>
            <w:r w:rsidR="00934E12"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tcBorders>
              <w:top w:val="nil"/>
              <w:bottom w:val="nil"/>
            </w:tcBorders>
            <w:shd w:val="clear" w:color="auto" w:fill="auto"/>
          </w:tcPr>
          <w:p w14:paraId="3897E289"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15.23 ± 0.27 </w:t>
            </w:r>
            <w:proofErr w:type="spellStart"/>
            <w:r w:rsidR="00934E12" w:rsidRPr="00327C93">
              <w:rPr>
                <w:rFonts w:ascii="Times New Roman" w:eastAsia="Times New Roman" w:hAnsi="Times New Roman" w:cs="Times New Roman"/>
                <w:color w:val="auto"/>
                <w:sz w:val="24"/>
                <w:szCs w:val="24"/>
              </w:rPr>
              <w:t>bc</w:t>
            </w:r>
            <w:proofErr w:type="spellEnd"/>
          </w:p>
        </w:tc>
        <w:tc>
          <w:tcPr>
            <w:tcW w:w="1865" w:type="dxa"/>
            <w:tcBorders>
              <w:top w:val="nil"/>
              <w:bottom w:val="nil"/>
            </w:tcBorders>
            <w:shd w:val="clear" w:color="auto" w:fill="auto"/>
          </w:tcPr>
          <w:p w14:paraId="35DA74A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15.73 ± 0.12 b</w:t>
            </w:r>
          </w:p>
        </w:tc>
        <w:tc>
          <w:tcPr>
            <w:tcW w:w="1865" w:type="dxa"/>
            <w:tcBorders>
              <w:top w:val="nil"/>
              <w:bottom w:val="nil"/>
            </w:tcBorders>
            <w:shd w:val="clear" w:color="auto" w:fill="auto"/>
          </w:tcPr>
          <w:p w14:paraId="18B98D60"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14.56 ± 0.37 a</w:t>
            </w:r>
          </w:p>
        </w:tc>
        <w:tc>
          <w:tcPr>
            <w:tcW w:w="1971" w:type="dxa"/>
            <w:tcBorders>
              <w:top w:val="nil"/>
              <w:bottom w:val="nil"/>
            </w:tcBorders>
            <w:shd w:val="clear" w:color="auto" w:fill="auto"/>
          </w:tcPr>
          <w:p w14:paraId="21714E87" w14:textId="77777777" w:rsidR="00717810" w:rsidRPr="00327C93" w:rsidRDefault="00573B12"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13.5 ± 0.40 ab</w:t>
            </w:r>
          </w:p>
        </w:tc>
      </w:tr>
      <w:tr w:rsidR="00C74F86" w:rsidRPr="00327C93" w14:paraId="2A2574BF"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7880BFBD"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7E48A62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864" w:type="dxa"/>
            <w:tcBorders>
              <w:top w:val="nil"/>
              <w:bottom w:val="nil"/>
            </w:tcBorders>
            <w:shd w:val="clear" w:color="auto" w:fill="auto"/>
          </w:tcPr>
          <w:p w14:paraId="441A0C3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13.8 ± 0.37 </w:t>
            </w:r>
            <w:r w:rsidR="00934E12" w:rsidRPr="00327C93">
              <w:rPr>
                <w:rFonts w:ascii="Times New Roman" w:eastAsia="Times New Roman" w:hAnsi="Times New Roman" w:cs="Times New Roman"/>
                <w:color w:val="auto"/>
                <w:sz w:val="24"/>
                <w:szCs w:val="24"/>
              </w:rPr>
              <w:t>b</w:t>
            </w:r>
          </w:p>
        </w:tc>
        <w:tc>
          <w:tcPr>
            <w:tcW w:w="2009" w:type="dxa"/>
            <w:tcBorders>
              <w:top w:val="nil"/>
              <w:bottom w:val="nil"/>
            </w:tcBorders>
            <w:shd w:val="clear" w:color="auto" w:fill="auto"/>
          </w:tcPr>
          <w:p w14:paraId="3652834D"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14.63 ± 0.55 b</w:t>
            </w:r>
          </w:p>
        </w:tc>
        <w:tc>
          <w:tcPr>
            <w:tcW w:w="2008" w:type="dxa"/>
            <w:tcBorders>
              <w:top w:val="nil"/>
              <w:bottom w:val="nil"/>
            </w:tcBorders>
            <w:shd w:val="clear" w:color="auto" w:fill="auto"/>
          </w:tcPr>
          <w:p w14:paraId="1683F01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15.2 ± 0.25 </w:t>
            </w:r>
            <w:proofErr w:type="spellStart"/>
            <w:r w:rsidR="00934E12" w:rsidRPr="00327C93">
              <w:rPr>
                <w:rFonts w:ascii="Times New Roman" w:eastAsia="Times New Roman" w:hAnsi="Times New Roman" w:cs="Times New Roman"/>
                <w:color w:val="auto"/>
                <w:sz w:val="24"/>
                <w:szCs w:val="24"/>
              </w:rPr>
              <w:t>b</w:t>
            </w:r>
            <w:r w:rsidRPr="00327C93">
              <w:rPr>
                <w:rFonts w:ascii="Times New Roman" w:eastAsia="Times New Roman" w:hAnsi="Times New Roman" w:cs="Times New Roman"/>
                <w:color w:val="auto"/>
                <w:sz w:val="24"/>
                <w:szCs w:val="24"/>
              </w:rPr>
              <w:t>c</w:t>
            </w:r>
            <w:proofErr w:type="spellEnd"/>
          </w:p>
        </w:tc>
        <w:tc>
          <w:tcPr>
            <w:tcW w:w="1865" w:type="dxa"/>
            <w:tcBorders>
              <w:top w:val="nil"/>
              <w:bottom w:val="nil"/>
            </w:tcBorders>
            <w:shd w:val="clear" w:color="auto" w:fill="auto"/>
          </w:tcPr>
          <w:p w14:paraId="5E9EC1B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15.16 ± 0.26 b</w:t>
            </w:r>
          </w:p>
        </w:tc>
        <w:tc>
          <w:tcPr>
            <w:tcW w:w="1865" w:type="dxa"/>
            <w:tcBorders>
              <w:top w:val="nil"/>
              <w:bottom w:val="nil"/>
            </w:tcBorders>
            <w:shd w:val="clear" w:color="auto" w:fill="auto"/>
          </w:tcPr>
          <w:p w14:paraId="0B7AE3D3"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14.86 ± 0.41 a</w:t>
            </w:r>
          </w:p>
        </w:tc>
        <w:tc>
          <w:tcPr>
            <w:tcW w:w="1971" w:type="dxa"/>
            <w:tcBorders>
              <w:top w:val="nil"/>
              <w:bottom w:val="nil"/>
            </w:tcBorders>
            <w:shd w:val="clear" w:color="auto" w:fill="auto"/>
          </w:tcPr>
          <w:p w14:paraId="0482D4AC"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13.9 ± 0.28 ab</w:t>
            </w:r>
          </w:p>
        </w:tc>
      </w:tr>
      <w:tr w:rsidR="00C74F86" w:rsidRPr="00327C93" w14:paraId="68D727A0"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single" w:sz="4" w:space="0" w:color="auto"/>
            </w:tcBorders>
            <w:shd w:val="clear" w:color="auto" w:fill="auto"/>
            <w:vAlign w:val="center"/>
          </w:tcPr>
          <w:p w14:paraId="79FC87F1"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single" w:sz="4" w:space="0" w:color="auto"/>
            </w:tcBorders>
            <w:shd w:val="clear" w:color="auto" w:fill="auto"/>
          </w:tcPr>
          <w:p w14:paraId="67F83078"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864" w:type="dxa"/>
            <w:tcBorders>
              <w:top w:val="nil"/>
              <w:bottom w:val="single" w:sz="4" w:space="0" w:color="auto"/>
            </w:tcBorders>
            <w:shd w:val="clear" w:color="auto" w:fill="auto"/>
          </w:tcPr>
          <w:p w14:paraId="3768589E"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14.8 ± 0.20 ab</w:t>
            </w:r>
          </w:p>
        </w:tc>
        <w:tc>
          <w:tcPr>
            <w:tcW w:w="2009" w:type="dxa"/>
            <w:tcBorders>
              <w:top w:val="nil"/>
              <w:bottom w:val="single" w:sz="4" w:space="0" w:color="auto"/>
            </w:tcBorders>
            <w:shd w:val="clear" w:color="auto" w:fill="auto"/>
          </w:tcPr>
          <w:p w14:paraId="391C63E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14.9 ± 0.15 </w:t>
            </w:r>
            <w:r w:rsidR="00934E12"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tcBorders>
              <w:top w:val="nil"/>
              <w:bottom w:val="single" w:sz="4" w:space="0" w:color="auto"/>
            </w:tcBorders>
            <w:shd w:val="clear" w:color="auto" w:fill="auto"/>
          </w:tcPr>
          <w:p w14:paraId="1130E80A"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14.66 ± 0.14 </w:t>
            </w:r>
            <w:r w:rsidR="00934E12" w:rsidRPr="00327C93">
              <w:rPr>
                <w:rFonts w:ascii="Times New Roman" w:eastAsia="Times New Roman" w:hAnsi="Times New Roman" w:cs="Times New Roman"/>
                <w:color w:val="auto"/>
                <w:sz w:val="24"/>
                <w:szCs w:val="24"/>
              </w:rPr>
              <w:t>c</w:t>
            </w:r>
          </w:p>
        </w:tc>
        <w:tc>
          <w:tcPr>
            <w:tcW w:w="1865" w:type="dxa"/>
            <w:tcBorders>
              <w:top w:val="nil"/>
              <w:bottom w:val="single" w:sz="4" w:space="0" w:color="auto"/>
            </w:tcBorders>
            <w:shd w:val="clear" w:color="auto" w:fill="auto"/>
          </w:tcPr>
          <w:p w14:paraId="1C4282AE"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15.33 ± 0.31 b</w:t>
            </w:r>
          </w:p>
        </w:tc>
        <w:tc>
          <w:tcPr>
            <w:tcW w:w="1865" w:type="dxa"/>
            <w:tcBorders>
              <w:top w:val="nil"/>
              <w:bottom w:val="single" w:sz="4" w:space="0" w:color="auto"/>
            </w:tcBorders>
            <w:shd w:val="clear" w:color="auto" w:fill="auto"/>
          </w:tcPr>
          <w:p w14:paraId="3E9C05C8"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14.93 ± 0.34 a</w:t>
            </w:r>
          </w:p>
        </w:tc>
        <w:tc>
          <w:tcPr>
            <w:tcW w:w="1971" w:type="dxa"/>
            <w:tcBorders>
              <w:top w:val="nil"/>
              <w:bottom w:val="single" w:sz="4" w:space="0" w:color="auto"/>
            </w:tcBorders>
            <w:shd w:val="clear" w:color="auto" w:fill="auto"/>
          </w:tcPr>
          <w:p w14:paraId="0296A8D2"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14.43 ± 0.27 a</w:t>
            </w:r>
          </w:p>
        </w:tc>
      </w:tr>
      <w:tr w:rsidR="00C74F86" w:rsidRPr="00327C93" w14:paraId="6453D32A" w14:textId="77777777" w:rsidTr="0028606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bottom w:val="nil"/>
            </w:tcBorders>
            <w:shd w:val="clear" w:color="auto" w:fill="auto"/>
            <w:vAlign w:val="center"/>
          </w:tcPr>
          <w:p w14:paraId="21180CD5" w14:textId="77777777" w:rsidR="00AC27F6" w:rsidRPr="00327C93" w:rsidRDefault="00AC27F6" w:rsidP="00327C93">
            <w:pPr>
              <w:jc w:val="center"/>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rPr>
              <w:t>Ascorbic acid content (mg/ 100 g)</w:t>
            </w:r>
          </w:p>
          <w:p w14:paraId="32B0FA7B" w14:textId="77777777" w:rsidR="00717810" w:rsidRPr="00327C93" w:rsidRDefault="00717810" w:rsidP="00327C93">
            <w:pPr>
              <w:rPr>
                <w:rFonts w:ascii="Times New Roman" w:hAnsi="Times New Roman" w:cs="Times New Roman"/>
                <w:color w:val="auto"/>
                <w:sz w:val="24"/>
                <w:szCs w:val="24"/>
              </w:rPr>
            </w:pPr>
          </w:p>
        </w:tc>
        <w:tc>
          <w:tcPr>
            <w:tcW w:w="1865" w:type="dxa"/>
            <w:tcBorders>
              <w:top w:val="single" w:sz="4" w:space="0" w:color="auto"/>
              <w:bottom w:val="nil"/>
            </w:tcBorders>
            <w:shd w:val="clear" w:color="auto" w:fill="auto"/>
          </w:tcPr>
          <w:p w14:paraId="4A8615E0"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864" w:type="dxa"/>
            <w:tcBorders>
              <w:top w:val="single" w:sz="4" w:space="0" w:color="auto"/>
              <w:bottom w:val="nil"/>
            </w:tcBorders>
            <w:shd w:val="clear" w:color="auto" w:fill="auto"/>
          </w:tcPr>
          <w:p w14:paraId="1502205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58.80 ± 2.15 a</w:t>
            </w:r>
          </w:p>
        </w:tc>
        <w:tc>
          <w:tcPr>
            <w:tcW w:w="2009" w:type="dxa"/>
            <w:tcBorders>
              <w:top w:val="single" w:sz="4" w:space="0" w:color="auto"/>
              <w:bottom w:val="nil"/>
            </w:tcBorders>
            <w:shd w:val="clear" w:color="auto" w:fill="auto"/>
          </w:tcPr>
          <w:p w14:paraId="0DA0A8DE"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48.10 ± 1.00 </w:t>
            </w:r>
            <w:r w:rsidR="00573B12" w:rsidRPr="00327C93">
              <w:rPr>
                <w:rFonts w:ascii="Times New Roman" w:eastAsia="Times New Roman" w:hAnsi="Times New Roman" w:cs="Times New Roman"/>
                <w:color w:val="auto"/>
                <w:sz w:val="24"/>
                <w:szCs w:val="24"/>
              </w:rPr>
              <w:t>b</w:t>
            </w:r>
          </w:p>
        </w:tc>
        <w:tc>
          <w:tcPr>
            <w:tcW w:w="2008" w:type="dxa"/>
            <w:tcBorders>
              <w:top w:val="single" w:sz="4" w:space="0" w:color="auto"/>
              <w:bottom w:val="nil"/>
            </w:tcBorders>
            <w:shd w:val="clear" w:color="auto" w:fill="auto"/>
          </w:tcPr>
          <w:p w14:paraId="677B03A5"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41.50 ± 1.12 </w:t>
            </w:r>
            <w:r w:rsidR="00573B12" w:rsidRPr="00327C93">
              <w:rPr>
                <w:rFonts w:ascii="Times New Roman" w:eastAsia="Times New Roman" w:hAnsi="Times New Roman" w:cs="Times New Roman"/>
                <w:color w:val="auto"/>
                <w:sz w:val="24"/>
                <w:szCs w:val="24"/>
              </w:rPr>
              <w:t>a</w:t>
            </w:r>
          </w:p>
        </w:tc>
        <w:tc>
          <w:tcPr>
            <w:tcW w:w="1865" w:type="dxa"/>
            <w:tcBorders>
              <w:top w:val="single" w:sz="4" w:space="0" w:color="auto"/>
              <w:bottom w:val="nil"/>
            </w:tcBorders>
            <w:shd w:val="clear" w:color="auto" w:fill="auto"/>
          </w:tcPr>
          <w:p w14:paraId="7547B737"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34.63 ± 1.21 a</w:t>
            </w:r>
          </w:p>
        </w:tc>
        <w:tc>
          <w:tcPr>
            <w:tcW w:w="1865" w:type="dxa"/>
            <w:tcBorders>
              <w:top w:val="single" w:sz="4" w:space="0" w:color="auto"/>
              <w:bottom w:val="nil"/>
            </w:tcBorders>
            <w:shd w:val="clear" w:color="auto" w:fill="auto"/>
          </w:tcPr>
          <w:p w14:paraId="5B4CB6DC"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27.08 ± 1.12 </w:t>
            </w:r>
            <w:r w:rsidR="00573B12" w:rsidRPr="00327C93">
              <w:rPr>
                <w:rFonts w:ascii="Times New Roman" w:eastAsia="Times New Roman" w:hAnsi="Times New Roman" w:cs="Times New Roman"/>
                <w:color w:val="auto"/>
                <w:sz w:val="24"/>
                <w:szCs w:val="24"/>
              </w:rPr>
              <w:t>a</w:t>
            </w:r>
          </w:p>
        </w:tc>
        <w:tc>
          <w:tcPr>
            <w:tcW w:w="1971" w:type="dxa"/>
            <w:tcBorders>
              <w:top w:val="single" w:sz="4" w:space="0" w:color="auto"/>
              <w:bottom w:val="nil"/>
            </w:tcBorders>
            <w:shd w:val="clear" w:color="auto" w:fill="auto"/>
          </w:tcPr>
          <w:p w14:paraId="290FF5C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21.99 ± 1.19 </w:t>
            </w:r>
            <w:r w:rsidR="00573B12" w:rsidRPr="00327C93">
              <w:rPr>
                <w:rFonts w:ascii="Times New Roman" w:eastAsia="Times New Roman" w:hAnsi="Times New Roman" w:cs="Times New Roman"/>
                <w:color w:val="auto"/>
                <w:sz w:val="24"/>
                <w:szCs w:val="24"/>
              </w:rPr>
              <w:t>b</w:t>
            </w:r>
          </w:p>
        </w:tc>
      </w:tr>
      <w:tr w:rsidR="00C74F86" w:rsidRPr="00327C93" w14:paraId="55968B4F"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7ED8DB3B"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605F52A1"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864" w:type="dxa"/>
            <w:tcBorders>
              <w:top w:val="nil"/>
              <w:bottom w:val="nil"/>
            </w:tcBorders>
            <w:shd w:val="clear" w:color="auto" w:fill="auto"/>
          </w:tcPr>
          <w:p w14:paraId="43F1CF6B"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60.62 ± 0.83 a</w:t>
            </w:r>
          </w:p>
        </w:tc>
        <w:tc>
          <w:tcPr>
            <w:tcW w:w="2009" w:type="dxa"/>
            <w:tcBorders>
              <w:top w:val="nil"/>
              <w:bottom w:val="nil"/>
            </w:tcBorders>
            <w:shd w:val="clear" w:color="auto" w:fill="auto"/>
          </w:tcPr>
          <w:p w14:paraId="2EAF090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54.63 ± 0.88 ab</w:t>
            </w:r>
          </w:p>
        </w:tc>
        <w:tc>
          <w:tcPr>
            <w:tcW w:w="2008" w:type="dxa"/>
            <w:tcBorders>
              <w:top w:val="nil"/>
              <w:bottom w:val="nil"/>
            </w:tcBorders>
            <w:shd w:val="clear" w:color="auto" w:fill="auto"/>
          </w:tcPr>
          <w:p w14:paraId="0BFAEEA6"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44.44 ± 1.05 a</w:t>
            </w:r>
          </w:p>
        </w:tc>
        <w:tc>
          <w:tcPr>
            <w:tcW w:w="1865" w:type="dxa"/>
            <w:tcBorders>
              <w:top w:val="nil"/>
              <w:bottom w:val="nil"/>
            </w:tcBorders>
            <w:shd w:val="clear" w:color="auto" w:fill="auto"/>
          </w:tcPr>
          <w:p w14:paraId="34A20F40"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35.42 ± 2.54 a</w:t>
            </w:r>
          </w:p>
        </w:tc>
        <w:tc>
          <w:tcPr>
            <w:tcW w:w="1865" w:type="dxa"/>
            <w:tcBorders>
              <w:top w:val="nil"/>
              <w:bottom w:val="nil"/>
            </w:tcBorders>
            <w:shd w:val="clear" w:color="auto" w:fill="auto"/>
          </w:tcPr>
          <w:p w14:paraId="482FE5E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31.20 ± 2.22 </w:t>
            </w:r>
            <w:proofErr w:type="spellStart"/>
            <w:r w:rsidRPr="00327C93">
              <w:rPr>
                <w:rFonts w:ascii="Times New Roman" w:eastAsia="Times New Roman" w:hAnsi="Times New Roman" w:cs="Times New Roman"/>
                <w:color w:val="auto"/>
                <w:sz w:val="24"/>
                <w:szCs w:val="24"/>
              </w:rPr>
              <w:t>bc</w:t>
            </w:r>
            <w:proofErr w:type="spellEnd"/>
          </w:p>
        </w:tc>
        <w:tc>
          <w:tcPr>
            <w:tcW w:w="1971" w:type="dxa"/>
            <w:tcBorders>
              <w:top w:val="nil"/>
              <w:bottom w:val="nil"/>
            </w:tcBorders>
            <w:shd w:val="clear" w:color="auto" w:fill="auto"/>
          </w:tcPr>
          <w:p w14:paraId="709314E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22.42 ± 1.50 </w:t>
            </w:r>
            <w:r w:rsidR="00573B12" w:rsidRPr="00327C93">
              <w:rPr>
                <w:rFonts w:ascii="Times New Roman" w:eastAsia="Times New Roman" w:hAnsi="Times New Roman" w:cs="Times New Roman"/>
                <w:color w:val="auto"/>
                <w:sz w:val="24"/>
                <w:szCs w:val="24"/>
              </w:rPr>
              <w:t>b</w:t>
            </w:r>
          </w:p>
        </w:tc>
      </w:tr>
      <w:tr w:rsidR="00C74F86" w:rsidRPr="00327C93" w14:paraId="58E64042"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0B6B2CFF"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29A9D734"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864" w:type="dxa"/>
            <w:tcBorders>
              <w:top w:val="nil"/>
              <w:bottom w:val="nil"/>
            </w:tcBorders>
            <w:shd w:val="clear" w:color="auto" w:fill="auto"/>
          </w:tcPr>
          <w:p w14:paraId="73B1B1F1"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58.74 ± 2.43 a</w:t>
            </w:r>
          </w:p>
        </w:tc>
        <w:tc>
          <w:tcPr>
            <w:tcW w:w="2009" w:type="dxa"/>
            <w:tcBorders>
              <w:top w:val="nil"/>
              <w:bottom w:val="nil"/>
            </w:tcBorders>
            <w:shd w:val="clear" w:color="auto" w:fill="auto"/>
          </w:tcPr>
          <w:p w14:paraId="03045268"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51.47 ± 1.40 </w:t>
            </w:r>
            <w:r w:rsidR="00573B12" w:rsidRPr="00327C93">
              <w:rPr>
                <w:rFonts w:ascii="Times New Roman" w:eastAsia="Times New Roman" w:hAnsi="Times New Roman" w:cs="Times New Roman"/>
                <w:color w:val="auto"/>
                <w:sz w:val="24"/>
                <w:szCs w:val="24"/>
              </w:rPr>
              <w:t>ab</w:t>
            </w:r>
          </w:p>
        </w:tc>
        <w:tc>
          <w:tcPr>
            <w:tcW w:w="2008" w:type="dxa"/>
            <w:tcBorders>
              <w:top w:val="nil"/>
              <w:bottom w:val="nil"/>
            </w:tcBorders>
            <w:shd w:val="clear" w:color="auto" w:fill="auto"/>
          </w:tcPr>
          <w:p w14:paraId="57DA09F7"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44.64 ± 1.05 a</w:t>
            </w:r>
          </w:p>
        </w:tc>
        <w:tc>
          <w:tcPr>
            <w:tcW w:w="1865" w:type="dxa"/>
            <w:tcBorders>
              <w:top w:val="nil"/>
              <w:bottom w:val="nil"/>
            </w:tcBorders>
            <w:shd w:val="clear" w:color="auto" w:fill="auto"/>
          </w:tcPr>
          <w:p w14:paraId="62BD2CA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37.36 ± 1.51 a</w:t>
            </w:r>
          </w:p>
        </w:tc>
        <w:tc>
          <w:tcPr>
            <w:tcW w:w="1865" w:type="dxa"/>
            <w:tcBorders>
              <w:top w:val="nil"/>
              <w:bottom w:val="nil"/>
            </w:tcBorders>
            <w:shd w:val="clear" w:color="auto" w:fill="auto"/>
          </w:tcPr>
          <w:p w14:paraId="0E68324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35.35 ± 1.77 ab</w:t>
            </w:r>
          </w:p>
        </w:tc>
        <w:tc>
          <w:tcPr>
            <w:tcW w:w="1971" w:type="dxa"/>
            <w:tcBorders>
              <w:top w:val="nil"/>
              <w:bottom w:val="nil"/>
            </w:tcBorders>
            <w:shd w:val="clear" w:color="auto" w:fill="auto"/>
          </w:tcPr>
          <w:p w14:paraId="4E5CCB0B"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26.26 ± 2.01 </w:t>
            </w:r>
            <w:r w:rsidR="00573B12" w:rsidRPr="00327C93">
              <w:rPr>
                <w:rFonts w:ascii="Times New Roman" w:eastAsia="Times New Roman" w:hAnsi="Times New Roman" w:cs="Times New Roman"/>
                <w:color w:val="auto"/>
                <w:sz w:val="24"/>
                <w:szCs w:val="24"/>
              </w:rPr>
              <w:t>ab</w:t>
            </w:r>
          </w:p>
        </w:tc>
      </w:tr>
      <w:tr w:rsidR="00C74F86" w:rsidRPr="00327C93" w14:paraId="6EDC4059"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nil"/>
            </w:tcBorders>
            <w:shd w:val="clear" w:color="auto" w:fill="auto"/>
            <w:vAlign w:val="center"/>
          </w:tcPr>
          <w:p w14:paraId="143C06F6"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nil"/>
            </w:tcBorders>
            <w:shd w:val="clear" w:color="auto" w:fill="auto"/>
          </w:tcPr>
          <w:p w14:paraId="5DE3BCD2"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864" w:type="dxa"/>
            <w:tcBorders>
              <w:top w:val="nil"/>
              <w:bottom w:val="nil"/>
            </w:tcBorders>
            <w:shd w:val="clear" w:color="auto" w:fill="auto"/>
          </w:tcPr>
          <w:p w14:paraId="04CF99A3"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62.07 ± 0.64 a</w:t>
            </w:r>
          </w:p>
        </w:tc>
        <w:tc>
          <w:tcPr>
            <w:tcW w:w="2009" w:type="dxa"/>
            <w:tcBorders>
              <w:top w:val="nil"/>
              <w:bottom w:val="nil"/>
            </w:tcBorders>
            <w:shd w:val="clear" w:color="auto" w:fill="auto"/>
          </w:tcPr>
          <w:p w14:paraId="2B45B16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55.06 ± 2.22 ab</w:t>
            </w:r>
          </w:p>
        </w:tc>
        <w:tc>
          <w:tcPr>
            <w:tcW w:w="2008" w:type="dxa"/>
            <w:tcBorders>
              <w:top w:val="nil"/>
              <w:bottom w:val="nil"/>
            </w:tcBorders>
            <w:shd w:val="clear" w:color="auto" w:fill="auto"/>
          </w:tcPr>
          <w:p w14:paraId="2BB44059"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48.51 ± 1.69 a</w:t>
            </w:r>
          </w:p>
        </w:tc>
        <w:tc>
          <w:tcPr>
            <w:tcW w:w="1865" w:type="dxa"/>
            <w:tcBorders>
              <w:top w:val="nil"/>
              <w:bottom w:val="nil"/>
            </w:tcBorders>
            <w:shd w:val="clear" w:color="auto" w:fill="auto"/>
          </w:tcPr>
          <w:p w14:paraId="3D154E14"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39.07 ± 1.13 a</w:t>
            </w:r>
          </w:p>
        </w:tc>
        <w:tc>
          <w:tcPr>
            <w:tcW w:w="1865" w:type="dxa"/>
            <w:tcBorders>
              <w:top w:val="nil"/>
              <w:bottom w:val="nil"/>
            </w:tcBorders>
            <w:shd w:val="clear" w:color="auto" w:fill="auto"/>
          </w:tcPr>
          <w:p w14:paraId="7561347F"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34.91 ± 2.55 ab</w:t>
            </w:r>
          </w:p>
        </w:tc>
        <w:tc>
          <w:tcPr>
            <w:tcW w:w="1971" w:type="dxa"/>
            <w:tcBorders>
              <w:top w:val="nil"/>
              <w:bottom w:val="nil"/>
            </w:tcBorders>
            <w:shd w:val="clear" w:color="auto" w:fill="auto"/>
          </w:tcPr>
          <w:p w14:paraId="2D27E72C" w14:textId="77777777" w:rsidR="00717810" w:rsidRPr="00327C93" w:rsidRDefault="00717810"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27.05 ± 1.23 ab</w:t>
            </w:r>
          </w:p>
        </w:tc>
      </w:tr>
      <w:tr w:rsidR="00C74F86" w:rsidRPr="00327C93" w14:paraId="1901C4E5"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tcBorders>
              <w:top w:val="nil"/>
              <w:bottom w:val="single" w:sz="4" w:space="0" w:color="auto"/>
            </w:tcBorders>
            <w:shd w:val="clear" w:color="auto" w:fill="auto"/>
            <w:vAlign w:val="center"/>
          </w:tcPr>
          <w:p w14:paraId="129D8D79" w14:textId="77777777" w:rsidR="00717810" w:rsidRPr="00327C93" w:rsidRDefault="00717810" w:rsidP="00327C93">
            <w:pPr>
              <w:rPr>
                <w:rFonts w:ascii="Times New Roman" w:hAnsi="Times New Roman" w:cs="Times New Roman"/>
                <w:color w:val="auto"/>
                <w:sz w:val="24"/>
                <w:szCs w:val="24"/>
              </w:rPr>
            </w:pPr>
          </w:p>
        </w:tc>
        <w:tc>
          <w:tcPr>
            <w:tcW w:w="1865" w:type="dxa"/>
            <w:tcBorders>
              <w:top w:val="nil"/>
              <w:bottom w:val="single" w:sz="4" w:space="0" w:color="auto"/>
            </w:tcBorders>
            <w:shd w:val="clear" w:color="auto" w:fill="auto"/>
          </w:tcPr>
          <w:p w14:paraId="4149073D"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864" w:type="dxa"/>
            <w:tcBorders>
              <w:top w:val="nil"/>
              <w:bottom w:val="single" w:sz="4" w:space="0" w:color="auto"/>
            </w:tcBorders>
            <w:shd w:val="clear" w:color="auto" w:fill="auto"/>
          </w:tcPr>
          <w:p w14:paraId="29A7966A"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63.10 ± 1.40 a</w:t>
            </w:r>
          </w:p>
        </w:tc>
        <w:tc>
          <w:tcPr>
            <w:tcW w:w="2009" w:type="dxa"/>
            <w:tcBorders>
              <w:top w:val="nil"/>
              <w:bottom w:val="single" w:sz="4" w:space="0" w:color="auto"/>
            </w:tcBorders>
            <w:shd w:val="clear" w:color="auto" w:fill="auto"/>
          </w:tcPr>
          <w:p w14:paraId="1D421F86"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56.22 ± 1.75 a</w:t>
            </w:r>
          </w:p>
        </w:tc>
        <w:tc>
          <w:tcPr>
            <w:tcW w:w="2008" w:type="dxa"/>
            <w:tcBorders>
              <w:top w:val="nil"/>
              <w:bottom w:val="single" w:sz="4" w:space="0" w:color="auto"/>
            </w:tcBorders>
            <w:shd w:val="clear" w:color="auto" w:fill="auto"/>
          </w:tcPr>
          <w:p w14:paraId="0CC0284E"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47.54 ± 1.48 a</w:t>
            </w:r>
          </w:p>
        </w:tc>
        <w:tc>
          <w:tcPr>
            <w:tcW w:w="1865" w:type="dxa"/>
            <w:tcBorders>
              <w:top w:val="nil"/>
              <w:bottom w:val="single" w:sz="4" w:space="0" w:color="auto"/>
            </w:tcBorders>
            <w:shd w:val="clear" w:color="auto" w:fill="auto"/>
          </w:tcPr>
          <w:p w14:paraId="42D6FCE5"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41.44 ± 1.35 a</w:t>
            </w:r>
          </w:p>
        </w:tc>
        <w:tc>
          <w:tcPr>
            <w:tcW w:w="1865" w:type="dxa"/>
            <w:tcBorders>
              <w:top w:val="nil"/>
              <w:bottom w:val="single" w:sz="4" w:space="0" w:color="auto"/>
            </w:tcBorders>
            <w:shd w:val="clear" w:color="auto" w:fill="auto"/>
          </w:tcPr>
          <w:p w14:paraId="4CB0BEBF"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38.64 ± 1.37 a</w:t>
            </w:r>
          </w:p>
        </w:tc>
        <w:tc>
          <w:tcPr>
            <w:tcW w:w="1971" w:type="dxa"/>
            <w:tcBorders>
              <w:top w:val="nil"/>
              <w:bottom w:val="single" w:sz="4" w:space="0" w:color="auto"/>
            </w:tcBorders>
            <w:shd w:val="clear" w:color="auto" w:fill="auto"/>
          </w:tcPr>
          <w:p w14:paraId="33929242" w14:textId="77777777" w:rsidR="00717810" w:rsidRPr="00327C93" w:rsidRDefault="00717810"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31.06 ± 1.26 a</w:t>
            </w:r>
          </w:p>
        </w:tc>
      </w:tr>
      <w:tr w:rsidR="00C74F86" w:rsidRPr="00327C93" w14:paraId="77742CE7" w14:textId="77777777" w:rsidTr="0028606D">
        <w:trPr>
          <w:trHeight w:val="31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tcBorders>
            <w:shd w:val="clear" w:color="auto" w:fill="auto"/>
            <w:vAlign w:val="center"/>
          </w:tcPr>
          <w:p w14:paraId="73EB53A3" w14:textId="77777777" w:rsidR="00B95F7C" w:rsidRPr="00327C93" w:rsidRDefault="00B95F7C" w:rsidP="00327C93">
            <w:pPr>
              <w:jc w:val="center"/>
              <w:rPr>
                <w:rFonts w:ascii="Times New Roman" w:hAnsi="Times New Roman" w:cs="Times New Roman"/>
                <w:b w:val="0"/>
                <w:bCs w:val="0"/>
                <w:color w:val="auto"/>
                <w:sz w:val="24"/>
                <w:szCs w:val="24"/>
              </w:rPr>
            </w:pPr>
            <w:r w:rsidRPr="00327C93">
              <w:rPr>
                <w:rFonts w:ascii="Times New Roman" w:hAnsi="Times New Roman" w:cs="Times New Roman"/>
                <w:color w:val="auto"/>
                <w:sz w:val="24"/>
                <w:szCs w:val="24"/>
                <w:lang w:val="en-IN"/>
              </w:rPr>
              <w:t>Phenolics content (mg GAE/100g FW)</w:t>
            </w:r>
          </w:p>
          <w:p w14:paraId="25F49B3D" w14:textId="77777777" w:rsidR="00AC27F6" w:rsidRPr="00327C93" w:rsidRDefault="00AC27F6" w:rsidP="00327C93">
            <w:pPr>
              <w:rPr>
                <w:rFonts w:ascii="Times New Roman" w:hAnsi="Times New Roman" w:cs="Times New Roman"/>
                <w:color w:val="auto"/>
                <w:sz w:val="24"/>
                <w:szCs w:val="24"/>
              </w:rPr>
            </w:pPr>
          </w:p>
        </w:tc>
        <w:tc>
          <w:tcPr>
            <w:tcW w:w="1865" w:type="dxa"/>
            <w:tcBorders>
              <w:top w:val="single" w:sz="4" w:space="0" w:color="auto"/>
            </w:tcBorders>
            <w:shd w:val="clear" w:color="auto" w:fill="auto"/>
          </w:tcPr>
          <w:p w14:paraId="33F432ED"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Open</w:t>
            </w:r>
          </w:p>
        </w:tc>
        <w:tc>
          <w:tcPr>
            <w:tcW w:w="1864" w:type="dxa"/>
            <w:tcBorders>
              <w:top w:val="single" w:sz="4" w:space="0" w:color="auto"/>
            </w:tcBorders>
            <w:shd w:val="clear" w:color="auto" w:fill="auto"/>
          </w:tcPr>
          <w:p w14:paraId="3A5277AE"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440.66 ± 7.21 a</w:t>
            </w:r>
          </w:p>
        </w:tc>
        <w:tc>
          <w:tcPr>
            <w:tcW w:w="2009" w:type="dxa"/>
            <w:tcBorders>
              <w:top w:val="single" w:sz="4" w:space="0" w:color="auto"/>
            </w:tcBorders>
            <w:shd w:val="clear" w:color="auto" w:fill="auto"/>
          </w:tcPr>
          <w:p w14:paraId="08C60FED"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370.66 ± 11.05 </w:t>
            </w:r>
            <w:r w:rsidR="00671451" w:rsidRPr="00327C93">
              <w:rPr>
                <w:rFonts w:ascii="Times New Roman" w:eastAsia="Times New Roman" w:hAnsi="Times New Roman" w:cs="Times New Roman"/>
                <w:color w:val="auto"/>
                <w:sz w:val="24"/>
                <w:szCs w:val="24"/>
              </w:rPr>
              <w:t>b</w:t>
            </w:r>
          </w:p>
        </w:tc>
        <w:tc>
          <w:tcPr>
            <w:tcW w:w="2008" w:type="dxa"/>
            <w:tcBorders>
              <w:top w:val="single" w:sz="4" w:space="0" w:color="auto"/>
            </w:tcBorders>
            <w:shd w:val="clear" w:color="auto" w:fill="auto"/>
          </w:tcPr>
          <w:p w14:paraId="315DB60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351.66 ± 6.71 b</w:t>
            </w:r>
          </w:p>
        </w:tc>
        <w:tc>
          <w:tcPr>
            <w:tcW w:w="1865" w:type="dxa"/>
            <w:tcBorders>
              <w:top w:val="single" w:sz="4" w:space="0" w:color="auto"/>
            </w:tcBorders>
            <w:shd w:val="clear" w:color="auto" w:fill="auto"/>
          </w:tcPr>
          <w:p w14:paraId="731D6749"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319.66 ± 11.46 a</w:t>
            </w:r>
          </w:p>
        </w:tc>
        <w:tc>
          <w:tcPr>
            <w:tcW w:w="1865" w:type="dxa"/>
            <w:tcBorders>
              <w:top w:val="single" w:sz="4" w:space="0" w:color="auto"/>
            </w:tcBorders>
            <w:shd w:val="clear" w:color="auto" w:fill="auto"/>
          </w:tcPr>
          <w:p w14:paraId="4A104A90"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278.66 ± 5.48 b</w:t>
            </w:r>
          </w:p>
        </w:tc>
        <w:tc>
          <w:tcPr>
            <w:tcW w:w="1971" w:type="dxa"/>
            <w:tcBorders>
              <w:top w:val="single" w:sz="4" w:space="0" w:color="auto"/>
            </w:tcBorders>
            <w:shd w:val="clear" w:color="auto" w:fill="auto"/>
          </w:tcPr>
          <w:p w14:paraId="6E0957A4"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225.33 ± 4.09 d</w:t>
            </w:r>
          </w:p>
        </w:tc>
      </w:tr>
      <w:tr w:rsidR="00C74F86" w:rsidRPr="00327C93" w14:paraId="2A56F2C8"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3EEBA3B6"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70F45874"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Control Sealed</w:t>
            </w:r>
          </w:p>
        </w:tc>
        <w:tc>
          <w:tcPr>
            <w:tcW w:w="1864" w:type="dxa"/>
            <w:shd w:val="clear" w:color="auto" w:fill="auto"/>
          </w:tcPr>
          <w:p w14:paraId="68F24416"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460.33 ± 12.91 a</w:t>
            </w:r>
          </w:p>
        </w:tc>
        <w:tc>
          <w:tcPr>
            <w:tcW w:w="2009" w:type="dxa"/>
            <w:shd w:val="clear" w:color="auto" w:fill="auto"/>
          </w:tcPr>
          <w:p w14:paraId="312AFA34"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404.66 ± 22.39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shd w:val="clear" w:color="auto" w:fill="auto"/>
          </w:tcPr>
          <w:p w14:paraId="58CD5A2E"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357.66 ± 14.11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1865" w:type="dxa"/>
            <w:shd w:val="clear" w:color="auto" w:fill="auto"/>
          </w:tcPr>
          <w:p w14:paraId="590986E1"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326 ± 5.19 a</w:t>
            </w:r>
          </w:p>
        </w:tc>
        <w:tc>
          <w:tcPr>
            <w:tcW w:w="1865" w:type="dxa"/>
            <w:shd w:val="clear" w:color="auto" w:fill="auto"/>
          </w:tcPr>
          <w:p w14:paraId="5D883C5B" w14:textId="77777777" w:rsidR="00AC27F6" w:rsidRPr="00327C93" w:rsidRDefault="00671451"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270.66 ± 11.21b</w:t>
            </w:r>
          </w:p>
        </w:tc>
        <w:tc>
          <w:tcPr>
            <w:tcW w:w="1971" w:type="dxa"/>
            <w:shd w:val="clear" w:color="auto" w:fill="auto"/>
          </w:tcPr>
          <w:p w14:paraId="4E8047FF" w14:textId="77777777" w:rsidR="00AC27F6" w:rsidRPr="00327C93" w:rsidRDefault="0028606D"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229.66 ± 11.97</w:t>
            </w:r>
            <w:r w:rsidR="00AC27F6" w:rsidRPr="00327C93">
              <w:rPr>
                <w:rFonts w:ascii="Times New Roman" w:eastAsia="Times New Roman" w:hAnsi="Times New Roman" w:cs="Times New Roman"/>
                <w:color w:val="auto"/>
                <w:sz w:val="24"/>
                <w:szCs w:val="24"/>
              </w:rPr>
              <w:t>cd</w:t>
            </w:r>
          </w:p>
        </w:tc>
      </w:tr>
      <w:tr w:rsidR="00C74F86" w:rsidRPr="00327C93" w14:paraId="309B571A"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64ACA0C5"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4DA095A9"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(0.5 mM)</w:t>
            </w:r>
          </w:p>
        </w:tc>
        <w:tc>
          <w:tcPr>
            <w:tcW w:w="1864" w:type="dxa"/>
            <w:shd w:val="clear" w:color="auto" w:fill="auto"/>
          </w:tcPr>
          <w:p w14:paraId="249A440C"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462.33 ± 3.52 a</w:t>
            </w:r>
          </w:p>
        </w:tc>
        <w:tc>
          <w:tcPr>
            <w:tcW w:w="2009" w:type="dxa"/>
            <w:shd w:val="clear" w:color="auto" w:fill="auto"/>
          </w:tcPr>
          <w:p w14:paraId="4D31370E"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404.33 ± 5.23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2008" w:type="dxa"/>
            <w:shd w:val="clear" w:color="auto" w:fill="auto"/>
          </w:tcPr>
          <w:p w14:paraId="741A04D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363.33 ± 6.17 </w:t>
            </w:r>
            <w:r w:rsidR="00671451"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1865" w:type="dxa"/>
            <w:shd w:val="clear" w:color="auto" w:fill="auto"/>
          </w:tcPr>
          <w:p w14:paraId="25390733"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332.66 ± 11.60 a</w:t>
            </w:r>
          </w:p>
        </w:tc>
        <w:tc>
          <w:tcPr>
            <w:tcW w:w="1865" w:type="dxa"/>
            <w:shd w:val="clear" w:color="auto" w:fill="auto"/>
          </w:tcPr>
          <w:p w14:paraId="17D5E780"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294 ± 9.29 </w:t>
            </w:r>
            <w:r w:rsidR="00EC768E" w:rsidRPr="00327C93">
              <w:rPr>
                <w:rFonts w:ascii="Times New Roman" w:eastAsia="Times New Roman" w:hAnsi="Times New Roman" w:cs="Times New Roman"/>
                <w:color w:val="auto"/>
                <w:sz w:val="24"/>
                <w:szCs w:val="24"/>
              </w:rPr>
              <w:t>a</w:t>
            </w:r>
            <w:r w:rsidRPr="00327C93">
              <w:rPr>
                <w:rFonts w:ascii="Times New Roman" w:eastAsia="Times New Roman" w:hAnsi="Times New Roman" w:cs="Times New Roman"/>
                <w:color w:val="auto"/>
                <w:sz w:val="24"/>
                <w:szCs w:val="24"/>
              </w:rPr>
              <w:t>b</w:t>
            </w:r>
          </w:p>
        </w:tc>
        <w:tc>
          <w:tcPr>
            <w:tcW w:w="1971" w:type="dxa"/>
            <w:shd w:val="clear" w:color="auto" w:fill="auto"/>
          </w:tcPr>
          <w:p w14:paraId="041EE748"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 xml:space="preserve">261.33 ± 7.31 </w:t>
            </w:r>
            <w:proofErr w:type="spellStart"/>
            <w:r w:rsidRPr="00327C93">
              <w:rPr>
                <w:rFonts w:ascii="Times New Roman" w:eastAsia="Times New Roman" w:hAnsi="Times New Roman" w:cs="Times New Roman"/>
                <w:color w:val="auto"/>
                <w:sz w:val="24"/>
                <w:szCs w:val="24"/>
              </w:rPr>
              <w:t>b</w:t>
            </w:r>
            <w:r w:rsidR="00EC768E" w:rsidRPr="00327C93">
              <w:rPr>
                <w:rFonts w:ascii="Times New Roman" w:hAnsi="Times New Roman" w:cs="Times New Roman"/>
                <w:color w:val="auto"/>
                <w:sz w:val="24"/>
                <w:szCs w:val="24"/>
              </w:rPr>
              <w:t>c</w:t>
            </w:r>
            <w:proofErr w:type="spellEnd"/>
          </w:p>
        </w:tc>
      </w:tr>
      <w:tr w:rsidR="00C74F86" w:rsidRPr="00327C93" w14:paraId="73ADB49A" w14:textId="77777777" w:rsidTr="0028606D">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52693EC9"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2A9A83A8"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(1.0 mM)</w:t>
            </w:r>
          </w:p>
        </w:tc>
        <w:tc>
          <w:tcPr>
            <w:tcW w:w="1864" w:type="dxa"/>
            <w:shd w:val="clear" w:color="auto" w:fill="auto"/>
          </w:tcPr>
          <w:p w14:paraId="04B98752"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466.66 ± 8.25 a</w:t>
            </w:r>
          </w:p>
        </w:tc>
        <w:tc>
          <w:tcPr>
            <w:tcW w:w="2009" w:type="dxa"/>
            <w:shd w:val="clear" w:color="auto" w:fill="auto"/>
          </w:tcPr>
          <w:p w14:paraId="5C890C9C"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327C93">
              <w:rPr>
                <w:rFonts w:ascii="Times New Roman" w:eastAsia="Times New Roman" w:hAnsi="Times New Roman" w:cs="Times New Roman"/>
                <w:color w:val="auto"/>
                <w:sz w:val="24"/>
                <w:szCs w:val="24"/>
              </w:rPr>
              <w:t>427 ± 5.19 ab</w:t>
            </w:r>
          </w:p>
        </w:tc>
        <w:tc>
          <w:tcPr>
            <w:tcW w:w="2008" w:type="dxa"/>
            <w:shd w:val="clear" w:color="auto" w:fill="auto"/>
          </w:tcPr>
          <w:p w14:paraId="10B5A2E1"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391 ± 5.50 a</w:t>
            </w:r>
            <w:r w:rsidR="00671451" w:rsidRPr="00327C93">
              <w:rPr>
                <w:rFonts w:ascii="Times New Roman" w:hAnsi="Times New Roman" w:cs="Times New Roman"/>
                <w:color w:val="auto"/>
                <w:sz w:val="24"/>
                <w:szCs w:val="24"/>
              </w:rPr>
              <w:t>b</w:t>
            </w:r>
          </w:p>
        </w:tc>
        <w:tc>
          <w:tcPr>
            <w:tcW w:w="1865" w:type="dxa"/>
            <w:shd w:val="clear" w:color="auto" w:fill="auto"/>
          </w:tcPr>
          <w:p w14:paraId="23363BED"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345 ± 17.09 a</w:t>
            </w:r>
          </w:p>
        </w:tc>
        <w:tc>
          <w:tcPr>
            <w:tcW w:w="1865" w:type="dxa"/>
            <w:shd w:val="clear" w:color="auto" w:fill="auto"/>
          </w:tcPr>
          <w:p w14:paraId="72A5B0B0"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325.33 ± 7.88 a</w:t>
            </w:r>
          </w:p>
        </w:tc>
        <w:tc>
          <w:tcPr>
            <w:tcW w:w="1971" w:type="dxa"/>
            <w:shd w:val="clear" w:color="auto" w:fill="auto"/>
          </w:tcPr>
          <w:p w14:paraId="5978359D" w14:textId="77777777" w:rsidR="00AC27F6" w:rsidRPr="00327C93" w:rsidRDefault="00AC27F6" w:rsidP="0032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276.33 ± 6.64 ab</w:t>
            </w:r>
          </w:p>
        </w:tc>
      </w:tr>
      <w:tr w:rsidR="00C74F86" w:rsidRPr="00327C93" w14:paraId="03490DE8" w14:textId="77777777" w:rsidTr="0028606D">
        <w:trPr>
          <w:trHeight w:val="168"/>
        </w:trPr>
        <w:tc>
          <w:tcPr>
            <w:cnfStyle w:val="001000000000" w:firstRow="0" w:lastRow="0" w:firstColumn="1" w:lastColumn="0" w:oddVBand="0" w:evenVBand="0" w:oddHBand="0" w:evenHBand="0" w:firstRowFirstColumn="0" w:firstRowLastColumn="0" w:lastRowFirstColumn="0" w:lastRowLastColumn="0"/>
            <w:tcW w:w="1545" w:type="dxa"/>
            <w:vMerge/>
            <w:shd w:val="clear" w:color="auto" w:fill="auto"/>
          </w:tcPr>
          <w:p w14:paraId="69F67FB7" w14:textId="77777777" w:rsidR="00AC27F6" w:rsidRPr="00327C93" w:rsidRDefault="00AC27F6" w:rsidP="00327C93">
            <w:pPr>
              <w:rPr>
                <w:rFonts w:ascii="Times New Roman" w:hAnsi="Times New Roman" w:cs="Times New Roman"/>
                <w:b w:val="0"/>
                <w:bCs w:val="0"/>
                <w:color w:val="auto"/>
                <w:sz w:val="24"/>
                <w:szCs w:val="24"/>
              </w:rPr>
            </w:pPr>
          </w:p>
        </w:tc>
        <w:tc>
          <w:tcPr>
            <w:tcW w:w="1865" w:type="dxa"/>
            <w:shd w:val="clear" w:color="auto" w:fill="auto"/>
          </w:tcPr>
          <w:p w14:paraId="308E6E6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hAnsi="Times New Roman" w:cs="Times New Roman"/>
                <w:b/>
                <w:bCs/>
                <w:color w:val="auto"/>
                <w:sz w:val="24"/>
                <w:szCs w:val="24"/>
              </w:rPr>
              <w:t>SNP (1.5 mM)</w:t>
            </w:r>
          </w:p>
        </w:tc>
        <w:tc>
          <w:tcPr>
            <w:tcW w:w="1864" w:type="dxa"/>
            <w:shd w:val="clear" w:color="auto" w:fill="auto"/>
          </w:tcPr>
          <w:p w14:paraId="632EB7AA"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471 ± 7.02 a</w:t>
            </w:r>
          </w:p>
        </w:tc>
        <w:tc>
          <w:tcPr>
            <w:tcW w:w="2009" w:type="dxa"/>
            <w:shd w:val="clear" w:color="auto" w:fill="auto"/>
          </w:tcPr>
          <w:p w14:paraId="1248E8D3"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439.66 ± 8.95 a</w:t>
            </w:r>
          </w:p>
        </w:tc>
        <w:tc>
          <w:tcPr>
            <w:tcW w:w="2008" w:type="dxa"/>
            <w:shd w:val="clear" w:color="auto" w:fill="auto"/>
          </w:tcPr>
          <w:p w14:paraId="1218A7FE"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392 ± 7.81 a</w:t>
            </w:r>
          </w:p>
        </w:tc>
        <w:tc>
          <w:tcPr>
            <w:tcW w:w="1865" w:type="dxa"/>
            <w:shd w:val="clear" w:color="auto" w:fill="auto"/>
          </w:tcPr>
          <w:p w14:paraId="56F17DBC"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352 ± 11.01 a</w:t>
            </w:r>
          </w:p>
        </w:tc>
        <w:tc>
          <w:tcPr>
            <w:tcW w:w="1865" w:type="dxa"/>
            <w:shd w:val="clear" w:color="auto" w:fill="auto"/>
          </w:tcPr>
          <w:p w14:paraId="0971738F"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323.66 ± 5.23 a</w:t>
            </w:r>
          </w:p>
        </w:tc>
        <w:tc>
          <w:tcPr>
            <w:tcW w:w="1971" w:type="dxa"/>
            <w:shd w:val="clear" w:color="auto" w:fill="auto"/>
          </w:tcPr>
          <w:p w14:paraId="606AFBC1" w14:textId="77777777" w:rsidR="00AC27F6" w:rsidRPr="00327C93" w:rsidRDefault="00AC27F6" w:rsidP="0032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27C93">
              <w:rPr>
                <w:rFonts w:ascii="Times New Roman" w:eastAsia="Times New Roman" w:hAnsi="Times New Roman" w:cs="Times New Roman"/>
                <w:color w:val="auto"/>
                <w:sz w:val="24"/>
                <w:szCs w:val="24"/>
              </w:rPr>
              <w:t>297.66 ± 6.35 a</w:t>
            </w:r>
          </w:p>
        </w:tc>
      </w:tr>
    </w:tbl>
    <w:p w14:paraId="24A73B40" w14:textId="05A1F165" w:rsidR="00C74F86" w:rsidRPr="00327C93" w:rsidRDefault="00675C72"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Table 2</w:t>
      </w:r>
      <w:r w:rsidR="00C74F86" w:rsidRPr="00327C93">
        <w:rPr>
          <w:rFonts w:ascii="Times New Roman" w:hAnsi="Times New Roman" w:cs="Times New Roman"/>
          <w:b/>
          <w:bCs/>
          <w:sz w:val="24"/>
          <w:szCs w:val="24"/>
        </w:rPr>
        <w:t>. Effect of sodium nitroprusside (SNP) on to</w:t>
      </w:r>
      <w:r w:rsidR="00C74F86" w:rsidRPr="00327C93">
        <w:rPr>
          <w:rFonts w:ascii="Times New Roman" w:hAnsi="Times New Roman" w:cs="Times New Roman"/>
          <w:sz w:val="24"/>
          <w:szCs w:val="24"/>
        </w:rPr>
        <w:t xml:space="preserve">tal </w:t>
      </w:r>
      <w:r w:rsidR="00C74F86" w:rsidRPr="00327C93">
        <w:rPr>
          <w:rFonts w:ascii="Times New Roman" w:hAnsi="Times New Roman" w:cs="Times New Roman"/>
          <w:b/>
          <w:bCs/>
          <w:sz w:val="24"/>
          <w:szCs w:val="24"/>
        </w:rPr>
        <w:t>soluble solids (%),</w:t>
      </w:r>
      <w:r w:rsidR="00C74F86" w:rsidRPr="00327C93">
        <w:rPr>
          <w:rFonts w:ascii="Times New Roman" w:hAnsi="Times New Roman" w:cs="Times New Roman"/>
          <w:b/>
          <w:sz w:val="24"/>
          <w:szCs w:val="24"/>
        </w:rPr>
        <w:t xml:space="preserve"> ascorbic acid content (mg/ 100 g) and </w:t>
      </w:r>
      <w:r w:rsidR="00C74F86" w:rsidRPr="00327C93">
        <w:rPr>
          <w:rFonts w:ascii="Times New Roman" w:hAnsi="Times New Roman" w:cs="Times New Roman"/>
          <w:b/>
          <w:bCs/>
          <w:sz w:val="24"/>
          <w:szCs w:val="24"/>
        </w:rPr>
        <w:t>total flavonoid content (mg CE/100g FW) of jamun fruit during storage at low temperature.</w:t>
      </w:r>
    </w:p>
    <w:p w14:paraId="3E98C20C" w14:textId="77777777" w:rsidR="00717810" w:rsidRPr="00327C93" w:rsidRDefault="00717810" w:rsidP="00327C93">
      <w:pPr>
        <w:spacing w:line="240" w:lineRule="auto"/>
        <w:rPr>
          <w:rFonts w:ascii="Times New Roman" w:hAnsi="Times New Roman" w:cs="Times New Roman"/>
          <w:b/>
          <w:bCs/>
          <w:sz w:val="24"/>
          <w:szCs w:val="24"/>
        </w:rPr>
      </w:pPr>
    </w:p>
    <w:p w14:paraId="05590EE5" w14:textId="77777777" w:rsidR="00717810" w:rsidRPr="00327C93" w:rsidRDefault="00717810" w:rsidP="00327C93">
      <w:pPr>
        <w:spacing w:line="240" w:lineRule="auto"/>
        <w:jc w:val="both"/>
        <w:rPr>
          <w:rFonts w:ascii="Times New Roman" w:hAnsi="Times New Roman" w:cs="Times New Roman"/>
          <w:b/>
          <w:bCs/>
          <w:sz w:val="24"/>
          <w:szCs w:val="24"/>
        </w:rPr>
        <w:sectPr w:rsidR="00717810" w:rsidRPr="00327C93" w:rsidSect="00717810">
          <w:pgSz w:w="16838" w:h="11906" w:orient="landscape"/>
          <w:pgMar w:top="1440" w:right="1440" w:bottom="1440" w:left="1440" w:header="708" w:footer="708" w:gutter="0"/>
          <w:cols w:space="708"/>
          <w:docGrid w:linePitch="360"/>
        </w:sectPr>
      </w:pPr>
    </w:p>
    <w:p w14:paraId="449D1413"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lastRenderedPageBreak/>
        <w:t>Total antioxidant capacity</w:t>
      </w:r>
      <w:r w:rsidR="00C76666" w:rsidRPr="00327C93">
        <w:rPr>
          <w:rFonts w:ascii="Times New Roman" w:hAnsi="Times New Roman" w:cs="Times New Roman"/>
          <w:b/>
          <w:bCs/>
          <w:sz w:val="24"/>
          <w:szCs w:val="24"/>
        </w:rPr>
        <w:t xml:space="preserve"> and Radical scavenging activity (DPPH)</w:t>
      </w:r>
    </w:p>
    <w:p w14:paraId="5917EF2C" w14:textId="50B231C9" w:rsidR="00675C72" w:rsidRPr="00327C93" w:rsidRDefault="00C76666" w:rsidP="00327C93">
      <w:pPr>
        <w:spacing w:before="240"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Assessing the antioxidant capacity of jamun fruit provides critical insights into its nutritional and health benefits, driven by anthocyanins, phenolics, flavonoids, and ascorbic acid. As depicted in Fig. </w:t>
      </w:r>
      <w:r w:rsidR="00965842" w:rsidRPr="00327C93">
        <w:rPr>
          <w:rFonts w:ascii="Times New Roman" w:hAnsi="Times New Roman" w:cs="Times New Roman"/>
          <w:sz w:val="24"/>
          <w:szCs w:val="24"/>
        </w:rPr>
        <w:t>4</w:t>
      </w:r>
      <w:r w:rsidRPr="00327C93">
        <w:rPr>
          <w:rFonts w:ascii="Times New Roman" w:hAnsi="Times New Roman" w:cs="Times New Roman"/>
          <w:sz w:val="24"/>
          <w:szCs w:val="24"/>
        </w:rPr>
        <w:t>, total antioxidant capacity declined progressively during storage across all treatments. Up to 10 days, antioxidant levels in treated and control fruits were similar. By day 15, fruits treated with 1.0 mM and 1.5 mM SNP showed significantly higher antioxidant capacity than those with 0.5 mM SNP or untreated, with 1.5 mM SNP maintaining the highest levels thereafter. At the storage end, 1.5 mM SNP-treated fruits achieved the highest antioxidant capacity (6.65 mg TE/100 g FW), not significantly different from 1.0 mM SNP (6.39 mg TE/100 g FW).</w:t>
      </w:r>
    </w:p>
    <w:p w14:paraId="063F55C3" w14:textId="04D09773" w:rsidR="00C76666" w:rsidRPr="00327C93" w:rsidRDefault="00C76666" w:rsidP="00327C93">
      <w:pPr>
        <w:spacing w:before="240"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Jamun fruit treated with 1.5 mM SNP exhibited significantly higher antioxidant capacity throughout storage compared to controls, likely due to delayed senescence, which preserved phenolic compounds, flavonoids, and ascorbic acid. Similar findings in persimmon (</w:t>
      </w:r>
      <w:proofErr w:type="spellStart"/>
      <w:r w:rsidRPr="00327C93">
        <w:rPr>
          <w:rFonts w:ascii="Times New Roman" w:hAnsi="Times New Roman" w:cs="Times New Roman"/>
          <w:sz w:val="24"/>
          <w:szCs w:val="24"/>
        </w:rPr>
        <w:t>Shahkoomahally</w:t>
      </w:r>
      <w:proofErr w:type="spellEnd"/>
      <w:r w:rsidRPr="00327C93">
        <w:rPr>
          <w:rFonts w:ascii="Times New Roman" w:hAnsi="Times New Roman" w:cs="Times New Roman"/>
          <w:sz w:val="24"/>
          <w:szCs w:val="24"/>
        </w:rPr>
        <w:t xml:space="preserve">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2015) and mango (Zaharah and Singh, 2011; Barman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xml:space="preserve">., 2014) link high antioxidant capacity to better retention of these compounds. The progressive decline in antioxidant capacity during storage correlates with reduced levels of phenolics, flavonoids, anthocyanins, and ascorbic acid (Barman </w:t>
      </w:r>
      <w:r w:rsidR="0004375A" w:rsidRPr="0004375A">
        <w:rPr>
          <w:rFonts w:ascii="Times New Roman" w:hAnsi="Times New Roman" w:cs="Times New Roman"/>
          <w:i/>
          <w:iCs/>
          <w:sz w:val="24"/>
          <w:szCs w:val="24"/>
        </w:rPr>
        <w:t>et al</w:t>
      </w:r>
      <w:r w:rsidRPr="00327C93">
        <w:rPr>
          <w:rFonts w:ascii="Times New Roman" w:hAnsi="Times New Roman" w:cs="Times New Roman"/>
          <w:sz w:val="24"/>
          <w:szCs w:val="24"/>
        </w:rPr>
        <w:t>., 2014).</w:t>
      </w:r>
    </w:p>
    <w:p w14:paraId="46C9C719" w14:textId="77777777" w:rsidR="00675C72" w:rsidRPr="00327C93" w:rsidRDefault="00CE51A5" w:rsidP="00327C93">
      <w:pPr>
        <w:spacing w:before="240" w:line="240" w:lineRule="auto"/>
        <w:jc w:val="both"/>
        <w:rPr>
          <w:rFonts w:ascii="Times New Roman" w:hAnsi="Times New Roman" w:cs="Times New Roman"/>
          <w:b/>
          <w:bCs/>
          <w:sz w:val="24"/>
          <w:szCs w:val="24"/>
        </w:rPr>
      </w:pPr>
      <w:r w:rsidRPr="00327C93">
        <w:rPr>
          <w:rFonts w:ascii="Times New Roman" w:hAnsi="Times New Roman" w:cs="Times New Roman"/>
          <w:b/>
          <w:bCs/>
          <w:noProof/>
          <w:sz w:val="24"/>
          <w:szCs w:val="24"/>
        </w:rPr>
        <w:drawing>
          <wp:inline distT="0" distB="0" distL="0" distR="0" wp14:anchorId="3334459C" wp14:editId="775F3986">
            <wp:extent cx="5705475" cy="3181350"/>
            <wp:effectExtent l="19050" t="0" r="9525" b="0"/>
            <wp:docPr id="5" name="Picture 4"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5"/>
                    <a:stretch>
                      <a:fillRect/>
                    </a:stretch>
                  </pic:blipFill>
                  <pic:spPr>
                    <a:xfrm>
                      <a:off x="0" y="0"/>
                      <a:ext cx="5705475" cy="3181350"/>
                    </a:xfrm>
                    <a:prstGeom prst="rect">
                      <a:avLst/>
                    </a:prstGeom>
                  </pic:spPr>
                </pic:pic>
              </a:graphicData>
            </a:graphic>
          </wp:inline>
        </w:drawing>
      </w:r>
    </w:p>
    <w:p w14:paraId="45E7D8D5" w14:textId="55E2C13F" w:rsidR="00C76666" w:rsidRPr="00327C93" w:rsidRDefault="00C76666"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Fig.</w:t>
      </w:r>
      <w:r w:rsidR="00F756F3" w:rsidRPr="00327C93">
        <w:rPr>
          <w:rFonts w:ascii="Times New Roman" w:hAnsi="Times New Roman" w:cs="Times New Roman"/>
          <w:b/>
          <w:bCs/>
          <w:sz w:val="24"/>
          <w:szCs w:val="24"/>
        </w:rPr>
        <w:t xml:space="preserve"> </w:t>
      </w:r>
      <w:r w:rsidR="00965842" w:rsidRPr="00327C93">
        <w:rPr>
          <w:rFonts w:ascii="Times New Roman" w:hAnsi="Times New Roman" w:cs="Times New Roman"/>
          <w:b/>
          <w:bCs/>
          <w:sz w:val="24"/>
          <w:szCs w:val="24"/>
        </w:rPr>
        <w:t>4</w:t>
      </w:r>
      <w:r w:rsidRPr="00327C93">
        <w:rPr>
          <w:rFonts w:ascii="Times New Roman" w:hAnsi="Times New Roman" w:cs="Times New Roman"/>
          <w:b/>
          <w:bCs/>
          <w:sz w:val="24"/>
          <w:szCs w:val="24"/>
        </w:rPr>
        <w:t xml:space="preserve">. Effect of sodium nitroprusside (SNP) on </w:t>
      </w:r>
      <w:r w:rsidR="00CE51A5" w:rsidRPr="00327C93">
        <w:rPr>
          <w:rFonts w:ascii="Times New Roman" w:hAnsi="Times New Roman" w:cs="Times New Roman"/>
          <w:b/>
          <w:bCs/>
          <w:sz w:val="24"/>
          <w:szCs w:val="24"/>
        </w:rPr>
        <w:t>total antioxidant capacity (mg T</w:t>
      </w:r>
      <w:r w:rsidRPr="00327C93">
        <w:rPr>
          <w:rFonts w:ascii="Times New Roman" w:hAnsi="Times New Roman" w:cs="Times New Roman"/>
          <w:b/>
          <w:bCs/>
          <w:sz w:val="24"/>
          <w:szCs w:val="24"/>
        </w:rPr>
        <w:t>E/100gFW) of jamun fruit during storage at low temperature.</w:t>
      </w:r>
    </w:p>
    <w:p w14:paraId="6A76398B" w14:textId="77777777" w:rsidR="0054523B"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Conclusion</w:t>
      </w:r>
    </w:p>
    <w:p w14:paraId="548A855A" w14:textId="71A7DFD3" w:rsidR="00655EED" w:rsidRDefault="00655EED" w:rsidP="00327C93">
      <w:pPr>
        <w:spacing w:line="240" w:lineRule="auto"/>
        <w:ind w:firstLine="720"/>
        <w:jc w:val="both"/>
        <w:rPr>
          <w:rFonts w:ascii="Times New Roman" w:hAnsi="Times New Roman" w:cs="Times New Roman"/>
          <w:sz w:val="24"/>
          <w:szCs w:val="24"/>
        </w:rPr>
      </w:pPr>
      <w:r w:rsidRPr="00327C93">
        <w:rPr>
          <w:rFonts w:ascii="Times New Roman" w:hAnsi="Times New Roman" w:cs="Times New Roman"/>
          <w:sz w:val="24"/>
          <w:szCs w:val="24"/>
        </w:rPr>
        <w:t xml:space="preserve">This study, titled “Effect of Sodium Nitroprusside Treatments on Postharvest Quality and Storage Life of Jamun,” was conducted under low-temperature storage conditions. The findings demonstrate that postharvest application of sodium nitroprusside (SNP) effectively preserved jamun fruit quality and extended shelf life. Among the concentrations tested (0.5, 1.0, and 1.5 mM), 1.5 mM SNP proved most effective, significantly reducing weight loss and decomposition while enhancing total soluble solids, ascorbic acid, titratable acidity, and bioactive compounds such as anthocyanins, phenols, flavonoids, and antioxidant capacity. </w:t>
      </w:r>
      <w:r w:rsidRPr="00327C93">
        <w:rPr>
          <w:rFonts w:ascii="Times New Roman" w:hAnsi="Times New Roman" w:cs="Times New Roman"/>
          <w:sz w:val="24"/>
          <w:szCs w:val="24"/>
        </w:rPr>
        <w:lastRenderedPageBreak/>
        <w:t>Overall, 1.5 mM SNP emerged as the optimal concentration for maintaining postharvest quality and extending the storage duration of jamun fruit.</w:t>
      </w:r>
    </w:p>
    <w:p w14:paraId="23544DD5" w14:textId="77777777" w:rsidR="001D004A" w:rsidRPr="00510DE5" w:rsidRDefault="001D004A" w:rsidP="001D004A">
      <w:pPr>
        <w:rPr>
          <w:rFonts w:ascii="Calibri" w:eastAsia="Calibri" w:hAnsi="Calibri" w:cs="Times New Roman"/>
          <w:b/>
          <w:bCs/>
          <w:kern w:val="2"/>
        </w:rPr>
      </w:pPr>
      <w:bookmarkStart w:id="0" w:name="_Hlk193540946"/>
      <w:bookmarkStart w:id="1" w:name="_Hlk180402183"/>
      <w:bookmarkStart w:id="2" w:name="_Hlk183680988"/>
      <w:r w:rsidRPr="00510DE5">
        <w:rPr>
          <w:rFonts w:ascii="Calibri" w:eastAsia="Calibri" w:hAnsi="Calibri" w:cs="Times New Roman"/>
          <w:b/>
          <w:bCs/>
          <w:kern w:val="2"/>
        </w:rPr>
        <w:t>Disclaimer (Artificial intelligence)</w:t>
      </w:r>
    </w:p>
    <w:p w14:paraId="06C69F66" w14:textId="77777777" w:rsidR="001D004A" w:rsidRPr="00AB51FC" w:rsidRDefault="001D004A" w:rsidP="00AB51FC">
      <w:pPr>
        <w:jc w:val="both"/>
        <w:rPr>
          <w:rFonts w:ascii="Calibri" w:eastAsia="Calibri" w:hAnsi="Calibri" w:cs="Times New Roman"/>
          <w:kern w:val="2"/>
        </w:rPr>
      </w:pPr>
      <w:r w:rsidRPr="00AB51FC">
        <w:rPr>
          <w:rFonts w:ascii="Calibri" w:eastAsia="Calibri" w:hAnsi="Calibri" w:cs="Times New Roman"/>
          <w:kern w:val="2"/>
        </w:rPr>
        <w:t xml:space="preserve">Author(s) hereby </w:t>
      </w:r>
      <w:proofErr w:type="gramStart"/>
      <w:r w:rsidRPr="00AB51FC">
        <w:rPr>
          <w:rFonts w:ascii="Calibri" w:eastAsia="Calibri" w:hAnsi="Calibri" w:cs="Times New Roman"/>
          <w:kern w:val="2"/>
        </w:rPr>
        <w:t>declare</w:t>
      </w:r>
      <w:proofErr w:type="gramEnd"/>
      <w:r w:rsidRPr="00AB51FC">
        <w:rPr>
          <w:rFonts w:ascii="Calibri" w:eastAsia="Calibri" w:hAnsi="Calibri" w:cs="Times New Roman"/>
          <w:kern w:val="2"/>
        </w:rPr>
        <w:t xml:space="preserve"> that NO generative AI technologies such as Large Language Models (ChatGPT, COPILOT, etc.) and text-to-image generators have been used during the writing or editing of this manuscript. </w:t>
      </w:r>
    </w:p>
    <w:bookmarkEnd w:id="0"/>
    <w:bookmarkEnd w:id="1"/>
    <w:bookmarkEnd w:id="2"/>
    <w:p w14:paraId="5042877B" w14:textId="77777777" w:rsidR="001D004A" w:rsidRPr="00327C93" w:rsidRDefault="001D004A" w:rsidP="00AB51FC">
      <w:pPr>
        <w:spacing w:line="240" w:lineRule="auto"/>
        <w:ind w:firstLine="720"/>
        <w:rPr>
          <w:rFonts w:ascii="Times New Roman" w:hAnsi="Times New Roman" w:cs="Times New Roman"/>
          <w:sz w:val="24"/>
          <w:szCs w:val="24"/>
        </w:rPr>
      </w:pPr>
    </w:p>
    <w:p w14:paraId="612AB133" w14:textId="77777777" w:rsidR="00A31A5E" w:rsidRPr="00327C93" w:rsidRDefault="0054523B" w:rsidP="00327C93">
      <w:pPr>
        <w:spacing w:line="240" w:lineRule="auto"/>
        <w:jc w:val="both"/>
        <w:rPr>
          <w:rFonts w:ascii="Times New Roman" w:hAnsi="Times New Roman" w:cs="Times New Roman"/>
          <w:b/>
          <w:bCs/>
          <w:sz w:val="24"/>
          <w:szCs w:val="24"/>
        </w:rPr>
      </w:pPr>
      <w:r w:rsidRPr="00327C93">
        <w:rPr>
          <w:rFonts w:ascii="Times New Roman" w:hAnsi="Times New Roman" w:cs="Times New Roman"/>
          <w:b/>
          <w:bCs/>
          <w:sz w:val="24"/>
          <w:szCs w:val="24"/>
        </w:rPr>
        <w:t>References</w:t>
      </w:r>
    </w:p>
    <w:p w14:paraId="3DDCD3C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Ahmadi-</w:t>
      </w:r>
      <w:proofErr w:type="spellStart"/>
      <w:r w:rsidRPr="00327C93">
        <w:rPr>
          <w:rFonts w:ascii="Times New Roman" w:hAnsi="Times New Roman" w:cs="Times New Roman"/>
          <w:sz w:val="24"/>
          <w:szCs w:val="24"/>
        </w:rPr>
        <w:t>Motamayel</w:t>
      </w:r>
      <w:proofErr w:type="spellEnd"/>
      <w:r w:rsidRPr="00327C93">
        <w:rPr>
          <w:rFonts w:ascii="Times New Roman" w:hAnsi="Times New Roman" w:cs="Times New Roman"/>
          <w:sz w:val="24"/>
          <w:szCs w:val="24"/>
        </w:rPr>
        <w:t>, F., Hendi, S. S. and Goodarzi, M. T. (2020). Evaluation of Salivary Lipid Peroxidation End Product Level in Dental Caries. </w:t>
      </w:r>
      <w:r w:rsidRPr="00327C93">
        <w:rPr>
          <w:rFonts w:ascii="Times New Roman" w:hAnsi="Times New Roman" w:cs="Times New Roman"/>
          <w:i/>
          <w:iCs/>
          <w:sz w:val="24"/>
          <w:szCs w:val="24"/>
        </w:rPr>
        <w:t>Infectious Disorders - Drug Targets</w:t>
      </w:r>
      <w:r w:rsidRPr="00327C93">
        <w:rPr>
          <w:rFonts w:ascii="Times New Roman" w:hAnsi="Times New Roman" w:cs="Times New Roman"/>
          <w:sz w:val="24"/>
          <w:szCs w:val="24"/>
        </w:rPr>
        <w:t>, </w:t>
      </w:r>
      <w:r w:rsidRPr="00327C93">
        <w:rPr>
          <w:rFonts w:ascii="Times New Roman" w:hAnsi="Times New Roman" w:cs="Times New Roman"/>
          <w:i/>
          <w:iCs/>
          <w:sz w:val="24"/>
          <w:szCs w:val="24"/>
        </w:rPr>
        <w:t>20</w:t>
      </w:r>
      <w:r w:rsidRPr="00327C93">
        <w:rPr>
          <w:rFonts w:ascii="Times New Roman" w:hAnsi="Times New Roman" w:cs="Times New Roman"/>
          <w:sz w:val="24"/>
          <w:szCs w:val="24"/>
        </w:rPr>
        <w:t>(1), 65–68.</w:t>
      </w:r>
    </w:p>
    <w:p w14:paraId="5BB4985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 xml:space="preserve">Apak, R., Güçlü, K., </w:t>
      </w:r>
      <w:proofErr w:type="spellStart"/>
      <w:r w:rsidRPr="00327C93">
        <w:rPr>
          <w:rFonts w:ascii="Times New Roman" w:hAnsi="Times New Roman" w:cs="Times New Roman"/>
          <w:sz w:val="24"/>
          <w:szCs w:val="24"/>
          <w:shd w:val="clear" w:color="auto" w:fill="FFFFFF"/>
        </w:rPr>
        <w:t>Özyürek</w:t>
      </w:r>
      <w:proofErr w:type="spellEnd"/>
      <w:r w:rsidRPr="00327C93">
        <w:rPr>
          <w:rFonts w:ascii="Times New Roman" w:hAnsi="Times New Roman" w:cs="Times New Roman"/>
          <w:sz w:val="24"/>
          <w:szCs w:val="24"/>
          <w:shd w:val="clear" w:color="auto" w:fill="FFFFFF"/>
        </w:rPr>
        <w:t>, M., &amp; Çelik, S. E. (2008). Mechanism of antioxidant capacity assays and the CUPRAC (cupric ion reducing antioxidant capacity) assay. </w:t>
      </w:r>
      <w:proofErr w:type="spellStart"/>
      <w:r w:rsidRPr="00327C93">
        <w:rPr>
          <w:rFonts w:ascii="Times New Roman" w:hAnsi="Times New Roman" w:cs="Times New Roman"/>
          <w:i/>
          <w:iCs/>
          <w:sz w:val="24"/>
          <w:szCs w:val="24"/>
          <w:shd w:val="clear" w:color="auto" w:fill="FFFFFF"/>
        </w:rPr>
        <w:t>Microchimica</w:t>
      </w:r>
      <w:proofErr w:type="spellEnd"/>
      <w:r w:rsidRPr="00327C93">
        <w:rPr>
          <w:rFonts w:ascii="Times New Roman" w:hAnsi="Times New Roman" w:cs="Times New Roman"/>
          <w:i/>
          <w:iCs/>
          <w:sz w:val="24"/>
          <w:szCs w:val="24"/>
          <w:shd w:val="clear" w:color="auto" w:fill="FFFFFF"/>
        </w:rPr>
        <w:t xml:space="preserve"> acta</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160</w:t>
      </w:r>
      <w:r w:rsidRPr="00327C93">
        <w:rPr>
          <w:rFonts w:ascii="Times New Roman" w:hAnsi="Times New Roman" w:cs="Times New Roman"/>
          <w:sz w:val="24"/>
          <w:szCs w:val="24"/>
          <w:shd w:val="clear" w:color="auto" w:fill="FFFFFF"/>
        </w:rPr>
        <w:t>, 413-419.</w:t>
      </w:r>
    </w:p>
    <w:p w14:paraId="3A44F36F"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Ayar, K., Singh, S. and Chavda, J. C. (2011). Effect of post harvest treatments on quality </w:t>
      </w:r>
      <w:proofErr w:type="spellStart"/>
      <w:r w:rsidRPr="00327C93">
        <w:rPr>
          <w:rFonts w:ascii="Times New Roman" w:hAnsi="Times New Roman" w:cs="Times New Roman"/>
          <w:sz w:val="24"/>
          <w:szCs w:val="24"/>
        </w:rPr>
        <w:t>ofjamun</w:t>
      </w:r>
      <w:proofErr w:type="spellEnd"/>
      <w:r w:rsidRPr="00327C93">
        <w:rPr>
          <w:rFonts w:ascii="Times New Roman" w:hAnsi="Times New Roman" w:cs="Times New Roman"/>
          <w:sz w:val="24"/>
          <w:szCs w:val="24"/>
        </w:rPr>
        <w:t xml:space="preserve"> (</w:t>
      </w:r>
      <w:proofErr w:type="spellStart"/>
      <w:r w:rsidRPr="00327C93">
        <w:rPr>
          <w:rFonts w:ascii="Times New Roman" w:hAnsi="Times New Roman" w:cs="Times New Roman"/>
          <w:i/>
          <w:iCs/>
          <w:sz w:val="24"/>
          <w:szCs w:val="24"/>
        </w:rPr>
        <w:t>Syzygiumcuminii</w:t>
      </w:r>
      <w:proofErr w:type="spellEnd"/>
      <w:r w:rsidRPr="00327C93">
        <w:rPr>
          <w:rFonts w:ascii="Times New Roman" w:hAnsi="Times New Roman" w:cs="Times New Roman"/>
          <w:sz w:val="24"/>
          <w:szCs w:val="24"/>
        </w:rPr>
        <w:t> skeels) fruits during storage. </w:t>
      </w:r>
      <w:r w:rsidRPr="00327C93">
        <w:rPr>
          <w:rFonts w:ascii="Times New Roman" w:hAnsi="Times New Roman" w:cs="Times New Roman"/>
          <w:i/>
          <w:iCs/>
          <w:sz w:val="24"/>
          <w:szCs w:val="24"/>
        </w:rPr>
        <w:t xml:space="preserve">The Asian Journal </w:t>
      </w:r>
      <w:proofErr w:type="spellStart"/>
      <w:r w:rsidRPr="00327C93">
        <w:rPr>
          <w:rFonts w:ascii="Times New Roman" w:hAnsi="Times New Roman" w:cs="Times New Roman"/>
          <w:i/>
          <w:iCs/>
          <w:sz w:val="24"/>
          <w:szCs w:val="24"/>
        </w:rPr>
        <w:t>ofHorticulture</w:t>
      </w:r>
      <w:proofErr w:type="spellEnd"/>
      <w:r w:rsidRPr="00327C93">
        <w:rPr>
          <w:rFonts w:ascii="Times New Roman" w:hAnsi="Times New Roman" w:cs="Times New Roman"/>
          <w:sz w:val="24"/>
          <w:szCs w:val="24"/>
        </w:rPr>
        <w:t>, 6(2), 297–299.</w:t>
      </w:r>
    </w:p>
    <w:p w14:paraId="023BBB2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Baraiya, N. S., Rao, T. V. R. and Thakkar, V. R. (2015). Improvement of postharvest </w:t>
      </w:r>
      <w:proofErr w:type="spellStart"/>
      <w:r w:rsidRPr="00327C93">
        <w:rPr>
          <w:rFonts w:ascii="Times New Roman" w:hAnsi="Times New Roman" w:cs="Times New Roman"/>
          <w:sz w:val="24"/>
          <w:szCs w:val="24"/>
        </w:rPr>
        <w:t>qualityand</w:t>
      </w:r>
      <w:proofErr w:type="spellEnd"/>
      <w:r w:rsidRPr="00327C93">
        <w:rPr>
          <w:rFonts w:ascii="Times New Roman" w:hAnsi="Times New Roman" w:cs="Times New Roman"/>
          <w:sz w:val="24"/>
          <w:szCs w:val="24"/>
        </w:rPr>
        <w:t xml:space="preserve"> storability of jamun fruit (</w:t>
      </w:r>
      <w:proofErr w:type="spellStart"/>
      <w:r w:rsidRPr="00327C93">
        <w:rPr>
          <w:rFonts w:ascii="Times New Roman" w:hAnsi="Times New Roman" w:cs="Times New Roman"/>
          <w:i/>
          <w:iCs/>
          <w:sz w:val="24"/>
          <w:szCs w:val="24"/>
        </w:rPr>
        <w:t>Syzygiumcumini</w:t>
      </w:r>
      <w:proofErr w:type="spellEnd"/>
      <w:r w:rsidRPr="00327C93">
        <w:rPr>
          <w:rFonts w:ascii="Times New Roman" w:hAnsi="Times New Roman" w:cs="Times New Roman"/>
          <w:sz w:val="24"/>
          <w:szCs w:val="24"/>
        </w:rPr>
        <w:t xml:space="preserve"> L. var. Paras) by zein coating enriched </w:t>
      </w:r>
      <w:proofErr w:type="spellStart"/>
      <w:r w:rsidRPr="00327C93">
        <w:rPr>
          <w:rFonts w:ascii="Times New Roman" w:hAnsi="Times New Roman" w:cs="Times New Roman"/>
          <w:sz w:val="24"/>
          <w:szCs w:val="24"/>
        </w:rPr>
        <w:t>withantioxidants</w:t>
      </w:r>
      <w:proofErr w:type="spellEnd"/>
      <w:r w:rsidRPr="00327C93">
        <w:rPr>
          <w:rFonts w:ascii="Times New Roman" w:hAnsi="Times New Roman" w:cs="Times New Roman"/>
          <w:sz w:val="24"/>
          <w:szCs w:val="24"/>
        </w:rPr>
        <w:t>. </w:t>
      </w:r>
      <w:r w:rsidRPr="00327C93">
        <w:rPr>
          <w:rFonts w:ascii="Times New Roman" w:hAnsi="Times New Roman" w:cs="Times New Roman"/>
          <w:i/>
          <w:iCs/>
          <w:sz w:val="24"/>
          <w:szCs w:val="24"/>
        </w:rPr>
        <w:t>Food and Bioprocess Technology</w:t>
      </w:r>
      <w:r w:rsidRPr="00327C93">
        <w:rPr>
          <w:rFonts w:ascii="Times New Roman" w:hAnsi="Times New Roman" w:cs="Times New Roman"/>
          <w:sz w:val="24"/>
          <w:szCs w:val="24"/>
        </w:rPr>
        <w:t>, 8(11), 2225-2234.</w:t>
      </w:r>
    </w:p>
    <w:p w14:paraId="488761C4"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Barman K, Siddiqui MW, Patel VB, Prasad M (2014) Nitric oxide reduces pericarp browning and preserves bioactive antioxidants in litchi. Sci </w:t>
      </w:r>
      <w:proofErr w:type="spellStart"/>
      <w:r w:rsidRPr="00327C93">
        <w:rPr>
          <w:rFonts w:ascii="Times New Roman" w:hAnsi="Times New Roman" w:cs="Times New Roman"/>
          <w:sz w:val="24"/>
          <w:szCs w:val="24"/>
        </w:rPr>
        <w:t>Hortic</w:t>
      </w:r>
      <w:proofErr w:type="spellEnd"/>
      <w:r w:rsidRPr="00327C93">
        <w:rPr>
          <w:rFonts w:ascii="Times New Roman" w:hAnsi="Times New Roman" w:cs="Times New Roman"/>
          <w:sz w:val="24"/>
          <w:szCs w:val="24"/>
        </w:rPr>
        <w:t xml:space="preserve"> 171:71–77</w:t>
      </w:r>
    </w:p>
    <w:p w14:paraId="0CBE888E"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de Carvalho Tavares IM, Lago-</w:t>
      </w:r>
      <w:proofErr w:type="spellStart"/>
      <w:r w:rsidRPr="00327C93">
        <w:rPr>
          <w:rFonts w:ascii="Times New Roman" w:hAnsi="Times New Roman" w:cs="Times New Roman"/>
          <w:sz w:val="24"/>
          <w:szCs w:val="24"/>
        </w:rPr>
        <w:t>Vanzela</w:t>
      </w:r>
      <w:proofErr w:type="spellEnd"/>
      <w:r w:rsidRPr="00327C93">
        <w:rPr>
          <w:rFonts w:ascii="Times New Roman" w:hAnsi="Times New Roman" w:cs="Times New Roman"/>
          <w:sz w:val="24"/>
          <w:szCs w:val="24"/>
        </w:rPr>
        <w:t xml:space="preserve"> ES, Rebello LPG, Ramos AM, Gómez-Alonso S, García-Romero E, Da-Silva R, </w:t>
      </w:r>
      <w:proofErr w:type="spellStart"/>
      <w:r w:rsidRPr="00327C93">
        <w:rPr>
          <w:rFonts w:ascii="Times New Roman" w:hAnsi="Times New Roman" w:cs="Times New Roman"/>
          <w:sz w:val="24"/>
          <w:szCs w:val="24"/>
        </w:rPr>
        <w:t>HermosínGutiérrez</w:t>
      </w:r>
      <w:proofErr w:type="spellEnd"/>
      <w:r w:rsidRPr="00327C93">
        <w:rPr>
          <w:rFonts w:ascii="Times New Roman" w:hAnsi="Times New Roman" w:cs="Times New Roman"/>
          <w:sz w:val="24"/>
          <w:szCs w:val="24"/>
        </w:rPr>
        <w:t xml:space="preserve"> I (2016) Comprehensive study of the phenolic composition of the edible parts of </w:t>
      </w:r>
      <w:proofErr w:type="spellStart"/>
      <w:r w:rsidRPr="00327C93">
        <w:rPr>
          <w:rFonts w:ascii="Times New Roman" w:hAnsi="Times New Roman" w:cs="Times New Roman"/>
          <w:sz w:val="24"/>
          <w:szCs w:val="24"/>
        </w:rPr>
        <w:t>jambolan</w:t>
      </w:r>
      <w:proofErr w:type="spellEnd"/>
      <w:r w:rsidRPr="00327C93">
        <w:rPr>
          <w:rFonts w:ascii="Times New Roman" w:hAnsi="Times New Roman" w:cs="Times New Roman"/>
          <w:sz w:val="24"/>
          <w:szCs w:val="24"/>
        </w:rPr>
        <w:t xml:space="preserve"> fruit (</w:t>
      </w:r>
      <w:proofErr w:type="spellStart"/>
      <w:r w:rsidRPr="00327C93">
        <w:rPr>
          <w:rFonts w:ascii="Times New Roman" w:hAnsi="Times New Roman" w:cs="Times New Roman"/>
          <w:sz w:val="24"/>
          <w:szCs w:val="24"/>
        </w:rPr>
        <w:t>Syzygium</w:t>
      </w:r>
      <w:proofErr w:type="spellEnd"/>
      <w:r w:rsidRPr="00327C93">
        <w:rPr>
          <w:rFonts w:ascii="Times New Roman" w:hAnsi="Times New Roman" w:cs="Times New Roman"/>
          <w:sz w:val="24"/>
          <w:szCs w:val="24"/>
        </w:rPr>
        <w:t xml:space="preserve"> </w:t>
      </w:r>
      <w:proofErr w:type="spellStart"/>
      <w:r w:rsidRPr="00327C93">
        <w:rPr>
          <w:rFonts w:ascii="Times New Roman" w:hAnsi="Times New Roman" w:cs="Times New Roman"/>
          <w:sz w:val="24"/>
          <w:szCs w:val="24"/>
        </w:rPr>
        <w:t>cumini</w:t>
      </w:r>
      <w:proofErr w:type="spellEnd"/>
      <w:r w:rsidRPr="00327C93">
        <w:rPr>
          <w:rFonts w:ascii="Times New Roman" w:hAnsi="Times New Roman" w:cs="Times New Roman"/>
          <w:sz w:val="24"/>
          <w:szCs w:val="24"/>
        </w:rPr>
        <w:t xml:space="preserve"> (L.) Skeels). Food Res Int 82:1–13</w:t>
      </w:r>
    </w:p>
    <w:p w14:paraId="04896CBB" w14:textId="77777777" w:rsidR="00327C93" w:rsidRPr="00327C93" w:rsidRDefault="00327C93" w:rsidP="00327C93">
      <w:pPr>
        <w:spacing w:line="240" w:lineRule="auto"/>
        <w:jc w:val="both"/>
        <w:rPr>
          <w:rFonts w:ascii="Times New Roman" w:hAnsi="Times New Roman" w:cs="Times New Roman"/>
          <w:sz w:val="24"/>
          <w:szCs w:val="24"/>
          <w:shd w:val="clear" w:color="auto" w:fill="FFFFFF"/>
        </w:rPr>
      </w:pPr>
      <w:r w:rsidRPr="00327C93">
        <w:rPr>
          <w:rFonts w:ascii="Times New Roman" w:hAnsi="Times New Roman" w:cs="Times New Roman"/>
          <w:sz w:val="24"/>
          <w:szCs w:val="24"/>
          <w:shd w:val="clear" w:color="auto" w:fill="FFFFFF"/>
        </w:rPr>
        <w:t xml:space="preserve">Dixon, R. A., Harrison, M. J., &amp; Paiva, N. L. (1995). The </w:t>
      </w:r>
      <w:proofErr w:type="spellStart"/>
      <w:r w:rsidRPr="00327C93">
        <w:rPr>
          <w:rFonts w:ascii="Times New Roman" w:hAnsi="Times New Roman" w:cs="Times New Roman"/>
          <w:sz w:val="24"/>
          <w:szCs w:val="24"/>
          <w:shd w:val="clear" w:color="auto" w:fill="FFFFFF"/>
        </w:rPr>
        <w:t>isoflavonoid</w:t>
      </w:r>
      <w:proofErr w:type="spellEnd"/>
      <w:r w:rsidRPr="00327C93">
        <w:rPr>
          <w:rFonts w:ascii="Times New Roman" w:hAnsi="Times New Roman" w:cs="Times New Roman"/>
          <w:sz w:val="24"/>
          <w:szCs w:val="24"/>
          <w:shd w:val="clear" w:color="auto" w:fill="FFFFFF"/>
        </w:rPr>
        <w:t xml:space="preserve"> phytoalexin pathway: from enzymes to genes to transcription factors. </w:t>
      </w:r>
      <w:proofErr w:type="spellStart"/>
      <w:r w:rsidRPr="00327C93">
        <w:rPr>
          <w:rFonts w:ascii="Times New Roman" w:hAnsi="Times New Roman" w:cs="Times New Roman"/>
          <w:i/>
          <w:iCs/>
          <w:sz w:val="24"/>
          <w:szCs w:val="24"/>
          <w:shd w:val="clear" w:color="auto" w:fill="FFFFFF"/>
        </w:rPr>
        <w:t>Physiologia</w:t>
      </w:r>
      <w:proofErr w:type="spellEnd"/>
      <w:r w:rsidRPr="00327C93">
        <w:rPr>
          <w:rFonts w:ascii="Times New Roman" w:hAnsi="Times New Roman" w:cs="Times New Roman"/>
          <w:i/>
          <w:iCs/>
          <w:sz w:val="24"/>
          <w:szCs w:val="24"/>
          <w:shd w:val="clear" w:color="auto" w:fill="FFFFFF"/>
        </w:rPr>
        <w:t xml:space="preserve"> Plantarum</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93</w:t>
      </w:r>
      <w:r w:rsidRPr="00327C93">
        <w:rPr>
          <w:rFonts w:ascii="Times New Roman" w:hAnsi="Times New Roman" w:cs="Times New Roman"/>
          <w:sz w:val="24"/>
          <w:szCs w:val="24"/>
          <w:shd w:val="clear" w:color="auto" w:fill="FFFFFF"/>
        </w:rPr>
        <w:t>(2), 385-392.</w:t>
      </w:r>
    </w:p>
    <w:p w14:paraId="271CFDCE" w14:textId="77777777" w:rsidR="00327C93" w:rsidRPr="00327C93" w:rsidRDefault="00327C93" w:rsidP="00327C93">
      <w:pPr>
        <w:spacing w:line="240" w:lineRule="auto"/>
        <w:jc w:val="both"/>
        <w:rPr>
          <w:rFonts w:ascii="Times New Roman" w:hAnsi="Times New Roman" w:cs="Times New Roman"/>
          <w:sz w:val="24"/>
          <w:szCs w:val="24"/>
          <w:shd w:val="clear" w:color="auto" w:fill="FFFFFF"/>
        </w:rPr>
      </w:pPr>
      <w:r w:rsidRPr="00327C93">
        <w:rPr>
          <w:rFonts w:ascii="Times New Roman" w:hAnsi="Times New Roman" w:cs="Times New Roman"/>
          <w:sz w:val="24"/>
          <w:szCs w:val="24"/>
        </w:rPr>
        <w:t xml:space="preserve">Duan X, Su X, You Y, Qu H, Li Y, Jiang Y (2007) </w:t>
      </w:r>
      <w:proofErr w:type="spellStart"/>
      <w:r w:rsidRPr="00327C93">
        <w:rPr>
          <w:rFonts w:ascii="Times New Roman" w:hAnsi="Times New Roman" w:cs="Times New Roman"/>
          <w:sz w:val="24"/>
          <w:szCs w:val="24"/>
        </w:rPr>
        <w:t>Efect</w:t>
      </w:r>
      <w:proofErr w:type="spellEnd"/>
      <w:r w:rsidRPr="00327C93">
        <w:rPr>
          <w:rFonts w:ascii="Times New Roman" w:hAnsi="Times New Roman" w:cs="Times New Roman"/>
          <w:sz w:val="24"/>
          <w:szCs w:val="24"/>
        </w:rPr>
        <w:t xml:space="preserve"> of nitric oxide on pericarp browning of harvested longan fruit in relation to phenolic metabolism. Food Chem 104(2):571–576</w:t>
      </w:r>
    </w:p>
    <w:p w14:paraId="1E41805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Gol, N. B., Vyas, P. B., &amp; Ramana Rao, T. V. (2015). Evaluation of polysaccharide-based edible coatings for their ability to preserve the postharvest quality of Indian blackberry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xml:space="preserve"> L.). </w:t>
      </w:r>
      <w:r w:rsidRPr="00327C93">
        <w:rPr>
          <w:rFonts w:ascii="Times New Roman" w:hAnsi="Times New Roman" w:cs="Times New Roman"/>
          <w:i/>
          <w:iCs/>
          <w:sz w:val="24"/>
          <w:szCs w:val="24"/>
          <w:shd w:val="clear" w:color="auto" w:fill="FFFFFF"/>
        </w:rPr>
        <w:t>International Journal of Fruit Science</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15</w:t>
      </w:r>
      <w:r w:rsidRPr="00327C93">
        <w:rPr>
          <w:rFonts w:ascii="Times New Roman" w:hAnsi="Times New Roman" w:cs="Times New Roman"/>
          <w:sz w:val="24"/>
          <w:szCs w:val="24"/>
          <w:shd w:val="clear" w:color="auto" w:fill="FFFFFF"/>
        </w:rPr>
        <w:t>(2), 198-222.</w:t>
      </w:r>
    </w:p>
    <w:p w14:paraId="51E5151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Hu, M., Yang, D., Huber, D. J., Jiang, Y., Li, M., Gao, Z., &amp; Zhang, Z. (2014). Reduction of postharvest anthracnose and enhancement of disease resistance in ripening mango fruit by nitric oxide treatment. </w:t>
      </w:r>
      <w:r w:rsidRPr="00327C93">
        <w:rPr>
          <w:rFonts w:ascii="Times New Roman" w:hAnsi="Times New Roman" w:cs="Times New Roman"/>
          <w:i/>
          <w:iCs/>
          <w:sz w:val="24"/>
          <w:szCs w:val="24"/>
          <w:shd w:val="clear" w:color="auto" w:fill="FFFFFF"/>
        </w:rPr>
        <w:t>Postharvest Biology and Technology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97</w:t>
      </w:r>
      <w:r w:rsidRPr="00327C93">
        <w:rPr>
          <w:rFonts w:ascii="Times New Roman" w:hAnsi="Times New Roman" w:cs="Times New Roman"/>
          <w:sz w:val="24"/>
          <w:szCs w:val="24"/>
          <w:shd w:val="clear" w:color="auto" w:fill="FFFFFF"/>
        </w:rPr>
        <w:t>, 115-122.</w:t>
      </w:r>
    </w:p>
    <w:p w14:paraId="5C66255C"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shd w:val="clear" w:color="auto" w:fill="FFFFFF"/>
        </w:rPr>
        <w:t>Jagetia</w:t>
      </w:r>
      <w:proofErr w:type="spellEnd"/>
      <w:r w:rsidRPr="00327C93">
        <w:rPr>
          <w:rFonts w:ascii="Times New Roman" w:hAnsi="Times New Roman" w:cs="Times New Roman"/>
          <w:sz w:val="24"/>
          <w:szCs w:val="24"/>
          <w:shd w:val="clear" w:color="auto" w:fill="FFFFFF"/>
        </w:rPr>
        <w:t xml:space="preserve">, G. C. (2017). Phytochemical Composition and pleotropic pharmacological properties of jamun,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xml:space="preserve"> skeels. </w:t>
      </w:r>
      <w:r w:rsidRPr="00327C93">
        <w:rPr>
          <w:rFonts w:ascii="Times New Roman" w:hAnsi="Times New Roman" w:cs="Times New Roman"/>
          <w:i/>
          <w:iCs/>
          <w:sz w:val="24"/>
          <w:szCs w:val="24"/>
          <w:shd w:val="clear" w:color="auto" w:fill="FFFFFF"/>
        </w:rPr>
        <w:t>Journal of exploratory research in pharmacology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2</w:t>
      </w:r>
      <w:r w:rsidRPr="00327C93">
        <w:rPr>
          <w:rFonts w:ascii="Times New Roman" w:hAnsi="Times New Roman" w:cs="Times New Roman"/>
          <w:sz w:val="24"/>
          <w:szCs w:val="24"/>
          <w:shd w:val="clear" w:color="auto" w:fill="FFFFFF"/>
        </w:rPr>
        <w:t>(2), 54-66.</w:t>
      </w:r>
    </w:p>
    <w:p w14:paraId="55B421BF"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lastRenderedPageBreak/>
        <w:t xml:space="preserve">Jones, E. and Hughes, R.E. 1983. Foliar ascorbic acid in some angiosperms. Phytochemistry. 22: 2493-99. </w:t>
      </w:r>
    </w:p>
    <w:p w14:paraId="7A7F88BB" w14:textId="77777777" w:rsidR="00327C93" w:rsidRPr="00327C93" w:rsidRDefault="00327C93" w:rsidP="00327C93">
      <w:pPr>
        <w:spacing w:line="240" w:lineRule="auto"/>
        <w:jc w:val="both"/>
        <w:rPr>
          <w:rFonts w:ascii="Times New Roman" w:hAnsi="Times New Roman" w:cs="Times New Roman"/>
          <w:i/>
          <w:iCs/>
          <w:sz w:val="24"/>
          <w:szCs w:val="24"/>
        </w:rPr>
      </w:pPr>
      <w:r w:rsidRPr="00327C93">
        <w:rPr>
          <w:rFonts w:ascii="Times New Roman" w:hAnsi="Times New Roman" w:cs="Times New Roman"/>
          <w:sz w:val="24"/>
          <w:szCs w:val="24"/>
        </w:rPr>
        <w:t xml:space="preserve">Koley, T. K., Barman, K. and </w:t>
      </w:r>
      <w:proofErr w:type="spellStart"/>
      <w:r w:rsidRPr="00327C93">
        <w:rPr>
          <w:rFonts w:ascii="Times New Roman" w:hAnsi="Times New Roman" w:cs="Times New Roman"/>
          <w:sz w:val="24"/>
          <w:szCs w:val="24"/>
        </w:rPr>
        <w:t>Asrey</w:t>
      </w:r>
      <w:proofErr w:type="spellEnd"/>
      <w:r w:rsidRPr="00327C93">
        <w:rPr>
          <w:rFonts w:ascii="Times New Roman" w:hAnsi="Times New Roman" w:cs="Times New Roman"/>
          <w:sz w:val="24"/>
          <w:szCs w:val="24"/>
        </w:rPr>
        <w:t xml:space="preserve">, R. (2011). Nutraceutical properties of Jamun </w:t>
      </w:r>
      <w:proofErr w:type="spellStart"/>
      <w:r w:rsidRPr="00327C93">
        <w:rPr>
          <w:rFonts w:ascii="Times New Roman" w:hAnsi="Times New Roman" w:cs="Times New Roman"/>
          <w:i/>
          <w:iCs/>
          <w:sz w:val="24"/>
          <w:szCs w:val="24"/>
        </w:rPr>
        <w:t>Syzygium</w:t>
      </w:r>
      <w:proofErr w:type="spellEnd"/>
      <w:r w:rsidRPr="00327C93">
        <w:rPr>
          <w:rFonts w:ascii="Times New Roman" w:hAnsi="Times New Roman" w:cs="Times New Roman"/>
          <w:i/>
          <w:iCs/>
          <w:sz w:val="24"/>
          <w:szCs w:val="24"/>
        </w:rPr>
        <w:t xml:space="preserve"> </w:t>
      </w:r>
      <w:proofErr w:type="spellStart"/>
      <w:proofErr w:type="gramStart"/>
      <w:r w:rsidRPr="00327C93">
        <w:rPr>
          <w:rFonts w:ascii="Times New Roman" w:hAnsi="Times New Roman" w:cs="Times New Roman"/>
          <w:i/>
          <w:iCs/>
          <w:sz w:val="24"/>
          <w:szCs w:val="24"/>
        </w:rPr>
        <w:t>cumini</w:t>
      </w:r>
      <w:proofErr w:type="spellEnd"/>
      <w:r w:rsidRPr="00327C93">
        <w:rPr>
          <w:rFonts w:ascii="Times New Roman" w:hAnsi="Times New Roman" w:cs="Times New Roman"/>
          <w:sz w:val="24"/>
          <w:szCs w:val="24"/>
        </w:rPr>
        <w:t>(</w:t>
      </w:r>
      <w:proofErr w:type="gramEnd"/>
      <w:r w:rsidRPr="00327C93">
        <w:rPr>
          <w:rFonts w:ascii="Times New Roman" w:hAnsi="Times New Roman" w:cs="Times New Roman"/>
          <w:sz w:val="24"/>
          <w:szCs w:val="24"/>
        </w:rPr>
        <w:t>L.) and its processed products. </w:t>
      </w:r>
      <w:r w:rsidRPr="00327C93">
        <w:rPr>
          <w:rFonts w:ascii="Times New Roman" w:hAnsi="Times New Roman" w:cs="Times New Roman"/>
          <w:i/>
          <w:iCs/>
          <w:sz w:val="24"/>
          <w:szCs w:val="24"/>
        </w:rPr>
        <w:t>Indian Food Industry</w:t>
      </w:r>
      <w:r w:rsidRPr="00327C93">
        <w:rPr>
          <w:rFonts w:ascii="Times New Roman" w:hAnsi="Times New Roman" w:cs="Times New Roman"/>
          <w:sz w:val="24"/>
          <w:szCs w:val="24"/>
        </w:rPr>
        <w:t>, 30(3), 34-37.</w:t>
      </w:r>
    </w:p>
    <w:p w14:paraId="09AD60CD"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Lai, T., Li, B., Qin, G. and Tian, S. (2011). Oxidative damage involves in the inhibitory effect of nitric oxide on spore germination of </w:t>
      </w:r>
      <w:r w:rsidRPr="00327C93">
        <w:rPr>
          <w:rFonts w:ascii="Times New Roman" w:hAnsi="Times New Roman" w:cs="Times New Roman"/>
          <w:i/>
          <w:iCs/>
          <w:sz w:val="24"/>
          <w:szCs w:val="24"/>
        </w:rPr>
        <w:t xml:space="preserve">Penicillium </w:t>
      </w:r>
      <w:proofErr w:type="spellStart"/>
      <w:r w:rsidRPr="00327C93">
        <w:rPr>
          <w:rFonts w:ascii="Times New Roman" w:hAnsi="Times New Roman" w:cs="Times New Roman"/>
          <w:i/>
          <w:iCs/>
          <w:sz w:val="24"/>
          <w:szCs w:val="24"/>
        </w:rPr>
        <w:t>expansum</w:t>
      </w:r>
      <w:proofErr w:type="spellEnd"/>
      <w:r w:rsidRPr="00327C93">
        <w:rPr>
          <w:rFonts w:ascii="Times New Roman" w:hAnsi="Times New Roman" w:cs="Times New Roman"/>
          <w:i/>
          <w:iCs/>
          <w:sz w:val="24"/>
          <w:szCs w:val="24"/>
        </w:rPr>
        <w:t>. </w:t>
      </w:r>
      <w:proofErr w:type="spellStart"/>
      <w:r w:rsidRPr="00327C93">
        <w:rPr>
          <w:rFonts w:ascii="Times New Roman" w:hAnsi="Times New Roman" w:cs="Times New Roman"/>
          <w:i/>
          <w:iCs/>
          <w:sz w:val="24"/>
          <w:szCs w:val="24"/>
        </w:rPr>
        <w:t>CurrentMicrobiology</w:t>
      </w:r>
      <w:proofErr w:type="spellEnd"/>
      <w:r w:rsidRPr="00327C93">
        <w:rPr>
          <w:rFonts w:ascii="Times New Roman" w:hAnsi="Times New Roman" w:cs="Times New Roman"/>
          <w:sz w:val="24"/>
          <w:szCs w:val="24"/>
        </w:rPr>
        <w:t>, 62(1), 229- 234.</w:t>
      </w:r>
    </w:p>
    <w:p w14:paraId="5B675D7B"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Lees, D. H., &amp; Francis, F. J. (1972). Standardization of pigment analyses in Cranberries1. </w:t>
      </w:r>
      <w:proofErr w:type="spellStart"/>
      <w:r w:rsidRPr="00327C93">
        <w:rPr>
          <w:rFonts w:ascii="Times New Roman" w:hAnsi="Times New Roman" w:cs="Times New Roman"/>
          <w:i/>
          <w:iCs/>
          <w:sz w:val="24"/>
          <w:szCs w:val="24"/>
          <w:shd w:val="clear" w:color="auto" w:fill="FFFFFF"/>
        </w:rPr>
        <w:t>HortScience</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7</w:t>
      </w:r>
      <w:r w:rsidRPr="00327C93">
        <w:rPr>
          <w:rFonts w:ascii="Times New Roman" w:hAnsi="Times New Roman" w:cs="Times New Roman"/>
          <w:sz w:val="24"/>
          <w:szCs w:val="24"/>
          <w:shd w:val="clear" w:color="auto" w:fill="FFFFFF"/>
        </w:rPr>
        <w:t>(1), 83-84.</w:t>
      </w:r>
    </w:p>
    <w:p w14:paraId="277A1CB0"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Leshem, Y. Y., Wills, R. and Ku, V. V. (1998). Evidence for the function of the free radical gas-nitric oxide (no)-as an endogenous maturation and senescence regulating factor in higher plants. </w:t>
      </w:r>
      <w:r w:rsidRPr="00327C93">
        <w:rPr>
          <w:rFonts w:ascii="Times New Roman" w:hAnsi="Times New Roman" w:cs="Times New Roman"/>
          <w:i/>
          <w:iCs/>
          <w:sz w:val="24"/>
          <w:szCs w:val="24"/>
        </w:rPr>
        <w:t>Plant Physiology and Biochemistry</w:t>
      </w:r>
      <w:r w:rsidRPr="00327C93">
        <w:rPr>
          <w:rFonts w:ascii="Times New Roman" w:hAnsi="Times New Roman" w:cs="Times New Roman"/>
          <w:sz w:val="24"/>
          <w:szCs w:val="24"/>
        </w:rPr>
        <w:t>, 36(11), 825-833.</w:t>
      </w:r>
    </w:p>
    <w:p w14:paraId="12AB601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Mansouri, H. (2012). Salicylic acid and sodium nitroprusside improve postharvest life of chrysanthemums. </w:t>
      </w:r>
      <w:r w:rsidRPr="00327C93">
        <w:rPr>
          <w:rFonts w:ascii="Times New Roman" w:hAnsi="Times New Roman" w:cs="Times New Roman"/>
          <w:i/>
          <w:iCs/>
          <w:sz w:val="24"/>
          <w:szCs w:val="24"/>
          <w:shd w:val="clear" w:color="auto" w:fill="FFFFFF"/>
        </w:rPr>
        <w:t xml:space="preserve">Scientia </w:t>
      </w:r>
      <w:proofErr w:type="spellStart"/>
      <w:r w:rsidRPr="00327C93">
        <w:rPr>
          <w:rFonts w:ascii="Times New Roman" w:hAnsi="Times New Roman" w:cs="Times New Roman"/>
          <w:i/>
          <w:iCs/>
          <w:sz w:val="24"/>
          <w:szCs w:val="24"/>
          <w:shd w:val="clear" w:color="auto" w:fill="FFFFFF"/>
        </w:rPr>
        <w:t>horticulturae</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145</w:t>
      </w:r>
      <w:r w:rsidRPr="00327C93">
        <w:rPr>
          <w:rFonts w:ascii="Times New Roman" w:hAnsi="Times New Roman" w:cs="Times New Roman"/>
          <w:sz w:val="24"/>
          <w:szCs w:val="24"/>
          <w:shd w:val="clear" w:color="auto" w:fill="FFFFFF"/>
        </w:rPr>
        <w:t>, 29-33.</w:t>
      </w:r>
    </w:p>
    <w:p w14:paraId="5391DECB"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Nabi, R. B. S., Tayade, R., Hussain, A., Kulkarni, K. P., Imran, Q. M., Mun, B. G. and Yun, B. W. (2019). Nitric oxide regulates plant responses to drought, salinity, and heavy </w:t>
      </w:r>
      <w:proofErr w:type="spellStart"/>
      <w:r w:rsidRPr="00327C93">
        <w:rPr>
          <w:rFonts w:ascii="Times New Roman" w:hAnsi="Times New Roman" w:cs="Times New Roman"/>
          <w:sz w:val="24"/>
          <w:szCs w:val="24"/>
        </w:rPr>
        <w:t>metalstress</w:t>
      </w:r>
      <w:proofErr w:type="spellEnd"/>
      <w:r w:rsidRPr="00327C93">
        <w:rPr>
          <w:rFonts w:ascii="Times New Roman" w:hAnsi="Times New Roman" w:cs="Times New Roman"/>
          <w:sz w:val="24"/>
          <w:szCs w:val="24"/>
        </w:rPr>
        <w:t>. </w:t>
      </w:r>
      <w:r w:rsidRPr="00327C93">
        <w:rPr>
          <w:rFonts w:ascii="Times New Roman" w:hAnsi="Times New Roman" w:cs="Times New Roman"/>
          <w:i/>
          <w:iCs/>
          <w:sz w:val="24"/>
          <w:szCs w:val="24"/>
        </w:rPr>
        <w:t>Environmental and Experimental Botany</w:t>
      </w:r>
      <w:r w:rsidRPr="00327C93">
        <w:rPr>
          <w:rFonts w:ascii="Times New Roman" w:hAnsi="Times New Roman" w:cs="Times New Roman"/>
          <w:sz w:val="24"/>
          <w:szCs w:val="24"/>
        </w:rPr>
        <w:t>, 161, 120-133.</w:t>
      </w:r>
    </w:p>
    <w:p w14:paraId="1E1CF16F" w14:textId="77777777" w:rsidR="00327C93" w:rsidRPr="00327C93" w:rsidRDefault="00327C93" w:rsidP="00327C93">
      <w:pPr>
        <w:spacing w:line="240" w:lineRule="auto"/>
        <w:jc w:val="both"/>
        <w:rPr>
          <w:rFonts w:ascii="Times New Roman" w:hAnsi="Times New Roman" w:cs="Times New Roman"/>
          <w:i/>
          <w:iCs/>
          <w:sz w:val="24"/>
          <w:szCs w:val="24"/>
        </w:rPr>
      </w:pPr>
      <w:proofErr w:type="spellStart"/>
      <w:r w:rsidRPr="00327C93">
        <w:rPr>
          <w:rFonts w:ascii="Times New Roman" w:hAnsi="Times New Roman" w:cs="Times New Roman"/>
          <w:sz w:val="24"/>
          <w:szCs w:val="24"/>
        </w:rPr>
        <w:t>Noomrio</w:t>
      </w:r>
      <w:proofErr w:type="spellEnd"/>
      <w:r w:rsidRPr="00327C93">
        <w:rPr>
          <w:rFonts w:ascii="Times New Roman" w:hAnsi="Times New Roman" w:cs="Times New Roman"/>
          <w:sz w:val="24"/>
          <w:szCs w:val="24"/>
        </w:rPr>
        <w:t xml:space="preserve">, M. H. and </w:t>
      </w:r>
      <w:proofErr w:type="spellStart"/>
      <w:r w:rsidRPr="00327C93">
        <w:rPr>
          <w:rFonts w:ascii="Times New Roman" w:hAnsi="Times New Roman" w:cs="Times New Roman"/>
          <w:sz w:val="24"/>
          <w:szCs w:val="24"/>
        </w:rPr>
        <w:t>Dahot</w:t>
      </w:r>
      <w:proofErr w:type="spellEnd"/>
      <w:r w:rsidRPr="00327C93">
        <w:rPr>
          <w:rFonts w:ascii="Times New Roman" w:hAnsi="Times New Roman" w:cs="Times New Roman"/>
          <w:sz w:val="24"/>
          <w:szCs w:val="24"/>
        </w:rPr>
        <w:t xml:space="preserve">, M. U. (1996). Nutritive value of Eugenia </w:t>
      </w:r>
      <w:proofErr w:type="spellStart"/>
      <w:r w:rsidRPr="00327C93">
        <w:rPr>
          <w:rFonts w:ascii="Times New Roman" w:hAnsi="Times New Roman" w:cs="Times New Roman"/>
          <w:sz w:val="24"/>
          <w:szCs w:val="24"/>
        </w:rPr>
        <w:t>jambosa</w:t>
      </w:r>
      <w:proofErr w:type="spellEnd"/>
      <w:r w:rsidRPr="00327C93">
        <w:rPr>
          <w:rFonts w:ascii="Times New Roman" w:hAnsi="Times New Roman" w:cs="Times New Roman"/>
          <w:sz w:val="24"/>
          <w:szCs w:val="24"/>
        </w:rPr>
        <w:t xml:space="preserve"> fruit. </w:t>
      </w:r>
      <w:proofErr w:type="spellStart"/>
      <w:r w:rsidRPr="00327C93">
        <w:rPr>
          <w:rFonts w:ascii="Times New Roman" w:hAnsi="Times New Roman" w:cs="Times New Roman"/>
          <w:i/>
          <w:iCs/>
          <w:sz w:val="24"/>
          <w:szCs w:val="24"/>
        </w:rPr>
        <w:t>Journalof</w:t>
      </w:r>
      <w:proofErr w:type="spellEnd"/>
      <w:r w:rsidRPr="00327C93">
        <w:rPr>
          <w:rFonts w:ascii="Times New Roman" w:hAnsi="Times New Roman" w:cs="Times New Roman"/>
          <w:i/>
          <w:iCs/>
          <w:sz w:val="24"/>
          <w:szCs w:val="24"/>
        </w:rPr>
        <w:t xml:space="preserve"> Islamic Academy of Sciences</w:t>
      </w:r>
      <w:r w:rsidRPr="00327C93">
        <w:rPr>
          <w:rFonts w:ascii="Times New Roman" w:hAnsi="Times New Roman" w:cs="Times New Roman"/>
          <w:sz w:val="24"/>
          <w:szCs w:val="24"/>
        </w:rPr>
        <w:t>, 9(1), 9-12.</w:t>
      </w:r>
    </w:p>
    <w:p w14:paraId="5766E113"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Palma, J. M., Freschi, L., Rodríguez-Ruiz, M., González-Gordo, S. and Corpas, F. J. (2019). Nitric oxide in the physiology and quality of fleshy fruits. </w:t>
      </w:r>
      <w:r w:rsidRPr="00327C93">
        <w:rPr>
          <w:rFonts w:ascii="Times New Roman" w:hAnsi="Times New Roman" w:cs="Times New Roman"/>
          <w:i/>
          <w:iCs/>
          <w:sz w:val="24"/>
          <w:szCs w:val="24"/>
        </w:rPr>
        <w:t>Journal of Experimental Botany</w:t>
      </w:r>
      <w:r w:rsidRPr="00327C93">
        <w:rPr>
          <w:rFonts w:ascii="Times New Roman" w:hAnsi="Times New Roman" w:cs="Times New Roman"/>
          <w:sz w:val="24"/>
          <w:szCs w:val="24"/>
        </w:rPr>
        <w:t>, 70(17), 4405-4417.</w:t>
      </w:r>
    </w:p>
    <w:p w14:paraId="20D5871F"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Patil, S. S., Thorat, R. M., &amp; Rajasekaran, P. (2012). Utilization of jamun fruit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for production of red wine. </w:t>
      </w:r>
      <w:r w:rsidRPr="00327C93">
        <w:rPr>
          <w:rFonts w:ascii="Times New Roman" w:hAnsi="Times New Roman" w:cs="Times New Roman"/>
          <w:i/>
          <w:iCs/>
          <w:sz w:val="24"/>
          <w:szCs w:val="24"/>
          <w:shd w:val="clear" w:color="auto" w:fill="FFFFFF"/>
        </w:rPr>
        <w:t>Journal of advanced laboratory research in biology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3</w:t>
      </w:r>
      <w:r w:rsidRPr="00327C93">
        <w:rPr>
          <w:rFonts w:ascii="Times New Roman" w:hAnsi="Times New Roman" w:cs="Times New Roman"/>
          <w:sz w:val="24"/>
          <w:szCs w:val="24"/>
          <w:shd w:val="clear" w:color="auto" w:fill="FFFFFF"/>
        </w:rPr>
        <w:t>(3), 200-203.</w:t>
      </w:r>
      <w:r w:rsidRPr="00327C93">
        <w:rPr>
          <w:rFonts w:ascii="Times New Roman" w:hAnsi="Times New Roman" w:cs="Times New Roman"/>
          <w:sz w:val="24"/>
          <w:szCs w:val="24"/>
        </w:rPr>
        <w:t xml:space="preserve"> </w:t>
      </w:r>
    </w:p>
    <w:p w14:paraId="3AAD7559"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Rai, D. R., Chadha, S., Kaur, M. P., Jaiswal, P. and Patil, R. T. (2011). Biochemical, microbiological and physiological changes in Jamun (</w:t>
      </w:r>
      <w:proofErr w:type="spellStart"/>
      <w:r w:rsidRPr="00327C93">
        <w:rPr>
          <w:rFonts w:ascii="Times New Roman" w:hAnsi="Times New Roman" w:cs="Times New Roman"/>
          <w:i/>
          <w:iCs/>
          <w:sz w:val="24"/>
          <w:szCs w:val="24"/>
        </w:rPr>
        <w:t>Syzyiumcumini</w:t>
      </w:r>
      <w:proofErr w:type="spellEnd"/>
      <w:r w:rsidRPr="00327C93">
        <w:rPr>
          <w:rFonts w:ascii="Times New Roman" w:hAnsi="Times New Roman" w:cs="Times New Roman"/>
          <w:sz w:val="24"/>
          <w:szCs w:val="24"/>
        </w:rPr>
        <w:t xml:space="preserve"> L.) kept </w:t>
      </w:r>
      <w:proofErr w:type="spellStart"/>
      <w:r w:rsidRPr="00327C93">
        <w:rPr>
          <w:rFonts w:ascii="Times New Roman" w:hAnsi="Times New Roman" w:cs="Times New Roman"/>
          <w:sz w:val="24"/>
          <w:szCs w:val="24"/>
        </w:rPr>
        <w:t>forlong</w:t>
      </w:r>
      <w:proofErr w:type="spellEnd"/>
      <w:r w:rsidRPr="00327C93">
        <w:rPr>
          <w:rFonts w:ascii="Times New Roman" w:hAnsi="Times New Roman" w:cs="Times New Roman"/>
          <w:sz w:val="24"/>
          <w:szCs w:val="24"/>
        </w:rPr>
        <w:t xml:space="preserve"> term storage under modified atmosphere packaging. </w:t>
      </w:r>
      <w:r w:rsidRPr="00327C93">
        <w:rPr>
          <w:rFonts w:ascii="Times New Roman" w:hAnsi="Times New Roman" w:cs="Times New Roman"/>
          <w:i/>
          <w:iCs/>
          <w:sz w:val="24"/>
          <w:szCs w:val="24"/>
        </w:rPr>
        <w:t xml:space="preserve">Journal of Food </w:t>
      </w:r>
      <w:proofErr w:type="spellStart"/>
      <w:r w:rsidRPr="00327C93">
        <w:rPr>
          <w:rFonts w:ascii="Times New Roman" w:hAnsi="Times New Roman" w:cs="Times New Roman"/>
          <w:i/>
          <w:iCs/>
          <w:sz w:val="24"/>
          <w:szCs w:val="24"/>
        </w:rPr>
        <w:t>Scienceand</w:t>
      </w:r>
      <w:proofErr w:type="spellEnd"/>
      <w:r w:rsidRPr="00327C93">
        <w:rPr>
          <w:rFonts w:ascii="Times New Roman" w:hAnsi="Times New Roman" w:cs="Times New Roman"/>
          <w:i/>
          <w:iCs/>
          <w:sz w:val="24"/>
          <w:szCs w:val="24"/>
        </w:rPr>
        <w:t xml:space="preserve"> Technology</w:t>
      </w:r>
      <w:r w:rsidRPr="00327C93">
        <w:rPr>
          <w:rFonts w:ascii="Times New Roman" w:hAnsi="Times New Roman" w:cs="Times New Roman"/>
          <w:sz w:val="24"/>
          <w:szCs w:val="24"/>
        </w:rPr>
        <w:t>, 48(3), 357-365.</w:t>
      </w:r>
    </w:p>
    <w:p w14:paraId="2B7B9CF1"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 xml:space="preserve">Raza, A., Ali, M. U., Nisar, T., </w:t>
      </w:r>
      <w:proofErr w:type="spellStart"/>
      <w:r w:rsidRPr="00327C93">
        <w:rPr>
          <w:rFonts w:ascii="Times New Roman" w:hAnsi="Times New Roman" w:cs="Times New Roman"/>
          <w:sz w:val="24"/>
          <w:szCs w:val="24"/>
          <w:shd w:val="clear" w:color="auto" w:fill="FFFFFF"/>
        </w:rPr>
        <w:t>Qasrani</w:t>
      </w:r>
      <w:proofErr w:type="spellEnd"/>
      <w:r w:rsidRPr="00327C93">
        <w:rPr>
          <w:rFonts w:ascii="Times New Roman" w:hAnsi="Times New Roman" w:cs="Times New Roman"/>
          <w:sz w:val="24"/>
          <w:szCs w:val="24"/>
          <w:shd w:val="clear" w:color="auto" w:fill="FFFFFF"/>
        </w:rPr>
        <w:t>, S. A., Hussain, R., &amp; Sharif, M. N. (2015). Proximate composition of jamun (</w:t>
      </w:r>
      <w:proofErr w:type="spellStart"/>
      <w:r w:rsidRPr="00327C93">
        <w:rPr>
          <w:rFonts w:ascii="Times New Roman" w:hAnsi="Times New Roman" w:cs="Times New Roman"/>
          <w:sz w:val="24"/>
          <w:szCs w:val="24"/>
          <w:shd w:val="clear" w:color="auto" w:fill="FFFFFF"/>
        </w:rPr>
        <w:t>Syzygium</w:t>
      </w:r>
      <w:proofErr w:type="spellEnd"/>
      <w:r w:rsidRPr="00327C93">
        <w:rPr>
          <w:rFonts w:ascii="Times New Roman" w:hAnsi="Times New Roman" w:cs="Times New Roman"/>
          <w:sz w:val="24"/>
          <w:szCs w:val="24"/>
          <w:shd w:val="clear" w:color="auto" w:fill="FFFFFF"/>
        </w:rPr>
        <w:t xml:space="preserve"> </w:t>
      </w:r>
      <w:proofErr w:type="spellStart"/>
      <w:r w:rsidRPr="00327C93">
        <w:rPr>
          <w:rFonts w:ascii="Times New Roman" w:hAnsi="Times New Roman" w:cs="Times New Roman"/>
          <w:sz w:val="24"/>
          <w:szCs w:val="24"/>
          <w:shd w:val="clear" w:color="auto" w:fill="FFFFFF"/>
        </w:rPr>
        <w:t>cumini</w:t>
      </w:r>
      <w:proofErr w:type="spellEnd"/>
      <w:r w:rsidRPr="00327C93">
        <w:rPr>
          <w:rFonts w:ascii="Times New Roman" w:hAnsi="Times New Roman" w:cs="Times New Roman"/>
          <w:sz w:val="24"/>
          <w:szCs w:val="24"/>
          <w:shd w:val="clear" w:color="auto" w:fill="FFFFFF"/>
        </w:rPr>
        <w:t>) fruit and seed. </w:t>
      </w:r>
      <w:r w:rsidRPr="00327C93">
        <w:rPr>
          <w:rFonts w:ascii="Times New Roman" w:hAnsi="Times New Roman" w:cs="Times New Roman"/>
          <w:i/>
          <w:iCs/>
          <w:sz w:val="24"/>
          <w:szCs w:val="24"/>
          <w:shd w:val="clear" w:color="auto" w:fill="FFFFFF"/>
        </w:rPr>
        <w:t>digestion</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2</w:t>
      </w:r>
      <w:r w:rsidRPr="00327C93">
        <w:rPr>
          <w:rFonts w:ascii="Times New Roman" w:hAnsi="Times New Roman" w:cs="Times New Roman"/>
          <w:sz w:val="24"/>
          <w:szCs w:val="24"/>
          <w:shd w:val="clear" w:color="auto" w:fill="FFFFFF"/>
        </w:rPr>
        <w:t>(4).</w:t>
      </w:r>
      <w:r w:rsidRPr="00327C93">
        <w:rPr>
          <w:rFonts w:ascii="Times New Roman" w:hAnsi="Times New Roman" w:cs="Times New Roman"/>
          <w:sz w:val="24"/>
          <w:szCs w:val="24"/>
        </w:rPr>
        <w:t xml:space="preserve"> </w:t>
      </w:r>
    </w:p>
    <w:p w14:paraId="40409993"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Ren, Y., He, J., Liu, H., Liu, G., &amp; Ren, X. (2017). Nitric oxide alleviates deterioration and preserves antioxidant properties in ‘</w:t>
      </w:r>
      <w:proofErr w:type="spellStart"/>
      <w:r w:rsidRPr="00327C93">
        <w:rPr>
          <w:rFonts w:ascii="Times New Roman" w:hAnsi="Times New Roman" w:cs="Times New Roman"/>
          <w:sz w:val="24"/>
          <w:szCs w:val="24"/>
          <w:shd w:val="clear" w:color="auto" w:fill="FFFFFF"/>
        </w:rPr>
        <w:t>Tainong’mango</w:t>
      </w:r>
      <w:proofErr w:type="spellEnd"/>
      <w:r w:rsidRPr="00327C93">
        <w:rPr>
          <w:rFonts w:ascii="Times New Roman" w:hAnsi="Times New Roman" w:cs="Times New Roman"/>
          <w:sz w:val="24"/>
          <w:szCs w:val="24"/>
          <w:shd w:val="clear" w:color="auto" w:fill="FFFFFF"/>
        </w:rPr>
        <w:t xml:space="preserve"> fruit during ripening. </w:t>
      </w:r>
      <w:r w:rsidRPr="00327C93">
        <w:rPr>
          <w:rFonts w:ascii="Times New Roman" w:hAnsi="Times New Roman" w:cs="Times New Roman"/>
          <w:i/>
          <w:iCs/>
          <w:sz w:val="24"/>
          <w:szCs w:val="24"/>
          <w:shd w:val="clear" w:color="auto" w:fill="FFFFFF"/>
        </w:rPr>
        <w:t>Horticulture, Environment, and Biotechnology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58</w:t>
      </w:r>
      <w:r w:rsidRPr="00327C93">
        <w:rPr>
          <w:rFonts w:ascii="Times New Roman" w:hAnsi="Times New Roman" w:cs="Times New Roman"/>
          <w:sz w:val="24"/>
          <w:szCs w:val="24"/>
          <w:shd w:val="clear" w:color="auto" w:fill="FFFFFF"/>
        </w:rPr>
        <w:t>, 27-37.</w:t>
      </w:r>
    </w:p>
    <w:p w14:paraId="095075F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Saba, M. K. and Moradi, S. (2017). Sodium nitroprusside (SNP) spray to maintain </w:t>
      </w:r>
      <w:proofErr w:type="spellStart"/>
      <w:r w:rsidRPr="00327C93">
        <w:rPr>
          <w:rFonts w:ascii="Times New Roman" w:hAnsi="Times New Roman" w:cs="Times New Roman"/>
          <w:sz w:val="24"/>
          <w:szCs w:val="24"/>
        </w:rPr>
        <w:t>fruitquality</w:t>
      </w:r>
      <w:proofErr w:type="spellEnd"/>
      <w:r w:rsidRPr="00327C93">
        <w:rPr>
          <w:rFonts w:ascii="Times New Roman" w:hAnsi="Times New Roman" w:cs="Times New Roman"/>
          <w:sz w:val="24"/>
          <w:szCs w:val="24"/>
        </w:rPr>
        <w:t xml:space="preserve"> and alleviate postharvest chilling injury of peach fruit. </w:t>
      </w:r>
      <w:r w:rsidRPr="00327C93">
        <w:rPr>
          <w:rFonts w:ascii="Times New Roman" w:hAnsi="Times New Roman" w:cs="Times New Roman"/>
          <w:i/>
          <w:iCs/>
          <w:sz w:val="24"/>
          <w:szCs w:val="24"/>
        </w:rPr>
        <w:t xml:space="preserve">Scientia </w:t>
      </w:r>
      <w:proofErr w:type="spellStart"/>
      <w:r w:rsidRPr="00327C93">
        <w:rPr>
          <w:rFonts w:ascii="Times New Roman" w:hAnsi="Times New Roman" w:cs="Times New Roman"/>
          <w:i/>
          <w:iCs/>
          <w:sz w:val="24"/>
          <w:szCs w:val="24"/>
        </w:rPr>
        <w:t>Horticulturae</w:t>
      </w:r>
      <w:proofErr w:type="spellEnd"/>
      <w:r w:rsidRPr="00327C93">
        <w:rPr>
          <w:rFonts w:ascii="Times New Roman" w:hAnsi="Times New Roman" w:cs="Times New Roman"/>
          <w:sz w:val="24"/>
          <w:szCs w:val="24"/>
        </w:rPr>
        <w:t>, 216, 193-199.</w:t>
      </w:r>
    </w:p>
    <w:p w14:paraId="6EC97AB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Saurabh, V., Barman, K. and Singh, A. K. (2019). Synergistic effect of salicylic acid </w:t>
      </w:r>
      <w:proofErr w:type="spellStart"/>
      <w:r w:rsidRPr="00327C93">
        <w:rPr>
          <w:rFonts w:ascii="Times New Roman" w:hAnsi="Times New Roman" w:cs="Times New Roman"/>
          <w:sz w:val="24"/>
          <w:szCs w:val="24"/>
        </w:rPr>
        <w:t>andchitosan</w:t>
      </w:r>
      <w:proofErr w:type="spellEnd"/>
      <w:r w:rsidRPr="00327C93">
        <w:rPr>
          <w:rFonts w:ascii="Times New Roman" w:hAnsi="Times New Roman" w:cs="Times New Roman"/>
          <w:sz w:val="24"/>
          <w:szCs w:val="24"/>
        </w:rPr>
        <w:t xml:space="preserve"> on postharvest life and quality attributes of jamun (</w:t>
      </w:r>
      <w:proofErr w:type="spellStart"/>
      <w:r w:rsidRPr="00327C93">
        <w:rPr>
          <w:rFonts w:ascii="Times New Roman" w:hAnsi="Times New Roman" w:cs="Times New Roman"/>
          <w:i/>
          <w:iCs/>
          <w:sz w:val="24"/>
          <w:szCs w:val="24"/>
        </w:rPr>
        <w:t>Syzygiumcumini</w:t>
      </w:r>
      <w:proofErr w:type="spellEnd"/>
      <w:r w:rsidRPr="00327C93">
        <w:rPr>
          <w:rFonts w:ascii="Times New Roman" w:hAnsi="Times New Roman" w:cs="Times New Roman"/>
          <w:sz w:val="24"/>
          <w:szCs w:val="24"/>
        </w:rPr>
        <w:t xml:space="preserve"> </w:t>
      </w:r>
      <w:proofErr w:type="gramStart"/>
      <w:r w:rsidRPr="00327C93">
        <w:rPr>
          <w:rFonts w:ascii="Times New Roman" w:hAnsi="Times New Roman" w:cs="Times New Roman"/>
          <w:sz w:val="24"/>
          <w:szCs w:val="24"/>
        </w:rPr>
        <w:t>Skeels)fruit</w:t>
      </w:r>
      <w:proofErr w:type="gramEnd"/>
      <w:r w:rsidRPr="00327C93">
        <w:rPr>
          <w:rFonts w:ascii="Times New Roman" w:hAnsi="Times New Roman" w:cs="Times New Roman"/>
          <w:sz w:val="24"/>
          <w:szCs w:val="24"/>
        </w:rPr>
        <w:t>. </w:t>
      </w:r>
      <w:r w:rsidRPr="00327C93">
        <w:rPr>
          <w:rFonts w:ascii="Times New Roman" w:hAnsi="Times New Roman" w:cs="Times New Roman"/>
          <w:i/>
          <w:iCs/>
          <w:sz w:val="24"/>
          <w:szCs w:val="24"/>
        </w:rPr>
        <w:t xml:space="preserve">Acta </w:t>
      </w:r>
      <w:proofErr w:type="spellStart"/>
      <w:r w:rsidRPr="00327C93">
        <w:rPr>
          <w:rFonts w:ascii="Times New Roman" w:hAnsi="Times New Roman" w:cs="Times New Roman"/>
          <w:i/>
          <w:iCs/>
          <w:sz w:val="24"/>
          <w:szCs w:val="24"/>
        </w:rPr>
        <w:t>Physiologiae</w:t>
      </w:r>
      <w:proofErr w:type="spellEnd"/>
      <w:r w:rsidRPr="00327C93">
        <w:rPr>
          <w:rFonts w:ascii="Times New Roman" w:hAnsi="Times New Roman" w:cs="Times New Roman"/>
          <w:i/>
          <w:iCs/>
          <w:sz w:val="24"/>
          <w:szCs w:val="24"/>
        </w:rPr>
        <w:t xml:space="preserve"> Plantarum</w:t>
      </w:r>
      <w:r w:rsidRPr="00327C93">
        <w:rPr>
          <w:rFonts w:ascii="Times New Roman" w:hAnsi="Times New Roman" w:cs="Times New Roman"/>
          <w:sz w:val="24"/>
          <w:szCs w:val="24"/>
        </w:rPr>
        <w:t>, 41(6), 89.</w:t>
      </w:r>
    </w:p>
    <w:p w14:paraId="427581FE"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shd w:val="clear" w:color="auto" w:fill="FFFFFF"/>
        </w:rPr>
        <w:lastRenderedPageBreak/>
        <w:t>Shahkoomahally</w:t>
      </w:r>
      <w:proofErr w:type="spellEnd"/>
      <w:r w:rsidRPr="00327C93">
        <w:rPr>
          <w:rFonts w:ascii="Times New Roman" w:hAnsi="Times New Roman" w:cs="Times New Roman"/>
          <w:sz w:val="24"/>
          <w:szCs w:val="24"/>
          <w:shd w:val="clear" w:color="auto" w:fill="FFFFFF"/>
        </w:rPr>
        <w:t xml:space="preserve">, S., </w:t>
      </w:r>
      <w:proofErr w:type="spellStart"/>
      <w:r w:rsidRPr="00327C93">
        <w:rPr>
          <w:rFonts w:ascii="Times New Roman" w:hAnsi="Times New Roman" w:cs="Times New Roman"/>
          <w:sz w:val="24"/>
          <w:szCs w:val="24"/>
          <w:shd w:val="clear" w:color="auto" w:fill="FFFFFF"/>
        </w:rPr>
        <w:t>Ramezanian</w:t>
      </w:r>
      <w:proofErr w:type="spellEnd"/>
      <w:r w:rsidRPr="00327C93">
        <w:rPr>
          <w:rFonts w:ascii="Times New Roman" w:hAnsi="Times New Roman" w:cs="Times New Roman"/>
          <w:sz w:val="24"/>
          <w:szCs w:val="24"/>
          <w:shd w:val="clear" w:color="auto" w:fill="FFFFFF"/>
        </w:rPr>
        <w:t xml:space="preserve">, A., &amp; </w:t>
      </w:r>
      <w:proofErr w:type="spellStart"/>
      <w:r w:rsidRPr="00327C93">
        <w:rPr>
          <w:rFonts w:ascii="Times New Roman" w:hAnsi="Times New Roman" w:cs="Times New Roman"/>
          <w:sz w:val="24"/>
          <w:szCs w:val="24"/>
          <w:shd w:val="clear" w:color="auto" w:fill="FFFFFF"/>
        </w:rPr>
        <w:t>Farahnaky</w:t>
      </w:r>
      <w:proofErr w:type="spellEnd"/>
      <w:r w:rsidRPr="00327C93">
        <w:rPr>
          <w:rFonts w:ascii="Times New Roman" w:hAnsi="Times New Roman" w:cs="Times New Roman"/>
          <w:sz w:val="24"/>
          <w:szCs w:val="24"/>
          <w:shd w:val="clear" w:color="auto" w:fill="FFFFFF"/>
        </w:rPr>
        <w:t>, A. (2015). Postharvest nitric oxide treatment of persimmon (Diospyros kaki L.) improves fruit quality during storage. </w:t>
      </w:r>
      <w:r w:rsidRPr="00327C93">
        <w:rPr>
          <w:rFonts w:ascii="Times New Roman" w:hAnsi="Times New Roman" w:cs="Times New Roman"/>
          <w:i/>
          <w:iCs/>
          <w:sz w:val="24"/>
          <w:szCs w:val="24"/>
          <w:shd w:val="clear" w:color="auto" w:fill="FFFFFF"/>
        </w:rPr>
        <w:t>Fruits</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70</w:t>
      </w:r>
      <w:r w:rsidRPr="00327C93">
        <w:rPr>
          <w:rFonts w:ascii="Times New Roman" w:hAnsi="Times New Roman" w:cs="Times New Roman"/>
          <w:sz w:val="24"/>
          <w:szCs w:val="24"/>
          <w:shd w:val="clear" w:color="auto" w:fill="FFFFFF"/>
        </w:rPr>
        <w:t>(2), 63-68.</w:t>
      </w:r>
    </w:p>
    <w:p w14:paraId="3108BA14"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Shahnawaz, M. and Sheikh, S. A. (2011). Physicochemical characteristics of Jamun fruit. </w:t>
      </w:r>
      <w:r w:rsidRPr="00327C93">
        <w:rPr>
          <w:rFonts w:ascii="Times New Roman" w:hAnsi="Times New Roman" w:cs="Times New Roman"/>
          <w:i/>
          <w:iCs/>
          <w:sz w:val="24"/>
          <w:szCs w:val="24"/>
        </w:rPr>
        <w:t>Journal of Horticulture and Forestry</w:t>
      </w:r>
      <w:r w:rsidRPr="00327C93">
        <w:rPr>
          <w:rFonts w:ascii="Times New Roman" w:hAnsi="Times New Roman" w:cs="Times New Roman"/>
          <w:sz w:val="24"/>
          <w:szCs w:val="24"/>
        </w:rPr>
        <w:t>, 3(10), 301-306.</w:t>
      </w:r>
    </w:p>
    <w:p w14:paraId="36D74BB6"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Singleton, V.L., </w:t>
      </w:r>
      <w:proofErr w:type="spellStart"/>
      <w:r w:rsidRPr="00327C93">
        <w:rPr>
          <w:rFonts w:ascii="Times New Roman" w:hAnsi="Times New Roman" w:cs="Times New Roman"/>
          <w:sz w:val="24"/>
          <w:szCs w:val="24"/>
        </w:rPr>
        <w:t>Orthofer</w:t>
      </w:r>
      <w:proofErr w:type="spellEnd"/>
      <w:r w:rsidRPr="00327C93">
        <w:rPr>
          <w:rFonts w:ascii="Times New Roman" w:hAnsi="Times New Roman" w:cs="Times New Roman"/>
          <w:sz w:val="24"/>
          <w:szCs w:val="24"/>
        </w:rPr>
        <w:t xml:space="preserve">, R. and </w:t>
      </w:r>
      <w:proofErr w:type="spellStart"/>
      <w:r w:rsidRPr="00327C93">
        <w:rPr>
          <w:rFonts w:ascii="Times New Roman" w:hAnsi="Times New Roman" w:cs="Times New Roman"/>
          <w:sz w:val="24"/>
          <w:szCs w:val="24"/>
        </w:rPr>
        <w:t>Lamuela</w:t>
      </w:r>
      <w:proofErr w:type="spellEnd"/>
      <w:r w:rsidRPr="00327C93">
        <w:rPr>
          <w:rFonts w:ascii="Times New Roman" w:hAnsi="Times New Roman" w:cs="Times New Roman"/>
          <w:sz w:val="24"/>
          <w:szCs w:val="24"/>
        </w:rPr>
        <w:t xml:space="preserve">-Raventos, R.M. 1999. Analysis of total phenols and other oxidation substrates and antioxidants by means of </w:t>
      </w:r>
      <w:proofErr w:type="spellStart"/>
      <w:r w:rsidRPr="00327C93">
        <w:rPr>
          <w:rFonts w:ascii="Times New Roman" w:hAnsi="Times New Roman" w:cs="Times New Roman"/>
          <w:sz w:val="24"/>
          <w:szCs w:val="24"/>
        </w:rPr>
        <w:t>folin-ciocalteu</w:t>
      </w:r>
      <w:proofErr w:type="spellEnd"/>
      <w:r w:rsidRPr="00327C93">
        <w:rPr>
          <w:rFonts w:ascii="Times New Roman" w:hAnsi="Times New Roman" w:cs="Times New Roman"/>
          <w:sz w:val="24"/>
          <w:szCs w:val="24"/>
        </w:rPr>
        <w:t xml:space="preserve"> reagent. Meth. </w:t>
      </w:r>
      <w:proofErr w:type="spellStart"/>
      <w:r w:rsidRPr="00327C93">
        <w:rPr>
          <w:rFonts w:ascii="Times New Roman" w:hAnsi="Times New Roman" w:cs="Times New Roman"/>
          <w:sz w:val="24"/>
          <w:szCs w:val="24"/>
        </w:rPr>
        <w:t>Enzymol</w:t>
      </w:r>
      <w:proofErr w:type="spellEnd"/>
      <w:r w:rsidRPr="00327C93">
        <w:rPr>
          <w:rFonts w:ascii="Times New Roman" w:hAnsi="Times New Roman" w:cs="Times New Roman"/>
          <w:sz w:val="24"/>
          <w:szCs w:val="24"/>
        </w:rPr>
        <w:t>. 299: 152-78.</w:t>
      </w:r>
    </w:p>
    <w:p w14:paraId="7C8052AA"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Sun, J., Li, L., Liu, M., Wang, M., Ding, M., Deng, S., ... &amp; Chen, S. (2010). Hydrogen peroxide and nitric oxide mediate K+/Na+ homeostasis and antioxidant defense in NaCl-stressed callus cells of two contrasting poplars. </w:t>
      </w:r>
      <w:r w:rsidRPr="00327C93">
        <w:rPr>
          <w:rFonts w:ascii="Times New Roman" w:hAnsi="Times New Roman" w:cs="Times New Roman"/>
          <w:i/>
          <w:iCs/>
          <w:sz w:val="24"/>
          <w:szCs w:val="24"/>
          <w:shd w:val="clear" w:color="auto" w:fill="FFFFFF"/>
        </w:rPr>
        <w:t>Plant Cell, Tissue and Organ Culture (PCTOC)</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103</w:t>
      </w:r>
      <w:r w:rsidRPr="00327C93">
        <w:rPr>
          <w:rFonts w:ascii="Times New Roman" w:hAnsi="Times New Roman" w:cs="Times New Roman"/>
          <w:sz w:val="24"/>
          <w:szCs w:val="24"/>
          <w:shd w:val="clear" w:color="auto" w:fill="FFFFFF"/>
        </w:rPr>
        <w:t>, 205-215.</w:t>
      </w:r>
    </w:p>
    <w:p w14:paraId="61F043E2"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Tareen, M. J., Abbasi, N. A. and Hafiz, I. A. (2012). Postharvest application of salicylic </w:t>
      </w:r>
      <w:proofErr w:type="spellStart"/>
      <w:r w:rsidRPr="00327C93">
        <w:rPr>
          <w:rFonts w:ascii="Times New Roman" w:hAnsi="Times New Roman" w:cs="Times New Roman"/>
          <w:sz w:val="24"/>
          <w:szCs w:val="24"/>
        </w:rPr>
        <w:t>acidenhanced</w:t>
      </w:r>
      <w:proofErr w:type="spellEnd"/>
      <w:r w:rsidRPr="00327C93">
        <w:rPr>
          <w:rFonts w:ascii="Times New Roman" w:hAnsi="Times New Roman" w:cs="Times New Roman"/>
          <w:sz w:val="24"/>
          <w:szCs w:val="24"/>
        </w:rPr>
        <w:t xml:space="preserve"> antioxidant enzyme activity and maintained quality of </w:t>
      </w:r>
      <w:proofErr w:type="spellStart"/>
      <w:r w:rsidRPr="00327C93">
        <w:rPr>
          <w:rFonts w:ascii="Times New Roman" w:hAnsi="Times New Roman" w:cs="Times New Roman"/>
          <w:sz w:val="24"/>
          <w:szCs w:val="24"/>
        </w:rPr>
        <w:t>peachcv</w:t>
      </w:r>
      <w:proofErr w:type="spellEnd"/>
      <w:r w:rsidRPr="00327C93">
        <w:rPr>
          <w:rFonts w:ascii="Times New Roman" w:hAnsi="Times New Roman" w:cs="Times New Roman"/>
          <w:sz w:val="24"/>
          <w:szCs w:val="24"/>
        </w:rPr>
        <w:t>. ‘</w:t>
      </w:r>
      <w:proofErr w:type="spellStart"/>
      <w:r w:rsidRPr="00327C93">
        <w:rPr>
          <w:rFonts w:ascii="Times New Roman" w:hAnsi="Times New Roman" w:cs="Times New Roman"/>
          <w:sz w:val="24"/>
          <w:szCs w:val="24"/>
        </w:rPr>
        <w:t>Flordaking’fruit</w:t>
      </w:r>
      <w:proofErr w:type="spellEnd"/>
      <w:r w:rsidRPr="00327C93">
        <w:rPr>
          <w:rFonts w:ascii="Times New Roman" w:hAnsi="Times New Roman" w:cs="Times New Roman"/>
          <w:sz w:val="24"/>
          <w:szCs w:val="24"/>
        </w:rPr>
        <w:t xml:space="preserve"> during storage. </w:t>
      </w:r>
      <w:r w:rsidRPr="00327C93">
        <w:rPr>
          <w:rFonts w:ascii="Times New Roman" w:hAnsi="Times New Roman" w:cs="Times New Roman"/>
          <w:i/>
          <w:iCs/>
          <w:sz w:val="24"/>
          <w:szCs w:val="24"/>
        </w:rPr>
        <w:t xml:space="preserve">Scientia </w:t>
      </w:r>
      <w:proofErr w:type="spellStart"/>
      <w:r w:rsidRPr="00327C93">
        <w:rPr>
          <w:rFonts w:ascii="Times New Roman" w:hAnsi="Times New Roman" w:cs="Times New Roman"/>
          <w:i/>
          <w:iCs/>
          <w:sz w:val="24"/>
          <w:szCs w:val="24"/>
        </w:rPr>
        <w:t>Horticulturae</w:t>
      </w:r>
      <w:proofErr w:type="spellEnd"/>
      <w:r w:rsidRPr="00327C93">
        <w:rPr>
          <w:rFonts w:ascii="Times New Roman" w:hAnsi="Times New Roman" w:cs="Times New Roman"/>
          <w:sz w:val="24"/>
          <w:szCs w:val="24"/>
        </w:rPr>
        <w:t>, 142, 221-228.</w:t>
      </w:r>
    </w:p>
    <w:p w14:paraId="59692651" w14:textId="77777777" w:rsidR="00327C93" w:rsidRPr="00327C93" w:rsidRDefault="00327C93"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rPr>
        <w:t>Tsikas</w:t>
      </w:r>
      <w:proofErr w:type="spellEnd"/>
      <w:r w:rsidRPr="00327C93">
        <w:rPr>
          <w:rFonts w:ascii="Times New Roman" w:hAnsi="Times New Roman" w:cs="Times New Roman"/>
          <w:sz w:val="24"/>
          <w:szCs w:val="24"/>
        </w:rPr>
        <w:t xml:space="preserve">, D., </w:t>
      </w:r>
      <w:proofErr w:type="spellStart"/>
      <w:r w:rsidRPr="00327C93">
        <w:rPr>
          <w:rFonts w:ascii="Times New Roman" w:hAnsi="Times New Roman" w:cs="Times New Roman"/>
          <w:sz w:val="24"/>
          <w:szCs w:val="24"/>
        </w:rPr>
        <w:t>Mikuteit</w:t>
      </w:r>
      <w:proofErr w:type="spellEnd"/>
      <w:r w:rsidRPr="00327C93">
        <w:rPr>
          <w:rFonts w:ascii="Times New Roman" w:hAnsi="Times New Roman" w:cs="Times New Roman"/>
          <w:sz w:val="24"/>
          <w:szCs w:val="24"/>
        </w:rPr>
        <w:t xml:space="preserve">, M., </w:t>
      </w:r>
      <w:proofErr w:type="spellStart"/>
      <w:r w:rsidRPr="00327C93">
        <w:rPr>
          <w:rFonts w:ascii="Times New Roman" w:hAnsi="Times New Roman" w:cs="Times New Roman"/>
          <w:sz w:val="24"/>
          <w:szCs w:val="24"/>
        </w:rPr>
        <w:t>Tsikas</w:t>
      </w:r>
      <w:proofErr w:type="spellEnd"/>
      <w:r w:rsidRPr="00327C93">
        <w:rPr>
          <w:rFonts w:ascii="Times New Roman" w:hAnsi="Times New Roman" w:cs="Times New Roman"/>
          <w:sz w:val="24"/>
          <w:szCs w:val="24"/>
        </w:rPr>
        <w:t xml:space="preserve">, S. A. and </w:t>
      </w:r>
      <w:proofErr w:type="spellStart"/>
      <w:r w:rsidRPr="00327C93">
        <w:rPr>
          <w:rFonts w:ascii="Times New Roman" w:hAnsi="Times New Roman" w:cs="Times New Roman"/>
          <w:sz w:val="24"/>
          <w:szCs w:val="24"/>
        </w:rPr>
        <w:t>Ückert</w:t>
      </w:r>
      <w:proofErr w:type="spellEnd"/>
      <w:r w:rsidRPr="00327C93">
        <w:rPr>
          <w:rFonts w:ascii="Times New Roman" w:hAnsi="Times New Roman" w:cs="Times New Roman"/>
          <w:sz w:val="24"/>
          <w:szCs w:val="24"/>
        </w:rPr>
        <w:t>, S. (2023). Circulating and Urinary Concentrations of Malondialdehyde in Aging Humans in Health and Disease: Review and Discussion. </w:t>
      </w:r>
      <w:r w:rsidRPr="00327C93">
        <w:rPr>
          <w:rFonts w:ascii="Times New Roman" w:hAnsi="Times New Roman" w:cs="Times New Roman"/>
          <w:i/>
          <w:iCs/>
          <w:sz w:val="24"/>
          <w:szCs w:val="24"/>
        </w:rPr>
        <w:t>Biomedicines</w:t>
      </w:r>
      <w:r w:rsidRPr="00327C93">
        <w:rPr>
          <w:rFonts w:ascii="Times New Roman" w:hAnsi="Times New Roman" w:cs="Times New Roman"/>
          <w:sz w:val="24"/>
          <w:szCs w:val="24"/>
        </w:rPr>
        <w:t>, </w:t>
      </w:r>
      <w:r w:rsidRPr="00327C93">
        <w:rPr>
          <w:rFonts w:ascii="Times New Roman" w:hAnsi="Times New Roman" w:cs="Times New Roman"/>
          <w:i/>
          <w:iCs/>
          <w:sz w:val="24"/>
          <w:szCs w:val="24"/>
        </w:rPr>
        <w:t>11</w:t>
      </w:r>
      <w:r w:rsidRPr="00327C93">
        <w:rPr>
          <w:rFonts w:ascii="Times New Roman" w:hAnsi="Times New Roman" w:cs="Times New Roman"/>
          <w:sz w:val="24"/>
          <w:szCs w:val="24"/>
        </w:rPr>
        <w:t>(10), 2744.</w:t>
      </w:r>
    </w:p>
    <w:p w14:paraId="31EFDCE0" w14:textId="77777777" w:rsidR="00327C93" w:rsidRPr="00327C93" w:rsidRDefault="00327C93"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 xml:space="preserve">Wells, J. M. and </w:t>
      </w:r>
      <w:proofErr w:type="spellStart"/>
      <w:r w:rsidRPr="00327C93">
        <w:rPr>
          <w:rFonts w:ascii="Times New Roman" w:hAnsi="Times New Roman" w:cs="Times New Roman"/>
          <w:sz w:val="24"/>
          <w:szCs w:val="24"/>
        </w:rPr>
        <w:t>Uota</w:t>
      </w:r>
      <w:proofErr w:type="spellEnd"/>
      <w:r w:rsidRPr="00327C93">
        <w:rPr>
          <w:rFonts w:ascii="Times New Roman" w:hAnsi="Times New Roman" w:cs="Times New Roman"/>
          <w:sz w:val="24"/>
          <w:szCs w:val="24"/>
        </w:rPr>
        <w:t xml:space="preserve">, M. (1970). Germination and growth of five fungi in low-oxygen </w:t>
      </w:r>
      <w:proofErr w:type="spellStart"/>
      <w:r w:rsidRPr="00327C93">
        <w:rPr>
          <w:rFonts w:ascii="Times New Roman" w:hAnsi="Times New Roman" w:cs="Times New Roman"/>
          <w:sz w:val="24"/>
          <w:szCs w:val="24"/>
        </w:rPr>
        <w:t>andhigh</w:t>
      </w:r>
      <w:proofErr w:type="spellEnd"/>
      <w:r w:rsidRPr="00327C93">
        <w:rPr>
          <w:rFonts w:ascii="Times New Roman" w:hAnsi="Times New Roman" w:cs="Times New Roman"/>
          <w:sz w:val="24"/>
          <w:szCs w:val="24"/>
        </w:rPr>
        <w:t>-carbon dioxide atmospheres. </w:t>
      </w:r>
      <w:r w:rsidRPr="00327C93">
        <w:rPr>
          <w:rFonts w:ascii="Times New Roman" w:hAnsi="Times New Roman" w:cs="Times New Roman"/>
          <w:i/>
          <w:iCs/>
          <w:sz w:val="24"/>
          <w:szCs w:val="24"/>
        </w:rPr>
        <w:t>Phytopathology</w:t>
      </w:r>
      <w:r w:rsidRPr="00327C93">
        <w:rPr>
          <w:rFonts w:ascii="Times New Roman" w:hAnsi="Times New Roman" w:cs="Times New Roman"/>
          <w:sz w:val="24"/>
          <w:szCs w:val="24"/>
        </w:rPr>
        <w:t>, 60(1), 50-53.</w:t>
      </w:r>
    </w:p>
    <w:p w14:paraId="25B2AC87" w14:textId="77777777" w:rsidR="00023CE4" w:rsidRPr="00327C93" w:rsidRDefault="00023CE4"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 xml:space="preserve">Zaharah, S. S., &amp; Singh, Z. (2011). Postharvest nitric oxide fumigation alleviates chilling injury, delays fruit ripening and maintains quality in cold-stored ‘Kensington </w:t>
      </w:r>
      <w:proofErr w:type="spellStart"/>
      <w:r w:rsidRPr="00327C93">
        <w:rPr>
          <w:rFonts w:ascii="Times New Roman" w:hAnsi="Times New Roman" w:cs="Times New Roman"/>
          <w:sz w:val="24"/>
          <w:szCs w:val="24"/>
          <w:shd w:val="clear" w:color="auto" w:fill="FFFFFF"/>
        </w:rPr>
        <w:t>Pride’mango</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Postharvest Biology and Technology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60</w:t>
      </w:r>
      <w:r w:rsidRPr="00327C93">
        <w:rPr>
          <w:rFonts w:ascii="Times New Roman" w:hAnsi="Times New Roman" w:cs="Times New Roman"/>
          <w:sz w:val="24"/>
          <w:szCs w:val="24"/>
          <w:shd w:val="clear" w:color="auto" w:fill="FFFFFF"/>
        </w:rPr>
        <w:t>(3), 202-210.</w:t>
      </w:r>
    </w:p>
    <w:p w14:paraId="52918B30" w14:textId="77777777" w:rsidR="00023CE4" w:rsidRPr="00327C93" w:rsidRDefault="00023CE4"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rPr>
        <w:t>Zheng, X. and Tian, S. 2006. Effect of oxalic acid on control of postharvest browning of litchi fruit. 96: 519-523.</w:t>
      </w:r>
    </w:p>
    <w:p w14:paraId="3495899A" w14:textId="77777777" w:rsidR="00023CE4" w:rsidRPr="00327C93" w:rsidRDefault="00023CE4" w:rsidP="00327C93">
      <w:pPr>
        <w:spacing w:line="240" w:lineRule="auto"/>
        <w:jc w:val="both"/>
        <w:rPr>
          <w:rFonts w:ascii="Times New Roman" w:hAnsi="Times New Roman" w:cs="Times New Roman"/>
          <w:sz w:val="24"/>
          <w:szCs w:val="24"/>
        </w:rPr>
      </w:pPr>
      <w:r w:rsidRPr="00327C93">
        <w:rPr>
          <w:rFonts w:ascii="Times New Roman" w:hAnsi="Times New Roman" w:cs="Times New Roman"/>
          <w:sz w:val="24"/>
          <w:szCs w:val="24"/>
          <w:shd w:val="clear" w:color="auto" w:fill="FFFFFF"/>
        </w:rPr>
        <w:t>Zheng, X., Hu, B., Song, L., Pan, J., &amp; Liu, M. (2017). Changes in quality and defense resistance of kiwifruit in response to nitric oxide treatment during storage at room temperature. </w:t>
      </w:r>
      <w:r w:rsidRPr="00327C93">
        <w:rPr>
          <w:rFonts w:ascii="Times New Roman" w:hAnsi="Times New Roman" w:cs="Times New Roman"/>
          <w:i/>
          <w:iCs/>
          <w:sz w:val="24"/>
          <w:szCs w:val="24"/>
          <w:shd w:val="clear" w:color="auto" w:fill="FFFFFF"/>
        </w:rPr>
        <w:t xml:space="preserve">Scientia </w:t>
      </w:r>
      <w:proofErr w:type="spellStart"/>
      <w:r w:rsidRPr="00327C93">
        <w:rPr>
          <w:rFonts w:ascii="Times New Roman" w:hAnsi="Times New Roman" w:cs="Times New Roman"/>
          <w:i/>
          <w:iCs/>
          <w:sz w:val="24"/>
          <w:szCs w:val="24"/>
          <w:shd w:val="clear" w:color="auto" w:fill="FFFFFF"/>
        </w:rPr>
        <w:t>Horticulturae</w:t>
      </w:r>
      <w:proofErr w:type="spellEnd"/>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222</w:t>
      </w:r>
      <w:r w:rsidRPr="00327C93">
        <w:rPr>
          <w:rFonts w:ascii="Times New Roman" w:hAnsi="Times New Roman" w:cs="Times New Roman"/>
          <w:sz w:val="24"/>
          <w:szCs w:val="24"/>
          <w:shd w:val="clear" w:color="auto" w:fill="FFFFFF"/>
        </w:rPr>
        <w:t>, 187-192.</w:t>
      </w:r>
    </w:p>
    <w:p w14:paraId="67CCB8A0" w14:textId="77777777" w:rsidR="00023CE4" w:rsidRDefault="00023CE4" w:rsidP="00327C93">
      <w:pPr>
        <w:spacing w:line="240" w:lineRule="auto"/>
        <w:jc w:val="both"/>
        <w:rPr>
          <w:rFonts w:ascii="Times New Roman" w:hAnsi="Times New Roman" w:cs="Times New Roman"/>
          <w:sz w:val="24"/>
          <w:szCs w:val="24"/>
        </w:rPr>
      </w:pPr>
      <w:proofErr w:type="spellStart"/>
      <w:r w:rsidRPr="00327C93">
        <w:rPr>
          <w:rFonts w:ascii="Times New Roman" w:hAnsi="Times New Roman" w:cs="Times New Roman"/>
          <w:sz w:val="24"/>
          <w:szCs w:val="24"/>
          <w:shd w:val="clear" w:color="auto" w:fill="FFFFFF"/>
        </w:rPr>
        <w:t>Zhishen</w:t>
      </w:r>
      <w:proofErr w:type="spellEnd"/>
      <w:r w:rsidRPr="00327C93">
        <w:rPr>
          <w:rFonts w:ascii="Times New Roman" w:hAnsi="Times New Roman" w:cs="Times New Roman"/>
          <w:sz w:val="24"/>
          <w:szCs w:val="24"/>
          <w:shd w:val="clear" w:color="auto" w:fill="FFFFFF"/>
        </w:rPr>
        <w:t xml:space="preserve">, J., </w:t>
      </w:r>
      <w:proofErr w:type="spellStart"/>
      <w:r w:rsidRPr="00327C93">
        <w:rPr>
          <w:rFonts w:ascii="Times New Roman" w:hAnsi="Times New Roman" w:cs="Times New Roman"/>
          <w:sz w:val="24"/>
          <w:szCs w:val="24"/>
          <w:shd w:val="clear" w:color="auto" w:fill="FFFFFF"/>
        </w:rPr>
        <w:t>Mengcheng</w:t>
      </w:r>
      <w:proofErr w:type="spellEnd"/>
      <w:r w:rsidRPr="00327C93">
        <w:rPr>
          <w:rFonts w:ascii="Times New Roman" w:hAnsi="Times New Roman" w:cs="Times New Roman"/>
          <w:sz w:val="24"/>
          <w:szCs w:val="24"/>
          <w:shd w:val="clear" w:color="auto" w:fill="FFFFFF"/>
        </w:rPr>
        <w:t>, T., &amp; Jianming, W. (1999). The determination of flavonoid contents in mulberry and their scavenging effects on superoxide radicals. </w:t>
      </w:r>
      <w:r w:rsidRPr="00327C93">
        <w:rPr>
          <w:rFonts w:ascii="Times New Roman" w:hAnsi="Times New Roman" w:cs="Times New Roman"/>
          <w:i/>
          <w:iCs/>
          <w:sz w:val="24"/>
          <w:szCs w:val="24"/>
          <w:shd w:val="clear" w:color="auto" w:fill="FFFFFF"/>
        </w:rPr>
        <w:t>Food chemistry</w:t>
      </w:r>
      <w:r w:rsidRPr="00327C93">
        <w:rPr>
          <w:rFonts w:ascii="Times New Roman" w:hAnsi="Times New Roman" w:cs="Times New Roman"/>
          <w:sz w:val="24"/>
          <w:szCs w:val="24"/>
          <w:shd w:val="clear" w:color="auto" w:fill="FFFFFF"/>
        </w:rPr>
        <w:t>, </w:t>
      </w:r>
      <w:r w:rsidRPr="00327C93">
        <w:rPr>
          <w:rFonts w:ascii="Times New Roman" w:hAnsi="Times New Roman" w:cs="Times New Roman"/>
          <w:i/>
          <w:iCs/>
          <w:sz w:val="24"/>
          <w:szCs w:val="24"/>
          <w:shd w:val="clear" w:color="auto" w:fill="FFFFFF"/>
        </w:rPr>
        <w:t>64</w:t>
      </w:r>
      <w:r w:rsidRPr="00327C93">
        <w:rPr>
          <w:rFonts w:ascii="Times New Roman" w:hAnsi="Times New Roman" w:cs="Times New Roman"/>
          <w:sz w:val="24"/>
          <w:szCs w:val="24"/>
          <w:shd w:val="clear" w:color="auto" w:fill="FFFFFF"/>
        </w:rPr>
        <w:t>(4), 555-559.</w:t>
      </w:r>
      <w:r w:rsidRPr="00327C93">
        <w:rPr>
          <w:rFonts w:ascii="Times New Roman" w:hAnsi="Times New Roman" w:cs="Times New Roman"/>
          <w:sz w:val="24"/>
          <w:szCs w:val="24"/>
        </w:rPr>
        <w:t xml:space="preserve"> </w:t>
      </w:r>
    </w:p>
    <w:p w14:paraId="33D3D09B" w14:textId="77777777" w:rsidR="00023CE4" w:rsidRDefault="00023CE4" w:rsidP="00832C1B">
      <w:pPr>
        <w:spacing w:line="240" w:lineRule="auto"/>
        <w:jc w:val="both"/>
        <w:rPr>
          <w:rFonts w:ascii="Times New Roman" w:hAnsi="Times New Roman" w:cs="Times New Roman"/>
          <w:sz w:val="24"/>
          <w:szCs w:val="24"/>
        </w:rPr>
      </w:pPr>
      <w:proofErr w:type="spellStart"/>
      <w:r w:rsidRPr="00832C1B">
        <w:rPr>
          <w:rFonts w:ascii="Times New Roman" w:hAnsi="Times New Roman" w:cs="Times New Roman"/>
          <w:sz w:val="24"/>
          <w:szCs w:val="24"/>
        </w:rPr>
        <w:t>Ziaolhagh</w:t>
      </w:r>
      <w:proofErr w:type="spellEnd"/>
      <w:r w:rsidRPr="00832C1B">
        <w:rPr>
          <w:rFonts w:ascii="Times New Roman" w:hAnsi="Times New Roman" w:cs="Times New Roman"/>
          <w:sz w:val="24"/>
          <w:szCs w:val="24"/>
        </w:rPr>
        <w:t xml:space="preserve">, S.H. </w:t>
      </w:r>
      <w:r>
        <w:rPr>
          <w:rFonts w:ascii="Times New Roman" w:hAnsi="Times New Roman" w:cs="Times New Roman"/>
          <w:sz w:val="24"/>
          <w:szCs w:val="24"/>
        </w:rPr>
        <w:t>(</w:t>
      </w:r>
      <w:r w:rsidRPr="00832C1B">
        <w:rPr>
          <w:rFonts w:ascii="Times New Roman" w:hAnsi="Times New Roman" w:cs="Times New Roman"/>
          <w:sz w:val="24"/>
          <w:szCs w:val="24"/>
        </w:rPr>
        <w:t>2021</w:t>
      </w:r>
      <w:r>
        <w:rPr>
          <w:rFonts w:ascii="Times New Roman" w:hAnsi="Times New Roman" w:cs="Times New Roman"/>
          <w:sz w:val="24"/>
          <w:szCs w:val="24"/>
        </w:rPr>
        <w:t>)</w:t>
      </w:r>
      <w:r w:rsidRPr="00832C1B">
        <w:rPr>
          <w:rFonts w:ascii="Times New Roman" w:hAnsi="Times New Roman" w:cs="Times New Roman"/>
          <w:sz w:val="24"/>
          <w:szCs w:val="24"/>
        </w:rPr>
        <w:t xml:space="preserve">. Effects of some salts on the shelf life of </w:t>
      </w:r>
      <w:proofErr w:type="spellStart"/>
      <w:r w:rsidRPr="00832C1B">
        <w:rPr>
          <w:rFonts w:ascii="Times New Roman" w:hAnsi="Times New Roman" w:cs="Times New Roman"/>
          <w:sz w:val="24"/>
          <w:szCs w:val="24"/>
        </w:rPr>
        <w:t>Shahrood</w:t>
      </w:r>
      <w:proofErr w:type="spellEnd"/>
      <w:r w:rsidRPr="00832C1B">
        <w:rPr>
          <w:rFonts w:ascii="Times New Roman" w:hAnsi="Times New Roman" w:cs="Times New Roman"/>
          <w:sz w:val="24"/>
          <w:szCs w:val="24"/>
        </w:rPr>
        <w:t xml:space="preserve"> </w:t>
      </w:r>
      <w:proofErr w:type="spellStart"/>
      <w:r w:rsidRPr="00832C1B">
        <w:rPr>
          <w:rFonts w:ascii="Times New Roman" w:hAnsi="Times New Roman" w:cs="Times New Roman"/>
          <w:sz w:val="24"/>
          <w:szCs w:val="24"/>
        </w:rPr>
        <w:t>Sorkh</w:t>
      </w:r>
      <w:proofErr w:type="spellEnd"/>
      <w:r w:rsidRPr="00832C1B">
        <w:rPr>
          <w:rFonts w:ascii="Times New Roman" w:hAnsi="Times New Roman" w:cs="Times New Roman"/>
          <w:sz w:val="24"/>
          <w:szCs w:val="24"/>
        </w:rPr>
        <w:t>-e-Fakhri table grapes stored in cold storage. Iranian Food Science and Technology Research Journal. 16(6):101-110.</w:t>
      </w:r>
    </w:p>
    <w:p w14:paraId="5FF69529" w14:textId="77777777" w:rsidR="00023CE4" w:rsidRPr="006C56C5" w:rsidRDefault="00023CE4" w:rsidP="00023CE4">
      <w:pPr>
        <w:spacing w:line="240" w:lineRule="auto"/>
        <w:jc w:val="both"/>
        <w:rPr>
          <w:rFonts w:ascii="Times New Roman" w:hAnsi="Times New Roman" w:cs="Times New Roman"/>
          <w:sz w:val="24"/>
          <w:szCs w:val="24"/>
        </w:rPr>
      </w:pPr>
      <w:proofErr w:type="spellStart"/>
      <w:r w:rsidRPr="006C56C5">
        <w:rPr>
          <w:rFonts w:ascii="Times New Roman" w:hAnsi="Times New Roman" w:cs="Times New Roman"/>
          <w:sz w:val="24"/>
          <w:szCs w:val="24"/>
        </w:rPr>
        <w:t>Ziaolhagh</w:t>
      </w:r>
      <w:proofErr w:type="spellEnd"/>
      <w:r w:rsidRPr="006C56C5">
        <w:rPr>
          <w:rFonts w:ascii="Times New Roman" w:hAnsi="Times New Roman" w:cs="Times New Roman"/>
          <w:sz w:val="24"/>
          <w:szCs w:val="24"/>
        </w:rPr>
        <w:t xml:space="preserve">, S.H.R. </w:t>
      </w:r>
      <w:r>
        <w:rPr>
          <w:rFonts w:ascii="Times New Roman" w:hAnsi="Times New Roman" w:cs="Times New Roman"/>
          <w:sz w:val="24"/>
          <w:szCs w:val="24"/>
        </w:rPr>
        <w:t>(</w:t>
      </w:r>
      <w:r w:rsidRPr="006C56C5">
        <w:rPr>
          <w:rFonts w:ascii="Times New Roman" w:hAnsi="Times New Roman" w:cs="Times New Roman"/>
          <w:sz w:val="24"/>
          <w:szCs w:val="24"/>
        </w:rPr>
        <w:t>1999</w:t>
      </w:r>
      <w:r>
        <w:rPr>
          <w:rFonts w:ascii="Times New Roman" w:hAnsi="Times New Roman" w:cs="Times New Roman"/>
          <w:sz w:val="24"/>
          <w:szCs w:val="24"/>
        </w:rPr>
        <w:t>)</w:t>
      </w:r>
      <w:r w:rsidRPr="006C56C5">
        <w:rPr>
          <w:rFonts w:ascii="Times New Roman" w:hAnsi="Times New Roman" w:cs="Times New Roman"/>
          <w:sz w:val="24"/>
          <w:szCs w:val="24"/>
        </w:rPr>
        <w:t>. </w:t>
      </w:r>
      <w:r w:rsidRPr="006C56C5">
        <w:rPr>
          <w:rFonts w:ascii="Times New Roman" w:hAnsi="Times New Roman" w:cs="Times New Roman"/>
          <w:i/>
          <w:iCs/>
          <w:sz w:val="24"/>
          <w:szCs w:val="24"/>
        </w:rPr>
        <w:t>Investigation on the quality and shelf life of raisin and dried apricots in different export packages</w:t>
      </w:r>
      <w:r w:rsidRPr="006C56C5">
        <w:rPr>
          <w:rFonts w:ascii="Times New Roman" w:hAnsi="Times New Roman" w:cs="Times New Roman"/>
          <w:sz w:val="24"/>
          <w:szCs w:val="24"/>
        </w:rPr>
        <w:t> (Doctoral dissertation, M. Sc. Thesis. Ferdowsi University of Mashhad).</w:t>
      </w:r>
    </w:p>
    <w:p w14:paraId="4F25E93A" w14:textId="77777777" w:rsidR="00023CE4" w:rsidRPr="00832C1B" w:rsidRDefault="00023CE4" w:rsidP="00832C1B">
      <w:pPr>
        <w:spacing w:line="240" w:lineRule="auto"/>
        <w:jc w:val="both"/>
        <w:rPr>
          <w:rFonts w:ascii="Times New Roman" w:hAnsi="Times New Roman" w:cs="Times New Roman"/>
          <w:sz w:val="24"/>
          <w:szCs w:val="24"/>
        </w:rPr>
      </w:pPr>
    </w:p>
    <w:p w14:paraId="56A01540" w14:textId="77777777" w:rsidR="00832C1B" w:rsidRPr="00327C93" w:rsidRDefault="00832C1B" w:rsidP="00327C93">
      <w:pPr>
        <w:spacing w:line="240" w:lineRule="auto"/>
        <w:jc w:val="both"/>
        <w:rPr>
          <w:rFonts w:ascii="Times New Roman" w:hAnsi="Times New Roman" w:cs="Times New Roman"/>
          <w:sz w:val="24"/>
          <w:szCs w:val="24"/>
        </w:rPr>
      </w:pPr>
    </w:p>
    <w:sectPr w:rsidR="00832C1B" w:rsidRPr="00327C93" w:rsidSect="007178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04EC3" w14:textId="77777777" w:rsidR="002C57CF" w:rsidRDefault="002C57CF" w:rsidP="00646420">
      <w:pPr>
        <w:spacing w:after="0" w:line="240" w:lineRule="auto"/>
      </w:pPr>
      <w:r>
        <w:separator/>
      </w:r>
    </w:p>
  </w:endnote>
  <w:endnote w:type="continuationSeparator" w:id="0">
    <w:p w14:paraId="30BBC8C4" w14:textId="77777777" w:rsidR="002C57CF" w:rsidRDefault="002C57CF" w:rsidP="0064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77F03" w14:textId="77777777" w:rsidR="00646420" w:rsidRDefault="00646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8793" w14:textId="77777777" w:rsidR="00646420" w:rsidRDefault="00646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F707" w14:textId="77777777" w:rsidR="00646420" w:rsidRDefault="00646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445FA" w14:textId="77777777" w:rsidR="002C57CF" w:rsidRDefault="002C57CF" w:rsidP="00646420">
      <w:pPr>
        <w:spacing w:after="0" w:line="240" w:lineRule="auto"/>
      </w:pPr>
      <w:r>
        <w:separator/>
      </w:r>
    </w:p>
  </w:footnote>
  <w:footnote w:type="continuationSeparator" w:id="0">
    <w:p w14:paraId="05B3B60B" w14:textId="77777777" w:rsidR="002C57CF" w:rsidRDefault="002C57CF" w:rsidP="0064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88AE" w14:textId="35434721" w:rsidR="00646420" w:rsidRDefault="00000000">
    <w:pPr>
      <w:pStyle w:val="Header"/>
    </w:pPr>
    <w:r>
      <w:rPr>
        <w:noProof/>
      </w:rPr>
      <w:pict w14:anchorId="0D634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ECD7" w14:textId="157C77F1" w:rsidR="00646420" w:rsidRDefault="00000000">
    <w:pPr>
      <w:pStyle w:val="Header"/>
    </w:pPr>
    <w:r>
      <w:rPr>
        <w:noProof/>
      </w:rPr>
      <w:pict w14:anchorId="1C842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424ED" w14:textId="6F817508" w:rsidR="00646420" w:rsidRDefault="00000000">
    <w:pPr>
      <w:pStyle w:val="Header"/>
    </w:pPr>
    <w:r>
      <w:rPr>
        <w:noProof/>
      </w:rPr>
      <w:pict w14:anchorId="3D974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33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523B"/>
    <w:rsid w:val="000163B2"/>
    <w:rsid w:val="00023CE4"/>
    <w:rsid w:val="0004375A"/>
    <w:rsid w:val="000A556C"/>
    <w:rsid w:val="0013151E"/>
    <w:rsid w:val="0013179C"/>
    <w:rsid w:val="00166C8B"/>
    <w:rsid w:val="001A66CD"/>
    <w:rsid w:val="001C5604"/>
    <w:rsid w:val="001D004A"/>
    <w:rsid w:val="001F4847"/>
    <w:rsid w:val="001F7417"/>
    <w:rsid w:val="00247BA8"/>
    <w:rsid w:val="0028606D"/>
    <w:rsid w:val="002C57CF"/>
    <w:rsid w:val="002C6BAC"/>
    <w:rsid w:val="00324BD4"/>
    <w:rsid w:val="00327C93"/>
    <w:rsid w:val="0033541A"/>
    <w:rsid w:val="003B5838"/>
    <w:rsid w:val="003B7605"/>
    <w:rsid w:val="003D64C5"/>
    <w:rsid w:val="003E5695"/>
    <w:rsid w:val="003F1F97"/>
    <w:rsid w:val="00424D83"/>
    <w:rsid w:val="00456E44"/>
    <w:rsid w:val="00464807"/>
    <w:rsid w:val="004A7054"/>
    <w:rsid w:val="00510DE5"/>
    <w:rsid w:val="00513779"/>
    <w:rsid w:val="00526291"/>
    <w:rsid w:val="0053251C"/>
    <w:rsid w:val="00534109"/>
    <w:rsid w:val="005346FE"/>
    <w:rsid w:val="0054523B"/>
    <w:rsid w:val="00573B12"/>
    <w:rsid w:val="00585F9B"/>
    <w:rsid w:val="005C68F0"/>
    <w:rsid w:val="005F3A4F"/>
    <w:rsid w:val="00616EC4"/>
    <w:rsid w:val="00646420"/>
    <w:rsid w:val="00655EED"/>
    <w:rsid w:val="006606C2"/>
    <w:rsid w:val="00671451"/>
    <w:rsid w:val="006724A4"/>
    <w:rsid w:val="00672B18"/>
    <w:rsid w:val="00675C72"/>
    <w:rsid w:val="006B40C0"/>
    <w:rsid w:val="006C56C5"/>
    <w:rsid w:val="006E2D26"/>
    <w:rsid w:val="006E7A63"/>
    <w:rsid w:val="0071235D"/>
    <w:rsid w:val="00717810"/>
    <w:rsid w:val="00726696"/>
    <w:rsid w:val="00745C0C"/>
    <w:rsid w:val="00761CC0"/>
    <w:rsid w:val="0076786F"/>
    <w:rsid w:val="007B2EB7"/>
    <w:rsid w:val="00832C1B"/>
    <w:rsid w:val="00875D1F"/>
    <w:rsid w:val="00876F8A"/>
    <w:rsid w:val="00882F50"/>
    <w:rsid w:val="008C788A"/>
    <w:rsid w:val="00917698"/>
    <w:rsid w:val="00934E12"/>
    <w:rsid w:val="00965139"/>
    <w:rsid w:val="00965842"/>
    <w:rsid w:val="009A55F7"/>
    <w:rsid w:val="009E07AE"/>
    <w:rsid w:val="00A26720"/>
    <w:rsid w:val="00A31A5E"/>
    <w:rsid w:val="00A450FC"/>
    <w:rsid w:val="00AB51FC"/>
    <w:rsid w:val="00AC27F6"/>
    <w:rsid w:val="00AD2A78"/>
    <w:rsid w:val="00B13588"/>
    <w:rsid w:val="00B5288D"/>
    <w:rsid w:val="00B6338E"/>
    <w:rsid w:val="00B83FCD"/>
    <w:rsid w:val="00B95F7C"/>
    <w:rsid w:val="00BC6C31"/>
    <w:rsid w:val="00BD4491"/>
    <w:rsid w:val="00BD468C"/>
    <w:rsid w:val="00C27559"/>
    <w:rsid w:val="00C74F86"/>
    <w:rsid w:val="00C76666"/>
    <w:rsid w:val="00C9175F"/>
    <w:rsid w:val="00CC40AC"/>
    <w:rsid w:val="00CD35E7"/>
    <w:rsid w:val="00CE51A5"/>
    <w:rsid w:val="00D115CA"/>
    <w:rsid w:val="00D401F1"/>
    <w:rsid w:val="00D432E4"/>
    <w:rsid w:val="00DD074C"/>
    <w:rsid w:val="00E17E16"/>
    <w:rsid w:val="00E53BB0"/>
    <w:rsid w:val="00E76D08"/>
    <w:rsid w:val="00EC6BCF"/>
    <w:rsid w:val="00EC768E"/>
    <w:rsid w:val="00F418D3"/>
    <w:rsid w:val="00F756F3"/>
    <w:rsid w:val="00F7633E"/>
    <w:rsid w:val="00F81631"/>
    <w:rsid w:val="00FB09D5"/>
    <w:rsid w:val="00FB1C96"/>
    <w:rsid w:val="00FB29A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9C3C"/>
  <w15:docId w15:val="{4B4AB7E8-F696-4113-A438-8520C21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5F"/>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468C"/>
    <w:rPr>
      <w:b/>
      <w:bCs/>
    </w:rPr>
  </w:style>
  <w:style w:type="paragraph" w:customStyle="1" w:styleId="Default">
    <w:name w:val="Default"/>
    <w:rsid w:val="005346FE"/>
    <w:pPr>
      <w:autoSpaceDE w:val="0"/>
      <w:autoSpaceDN w:val="0"/>
      <w:adjustRightInd w:val="0"/>
      <w:spacing w:after="0" w:line="240" w:lineRule="auto"/>
    </w:pPr>
    <w:rPr>
      <w:rFonts w:ascii="Arial" w:eastAsia="Times New Roman" w:hAnsi="Arial" w:cs="Arial"/>
      <w:color w:val="000000"/>
      <w:sz w:val="24"/>
      <w:szCs w:val="24"/>
      <w:lang w:val="el-GR" w:eastAsia="el-GR" w:bidi="ar-SA"/>
    </w:rPr>
  </w:style>
  <w:style w:type="table" w:styleId="TableGrid">
    <w:name w:val="Table Grid"/>
    <w:basedOn w:val="TableNormal"/>
    <w:uiPriority w:val="59"/>
    <w:rsid w:val="00E53BB0"/>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7178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75C7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75C72"/>
    <w:rPr>
      <w:rFonts w:ascii="Tahoma" w:hAnsi="Tahoma" w:cs="Mangal"/>
      <w:sz w:val="16"/>
      <w:szCs w:val="14"/>
    </w:rPr>
  </w:style>
  <w:style w:type="paragraph" w:styleId="NormalWeb">
    <w:name w:val="Normal (Web)"/>
    <w:basedOn w:val="Normal"/>
    <w:uiPriority w:val="99"/>
    <w:semiHidden/>
    <w:unhideWhenUsed/>
    <w:rsid w:val="0013151E"/>
    <w:rPr>
      <w:rFonts w:ascii="Times New Roman" w:hAnsi="Times New Roman"/>
      <w:sz w:val="24"/>
      <w:szCs w:val="21"/>
    </w:rPr>
  </w:style>
  <w:style w:type="character" w:styleId="Hyperlink">
    <w:name w:val="Hyperlink"/>
    <w:basedOn w:val="DefaultParagraphFont"/>
    <w:uiPriority w:val="99"/>
    <w:unhideWhenUsed/>
    <w:rsid w:val="00761CC0"/>
    <w:rPr>
      <w:color w:val="0000FF" w:themeColor="hyperlink"/>
      <w:u w:val="single"/>
    </w:rPr>
  </w:style>
  <w:style w:type="character" w:customStyle="1" w:styleId="UnresolvedMention1">
    <w:name w:val="Unresolved Mention1"/>
    <w:basedOn w:val="DefaultParagraphFont"/>
    <w:uiPriority w:val="99"/>
    <w:semiHidden/>
    <w:unhideWhenUsed/>
    <w:rsid w:val="00761CC0"/>
    <w:rPr>
      <w:color w:val="605E5C"/>
      <w:shd w:val="clear" w:color="auto" w:fill="E1DFDD"/>
    </w:rPr>
  </w:style>
  <w:style w:type="character" w:styleId="UnresolvedMention">
    <w:name w:val="Unresolved Mention"/>
    <w:basedOn w:val="DefaultParagraphFont"/>
    <w:uiPriority w:val="99"/>
    <w:semiHidden/>
    <w:unhideWhenUsed/>
    <w:rsid w:val="00CD35E7"/>
    <w:rPr>
      <w:color w:val="605E5C"/>
      <w:shd w:val="clear" w:color="auto" w:fill="E1DFDD"/>
    </w:rPr>
  </w:style>
  <w:style w:type="paragraph" w:styleId="Header">
    <w:name w:val="header"/>
    <w:basedOn w:val="Normal"/>
    <w:link w:val="HeaderChar"/>
    <w:uiPriority w:val="99"/>
    <w:unhideWhenUsed/>
    <w:rsid w:val="00646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420"/>
    <w:rPr>
      <w:rFonts w:cs="Mangal"/>
    </w:rPr>
  </w:style>
  <w:style w:type="paragraph" w:styleId="Footer">
    <w:name w:val="footer"/>
    <w:basedOn w:val="Normal"/>
    <w:link w:val="FooterChar"/>
    <w:uiPriority w:val="99"/>
    <w:unhideWhenUsed/>
    <w:rsid w:val="00646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42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2383">
      <w:bodyDiv w:val="1"/>
      <w:marLeft w:val="0"/>
      <w:marRight w:val="0"/>
      <w:marTop w:val="0"/>
      <w:marBottom w:val="0"/>
      <w:divBdr>
        <w:top w:val="none" w:sz="0" w:space="0" w:color="auto"/>
        <w:left w:val="none" w:sz="0" w:space="0" w:color="auto"/>
        <w:bottom w:val="none" w:sz="0" w:space="0" w:color="auto"/>
        <w:right w:val="none" w:sz="0" w:space="0" w:color="auto"/>
      </w:divBdr>
    </w:div>
    <w:div w:id="114374266">
      <w:bodyDiv w:val="1"/>
      <w:marLeft w:val="0"/>
      <w:marRight w:val="0"/>
      <w:marTop w:val="0"/>
      <w:marBottom w:val="0"/>
      <w:divBdr>
        <w:top w:val="none" w:sz="0" w:space="0" w:color="auto"/>
        <w:left w:val="none" w:sz="0" w:space="0" w:color="auto"/>
        <w:bottom w:val="none" w:sz="0" w:space="0" w:color="auto"/>
        <w:right w:val="none" w:sz="0" w:space="0" w:color="auto"/>
      </w:divBdr>
    </w:div>
    <w:div w:id="121731189">
      <w:bodyDiv w:val="1"/>
      <w:marLeft w:val="0"/>
      <w:marRight w:val="0"/>
      <w:marTop w:val="0"/>
      <w:marBottom w:val="0"/>
      <w:divBdr>
        <w:top w:val="none" w:sz="0" w:space="0" w:color="auto"/>
        <w:left w:val="none" w:sz="0" w:space="0" w:color="auto"/>
        <w:bottom w:val="none" w:sz="0" w:space="0" w:color="auto"/>
        <w:right w:val="none" w:sz="0" w:space="0" w:color="auto"/>
      </w:divBdr>
    </w:div>
    <w:div w:id="298344171">
      <w:bodyDiv w:val="1"/>
      <w:marLeft w:val="0"/>
      <w:marRight w:val="0"/>
      <w:marTop w:val="0"/>
      <w:marBottom w:val="0"/>
      <w:divBdr>
        <w:top w:val="none" w:sz="0" w:space="0" w:color="auto"/>
        <w:left w:val="none" w:sz="0" w:space="0" w:color="auto"/>
        <w:bottom w:val="none" w:sz="0" w:space="0" w:color="auto"/>
        <w:right w:val="none" w:sz="0" w:space="0" w:color="auto"/>
      </w:divBdr>
    </w:div>
    <w:div w:id="418059311">
      <w:bodyDiv w:val="1"/>
      <w:marLeft w:val="0"/>
      <w:marRight w:val="0"/>
      <w:marTop w:val="0"/>
      <w:marBottom w:val="0"/>
      <w:divBdr>
        <w:top w:val="none" w:sz="0" w:space="0" w:color="auto"/>
        <w:left w:val="none" w:sz="0" w:space="0" w:color="auto"/>
        <w:bottom w:val="none" w:sz="0" w:space="0" w:color="auto"/>
        <w:right w:val="none" w:sz="0" w:space="0" w:color="auto"/>
      </w:divBdr>
    </w:div>
    <w:div w:id="534467220">
      <w:bodyDiv w:val="1"/>
      <w:marLeft w:val="0"/>
      <w:marRight w:val="0"/>
      <w:marTop w:val="0"/>
      <w:marBottom w:val="0"/>
      <w:divBdr>
        <w:top w:val="none" w:sz="0" w:space="0" w:color="auto"/>
        <w:left w:val="none" w:sz="0" w:space="0" w:color="auto"/>
        <w:bottom w:val="none" w:sz="0" w:space="0" w:color="auto"/>
        <w:right w:val="none" w:sz="0" w:space="0" w:color="auto"/>
      </w:divBdr>
    </w:div>
    <w:div w:id="570388126">
      <w:bodyDiv w:val="1"/>
      <w:marLeft w:val="0"/>
      <w:marRight w:val="0"/>
      <w:marTop w:val="0"/>
      <w:marBottom w:val="0"/>
      <w:divBdr>
        <w:top w:val="none" w:sz="0" w:space="0" w:color="auto"/>
        <w:left w:val="none" w:sz="0" w:space="0" w:color="auto"/>
        <w:bottom w:val="none" w:sz="0" w:space="0" w:color="auto"/>
        <w:right w:val="none" w:sz="0" w:space="0" w:color="auto"/>
      </w:divBdr>
    </w:div>
    <w:div w:id="620066545">
      <w:bodyDiv w:val="1"/>
      <w:marLeft w:val="0"/>
      <w:marRight w:val="0"/>
      <w:marTop w:val="0"/>
      <w:marBottom w:val="0"/>
      <w:divBdr>
        <w:top w:val="none" w:sz="0" w:space="0" w:color="auto"/>
        <w:left w:val="none" w:sz="0" w:space="0" w:color="auto"/>
        <w:bottom w:val="none" w:sz="0" w:space="0" w:color="auto"/>
        <w:right w:val="none" w:sz="0" w:space="0" w:color="auto"/>
      </w:divBdr>
    </w:div>
    <w:div w:id="679622430">
      <w:bodyDiv w:val="1"/>
      <w:marLeft w:val="0"/>
      <w:marRight w:val="0"/>
      <w:marTop w:val="0"/>
      <w:marBottom w:val="0"/>
      <w:divBdr>
        <w:top w:val="none" w:sz="0" w:space="0" w:color="auto"/>
        <w:left w:val="none" w:sz="0" w:space="0" w:color="auto"/>
        <w:bottom w:val="none" w:sz="0" w:space="0" w:color="auto"/>
        <w:right w:val="none" w:sz="0" w:space="0" w:color="auto"/>
      </w:divBdr>
    </w:div>
    <w:div w:id="716511733">
      <w:bodyDiv w:val="1"/>
      <w:marLeft w:val="0"/>
      <w:marRight w:val="0"/>
      <w:marTop w:val="0"/>
      <w:marBottom w:val="0"/>
      <w:divBdr>
        <w:top w:val="none" w:sz="0" w:space="0" w:color="auto"/>
        <w:left w:val="none" w:sz="0" w:space="0" w:color="auto"/>
        <w:bottom w:val="none" w:sz="0" w:space="0" w:color="auto"/>
        <w:right w:val="none" w:sz="0" w:space="0" w:color="auto"/>
      </w:divBdr>
    </w:div>
    <w:div w:id="817303432">
      <w:bodyDiv w:val="1"/>
      <w:marLeft w:val="0"/>
      <w:marRight w:val="0"/>
      <w:marTop w:val="0"/>
      <w:marBottom w:val="0"/>
      <w:divBdr>
        <w:top w:val="none" w:sz="0" w:space="0" w:color="auto"/>
        <w:left w:val="none" w:sz="0" w:space="0" w:color="auto"/>
        <w:bottom w:val="none" w:sz="0" w:space="0" w:color="auto"/>
        <w:right w:val="none" w:sz="0" w:space="0" w:color="auto"/>
      </w:divBdr>
    </w:div>
    <w:div w:id="838421283">
      <w:bodyDiv w:val="1"/>
      <w:marLeft w:val="0"/>
      <w:marRight w:val="0"/>
      <w:marTop w:val="0"/>
      <w:marBottom w:val="0"/>
      <w:divBdr>
        <w:top w:val="none" w:sz="0" w:space="0" w:color="auto"/>
        <w:left w:val="none" w:sz="0" w:space="0" w:color="auto"/>
        <w:bottom w:val="none" w:sz="0" w:space="0" w:color="auto"/>
        <w:right w:val="none" w:sz="0" w:space="0" w:color="auto"/>
      </w:divBdr>
    </w:div>
    <w:div w:id="851799364">
      <w:bodyDiv w:val="1"/>
      <w:marLeft w:val="0"/>
      <w:marRight w:val="0"/>
      <w:marTop w:val="0"/>
      <w:marBottom w:val="0"/>
      <w:divBdr>
        <w:top w:val="none" w:sz="0" w:space="0" w:color="auto"/>
        <w:left w:val="none" w:sz="0" w:space="0" w:color="auto"/>
        <w:bottom w:val="none" w:sz="0" w:space="0" w:color="auto"/>
        <w:right w:val="none" w:sz="0" w:space="0" w:color="auto"/>
      </w:divBdr>
    </w:div>
    <w:div w:id="879055743">
      <w:bodyDiv w:val="1"/>
      <w:marLeft w:val="0"/>
      <w:marRight w:val="0"/>
      <w:marTop w:val="0"/>
      <w:marBottom w:val="0"/>
      <w:divBdr>
        <w:top w:val="none" w:sz="0" w:space="0" w:color="auto"/>
        <w:left w:val="none" w:sz="0" w:space="0" w:color="auto"/>
        <w:bottom w:val="none" w:sz="0" w:space="0" w:color="auto"/>
        <w:right w:val="none" w:sz="0" w:space="0" w:color="auto"/>
      </w:divBdr>
    </w:div>
    <w:div w:id="961107878">
      <w:bodyDiv w:val="1"/>
      <w:marLeft w:val="0"/>
      <w:marRight w:val="0"/>
      <w:marTop w:val="0"/>
      <w:marBottom w:val="0"/>
      <w:divBdr>
        <w:top w:val="none" w:sz="0" w:space="0" w:color="auto"/>
        <w:left w:val="none" w:sz="0" w:space="0" w:color="auto"/>
        <w:bottom w:val="none" w:sz="0" w:space="0" w:color="auto"/>
        <w:right w:val="none" w:sz="0" w:space="0" w:color="auto"/>
      </w:divBdr>
    </w:div>
    <w:div w:id="1034960235">
      <w:bodyDiv w:val="1"/>
      <w:marLeft w:val="0"/>
      <w:marRight w:val="0"/>
      <w:marTop w:val="0"/>
      <w:marBottom w:val="0"/>
      <w:divBdr>
        <w:top w:val="none" w:sz="0" w:space="0" w:color="auto"/>
        <w:left w:val="none" w:sz="0" w:space="0" w:color="auto"/>
        <w:bottom w:val="none" w:sz="0" w:space="0" w:color="auto"/>
        <w:right w:val="none" w:sz="0" w:space="0" w:color="auto"/>
      </w:divBdr>
    </w:div>
    <w:div w:id="1051000896">
      <w:bodyDiv w:val="1"/>
      <w:marLeft w:val="0"/>
      <w:marRight w:val="0"/>
      <w:marTop w:val="0"/>
      <w:marBottom w:val="0"/>
      <w:divBdr>
        <w:top w:val="none" w:sz="0" w:space="0" w:color="auto"/>
        <w:left w:val="none" w:sz="0" w:space="0" w:color="auto"/>
        <w:bottom w:val="none" w:sz="0" w:space="0" w:color="auto"/>
        <w:right w:val="none" w:sz="0" w:space="0" w:color="auto"/>
      </w:divBdr>
    </w:div>
    <w:div w:id="1146627290">
      <w:bodyDiv w:val="1"/>
      <w:marLeft w:val="0"/>
      <w:marRight w:val="0"/>
      <w:marTop w:val="0"/>
      <w:marBottom w:val="0"/>
      <w:divBdr>
        <w:top w:val="none" w:sz="0" w:space="0" w:color="auto"/>
        <w:left w:val="none" w:sz="0" w:space="0" w:color="auto"/>
        <w:bottom w:val="none" w:sz="0" w:space="0" w:color="auto"/>
        <w:right w:val="none" w:sz="0" w:space="0" w:color="auto"/>
      </w:divBdr>
    </w:div>
    <w:div w:id="1343317213">
      <w:bodyDiv w:val="1"/>
      <w:marLeft w:val="0"/>
      <w:marRight w:val="0"/>
      <w:marTop w:val="0"/>
      <w:marBottom w:val="0"/>
      <w:divBdr>
        <w:top w:val="none" w:sz="0" w:space="0" w:color="auto"/>
        <w:left w:val="none" w:sz="0" w:space="0" w:color="auto"/>
        <w:bottom w:val="none" w:sz="0" w:space="0" w:color="auto"/>
        <w:right w:val="none" w:sz="0" w:space="0" w:color="auto"/>
      </w:divBdr>
    </w:div>
    <w:div w:id="1362902538">
      <w:bodyDiv w:val="1"/>
      <w:marLeft w:val="0"/>
      <w:marRight w:val="0"/>
      <w:marTop w:val="0"/>
      <w:marBottom w:val="0"/>
      <w:divBdr>
        <w:top w:val="none" w:sz="0" w:space="0" w:color="auto"/>
        <w:left w:val="none" w:sz="0" w:space="0" w:color="auto"/>
        <w:bottom w:val="none" w:sz="0" w:space="0" w:color="auto"/>
        <w:right w:val="none" w:sz="0" w:space="0" w:color="auto"/>
      </w:divBdr>
    </w:div>
    <w:div w:id="1379428821">
      <w:bodyDiv w:val="1"/>
      <w:marLeft w:val="0"/>
      <w:marRight w:val="0"/>
      <w:marTop w:val="0"/>
      <w:marBottom w:val="0"/>
      <w:divBdr>
        <w:top w:val="none" w:sz="0" w:space="0" w:color="auto"/>
        <w:left w:val="none" w:sz="0" w:space="0" w:color="auto"/>
        <w:bottom w:val="none" w:sz="0" w:space="0" w:color="auto"/>
        <w:right w:val="none" w:sz="0" w:space="0" w:color="auto"/>
      </w:divBdr>
    </w:div>
    <w:div w:id="1379891528">
      <w:bodyDiv w:val="1"/>
      <w:marLeft w:val="0"/>
      <w:marRight w:val="0"/>
      <w:marTop w:val="0"/>
      <w:marBottom w:val="0"/>
      <w:divBdr>
        <w:top w:val="none" w:sz="0" w:space="0" w:color="auto"/>
        <w:left w:val="none" w:sz="0" w:space="0" w:color="auto"/>
        <w:bottom w:val="none" w:sz="0" w:space="0" w:color="auto"/>
        <w:right w:val="none" w:sz="0" w:space="0" w:color="auto"/>
      </w:divBdr>
    </w:div>
    <w:div w:id="1422023382">
      <w:bodyDiv w:val="1"/>
      <w:marLeft w:val="0"/>
      <w:marRight w:val="0"/>
      <w:marTop w:val="0"/>
      <w:marBottom w:val="0"/>
      <w:divBdr>
        <w:top w:val="none" w:sz="0" w:space="0" w:color="auto"/>
        <w:left w:val="none" w:sz="0" w:space="0" w:color="auto"/>
        <w:bottom w:val="none" w:sz="0" w:space="0" w:color="auto"/>
        <w:right w:val="none" w:sz="0" w:space="0" w:color="auto"/>
      </w:divBdr>
    </w:div>
    <w:div w:id="1429812201">
      <w:bodyDiv w:val="1"/>
      <w:marLeft w:val="0"/>
      <w:marRight w:val="0"/>
      <w:marTop w:val="0"/>
      <w:marBottom w:val="0"/>
      <w:divBdr>
        <w:top w:val="none" w:sz="0" w:space="0" w:color="auto"/>
        <w:left w:val="none" w:sz="0" w:space="0" w:color="auto"/>
        <w:bottom w:val="none" w:sz="0" w:space="0" w:color="auto"/>
        <w:right w:val="none" w:sz="0" w:space="0" w:color="auto"/>
      </w:divBdr>
    </w:div>
    <w:div w:id="1528368650">
      <w:bodyDiv w:val="1"/>
      <w:marLeft w:val="0"/>
      <w:marRight w:val="0"/>
      <w:marTop w:val="0"/>
      <w:marBottom w:val="0"/>
      <w:divBdr>
        <w:top w:val="none" w:sz="0" w:space="0" w:color="auto"/>
        <w:left w:val="none" w:sz="0" w:space="0" w:color="auto"/>
        <w:bottom w:val="none" w:sz="0" w:space="0" w:color="auto"/>
        <w:right w:val="none" w:sz="0" w:space="0" w:color="auto"/>
      </w:divBdr>
    </w:div>
    <w:div w:id="1614550815">
      <w:bodyDiv w:val="1"/>
      <w:marLeft w:val="0"/>
      <w:marRight w:val="0"/>
      <w:marTop w:val="0"/>
      <w:marBottom w:val="0"/>
      <w:divBdr>
        <w:top w:val="none" w:sz="0" w:space="0" w:color="auto"/>
        <w:left w:val="none" w:sz="0" w:space="0" w:color="auto"/>
        <w:bottom w:val="none" w:sz="0" w:space="0" w:color="auto"/>
        <w:right w:val="none" w:sz="0" w:space="0" w:color="auto"/>
      </w:divBdr>
    </w:div>
    <w:div w:id="1685201930">
      <w:bodyDiv w:val="1"/>
      <w:marLeft w:val="0"/>
      <w:marRight w:val="0"/>
      <w:marTop w:val="0"/>
      <w:marBottom w:val="0"/>
      <w:divBdr>
        <w:top w:val="none" w:sz="0" w:space="0" w:color="auto"/>
        <w:left w:val="none" w:sz="0" w:space="0" w:color="auto"/>
        <w:bottom w:val="none" w:sz="0" w:space="0" w:color="auto"/>
        <w:right w:val="none" w:sz="0" w:space="0" w:color="auto"/>
      </w:divBdr>
    </w:div>
    <w:div w:id="1789351683">
      <w:bodyDiv w:val="1"/>
      <w:marLeft w:val="0"/>
      <w:marRight w:val="0"/>
      <w:marTop w:val="0"/>
      <w:marBottom w:val="0"/>
      <w:divBdr>
        <w:top w:val="none" w:sz="0" w:space="0" w:color="auto"/>
        <w:left w:val="none" w:sz="0" w:space="0" w:color="auto"/>
        <w:bottom w:val="none" w:sz="0" w:space="0" w:color="auto"/>
        <w:right w:val="none" w:sz="0" w:space="0" w:color="auto"/>
      </w:divBdr>
    </w:div>
    <w:div w:id="1796023914">
      <w:bodyDiv w:val="1"/>
      <w:marLeft w:val="0"/>
      <w:marRight w:val="0"/>
      <w:marTop w:val="0"/>
      <w:marBottom w:val="0"/>
      <w:divBdr>
        <w:top w:val="none" w:sz="0" w:space="0" w:color="auto"/>
        <w:left w:val="none" w:sz="0" w:space="0" w:color="auto"/>
        <w:bottom w:val="none" w:sz="0" w:space="0" w:color="auto"/>
        <w:right w:val="none" w:sz="0" w:space="0" w:color="auto"/>
      </w:divBdr>
    </w:div>
    <w:div w:id="18069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14</Pages>
  <Words>5428</Words>
  <Characters>30943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 belwal</dc:creator>
  <cp:lastModifiedBy>Nitin Yadav</cp:lastModifiedBy>
  <cp:revision>56</cp:revision>
  <dcterms:created xsi:type="dcterms:W3CDTF">2025-04-14T03:38:00Z</dcterms:created>
  <dcterms:modified xsi:type="dcterms:W3CDTF">2025-04-24T04:04:00Z</dcterms:modified>
</cp:coreProperties>
</file>