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EC75" w14:textId="77777777" w:rsidR="00754C9A" w:rsidRPr="0065533E" w:rsidRDefault="00754C9A" w:rsidP="008960B4">
      <w:pPr>
        <w:pStyle w:val="Title"/>
        <w:spacing w:after="0"/>
        <w:jc w:val="both"/>
        <w:rPr>
          <w:rFonts w:ascii="Arial" w:hAnsi="Arial" w:cs="Arial"/>
        </w:rPr>
      </w:pPr>
    </w:p>
    <w:p w14:paraId="69E2569A" w14:textId="77777777" w:rsidR="00CD1ECC" w:rsidRPr="00CD1ECC" w:rsidRDefault="00CD1ECC" w:rsidP="00CD1ECC">
      <w:pPr>
        <w:keepNext/>
        <w:keepLines/>
        <w:spacing w:before="480"/>
        <w:jc w:val="both"/>
        <w:outlineLvl w:val="0"/>
        <w:rPr>
          <w:rFonts w:ascii="Arial" w:eastAsia="MS Gothic" w:hAnsi="Arial" w:cs="Arial"/>
          <w:b/>
          <w:bCs/>
          <w:i/>
          <w:iCs/>
          <w:sz w:val="28"/>
          <w:szCs w:val="24"/>
          <w:u w:val="single"/>
        </w:rPr>
      </w:pPr>
      <w:r w:rsidRPr="00CD1ECC">
        <w:rPr>
          <w:rFonts w:ascii="Arial" w:eastAsia="MS Gothic" w:hAnsi="Arial" w:cs="Arial"/>
          <w:b/>
          <w:bCs/>
          <w:i/>
          <w:iCs/>
          <w:sz w:val="28"/>
          <w:szCs w:val="24"/>
          <w:u w:val="single"/>
        </w:rPr>
        <w:t>Original Research Article</w:t>
      </w:r>
    </w:p>
    <w:p w14:paraId="677732B1" w14:textId="77777777" w:rsidR="0040375A" w:rsidRPr="0040375A" w:rsidRDefault="0040375A" w:rsidP="008960B4">
      <w:pPr>
        <w:keepNext/>
        <w:keepLines/>
        <w:spacing w:before="480"/>
        <w:jc w:val="both"/>
        <w:outlineLvl w:val="0"/>
        <w:rPr>
          <w:rFonts w:ascii="Arial" w:eastAsia="MS Gothic" w:hAnsi="Arial" w:cs="Arial"/>
          <w:b/>
          <w:bCs/>
          <w:sz w:val="28"/>
          <w:szCs w:val="24"/>
        </w:rPr>
      </w:pPr>
      <w:r w:rsidRPr="0040375A">
        <w:rPr>
          <w:rFonts w:ascii="Arial" w:eastAsia="MS Gothic" w:hAnsi="Arial" w:cs="Arial"/>
          <w:b/>
          <w:bCs/>
          <w:sz w:val="28"/>
          <w:szCs w:val="24"/>
        </w:rPr>
        <w:t xml:space="preserve">Assessment of </w:t>
      </w:r>
      <w:bookmarkStart w:id="0" w:name="_Hlk195471840"/>
      <w:r w:rsidRPr="0040375A">
        <w:rPr>
          <w:rFonts w:ascii="Arial" w:eastAsia="MS Gothic" w:hAnsi="Arial" w:cs="Arial"/>
          <w:b/>
          <w:bCs/>
          <w:sz w:val="28"/>
          <w:szCs w:val="24"/>
        </w:rPr>
        <w:t xml:space="preserve">Nutritional Status </w:t>
      </w:r>
      <w:bookmarkEnd w:id="0"/>
      <w:r w:rsidRPr="0040375A">
        <w:rPr>
          <w:rFonts w:ascii="Arial" w:eastAsia="MS Gothic" w:hAnsi="Arial" w:cs="Arial"/>
          <w:b/>
          <w:bCs/>
          <w:sz w:val="28"/>
          <w:szCs w:val="24"/>
        </w:rPr>
        <w:t>and Associated Factors in Children Aged 0-5 Years in Buea Locality, of the South West Region of Cameroon</w:t>
      </w:r>
    </w:p>
    <w:p w14:paraId="20C2BD39" w14:textId="77777777" w:rsidR="00A258C3" w:rsidRPr="0065533E" w:rsidRDefault="00A258C3" w:rsidP="008960B4">
      <w:pPr>
        <w:pStyle w:val="Author"/>
        <w:spacing w:line="240" w:lineRule="auto"/>
        <w:jc w:val="both"/>
        <w:rPr>
          <w:rFonts w:ascii="Arial" w:hAnsi="Arial" w:cs="Arial"/>
          <w:sz w:val="36"/>
        </w:rPr>
      </w:pPr>
    </w:p>
    <w:p w14:paraId="4751D100" w14:textId="09B30C41" w:rsidR="00B66D76" w:rsidRDefault="00B66D76" w:rsidP="008960B4">
      <w:pPr>
        <w:pStyle w:val="Affiliation"/>
        <w:spacing w:after="0" w:line="240" w:lineRule="auto"/>
        <w:jc w:val="both"/>
        <w:rPr>
          <w:rFonts w:ascii="Arial" w:hAnsi="Arial" w:cs="Arial"/>
        </w:rPr>
      </w:pPr>
    </w:p>
    <w:p w14:paraId="34E9D602" w14:textId="77777777" w:rsidR="003A2705" w:rsidRPr="0065533E" w:rsidRDefault="003A2705" w:rsidP="008960B4">
      <w:pPr>
        <w:pStyle w:val="Affiliation"/>
        <w:spacing w:after="0" w:line="240" w:lineRule="auto"/>
        <w:jc w:val="both"/>
        <w:rPr>
          <w:rFonts w:ascii="Arial" w:hAnsi="Arial" w:cs="Arial"/>
        </w:rPr>
      </w:pPr>
    </w:p>
    <w:p w14:paraId="128B01FD" w14:textId="42D62E71" w:rsidR="00B01FCD" w:rsidRPr="0065533E" w:rsidRDefault="00A93309" w:rsidP="008960B4">
      <w:pPr>
        <w:pStyle w:val="Copyright"/>
        <w:spacing w:after="0" w:line="240" w:lineRule="auto"/>
        <w:jc w:val="both"/>
        <w:rPr>
          <w:rFonts w:ascii="Arial" w:hAnsi="Arial" w:cs="Arial"/>
        </w:rPr>
        <w:sectPr w:rsidR="00B01FCD" w:rsidRPr="0065533E" w:rsidSect="003A27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5533E">
        <w:rPr>
          <w:rFonts w:ascii="Arial" w:hAnsi="Arial" w:cs="Arial"/>
          <w:noProof/>
        </w:rPr>
        <mc:AlternateContent>
          <mc:Choice Requires="wps">
            <w:drawing>
              <wp:inline distT="0" distB="0" distL="0" distR="0" wp14:anchorId="228767B7" wp14:editId="782BC94B">
                <wp:extent cx="5303520" cy="635"/>
                <wp:effectExtent l="15240" t="15240" r="15240" b="13335"/>
                <wp:docPr id="20147627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8901F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5533E">
        <w:rPr>
          <w:rFonts w:ascii="Arial" w:hAnsi="Arial" w:cs="Arial"/>
        </w:rPr>
        <w:t>.</w:t>
      </w:r>
    </w:p>
    <w:p w14:paraId="79D7FDAE" w14:textId="3646CC80" w:rsidR="00B01FCD" w:rsidRPr="0065533E" w:rsidRDefault="00B01FCD" w:rsidP="008960B4">
      <w:pPr>
        <w:pStyle w:val="AbstHead"/>
        <w:spacing w:after="0"/>
        <w:jc w:val="both"/>
        <w:rPr>
          <w:rFonts w:ascii="Arial" w:hAnsi="Arial" w:cs="Arial"/>
        </w:rPr>
      </w:pPr>
      <w:r w:rsidRPr="0065533E">
        <w:rPr>
          <w:rFonts w:ascii="Arial" w:hAnsi="Arial" w:cs="Arial"/>
        </w:rPr>
        <w:t>ABSTRACT</w:t>
      </w:r>
      <w:r w:rsidR="0066510A" w:rsidRPr="0065533E">
        <w:rPr>
          <w:rFonts w:ascii="Arial" w:hAnsi="Arial" w:cs="Arial"/>
        </w:rPr>
        <w:t xml:space="preserve"> </w:t>
      </w:r>
    </w:p>
    <w:p w14:paraId="6E2BF3F2" w14:textId="77777777" w:rsidR="00790ADA" w:rsidRPr="0065533E" w:rsidRDefault="00790ADA" w:rsidP="008960B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5533E" w:rsidRPr="0065533E" w14:paraId="2E3768E6" w14:textId="77777777" w:rsidTr="001E44FE">
        <w:tc>
          <w:tcPr>
            <w:tcW w:w="9576" w:type="dxa"/>
            <w:shd w:val="clear" w:color="auto" w:fill="F2F2F2"/>
          </w:tcPr>
          <w:p w14:paraId="4B343DE5" w14:textId="01A3F66B" w:rsidR="00505F06" w:rsidRPr="0065533E" w:rsidRDefault="009A709A" w:rsidP="00336D53">
            <w:pPr>
              <w:pStyle w:val="Body"/>
              <w:rPr>
                <w:rFonts w:ascii="Arial" w:eastAsia="Calibri" w:hAnsi="Arial" w:cs="Arial"/>
                <w:szCs w:val="22"/>
              </w:rPr>
            </w:pPr>
            <w:r w:rsidRPr="009A709A">
              <w:rPr>
                <w:rFonts w:ascii="Arial" w:eastAsia="Calibri" w:hAnsi="Arial" w:cs="Arial"/>
                <w:szCs w:val="22"/>
              </w:rPr>
              <w:t xml:space="preserve">Malnutrition among children under five remains a critical public health challenge in Buea, Cameroon, exacerbated by socio-economic disparities, inadequate feeding practices, and limited healthcare access. This is a cross-sectional and descriptive study that took place from January 2025 to </w:t>
            </w:r>
            <w:r w:rsidR="00C8685F">
              <w:rPr>
                <w:rFonts w:ascii="Arial" w:eastAsia="Calibri" w:hAnsi="Arial" w:cs="Arial"/>
                <w:szCs w:val="22"/>
              </w:rPr>
              <w:t>March</w:t>
            </w:r>
            <w:r w:rsidRPr="009A709A">
              <w:rPr>
                <w:rFonts w:ascii="Arial" w:eastAsia="Calibri" w:hAnsi="Arial" w:cs="Arial"/>
                <w:szCs w:val="22"/>
              </w:rPr>
              <w:t xml:space="preserve"> 2025</w:t>
            </w:r>
            <w:r w:rsidR="00336D53">
              <w:rPr>
                <w:rFonts w:ascii="Arial" w:eastAsia="Calibri" w:hAnsi="Arial" w:cs="Arial"/>
                <w:szCs w:val="22"/>
              </w:rPr>
              <w:t>.</w:t>
            </w:r>
            <w:r w:rsidR="00336D53">
              <w:rPr>
                <w:rFonts w:ascii="Arial" w:eastAsia="Calibri" w:hAnsi="Arial" w:cs="Arial"/>
                <w:color w:val="FF0000"/>
                <w:szCs w:val="22"/>
              </w:rPr>
              <w:t xml:space="preserve"> Using</w:t>
            </w:r>
            <w:r w:rsidRPr="009A709A">
              <w:rPr>
                <w:rFonts w:ascii="Arial" w:eastAsia="Calibri" w:hAnsi="Arial" w:cs="Arial"/>
                <w:szCs w:val="22"/>
              </w:rPr>
              <w:t xml:space="preserve"> </w:t>
            </w:r>
            <w:r w:rsidR="00336D53" w:rsidRPr="00336D53">
              <w:rPr>
                <w:rFonts w:ascii="Arial" w:eastAsia="Calibri" w:hAnsi="Arial" w:cs="Arial"/>
                <w:color w:val="FF0000"/>
                <w:szCs w:val="22"/>
              </w:rPr>
              <w:t xml:space="preserve">Cochran </w:t>
            </w:r>
            <w:r w:rsidR="00336D53" w:rsidRPr="00336D53">
              <w:rPr>
                <w:rFonts w:ascii="Arial" w:eastAsia="Calibri" w:hAnsi="Arial" w:cs="Arial"/>
                <w:color w:val="FF0000"/>
                <w:szCs w:val="22"/>
              </w:rPr>
              <w:t xml:space="preserve">formular </w:t>
            </w:r>
            <w:r w:rsidR="00336D53">
              <w:rPr>
                <w:rFonts w:ascii="Arial" w:eastAsia="Calibri" w:hAnsi="Arial" w:cs="Arial"/>
                <w:color w:val="FF0000"/>
                <w:szCs w:val="22"/>
              </w:rPr>
              <w:t>to calculate the sample size,</w:t>
            </w:r>
            <w:r w:rsidR="00336D53">
              <w:rPr>
                <w:rFonts w:ascii="Arial" w:eastAsia="Calibri" w:hAnsi="Arial" w:cs="Arial"/>
                <w:szCs w:val="22"/>
              </w:rPr>
              <w:t xml:space="preserve"> </w:t>
            </w:r>
            <w:r w:rsidR="00336D53" w:rsidRPr="009A709A">
              <w:rPr>
                <w:rFonts w:ascii="Arial" w:eastAsia="Calibri" w:hAnsi="Arial" w:cs="Arial"/>
                <w:szCs w:val="22"/>
              </w:rPr>
              <w:t>random</w:t>
            </w:r>
            <w:r w:rsidRPr="009A709A">
              <w:rPr>
                <w:rFonts w:ascii="Arial" w:eastAsia="Calibri" w:hAnsi="Arial" w:cs="Arial"/>
                <w:szCs w:val="22"/>
              </w:rPr>
              <w:t xml:space="preserve"> sample of 300 children aged 0 to 5 in Buea and their guardians</w:t>
            </w:r>
            <w:r w:rsidR="00336D53">
              <w:rPr>
                <w:rFonts w:ascii="Arial" w:eastAsia="Calibri" w:hAnsi="Arial" w:cs="Arial"/>
                <w:szCs w:val="22"/>
              </w:rPr>
              <w:t xml:space="preserve"> </w:t>
            </w:r>
            <w:r w:rsidR="00336D53" w:rsidRPr="00336D53">
              <w:rPr>
                <w:rFonts w:ascii="Arial" w:eastAsia="Calibri" w:hAnsi="Arial" w:cs="Arial"/>
                <w:color w:val="FF0000"/>
                <w:szCs w:val="22"/>
              </w:rPr>
              <w:t>was carried out taking into consideration ethical considerations</w:t>
            </w:r>
            <w:r w:rsidRPr="00336D53">
              <w:rPr>
                <w:rFonts w:ascii="Arial" w:eastAsia="Calibri" w:hAnsi="Arial" w:cs="Arial"/>
                <w:color w:val="FF0000"/>
                <w:szCs w:val="22"/>
              </w:rPr>
              <w:t>.</w:t>
            </w:r>
            <w:r w:rsidRPr="009A709A">
              <w:rPr>
                <w:rFonts w:ascii="Arial" w:eastAsia="Calibri" w:hAnsi="Arial" w:cs="Arial"/>
                <w:szCs w:val="22"/>
              </w:rPr>
              <w:t xml:space="preserve"> </w:t>
            </w:r>
            <w:r w:rsidRPr="00336D53">
              <w:rPr>
                <w:rFonts w:ascii="Arial" w:eastAsia="Calibri" w:hAnsi="Arial" w:cs="Arial"/>
                <w:color w:val="FF0000"/>
                <w:szCs w:val="22"/>
              </w:rPr>
              <w:t xml:space="preserve">Anthropometric </w:t>
            </w:r>
            <w:r w:rsidR="00336D53" w:rsidRPr="00336D53">
              <w:rPr>
                <w:rFonts w:ascii="Arial" w:eastAsia="Calibri" w:hAnsi="Arial" w:cs="Arial"/>
                <w:color w:val="FF0000"/>
                <w:szCs w:val="22"/>
              </w:rPr>
              <w:t>parameters and structured</w:t>
            </w:r>
            <w:r w:rsidR="00336D53" w:rsidRPr="00336D53">
              <w:rPr>
                <w:rFonts w:ascii="Arial" w:eastAsia="Calibri" w:hAnsi="Arial" w:cs="Arial"/>
                <w:color w:val="FF0000"/>
                <w:szCs w:val="22"/>
              </w:rPr>
              <w:t xml:space="preserve"> </w:t>
            </w:r>
            <w:r w:rsidR="00336D53" w:rsidRPr="00336D53">
              <w:rPr>
                <w:rFonts w:ascii="Arial" w:eastAsia="Calibri" w:hAnsi="Arial" w:cs="Arial"/>
                <w:color w:val="FF0000"/>
                <w:szCs w:val="22"/>
              </w:rPr>
              <w:t>q</w:t>
            </w:r>
            <w:r w:rsidR="00336D53" w:rsidRPr="00336D53">
              <w:rPr>
                <w:rFonts w:ascii="Arial" w:eastAsia="Calibri" w:hAnsi="Arial" w:cs="Arial"/>
                <w:color w:val="FF0000"/>
                <w:szCs w:val="22"/>
              </w:rPr>
              <w:t xml:space="preserve">uestionnaires </w:t>
            </w:r>
            <w:r w:rsidRPr="00336D53">
              <w:rPr>
                <w:rFonts w:ascii="Arial" w:eastAsia="Calibri" w:hAnsi="Arial" w:cs="Arial"/>
                <w:color w:val="FF0000"/>
                <w:szCs w:val="22"/>
              </w:rPr>
              <w:t>of children were measured, socio-demographic data of guardians and children's eating habits were collected</w:t>
            </w:r>
            <w:r w:rsidRPr="009A709A">
              <w:rPr>
                <w:rFonts w:ascii="Arial" w:eastAsia="Calibri" w:hAnsi="Arial" w:cs="Arial"/>
                <w:szCs w:val="22"/>
              </w:rPr>
              <w:t>, association between socio-demographic factors, dietary practices and malnutrition were identified. The results showed that 50% were well-nourished, while 33.33% and 16.67% experienced moderate and severe malnutrition, respectively. Key determinants included low household income, maternal education, and irregular meal patterns. The findings underscore the urgent need for targeted interventions, including community-based nutrition programs, improved food security, and parental education, to mitigate malnutrition and its long-term consequences on child developme</w:t>
            </w:r>
            <w:r w:rsidRPr="0065533E">
              <w:rPr>
                <w:rFonts w:ascii="Arial" w:eastAsia="Calibri" w:hAnsi="Arial" w:cs="Arial"/>
                <w:szCs w:val="22"/>
              </w:rPr>
              <w:t>nt</w:t>
            </w:r>
          </w:p>
        </w:tc>
      </w:tr>
    </w:tbl>
    <w:p w14:paraId="1EC01487" w14:textId="77777777" w:rsidR="00636EB2" w:rsidRPr="0065533E" w:rsidRDefault="00636EB2" w:rsidP="008960B4">
      <w:pPr>
        <w:pStyle w:val="Body"/>
        <w:spacing w:after="0"/>
        <w:rPr>
          <w:rFonts w:ascii="Arial" w:hAnsi="Arial" w:cs="Arial"/>
          <w:i/>
        </w:rPr>
      </w:pPr>
    </w:p>
    <w:p w14:paraId="7B381090" w14:textId="7264FCE9" w:rsidR="009A709A" w:rsidRPr="0065533E" w:rsidRDefault="00A24E7E" w:rsidP="00213001">
      <w:pPr>
        <w:pStyle w:val="Body"/>
        <w:spacing w:after="0"/>
        <w:rPr>
          <w:rFonts w:ascii="Arial" w:hAnsi="Arial" w:cs="Arial"/>
          <w:iCs/>
        </w:rPr>
      </w:pPr>
      <w:r w:rsidRPr="0065533E">
        <w:rPr>
          <w:rFonts w:ascii="Arial" w:hAnsi="Arial" w:cs="Arial"/>
          <w:iCs/>
        </w:rPr>
        <w:t xml:space="preserve">Keywords: </w:t>
      </w:r>
      <w:r w:rsidR="009A709A" w:rsidRPr="0065533E">
        <w:rPr>
          <w:rFonts w:ascii="Arial" w:hAnsi="Arial" w:cs="Arial"/>
          <w:iCs/>
        </w:rPr>
        <w:t xml:space="preserve"> </w:t>
      </w:r>
      <w:r w:rsidR="009A709A" w:rsidRPr="0040375A">
        <w:rPr>
          <w:rFonts w:ascii="Arial" w:hAnsi="Arial" w:cs="Arial"/>
          <w:b/>
          <w:bCs/>
          <w:iCs/>
        </w:rPr>
        <w:t>Nutritional Status</w:t>
      </w:r>
      <w:r w:rsidR="009A709A" w:rsidRPr="0065533E">
        <w:rPr>
          <w:rFonts w:ascii="Arial" w:hAnsi="Arial" w:cs="Arial"/>
          <w:b/>
          <w:bCs/>
          <w:iCs/>
        </w:rPr>
        <w:t>, Malnutrition. Associated factors</w:t>
      </w:r>
    </w:p>
    <w:p w14:paraId="3691D97F" w14:textId="77777777" w:rsidR="009A709A" w:rsidRPr="009A709A" w:rsidRDefault="009A709A" w:rsidP="008960B4">
      <w:pPr>
        <w:keepNext/>
        <w:keepLines/>
        <w:spacing w:before="480"/>
        <w:outlineLvl w:val="0"/>
        <w:rPr>
          <w:rFonts w:ascii="Arial" w:eastAsia="MS Gothic" w:hAnsi="Arial" w:cs="Arial"/>
          <w:b/>
          <w:bCs/>
          <w:sz w:val="28"/>
          <w:szCs w:val="28"/>
        </w:rPr>
      </w:pPr>
      <w:r w:rsidRPr="009A709A">
        <w:rPr>
          <w:rFonts w:ascii="Arial" w:eastAsia="MS Gothic" w:hAnsi="Arial" w:cs="Arial"/>
          <w:b/>
          <w:bCs/>
          <w:sz w:val="28"/>
          <w:szCs w:val="28"/>
        </w:rPr>
        <w:t>1 INTRODUCTION</w:t>
      </w:r>
    </w:p>
    <w:p w14:paraId="14519EDA"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Child malnutrition remains one of the most persistent public health challenges in developing nations in the twenty-first </w:t>
      </w:r>
      <w:bookmarkStart w:id="1" w:name="_Hlk195440387"/>
      <w:r w:rsidRPr="009A709A">
        <w:rPr>
          <w:rFonts w:ascii="Arial" w:eastAsia="MS Mincho" w:hAnsi="Arial" w:cs="Arial"/>
        </w:rPr>
        <w:t>century [</w:t>
      </w:r>
      <w:bookmarkEnd w:id="1"/>
      <w:r w:rsidRPr="009A709A">
        <w:rPr>
          <w:rFonts w:ascii="Arial" w:eastAsia="MS Mincho" w:hAnsi="Arial" w:cs="Arial"/>
        </w:rPr>
        <w:t>1]. The global community continues to grapple with the socio-economic and environmental factors that contribute to impaired growth and development in early childhood [2] World Health Organization estimates indicate that nearly 150 million children under five years of age suffer from stunted growth worldwide, while acute malnutrition, as manifested by wasting, affects approximately 45 million young children [3]. These conditions not only threaten child survival but also have profound and lasting consequences on cognitive development, educational attainment, and economic productivity in adulthood [4].</w:t>
      </w:r>
    </w:p>
    <w:p w14:paraId="1A47D02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The situation in Sub-Saharan Africa presents particularly alarming trends, with the region accounting for nearly 40 percent of the global burden of childhood stunting despite comprising only about 17 percent of the world's under-five population [5]. Within this context, Cameroon emerges as a country of significant concern, with national demographic health surveys </w:t>
      </w:r>
      <w:r w:rsidRPr="009A709A">
        <w:rPr>
          <w:rFonts w:ascii="Arial" w:eastAsia="MS Mincho" w:hAnsi="Arial" w:cs="Arial"/>
        </w:rPr>
        <w:lastRenderedPageBreak/>
        <w:t>consistently documenting child malnutrition rates that exceed regional averages [6]. The most recent comprehensive data reveal that nearly one-third of Cameroonian children under five experience stunted growth, while acute malnutrition affects more than 5 percent of this vulnerable population [6]. However, these national figures obscure substantial regional disparities that reflect the country's diverse ecological zones, economic conditions, and sociopolitical contexts [7].</w:t>
      </w:r>
    </w:p>
    <w:p w14:paraId="5008985E"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Buea, the regional capital of Cameroon's Southwest Region, exemplifies these disparities through its unique combination of geographical, demographic, and political characteristics [8]. The city's recent history of political instability and conflict adds layers of complexity to an already precarious situation of childhood nutrition. Since 2016, the Anglophone crisis has disrupted agricultural production, compromised food distribution systems, and strained healthcare services throughout the Southwest Region. These conflict-related disturbances worsen existing vulnerabilities in child nutrition while creating new barriers to effective intervention.</w:t>
      </w:r>
    </w:p>
    <w:p w14:paraId="74CA3D30"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Despite these concerning developments, there remains a lack of recent, rigorous research examining the nutritional status of young children in Buea [9]. National health surveys, while valuable for broad epidemiological surveillance, often lack the precision to identify localized patterns of malnutrition and its determinants. The current study addressed this critical gap in public health knowledge through a comprehensive assessment of nutritional status and its associated factors among children aged zero to five years in Buea. By employing both anthropometric measurements and household surveys, this research generated much-needed data on the prevalence of stunting, wasting, and underweight in this vulnerable population. Beyond mere prevalence estimates, the study examined how various socioeconomic, demographic, and behavioral factors interacted to influence nutritional outcomes in this unique setting. </w:t>
      </w:r>
    </w:p>
    <w:p w14:paraId="0D9A61FC"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From a theoretical perspective, this investigation drew upon established frameworks for understanding child malnutrition while adapting them to Buea's specific context. The UNICEF conceptual model of malnutrition provides a useful structure for examining the immediate, underlying, and basic causes of impaired growth and development [5].</w:t>
      </w:r>
    </w:p>
    <w:p w14:paraId="76ADCAA6"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The findings of this research have important implications for public health practice and policy development in Cameroon and similar settings. By documenting the current state of childhood malnutrition in Buea and identifying its key determinants, the study provides evidence to guide the design of targeted interventions that addresses the most pressing nutritional challenges facing the community. Furthermore, the examination of conflict-related impacts on child nutrition yields valuable lessons for humanitarian response efforts in other crisis-affected regions. Ultimately, this work contributes to the broader global effort to eliminate childhood malnutrition as a barrier to human development and societal progress.</w:t>
      </w:r>
    </w:p>
    <w:p w14:paraId="044434CD" w14:textId="77777777" w:rsidR="009A709A" w:rsidRPr="009A709A" w:rsidRDefault="009A709A" w:rsidP="008960B4">
      <w:pPr>
        <w:keepNext/>
        <w:keepLines/>
        <w:spacing w:before="200"/>
        <w:outlineLvl w:val="1"/>
        <w:rPr>
          <w:rFonts w:ascii="Arial" w:eastAsia="MS Gothic" w:hAnsi="Arial" w:cs="Arial"/>
          <w:b/>
          <w:bCs/>
          <w:sz w:val="26"/>
          <w:szCs w:val="26"/>
        </w:rPr>
      </w:pPr>
      <w:r w:rsidRPr="009A709A">
        <w:rPr>
          <w:rFonts w:ascii="Arial" w:eastAsia="MS Gothic" w:hAnsi="Arial" w:cs="Arial"/>
          <w:b/>
          <w:bCs/>
          <w:sz w:val="26"/>
          <w:szCs w:val="26"/>
        </w:rPr>
        <w:t xml:space="preserve">1.1 LITERATURE REVIEW  </w:t>
      </w:r>
    </w:p>
    <w:p w14:paraId="47AA3E91"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lang w:val="en-GB"/>
        </w:rPr>
        <w:t>Prevalence of Child Malnutrition in Sub-Saharan Africa</w:t>
      </w:r>
      <w:r w:rsidRPr="009A709A">
        <w:rPr>
          <w:rFonts w:ascii="Arial" w:eastAsia="MS Mincho" w:hAnsi="Arial" w:cs="Arial"/>
          <w:b/>
          <w:sz w:val="24"/>
          <w:szCs w:val="24"/>
        </w:rPr>
        <w:t xml:space="preserve">  </w:t>
      </w:r>
    </w:p>
    <w:p w14:paraId="692F0CF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Globally, malnutrition accounts for 45% of under-five mortality [4], with Sub-Saharan Africa bearing the highest burden. Cameroon’s malnutrition rates exceed regional averages, with stunting at 32% and wasting at 5.2% [6]. However, these figures obscure nuances: rural areas report 29% stunting versus 22% in cities [10], while conflict zones see acute wasting spikes due to food supply disruptions [11].  </w:t>
      </w:r>
    </w:p>
    <w:p w14:paraId="4D10C308"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Low household income is the strongest predictor of malnutrition. In the Southwest Region, 60% of families earn below 50,000 XAF/month, limiting access to diverse diets 12]. Maternal </w:t>
      </w:r>
      <w:r w:rsidRPr="009A709A">
        <w:rPr>
          <w:rFonts w:ascii="Arial" w:eastAsia="MS Mincho" w:hAnsi="Arial" w:cs="Arial"/>
        </w:rPr>
        <w:lastRenderedPageBreak/>
        <w:t xml:space="preserve">education also plays a pivotal role: children of mothers with secondary education are 50% less likely to be stunted 13].  </w:t>
      </w:r>
    </w:p>
    <w:p w14:paraId="1716F44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Despite WHO guidelines, only 22% of Buea’s infants are exclusively breastfed for six months [14]. Complementary feeding practices are equally concerning, with 60% of children lacking protein-rich foods [15]. Cultural beliefs, such as early introduction of starchy porridges, further compromise nutrition [16].  </w:t>
      </w:r>
    </w:p>
    <w:p w14:paraId="363BCAAD" w14:textId="56D29AA3"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Buea’s political crisis has devastated its health infrastructure. Only 50% of children receive vitamin A supplementation, and growth monitoring services are largely inaccessible [ 17]. Food production has dropped by 40% since 2016, pushing households toward cheaper, nutrient-poor diets 18]. </w:t>
      </w:r>
    </w:p>
    <w:p w14:paraId="2EDB2325"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1.2 Theoretical Frameworks  </w:t>
      </w:r>
    </w:p>
    <w:p w14:paraId="27E0032E"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This study integrates two theories:  </w:t>
      </w:r>
    </w:p>
    <w:p w14:paraId="57E6D32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1. UNICEF’s Malnutrition Framework [5], which highlights the interplay of immediate, underlying, and basic causes.  </w:t>
      </w:r>
    </w:p>
    <w:p w14:paraId="4D3F5808"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2. Bronfenbrenner’s Ecological Systems Theory, emphasizing how conflict (macrosystem) disrupts family feeding practices (microsystem).  </w:t>
      </w:r>
    </w:p>
    <w:p w14:paraId="12211515" w14:textId="77777777" w:rsidR="009A709A" w:rsidRPr="009A709A" w:rsidRDefault="009A709A" w:rsidP="008960B4">
      <w:pPr>
        <w:spacing w:after="200"/>
        <w:jc w:val="both"/>
        <w:rPr>
          <w:rFonts w:ascii="Arial" w:eastAsia="MS Mincho" w:hAnsi="Arial" w:cs="Arial"/>
          <w:szCs w:val="18"/>
        </w:rPr>
      </w:pPr>
      <w:r w:rsidRPr="009A709A">
        <w:rPr>
          <w:rFonts w:ascii="Arial" w:eastAsia="MS Mincho" w:hAnsi="Arial" w:cs="Arial"/>
          <w:szCs w:val="18"/>
        </w:rPr>
        <w:t xml:space="preserve">Despite extensive research on child malnutrition globally and regionally, several gaps persist, particularly in the context of Cameroon. Firstly, there is limited recent data on the nutritional status of children under five in conflict-affected regions like Buea. Secondly, few studies have comprehensively assessed the interplay between caregiver education, feeding practices, and health access in influencing child malnutrition in Cameroon. Additionally, the impact of ongoing political instability on nutritional outcomes has not been fully explored. This study aims to address these gaps by providing updated data and insights to inform targeted interventions. </w:t>
      </w:r>
      <w:r w:rsidRPr="009A709A">
        <w:rPr>
          <w:rFonts w:ascii="Arial" w:eastAsia="MS Mincho" w:hAnsi="Arial" w:cs="Arial"/>
        </w:rPr>
        <w:t xml:space="preserve">This study fills these gaps by combining anthropometric measurements with household surveys, providing a current, evidence-based analysis for decision-makers.  </w:t>
      </w:r>
    </w:p>
    <w:p w14:paraId="1A3288DE" w14:textId="77777777"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2 MATERIALS AND METHODS</w:t>
      </w:r>
    </w:p>
    <w:p w14:paraId="1FB97601"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2.1 Study Design</w:t>
      </w:r>
    </w:p>
    <w:p w14:paraId="28F0D789"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This study employed a cross-sectional design to assess the nutritional status of children aged 0-5 years in Buea locality at a single point in time. This study was carried out in the locality of Buea located in Fako Division, South West Region, in Cameroon. The target population for this study will include caregivers of children aged between birth and five years residing in Buea locality.</w:t>
      </w:r>
      <w:bookmarkStart w:id="2" w:name="_Toc194732663"/>
    </w:p>
    <w:p w14:paraId="3A896E13"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2.2 Sampling Technique</w:t>
      </w:r>
      <w:bookmarkEnd w:id="2"/>
    </w:p>
    <w:p w14:paraId="4550976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A stratified random sampling technique was employed to ensure representation from various socio-economic backgrounds within Buea locality. The population was divided into strata based on socio-economic status determined by household income levels. Participants were randomly selected from each stratum proportionately based on population size.</w:t>
      </w:r>
    </w:p>
    <w:p w14:paraId="3FCE5092" w14:textId="77777777" w:rsidR="009A709A" w:rsidRPr="009A709A" w:rsidRDefault="009A709A" w:rsidP="008960B4">
      <w:pPr>
        <w:spacing w:after="200"/>
        <w:jc w:val="both"/>
        <w:rPr>
          <w:rFonts w:ascii="Arial" w:eastAsia="MS Mincho" w:hAnsi="Arial" w:cs="Arial"/>
          <w:sz w:val="24"/>
          <w:szCs w:val="24"/>
        </w:rPr>
      </w:pPr>
      <w:bookmarkStart w:id="3" w:name="_Toc194732664"/>
      <w:r w:rsidRPr="009A709A">
        <w:rPr>
          <w:rFonts w:ascii="Arial" w:eastAsia="MS Mincho" w:hAnsi="Arial" w:cs="Arial"/>
          <w:b/>
          <w:sz w:val="24"/>
          <w:szCs w:val="24"/>
        </w:rPr>
        <w:t>2.3 Sample Size Determination</w:t>
      </w:r>
      <w:bookmarkEnd w:id="3"/>
    </w:p>
    <w:p w14:paraId="68F5C34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To determine the appropriate sample size for this study, </w:t>
      </w:r>
      <w:bookmarkStart w:id="4" w:name="_Hlk195463672"/>
      <w:r w:rsidRPr="009A709A">
        <w:rPr>
          <w:rFonts w:ascii="Arial" w:eastAsia="MS Mincho" w:hAnsi="Arial" w:cs="Arial"/>
        </w:rPr>
        <w:t>Cochran</w:t>
      </w:r>
      <w:bookmarkEnd w:id="4"/>
      <w:r w:rsidRPr="009A709A">
        <w:rPr>
          <w:rFonts w:ascii="Arial" w:eastAsia="MS Mincho" w:hAnsi="Arial" w:cs="Arial"/>
        </w:rPr>
        <w:t xml:space="preserve">’s formula for calculating sample size in large populations was used [19]. Cochran developed this formula to estimate </w:t>
      </w:r>
      <w:r w:rsidRPr="009A709A">
        <w:rPr>
          <w:rFonts w:ascii="Arial" w:eastAsia="MS Mincho" w:hAnsi="Arial" w:cs="Arial"/>
        </w:rPr>
        <w:lastRenderedPageBreak/>
        <w:t xml:space="preserve">the minimum sample required for a given level of precision, confidence, level and population proportion. The formula is expressed as follows: </w:t>
      </w:r>
    </w:p>
    <w:p w14:paraId="37529879" w14:textId="77777777" w:rsidR="009A709A" w:rsidRPr="009A709A" w:rsidRDefault="009A709A" w:rsidP="008960B4">
      <w:pPr>
        <w:spacing w:after="200"/>
        <w:ind w:left="1440" w:firstLine="720"/>
        <w:jc w:val="both"/>
        <w:rPr>
          <w:rFonts w:ascii="Arial" w:eastAsia="MS Mincho" w:hAnsi="Arial" w:cs="Arial"/>
        </w:rPr>
      </w:pPr>
      <w:r w:rsidRPr="009A709A">
        <w:rPr>
          <w:rFonts w:ascii="Arial" w:eastAsia="MS Mincho" w:hAnsi="Arial" w:cs="Arial"/>
        </w:rPr>
        <w:t>n = ((Z² * p * (1-p)) / e</w:t>
      </w:r>
      <w:r w:rsidRPr="009A709A">
        <w:rPr>
          <w:rFonts w:ascii="Arial" w:eastAsia="MS Mincho" w:hAnsi="Arial" w:cs="Arial"/>
          <w:vertAlign w:val="superscript"/>
        </w:rPr>
        <w:t>2</w:t>
      </w:r>
      <w:r w:rsidRPr="009A709A">
        <w:rPr>
          <w:rFonts w:ascii="Arial" w:eastAsia="MS Mincho" w:hAnsi="Arial" w:cs="Arial"/>
        </w:rPr>
        <w:t>)</w:t>
      </w:r>
      <w:r w:rsidRPr="009A709A">
        <w:rPr>
          <w:rFonts w:ascii="Arial" w:eastAsia="MS Mincho" w:hAnsi="Arial" w:cs="Arial"/>
        </w:rPr>
        <w:tab/>
      </w:r>
      <w:r w:rsidRPr="009A709A">
        <w:rPr>
          <w:rFonts w:ascii="Arial" w:eastAsia="MS Mincho" w:hAnsi="Arial" w:cs="Arial"/>
        </w:rPr>
        <w:tab/>
      </w:r>
      <w:r w:rsidRPr="009A709A">
        <w:rPr>
          <w:rFonts w:ascii="Arial" w:eastAsia="MS Mincho" w:hAnsi="Arial" w:cs="Arial"/>
        </w:rPr>
        <w:tab/>
      </w:r>
      <w:r w:rsidRPr="009A709A">
        <w:rPr>
          <w:rFonts w:ascii="Arial" w:eastAsia="MS Mincho" w:hAnsi="Arial" w:cs="Arial"/>
        </w:rPr>
        <w:tab/>
        <w:t>1</w:t>
      </w:r>
    </w:p>
    <w:p w14:paraId="76B02D9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Where: n = Required sample size, Z = Z-score corresponding to the desired confidence level, p = Estimated prevalence of malnutrition, e = Margin of error. </w:t>
      </w:r>
    </w:p>
    <w:p w14:paraId="5FD15583" w14:textId="77777777" w:rsidR="009A709A" w:rsidRPr="009A709A" w:rsidRDefault="009A709A" w:rsidP="008960B4">
      <w:pPr>
        <w:rPr>
          <w:rFonts w:ascii="Arial" w:eastAsia="MS Mincho" w:hAnsi="Arial" w:cs="Arial"/>
        </w:rPr>
      </w:pPr>
      <w:r w:rsidRPr="009A709A">
        <w:rPr>
          <w:rFonts w:ascii="Arial" w:eastAsia="MS Mincho" w:hAnsi="Arial" w:cs="Arial"/>
        </w:rPr>
        <w:t>For this study, the following values were used: Confidence level: 95% (Z = 1.96) Estimated prevalence (P): 30% or 0.3 Margin of error (e): 5% or 0.05.</w:t>
      </w:r>
    </w:p>
    <w:p w14:paraId="7CCA7F31" w14:textId="77777777" w:rsidR="009A709A" w:rsidRPr="009A709A" w:rsidRDefault="009A709A" w:rsidP="008960B4">
      <w:pPr>
        <w:spacing w:after="200"/>
        <w:rPr>
          <w:rFonts w:ascii="Arial" w:eastAsia="MS Mincho" w:hAnsi="Arial" w:cs="Arial"/>
        </w:rPr>
      </w:pPr>
      <w:r w:rsidRPr="009A709A">
        <w:rPr>
          <w:rFonts w:ascii="Arial" w:eastAsia="MS Mincho" w:hAnsi="Arial" w:cs="Arial"/>
        </w:rPr>
        <w:t>Plugging the values into the formula:</w:t>
      </w:r>
      <w:r w:rsidRPr="009A709A">
        <w:rPr>
          <w:rFonts w:ascii="Arial" w:eastAsia="MS Mincho" w:hAnsi="Arial" w:cs="Arial"/>
        </w:rPr>
        <w:br/>
        <w:t>n = (1.96² * 0.3 * (1-0.3)) / (0.05)</w:t>
      </w:r>
      <w:r w:rsidRPr="009A709A">
        <w:rPr>
          <w:rFonts w:ascii="Arial" w:eastAsia="MS Mincho" w:hAnsi="Arial" w:cs="Arial"/>
          <w:vertAlign w:val="superscript"/>
        </w:rPr>
        <w:t>2</w:t>
      </w:r>
      <w:r w:rsidRPr="009A709A">
        <w:rPr>
          <w:rFonts w:ascii="Arial" w:eastAsia="MS Mincho" w:hAnsi="Arial" w:cs="Arial"/>
        </w:rPr>
        <w:br/>
        <w:t>n = (3.8416 * 0.3 * 0.7) / 0.0025</w:t>
      </w:r>
      <w:r w:rsidRPr="009A709A">
        <w:rPr>
          <w:rFonts w:ascii="Arial" w:eastAsia="MS Mincho" w:hAnsi="Arial" w:cs="Arial"/>
        </w:rPr>
        <w:br/>
        <w:t>n = 0.806736 / 0.0025</w:t>
      </w:r>
      <w:r w:rsidRPr="009A709A">
        <w:rPr>
          <w:rFonts w:ascii="Arial" w:eastAsia="MS Mincho" w:hAnsi="Arial" w:cs="Arial"/>
        </w:rPr>
        <w:br/>
        <w:t>n = 322.69144 ≈ 323. The minimum sample size needed was approximately 323 children. Data was collected using two primary instruments:</w:t>
      </w:r>
    </w:p>
    <w:p w14:paraId="7F7E7D9F" w14:textId="77777777"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Structured Questionnaires </w:t>
      </w:r>
    </w:p>
    <w:p w14:paraId="32A642A9" w14:textId="77777777" w:rsidR="009A709A" w:rsidRPr="009A709A" w:rsidRDefault="009A709A" w:rsidP="008960B4">
      <w:pPr>
        <w:numPr>
          <w:ilvl w:val="0"/>
          <w:numId w:val="32"/>
        </w:numPr>
        <w:spacing w:after="200"/>
        <w:contextualSpacing/>
        <w:jc w:val="both"/>
        <w:rPr>
          <w:rFonts w:ascii="Arial" w:eastAsia="MS Mincho" w:hAnsi="Arial" w:cs="Arial"/>
        </w:rPr>
      </w:pPr>
      <w:r w:rsidRPr="009A709A">
        <w:rPr>
          <w:rFonts w:ascii="Arial" w:eastAsia="MS Mincho" w:hAnsi="Arial" w:cs="Arial"/>
        </w:rPr>
        <w:t>Developed to gather information on demographic characteristics (age, sex), socio-economic status (income level, parental education), dietary practices (types of foods consumed), and environmental conditions (sanitation facilities).</w:t>
      </w:r>
    </w:p>
    <w:p w14:paraId="2F5817A6" w14:textId="77777777" w:rsidR="009A709A" w:rsidRPr="009A709A" w:rsidRDefault="009A709A" w:rsidP="008960B4">
      <w:pPr>
        <w:numPr>
          <w:ilvl w:val="0"/>
          <w:numId w:val="32"/>
        </w:numPr>
        <w:spacing w:after="200"/>
        <w:contextualSpacing/>
        <w:jc w:val="both"/>
        <w:rPr>
          <w:rFonts w:ascii="Arial" w:eastAsia="MS Mincho" w:hAnsi="Arial" w:cs="Arial"/>
        </w:rPr>
      </w:pPr>
      <w:r w:rsidRPr="009A709A">
        <w:rPr>
          <w:rFonts w:ascii="Arial" w:eastAsia="MS Mincho" w:hAnsi="Arial" w:cs="Arial"/>
        </w:rPr>
        <w:t>The questionnaire included both closed-ended questions for quantitative analysis and open-ended questions for qualitative insights.</w:t>
      </w:r>
    </w:p>
    <w:p w14:paraId="6190155E" w14:textId="77777777"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Anthropometric Measurements </w:t>
      </w:r>
    </w:p>
    <w:p w14:paraId="6F909DB9" w14:textId="77777777" w:rsidR="009A709A" w:rsidRPr="009A709A" w:rsidRDefault="009A709A" w:rsidP="008960B4">
      <w:pPr>
        <w:numPr>
          <w:ilvl w:val="0"/>
          <w:numId w:val="33"/>
        </w:numPr>
        <w:spacing w:after="200"/>
        <w:contextualSpacing/>
        <w:jc w:val="both"/>
        <w:rPr>
          <w:rFonts w:ascii="Arial" w:eastAsia="MS Mincho" w:hAnsi="Arial" w:cs="Arial"/>
        </w:rPr>
      </w:pPr>
      <w:r w:rsidRPr="009A709A">
        <w:rPr>
          <w:rFonts w:ascii="Arial" w:eastAsia="MS Mincho" w:hAnsi="Arial" w:cs="Arial"/>
        </w:rPr>
        <w:t>Weight Measurement: Using calibrated digital scales.</w:t>
      </w:r>
    </w:p>
    <w:p w14:paraId="19FFB599" w14:textId="77777777" w:rsidR="009A709A" w:rsidRPr="009A709A" w:rsidRDefault="009A709A" w:rsidP="008960B4">
      <w:pPr>
        <w:numPr>
          <w:ilvl w:val="0"/>
          <w:numId w:val="33"/>
        </w:numPr>
        <w:spacing w:after="200"/>
        <w:contextualSpacing/>
        <w:jc w:val="both"/>
        <w:rPr>
          <w:rFonts w:ascii="Arial" w:eastAsia="MS Mincho" w:hAnsi="Arial" w:cs="Arial"/>
        </w:rPr>
      </w:pPr>
      <w:r w:rsidRPr="009A709A">
        <w:rPr>
          <w:rFonts w:ascii="Arial" w:eastAsia="MS Mincho" w:hAnsi="Arial" w:cs="Arial"/>
        </w:rPr>
        <w:t>Height Measurement: Using stadiometers.</w:t>
      </w:r>
      <w:bookmarkStart w:id="5" w:name="_Toc194732666"/>
    </w:p>
    <w:bookmarkEnd w:id="5"/>
    <w:p w14:paraId="01E67DE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Data was analyzed using Statistical Package for Social Sciences (SPSS) version 25.</w:t>
      </w:r>
    </w:p>
    <w:p w14:paraId="0279FB04" w14:textId="77777777" w:rsidR="009A709A" w:rsidRPr="009A709A" w:rsidRDefault="009A709A" w:rsidP="008960B4">
      <w:pPr>
        <w:spacing w:after="200"/>
        <w:jc w:val="both"/>
        <w:rPr>
          <w:rFonts w:ascii="Arial" w:eastAsia="MS Mincho" w:hAnsi="Arial" w:cs="Arial"/>
          <w:b/>
          <w:sz w:val="24"/>
          <w:szCs w:val="24"/>
        </w:rPr>
      </w:pPr>
      <w:bookmarkStart w:id="6" w:name="_Toc194732667"/>
      <w:r w:rsidRPr="009A709A">
        <w:rPr>
          <w:rFonts w:ascii="Arial" w:eastAsia="MS Mincho" w:hAnsi="Arial" w:cs="Arial"/>
          <w:b/>
          <w:sz w:val="24"/>
          <w:szCs w:val="24"/>
        </w:rPr>
        <w:t>2.4 Ethical Considerations</w:t>
      </w:r>
      <w:bookmarkEnd w:id="6"/>
    </w:p>
    <w:p w14:paraId="1C9F7CFC"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Ethical approval was obtained from Ethical Committee for Human Health Research South West Region prior to data collection. Informed consent was sought from all participants or their guardians before participation in the study: Participants received information about the study's purpose, procedures, potential risks/benefits, confidentiality measures, and their right to withdraw at any time without penalty. All data collected were confidential by anonymizing participant identifiers during data entry and analysis processes.</w:t>
      </w:r>
    </w:p>
    <w:p w14:paraId="2D8A8052" w14:textId="77777777" w:rsidR="009A709A" w:rsidRPr="009A709A" w:rsidRDefault="009A709A" w:rsidP="008960B4">
      <w:pPr>
        <w:keepNext/>
        <w:keepLines/>
        <w:jc w:val="both"/>
        <w:outlineLvl w:val="1"/>
        <w:rPr>
          <w:rFonts w:ascii="Arial" w:eastAsia="MS Gothic" w:hAnsi="Arial" w:cs="Arial"/>
          <w:b/>
          <w:bCs/>
          <w:sz w:val="24"/>
          <w:szCs w:val="24"/>
        </w:rPr>
      </w:pPr>
      <w:r w:rsidRPr="009A709A">
        <w:rPr>
          <w:rFonts w:ascii="Arial" w:eastAsia="MS Gothic" w:hAnsi="Arial" w:cs="Arial"/>
          <w:b/>
          <w:bCs/>
          <w:sz w:val="24"/>
          <w:szCs w:val="24"/>
        </w:rPr>
        <w:t>3 RESULTS</w:t>
      </w:r>
    </w:p>
    <w:p w14:paraId="3569A581"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The study revealed a high prevalence of malnutrition among children in Buea, with stunting being the most common form. Socio-demographic factors such as maternal education, household income, and feeding practices were significantly associated with nutritional outcomes. Children from lower-income households and those with less educated caregivers exhibited higher malnutrition rates. Early introduction of complementary foods and inadequate dietary diversity were also contributing factors.</w:t>
      </w:r>
    </w:p>
    <w:p w14:paraId="30FF05EE"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3.1 Demographic and Socio-Economic Characteristics  </w:t>
      </w:r>
    </w:p>
    <w:p w14:paraId="42933A8D"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1:</w:t>
      </w:r>
      <w:r w:rsidRPr="009A709A">
        <w:rPr>
          <w:rFonts w:ascii="Arial" w:eastAsia="MS Mincho" w:hAnsi="Arial" w:cs="Arial"/>
        </w:rPr>
        <w:t xml:space="preserve"> Baseline Characteristics of Study Participants (N=300)  </w:t>
      </w:r>
    </w:p>
    <w:tbl>
      <w:tblPr>
        <w:tblStyle w:val="TableGrid1"/>
        <w:tblW w:w="8969" w:type="dxa"/>
        <w:tblBorders>
          <w:left w:val="none" w:sz="0" w:space="0" w:color="auto"/>
          <w:right w:val="none" w:sz="0" w:space="0" w:color="auto"/>
        </w:tblBorders>
        <w:tblLook w:val="04A0" w:firstRow="1" w:lastRow="0" w:firstColumn="1" w:lastColumn="0" w:noHBand="0" w:noVBand="1"/>
      </w:tblPr>
      <w:tblGrid>
        <w:gridCol w:w="3330"/>
        <w:gridCol w:w="2173"/>
        <w:gridCol w:w="1667"/>
        <w:gridCol w:w="1799"/>
      </w:tblGrid>
      <w:tr w:rsidR="0065533E" w:rsidRPr="0065533E" w14:paraId="43212BB1" w14:textId="77777777" w:rsidTr="00AE5BCD">
        <w:trPr>
          <w:cantSplit/>
          <w:trHeight w:val="20"/>
        </w:trPr>
        <w:tc>
          <w:tcPr>
            <w:tcW w:w="0" w:type="auto"/>
            <w:vAlign w:val="center"/>
          </w:tcPr>
          <w:p w14:paraId="253A0AD1"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Variable</w:t>
            </w:r>
          </w:p>
        </w:tc>
        <w:tc>
          <w:tcPr>
            <w:tcW w:w="0" w:type="auto"/>
            <w:vAlign w:val="center"/>
          </w:tcPr>
          <w:p w14:paraId="3EBDB45D"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Category</w:t>
            </w:r>
          </w:p>
        </w:tc>
        <w:tc>
          <w:tcPr>
            <w:tcW w:w="0" w:type="auto"/>
            <w:vAlign w:val="center"/>
          </w:tcPr>
          <w:p w14:paraId="0EBD35B8"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Frequency (n)</w:t>
            </w:r>
          </w:p>
        </w:tc>
        <w:tc>
          <w:tcPr>
            <w:tcW w:w="0" w:type="auto"/>
            <w:vAlign w:val="center"/>
          </w:tcPr>
          <w:p w14:paraId="0BC296D5"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Percentage (%)</w:t>
            </w:r>
          </w:p>
        </w:tc>
      </w:tr>
      <w:tr w:rsidR="0065533E" w:rsidRPr="0065533E" w14:paraId="0B263F3B" w14:textId="77777777" w:rsidTr="009A709A">
        <w:trPr>
          <w:cantSplit/>
          <w:trHeight w:val="20"/>
        </w:trPr>
        <w:tc>
          <w:tcPr>
            <w:tcW w:w="0" w:type="auto"/>
            <w:vMerge w:val="restart"/>
            <w:shd w:val="clear" w:color="auto" w:fill="EEECE1"/>
            <w:vAlign w:val="center"/>
          </w:tcPr>
          <w:p w14:paraId="6A95F59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Child’s Age</w:t>
            </w:r>
          </w:p>
        </w:tc>
        <w:tc>
          <w:tcPr>
            <w:tcW w:w="0" w:type="auto"/>
            <w:shd w:val="clear" w:color="auto" w:fill="EEECE1"/>
            <w:vAlign w:val="center"/>
          </w:tcPr>
          <w:p w14:paraId="15FCCA2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0-12 months</w:t>
            </w:r>
          </w:p>
        </w:tc>
        <w:tc>
          <w:tcPr>
            <w:tcW w:w="0" w:type="auto"/>
            <w:shd w:val="clear" w:color="auto" w:fill="EEECE1"/>
            <w:vAlign w:val="center"/>
          </w:tcPr>
          <w:p w14:paraId="1DE4EC0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14:paraId="723F8D8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545AD8E0" w14:textId="77777777" w:rsidTr="009A709A">
        <w:trPr>
          <w:cantSplit/>
          <w:trHeight w:val="20"/>
        </w:trPr>
        <w:tc>
          <w:tcPr>
            <w:tcW w:w="0" w:type="auto"/>
            <w:vMerge/>
            <w:shd w:val="clear" w:color="auto" w:fill="EEECE1"/>
            <w:vAlign w:val="center"/>
          </w:tcPr>
          <w:p w14:paraId="55546837"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222EDF26"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1-3 years</w:t>
            </w:r>
          </w:p>
        </w:tc>
        <w:tc>
          <w:tcPr>
            <w:tcW w:w="0" w:type="auto"/>
            <w:shd w:val="clear" w:color="auto" w:fill="EEECE1"/>
            <w:vAlign w:val="center"/>
          </w:tcPr>
          <w:p w14:paraId="7B336E1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14:paraId="7F1499B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63BD7AAE" w14:textId="77777777" w:rsidTr="009A709A">
        <w:trPr>
          <w:cantSplit/>
          <w:trHeight w:val="20"/>
        </w:trPr>
        <w:tc>
          <w:tcPr>
            <w:tcW w:w="0" w:type="auto"/>
            <w:vMerge/>
            <w:shd w:val="clear" w:color="auto" w:fill="EEECE1"/>
            <w:vAlign w:val="center"/>
          </w:tcPr>
          <w:p w14:paraId="3C3EF4E6"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5645E82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3-5 years</w:t>
            </w:r>
          </w:p>
        </w:tc>
        <w:tc>
          <w:tcPr>
            <w:tcW w:w="0" w:type="auto"/>
            <w:shd w:val="clear" w:color="auto" w:fill="EEECE1"/>
            <w:vAlign w:val="center"/>
          </w:tcPr>
          <w:p w14:paraId="52E72C4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14:paraId="0999938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5842B87D" w14:textId="77777777" w:rsidTr="00AE5BCD">
        <w:trPr>
          <w:cantSplit/>
          <w:trHeight w:val="20"/>
        </w:trPr>
        <w:tc>
          <w:tcPr>
            <w:tcW w:w="0" w:type="auto"/>
            <w:vMerge w:val="restart"/>
            <w:vAlign w:val="center"/>
          </w:tcPr>
          <w:p w14:paraId="771860D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Child’s Gender</w:t>
            </w:r>
          </w:p>
        </w:tc>
        <w:tc>
          <w:tcPr>
            <w:tcW w:w="0" w:type="auto"/>
            <w:vAlign w:val="center"/>
          </w:tcPr>
          <w:p w14:paraId="7D480D1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Male</w:t>
            </w:r>
          </w:p>
        </w:tc>
        <w:tc>
          <w:tcPr>
            <w:tcW w:w="0" w:type="auto"/>
            <w:vAlign w:val="center"/>
          </w:tcPr>
          <w:p w14:paraId="502A33D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14:paraId="7E13CA3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14:paraId="11145D63" w14:textId="77777777" w:rsidTr="00AE5BCD">
        <w:trPr>
          <w:cantSplit/>
          <w:trHeight w:val="20"/>
        </w:trPr>
        <w:tc>
          <w:tcPr>
            <w:tcW w:w="0" w:type="auto"/>
            <w:vMerge/>
            <w:vAlign w:val="center"/>
          </w:tcPr>
          <w:p w14:paraId="12AC78F1" w14:textId="77777777" w:rsidR="009A709A" w:rsidRPr="009A709A" w:rsidRDefault="009A709A" w:rsidP="008960B4">
            <w:pPr>
              <w:jc w:val="center"/>
              <w:rPr>
                <w:rFonts w:ascii="Arial" w:hAnsi="Arial" w:cs="Arial"/>
                <w:sz w:val="20"/>
                <w:szCs w:val="20"/>
              </w:rPr>
            </w:pPr>
          </w:p>
        </w:tc>
        <w:tc>
          <w:tcPr>
            <w:tcW w:w="0" w:type="auto"/>
            <w:vAlign w:val="center"/>
          </w:tcPr>
          <w:p w14:paraId="7DA86DB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Female</w:t>
            </w:r>
          </w:p>
        </w:tc>
        <w:tc>
          <w:tcPr>
            <w:tcW w:w="0" w:type="auto"/>
            <w:vAlign w:val="center"/>
          </w:tcPr>
          <w:p w14:paraId="41871B1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14:paraId="77263D8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14:paraId="63F3073E" w14:textId="77777777" w:rsidTr="009A709A">
        <w:trPr>
          <w:cantSplit/>
          <w:trHeight w:val="20"/>
        </w:trPr>
        <w:tc>
          <w:tcPr>
            <w:tcW w:w="0" w:type="auto"/>
            <w:vMerge w:val="restart"/>
            <w:shd w:val="clear" w:color="auto" w:fill="EEECE1"/>
            <w:vAlign w:val="center"/>
          </w:tcPr>
          <w:p w14:paraId="554F488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Caregiver’s Education</w:t>
            </w:r>
          </w:p>
        </w:tc>
        <w:tc>
          <w:tcPr>
            <w:tcW w:w="0" w:type="auto"/>
            <w:shd w:val="clear" w:color="auto" w:fill="EEECE1"/>
            <w:vAlign w:val="center"/>
          </w:tcPr>
          <w:p w14:paraId="5D9F1BCB"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 formal education</w:t>
            </w:r>
          </w:p>
        </w:tc>
        <w:tc>
          <w:tcPr>
            <w:tcW w:w="0" w:type="auto"/>
            <w:shd w:val="clear" w:color="auto" w:fill="EEECE1"/>
            <w:vAlign w:val="center"/>
          </w:tcPr>
          <w:p w14:paraId="3BFA1B0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shd w:val="clear" w:color="auto" w:fill="EEECE1"/>
            <w:vAlign w:val="center"/>
          </w:tcPr>
          <w:p w14:paraId="04EBC50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r>
      <w:tr w:rsidR="0065533E" w:rsidRPr="0065533E" w14:paraId="6858A8FC" w14:textId="77777777" w:rsidTr="009A709A">
        <w:trPr>
          <w:cantSplit/>
          <w:trHeight w:val="20"/>
        </w:trPr>
        <w:tc>
          <w:tcPr>
            <w:tcW w:w="0" w:type="auto"/>
            <w:vMerge/>
            <w:shd w:val="clear" w:color="auto" w:fill="EEECE1"/>
            <w:vAlign w:val="center"/>
          </w:tcPr>
          <w:p w14:paraId="7D69C3F7"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5D8FD0E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Primary</w:t>
            </w:r>
          </w:p>
        </w:tc>
        <w:tc>
          <w:tcPr>
            <w:tcW w:w="0" w:type="auto"/>
            <w:shd w:val="clear" w:color="auto" w:fill="EEECE1"/>
            <w:vAlign w:val="center"/>
          </w:tcPr>
          <w:p w14:paraId="714DA5E6"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90</w:t>
            </w:r>
          </w:p>
        </w:tc>
        <w:tc>
          <w:tcPr>
            <w:tcW w:w="0" w:type="auto"/>
            <w:shd w:val="clear" w:color="auto" w:fill="EEECE1"/>
            <w:vAlign w:val="center"/>
          </w:tcPr>
          <w:p w14:paraId="4AE2580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30.0</w:t>
            </w:r>
          </w:p>
        </w:tc>
      </w:tr>
      <w:tr w:rsidR="0065533E" w:rsidRPr="0065533E" w14:paraId="3EC380BF" w14:textId="77777777" w:rsidTr="009A709A">
        <w:trPr>
          <w:cantSplit/>
          <w:trHeight w:val="20"/>
        </w:trPr>
        <w:tc>
          <w:tcPr>
            <w:tcW w:w="0" w:type="auto"/>
            <w:vMerge/>
            <w:shd w:val="clear" w:color="auto" w:fill="EEECE1"/>
            <w:vAlign w:val="center"/>
          </w:tcPr>
          <w:p w14:paraId="2C57C994"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3EDCFA2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Secondary</w:t>
            </w:r>
          </w:p>
        </w:tc>
        <w:tc>
          <w:tcPr>
            <w:tcW w:w="0" w:type="auto"/>
            <w:shd w:val="clear" w:color="auto" w:fill="EEECE1"/>
            <w:vAlign w:val="center"/>
          </w:tcPr>
          <w:p w14:paraId="3E7647C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120</w:t>
            </w:r>
          </w:p>
        </w:tc>
        <w:tc>
          <w:tcPr>
            <w:tcW w:w="0" w:type="auto"/>
            <w:shd w:val="clear" w:color="auto" w:fill="EEECE1"/>
            <w:vAlign w:val="center"/>
          </w:tcPr>
          <w:p w14:paraId="5AAD207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40.0</w:t>
            </w:r>
          </w:p>
        </w:tc>
      </w:tr>
      <w:tr w:rsidR="0065533E" w:rsidRPr="0065533E" w14:paraId="3750A7A4" w14:textId="77777777" w:rsidTr="009A709A">
        <w:trPr>
          <w:cantSplit/>
          <w:trHeight w:val="20"/>
        </w:trPr>
        <w:tc>
          <w:tcPr>
            <w:tcW w:w="0" w:type="auto"/>
            <w:vMerge/>
            <w:shd w:val="clear" w:color="auto" w:fill="EEECE1"/>
            <w:vAlign w:val="center"/>
          </w:tcPr>
          <w:p w14:paraId="6D2F0177"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3F58298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Tertiary</w:t>
            </w:r>
          </w:p>
        </w:tc>
        <w:tc>
          <w:tcPr>
            <w:tcW w:w="0" w:type="auto"/>
            <w:shd w:val="clear" w:color="auto" w:fill="EEECE1"/>
            <w:vAlign w:val="center"/>
          </w:tcPr>
          <w:p w14:paraId="343D8D6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w:t>
            </w:r>
          </w:p>
        </w:tc>
        <w:tc>
          <w:tcPr>
            <w:tcW w:w="0" w:type="auto"/>
            <w:shd w:val="clear" w:color="auto" w:fill="EEECE1"/>
            <w:vAlign w:val="center"/>
          </w:tcPr>
          <w:p w14:paraId="3865E00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r>
      <w:tr w:rsidR="0065533E" w:rsidRPr="0065533E" w14:paraId="5578525D" w14:textId="77777777" w:rsidTr="00AE5BCD">
        <w:trPr>
          <w:cantSplit/>
          <w:trHeight w:val="20"/>
        </w:trPr>
        <w:tc>
          <w:tcPr>
            <w:tcW w:w="0" w:type="auto"/>
            <w:vMerge w:val="restart"/>
            <w:vAlign w:val="center"/>
          </w:tcPr>
          <w:p w14:paraId="2C3C076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Household Income (XAF/month)</w:t>
            </w:r>
          </w:p>
        </w:tc>
        <w:tc>
          <w:tcPr>
            <w:tcW w:w="0" w:type="auto"/>
            <w:vAlign w:val="center"/>
          </w:tcPr>
          <w:p w14:paraId="15F50FE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&lt;50,000</w:t>
            </w:r>
          </w:p>
        </w:tc>
        <w:tc>
          <w:tcPr>
            <w:tcW w:w="0" w:type="auto"/>
            <w:vAlign w:val="center"/>
          </w:tcPr>
          <w:p w14:paraId="756FD2B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14:paraId="5DF32FA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14:paraId="224EBBEA" w14:textId="77777777" w:rsidTr="00AE5BCD">
        <w:trPr>
          <w:cantSplit/>
          <w:trHeight w:val="20"/>
        </w:trPr>
        <w:tc>
          <w:tcPr>
            <w:tcW w:w="0" w:type="auto"/>
            <w:vMerge/>
            <w:vAlign w:val="center"/>
          </w:tcPr>
          <w:p w14:paraId="03FCB02D" w14:textId="77777777" w:rsidR="009A709A" w:rsidRPr="009A709A" w:rsidRDefault="009A709A" w:rsidP="008960B4">
            <w:pPr>
              <w:jc w:val="center"/>
              <w:rPr>
                <w:rFonts w:ascii="Arial" w:hAnsi="Arial" w:cs="Arial"/>
                <w:sz w:val="20"/>
                <w:szCs w:val="20"/>
              </w:rPr>
            </w:pPr>
          </w:p>
        </w:tc>
        <w:tc>
          <w:tcPr>
            <w:tcW w:w="0" w:type="auto"/>
            <w:vAlign w:val="center"/>
          </w:tcPr>
          <w:p w14:paraId="0FFF618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50,000-100,000</w:t>
            </w:r>
          </w:p>
        </w:tc>
        <w:tc>
          <w:tcPr>
            <w:tcW w:w="0" w:type="auto"/>
            <w:vAlign w:val="center"/>
          </w:tcPr>
          <w:p w14:paraId="534D2DD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vAlign w:val="center"/>
          </w:tcPr>
          <w:p w14:paraId="52E47AF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2618BAEF" w14:textId="77777777" w:rsidTr="00AE5BCD">
        <w:trPr>
          <w:cantSplit/>
          <w:trHeight w:val="20"/>
        </w:trPr>
        <w:tc>
          <w:tcPr>
            <w:tcW w:w="0" w:type="auto"/>
            <w:vMerge/>
            <w:vAlign w:val="center"/>
          </w:tcPr>
          <w:p w14:paraId="418BB37C" w14:textId="77777777" w:rsidR="009A709A" w:rsidRPr="009A709A" w:rsidRDefault="009A709A" w:rsidP="008960B4">
            <w:pPr>
              <w:jc w:val="center"/>
              <w:rPr>
                <w:rFonts w:ascii="Arial" w:hAnsi="Arial" w:cs="Arial"/>
                <w:sz w:val="20"/>
                <w:szCs w:val="20"/>
              </w:rPr>
            </w:pPr>
          </w:p>
        </w:tc>
        <w:tc>
          <w:tcPr>
            <w:tcW w:w="0" w:type="auto"/>
            <w:vAlign w:val="center"/>
          </w:tcPr>
          <w:p w14:paraId="27716DB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&gt;100,000</w:t>
            </w:r>
          </w:p>
        </w:tc>
        <w:tc>
          <w:tcPr>
            <w:tcW w:w="0" w:type="auto"/>
            <w:vAlign w:val="center"/>
          </w:tcPr>
          <w:p w14:paraId="458B053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vAlign w:val="center"/>
          </w:tcPr>
          <w:p w14:paraId="01549D0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r>
    </w:tbl>
    <w:p w14:paraId="1DC82ECE" w14:textId="77777777" w:rsidR="009A709A" w:rsidRPr="009A709A" w:rsidRDefault="009A709A" w:rsidP="008960B4">
      <w:pPr>
        <w:spacing w:after="200"/>
        <w:jc w:val="both"/>
        <w:rPr>
          <w:rFonts w:ascii="Arial" w:eastAsia="MS Mincho" w:hAnsi="Arial" w:cs="Arial"/>
          <w:b/>
        </w:rPr>
      </w:pPr>
    </w:p>
    <w:p w14:paraId="23B85ADC" w14:textId="77777777"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Equal age/gender distribution ensures representativeness.  </w:t>
      </w:r>
    </w:p>
    <w:p w14:paraId="728266B9" w14:textId="77777777"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50% of households earn &lt; 50,000 XAF/month, indicating widespread poverty.  </w:t>
      </w:r>
    </w:p>
    <w:p w14:paraId="0FABC3A1" w14:textId="77777777"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40% of caregivers attained secondary education; only 10% had tertiary.  </w:t>
      </w:r>
    </w:p>
    <w:p w14:paraId="4B7CAF76" w14:textId="77777777" w:rsidR="009A709A" w:rsidRPr="009A709A" w:rsidRDefault="009A709A" w:rsidP="008960B4">
      <w:pPr>
        <w:jc w:val="both"/>
        <w:rPr>
          <w:rFonts w:ascii="Arial" w:eastAsia="MS Mincho" w:hAnsi="Arial" w:cs="Arial"/>
        </w:rPr>
      </w:pPr>
    </w:p>
    <w:p w14:paraId="09640FA5"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3.2 Nutritional Status Indicators  </w:t>
      </w:r>
    </w:p>
    <w:p w14:paraId="5EB8F53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2:</w:t>
      </w:r>
      <w:r w:rsidRPr="009A709A">
        <w:rPr>
          <w:rFonts w:ascii="Arial" w:eastAsia="MS Mincho" w:hAnsi="Arial" w:cs="Arial"/>
        </w:rPr>
        <w:t xml:space="preserve"> Anthropometric Classification of Children (WHO Z-scores)  </w:t>
      </w:r>
    </w:p>
    <w:tbl>
      <w:tblPr>
        <w:tblStyle w:val="TableGrid1"/>
        <w:tblW w:w="9178" w:type="dxa"/>
        <w:jc w:val="center"/>
        <w:tblBorders>
          <w:left w:val="none" w:sz="0" w:space="0" w:color="auto"/>
          <w:right w:val="none" w:sz="0" w:space="0" w:color="auto"/>
        </w:tblBorders>
        <w:tblLook w:val="04A0" w:firstRow="1" w:lastRow="0" w:firstColumn="1" w:lastColumn="0" w:noHBand="0" w:noVBand="1"/>
      </w:tblPr>
      <w:tblGrid>
        <w:gridCol w:w="3181"/>
        <w:gridCol w:w="2454"/>
        <w:gridCol w:w="1704"/>
        <w:gridCol w:w="1839"/>
      </w:tblGrid>
      <w:tr w:rsidR="0065533E" w:rsidRPr="0065533E" w14:paraId="14623DD1" w14:textId="77777777" w:rsidTr="00AE5BCD">
        <w:trPr>
          <w:cantSplit/>
          <w:trHeight w:val="237"/>
          <w:jc w:val="center"/>
        </w:trPr>
        <w:tc>
          <w:tcPr>
            <w:tcW w:w="0" w:type="auto"/>
            <w:vAlign w:val="center"/>
          </w:tcPr>
          <w:p w14:paraId="78A55696"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Indicator</w:t>
            </w:r>
          </w:p>
        </w:tc>
        <w:tc>
          <w:tcPr>
            <w:tcW w:w="0" w:type="auto"/>
            <w:vAlign w:val="center"/>
          </w:tcPr>
          <w:p w14:paraId="79F7BD7D"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Category</w:t>
            </w:r>
          </w:p>
        </w:tc>
        <w:tc>
          <w:tcPr>
            <w:tcW w:w="0" w:type="auto"/>
            <w:vAlign w:val="center"/>
          </w:tcPr>
          <w:p w14:paraId="302D4E23"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Frequency (n)</w:t>
            </w:r>
          </w:p>
        </w:tc>
        <w:tc>
          <w:tcPr>
            <w:tcW w:w="0" w:type="auto"/>
            <w:vAlign w:val="center"/>
          </w:tcPr>
          <w:p w14:paraId="551B5394"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Percentage (%)</w:t>
            </w:r>
          </w:p>
        </w:tc>
      </w:tr>
      <w:tr w:rsidR="0065533E" w:rsidRPr="0065533E" w14:paraId="47EBFC82" w14:textId="77777777" w:rsidTr="009A709A">
        <w:trPr>
          <w:cantSplit/>
          <w:trHeight w:val="257"/>
          <w:jc w:val="center"/>
        </w:trPr>
        <w:tc>
          <w:tcPr>
            <w:tcW w:w="0" w:type="auto"/>
            <w:vMerge w:val="restart"/>
            <w:shd w:val="clear" w:color="auto" w:fill="EEECE1"/>
            <w:vAlign w:val="center"/>
          </w:tcPr>
          <w:p w14:paraId="17EA47BB"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Height-for-Age (Stunting)</w:t>
            </w:r>
          </w:p>
        </w:tc>
        <w:tc>
          <w:tcPr>
            <w:tcW w:w="0" w:type="auto"/>
            <w:shd w:val="clear" w:color="auto" w:fill="EEECE1"/>
            <w:vAlign w:val="center"/>
          </w:tcPr>
          <w:p w14:paraId="11CE8B6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Normal (≥-2 SD)</w:t>
            </w:r>
          </w:p>
        </w:tc>
        <w:tc>
          <w:tcPr>
            <w:tcW w:w="0" w:type="auto"/>
            <w:shd w:val="clear" w:color="auto" w:fill="EEECE1"/>
            <w:vAlign w:val="center"/>
          </w:tcPr>
          <w:p w14:paraId="3BC5D5C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230</w:t>
            </w:r>
          </w:p>
        </w:tc>
        <w:tc>
          <w:tcPr>
            <w:tcW w:w="0" w:type="auto"/>
            <w:shd w:val="clear" w:color="auto" w:fill="EEECE1"/>
            <w:vAlign w:val="center"/>
          </w:tcPr>
          <w:p w14:paraId="2FA78026"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76.5</w:t>
            </w:r>
          </w:p>
        </w:tc>
      </w:tr>
      <w:tr w:rsidR="0065533E" w:rsidRPr="0065533E" w14:paraId="79EADD65" w14:textId="77777777" w:rsidTr="009A709A">
        <w:trPr>
          <w:cantSplit/>
          <w:trHeight w:val="147"/>
          <w:jc w:val="center"/>
        </w:trPr>
        <w:tc>
          <w:tcPr>
            <w:tcW w:w="0" w:type="auto"/>
            <w:vMerge/>
            <w:shd w:val="clear" w:color="auto" w:fill="EEECE1"/>
            <w:vAlign w:val="center"/>
          </w:tcPr>
          <w:p w14:paraId="4342E4BD"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784DF482"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Moderate (-3 to -2 SD)</w:t>
            </w:r>
          </w:p>
        </w:tc>
        <w:tc>
          <w:tcPr>
            <w:tcW w:w="0" w:type="auto"/>
            <w:shd w:val="clear" w:color="auto" w:fill="EEECE1"/>
            <w:vAlign w:val="center"/>
          </w:tcPr>
          <w:p w14:paraId="61AA14D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shd w:val="clear" w:color="auto" w:fill="EEECE1"/>
            <w:vAlign w:val="center"/>
          </w:tcPr>
          <w:p w14:paraId="54EF430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r>
      <w:tr w:rsidR="0065533E" w:rsidRPr="0065533E" w14:paraId="536B45C8" w14:textId="77777777" w:rsidTr="009A709A">
        <w:trPr>
          <w:cantSplit/>
          <w:trHeight w:val="147"/>
          <w:jc w:val="center"/>
        </w:trPr>
        <w:tc>
          <w:tcPr>
            <w:tcW w:w="0" w:type="auto"/>
            <w:vMerge/>
            <w:shd w:val="clear" w:color="auto" w:fill="EEECE1"/>
            <w:vAlign w:val="center"/>
          </w:tcPr>
          <w:p w14:paraId="423C6FF1"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239F3AF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Severe (&lt;-3 SD)</w:t>
            </w:r>
          </w:p>
        </w:tc>
        <w:tc>
          <w:tcPr>
            <w:tcW w:w="0" w:type="auto"/>
            <w:shd w:val="clear" w:color="auto" w:fill="EEECE1"/>
            <w:vAlign w:val="center"/>
          </w:tcPr>
          <w:p w14:paraId="2EA58AA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w:t>
            </w:r>
          </w:p>
        </w:tc>
        <w:tc>
          <w:tcPr>
            <w:tcW w:w="0" w:type="auto"/>
            <w:shd w:val="clear" w:color="auto" w:fill="EEECE1"/>
            <w:vAlign w:val="center"/>
          </w:tcPr>
          <w:p w14:paraId="1FC493E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6.6</w:t>
            </w:r>
          </w:p>
        </w:tc>
      </w:tr>
      <w:tr w:rsidR="0065533E" w:rsidRPr="0065533E" w14:paraId="1A0002F7" w14:textId="77777777" w:rsidTr="00AE5BCD">
        <w:trPr>
          <w:cantSplit/>
          <w:trHeight w:val="269"/>
          <w:jc w:val="center"/>
        </w:trPr>
        <w:tc>
          <w:tcPr>
            <w:tcW w:w="0" w:type="auto"/>
            <w:vMerge w:val="restart"/>
            <w:vAlign w:val="center"/>
          </w:tcPr>
          <w:p w14:paraId="5560F85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Weight-for-Height (Wasting)</w:t>
            </w:r>
          </w:p>
        </w:tc>
        <w:tc>
          <w:tcPr>
            <w:tcW w:w="0" w:type="auto"/>
            <w:vAlign w:val="center"/>
          </w:tcPr>
          <w:p w14:paraId="04236CD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Normal (≥-2 SD)</w:t>
            </w:r>
          </w:p>
        </w:tc>
        <w:tc>
          <w:tcPr>
            <w:tcW w:w="0" w:type="auto"/>
            <w:vAlign w:val="center"/>
          </w:tcPr>
          <w:p w14:paraId="5E13EC3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260</w:t>
            </w:r>
          </w:p>
        </w:tc>
        <w:tc>
          <w:tcPr>
            <w:tcW w:w="0" w:type="auto"/>
            <w:vAlign w:val="center"/>
          </w:tcPr>
          <w:p w14:paraId="3D58FD7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86.7</w:t>
            </w:r>
          </w:p>
        </w:tc>
      </w:tr>
      <w:tr w:rsidR="0065533E" w:rsidRPr="0065533E" w14:paraId="02E5DDDB" w14:textId="77777777" w:rsidTr="00AE5BCD">
        <w:trPr>
          <w:cantSplit/>
          <w:trHeight w:val="147"/>
          <w:jc w:val="center"/>
        </w:trPr>
        <w:tc>
          <w:tcPr>
            <w:tcW w:w="0" w:type="auto"/>
            <w:vMerge/>
            <w:vAlign w:val="center"/>
          </w:tcPr>
          <w:p w14:paraId="0D7E7D93" w14:textId="77777777" w:rsidR="009A709A" w:rsidRPr="009A709A" w:rsidRDefault="009A709A" w:rsidP="008960B4">
            <w:pPr>
              <w:jc w:val="center"/>
              <w:rPr>
                <w:rFonts w:ascii="Arial" w:hAnsi="Arial" w:cs="Arial"/>
                <w:sz w:val="20"/>
                <w:szCs w:val="20"/>
              </w:rPr>
            </w:pPr>
          </w:p>
        </w:tc>
        <w:tc>
          <w:tcPr>
            <w:tcW w:w="0" w:type="auto"/>
            <w:vAlign w:val="center"/>
          </w:tcPr>
          <w:p w14:paraId="48A41A96"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Moderate (-3 to -2 SD)</w:t>
            </w:r>
          </w:p>
        </w:tc>
        <w:tc>
          <w:tcPr>
            <w:tcW w:w="0" w:type="auto"/>
            <w:vAlign w:val="center"/>
          </w:tcPr>
          <w:p w14:paraId="5A9CD072"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w:t>
            </w:r>
          </w:p>
        </w:tc>
        <w:tc>
          <w:tcPr>
            <w:tcW w:w="0" w:type="auto"/>
            <w:vAlign w:val="center"/>
          </w:tcPr>
          <w:p w14:paraId="4CF58B1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r>
      <w:tr w:rsidR="0065533E" w:rsidRPr="0065533E" w14:paraId="4535DA82" w14:textId="77777777" w:rsidTr="00AE5BCD">
        <w:trPr>
          <w:cantSplit/>
          <w:trHeight w:val="147"/>
          <w:jc w:val="center"/>
        </w:trPr>
        <w:tc>
          <w:tcPr>
            <w:tcW w:w="0" w:type="auto"/>
            <w:vMerge/>
            <w:vAlign w:val="center"/>
          </w:tcPr>
          <w:p w14:paraId="477CCEA2" w14:textId="77777777" w:rsidR="009A709A" w:rsidRPr="009A709A" w:rsidRDefault="009A709A" w:rsidP="008960B4">
            <w:pPr>
              <w:jc w:val="center"/>
              <w:rPr>
                <w:rFonts w:ascii="Arial" w:hAnsi="Arial" w:cs="Arial"/>
                <w:sz w:val="20"/>
                <w:szCs w:val="20"/>
              </w:rPr>
            </w:pPr>
          </w:p>
        </w:tc>
        <w:tc>
          <w:tcPr>
            <w:tcW w:w="0" w:type="auto"/>
            <w:vAlign w:val="center"/>
          </w:tcPr>
          <w:p w14:paraId="1A0FFFE9"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Severe (&lt;-3 SD)</w:t>
            </w:r>
          </w:p>
        </w:tc>
        <w:tc>
          <w:tcPr>
            <w:tcW w:w="0" w:type="auto"/>
            <w:vAlign w:val="center"/>
          </w:tcPr>
          <w:p w14:paraId="72D95D1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w:t>
            </w:r>
          </w:p>
        </w:tc>
        <w:tc>
          <w:tcPr>
            <w:tcW w:w="0" w:type="auto"/>
            <w:vAlign w:val="center"/>
          </w:tcPr>
          <w:p w14:paraId="17D443B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w:t>
            </w:r>
          </w:p>
        </w:tc>
      </w:tr>
      <w:tr w:rsidR="0065533E" w:rsidRPr="0065533E" w14:paraId="7D984D2B" w14:textId="77777777" w:rsidTr="009A709A">
        <w:trPr>
          <w:cantSplit/>
          <w:trHeight w:val="257"/>
          <w:jc w:val="center"/>
        </w:trPr>
        <w:tc>
          <w:tcPr>
            <w:tcW w:w="0" w:type="auto"/>
            <w:vMerge w:val="restart"/>
            <w:shd w:val="clear" w:color="auto" w:fill="EEECE1"/>
            <w:vAlign w:val="center"/>
          </w:tcPr>
          <w:p w14:paraId="3E0C74B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Weight-for-Age (Underweight)</w:t>
            </w:r>
          </w:p>
        </w:tc>
        <w:tc>
          <w:tcPr>
            <w:tcW w:w="0" w:type="auto"/>
            <w:shd w:val="clear" w:color="auto" w:fill="EEECE1"/>
            <w:vAlign w:val="center"/>
          </w:tcPr>
          <w:p w14:paraId="7EE62887"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Normal (≥-2 SD)</w:t>
            </w:r>
          </w:p>
        </w:tc>
        <w:tc>
          <w:tcPr>
            <w:tcW w:w="0" w:type="auto"/>
            <w:shd w:val="clear" w:color="auto" w:fill="EEECE1"/>
            <w:vAlign w:val="center"/>
          </w:tcPr>
          <w:p w14:paraId="5EADCF02"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220</w:t>
            </w:r>
          </w:p>
        </w:tc>
        <w:tc>
          <w:tcPr>
            <w:tcW w:w="0" w:type="auto"/>
            <w:shd w:val="clear" w:color="auto" w:fill="EEECE1"/>
            <w:vAlign w:val="center"/>
          </w:tcPr>
          <w:p w14:paraId="4CEB654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73.3</w:t>
            </w:r>
          </w:p>
        </w:tc>
      </w:tr>
      <w:tr w:rsidR="0065533E" w:rsidRPr="0065533E" w14:paraId="7FDAFFB3" w14:textId="77777777" w:rsidTr="009A709A">
        <w:trPr>
          <w:cantSplit/>
          <w:trHeight w:val="147"/>
          <w:jc w:val="center"/>
        </w:trPr>
        <w:tc>
          <w:tcPr>
            <w:tcW w:w="0" w:type="auto"/>
            <w:vMerge/>
            <w:shd w:val="clear" w:color="auto" w:fill="EEECE1"/>
            <w:vAlign w:val="center"/>
          </w:tcPr>
          <w:p w14:paraId="56D573AA"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55C32323"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Moderate (-3 to -2 SD)</w:t>
            </w:r>
          </w:p>
        </w:tc>
        <w:tc>
          <w:tcPr>
            <w:tcW w:w="0" w:type="auto"/>
            <w:shd w:val="clear" w:color="auto" w:fill="EEECE1"/>
            <w:vAlign w:val="center"/>
          </w:tcPr>
          <w:p w14:paraId="3A27E28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shd w:val="clear" w:color="auto" w:fill="EEECE1"/>
            <w:vAlign w:val="center"/>
          </w:tcPr>
          <w:p w14:paraId="27298B8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r>
      <w:tr w:rsidR="0065533E" w:rsidRPr="0065533E" w14:paraId="1F0B3BCE" w14:textId="77777777" w:rsidTr="009A709A">
        <w:trPr>
          <w:cantSplit/>
          <w:trHeight w:val="147"/>
          <w:jc w:val="center"/>
        </w:trPr>
        <w:tc>
          <w:tcPr>
            <w:tcW w:w="0" w:type="auto"/>
            <w:vMerge/>
            <w:shd w:val="clear" w:color="auto" w:fill="EEECE1"/>
            <w:vAlign w:val="center"/>
          </w:tcPr>
          <w:p w14:paraId="0F907CAD"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350BBC0F"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Severe (&lt;-3 SD)</w:t>
            </w:r>
          </w:p>
        </w:tc>
        <w:tc>
          <w:tcPr>
            <w:tcW w:w="0" w:type="auto"/>
            <w:shd w:val="clear" w:color="auto" w:fill="EEECE1"/>
            <w:vAlign w:val="center"/>
          </w:tcPr>
          <w:p w14:paraId="1E3A62AB"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w:t>
            </w:r>
          </w:p>
        </w:tc>
        <w:tc>
          <w:tcPr>
            <w:tcW w:w="0" w:type="auto"/>
            <w:shd w:val="clear" w:color="auto" w:fill="EEECE1"/>
            <w:vAlign w:val="center"/>
          </w:tcPr>
          <w:p w14:paraId="40E7FE1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6.7</w:t>
            </w:r>
          </w:p>
        </w:tc>
      </w:tr>
    </w:tbl>
    <w:p w14:paraId="0D020EF4" w14:textId="77777777" w:rsidR="009A709A" w:rsidRPr="009A709A" w:rsidRDefault="009A709A" w:rsidP="008960B4">
      <w:pPr>
        <w:spacing w:after="200"/>
        <w:jc w:val="both"/>
        <w:rPr>
          <w:rFonts w:ascii="Arial" w:eastAsia="MS Mincho" w:hAnsi="Arial" w:cs="Arial"/>
          <w:b/>
        </w:rPr>
      </w:pPr>
    </w:p>
    <w:p w14:paraId="23045433"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23.3% stunting prevalence (chronic malnutrition).  </w:t>
      </w:r>
    </w:p>
    <w:p w14:paraId="781EECC9"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13.3% wasting (acute malnutrition), higher than national average (DHS 2018: 5.2%).  </w:t>
      </w:r>
    </w:p>
    <w:p w14:paraId="556EC711"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26.7% underweight, suggesting combined chronic/acute malnutrition.  </w:t>
      </w:r>
    </w:p>
    <w:p w14:paraId="559803AE" w14:textId="77777777" w:rsidR="008960B4" w:rsidRPr="009A709A" w:rsidRDefault="008960B4" w:rsidP="008960B4">
      <w:pPr>
        <w:spacing w:after="200"/>
        <w:jc w:val="both"/>
        <w:rPr>
          <w:rFonts w:ascii="Arial" w:eastAsia="MS Mincho" w:hAnsi="Arial" w:cs="Arial"/>
        </w:rPr>
      </w:pPr>
    </w:p>
    <w:p w14:paraId="0E473CC9"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3.3 Socio-Economic Determinants of Malnutrition  </w:t>
      </w:r>
    </w:p>
    <w:p w14:paraId="5DF398F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3:</w:t>
      </w:r>
      <w:r w:rsidRPr="009A709A">
        <w:rPr>
          <w:rFonts w:ascii="Arial" w:eastAsia="MS Mincho" w:hAnsi="Arial" w:cs="Arial"/>
        </w:rPr>
        <w:t xml:space="preserve"> Malnutrition by Income and Education Levels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1893"/>
        <w:gridCol w:w="3119"/>
        <w:gridCol w:w="2093"/>
        <w:gridCol w:w="1103"/>
      </w:tblGrid>
      <w:tr w:rsidR="0065533E" w:rsidRPr="0065533E" w14:paraId="4C0D9D80" w14:textId="77777777" w:rsidTr="00AE5BCD">
        <w:trPr>
          <w:cantSplit/>
          <w:trHeight w:val="20"/>
        </w:trPr>
        <w:tc>
          <w:tcPr>
            <w:tcW w:w="1980" w:type="dxa"/>
            <w:vAlign w:val="center"/>
          </w:tcPr>
          <w:p w14:paraId="653F8960"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Factor</w:t>
            </w:r>
          </w:p>
        </w:tc>
        <w:tc>
          <w:tcPr>
            <w:tcW w:w="3402" w:type="dxa"/>
            <w:vAlign w:val="center"/>
          </w:tcPr>
          <w:p w14:paraId="518625AE"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Category</w:t>
            </w:r>
          </w:p>
        </w:tc>
        <w:tc>
          <w:tcPr>
            <w:tcW w:w="2161" w:type="dxa"/>
            <w:vAlign w:val="center"/>
          </w:tcPr>
          <w:p w14:paraId="22605D14"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Malnourished (%)</w:t>
            </w:r>
          </w:p>
        </w:tc>
        <w:tc>
          <w:tcPr>
            <w:tcW w:w="0" w:type="auto"/>
            <w:vAlign w:val="center"/>
          </w:tcPr>
          <w:p w14:paraId="65DF8C13"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p-value</w:t>
            </w:r>
          </w:p>
        </w:tc>
      </w:tr>
      <w:tr w:rsidR="0065533E" w:rsidRPr="0065533E" w14:paraId="34921F7A" w14:textId="77777777" w:rsidTr="009A709A">
        <w:trPr>
          <w:cantSplit/>
          <w:trHeight w:val="20"/>
        </w:trPr>
        <w:tc>
          <w:tcPr>
            <w:tcW w:w="1980" w:type="dxa"/>
            <w:vMerge w:val="restart"/>
            <w:shd w:val="clear" w:color="auto" w:fill="EEECE1"/>
            <w:vAlign w:val="center"/>
          </w:tcPr>
          <w:p w14:paraId="41602738" w14:textId="77777777" w:rsidR="009A709A" w:rsidRPr="009A709A" w:rsidRDefault="009A709A" w:rsidP="008960B4">
            <w:pPr>
              <w:jc w:val="center"/>
              <w:rPr>
                <w:rFonts w:ascii="Arial" w:hAnsi="Arial" w:cs="Arial"/>
                <w:lang w:val="en-GB"/>
              </w:rPr>
            </w:pPr>
            <w:r w:rsidRPr="009A709A">
              <w:rPr>
                <w:rFonts w:ascii="Arial" w:hAnsi="Arial" w:cs="Arial"/>
                <w:lang w:val="en-GB"/>
              </w:rPr>
              <w:t>Household Income</w:t>
            </w:r>
          </w:p>
        </w:tc>
        <w:tc>
          <w:tcPr>
            <w:tcW w:w="3402" w:type="dxa"/>
            <w:shd w:val="clear" w:color="auto" w:fill="EEECE1"/>
            <w:vAlign w:val="center"/>
          </w:tcPr>
          <w:p w14:paraId="20CD6284" w14:textId="77777777" w:rsidR="009A709A" w:rsidRPr="009A709A" w:rsidRDefault="009A709A" w:rsidP="008960B4">
            <w:pPr>
              <w:jc w:val="center"/>
              <w:rPr>
                <w:rFonts w:ascii="Arial" w:hAnsi="Arial" w:cs="Arial"/>
                <w:lang w:val="en-GB"/>
              </w:rPr>
            </w:pPr>
            <w:r w:rsidRPr="009A709A">
              <w:rPr>
                <w:rFonts w:ascii="Arial" w:hAnsi="Arial" w:cs="Arial"/>
                <w:lang w:val="en-GB"/>
              </w:rPr>
              <w:t>Low (&lt;50,000 XAF)</w:t>
            </w:r>
          </w:p>
        </w:tc>
        <w:tc>
          <w:tcPr>
            <w:tcW w:w="2161" w:type="dxa"/>
            <w:shd w:val="clear" w:color="auto" w:fill="EEECE1"/>
            <w:vAlign w:val="center"/>
          </w:tcPr>
          <w:p w14:paraId="02492D43" w14:textId="77777777" w:rsidR="009A709A" w:rsidRPr="009A709A" w:rsidRDefault="009A709A" w:rsidP="008960B4">
            <w:pPr>
              <w:jc w:val="center"/>
              <w:rPr>
                <w:rFonts w:ascii="Arial" w:hAnsi="Arial" w:cs="Arial"/>
                <w:lang w:val="en-GB"/>
              </w:rPr>
            </w:pPr>
            <w:r w:rsidRPr="009A709A">
              <w:rPr>
                <w:rFonts w:ascii="Arial" w:hAnsi="Arial" w:cs="Arial"/>
                <w:lang w:val="en-GB"/>
              </w:rPr>
              <w:t>60.0</w:t>
            </w:r>
          </w:p>
        </w:tc>
        <w:tc>
          <w:tcPr>
            <w:tcW w:w="0" w:type="auto"/>
            <w:shd w:val="clear" w:color="auto" w:fill="EEECE1"/>
            <w:vAlign w:val="center"/>
          </w:tcPr>
          <w:p w14:paraId="4C5A0582" w14:textId="77777777" w:rsidR="009A709A" w:rsidRPr="009A709A" w:rsidRDefault="009A709A" w:rsidP="008960B4">
            <w:pPr>
              <w:jc w:val="center"/>
              <w:rPr>
                <w:rFonts w:ascii="Arial" w:hAnsi="Arial" w:cs="Arial"/>
                <w:lang w:val="en-GB"/>
              </w:rPr>
            </w:pPr>
            <w:r w:rsidRPr="009A709A">
              <w:rPr>
                <w:rFonts w:ascii="Arial" w:hAnsi="Arial" w:cs="Arial"/>
                <w:lang w:val="en-GB"/>
              </w:rPr>
              <w:t>&lt;0.0001*</w:t>
            </w:r>
          </w:p>
        </w:tc>
      </w:tr>
      <w:tr w:rsidR="0065533E" w:rsidRPr="0065533E" w14:paraId="1CE6F543" w14:textId="77777777" w:rsidTr="009A709A">
        <w:trPr>
          <w:cantSplit/>
          <w:trHeight w:val="20"/>
        </w:trPr>
        <w:tc>
          <w:tcPr>
            <w:tcW w:w="1980" w:type="dxa"/>
            <w:vMerge/>
            <w:shd w:val="clear" w:color="auto" w:fill="EEECE1"/>
            <w:vAlign w:val="center"/>
          </w:tcPr>
          <w:p w14:paraId="64CE4E3B" w14:textId="77777777" w:rsidR="009A709A" w:rsidRPr="009A709A" w:rsidRDefault="009A709A" w:rsidP="008960B4">
            <w:pPr>
              <w:jc w:val="center"/>
              <w:rPr>
                <w:rFonts w:ascii="Arial" w:hAnsi="Arial" w:cs="Arial"/>
              </w:rPr>
            </w:pPr>
          </w:p>
        </w:tc>
        <w:tc>
          <w:tcPr>
            <w:tcW w:w="3402" w:type="dxa"/>
            <w:shd w:val="clear" w:color="auto" w:fill="EEECE1"/>
            <w:vAlign w:val="center"/>
          </w:tcPr>
          <w:p w14:paraId="599C0F24" w14:textId="77777777" w:rsidR="009A709A" w:rsidRPr="009A709A" w:rsidRDefault="009A709A" w:rsidP="008960B4">
            <w:pPr>
              <w:jc w:val="center"/>
              <w:rPr>
                <w:rFonts w:ascii="Arial" w:hAnsi="Arial" w:cs="Arial"/>
                <w:lang w:val="en-GB"/>
              </w:rPr>
            </w:pPr>
            <w:r w:rsidRPr="009A709A">
              <w:rPr>
                <w:rFonts w:ascii="Arial" w:hAnsi="Arial" w:cs="Arial"/>
                <w:lang w:val="en-GB"/>
              </w:rPr>
              <w:t>Medium (50,000 – 100,000 XAF)</w:t>
            </w:r>
          </w:p>
        </w:tc>
        <w:tc>
          <w:tcPr>
            <w:tcW w:w="2161" w:type="dxa"/>
            <w:shd w:val="clear" w:color="auto" w:fill="EEECE1"/>
            <w:vAlign w:val="center"/>
          </w:tcPr>
          <w:p w14:paraId="52FDAC85" w14:textId="77777777" w:rsidR="009A709A" w:rsidRPr="009A709A" w:rsidRDefault="009A709A" w:rsidP="008960B4">
            <w:pPr>
              <w:jc w:val="center"/>
              <w:rPr>
                <w:rFonts w:ascii="Arial" w:hAnsi="Arial" w:cs="Arial"/>
                <w:lang w:val="en-GB"/>
              </w:rPr>
            </w:pPr>
            <w:r w:rsidRPr="009A709A">
              <w:rPr>
                <w:rFonts w:ascii="Arial" w:hAnsi="Arial" w:cs="Arial"/>
                <w:lang w:val="en-GB"/>
              </w:rPr>
              <w:t>30.0</w:t>
            </w:r>
          </w:p>
        </w:tc>
        <w:tc>
          <w:tcPr>
            <w:tcW w:w="0" w:type="auto"/>
            <w:shd w:val="clear" w:color="auto" w:fill="EEECE1"/>
            <w:vAlign w:val="center"/>
          </w:tcPr>
          <w:p w14:paraId="68D05F5A" w14:textId="77777777" w:rsidR="009A709A" w:rsidRPr="009A709A" w:rsidRDefault="009A709A" w:rsidP="008960B4">
            <w:pPr>
              <w:jc w:val="center"/>
              <w:rPr>
                <w:rFonts w:ascii="Arial" w:hAnsi="Arial" w:cs="Arial"/>
              </w:rPr>
            </w:pPr>
          </w:p>
        </w:tc>
      </w:tr>
      <w:tr w:rsidR="0065533E" w:rsidRPr="0065533E" w14:paraId="6EBEA838" w14:textId="77777777" w:rsidTr="009A709A">
        <w:trPr>
          <w:cantSplit/>
          <w:trHeight w:val="20"/>
        </w:trPr>
        <w:tc>
          <w:tcPr>
            <w:tcW w:w="1980" w:type="dxa"/>
            <w:vMerge/>
            <w:shd w:val="clear" w:color="auto" w:fill="EEECE1"/>
            <w:vAlign w:val="center"/>
          </w:tcPr>
          <w:p w14:paraId="635BBE97" w14:textId="77777777" w:rsidR="009A709A" w:rsidRPr="009A709A" w:rsidRDefault="009A709A" w:rsidP="008960B4">
            <w:pPr>
              <w:jc w:val="center"/>
              <w:rPr>
                <w:rFonts w:ascii="Arial" w:hAnsi="Arial" w:cs="Arial"/>
              </w:rPr>
            </w:pPr>
          </w:p>
        </w:tc>
        <w:tc>
          <w:tcPr>
            <w:tcW w:w="3402" w:type="dxa"/>
            <w:shd w:val="clear" w:color="auto" w:fill="EEECE1"/>
            <w:vAlign w:val="center"/>
          </w:tcPr>
          <w:p w14:paraId="51AB89FC" w14:textId="77777777" w:rsidR="009A709A" w:rsidRPr="009A709A" w:rsidRDefault="009A709A" w:rsidP="008960B4">
            <w:pPr>
              <w:jc w:val="center"/>
              <w:rPr>
                <w:rFonts w:ascii="Arial" w:hAnsi="Arial" w:cs="Arial"/>
                <w:lang w:val="en-GB"/>
              </w:rPr>
            </w:pPr>
            <w:r w:rsidRPr="009A709A">
              <w:rPr>
                <w:rFonts w:ascii="Arial" w:hAnsi="Arial" w:cs="Arial"/>
                <w:lang w:val="en-GB"/>
              </w:rPr>
              <w:t>High (&gt;100,000 XAF)</w:t>
            </w:r>
          </w:p>
        </w:tc>
        <w:tc>
          <w:tcPr>
            <w:tcW w:w="2161" w:type="dxa"/>
            <w:shd w:val="clear" w:color="auto" w:fill="EEECE1"/>
            <w:vAlign w:val="center"/>
          </w:tcPr>
          <w:p w14:paraId="3CD96E4D" w14:textId="77777777" w:rsidR="009A709A" w:rsidRPr="009A709A" w:rsidRDefault="009A709A" w:rsidP="008960B4">
            <w:pPr>
              <w:jc w:val="center"/>
              <w:rPr>
                <w:rFonts w:ascii="Arial" w:hAnsi="Arial" w:cs="Arial"/>
                <w:lang w:val="en-GB"/>
              </w:rPr>
            </w:pPr>
            <w:r w:rsidRPr="009A709A">
              <w:rPr>
                <w:rFonts w:ascii="Arial" w:hAnsi="Arial" w:cs="Arial"/>
                <w:lang w:val="en-GB"/>
              </w:rPr>
              <w:t>10.0</w:t>
            </w:r>
          </w:p>
        </w:tc>
        <w:tc>
          <w:tcPr>
            <w:tcW w:w="0" w:type="auto"/>
            <w:shd w:val="clear" w:color="auto" w:fill="EEECE1"/>
            <w:vAlign w:val="center"/>
          </w:tcPr>
          <w:p w14:paraId="7C694D12" w14:textId="77777777" w:rsidR="009A709A" w:rsidRPr="009A709A" w:rsidRDefault="009A709A" w:rsidP="008960B4">
            <w:pPr>
              <w:jc w:val="center"/>
              <w:rPr>
                <w:rFonts w:ascii="Arial" w:hAnsi="Arial" w:cs="Arial"/>
              </w:rPr>
            </w:pPr>
          </w:p>
        </w:tc>
      </w:tr>
      <w:tr w:rsidR="0065533E" w:rsidRPr="0065533E" w14:paraId="1BAA8381" w14:textId="77777777" w:rsidTr="00AE5BCD">
        <w:trPr>
          <w:cantSplit/>
          <w:trHeight w:val="20"/>
        </w:trPr>
        <w:tc>
          <w:tcPr>
            <w:tcW w:w="1980" w:type="dxa"/>
            <w:vMerge w:val="restart"/>
            <w:vAlign w:val="center"/>
          </w:tcPr>
          <w:p w14:paraId="23484FC7" w14:textId="77777777" w:rsidR="009A709A" w:rsidRPr="009A709A" w:rsidRDefault="009A709A" w:rsidP="008960B4">
            <w:pPr>
              <w:jc w:val="center"/>
              <w:rPr>
                <w:rFonts w:ascii="Arial" w:hAnsi="Arial" w:cs="Arial"/>
                <w:lang w:val="en-GB"/>
              </w:rPr>
            </w:pPr>
            <w:r w:rsidRPr="009A709A">
              <w:rPr>
                <w:rFonts w:ascii="Arial" w:hAnsi="Arial" w:cs="Arial"/>
                <w:lang w:val="en-GB"/>
              </w:rPr>
              <w:t>Caregiver’s Education</w:t>
            </w:r>
          </w:p>
        </w:tc>
        <w:tc>
          <w:tcPr>
            <w:tcW w:w="3402" w:type="dxa"/>
            <w:vAlign w:val="center"/>
          </w:tcPr>
          <w:p w14:paraId="28293A45" w14:textId="77777777" w:rsidR="009A709A" w:rsidRPr="009A709A" w:rsidRDefault="009A709A" w:rsidP="008960B4">
            <w:pPr>
              <w:jc w:val="center"/>
              <w:rPr>
                <w:rFonts w:ascii="Arial" w:hAnsi="Arial" w:cs="Arial"/>
                <w:lang w:val="en-GB"/>
              </w:rPr>
            </w:pPr>
            <w:r w:rsidRPr="009A709A">
              <w:rPr>
                <w:rFonts w:ascii="Arial" w:hAnsi="Arial" w:cs="Arial"/>
                <w:lang w:val="en-GB"/>
              </w:rPr>
              <w:t>No formal education</w:t>
            </w:r>
          </w:p>
        </w:tc>
        <w:tc>
          <w:tcPr>
            <w:tcW w:w="2161" w:type="dxa"/>
            <w:vAlign w:val="center"/>
          </w:tcPr>
          <w:p w14:paraId="50AD2CA7" w14:textId="77777777" w:rsidR="009A709A" w:rsidRPr="009A709A" w:rsidRDefault="009A709A" w:rsidP="008960B4">
            <w:pPr>
              <w:jc w:val="center"/>
              <w:rPr>
                <w:rFonts w:ascii="Arial" w:hAnsi="Arial" w:cs="Arial"/>
                <w:lang w:val="en-GB"/>
              </w:rPr>
            </w:pPr>
            <w:r w:rsidRPr="009A709A">
              <w:rPr>
                <w:rFonts w:ascii="Arial" w:hAnsi="Arial" w:cs="Arial"/>
                <w:lang w:val="en-GB"/>
              </w:rPr>
              <w:t>70.0</w:t>
            </w:r>
          </w:p>
        </w:tc>
        <w:tc>
          <w:tcPr>
            <w:tcW w:w="0" w:type="auto"/>
            <w:vAlign w:val="center"/>
          </w:tcPr>
          <w:p w14:paraId="1E96D65E" w14:textId="77777777" w:rsidR="009A709A" w:rsidRPr="009A709A" w:rsidRDefault="009A709A" w:rsidP="008960B4">
            <w:pPr>
              <w:jc w:val="center"/>
              <w:rPr>
                <w:rFonts w:ascii="Arial" w:hAnsi="Arial" w:cs="Arial"/>
                <w:lang w:val="en-GB"/>
              </w:rPr>
            </w:pPr>
            <w:r w:rsidRPr="009A709A">
              <w:rPr>
                <w:rFonts w:ascii="Arial" w:hAnsi="Arial" w:cs="Arial"/>
                <w:lang w:val="en-GB"/>
              </w:rPr>
              <w:t>0.003*</w:t>
            </w:r>
          </w:p>
        </w:tc>
      </w:tr>
      <w:tr w:rsidR="0065533E" w:rsidRPr="0065533E" w14:paraId="5329780E" w14:textId="77777777" w:rsidTr="00AE5BCD">
        <w:trPr>
          <w:cantSplit/>
          <w:trHeight w:val="20"/>
        </w:trPr>
        <w:tc>
          <w:tcPr>
            <w:tcW w:w="1980" w:type="dxa"/>
            <w:vMerge/>
            <w:vAlign w:val="center"/>
          </w:tcPr>
          <w:p w14:paraId="7783BDE8" w14:textId="77777777" w:rsidR="009A709A" w:rsidRPr="009A709A" w:rsidRDefault="009A709A" w:rsidP="008960B4">
            <w:pPr>
              <w:jc w:val="center"/>
              <w:rPr>
                <w:rFonts w:ascii="Arial" w:hAnsi="Arial" w:cs="Arial"/>
              </w:rPr>
            </w:pPr>
          </w:p>
        </w:tc>
        <w:tc>
          <w:tcPr>
            <w:tcW w:w="3402" w:type="dxa"/>
            <w:vAlign w:val="center"/>
          </w:tcPr>
          <w:p w14:paraId="14196984" w14:textId="77777777" w:rsidR="009A709A" w:rsidRPr="009A709A" w:rsidRDefault="009A709A" w:rsidP="008960B4">
            <w:pPr>
              <w:jc w:val="center"/>
              <w:rPr>
                <w:rFonts w:ascii="Arial" w:hAnsi="Arial" w:cs="Arial"/>
                <w:lang w:val="en-GB"/>
              </w:rPr>
            </w:pPr>
            <w:r w:rsidRPr="009A709A">
              <w:rPr>
                <w:rFonts w:ascii="Arial" w:hAnsi="Arial" w:cs="Arial"/>
                <w:lang w:val="en-GB"/>
              </w:rPr>
              <w:t>Primary</w:t>
            </w:r>
          </w:p>
        </w:tc>
        <w:tc>
          <w:tcPr>
            <w:tcW w:w="2161" w:type="dxa"/>
            <w:vAlign w:val="center"/>
          </w:tcPr>
          <w:p w14:paraId="2DF1A6B9" w14:textId="77777777" w:rsidR="009A709A" w:rsidRPr="009A709A" w:rsidRDefault="009A709A" w:rsidP="008960B4">
            <w:pPr>
              <w:jc w:val="center"/>
              <w:rPr>
                <w:rFonts w:ascii="Arial" w:hAnsi="Arial" w:cs="Arial"/>
                <w:lang w:val="en-GB"/>
              </w:rPr>
            </w:pPr>
            <w:r w:rsidRPr="009A709A">
              <w:rPr>
                <w:rFonts w:ascii="Arial" w:hAnsi="Arial" w:cs="Arial"/>
                <w:lang w:val="en-GB"/>
              </w:rPr>
              <w:t>50.0</w:t>
            </w:r>
          </w:p>
        </w:tc>
        <w:tc>
          <w:tcPr>
            <w:tcW w:w="0" w:type="auto"/>
            <w:vAlign w:val="center"/>
          </w:tcPr>
          <w:p w14:paraId="2A95E2C5" w14:textId="77777777" w:rsidR="009A709A" w:rsidRPr="009A709A" w:rsidRDefault="009A709A" w:rsidP="008960B4">
            <w:pPr>
              <w:jc w:val="center"/>
              <w:rPr>
                <w:rFonts w:ascii="Arial" w:hAnsi="Arial" w:cs="Arial"/>
              </w:rPr>
            </w:pPr>
          </w:p>
        </w:tc>
      </w:tr>
      <w:tr w:rsidR="0065533E" w:rsidRPr="0065533E" w14:paraId="13AF6FDD" w14:textId="77777777" w:rsidTr="00AE5BCD">
        <w:trPr>
          <w:cantSplit/>
          <w:trHeight w:val="20"/>
        </w:trPr>
        <w:tc>
          <w:tcPr>
            <w:tcW w:w="1980" w:type="dxa"/>
            <w:vMerge/>
            <w:vAlign w:val="center"/>
          </w:tcPr>
          <w:p w14:paraId="78EF9EC7" w14:textId="77777777" w:rsidR="009A709A" w:rsidRPr="009A709A" w:rsidRDefault="009A709A" w:rsidP="008960B4">
            <w:pPr>
              <w:jc w:val="center"/>
              <w:rPr>
                <w:rFonts w:ascii="Arial" w:hAnsi="Arial" w:cs="Arial"/>
              </w:rPr>
            </w:pPr>
          </w:p>
        </w:tc>
        <w:tc>
          <w:tcPr>
            <w:tcW w:w="3402" w:type="dxa"/>
            <w:vAlign w:val="center"/>
          </w:tcPr>
          <w:p w14:paraId="1BAB3580" w14:textId="77777777" w:rsidR="009A709A" w:rsidRPr="009A709A" w:rsidRDefault="009A709A" w:rsidP="008960B4">
            <w:pPr>
              <w:jc w:val="center"/>
              <w:rPr>
                <w:rFonts w:ascii="Arial" w:hAnsi="Arial" w:cs="Arial"/>
                <w:lang w:val="en-GB"/>
              </w:rPr>
            </w:pPr>
            <w:r w:rsidRPr="009A709A">
              <w:rPr>
                <w:rFonts w:ascii="Arial" w:hAnsi="Arial" w:cs="Arial"/>
                <w:lang w:val="en-GB"/>
              </w:rPr>
              <w:t>Secondary +</w:t>
            </w:r>
          </w:p>
        </w:tc>
        <w:tc>
          <w:tcPr>
            <w:tcW w:w="2161" w:type="dxa"/>
            <w:vAlign w:val="center"/>
          </w:tcPr>
          <w:p w14:paraId="1230370F" w14:textId="77777777" w:rsidR="009A709A" w:rsidRPr="009A709A" w:rsidRDefault="009A709A" w:rsidP="008960B4">
            <w:pPr>
              <w:jc w:val="center"/>
              <w:rPr>
                <w:rFonts w:ascii="Arial" w:hAnsi="Arial" w:cs="Arial"/>
                <w:lang w:val="en-GB"/>
              </w:rPr>
            </w:pPr>
            <w:r w:rsidRPr="009A709A">
              <w:rPr>
                <w:rFonts w:ascii="Arial" w:hAnsi="Arial" w:cs="Arial"/>
                <w:lang w:val="en-GB"/>
              </w:rPr>
              <w:t>20.0</w:t>
            </w:r>
          </w:p>
        </w:tc>
        <w:tc>
          <w:tcPr>
            <w:tcW w:w="0" w:type="auto"/>
            <w:vAlign w:val="center"/>
          </w:tcPr>
          <w:p w14:paraId="5EBCFFD5" w14:textId="77777777" w:rsidR="009A709A" w:rsidRPr="009A709A" w:rsidRDefault="009A709A" w:rsidP="008960B4">
            <w:pPr>
              <w:jc w:val="center"/>
              <w:rPr>
                <w:rFonts w:ascii="Arial" w:hAnsi="Arial" w:cs="Arial"/>
              </w:rPr>
            </w:pPr>
          </w:p>
        </w:tc>
      </w:tr>
    </w:tbl>
    <w:p w14:paraId="1454E9B1"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Low-income households had 6× higher malnutrition rates than high-income.  </w:t>
      </w:r>
    </w:p>
    <w:p w14:paraId="1895F961"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lastRenderedPageBreak/>
        <w:t>70% of children with uneducated caregivers were malnourished vs. 20% with secondary education.</w:t>
      </w:r>
    </w:p>
    <w:p w14:paraId="4C8CBC0E" w14:textId="77777777" w:rsidR="009A709A" w:rsidRPr="009A709A" w:rsidRDefault="009A709A" w:rsidP="008960B4">
      <w:pPr>
        <w:ind w:left="360"/>
        <w:contextualSpacing/>
        <w:jc w:val="both"/>
        <w:rPr>
          <w:rFonts w:ascii="Arial" w:eastAsia="MS Mincho" w:hAnsi="Arial" w:cs="Arial"/>
        </w:rPr>
      </w:pPr>
      <w:r w:rsidRPr="009A709A">
        <w:rPr>
          <w:rFonts w:ascii="Arial" w:eastAsia="MS Mincho" w:hAnsi="Arial" w:cs="Arial"/>
        </w:rPr>
        <w:t xml:space="preserve">  </w:t>
      </w:r>
    </w:p>
    <w:p w14:paraId="4E17394E"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3.4 Feeding Practices and Dietary Patterns  </w:t>
      </w:r>
    </w:p>
    <w:p w14:paraId="6BFE457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4:</w:t>
      </w:r>
      <w:r w:rsidRPr="009A709A">
        <w:rPr>
          <w:rFonts w:ascii="Arial" w:eastAsia="MS Mincho" w:hAnsi="Arial" w:cs="Arial"/>
        </w:rPr>
        <w:t xml:space="preserve"> Infant and Young Child Feeding (IYCF) Practices  </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2735"/>
        <w:gridCol w:w="1366"/>
        <w:gridCol w:w="1458"/>
        <w:gridCol w:w="2649"/>
      </w:tblGrid>
      <w:tr w:rsidR="0065533E" w:rsidRPr="0065533E" w14:paraId="28BB8274" w14:textId="77777777" w:rsidTr="00AE5BCD">
        <w:trPr>
          <w:cantSplit/>
          <w:jc w:val="center"/>
        </w:trPr>
        <w:tc>
          <w:tcPr>
            <w:tcW w:w="0" w:type="auto"/>
            <w:vAlign w:val="center"/>
          </w:tcPr>
          <w:p w14:paraId="14BBE829"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Practice</w:t>
            </w:r>
          </w:p>
          <w:p w14:paraId="07C61F2D" w14:textId="77777777" w:rsidR="009A709A" w:rsidRPr="009A709A" w:rsidRDefault="009A709A" w:rsidP="008960B4">
            <w:pPr>
              <w:jc w:val="center"/>
              <w:rPr>
                <w:rFonts w:ascii="Arial" w:hAnsi="Arial" w:cs="Arial"/>
                <w:b/>
                <w:bCs/>
                <w:sz w:val="20"/>
                <w:szCs w:val="20"/>
              </w:rPr>
            </w:pPr>
          </w:p>
        </w:tc>
        <w:tc>
          <w:tcPr>
            <w:tcW w:w="0" w:type="auto"/>
            <w:vAlign w:val="center"/>
          </w:tcPr>
          <w:p w14:paraId="56A6B040"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Frequency (n)</w:t>
            </w:r>
          </w:p>
          <w:p w14:paraId="53C47C36" w14:textId="77777777" w:rsidR="009A709A" w:rsidRPr="009A709A" w:rsidRDefault="009A709A" w:rsidP="008960B4">
            <w:pPr>
              <w:jc w:val="center"/>
              <w:rPr>
                <w:rFonts w:ascii="Arial" w:hAnsi="Arial" w:cs="Arial"/>
                <w:b/>
                <w:bCs/>
                <w:sz w:val="20"/>
                <w:szCs w:val="20"/>
              </w:rPr>
            </w:pPr>
          </w:p>
        </w:tc>
        <w:tc>
          <w:tcPr>
            <w:tcW w:w="0" w:type="auto"/>
            <w:vAlign w:val="center"/>
          </w:tcPr>
          <w:p w14:paraId="33DE1236"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Percentage (%)</w:t>
            </w:r>
          </w:p>
        </w:tc>
        <w:tc>
          <w:tcPr>
            <w:tcW w:w="0" w:type="auto"/>
            <w:vAlign w:val="center"/>
          </w:tcPr>
          <w:p w14:paraId="696D7F5A"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Association with Malnutrition (OR, 95% CI)</w:t>
            </w:r>
          </w:p>
        </w:tc>
      </w:tr>
      <w:tr w:rsidR="0065533E" w:rsidRPr="0065533E" w14:paraId="4BD32EB4" w14:textId="77777777" w:rsidTr="009A709A">
        <w:trPr>
          <w:cantSplit/>
          <w:jc w:val="center"/>
        </w:trPr>
        <w:tc>
          <w:tcPr>
            <w:tcW w:w="0" w:type="auto"/>
            <w:shd w:val="clear" w:color="auto" w:fill="EEECE1"/>
            <w:vAlign w:val="center"/>
          </w:tcPr>
          <w:p w14:paraId="3C885F0D"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Exclusive breastfeeding (0–6 months)</w:t>
            </w:r>
          </w:p>
        </w:tc>
        <w:tc>
          <w:tcPr>
            <w:tcW w:w="0" w:type="auto"/>
            <w:shd w:val="clear" w:color="auto" w:fill="EEECE1"/>
            <w:vAlign w:val="center"/>
          </w:tcPr>
          <w:p w14:paraId="56B3576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shd w:val="clear" w:color="auto" w:fill="EEECE1"/>
            <w:vAlign w:val="center"/>
          </w:tcPr>
          <w:p w14:paraId="392DEB6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c>
          <w:tcPr>
            <w:tcW w:w="0" w:type="auto"/>
            <w:shd w:val="clear" w:color="auto" w:fill="EEECE1"/>
            <w:vAlign w:val="center"/>
          </w:tcPr>
          <w:p w14:paraId="31ACC37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0.4 (0.2-0.8) *</w:t>
            </w:r>
          </w:p>
        </w:tc>
      </w:tr>
      <w:tr w:rsidR="0065533E" w:rsidRPr="0065533E" w14:paraId="4561F8A6" w14:textId="77777777" w:rsidTr="00AE5BCD">
        <w:trPr>
          <w:cantSplit/>
          <w:jc w:val="center"/>
        </w:trPr>
        <w:tc>
          <w:tcPr>
            <w:tcW w:w="0" w:type="auto"/>
            <w:vAlign w:val="center"/>
          </w:tcPr>
          <w:p w14:paraId="7FB38900"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Timely complementary feeding (6–8 months</w:t>
            </w:r>
            <w:r w:rsidRPr="009A709A">
              <w:rPr>
                <w:rFonts w:ascii="Arial" w:hAnsi="Arial" w:cs="Arial"/>
                <w:sz w:val="20"/>
                <w:szCs w:val="20"/>
                <w:lang w:val="en-GB"/>
              </w:rPr>
              <w:t>)</w:t>
            </w:r>
          </w:p>
        </w:tc>
        <w:tc>
          <w:tcPr>
            <w:tcW w:w="0" w:type="auto"/>
            <w:vAlign w:val="center"/>
          </w:tcPr>
          <w:p w14:paraId="259BCE7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vAlign w:val="center"/>
          </w:tcPr>
          <w:p w14:paraId="654D9D9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c>
          <w:tcPr>
            <w:tcW w:w="0" w:type="auto"/>
            <w:vAlign w:val="center"/>
          </w:tcPr>
          <w:p w14:paraId="6DA3F10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0.6 (0.3-1.1)</w:t>
            </w:r>
          </w:p>
        </w:tc>
      </w:tr>
      <w:tr w:rsidR="0065533E" w:rsidRPr="0065533E" w14:paraId="7D297D59" w14:textId="77777777" w:rsidTr="009A709A">
        <w:trPr>
          <w:cantSplit/>
          <w:jc w:val="center"/>
        </w:trPr>
        <w:tc>
          <w:tcPr>
            <w:tcW w:w="0" w:type="auto"/>
            <w:shd w:val="clear" w:color="auto" w:fill="EEECE1"/>
            <w:vAlign w:val="center"/>
          </w:tcPr>
          <w:p w14:paraId="5A8CDC2F"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Minimum meal frequency (≥3/day</w:t>
            </w:r>
          </w:p>
        </w:tc>
        <w:tc>
          <w:tcPr>
            <w:tcW w:w="0" w:type="auto"/>
            <w:shd w:val="clear" w:color="auto" w:fill="EEECE1"/>
            <w:vAlign w:val="center"/>
          </w:tcPr>
          <w:p w14:paraId="68E7D5C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shd w:val="clear" w:color="auto" w:fill="EEECE1"/>
            <w:vAlign w:val="center"/>
          </w:tcPr>
          <w:p w14:paraId="21014A4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c>
          <w:tcPr>
            <w:tcW w:w="0" w:type="auto"/>
            <w:shd w:val="clear" w:color="auto" w:fill="EEECE1"/>
            <w:vAlign w:val="center"/>
          </w:tcPr>
          <w:p w14:paraId="498B397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0.3 (0.1-0.7) *</w:t>
            </w:r>
          </w:p>
        </w:tc>
      </w:tr>
      <w:tr w:rsidR="0065533E" w:rsidRPr="0065533E" w14:paraId="270AF073" w14:textId="77777777" w:rsidTr="00AE5BCD">
        <w:trPr>
          <w:cantSplit/>
          <w:jc w:val="center"/>
        </w:trPr>
        <w:tc>
          <w:tcPr>
            <w:tcW w:w="0" w:type="auto"/>
            <w:vAlign w:val="center"/>
          </w:tcPr>
          <w:p w14:paraId="3BBAB2B9"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Dietary diversity (≥4 food groups)</w:t>
            </w:r>
          </w:p>
        </w:tc>
        <w:tc>
          <w:tcPr>
            <w:tcW w:w="0" w:type="auto"/>
            <w:vAlign w:val="center"/>
          </w:tcPr>
          <w:p w14:paraId="0467328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vAlign w:val="center"/>
          </w:tcPr>
          <w:p w14:paraId="060B592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c>
          <w:tcPr>
            <w:tcW w:w="0" w:type="auto"/>
            <w:vAlign w:val="center"/>
          </w:tcPr>
          <w:p w14:paraId="7C676E9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0.5 (0.2-0.9) *</w:t>
            </w:r>
          </w:p>
        </w:tc>
      </w:tr>
    </w:tbl>
    <w:p w14:paraId="69B731D5" w14:textId="77777777" w:rsidR="009A709A" w:rsidRPr="009A709A" w:rsidRDefault="009A709A" w:rsidP="008960B4">
      <w:pPr>
        <w:spacing w:after="200"/>
        <w:jc w:val="both"/>
        <w:rPr>
          <w:rFonts w:ascii="Arial" w:eastAsia="MS Mincho" w:hAnsi="Arial" w:cs="Arial"/>
          <w:b/>
        </w:rPr>
      </w:pPr>
    </w:p>
    <w:p w14:paraId="33FFB237"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Exclusive breastfeeding reduced malnutrition odds by 60% (OR=0.4).  </w:t>
      </w:r>
    </w:p>
    <w:p w14:paraId="7364A8CA"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Only 16.7% of children received ≥3 meals/day, linked to higher malnutrition (OR=0.3).  </w:t>
      </w:r>
    </w:p>
    <w:p w14:paraId="77AC522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Multivariate Logistic Regression Analysis</w:t>
      </w:r>
      <w:r w:rsidRPr="009A709A">
        <w:rPr>
          <w:rFonts w:ascii="Arial" w:eastAsia="MS Mincho" w:hAnsi="Arial" w:cs="Arial"/>
        </w:rPr>
        <w:t xml:space="preserve">  </w:t>
      </w:r>
    </w:p>
    <w:p w14:paraId="28D89D4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5:</w:t>
      </w:r>
      <w:r w:rsidRPr="009A709A">
        <w:rPr>
          <w:rFonts w:ascii="Arial" w:eastAsia="MS Mincho" w:hAnsi="Arial" w:cs="Arial"/>
        </w:rPr>
        <w:t xml:space="preserve"> Predictors of Malnutrition (Adjusted Odds Ratios, </w:t>
      </w:r>
      <w:proofErr w:type="spellStart"/>
      <w:r w:rsidRPr="009A709A">
        <w:rPr>
          <w:rFonts w:ascii="Arial" w:eastAsia="MS Mincho" w:hAnsi="Arial" w:cs="Arial"/>
        </w:rPr>
        <w:t>aOR</w:t>
      </w:r>
      <w:proofErr w:type="spellEnd"/>
      <w:r w:rsidRPr="009A709A">
        <w:rPr>
          <w:rFonts w:ascii="Arial" w:eastAsia="MS Mincho" w:hAnsi="Arial" w:cs="Arial"/>
        </w:rPr>
        <w:t xml:space="preserve">)  </w:t>
      </w:r>
    </w:p>
    <w:tbl>
      <w:tblPr>
        <w:tblStyle w:val="TableGrid1"/>
        <w:tblW w:w="7978" w:type="dxa"/>
        <w:jc w:val="center"/>
        <w:tblBorders>
          <w:left w:val="none" w:sz="0" w:space="0" w:color="auto"/>
          <w:right w:val="none" w:sz="0" w:space="0" w:color="auto"/>
        </w:tblBorders>
        <w:tblLook w:val="04A0" w:firstRow="1" w:lastRow="0" w:firstColumn="1" w:lastColumn="0" w:noHBand="0" w:noVBand="1"/>
      </w:tblPr>
      <w:tblGrid>
        <w:gridCol w:w="4049"/>
        <w:gridCol w:w="978"/>
        <w:gridCol w:w="1358"/>
        <w:gridCol w:w="1593"/>
      </w:tblGrid>
      <w:tr w:rsidR="0065533E" w:rsidRPr="0065533E" w14:paraId="0C311CB0" w14:textId="77777777" w:rsidTr="00AE5BCD">
        <w:trPr>
          <w:cantSplit/>
          <w:trHeight w:val="399"/>
          <w:jc w:val="center"/>
        </w:trPr>
        <w:tc>
          <w:tcPr>
            <w:tcW w:w="0" w:type="auto"/>
            <w:vAlign w:val="center"/>
          </w:tcPr>
          <w:p w14:paraId="1916710E"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Factor</w:t>
            </w:r>
          </w:p>
        </w:tc>
        <w:tc>
          <w:tcPr>
            <w:tcW w:w="0" w:type="auto"/>
            <w:vAlign w:val="center"/>
          </w:tcPr>
          <w:p w14:paraId="0CFBEBC6" w14:textId="77777777" w:rsidR="009A709A" w:rsidRPr="009A709A" w:rsidRDefault="009A709A" w:rsidP="008960B4">
            <w:pPr>
              <w:jc w:val="center"/>
              <w:rPr>
                <w:rFonts w:ascii="Arial" w:hAnsi="Arial" w:cs="Arial"/>
                <w:b/>
                <w:bCs/>
                <w:sz w:val="20"/>
                <w:szCs w:val="20"/>
                <w:lang w:val="en-GB"/>
              </w:rPr>
            </w:pPr>
            <w:proofErr w:type="spellStart"/>
            <w:r w:rsidRPr="009A709A">
              <w:rPr>
                <w:rFonts w:ascii="Arial" w:hAnsi="Arial" w:cs="Arial"/>
                <w:b/>
                <w:bCs/>
                <w:sz w:val="20"/>
                <w:szCs w:val="20"/>
                <w:lang w:val="en-GB"/>
              </w:rPr>
              <w:t>aOR</w:t>
            </w:r>
            <w:proofErr w:type="spellEnd"/>
          </w:p>
        </w:tc>
        <w:tc>
          <w:tcPr>
            <w:tcW w:w="0" w:type="auto"/>
            <w:vAlign w:val="center"/>
          </w:tcPr>
          <w:p w14:paraId="3790BB8F"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95% CI</w:t>
            </w:r>
          </w:p>
        </w:tc>
        <w:tc>
          <w:tcPr>
            <w:tcW w:w="0" w:type="auto"/>
            <w:vAlign w:val="center"/>
          </w:tcPr>
          <w:p w14:paraId="4678325E"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p-value</w:t>
            </w:r>
          </w:p>
        </w:tc>
      </w:tr>
      <w:tr w:rsidR="0065533E" w:rsidRPr="0065533E" w14:paraId="4B3E38DC" w14:textId="77777777" w:rsidTr="009A709A">
        <w:trPr>
          <w:cantSplit/>
          <w:trHeight w:val="384"/>
          <w:jc w:val="center"/>
        </w:trPr>
        <w:tc>
          <w:tcPr>
            <w:tcW w:w="0" w:type="auto"/>
            <w:shd w:val="clear" w:color="auto" w:fill="EEECE1"/>
            <w:vAlign w:val="center"/>
          </w:tcPr>
          <w:p w14:paraId="53264BED"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Low income</w:t>
            </w:r>
          </w:p>
        </w:tc>
        <w:tc>
          <w:tcPr>
            <w:tcW w:w="0" w:type="auto"/>
            <w:shd w:val="clear" w:color="auto" w:fill="EEECE1"/>
            <w:vAlign w:val="center"/>
          </w:tcPr>
          <w:p w14:paraId="7F3BA19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3.5</w:t>
            </w:r>
          </w:p>
        </w:tc>
        <w:tc>
          <w:tcPr>
            <w:tcW w:w="0" w:type="auto"/>
            <w:shd w:val="clear" w:color="auto" w:fill="EEECE1"/>
            <w:vAlign w:val="center"/>
          </w:tcPr>
          <w:p w14:paraId="2DB2ACD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1.8-6.7</w:t>
            </w:r>
          </w:p>
        </w:tc>
        <w:tc>
          <w:tcPr>
            <w:tcW w:w="0" w:type="auto"/>
            <w:shd w:val="clear" w:color="auto" w:fill="EEECE1"/>
            <w:vAlign w:val="center"/>
          </w:tcPr>
          <w:p w14:paraId="3A9D9A8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&lt;0.0001*</w:t>
            </w:r>
          </w:p>
        </w:tc>
      </w:tr>
      <w:tr w:rsidR="0065533E" w:rsidRPr="0065533E" w14:paraId="44E29ED4" w14:textId="77777777" w:rsidTr="00AE5BCD">
        <w:trPr>
          <w:cantSplit/>
          <w:trHeight w:val="399"/>
          <w:jc w:val="center"/>
        </w:trPr>
        <w:tc>
          <w:tcPr>
            <w:tcW w:w="0" w:type="auto"/>
            <w:vAlign w:val="center"/>
          </w:tcPr>
          <w:p w14:paraId="2D182784"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No formal education</w:t>
            </w:r>
          </w:p>
        </w:tc>
        <w:tc>
          <w:tcPr>
            <w:tcW w:w="0" w:type="auto"/>
            <w:vAlign w:val="center"/>
          </w:tcPr>
          <w:p w14:paraId="12B0B36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2.8</w:t>
            </w:r>
          </w:p>
        </w:tc>
        <w:tc>
          <w:tcPr>
            <w:tcW w:w="0" w:type="auto"/>
            <w:vAlign w:val="center"/>
          </w:tcPr>
          <w:p w14:paraId="1FDEE54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1.4-5.6</w:t>
            </w:r>
          </w:p>
        </w:tc>
        <w:tc>
          <w:tcPr>
            <w:tcW w:w="0" w:type="auto"/>
            <w:vAlign w:val="center"/>
          </w:tcPr>
          <w:p w14:paraId="450DFE5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0.004*</w:t>
            </w:r>
          </w:p>
        </w:tc>
      </w:tr>
      <w:tr w:rsidR="0065533E" w:rsidRPr="0065533E" w14:paraId="60958AA0" w14:textId="77777777" w:rsidTr="009A709A">
        <w:trPr>
          <w:cantSplit/>
          <w:trHeight w:val="384"/>
          <w:jc w:val="center"/>
        </w:trPr>
        <w:tc>
          <w:tcPr>
            <w:tcW w:w="0" w:type="auto"/>
            <w:shd w:val="clear" w:color="auto" w:fill="EEECE1"/>
            <w:vAlign w:val="center"/>
          </w:tcPr>
          <w:p w14:paraId="44F3FB57"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Inadequate meals (&lt;3/day)</w:t>
            </w:r>
          </w:p>
        </w:tc>
        <w:tc>
          <w:tcPr>
            <w:tcW w:w="0" w:type="auto"/>
            <w:shd w:val="clear" w:color="auto" w:fill="EEECE1"/>
            <w:vAlign w:val="center"/>
          </w:tcPr>
          <w:p w14:paraId="5EFE07A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2.2</w:t>
            </w:r>
          </w:p>
        </w:tc>
        <w:tc>
          <w:tcPr>
            <w:tcW w:w="0" w:type="auto"/>
            <w:shd w:val="clear" w:color="auto" w:fill="EEECE1"/>
            <w:vAlign w:val="center"/>
          </w:tcPr>
          <w:p w14:paraId="527883B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1.1-4.3</w:t>
            </w:r>
          </w:p>
        </w:tc>
        <w:tc>
          <w:tcPr>
            <w:tcW w:w="0" w:type="auto"/>
            <w:shd w:val="clear" w:color="auto" w:fill="EEECE1"/>
            <w:vAlign w:val="center"/>
          </w:tcPr>
          <w:p w14:paraId="7461A220"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0.02*</w:t>
            </w:r>
          </w:p>
        </w:tc>
      </w:tr>
      <w:tr w:rsidR="0065533E" w:rsidRPr="0065533E" w14:paraId="0EC54B3C" w14:textId="77777777" w:rsidTr="00AE5BCD">
        <w:trPr>
          <w:cantSplit/>
          <w:trHeight w:val="399"/>
          <w:jc w:val="center"/>
        </w:trPr>
        <w:tc>
          <w:tcPr>
            <w:tcW w:w="0" w:type="auto"/>
            <w:vAlign w:val="center"/>
          </w:tcPr>
          <w:p w14:paraId="63F416A2"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Poor sanitation</w:t>
            </w:r>
          </w:p>
        </w:tc>
        <w:tc>
          <w:tcPr>
            <w:tcW w:w="0" w:type="auto"/>
            <w:vAlign w:val="center"/>
          </w:tcPr>
          <w:p w14:paraId="26151E0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1.9</w:t>
            </w:r>
          </w:p>
        </w:tc>
        <w:tc>
          <w:tcPr>
            <w:tcW w:w="0" w:type="auto"/>
            <w:vAlign w:val="center"/>
          </w:tcPr>
          <w:p w14:paraId="132D5F2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1.0-3.6</w:t>
            </w:r>
          </w:p>
        </w:tc>
        <w:tc>
          <w:tcPr>
            <w:tcW w:w="0" w:type="auto"/>
            <w:vAlign w:val="center"/>
          </w:tcPr>
          <w:p w14:paraId="4EA799D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0.05</w:t>
            </w:r>
          </w:p>
        </w:tc>
      </w:tr>
    </w:tbl>
    <w:p w14:paraId="41E401E2" w14:textId="77777777" w:rsidR="009A709A" w:rsidRPr="009A709A" w:rsidRDefault="009A709A" w:rsidP="008960B4">
      <w:pPr>
        <w:spacing w:after="200"/>
        <w:jc w:val="both"/>
        <w:rPr>
          <w:rFonts w:ascii="Arial" w:eastAsia="MS Mincho" w:hAnsi="Arial" w:cs="Arial"/>
        </w:rPr>
      </w:pPr>
    </w:p>
    <w:p w14:paraId="632900B5" w14:textId="77777777"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Key Findings:  </w:t>
      </w:r>
    </w:p>
    <w:p w14:paraId="370D1624" w14:textId="77777777" w:rsidR="009A709A" w:rsidRPr="009A709A" w:rsidRDefault="009A709A" w:rsidP="008960B4">
      <w:pPr>
        <w:numPr>
          <w:ilvl w:val="0"/>
          <w:numId w:val="35"/>
        </w:numPr>
        <w:spacing w:after="200"/>
        <w:contextualSpacing/>
        <w:jc w:val="both"/>
        <w:rPr>
          <w:rFonts w:ascii="Arial" w:eastAsia="MS Mincho" w:hAnsi="Arial" w:cs="Arial"/>
        </w:rPr>
      </w:pPr>
      <w:r w:rsidRPr="009A709A">
        <w:rPr>
          <w:rFonts w:ascii="Arial" w:eastAsia="MS Mincho" w:hAnsi="Arial" w:cs="Arial"/>
        </w:rPr>
        <w:t>Low income tripled malnutrition risk (</w:t>
      </w:r>
      <w:proofErr w:type="spellStart"/>
      <w:r w:rsidRPr="009A709A">
        <w:rPr>
          <w:rFonts w:ascii="Arial" w:eastAsia="MS Mincho" w:hAnsi="Arial" w:cs="Arial"/>
        </w:rPr>
        <w:t>aOR</w:t>
      </w:r>
      <w:proofErr w:type="spellEnd"/>
      <w:r w:rsidRPr="009A709A">
        <w:rPr>
          <w:rFonts w:ascii="Arial" w:eastAsia="MS Mincho" w:hAnsi="Arial" w:cs="Arial"/>
        </w:rPr>
        <w:t xml:space="preserve">=3.5).  </w:t>
      </w:r>
    </w:p>
    <w:p w14:paraId="0C173C9F" w14:textId="77777777" w:rsidR="009A709A" w:rsidRPr="009A709A" w:rsidRDefault="009A709A" w:rsidP="008960B4">
      <w:pPr>
        <w:numPr>
          <w:ilvl w:val="0"/>
          <w:numId w:val="35"/>
        </w:numPr>
        <w:spacing w:after="200"/>
        <w:contextualSpacing/>
        <w:jc w:val="both"/>
        <w:rPr>
          <w:rFonts w:ascii="Arial" w:eastAsia="MS Mincho" w:hAnsi="Arial" w:cs="Arial"/>
          <w:sz w:val="24"/>
          <w:szCs w:val="24"/>
        </w:rPr>
      </w:pPr>
      <w:r w:rsidRPr="009A709A">
        <w:rPr>
          <w:rFonts w:ascii="Arial" w:eastAsia="MS Mincho" w:hAnsi="Arial" w:cs="Arial"/>
        </w:rPr>
        <w:t>Inadequate meals doubled risk (</w:t>
      </w:r>
      <w:proofErr w:type="spellStart"/>
      <w:r w:rsidRPr="009A709A">
        <w:rPr>
          <w:rFonts w:ascii="Arial" w:eastAsia="MS Mincho" w:hAnsi="Arial" w:cs="Arial"/>
        </w:rPr>
        <w:t>aOR</w:t>
      </w:r>
      <w:proofErr w:type="spellEnd"/>
      <w:r w:rsidRPr="009A709A">
        <w:rPr>
          <w:rFonts w:ascii="Arial" w:eastAsia="MS Mincho" w:hAnsi="Arial" w:cs="Arial"/>
        </w:rPr>
        <w:t>=2.2).</w:t>
      </w:r>
    </w:p>
    <w:p w14:paraId="727D558F" w14:textId="77777777"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4 DISCUSSIONS</w:t>
      </w:r>
    </w:p>
    <w:p w14:paraId="4D4838D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Findings from this study align with previous research on child malnutrition in Cameroon, highlighting socio-economic disparities as key determinants. The association between maternal education and child nutrition underscores the importance of awareness programs. Inadequate dietary practices remain a critical issue, necessitating targeted interventions to improve complementary feeding practices.</w:t>
      </w:r>
    </w:p>
    <w:p w14:paraId="66B8C374"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The high malnutrition rates in Buea align with regional trends but highlight localized disparities driven by poverty and inadequate healthcare. Economic constraints force families to rely on low-nutrient diets, while gaps in breastfeeding and complementary feeding exacerbate the problem. The study corroborates global evidence linking socio-economic status and parental education to child nutrition [4, 20].</w:t>
      </w:r>
    </w:p>
    <w:p w14:paraId="592F19F2" w14:textId="77777777" w:rsidR="009A709A" w:rsidRPr="009A709A" w:rsidRDefault="009A709A" w:rsidP="008960B4">
      <w:pPr>
        <w:numPr>
          <w:ilvl w:val="0"/>
          <w:numId w:val="34"/>
        </w:numPr>
        <w:spacing w:after="200"/>
        <w:contextualSpacing/>
        <w:jc w:val="both"/>
        <w:rPr>
          <w:rFonts w:ascii="Arial" w:eastAsia="MS Mincho" w:hAnsi="Arial" w:cs="Arial"/>
        </w:rPr>
      </w:pPr>
      <w:r w:rsidRPr="009A709A">
        <w:rPr>
          <w:rFonts w:ascii="Arial" w:eastAsia="MS Mincho" w:hAnsi="Arial" w:cs="Arial"/>
        </w:rPr>
        <w:lastRenderedPageBreak/>
        <w:t>Malnutrition’s cyclical impact on cognitive development and economic productivity necessitates urgent action.</w:t>
      </w:r>
    </w:p>
    <w:p w14:paraId="7F034CD3" w14:textId="77777777" w:rsidR="009A709A" w:rsidRPr="009A709A" w:rsidRDefault="009A709A" w:rsidP="008960B4">
      <w:pPr>
        <w:numPr>
          <w:ilvl w:val="0"/>
          <w:numId w:val="34"/>
        </w:numPr>
        <w:spacing w:after="200"/>
        <w:contextualSpacing/>
        <w:jc w:val="both"/>
        <w:rPr>
          <w:rFonts w:ascii="Arial" w:eastAsia="MS Mincho" w:hAnsi="Arial" w:cs="Arial"/>
        </w:rPr>
      </w:pPr>
      <w:r w:rsidRPr="009A709A">
        <w:rPr>
          <w:rFonts w:ascii="Arial" w:eastAsia="MS Mincho" w:hAnsi="Arial" w:cs="Arial"/>
        </w:rPr>
        <w:t>Community-specific interventions are vital, given Buea’s rural-urban divide and conflict-related disruptions.</w:t>
      </w:r>
    </w:p>
    <w:p w14:paraId="3CA73AC8" w14:textId="77777777"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5 CONCLUSIONS</w:t>
      </w:r>
    </w:p>
    <w:p w14:paraId="7686D582" w14:textId="388B780D" w:rsidR="009A709A" w:rsidRDefault="009A709A" w:rsidP="008960B4">
      <w:pPr>
        <w:spacing w:after="200"/>
        <w:jc w:val="both"/>
        <w:rPr>
          <w:rFonts w:ascii="Arial" w:eastAsia="MS Mincho" w:hAnsi="Arial" w:cs="Arial"/>
        </w:rPr>
      </w:pPr>
      <w:r w:rsidRPr="009A709A">
        <w:rPr>
          <w:rFonts w:ascii="Arial" w:eastAsia="MS Mincho" w:hAnsi="Arial" w:cs="Arial"/>
        </w:rPr>
        <w:t>Malnutrition remains a pressing concern among children aged 0-5 years in Buea. Socio-economic and maternal factors play significant roles in determining nutritional outcomes. Strengthening nutrition education programs, improving healthcare access, and addressing socio-economic disparities are crucial to mitigating malnutrition in this region.</w:t>
      </w:r>
    </w:p>
    <w:p w14:paraId="2C9A7F5B" w14:textId="3E1485D3" w:rsidR="00864391" w:rsidRDefault="00864391" w:rsidP="008960B4">
      <w:pPr>
        <w:spacing w:after="200"/>
        <w:jc w:val="both"/>
        <w:rPr>
          <w:rFonts w:ascii="Arial" w:eastAsia="MS Mincho" w:hAnsi="Arial" w:cs="Arial"/>
        </w:rPr>
      </w:pPr>
    </w:p>
    <w:p w14:paraId="30F4F483" w14:textId="77777777" w:rsidR="00864391" w:rsidRPr="00D71B0D" w:rsidRDefault="00864391" w:rsidP="00864391">
      <w:pPr>
        <w:rPr>
          <w:rFonts w:ascii="Arial" w:eastAsia="Calibri" w:hAnsi="Arial" w:cs="Arial"/>
          <w:kern w:val="2"/>
          <w:highlight w:val="yellow"/>
        </w:rPr>
      </w:pPr>
      <w:bookmarkStart w:id="7" w:name="_Hlk193540946"/>
      <w:bookmarkStart w:id="8" w:name="_Hlk180402183"/>
      <w:bookmarkStart w:id="9" w:name="_Hlk183680988"/>
      <w:r w:rsidRPr="00D71B0D">
        <w:rPr>
          <w:rFonts w:ascii="Arial" w:eastAsia="Calibri" w:hAnsi="Arial" w:cs="Arial"/>
          <w:kern w:val="2"/>
          <w:highlight w:val="yellow"/>
        </w:rPr>
        <w:t>Disclaimer (Artificial intelligence)</w:t>
      </w:r>
    </w:p>
    <w:p w14:paraId="40550488" w14:textId="77777777" w:rsidR="00864391" w:rsidRPr="00D71B0D" w:rsidRDefault="00864391" w:rsidP="00864391">
      <w:pPr>
        <w:rPr>
          <w:rFonts w:ascii="Arial" w:eastAsia="Calibri" w:hAnsi="Arial" w:cs="Arial"/>
          <w:kern w:val="2"/>
          <w:highlight w:val="yellow"/>
        </w:rPr>
      </w:pPr>
      <w:r w:rsidRPr="00D71B0D">
        <w:rPr>
          <w:rFonts w:ascii="Arial" w:eastAsia="Calibri" w:hAnsi="Arial" w:cs="Arial"/>
          <w:kern w:val="2"/>
          <w:highlight w:val="yellow"/>
        </w:rPr>
        <w:t xml:space="preserve">Option 1: </w:t>
      </w:r>
    </w:p>
    <w:p w14:paraId="189B9F10" w14:textId="77777777" w:rsidR="00864391" w:rsidRPr="00D71B0D" w:rsidRDefault="00864391" w:rsidP="00864391">
      <w:pPr>
        <w:rPr>
          <w:rFonts w:ascii="Arial" w:eastAsia="Calibri" w:hAnsi="Arial" w:cs="Arial"/>
          <w:kern w:val="2"/>
          <w:highlight w:val="yellow"/>
        </w:rPr>
      </w:pPr>
      <w:r w:rsidRPr="00D71B0D">
        <w:rPr>
          <w:rFonts w:ascii="Arial" w:eastAsia="Calibri" w:hAnsi="Arial" w:cs="Arial"/>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7"/>
    <w:bookmarkEnd w:id="8"/>
    <w:bookmarkEnd w:id="9"/>
    <w:p w14:paraId="345EB93C" w14:textId="77777777" w:rsidR="00864391" w:rsidRPr="00D71B0D" w:rsidRDefault="00864391" w:rsidP="008960B4">
      <w:pPr>
        <w:spacing w:after="200"/>
        <w:jc w:val="both"/>
        <w:rPr>
          <w:rFonts w:ascii="Arial" w:eastAsia="MS Mincho" w:hAnsi="Arial" w:cs="Arial"/>
        </w:rPr>
      </w:pPr>
    </w:p>
    <w:p w14:paraId="2DB9C7AD" w14:textId="77777777" w:rsidR="009A709A" w:rsidRPr="00D71B0D" w:rsidRDefault="009A709A" w:rsidP="008960B4">
      <w:pPr>
        <w:spacing w:after="200"/>
        <w:jc w:val="both"/>
        <w:rPr>
          <w:rFonts w:ascii="Arial" w:hAnsi="Arial" w:cs="Arial"/>
          <w:b/>
          <w:sz w:val="24"/>
          <w:szCs w:val="24"/>
        </w:rPr>
      </w:pPr>
      <w:r w:rsidRPr="00D71B0D">
        <w:rPr>
          <w:rFonts w:ascii="Arial" w:eastAsia="MS Mincho" w:hAnsi="Arial" w:cs="Arial"/>
          <w:b/>
          <w:sz w:val="24"/>
          <w:szCs w:val="24"/>
        </w:rPr>
        <w:t>6 REFERENCES</w:t>
      </w:r>
    </w:p>
    <w:p w14:paraId="4B2DFD9B" w14:textId="77777777" w:rsidR="009A709A" w:rsidRPr="00D71B0D" w:rsidRDefault="009A709A" w:rsidP="008960B4">
      <w:pPr>
        <w:spacing w:after="200"/>
        <w:ind w:left="720" w:hanging="720"/>
        <w:jc w:val="both"/>
        <w:rPr>
          <w:rFonts w:ascii="Arial" w:eastAsia="MS Mincho" w:hAnsi="Arial" w:cs="Arial"/>
        </w:rPr>
      </w:pPr>
      <w:r w:rsidRPr="00D71B0D">
        <w:rPr>
          <w:rFonts w:ascii="Arial" w:eastAsia="MS Mincho" w:hAnsi="Arial" w:cs="Arial"/>
        </w:rPr>
        <w:t>[1]</w:t>
      </w:r>
      <w:r w:rsidRPr="00D71B0D">
        <w:rPr>
          <w:rFonts w:ascii="Arial" w:eastAsia="MS Mincho" w:hAnsi="Arial" w:cs="Arial"/>
        </w:rPr>
        <w:tab/>
        <w:t>Smith, R., Johnson, T., Lee, K. (2021). Socio-economic determinants of child malnutrition in urban settings: Evidence from Cameroon. International Journal of Nutrition, 10(4), 345–356.</w:t>
      </w:r>
    </w:p>
    <w:p w14:paraId="7C6045F0" w14:textId="5E979B52" w:rsidR="00245BE2" w:rsidRPr="00245BE2" w:rsidRDefault="009A709A" w:rsidP="00245BE2">
      <w:pPr>
        <w:spacing w:after="200"/>
        <w:ind w:left="720" w:hanging="720"/>
        <w:jc w:val="both"/>
        <w:rPr>
          <w:rFonts w:ascii="Arial" w:eastAsia="MS Mincho" w:hAnsi="Arial" w:cs="Arial"/>
          <w:color w:val="FF0000"/>
          <w:shd w:val="clear" w:color="auto" w:fill="FFFFFF"/>
        </w:rPr>
      </w:pPr>
      <w:r w:rsidRPr="00D71B0D">
        <w:rPr>
          <w:rFonts w:ascii="Arial" w:eastAsia="MS Mincho" w:hAnsi="Arial" w:cs="Arial"/>
        </w:rPr>
        <w:t>[2]</w:t>
      </w:r>
      <w:r w:rsidRPr="00D71B0D">
        <w:rPr>
          <w:rFonts w:ascii="Arial" w:eastAsia="MS Mincho" w:hAnsi="Arial" w:cs="Arial"/>
          <w:shd w:val="clear" w:color="auto" w:fill="FFFFFF"/>
        </w:rPr>
        <w:t xml:space="preserve"> </w:t>
      </w:r>
      <w:r w:rsidRPr="00D71B0D">
        <w:rPr>
          <w:rFonts w:ascii="Arial" w:eastAsia="MS Mincho" w:hAnsi="Arial" w:cs="Arial"/>
          <w:shd w:val="clear" w:color="auto" w:fill="FFFFFF"/>
        </w:rPr>
        <w:tab/>
      </w:r>
      <w:proofErr w:type="spellStart"/>
      <w:r w:rsidRPr="00D71B0D">
        <w:rPr>
          <w:rFonts w:ascii="Arial" w:eastAsia="MS Mincho" w:hAnsi="Arial" w:cs="Arial"/>
          <w:shd w:val="clear" w:color="auto" w:fill="FFFFFF"/>
        </w:rPr>
        <w:t>Likhar</w:t>
      </w:r>
      <w:proofErr w:type="spellEnd"/>
      <w:r w:rsidRPr="00D71B0D">
        <w:rPr>
          <w:rFonts w:ascii="Arial" w:eastAsia="MS Mincho" w:hAnsi="Arial" w:cs="Arial"/>
          <w:shd w:val="clear" w:color="auto" w:fill="FFFFFF"/>
        </w:rPr>
        <w:t xml:space="preserve"> A, Baghel P, Patil M. Early Childhood Development and Social Determinants. </w:t>
      </w:r>
      <w:proofErr w:type="spellStart"/>
      <w:r w:rsidR="00245BE2" w:rsidRPr="00245BE2">
        <w:rPr>
          <w:rFonts w:ascii="Arial" w:eastAsia="MS Mincho" w:hAnsi="Arial" w:cs="Arial"/>
          <w:color w:val="FF0000"/>
          <w:shd w:val="clear" w:color="auto" w:fill="FFFFFF"/>
        </w:rPr>
        <w:t>Cureus</w:t>
      </w:r>
      <w:proofErr w:type="spellEnd"/>
      <w:r w:rsidR="00245BE2" w:rsidRPr="00245BE2">
        <w:rPr>
          <w:rFonts w:ascii="Arial" w:eastAsia="MS Mincho" w:hAnsi="Arial" w:cs="Arial"/>
          <w:color w:val="FF0000"/>
          <w:shd w:val="clear" w:color="auto" w:fill="FFFFFF"/>
        </w:rPr>
        <w:t>. 2022 Sep 23;14(9</w:t>
      </w:r>
      <w:proofErr w:type="gramStart"/>
      <w:r w:rsidR="00245BE2" w:rsidRPr="00245BE2">
        <w:rPr>
          <w:rFonts w:ascii="Arial" w:eastAsia="MS Mincho" w:hAnsi="Arial" w:cs="Arial"/>
          <w:color w:val="FF0000"/>
          <w:shd w:val="clear" w:color="auto" w:fill="FFFFFF"/>
        </w:rPr>
        <w:t>):e</w:t>
      </w:r>
      <w:proofErr w:type="gramEnd"/>
      <w:r w:rsidR="00245BE2" w:rsidRPr="00245BE2">
        <w:rPr>
          <w:rFonts w:ascii="Arial" w:eastAsia="MS Mincho" w:hAnsi="Arial" w:cs="Arial"/>
          <w:color w:val="FF0000"/>
          <w:shd w:val="clear" w:color="auto" w:fill="FFFFFF"/>
        </w:rPr>
        <w:t xml:space="preserve">29500. </w:t>
      </w:r>
      <w:proofErr w:type="spellStart"/>
      <w:r w:rsidR="00245BE2" w:rsidRPr="00245BE2">
        <w:rPr>
          <w:rFonts w:ascii="Arial" w:eastAsia="MS Mincho" w:hAnsi="Arial" w:cs="Arial"/>
          <w:color w:val="FF0000"/>
          <w:shd w:val="clear" w:color="auto" w:fill="FFFFFF"/>
        </w:rPr>
        <w:t>doi</w:t>
      </w:r>
      <w:proofErr w:type="spellEnd"/>
      <w:r w:rsidR="00245BE2" w:rsidRPr="00245BE2">
        <w:rPr>
          <w:rFonts w:ascii="Arial" w:eastAsia="MS Mincho" w:hAnsi="Arial" w:cs="Arial"/>
          <w:color w:val="FF0000"/>
          <w:shd w:val="clear" w:color="auto" w:fill="FFFFFF"/>
        </w:rPr>
        <w:t>: 10.7759/cureus.29500. PMID: 36312682; PMCID: PMC9596089.</w:t>
      </w:r>
    </w:p>
    <w:p w14:paraId="10A8855E" w14:textId="58360601" w:rsidR="009A709A" w:rsidRDefault="009A709A" w:rsidP="008960B4">
      <w:pPr>
        <w:spacing w:after="200"/>
        <w:ind w:left="720" w:hanging="720"/>
        <w:jc w:val="both"/>
        <w:rPr>
          <w:rFonts w:ascii="Arial" w:eastAsia="MS Mincho" w:hAnsi="Arial" w:cs="Arial"/>
          <w:shd w:val="clear" w:color="auto" w:fill="FFFFFF"/>
        </w:rPr>
      </w:pPr>
      <w:r w:rsidRPr="00D71B0D">
        <w:rPr>
          <w:rFonts w:ascii="Arial" w:eastAsia="MS Mincho" w:hAnsi="Arial" w:cs="Arial"/>
          <w:shd w:val="clear" w:color="auto" w:fill="FFFFFF"/>
        </w:rPr>
        <w:t>[3]</w:t>
      </w:r>
      <w:r w:rsidRPr="00D71B0D">
        <w:rPr>
          <w:rFonts w:ascii="Arial" w:eastAsia="MS Mincho" w:hAnsi="Arial" w:cs="Arial"/>
          <w:shd w:val="clear" w:color="auto" w:fill="FFFFFF"/>
        </w:rPr>
        <w:tab/>
        <w:t>WHO (2024) WHO int, News Room Fact sheets on Malnutrition</w:t>
      </w:r>
      <w:r w:rsidR="00245BE2">
        <w:rPr>
          <w:rFonts w:ascii="Arial" w:eastAsia="MS Mincho" w:hAnsi="Arial" w:cs="Arial"/>
          <w:shd w:val="clear" w:color="auto" w:fill="FFFFFF"/>
        </w:rPr>
        <w:t>.</w:t>
      </w:r>
      <w:r w:rsidR="00245BE2" w:rsidRPr="00245BE2">
        <w:t xml:space="preserve"> </w:t>
      </w:r>
      <w:r w:rsidR="00245BE2" w:rsidRPr="00245BE2">
        <w:rPr>
          <w:rFonts w:ascii="Arial" w:eastAsia="MS Mincho" w:hAnsi="Arial" w:cs="Arial"/>
          <w:shd w:val="clear" w:color="auto" w:fill="FFFFFF"/>
        </w:rPr>
        <w:t>https://www.who.int/news-room/fact-sheets/detail/malnutrition</w:t>
      </w:r>
    </w:p>
    <w:p w14:paraId="4F94A3FF" w14:textId="77777777" w:rsidR="00245BE2" w:rsidRPr="00D71B0D" w:rsidRDefault="00245BE2" w:rsidP="008960B4">
      <w:pPr>
        <w:spacing w:after="200"/>
        <w:ind w:left="720" w:hanging="720"/>
        <w:jc w:val="both"/>
        <w:rPr>
          <w:rFonts w:ascii="Arial" w:eastAsia="MS Mincho" w:hAnsi="Arial" w:cs="Arial"/>
        </w:rPr>
      </w:pPr>
    </w:p>
    <w:p w14:paraId="2C111DB3" w14:textId="77777777" w:rsidR="009A709A" w:rsidRPr="00D71B0D" w:rsidRDefault="009A709A" w:rsidP="008960B4">
      <w:pPr>
        <w:spacing w:after="200"/>
        <w:ind w:left="720" w:hanging="720"/>
        <w:jc w:val="both"/>
        <w:rPr>
          <w:rFonts w:ascii="Arial" w:hAnsi="Arial" w:cs="Arial"/>
        </w:rPr>
      </w:pPr>
      <w:r w:rsidRPr="00D71B0D">
        <w:rPr>
          <w:rFonts w:ascii="Arial" w:eastAsia="MS Mincho" w:hAnsi="Arial" w:cs="Arial"/>
        </w:rPr>
        <w:t>[4]</w:t>
      </w:r>
      <w:r w:rsidRPr="00D71B0D">
        <w:rPr>
          <w:rFonts w:ascii="Arial" w:eastAsia="MS Mincho" w:hAnsi="Arial" w:cs="Arial"/>
        </w:rPr>
        <w:tab/>
        <w:t xml:space="preserve">Black, R. E., Victora, C. G., Walker, S. P., Bhutta, Z. A., Christian, P., de Onis, M., ... </w:t>
      </w:r>
      <w:proofErr w:type="spellStart"/>
      <w:r w:rsidRPr="00D71B0D">
        <w:rPr>
          <w:rFonts w:ascii="Arial" w:eastAsia="MS Mincho" w:hAnsi="Arial" w:cs="Arial"/>
        </w:rPr>
        <w:t>Sandjaja</w:t>
      </w:r>
      <w:proofErr w:type="spellEnd"/>
      <w:r w:rsidRPr="00D71B0D">
        <w:rPr>
          <w:rFonts w:ascii="Arial" w:eastAsia="MS Mincho" w:hAnsi="Arial" w:cs="Arial"/>
        </w:rPr>
        <w:t>, P. (2013). Maternal and child under-nutrition: Global and regional exposures and health consequences; The Lancet, 382(9890), 427-451.</w:t>
      </w:r>
    </w:p>
    <w:p w14:paraId="27AD187F" w14:textId="77777777" w:rsidR="009A709A" w:rsidRPr="00D71B0D" w:rsidRDefault="009A709A" w:rsidP="008960B4">
      <w:pPr>
        <w:spacing w:after="200"/>
        <w:ind w:left="720" w:hanging="720"/>
        <w:jc w:val="both"/>
        <w:rPr>
          <w:rFonts w:ascii="Arial" w:eastAsia="MS Mincho" w:hAnsi="Arial" w:cs="Arial"/>
        </w:rPr>
      </w:pPr>
      <w:r w:rsidRPr="00D71B0D">
        <w:rPr>
          <w:rFonts w:ascii="Arial" w:hAnsi="Arial" w:cs="Arial"/>
        </w:rPr>
        <w:t>[5]</w:t>
      </w:r>
      <w:r w:rsidRPr="00D71B0D">
        <w:rPr>
          <w:rFonts w:ascii="Arial" w:hAnsi="Arial" w:cs="Arial"/>
        </w:rPr>
        <w:tab/>
      </w:r>
      <w:r w:rsidRPr="00D71B0D">
        <w:rPr>
          <w:rFonts w:ascii="Arial" w:eastAsia="MS Mincho" w:hAnsi="Arial" w:cs="Arial"/>
        </w:rPr>
        <w:t xml:space="preserve">Aashima Garg, Vrinda Mehra, Harriet </w:t>
      </w:r>
      <w:proofErr w:type="spellStart"/>
      <w:r w:rsidRPr="00D71B0D">
        <w:rPr>
          <w:rFonts w:ascii="Arial" w:eastAsia="MS Mincho" w:hAnsi="Arial" w:cs="Arial"/>
        </w:rPr>
        <w:t>Torlesse</w:t>
      </w:r>
      <w:proofErr w:type="spellEnd"/>
      <w:r w:rsidRPr="00D71B0D">
        <w:rPr>
          <w:rFonts w:ascii="Arial" w:eastAsia="MS Mincho" w:hAnsi="Arial" w:cs="Arial"/>
        </w:rPr>
        <w:t>, Jessica White, Grainne Moloney, France Bégin, Chika Hayashi and Víctor Aguayo.9(2021) The Crisis of Children’s Diets in Early Life.  UNICEF Child Nutrition Report (2021)</w:t>
      </w:r>
    </w:p>
    <w:p w14:paraId="36918A04" w14:textId="77777777" w:rsidR="009A709A" w:rsidRPr="00D71B0D" w:rsidRDefault="009A709A" w:rsidP="008960B4">
      <w:pPr>
        <w:spacing w:after="200"/>
        <w:ind w:left="720" w:hanging="720"/>
        <w:jc w:val="both"/>
        <w:rPr>
          <w:rFonts w:ascii="Arial" w:hAnsi="Arial" w:cs="Arial"/>
        </w:rPr>
      </w:pPr>
      <w:r w:rsidRPr="00D71B0D">
        <w:rPr>
          <w:rFonts w:ascii="Arial" w:eastAsia="MS Mincho" w:hAnsi="Arial" w:cs="Arial"/>
        </w:rPr>
        <w:t>[6]</w:t>
      </w:r>
      <w:r w:rsidRPr="00D71B0D">
        <w:rPr>
          <w:rFonts w:ascii="Arial" w:eastAsia="MS Mincho" w:hAnsi="Arial" w:cs="Arial"/>
        </w:rPr>
        <w:tab/>
      </w:r>
      <w:proofErr w:type="spellStart"/>
      <w:r w:rsidRPr="00D71B0D">
        <w:rPr>
          <w:rFonts w:ascii="Arial" w:hAnsi="Arial" w:cs="Arial"/>
        </w:rPr>
        <w:t>Deographic</w:t>
      </w:r>
      <w:proofErr w:type="spellEnd"/>
      <w:r w:rsidRPr="00D71B0D">
        <w:rPr>
          <w:rFonts w:ascii="Arial" w:hAnsi="Arial" w:cs="Arial"/>
        </w:rPr>
        <w:t xml:space="preserve"> and Health Surveys (DHS). (2018). Cameroon: Demographic and health survey 2018. ICF.</w:t>
      </w:r>
    </w:p>
    <w:p w14:paraId="0868990B" w14:textId="1F0F9F7F" w:rsidR="009A709A" w:rsidRPr="00763D83" w:rsidRDefault="009A709A" w:rsidP="008960B4">
      <w:pPr>
        <w:spacing w:after="200"/>
        <w:ind w:left="720" w:hanging="720"/>
        <w:jc w:val="both"/>
        <w:rPr>
          <w:rFonts w:ascii="Arial" w:eastAsia="MS Mincho" w:hAnsi="Arial" w:cs="Arial"/>
        </w:rPr>
      </w:pPr>
      <w:r w:rsidRPr="00D71B0D">
        <w:rPr>
          <w:rFonts w:ascii="Arial" w:hAnsi="Arial" w:cs="Arial"/>
        </w:rPr>
        <w:t>[7]</w:t>
      </w:r>
      <w:r w:rsidRPr="00D71B0D">
        <w:rPr>
          <w:rFonts w:ascii="Arial" w:hAnsi="Arial" w:cs="Arial"/>
        </w:rPr>
        <w:tab/>
      </w:r>
      <w:r w:rsidR="008F1BFA" w:rsidRPr="00340370">
        <w:rPr>
          <w:rFonts w:ascii="Arial" w:eastAsia="MS Mincho" w:hAnsi="Arial" w:cs="Arial"/>
          <w:color w:val="FF0000"/>
        </w:rPr>
        <w:t xml:space="preserve">Nguefack F., </w:t>
      </w:r>
      <w:proofErr w:type="spellStart"/>
      <w:r w:rsidR="008F1BFA" w:rsidRPr="00340370">
        <w:rPr>
          <w:rFonts w:ascii="Arial" w:eastAsia="MS Mincho" w:hAnsi="Arial" w:cs="Arial"/>
          <w:color w:val="FF0000"/>
        </w:rPr>
        <w:t>Ngwanou</w:t>
      </w:r>
      <w:proofErr w:type="spellEnd"/>
      <w:r w:rsidR="008F1BFA" w:rsidRPr="00340370">
        <w:rPr>
          <w:rFonts w:ascii="Arial" w:eastAsia="MS Mincho" w:hAnsi="Arial" w:cs="Arial"/>
          <w:color w:val="FF0000"/>
        </w:rPr>
        <w:t xml:space="preserve"> D.H., </w:t>
      </w:r>
      <w:proofErr w:type="spellStart"/>
      <w:r w:rsidR="008F1BFA" w:rsidRPr="00340370">
        <w:rPr>
          <w:rFonts w:ascii="Arial" w:eastAsia="MS Mincho" w:hAnsi="Arial" w:cs="Arial"/>
          <w:color w:val="FF0000"/>
        </w:rPr>
        <w:t>Kamsu</w:t>
      </w:r>
      <w:proofErr w:type="spellEnd"/>
      <w:r w:rsidR="008F1BFA" w:rsidRPr="00340370">
        <w:rPr>
          <w:rFonts w:ascii="Arial" w:eastAsia="MS Mincho" w:hAnsi="Arial" w:cs="Arial"/>
          <w:color w:val="FF0000"/>
        </w:rPr>
        <w:t xml:space="preserve"> M.P.G, </w:t>
      </w:r>
      <w:proofErr w:type="spellStart"/>
      <w:r w:rsidR="008F1BFA" w:rsidRPr="00340370">
        <w:rPr>
          <w:rFonts w:ascii="Arial" w:eastAsia="MS Mincho" w:hAnsi="Arial" w:cs="Arial"/>
          <w:color w:val="FF0000"/>
        </w:rPr>
        <w:t>Ejake</w:t>
      </w:r>
      <w:proofErr w:type="spellEnd"/>
      <w:r w:rsidR="008F1BFA" w:rsidRPr="00340370">
        <w:rPr>
          <w:rFonts w:ascii="Arial" w:eastAsia="MS Mincho" w:hAnsi="Arial" w:cs="Arial"/>
          <w:color w:val="FF0000"/>
        </w:rPr>
        <w:t xml:space="preserve"> L., </w:t>
      </w:r>
      <w:proofErr w:type="spellStart"/>
      <w:r w:rsidR="008F1BFA" w:rsidRPr="00340370">
        <w:rPr>
          <w:rFonts w:ascii="Arial" w:eastAsia="MS Mincho" w:hAnsi="Arial" w:cs="Arial"/>
          <w:color w:val="FF0000"/>
        </w:rPr>
        <w:t>Mungyeh</w:t>
      </w:r>
      <w:proofErr w:type="spellEnd"/>
      <w:r w:rsidR="008F1BFA" w:rsidRPr="00340370">
        <w:rPr>
          <w:rFonts w:ascii="Arial" w:eastAsia="MS Mincho" w:hAnsi="Arial" w:cs="Arial"/>
          <w:color w:val="FF0000"/>
        </w:rPr>
        <w:t xml:space="preserve"> E M., </w:t>
      </w:r>
      <w:proofErr w:type="spellStart"/>
      <w:r w:rsidR="008F1BFA" w:rsidRPr="00340370">
        <w:rPr>
          <w:rFonts w:ascii="Arial" w:eastAsia="MS Mincho" w:hAnsi="Arial" w:cs="Arial"/>
          <w:color w:val="FF0000"/>
        </w:rPr>
        <w:t>Wafeu</w:t>
      </w:r>
      <w:proofErr w:type="spellEnd"/>
      <w:r w:rsidR="008F1BFA" w:rsidRPr="00340370">
        <w:rPr>
          <w:rFonts w:ascii="Arial" w:eastAsia="MS Mincho" w:hAnsi="Arial" w:cs="Arial"/>
          <w:color w:val="FF0000"/>
        </w:rPr>
        <w:t xml:space="preserve"> G., Wamba D.S.F., </w:t>
      </w:r>
      <w:proofErr w:type="spellStart"/>
      <w:r w:rsidR="008F1BFA" w:rsidRPr="00340370">
        <w:rPr>
          <w:rFonts w:ascii="Arial" w:eastAsia="MS Mincho" w:hAnsi="Arial" w:cs="Arial"/>
          <w:color w:val="FF0000"/>
        </w:rPr>
        <w:t>Chiabi</w:t>
      </w:r>
      <w:proofErr w:type="spellEnd"/>
      <w:r w:rsidR="008F1BFA" w:rsidRPr="00340370">
        <w:rPr>
          <w:rFonts w:ascii="Arial" w:eastAsia="MS Mincho" w:hAnsi="Arial" w:cs="Arial"/>
          <w:color w:val="FF0000"/>
        </w:rPr>
        <w:t xml:space="preserve"> </w:t>
      </w:r>
      <w:r w:rsidR="00763D83" w:rsidRPr="00340370">
        <w:rPr>
          <w:rFonts w:ascii="Arial" w:eastAsia="MS Mincho" w:hAnsi="Arial" w:cs="Arial"/>
          <w:color w:val="FF0000"/>
        </w:rPr>
        <w:t>A.</w:t>
      </w:r>
      <w:r w:rsidRPr="00340370">
        <w:rPr>
          <w:rFonts w:ascii="Arial" w:eastAsia="MS Mincho" w:hAnsi="Arial" w:cs="Arial"/>
          <w:color w:val="FF0000"/>
        </w:rPr>
        <w:t xml:space="preserve"> (2020) </w:t>
      </w:r>
      <w:hyperlink r:id="rId14" w:tgtFrame="_blank" w:history="1">
        <w:r w:rsidRPr="00340370">
          <w:rPr>
            <w:rFonts w:ascii="Arial" w:eastAsia="MS Mincho" w:hAnsi="Arial" w:cs="Arial"/>
            <w:color w:val="FF0000"/>
          </w:rPr>
          <w:t>Reasons for Delayed Breastfeeding Initiation among Newly Delivered Women in Two First Category Hospitals in Yaoundé, Cameroon</w:t>
        </w:r>
      </w:hyperlink>
      <w:r w:rsidRPr="00340370">
        <w:rPr>
          <w:rFonts w:ascii="Arial" w:eastAsia="MS Mincho" w:hAnsi="Arial" w:cs="Arial"/>
          <w:color w:val="FF0000"/>
        </w:rPr>
        <w:t xml:space="preserve"> written by  published by Open Journal of Pediatrics, Vol.10 No.3,</w:t>
      </w:r>
      <w:r w:rsidR="008F1BFA" w:rsidRPr="00340370">
        <w:rPr>
          <w:rFonts w:ascii="Arial" w:hAnsi="Arial" w:cs="Arial"/>
          <w:b/>
          <w:bCs/>
          <w:color w:val="FF0000"/>
          <w:shd w:val="clear" w:color="auto" w:fill="FFFFFF"/>
        </w:rPr>
        <w:t xml:space="preserve"> DOI: </w:t>
      </w:r>
      <w:hyperlink r:id="rId15" w:tgtFrame="_blank" w:history="1">
        <w:r w:rsidR="008F1BFA" w:rsidRPr="00763D83">
          <w:rPr>
            <w:rFonts w:ascii="Arial" w:hAnsi="Arial" w:cs="Arial"/>
            <w:color w:val="FF0000"/>
          </w:rPr>
          <w:t>10.4236/ojped.2020.103048</w:t>
        </w:r>
      </w:hyperlink>
      <w:r w:rsidR="008F1BFA" w:rsidRPr="00763D83">
        <w:rPr>
          <w:rFonts w:ascii="Arial" w:hAnsi="Arial" w:cs="Arial"/>
          <w:color w:val="FF0000"/>
          <w:sz w:val="21"/>
          <w:szCs w:val="21"/>
          <w:shd w:val="clear" w:color="auto" w:fill="FFFFFF"/>
        </w:rPr>
        <w:t>  </w:t>
      </w:r>
    </w:p>
    <w:p w14:paraId="2FC3E974" w14:textId="77777777" w:rsidR="009A709A" w:rsidRPr="00D71B0D" w:rsidRDefault="009A709A" w:rsidP="008960B4">
      <w:pPr>
        <w:spacing w:after="200"/>
        <w:ind w:left="720" w:hanging="720"/>
        <w:jc w:val="both"/>
        <w:rPr>
          <w:rFonts w:ascii="Arial" w:eastAsia="MS Mincho" w:hAnsi="Arial" w:cs="Arial"/>
        </w:rPr>
      </w:pPr>
      <w:r w:rsidRPr="00D71B0D">
        <w:rPr>
          <w:rFonts w:ascii="Arial" w:hAnsi="Arial" w:cs="Arial"/>
        </w:rPr>
        <w:t>[8]</w:t>
      </w:r>
      <w:r w:rsidRPr="00D71B0D">
        <w:rPr>
          <w:rFonts w:ascii="Arial" w:hAnsi="Arial" w:cs="Arial"/>
        </w:rPr>
        <w:tab/>
      </w:r>
      <w:r w:rsidRPr="00D71B0D">
        <w:rPr>
          <w:rFonts w:ascii="Arial" w:eastAsia="MS Mincho" w:hAnsi="Arial" w:cs="Arial"/>
        </w:rPr>
        <w:t>Mbeng, B. C., Ebot, M. P., &amp; Nfor, L. A. (2021). Infant feeding practices and nutritional outcomes in Buea, Cameroon. Maternal &amp; Child Nutrition, 16(5), e13045.</w:t>
      </w:r>
    </w:p>
    <w:p w14:paraId="10CF6A39" w14:textId="77777777" w:rsidR="00A73C80" w:rsidRPr="00340370" w:rsidRDefault="009A709A" w:rsidP="00A73C80">
      <w:pPr>
        <w:spacing w:after="200"/>
        <w:ind w:left="720" w:hanging="720"/>
        <w:jc w:val="both"/>
        <w:rPr>
          <w:rFonts w:ascii="Arial" w:eastAsia="MS Mincho" w:hAnsi="Arial" w:cs="Arial"/>
          <w:color w:val="FF0000"/>
        </w:rPr>
      </w:pPr>
      <w:r w:rsidRPr="00D71B0D">
        <w:rPr>
          <w:rFonts w:ascii="Arial" w:eastAsia="MS Mincho" w:hAnsi="Arial" w:cs="Arial"/>
        </w:rPr>
        <w:lastRenderedPageBreak/>
        <w:t>[9]</w:t>
      </w:r>
      <w:r w:rsidRPr="00D71B0D">
        <w:rPr>
          <w:rFonts w:ascii="Arial" w:eastAsia="MS Mincho" w:hAnsi="Arial" w:cs="Arial"/>
        </w:rPr>
        <w:tab/>
      </w:r>
      <w:r w:rsidR="00A73C80" w:rsidRPr="00340370">
        <w:rPr>
          <w:rFonts w:ascii="Arial" w:eastAsia="MS Mincho" w:hAnsi="Arial" w:cs="Arial"/>
          <w:color w:val="FF0000"/>
        </w:rPr>
        <w:t xml:space="preserve">Ndah, T., </w:t>
      </w:r>
      <w:proofErr w:type="spellStart"/>
      <w:r w:rsidR="00A73C80" w:rsidRPr="00340370">
        <w:rPr>
          <w:rFonts w:ascii="Arial" w:eastAsia="MS Mincho" w:hAnsi="Arial" w:cs="Arial"/>
          <w:color w:val="FF0000"/>
        </w:rPr>
        <w:t>Tazoho</w:t>
      </w:r>
      <w:proofErr w:type="spellEnd"/>
      <w:r w:rsidR="00A73C80" w:rsidRPr="00340370">
        <w:rPr>
          <w:rFonts w:ascii="Arial" w:eastAsia="MS Mincho" w:hAnsi="Arial" w:cs="Arial"/>
          <w:color w:val="FF0000"/>
        </w:rPr>
        <w:t xml:space="preserve">, G.M., </w:t>
      </w:r>
      <w:proofErr w:type="spellStart"/>
      <w:r w:rsidR="00A73C80" w:rsidRPr="00340370">
        <w:rPr>
          <w:rFonts w:ascii="Arial" w:eastAsia="MS Mincho" w:hAnsi="Arial" w:cs="Arial"/>
          <w:color w:val="FF0000"/>
        </w:rPr>
        <w:t>Youssa</w:t>
      </w:r>
      <w:proofErr w:type="spellEnd"/>
      <w:r w:rsidR="00A73C80" w:rsidRPr="00340370">
        <w:rPr>
          <w:rFonts w:ascii="Arial" w:eastAsia="MS Mincho" w:hAnsi="Arial" w:cs="Arial"/>
          <w:color w:val="FF0000"/>
        </w:rPr>
        <w:t xml:space="preserve">, C.N., Ngoufack, F.Z., </w:t>
      </w:r>
      <w:proofErr w:type="spellStart"/>
      <w:r w:rsidR="00A73C80" w:rsidRPr="00340370">
        <w:rPr>
          <w:rFonts w:ascii="Arial" w:eastAsia="MS Mincho" w:hAnsi="Arial" w:cs="Arial"/>
          <w:color w:val="FF0000"/>
        </w:rPr>
        <w:t>Kuiate</w:t>
      </w:r>
      <w:proofErr w:type="spellEnd"/>
      <w:r w:rsidR="00A73C80" w:rsidRPr="00340370">
        <w:rPr>
          <w:rFonts w:ascii="Arial" w:eastAsia="MS Mincho" w:hAnsi="Arial" w:cs="Arial"/>
          <w:color w:val="FF0000"/>
        </w:rPr>
        <w:t xml:space="preserve">, J.R. (2024). Risk factors associated with Severe Acute Malnutrition (SAM) in children aged 6-59 months in the </w:t>
      </w:r>
      <w:proofErr w:type="spellStart"/>
      <w:r w:rsidR="00A73C80" w:rsidRPr="00340370">
        <w:rPr>
          <w:rFonts w:ascii="Arial" w:eastAsia="MS Mincho" w:hAnsi="Arial" w:cs="Arial"/>
          <w:color w:val="FF0000"/>
        </w:rPr>
        <w:t>Mokolo</w:t>
      </w:r>
      <w:proofErr w:type="spellEnd"/>
      <w:r w:rsidR="00A73C80" w:rsidRPr="00340370">
        <w:rPr>
          <w:rFonts w:ascii="Arial" w:eastAsia="MS Mincho" w:hAnsi="Arial" w:cs="Arial"/>
          <w:color w:val="FF0000"/>
        </w:rPr>
        <w:t xml:space="preserve"> Health District, Far North region of Cameroon. The North African Journal of Food and Nutrition Research, 8 (17): 76 – 85. https://doi.org/10.51745/najfnr.8.17.76-85</w:t>
      </w:r>
    </w:p>
    <w:p w14:paraId="3DEBEFBE" w14:textId="18535938" w:rsidR="00A73C80" w:rsidRPr="00D71B0D" w:rsidRDefault="009A709A" w:rsidP="00D71B0D">
      <w:pPr>
        <w:spacing w:after="200"/>
        <w:ind w:left="720" w:hanging="720"/>
        <w:jc w:val="both"/>
        <w:rPr>
          <w:rFonts w:ascii="Arial" w:eastAsia="MS Mincho" w:hAnsi="Arial" w:cs="Arial"/>
          <w:highlight w:val="yellow"/>
        </w:rPr>
      </w:pPr>
      <w:r w:rsidRPr="00D71B0D">
        <w:rPr>
          <w:rFonts w:ascii="Arial" w:eastAsia="MS Mincho" w:hAnsi="Arial" w:cs="Arial"/>
        </w:rPr>
        <w:t>[10]</w:t>
      </w:r>
      <w:r w:rsidRPr="00D71B0D">
        <w:rPr>
          <w:rFonts w:ascii="Arial" w:eastAsia="MS Mincho" w:hAnsi="Arial" w:cs="Arial"/>
        </w:rPr>
        <w:tab/>
      </w:r>
      <w:r w:rsidR="00A73C80" w:rsidRPr="00340370">
        <w:rPr>
          <w:rFonts w:ascii="Arial" w:hAnsi="Arial" w:cs="Arial"/>
          <w:color w:val="FF0000"/>
        </w:rPr>
        <w:t xml:space="preserve">Mendoza Aldana, Jorge &amp; </w:t>
      </w:r>
      <w:proofErr w:type="spellStart"/>
      <w:r w:rsidR="00A73C80" w:rsidRPr="00340370">
        <w:rPr>
          <w:rFonts w:ascii="Arial" w:hAnsi="Arial" w:cs="Arial"/>
          <w:color w:val="FF0000"/>
        </w:rPr>
        <w:t>Piechulek</w:t>
      </w:r>
      <w:proofErr w:type="spellEnd"/>
      <w:r w:rsidR="00A73C80" w:rsidRPr="00340370">
        <w:rPr>
          <w:rFonts w:ascii="Arial" w:hAnsi="Arial" w:cs="Arial"/>
          <w:color w:val="FF0000"/>
        </w:rPr>
        <w:t>, H. (1992). [Nutritional status of 0-to-59-month-old children in urban and rural areas of Cameroon]. Bulletin of the World Health Organization. 70. 725-</w:t>
      </w:r>
      <w:r w:rsidR="00A73C80" w:rsidRPr="00340370">
        <w:rPr>
          <w:rFonts w:ascii="Arial" w:eastAsia="MS Mincho" w:hAnsi="Arial" w:cs="Arial"/>
          <w:color w:val="FF0000"/>
        </w:rPr>
        <w:t>32</w:t>
      </w:r>
      <w:r w:rsidR="00A73C80" w:rsidRPr="00340370">
        <w:rPr>
          <w:rFonts w:ascii="Arial" w:hAnsi="Arial" w:cs="Arial"/>
          <w:color w:val="FF0000"/>
        </w:rPr>
        <w:t xml:space="preserve"> </w:t>
      </w:r>
      <w:r w:rsidR="00A73C80" w:rsidRPr="00340370">
        <w:rPr>
          <w:rFonts w:ascii="Arial" w:eastAsia="MS Mincho" w:hAnsi="Arial" w:cs="Arial"/>
          <w:color w:val="FF0000"/>
        </w:rPr>
        <w:t>https://www.researchgate.net/publication/21668389_Nutritional_status_of_0-to-59-month-old_children_in_urban_and_rural_areas_of_Cameroon</w:t>
      </w:r>
    </w:p>
    <w:p w14:paraId="72A69355" w14:textId="173CF36D" w:rsidR="00D966A2" w:rsidRPr="00340370" w:rsidRDefault="009A709A" w:rsidP="00D71B0D">
      <w:pPr>
        <w:spacing w:after="200"/>
        <w:ind w:left="720" w:hanging="720"/>
        <w:jc w:val="both"/>
        <w:rPr>
          <w:rFonts w:ascii="Arial" w:eastAsia="MS Mincho" w:hAnsi="Arial" w:cs="Arial"/>
          <w:color w:val="FF0000"/>
        </w:rPr>
      </w:pPr>
      <w:r w:rsidRPr="00D71B0D">
        <w:rPr>
          <w:rFonts w:ascii="Arial" w:eastAsia="MS Mincho" w:hAnsi="Arial" w:cs="Arial"/>
        </w:rPr>
        <w:t>[11]</w:t>
      </w:r>
      <w:r w:rsidRPr="00D71B0D">
        <w:rPr>
          <w:rFonts w:ascii="Arial" w:eastAsia="MS Mincho" w:hAnsi="Arial" w:cs="Arial"/>
        </w:rPr>
        <w:tab/>
      </w:r>
      <w:proofErr w:type="spellStart"/>
      <w:r w:rsidR="00D966A2" w:rsidRPr="00340370">
        <w:rPr>
          <w:rFonts w:ascii="Arial" w:hAnsi="Arial" w:cs="Arial"/>
          <w:color w:val="FF0000"/>
        </w:rPr>
        <w:t>Nkeudem</w:t>
      </w:r>
      <w:proofErr w:type="spellEnd"/>
      <w:r w:rsidR="00D966A2" w:rsidRPr="00340370">
        <w:rPr>
          <w:rFonts w:ascii="Arial" w:hAnsi="Arial" w:cs="Arial"/>
          <w:color w:val="FF0000"/>
        </w:rPr>
        <w:t xml:space="preserve">, A.G., Sameh, E.F., </w:t>
      </w:r>
      <w:proofErr w:type="spellStart"/>
      <w:r w:rsidR="00D966A2" w:rsidRPr="00340370">
        <w:rPr>
          <w:rFonts w:ascii="Arial" w:hAnsi="Arial" w:cs="Arial"/>
          <w:color w:val="FF0000"/>
        </w:rPr>
        <w:t>Metuge</w:t>
      </w:r>
      <w:proofErr w:type="spellEnd"/>
      <w:r w:rsidR="00D966A2" w:rsidRPr="00340370">
        <w:rPr>
          <w:rFonts w:ascii="Arial" w:hAnsi="Arial" w:cs="Arial"/>
          <w:color w:val="FF0000"/>
        </w:rPr>
        <w:t xml:space="preserve">, S., Ning, T.R., Senge, N.L. and Ngole, S.I. (2024) Prevalence of Malnutrition and </w:t>
      </w:r>
      <w:proofErr w:type="spellStart"/>
      <w:r w:rsidR="00D966A2" w:rsidRPr="00340370">
        <w:rPr>
          <w:rFonts w:ascii="Arial" w:hAnsi="Arial" w:cs="Arial"/>
          <w:color w:val="FF0000"/>
        </w:rPr>
        <w:t>Anaemia</w:t>
      </w:r>
      <w:proofErr w:type="spellEnd"/>
      <w:r w:rsidR="00D966A2" w:rsidRPr="00340370">
        <w:rPr>
          <w:rFonts w:ascii="Arial" w:hAnsi="Arial" w:cs="Arial"/>
          <w:color w:val="FF0000"/>
        </w:rPr>
        <w:t xml:space="preserve"> in Children ≤ 5 Years of Age in Some Conflict Hit Areas of Meme Division of the South West Region of Cameroon. Food and Nutrition Sciences, 15, 235-244. https://doi.org/10.4236/fns.2024.154015</w:t>
      </w:r>
    </w:p>
    <w:p w14:paraId="4E53D2B5" w14:textId="65EB843D" w:rsidR="00D966A2" w:rsidRPr="00340370" w:rsidRDefault="009A709A" w:rsidP="00D71B0D">
      <w:pPr>
        <w:spacing w:after="200"/>
        <w:ind w:left="720" w:hanging="720"/>
        <w:jc w:val="both"/>
        <w:rPr>
          <w:rFonts w:ascii="Arial" w:eastAsia="MS Mincho" w:hAnsi="Arial" w:cs="Arial"/>
          <w:color w:val="FF0000"/>
        </w:rPr>
      </w:pPr>
      <w:r w:rsidRPr="00340370">
        <w:rPr>
          <w:rFonts w:ascii="Arial" w:eastAsia="MS Mincho" w:hAnsi="Arial" w:cs="Arial"/>
          <w:color w:val="FF0000"/>
        </w:rPr>
        <w:t>[12]</w:t>
      </w:r>
      <w:r w:rsidRPr="00340370">
        <w:rPr>
          <w:rFonts w:ascii="Arial" w:eastAsia="MS Mincho" w:hAnsi="Arial" w:cs="Arial"/>
          <w:color w:val="FF0000"/>
        </w:rPr>
        <w:tab/>
      </w:r>
      <w:r w:rsidR="00D966A2" w:rsidRPr="00340370">
        <w:rPr>
          <w:rFonts w:ascii="Arial" w:hAnsi="Arial" w:cs="Arial"/>
          <w:color w:val="FF0000"/>
          <w:shd w:val="clear" w:color="auto" w:fill="FFFFFF"/>
        </w:rPr>
        <w:t xml:space="preserve">Ngassa, A.B., </w:t>
      </w:r>
      <w:proofErr w:type="spellStart"/>
      <w:r w:rsidR="00D966A2" w:rsidRPr="00340370">
        <w:rPr>
          <w:rFonts w:ascii="Arial" w:hAnsi="Arial" w:cs="Arial"/>
          <w:color w:val="FF0000"/>
          <w:shd w:val="clear" w:color="auto" w:fill="FFFFFF"/>
        </w:rPr>
        <w:t>Meriki</w:t>
      </w:r>
      <w:proofErr w:type="spellEnd"/>
      <w:r w:rsidR="00D966A2" w:rsidRPr="00340370">
        <w:rPr>
          <w:rFonts w:ascii="Arial" w:hAnsi="Arial" w:cs="Arial"/>
          <w:color w:val="FF0000"/>
          <w:shd w:val="clear" w:color="auto" w:fill="FFFFFF"/>
        </w:rPr>
        <w:t xml:space="preserve">, H.D., </w:t>
      </w:r>
      <w:proofErr w:type="spellStart"/>
      <w:r w:rsidR="00D966A2" w:rsidRPr="00340370">
        <w:rPr>
          <w:rFonts w:ascii="Arial" w:hAnsi="Arial" w:cs="Arial"/>
          <w:color w:val="FF0000"/>
          <w:shd w:val="clear" w:color="auto" w:fill="FFFFFF"/>
        </w:rPr>
        <w:t>Mbanga</w:t>
      </w:r>
      <w:proofErr w:type="spellEnd"/>
      <w:r w:rsidR="00D966A2" w:rsidRPr="00340370">
        <w:rPr>
          <w:rFonts w:ascii="Arial" w:hAnsi="Arial" w:cs="Arial"/>
          <w:color w:val="FF0000"/>
          <w:shd w:val="clear" w:color="auto" w:fill="FFFFFF"/>
        </w:rPr>
        <w:t>, C.M. </w:t>
      </w:r>
      <w:r w:rsidR="00D966A2" w:rsidRPr="00340370">
        <w:rPr>
          <w:rFonts w:ascii="Arial" w:hAnsi="Arial" w:cs="Arial"/>
          <w:i/>
          <w:iCs/>
          <w:color w:val="FF0000"/>
          <w:shd w:val="clear" w:color="auto" w:fill="FFFFFF"/>
        </w:rPr>
        <w:t>et al.</w:t>
      </w:r>
      <w:r w:rsidR="00D966A2" w:rsidRPr="00340370">
        <w:rPr>
          <w:rFonts w:ascii="Arial" w:hAnsi="Arial" w:cs="Arial"/>
          <w:color w:val="FF0000"/>
          <w:shd w:val="clear" w:color="auto" w:fill="FFFFFF"/>
        </w:rPr>
        <w:t> Key predictors of undernutrition among children 6–59 months in the Buea Health District of the Southwest region of Cameroon: a cross-sectional community-based survey. </w:t>
      </w:r>
      <w:r w:rsidR="00D966A2" w:rsidRPr="00340370">
        <w:rPr>
          <w:rFonts w:ascii="Arial" w:hAnsi="Arial" w:cs="Arial"/>
          <w:i/>
          <w:iCs/>
          <w:color w:val="FF0000"/>
          <w:shd w:val="clear" w:color="auto" w:fill="FFFFFF"/>
        </w:rPr>
        <w:t xml:space="preserve">BMC </w:t>
      </w:r>
      <w:proofErr w:type="spellStart"/>
      <w:r w:rsidR="00D966A2" w:rsidRPr="00340370">
        <w:rPr>
          <w:rFonts w:ascii="Arial" w:hAnsi="Arial" w:cs="Arial"/>
          <w:i/>
          <w:iCs/>
          <w:color w:val="FF0000"/>
          <w:shd w:val="clear" w:color="auto" w:fill="FFFFFF"/>
        </w:rPr>
        <w:t>Nutr</w:t>
      </w:r>
      <w:proofErr w:type="spellEnd"/>
      <w:r w:rsidR="00D966A2" w:rsidRPr="00340370">
        <w:rPr>
          <w:rFonts w:ascii="Arial" w:hAnsi="Arial" w:cs="Arial"/>
          <w:color w:val="FF0000"/>
          <w:shd w:val="clear" w:color="auto" w:fill="FFFFFF"/>
        </w:rPr>
        <w:t> </w:t>
      </w:r>
      <w:r w:rsidR="00D966A2" w:rsidRPr="00340370">
        <w:rPr>
          <w:rFonts w:ascii="Arial" w:hAnsi="Arial" w:cs="Arial"/>
          <w:b/>
          <w:bCs/>
          <w:color w:val="FF0000"/>
          <w:shd w:val="clear" w:color="auto" w:fill="FFFFFF"/>
        </w:rPr>
        <w:t>8</w:t>
      </w:r>
      <w:r w:rsidR="00D966A2" w:rsidRPr="00340370">
        <w:rPr>
          <w:rFonts w:ascii="Arial" w:hAnsi="Arial" w:cs="Arial"/>
          <w:color w:val="FF0000"/>
          <w:shd w:val="clear" w:color="auto" w:fill="FFFFFF"/>
        </w:rPr>
        <w:t>, 148 (2022). https://doi.org/10.1186/s40795-022-00646-0</w:t>
      </w:r>
    </w:p>
    <w:p w14:paraId="555B144B" w14:textId="77777777" w:rsidR="009A709A" w:rsidRPr="00D71B0D" w:rsidRDefault="009A709A" w:rsidP="008960B4">
      <w:pPr>
        <w:spacing w:after="200"/>
        <w:ind w:left="720" w:hanging="720"/>
        <w:jc w:val="both"/>
        <w:rPr>
          <w:rFonts w:ascii="Arial" w:eastAsia="MS Mincho" w:hAnsi="Arial" w:cs="Arial"/>
        </w:rPr>
      </w:pPr>
      <w:r w:rsidRPr="00D71B0D">
        <w:rPr>
          <w:rFonts w:ascii="Arial" w:eastAsia="MS Mincho" w:hAnsi="Arial" w:cs="Arial"/>
        </w:rPr>
        <w:t>[13]</w:t>
      </w:r>
      <w:r w:rsidRPr="00D71B0D">
        <w:rPr>
          <w:rFonts w:ascii="Arial" w:eastAsia="MS Mincho" w:hAnsi="Arial" w:cs="Arial"/>
        </w:rPr>
        <w:tab/>
        <w:t>Smith, L. C., &amp; Haddad, L. (2015). Reducing child undernutrition: Past drivers and priorities for the post-MDG era. World Development, 68, 180-204.</w:t>
      </w:r>
    </w:p>
    <w:p w14:paraId="222657B7" w14:textId="3D591002" w:rsidR="009A709A" w:rsidRPr="00340370" w:rsidRDefault="009A709A" w:rsidP="00D71B0D">
      <w:pPr>
        <w:spacing w:after="200"/>
        <w:ind w:left="720" w:hanging="720"/>
        <w:jc w:val="both"/>
        <w:rPr>
          <w:rFonts w:ascii="Arial" w:eastAsia="MS Mincho" w:hAnsi="Arial" w:cs="Arial"/>
          <w:color w:val="FF0000"/>
        </w:rPr>
      </w:pPr>
      <w:r w:rsidRPr="00D71B0D">
        <w:rPr>
          <w:rFonts w:ascii="Arial" w:eastAsia="MS Mincho" w:hAnsi="Arial" w:cs="Arial"/>
        </w:rPr>
        <w:t>[14]</w:t>
      </w:r>
      <w:r w:rsidRPr="00D71B0D">
        <w:rPr>
          <w:rFonts w:ascii="Arial" w:eastAsia="MS Mincho" w:hAnsi="Arial" w:cs="Arial"/>
        </w:rPr>
        <w:tab/>
      </w:r>
      <w:proofErr w:type="spellStart"/>
      <w:r w:rsidR="002F12BA" w:rsidRPr="00340370">
        <w:rPr>
          <w:rFonts w:ascii="Arial" w:hAnsi="Arial" w:cs="Arial"/>
          <w:color w:val="FF0000"/>
          <w:shd w:val="clear" w:color="auto" w:fill="FFFFFF"/>
        </w:rPr>
        <w:t>Asoba</w:t>
      </w:r>
      <w:proofErr w:type="spellEnd"/>
      <w:r w:rsidR="002F12BA" w:rsidRPr="00340370">
        <w:rPr>
          <w:rFonts w:ascii="Arial" w:hAnsi="Arial" w:cs="Arial"/>
          <w:color w:val="FF0000"/>
          <w:shd w:val="clear" w:color="auto" w:fill="FFFFFF"/>
        </w:rPr>
        <w:t xml:space="preserve"> GN, </w:t>
      </w:r>
      <w:proofErr w:type="spellStart"/>
      <w:r w:rsidR="002F12BA" w:rsidRPr="00340370">
        <w:rPr>
          <w:rFonts w:ascii="Arial" w:hAnsi="Arial" w:cs="Arial"/>
          <w:color w:val="FF0000"/>
          <w:shd w:val="clear" w:color="auto" w:fill="FFFFFF"/>
        </w:rPr>
        <w:t>Sumbele</w:t>
      </w:r>
      <w:proofErr w:type="spellEnd"/>
      <w:r w:rsidR="002F12BA" w:rsidRPr="00340370">
        <w:rPr>
          <w:rFonts w:ascii="Arial" w:hAnsi="Arial" w:cs="Arial"/>
          <w:color w:val="FF0000"/>
          <w:shd w:val="clear" w:color="auto" w:fill="FFFFFF"/>
        </w:rPr>
        <w:t xml:space="preserve"> IUN, </w:t>
      </w:r>
      <w:proofErr w:type="spellStart"/>
      <w:r w:rsidR="002F12BA" w:rsidRPr="00340370">
        <w:rPr>
          <w:rFonts w:ascii="Arial" w:hAnsi="Arial" w:cs="Arial"/>
          <w:color w:val="FF0000"/>
          <w:shd w:val="clear" w:color="auto" w:fill="FFFFFF"/>
        </w:rPr>
        <w:t>Anchang</w:t>
      </w:r>
      <w:proofErr w:type="spellEnd"/>
      <w:r w:rsidR="002F12BA" w:rsidRPr="00340370">
        <w:rPr>
          <w:rFonts w:ascii="Arial" w:hAnsi="Arial" w:cs="Arial"/>
          <w:color w:val="FF0000"/>
          <w:shd w:val="clear" w:color="auto" w:fill="FFFFFF"/>
        </w:rPr>
        <w:t xml:space="preserve">-Kimbi JK, </w:t>
      </w:r>
      <w:proofErr w:type="spellStart"/>
      <w:r w:rsidR="002F12BA" w:rsidRPr="00340370">
        <w:rPr>
          <w:rFonts w:ascii="Arial" w:hAnsi="Arial" w:cs="Arial"/>
          <w:color w:val="FF0000"/>
          <w:shd w:val="clear" w:color="auto" w:fill="FFFFFF"/>
        </w:rPr>
        <w:t>Metuge</w:t>
      </w:r>
      <w:proofErr w:type="spellEnd"/>
      <w:r w:rsidR="002F12BA" w:rsidRPr="00340370">
        <w:rPr>
          <w:rFonts w:ascii="Arial" w:hAnsi="Arial" w:cs="Arial"/>
          <w:color w:val="FF0000"/>
          <w:shd w:val="clear" w:color="auto" w:fill="FFFFFF"/>
        </w:rPr>
        <w:t xml:space="preserve"> S, </w:t>
      </w:r>
      <w:proofErr w:type="spellStart"/>
      <w:r w:rsidR="002F12BA" w:rsidRPr="00340370">
        <w:rPr>
          <w:rFonts w:ascii="Arial" w:hAnsi="Arial" w:cs="Arial"/>
          <w:color w:val="FF0000"/>
          <w:shd w:val="clear" w:color="auto" w:fill="FFFFFF"/>
        </w:rPr>
        <w:t>Teh</w:t>
      </w:r>
      <w:proofErr w:type="spellEnd"/>
      <w:r w:rsidR="002F12BA" w:rsidRPr="00340370">
        <w:rPr>
          <w:rFonts w:ascii="Arial" w:hAnsi="Arial" w:cs="Arial"/>
          <w:color w:val="FF0000"/>
          <w:shd w:val="clear" w:color="auto" w:fill="FFFFFF"/>
        </w:rPr>
        <w:t xml:space="preserve"> RN. Influence of infant feeding practices on the occurrence of malnutrition, malaria and </w:t>
      </w:r>
      <w:proofErr w:type="spellStart"/>
      <w:r w:rsidR="002F12BA" w:rsidRPr="00340370">
        <w:rPr>
          <w:rFonts w:ascii="Arial" w:hAnsi="Arial" w:cs="Arial"/>
          <w:color w:val="FF0000"/>
          <w:shd w:val="clear" w:color="auto" w:fill="FFFFFF"/>
        </w:rPr>
        <w:t>anaemia</w:t>
      </w:r>
      <w:proofErr w:type="spellEnd"/>
      <w:r w:rsidR="002F12BA" w:rsidRPr="00340370">
        <w:rPr>
          <w:rFonts w:ascii="Arial" w:hAnsi="Arial" w:cs="Arial"/>
          <w:color w:val="FF0000"/>
          <w:shd w:val="clear" w:color="auto" w:fill="FFFFFF"/>
        </w:rPr>
        <w:t xml:space="preserve"> in children ≤5 years in the Mount Cameroon area: A </w:t>
      </w:r>
      <w:r w:rsidR="00D71B0D" w:rsidRPr="00340370">
        <w:rPr>
          <w:rFonts w:ascii="Arial" w:hAnsi="Arial" w:cs="Arial"/>
          <w:color w:val="FF0000"/>
          <w:shd w:val="clear" w:color="auto" w:fill="FFFFFF"/>
        </w:rPr>
        <w:t>cross-sectional</w:t>
      </w:r>
      <w:r w:rsidR="002F12BA" w:rsidRPr="00340370">
        <w:rPr>
          <w:rFonts w:ascii="Arial" w:hAnsi="Arial" w:cs="Arial"/>
          <w:color w:val="FF0000"/>
          <w:shd w:val="clear" w:color="auto" w:fill="FFFFFF"/>
        </w:rPr>
        <w:t xml:space="preserve"> study. </w:t>
      </w:r>
      <w:proofErr w:type="spellStart"/>
      <w:r w:rsidR="002F12BA" w:rsidRPr="00340370">
        <w:rPr>
          <w:rFonts w:ascii="Arial" w:hAnsi="Arial" w:cs="Arial"/>
          <w:color w:val="FF0000"/>
          <w:shd w:val="clear" w:color="auto" w:fill="FFFFFF"/>
        </w:rPr>
        <w:t>PLoS</w:t>
      </w:r>
      <w:proofErr w:type="spellEnd"/>
      <w:r w:rsidR="002F12BA" w:rsidRPr="00340370">
        <w:rPr>
          <w:rFonts w:ascii="Arial" w:hAnsi="Arial" w:cs="Arial"/>
          <w:color w:val="FF0000"/>
          <w:shd w:val="clear" w:color="auto" w:fill="FFFFFF"/>
        </w:rPr>
        <w:t xml:space="preserve"> One. 2019 Jul 18;14(7</w:t>
      </w:r>
      <w:r w:rsidR="00B14E77" w:rsidRPr="00340370">
        <w:rPr>
          <w:rFonts w:ascii="Arial" w:hAnsi="Arial" w:cs="Arial"/>
          <w:color w:val="FF0000"/>
          <w:shd w:val="clear" w:color="auto" w:fill="FFFFFF"/>
        </w:rPr>
        <w:t>): e</w:t>
      </w:r>
      <w:r w:rsidR="002F12BA" w:rsidRPr="00340370">
        <w:rPr>
          <w:rFonts w:ascii="Arial" w:hAnsi="Arial" w:cs="Arial"/>
          <w:color w:val="FF0000"/>
          <w:shd w:val="clear" w:color="auto" w:fill="FFFFFF"/>
        </w:rPr>
        <w:t xml:space="preserve">0219386. </w:t>
      </w:r>
      <w:proofErr w:type="spellStart"/>
      <w:r w:rsidR="002F12BA" w:rsidRPr="00340370">
        <w:rPr>
          <w:rFonts w:ascii="Arial" w:hAnsi="Arial" w:cs="Arial"/>
          <w:color w:val="FF0000"/>
          <w:shd w:val="clear" w:color="auto" w:fill="FFFFFF"/>
        </w:rPr>
        <w:t>doi</w:t>
      </w:r>
      <w:proofErr w:type="spellEnd"/>
      <w:r w:rsidR="002F12BA" w:rsidRPr="00340370">
        <w:rPr>
          <w:rFonts w:ascii="Arial" w:hAnsi="Arial" w:cs="Arial"/>
          <w:color w:val="FF0000"/>
          <w:shd w:val="clear" w:color="auto" w:fill="FFFFFF"/>
        </w:rPr>
        <w:t>: 10.1371/journal.pone.0219386. PMID: 31318896; PMCID: PMC6638998.</w:t>
      </w:r>
    </w:p>
    <w:p w14:paraId="62719A5C" w14:textId="23EC8D98" w:rsidR="008B06B1" w:rsidRPr="00340370" w:rsidRDefault="009A709A" w:rsidP="00D71B0D">
      <w:pPr>
        <w:spacing w:after="200"/>
        <w:ind w:left="720" w:hanging="720"/>
        <w:jc w:val="both"/>
        <w:rPr>
          <w:rFonts w:ascii="Arial" w:eastAsia="MS Mincho" w:hAnsi="Arial" w:cs="Arial"/>
          <w:color w:val="FF0000"/>
        </w:rPr>
      </w:pPr>
      <w:r w:rsidRPr="00340370">
        <w:rPr>
          <w:rFonts w:ascii="Arial" w:eastAsia="MS Mincho" w:hAnsi="Arial" w:cs="Arial"/>
          <w:color w:val="FF0000"/>
        </w:rPr>
        <w:t>[15]</w:t>
      </w:r>
      <w:r w:rsidRPr="00340370">
        <w:rPr>
          <w:rFonts w:ascii="Arial" w:eastAsia="MS Mincho" w:hAnsi="Arial" w:cs="Arial"/>
          <w:color w:val="FF0000"/>
        </w:rPr>
        <w:tab/>
      </w:r>
      <w:r w:rsidR="00126120" w:rsidRPr="00340370">
        <w:rPr>
          <w:rFonts w:ascii="Arial" w:eastAsia="MS Mincho" w:hAnsi="Arial" w:cs="Arial"/>
          <w:color w:val="FF0000"/>
        </w:rPr>
        <w:t xml:space="preserve">Wandji L.Y., </w:t>
      </w:r>
      <w:proofErr w:type="spellStart"/>
      <w:r w:rsidR="00126120" w:rsidRPr="00340370">
        <w:rPr>
          <w:rFonts w:ascii="Arial" w:eastAsia="MS Mincho" w:hAnsi="Arial" w:cs="Arial"/>
          <w:color w:val="FF0000"/>
        </w:rPr>
        <w:t>Puepi</w:t>
      </w:r>
      <w:proofErr w:type="spellEnd"/>
      <w:r w:rsidR="00126120" w:rsidRPr="00340370">
        <w:rPr>
          <w:rFonts w:ascii="Arial" w:eastAsia="MS Mincho" w:hAnsi="Arial" w:cs="Arial"/>
          <w:color w:val="FF0000"/>
        </w:rPr>
        <w:t xml:space="preserve"> D.Y., </w:t>
      </w:r>
      <w:proofErr w:type="spellStart"/>
      <w:r w:rsidR="00126120" w:rsidRPr="00340370">
        <w:rPr>
          <w:rFonts w:ascii="Arial" w:eastAsia="MS Mincho" w:hAnsi="Arial" w:cs="Arial"/>
          <w:color w:val="FF0000"/>
        </w:rPr>
        <w:t>Nyongseh</w:t>
      </w:r>
      <w:proofErr w:type="spellEnd"/>
      <w:r w:rsidR="00126120" w:rsidRPr="00340370">
        <w:rPr>
          <w:rFonts w:ascii="Arial" w:eastAsia="MS Mincho" w:hAnsi="Arial" w:cs="Arial"/>
          <w:color w:val="FF0000"/>
        </w:rPr>
        <w:t xml:space="preserve"> G.Y., </w:t>
      </w:r>
      <w:proofErr w:type="spellStart"/>
      <w:r w:rsidR="00126120" w:rsidRPr="00340370">
        <w:rPr>
          <w:rFonts w:ascii="Arial" w:eastAsia="MS Mincho" w:hAnsi="Arial" w:cs="Arial"/>
          <w:color w:val="FF0000"/>
        </w:rPr>
        <w:t>Eposse</w:t>
      </w:r>
      <w:proofErr w:type="spellEnd"/>
      <w:r w:rsidR="00126120" w:rsidRPr="00340370">
        <w:rPr>
          <w:rFonts w:ascii="Arial" w:eastAsia="MS Mincho" w:hAnsi="Arial" w:cs="Arial"/>
          <w:color w:val="FF0000"/>
        </w:rPr>
        <w:t xml:space="preserve"> E.C., Mandeng M. L.., Naiza M., </w:t>
      </w:r>
      <w:proofErr w:type="spellStart"/>
      <w:r w:rsidR="00126120" w:rsidRPr="00340370">
        <w:rPr>
          <w:rFonts w:ascii="Arial" w:eastAsia="MS Mincho" w:hAnsi="Arial" w:cs="Arial"/>
          <w:color w:val="FF0000"/>
        </w:rPr>
        <w:t>Noukeu</w:t>
      </w:r>
      <w:proofErr w:type="spellEnd"/>
      <w:r w:rsidR="00126120" w:rsidRPr="00340370">
        <w:rPr>
          <w:rFonts w:ascii="Arial" w:eastAsia="MS Mincho" w:hAnsi="Arial" w:cs="Arial"/>
          <w:color w:val="FF0000"/>
        </w:rPr>
        <w:t xml:space="preserve"> N.D., Dominique E., </w:t>
      </w:r>
      <w:proofErr w:type="spellStart"/>
      <w:r w:rsidR="00126120" w:rsidRPr="00340370">
        <w:rPr>
          <w:rFonts w:ascii="Arial" w:eastAsia="MS Mincho" w:hAnsi="Arial" w:cs="Arial"/>
          <w:color w:val="FF0000"/>
        </w:rPr>
        <w:t>Ganni</w:t>
      </w:r>
      <w:proofErr w:type="spellEnd"/>
      <w:r w:rsidR="00126120" w:rsidRPr="00340370">
        <w:rPr>
          <w:rFonts w:ascii="Arial" w:eastAsia="MS Mincho" w:hAnsi="Arial" w:cs="Arial"/>
          <w:color w:val="FF0000"/>
        </w:rPr>
        <w:t xml:space="preserve"> W.W., Mah </w:t>
      </w:r>
      <w:proofErr w:type="spellStart"/>
      <w:r w:rsidR="00126120" w:rsidRPr="00340370">
        <w:rPr>
          <w:rFonts w:ascii="Arial" w:eastAsia="MS Mincho" w:hAnsi="Arial" w:cs="Arial"/>
          <w:color w:val="FF0000"/>
        </w:rPr>
        <w:t>M.</w:t>
      </w:r>
      <w:proofErr w:type="gramStart"/>
      <w:r w:rsidR="00126120" w:rsidRPr="00340370">
        <w:rPr>
          <w:rFonts w:ascii="Arial" w:eastAsia="MS Mincho" w:hAnsi="Arial" w:cs="Arial"/>
          <w:color w:val="FF0000"/>
        </w:rPr>
        <w:t>E.Association</w:t>
      </w:r>
      <w:proofErr w:type="spellEnd"/>
      <w:proofErr w:type="gramEnd"/>
      <w:r w:rsidR="00126120" w:rsidRPr="00340370">
        <w:rPr>
          <w:rFonts w:ascii="Arial" w:eastAsia="MS Mincho" w:hAnsi="Arial" w:cs="Arial"/>
          <w:color w:val="FF0000"/>
        </w:rPr>
        <w:t xml:space="preserve"> Between Complementary Feeding Practices and Nutritional Status in Children Aged 6-24 Months Using the Complementary Feeding Index Score and WHO Indicators in Three Hospitals in Cameroon. Health Sci. Dis: Vol 25 (2) February 2024 pp 1-7Available free </w:t>
      </w:r>
      <w:r w:rsidR="00126120" w:rsidRPr="00B14E77">
        <w:rPr>
          <w:rFonts w:ascii="Arial" w:eastAsia="MS Mincho" w:hAnsi="Arial" w:cs="Arial"/>
          <w:color w:val="FF0000"/>
        </w:rPr>
        <w:t xml:space="preserve">at </w:t>
      </w:r>
      <w:hyperlink r:id="rId16" w:history="1">
        <w:r w:rsidR="008B06B1" w:rsidRPr="00B14E77">
          <w:rPr>
            <w:rStyle w:val="Hyperlink"/>
            <w:rFonts w:ascii="Arial" w:eastAsia="MS Mincho" w:hAnsi="Arial" w:cs="Arial"/>
            <w:color w:val="FF0000"/>
            <w:u w:val="none"/>
          </w:rPr>
          <w:t>http://www.hsd-fmsb.org</w:t>
        </w:r>
      </w:hyperlink>
    </w:p>
    <w:p w14:paraId="783AB210" w14:textId="734D77E2" w:rsidR="009A709A" w:rsidRPr="00340370" w:rsidRDefault="009A709A" w:rsidP="008960B4">
      <w:pPr>
        <w:spacing w:after="200"/>
        <w:ind w:left="720" w:hanging="720"/>
        <w:jc w:val="both"/>
        <w:rPr>
          <w:rFonts w:ascii="Arial" w:eastAsia="MS Mincho" w:hAnsi="Arial" w:cs="Arial"/>
          <w:color w:val="FF0000"/>
        </w:rPr>
      </w:pPr>
      <w:r w:rsidRPr="00340370">
        <w:rPr>
          <w:rFonts w:ascii="Arial" w:eastAsia="MS Mincho" w:hAnsi="Arial" w:cs="Arial"/>
          <w:color w:val="FF0000"/>
        </w:rPr>
        <w:t>[16]</w:t>
      </w:r>
      <w:r w:rsidRPr="00340370">
        <w:rPr>
          <w:rFonts w:ascii="Arial" w:eastAsia="MS Mincho" w:hAnsi="Arial" w:cs="Arial"/>
          <w:color w:val="FF0000"/>
        </w:rPr>
        <w:tab/>
      </w:r>
      <w:r w:rsidR="008B06B1" w:rsidRPr="00340370">
        <w:rPr>
          <w:rFonts w:ascii="Arial" w:eastAsia="MS Mincho" w:hAnsi="Arial" w:cs="Arial"/>
          <w:color w:val="FF0000"/>
        </w:rPr>
        <w:t xml:space="preserve">Mananga M., Kana-Sop M. M., *, Nolla </w:t>
      </w:r>
      <w:r w:rsidR="00D71B0D" w:rsidRPr="00340370">
        <w:rPr>
          <w:rFonts w:ascii="Arial" w:eastAsia="MS Mincho" w:hAnsi="Arial" w:cs="Arial"/>
          <w:color w:val="FF0000"/>
        </w:rPr>
        <w:t>N. P</w:t>
      </w:r>
      <w:r w:rsidR="008B06B1" w:rsidRPr="00340370">
        <w:rPr>
          <w:rFonts w:ascii="Arial" w:eastAsia="MS Mincho" w:hAnsi="Arial" w:cs="Arial"/>
          <w:color w:val="FF0000"/>
        </w:rPr>
        <w:t xml:space="preserve">, </w:t>
      </w:r>
      <w:proofErr w:type="spellStart"/>
      <w:r w:rsidR="008B06B1" w:rsidRPr="00340370">
        <w:rPr>
          <w:rFonts w:ascii="Arial" w:eastAsia="MS Mincho" w:hAnsi="Arial" w:cs="Arial"/>
          <w:color w:val="FF0000"/>
        </w:rPr>
        <w:t>Ekoe</w:t>
      </w:r>
      <w:proofErr w:type="spellEnd"/>
      <w:r w:rsidR="008B06B1" w:rsidRPr="00340370">
        <w:rPr>
          <w:rFonts w:ascii="Arial" w:eastAsia="MS Mincho" w:hAnsi="Arial" w:cs="Arial"/>
          <w:color w:val="FF0000"/>
        </w:rPr>
        <w:t xml:space="preserve"> T., </w:t>
      </w:r>
      <w:proofErr w:type="spellStart"/>
      <w:r w:rsidR="008B06B1" w:rsidRPr="00340370">
        <w:rPr>
          <w:rFonts w:ascii="Arial" w:eastAsia="MS Mincho" w:hAnsi="Arial" w:cs="Arial"/>
          <w:color w:val="FF0000"/>
        </w:rPr>
        <w:t>Gouado</w:t>
      </w:r>
      <w:proofErr w:type="spellEnd"/>
      <w:r w:rsidR="008B06B1" w:rsidRPr="00340370">
        <w:rPr>
          <w:rFonts w:ascii="Arial" w:eastAsia="MS Mincho" w:hAnsi="Arial" w:cs="Arial"/>
          <w:color w:val="FF0000"/>
        </w:rPr>
        <w:t xml:space="preserve"> I. G., (2014) Feeding Practices, Food and Nutrition Insecurity of infants and their </w:t>
      </w:r>
      <w:r w:rsidR="00D71B0D" w:rsidRPr="00340370">
        <w:rPr>
          <w:rFonts w:ascii="Arial" w:eastAsia="MS Mincho" w:hAnsi="Arial" w:cs="Arial"/>
          <w:color w:val="FF0000"/>
        </w:rPr>
        <w:t>mothers</w:t>
      </w:r>
      <w:r w:rsidR="008B06B1" w:rsidRPr="00340370">
        <w:rPr>
          <w:rFonts w:ascii="Arial" w:eastAsia="MS Mincho" w:hAnsi="Arial" w:cs="Arial"/>
          <w:color w:val="FF0000"/>
        </w:rPr>
        <w:t xml:space="preserve"> in </w:t>
      </w:r>
      <w:proofErr w:type="spellStart"/>
      <w:r w:rsidR="008B06B1" w:rsidRPr="00340370">
        <w:rPr>
          <w:rFonts w:ascii="Arial" w:eastAsia="MS Mincho" w:hAnsi="Arial" w:cs="Arial"/>
          <w:color w:val="FF0000"/>
        </w:rPr>
        <w:t>Bangang</w:t>
      </w:r>
      <w:proofErr w:type="spellEnd"/>
      <w:r w:rsidR="008B06B1" w:rsidRPr="00340370">
        <w:rPr>
          <w:rFonts w:ascii="Arial" w:eastAsia="MS Mincho" w:hAnsi="Arial" w:cs="Arial"/>
          <w:color w:val="FF0000"/>
        </w:rPr>
        <w:t xml:space="preserve"> Rural Community, Cameroon Journal of Nutrition &amp; Food Sciences Volume 4 • Issue 2 • 1000264 DOI: 10.4172/2155-9600.1000264</w:t>
      </w:r>
      <w:r w:rsidRPr="00340370">
        <w:rPr>
          <w:rFonts w:ascii="Arial" w:eastAsia="MS Mincho" w:hAnsi="Arial" w:cs="Arial"/>
          <w:color w:val="FF0000"/>
        </w:rPr>
        <w:t>.</w:t>
      </w:r>
    </w:p>
    <w:p w14:paraId="50960440" w14:textId="50AF58A8" w:rsidR="002E1FDB" w:rsidRPr="002E1FDB" w:rsidRDefault="009A709A" w:rsidP="002E1FDB">
      <w:pPr>
        <w:spacing w:after="200"/>
        <w:ind w:left="720" w:hanging="720"/>
        <w:jc w:val="both"/>
        <w:rPr>
          <w:rFonts w:ascii="Arial" w:eastAsia="MS Mincho" w:hAnsi="Arial" w:cs="Arial"/>
          <w:color w:val="FF0000"/>
        </w:rPr>
      </w:pPr>
      <w:r w:rsidRPr="00340370">
        <w:rPr>
          <w:rFonts w:ascii="Arial" w:eastAsia="MS Mincho" w:hAnsi="Arial" w:cs="Arial"/>
          <w:color w:val="FF0000"/>
        </w:rPr>
        <w:t>[17]</w:t>
      </w:r>
      <w:r w:rsidRPr="00340370">
        <w:rPr>
          <w:rFonts w:ascii="Arial" w:eastAsia="MS Mincho" w:hAnsi="Arial" w:cs="Arial"/>
          <w:color w:val="FF0000"/>
        </w:rPr>
        <w:tab/>
      </w:r>
      <w:r w:rsidR="002E1FDB" w:rsidRPr="002E1FDB">
        <w:rPr>
          <w:rFonts w:ascii="Arial" w:eastAsia="MS Mincho" w:hAnsi="Arial" w:cs="Arial"/>
          <w:color w:val="FF0000"/>
        </w:rPr>
        <w:t xml:space="preserve">Titu. M., </w:t>
      </w:r>
      <w:proofErr w:type="spellStart"/>
      <w:r w:rsidR="002E1FDB" w:rsidRPr="002E1FDB">
        <w:rPr>
          <w:rFonts w:ascii="Arial" w:eastAsia="MS Mincho" w:hAnsi="Arial" w:cs="Arial"/>
          <w:color w:val="FF0000"/>
        </w:rPr>
        <w:t>Siysi</w:t>
      </w:r>
      <w:proofErr w:type="spellEnd"/>
      <w:r w:rsidR="002E1FDB" w:rsidRPr="002E1FDB">
        <w:rPr>
          <w:rFonts w:ascii="Arial" w:eastAsia="MS Mincho" w:hAnsi="Arial" w:cs="Arial"/>
          <w:color w:val="FF0000"/>
        </w:rPr>
        <w:t xml:space="preserve"> V. V, </w:t>
      </w:r>
      <w:proofErr w:type="spellStart"/>
      <w:r w:rsidR="002E1FDB" w:rsidRPr="002E1FDB">
        <w:rPr>
          <w:rFonts w:ascii="Arial" w:eastAsia="MS Mincho" w:hAnsi="Arial" w:cs="Arial"/>
          <w:color w:val="FF0000"/>
        </w:rPr>
        <w:t>Obinchemti</w:t>
      </w:r>
      <w:proofErr w:type="spellEnd"/>
      <w:r w:rsidR="002E1FDB" w:rsidRPr="002E1FDB">
        <w:rPr>
          <w:rFonts w:ascii="Arial" w:eastAsia="MS Mincho" w:hAnsi="Arial" w:cs="Arial"/>
          <w:color w:val="FF0000"/>
        </w:rPr>
        <w:t xml:space="preserve"> T. E., Shey </w:t>
      </w:r>
      <w:proofErr w:type="spellStart"/>
      <w:r w:rsidR="002E1FDB" w:rsidRPr="002E1FDB">
        <w:rPr>
          <w:rFonts w:ascii="Arial" w:eastAsia="MS Mincho" w:hAnsi="Arial" w:cs="Arial"/>
          <w:color w:val="FF0000"/>
        </w:rPr>
        <w:t>Nsagha</w:t>
      </w:r>
      <w:proofErr w:type="spellEnd"/>
      <w:r w:rsidR="002E1FDB" w:rsidRPr="002E1FDB">
        <w:rPr>
          <w:rFonts w:ascii="Arial" w:eastAsia="MS Mincho" w:hAnsi="Arial" w:cs="Arial"/>
          <w:color w:val="FF0000"/>
        </w:rPr>
        <w:t xml:space="preserve"> D Undernutrition among under-five indigenous </w:t>
      </w:r>
      <w:proofErr w:type="spellStart"/>
      <w:r w:rsidR="002E1FDB" w:rsidRPr="002E1FDB">
        <w:rPr>
          <w:rFonts w:ascii="Arial" w:eastAsia="MS Mincho" w:hAnsi="Arial" w:cs="Arial"/>
          <w:color w:val="FF0000"/>
        </w:rPr>
        <w:t>Mbororo</w:t>
      </w:r>
      <w:proofErr w:type="spellEnd"/>
      <w:r w:rsidR="002E1FDB" w:rsidRPr="002E1FDB">
        <w:rPr>
          <w:rFonts w:ascii="Arial" w:eastAsia="MS Mincho" w:hAnsi="Arial" w:cs="Arial"/>
          <w:color w:val="FF0000"/>
        </w:rPr>
        <w:t xml:space="preserve"> children in the </w:t>
      </w:r>
      <w:proofErr w:type="spellStart"/>
      <w:r w:rsidR="002E1FDB" w:rsidRPr="002E1FDB">
        <w:rPr>
          <w:rFonts w:ascii="Arial" w:eastAsia="MS Mincho" w:hAnsi="Arial" w:cs="Arial"/>
          <w:color w:val="FF0000"/>
        </w:rPr>
        <w:t>Foumban</w:t>
      </w:r>
      <w:proofErr w:type="spellEnd"/>
      <w:r w:rsidR="002E1FDB" w:rsidRPr="002E1FDB">
        <w:rPr>
          <w:rFonts w:ascii="Arial" w:eastAsia="MS Mincho" w:hAnsi="Arial" w:cs="Arial"/>
          <w:color w:val="FF0000"/>
        </w:rPr>
        <w:t xml:space="preserve"> and Galim health districts of Cameroon: a cross-sectional study. Pan African Medical Journal.</w:t>
      </w:r>
      <w:r w:rsidR="002E1FDB" w:rsidRPr="00340370">
        <w:rPr>
          <w:rFonts w:ascii="Arial" w:eastAsia="MS Mincho" w:hAnsi="Arial" w:cs="Arial"/>
          <w:color w:val="FF0000"/>
        </w:rPr>
        <w:t xml:space="preserve"> </w:t>
      </w:r>
      <w:r w:rsidR="002E1FDB" w:rsidRPr="002E1FDB">
        <w:rPr>
          <w:rFonts w:ascii="Arial" w:eastAsia="MS Mincho" w:hAnsi="Arial" w:cs="Arial"/>
          <w:color w:val="FF0000"/>
        </w:rPr>
        <w:t xml:space="preserve">2021;38(352).10.11604/pamj.2021.38.352.25030. Available online </w:t>
      </w:r>
      <w:r w:rsidR="00540FA4" w:rsidRPr="00340370">
        <w:rPr>
          <w:rFonts w:ascii="Arial" w:eastAsia="MS Mincho" w:hAnsi="Arial" w:cs="Arial"/>
          <w:color w:val="FF0000"/>
        </w:rPr>
        <w:t>at: https://www.panafrican-medjournal.com//content/article/38/352/full</w:t>
      </w:r>
    </w:p>
    <w:p w14:paraId="72B8B916" w14:textId="71E90B9B" w:rsidR="00540FA4" w:rsidRPr="00340370" w:rsidRDefault="009A709A" w:rsidP="00540FA4">
      <w:pPr>
        <w:spacing w:after="200"/>
        <w:ind w:left="720" w:hanging="720"/>
        <w:jc w:val="both"/>
        <w:rPr>
          <w:rFonts w:ascii="Arial" w:eastAsia="MS Mincho" w:hAnsi="Arial" w:cs="Arial"/>
          <w:color w:val="FF0000"/>
        </w:rPr>
      </w:pPr>
      <w:r w:rsidRPr="00340370">
        <w:rPr>
          <w:rFonts w:ascii="Arial" w:eastAsia="MS Mincho" w:hAnsi="Arial" w:cs="Arial"/>
          <w:color w:val="FF0000"/>
        </w:rPr>
        <w:t>[18]</w:t>
      </w:r>
      <w:r w:rsidRPr="00340370">
        <w:rPr>
          <w:rFonts w:ascii="Arial" w:eastAsia="MS Mincho" w:hAnsi="Arial" w:cs="Arial"/>
          <w:color w:val="FF0000"/>
        </w:rPr>
        <w:tab/>
      </w:r>
      <w:proofErr w:type="spellStart"/>
      <w:r w:rsidR="00540FA4" w:rsidRPr="00340370">
        <w:rPr>
          <w:rFonts w:ascii="Arial" w:eastAsia="MS Mincho" w:hAnsi="Arial" w:cs="Arial"/>
          <w:color w:val="FF0000"/>
        </w:rPr>
        <w:t>Folefac</w:t>
      </w:r>
      <w:proofErr w:type="spellEnd"/>
      <w:r w:rsidR="00540FA4" w:rsidRPr="00340370">
        <w:rPr>
          <w:rFonts w:ascii="Arial" w:eastAsia="MS Mincho" w:hAnsi="Arial" w:cs="Arial"/>
          <w:color w:val="FF0000"/>
        </w:rPr>
        <w:t xml:space="preserve">, H. C. (2024). The Impact of the Anglophone Conflict on Youth’s Education, Health and Nation Building in Cameroon from 2017 to 2023. Open Journal of Social Sciences, 12, 204-218. </w:t>
      </w:r>
      <w:proofErr w:type="spellStart"/>
      <w:r w:rsidR="00540FA4" w:rsidRPr="00340370">
        <w:rPr>
          <w:rFonts w:ascii="Arial" w:eastAsia="MS Mincho" w:hAnsi="Arial" w:cs="Arial"/>
          <w:color w:val="FF0000"/>
        </w:rPr>
        <w:t>doi</w:t>
      </w:r>
      <w:proofErr w:type="spellEnd"/>
      <w:r w:rsidR="00540FA4" w:rsidRPr="00340370">
        <w:rPr>
          <w:rFonts w:ascii="Arial" w:eastAsia="MS Mincho" w:hAnsi="Arial" w:cs="Arial"/>
          <w:color w:val="FF0000"/>
        </w:rPr>
        <w:t>: 10.4236/jss.2024.1211014.</w:t>
      </w:r>
    </w:p>
    <w:p w14:paraId="6ABF8D86" w14:textId="77777777" w:rsidR="009A709A" w:rsidRPr="00D71B0D" w:rsidRDefault="009A709A" w:rsidP="008960B4">
      <w:pPr>
        <w:spacing w:after="200"/>
        <w:ind w:left="720" w:hanging="720"/>
        <w:jc w:val="both"/>
        <w:rPr>
          <w:rFonts w:ascii="Arial" w:eastAsia="MS Mincho" w:hAnsi="Arial" w:cs="Arial"/>
        </w:rPr>
      </w:pPr>
      <w:r w:rsidRPr="00D71B0D">
        <w:rPr>
          <w:rFonts w:ascii="Arial" w:eastAsia="MS Mincho" w:hAnsi="Arial" w:cs="Arial"/>
        </w:rPr>
        <w:t>[19]</w:t>
      </w:r>
      <w:r w:rsidRPr="00D71B0D">
        <w:rPr>
          <w:rFonts w:ascii="Arial" w:eastAsia="MS Mincho" w:hAnsi="Arial" w:cs="Arial"/>
        </w:rPr>
        <w:tab/>
      </w:r>
      <w:r w:rsidRPr="00D71B0D">
        <w:rPr>
          <w:rFonts w:ascii="Arial" w:eastAsia="MS Mincho" w:hAnsi="Arial" w:cs="Arial"/>
          <w:shd w:val="clear" w:color="auto" w:fill="FFFFFF"/>
        </w:rPr>
        <w:t>Cochran, W.G. 1977. </w:t>
      </w:r>
      <w:r w:rsidRPr="00D71B0D">
        <w:rPr>
          <w:rFonts w:ascii="Arial" w:eastAsia="MS Mincho" w:hAnsi="Arial" w:cs="Arial"/>
          <w:i/>
          <w:iCs/>
          <w:shd w:val="clear" w:color="auto" w:fill="FFFFFF"/>
        </w:rPr>
        <w:t>Sampling Techniques</w:t>
      </w:r>
      <w:r w:rsidRPr="00D71B0D">
        <w:rPr>
          <w:rFonts w:ascii="Arial" w:eastAsia="MS Mincho" w:hAnsi="Arial" w:cs="Arial"/>
          <w:shd w:val="clear" w:color="auto" w:fill="FFFFFF"/>
        </w:rPr>
        <w:t>. 3rd ed. New York: John Wiley &amp; Sons.</w:t>
      </w:r>
    </w:p>
    <w:p w14:paraId="4F14BDBD" w14:textId="75F0BD8A" w:rsidR="009A709A" w:rsidRPr="00D71B0D" w:rsidRDefault="009A709A" w:rsidP="008960B4">
      <w:pPr>
        <w:spacing w:after="200"/>
        <w:ind w:left="720" w:hanging="720"/>
        <w:jc w:val="both"/>
        <w:rPr>
          <w:rFonts w:ascii="Arial" w:hAnsi="Arial" w:cs="Arial"/>
          <w:sz w:val="24"/>
          <w:szCs w:val="24"/>
        </w:rPr>
      </w:pPr>
      <w:r w:rsidRPr="00D71B0D">
        <w:rPr>
          <w:rFonts w:ascii="Arial" w:eastAsia="MS Mincho" w:hAnsi="Arial" w:cs="Arial"/>
        </w:rPr>
        <w:lastRenderedPageBreak/>
        <w:t>[20]</w:t>
      </w:r>
      <w:r w:rsidRPr="00D71B0D">
        <w:rPr>
          <w:rFonts w:ascii="Arial" w:eastAsia="MS Mincho" w:hAnsi="Arial" w:cs="Arial"/>
        </w:rPr>
        <w:tab/>
      </w:r>
      <w:r w:rsidRPr="00D71B0D">
        <w:rPr>
          <w:rFonts w:ascii="Arial" w:hAnsi="Arial" w:cs="Arial"/>
        </w:rPr>
        <w:t>Gundersen, C., &amp; Ziliak, J. P. (2015). Food insecurity and health outcomes; Health Affairs, 34(11), 1830-1839.</w:t>
      </w:r>
    </w:p>
    <w:p w14:paraId="3D419A6B" w14:textId="77777777" w:rsidR="00A73C80" w:rsidRPr="00D71B0D" w:rsidRDefault="00A73C80" w:rsidP="008960B4">
      <w:pPr>
        <w:spacing w:after="200"/>
        <w:ind w:left="720" w:hanging="720"/>
        <w:jc w:val="both"/>
        <w:rPr>
          <w:rFonts w:ascii="Arial" w:hAnsi="Arial" w:cs="Arial"/>
          <w:sz w:val="24"/>
          <w:szCs w:val="24"/>
        </w:rPr>
      </w:pPr>
    </w:p>
    <w:p w14:paraId="4ACDC8AA" w14:textId="77777777" w:rsidR="00A73C80" w:rsidRPr="00D71B0D" w:rsidRDefault="00A73C80" w:rsidP="008960B4">
      <w:pPr>
        <w:spacing w:after="200"/>
        <w:ind w:left="720" w:hanging="720"/>
        <w:jc w:val="both"/>
        <w:rPr>
          <w:rFonts w:ascii="Arial" w:hAnsi="Arial" w:cs="Arial"/>
          <w:sz w:val="24"/>
          <w:szCs w:val="24"/>
        </w:rPr>
      </w:pPr>
    </w:p>
    <w:p w14:paraId="41B2314B" w14:textId="2B3CCE7E" w:rsidR="008B06B1" w:rsidRPr="00D71B0D" w:rsidRDefault="008B06B1">
      <w:pPr>
        <w:spacing w:after="200"/>
        <w:jc w:val="both"/>
        <w:rPr>
          <w:rFonts w:ascii="Arial" w:hAnsi="Arial" w:cs="Arial"/>
          <w:sz w:val="28"/>
          <w:szCs w:val="28"/>
          <w:shd w:val="clear" w:color="auto" w:fill="FFFFFF"/>
        </w:rPr>
      </w:pPr>
    </w:p>
    <w:sectPr w:rsidR="008B06B1" w:rsidRPr="00D71B0D" w:rsidSect="003A270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7526C" w14:textId="77777777" w:rsidR="00641F36" w:rsidRDefault="00641F36" w:rsidP="00C37E61">
      <w:r>
        <w:separator/>
      </w:r>
    </w:p>
  </w:endnote>
  <w:endnote w:type="continuationSeparator" w:id="0">
    <w:p w14:paraId="5EAD38B0" w14:textId="77777777" w:rsidR="00641F36" w:rsidRDefault="00641F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ED00" w14:textId="77777777" w:rsidR="003A2705" w:rsidRDefault="003A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216B" w14:textId="77777777" w:rsidR="003A2705" w:rsidRDefault="003A2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399E" w14:textId="77777777" w:rsidR="009E048A" w:rsidRDefault="009E048A">
    <w:pPr>
      <w:pStyle w:val="Footer"/>
      <w:rPr>
        <w:rFonts w:ascii="Arial" w:hAnsi="Arial" w:cs="Arial"/>
        <w:sz w:val="16"/>
      </w:rPr>
    </w:pPr>
  </w:p>
  <w:p w14:paraId="44F320F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E4470E8" w14:textId="77777777" w:rsidR="009E048A" w:rsidRDefault="009E048A">
    <w:pPr>
      <w:pStyle w:val="Footer"/>
      <w:rPr>
        <w:rFonts w:ascii="Arial" w:hAnsi="Arial" w:cs="Arial"/>
        <w:sz w:val="16"/>
      </w:rPr>
    </w:pPr>
  </w:p>
  <w:p w14:paraId="62AC519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1707" w14:textId="77777777" w:rsidR="00641F36" w:rsidRDefault="00641F36" w:rsidP="00C37E61">
      <w:r>
        <w:separator/>
      </w:r>
    </w:p>
  </w:footnote>
  <w:footnote w:type="continuationSeparator" w:id="0">
    <w:p w14:paraId="3E47B15C" w14:textId="77777777" w:rsidR="00641F36" w:rsidRDefault="00641F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BAA2" w14:textId="7C8AF53D" w:rsidR="003A2705" w:rsidRDefault="00000000">
    <w:pPr>
      <w:pStyle w:val="Header"/>
    </w:pPr>
    <w:r>
      <w:rPr>
        <w:noProof/>
      </w:rPr>
      <w:pict w14:anchorId="246CC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0D4C" w14:textId="3DEC18A2" w:rsidR="003A2705" w:rsidRDefault="00000000">
    <w:pPr>
      <w:pStyle w:val="Header"/>
    </w:pPr>
    <w:r>
      <w:rPr>
        <w:noProof/>
      </w:rPr>
      <w:pict w14:anchorId="52AF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688A" w14:textId="1EA0D289" w:rsidR="00296529" w:rsidRPr="00296529" w:rsidRDefault="00000000" w:rsidP="00296529">
    <w:pPr>
      <w:ind w:left="2160"/>
      <w:jc w:val="center"/>
      <w:rPr>
        <w:rFonts w:ascii="Times New Roman" w:eastAsia="Calibri" w:hAnsi="Times New Roman"/>
        <w:i/>
        <w:sz w:val="18"/>
        <w:szCs w:val="22"/>
      </w:rPr>
    </w:pPr>
    <w:r>
      <w:rPr>
        <w:noProof/>
      </w:rPr>
      <w:pict w14:anchorId="720AA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55E49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3D5F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986D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B00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B5CFC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5D504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F7B4D"/>
    <w:multiLevelType w:val="hybridMultilevel"/>
    <w:tmpl w:val="2B6E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B746EA"/>
    <w:multiLevelType w:val="hybridMultilevel"/>
    <w:tmpl w:val="40382F92"/>
    <w:lvl w:ilvl="0" w:tplc="AE9AEAB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413D94"/>
    <w:multiLevelType w:val="hybridMultilevel"/>
    <w:tmpl w:val="193A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54D8B"/>
    <w:multiLevelType w:val="hybridMultilevel"/>
    <w:tmpl w:val="3D6A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4E4908"/>
    <w:multiLevelType w:val="hybridMultilevel"/>
    <w:tmpl w:val="5AF8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5676DCA"/>
    <w:multiLevelType w:val="hybridMultilevel"/>
    <w:tmpl w:val="3AC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893488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6750521">
    <w:abstractNumId w:val="19"/>
  </w:num>
  <w:num w:numId="3" w16cid:durableId="1220247213">
    <w:abstractNumId w:val="29"/>
  </w:num>
  <w:num w:numId="4" w16cid:durableId="11464380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7512842">
    <w:abstractNumId w:val="8"/>
  </w:num>
  <w:num w:numId="6" w16cid:durableId="1742021890">
    <w:abstractNumId w:val="7"/>
  </w:num>
  <w:num w:numId="7" w16cid:durableId="365175679">
    <w:abstractNumId w:val="2"/>
  </w:num>
  <w:num w:numId="8" w16cid:durableId="1740403519">
    <w:abstractNumId w:val="14"/>
  </w:num>
  <w:num w:numId="9" w16cid:durableId="982463068">
    <w:abstractNumId w:val="31"/>
  </w:num>
  <w:num w:numId="10" w16cid:durableId="1897624442">
    <w:abstractNumId w:val="3"/>
  </w:num>
  <w:num w:numId="11" w16cid:durableId="1214196668">
    <w:abstractNumId w:val="24"/>
  </w:num>
  <w:num w:numId="12" w16cid:durableId="999309563">
    <w:abstractNumId w:val="4"/>
  </w:num>
  <w:num w:numId="13" w16cid:durableId="360932807">
    <w:abstractNumId w:val="22"/>
  </w:num>
  <w:num w:numId="14" w16cid:durableId="134179242">
    <w:abstractNumId w:val="10"/>
  </w:num>
  <w:num w:numId="15" w16cid:durableId="1269503895">
    <w:abstractNumId w:val="27"/>
  </w:num>
  <w:num w:numId="16" w16cid:durableId="1094477232">
    <w:abstractNumId w:val="6"/>
  </w:num>
  <w:num w:numId="17" w16cid:durableId="42097887">
    <w:abstractNumId w:val="28"/>
  </w:num>
  <w:num w:numId="18" w16cid:durableId="671417257">
    <w:abstractNumId w:val="16"/>
  </w:num>
  <w:num w:numId="19" w16cid:durableId="403841000">
    <w:abstractNumId w:val="34"/>
  </w:num>
  <w:num w:numId="20" w16cid:durableId="973679015">
    <w:abstractNumId w:val="13"/>
  </w:num>
  <w:num w:numId="21" w16cid:durableId="1404913000">
    <w:abstractNumId w:val="11"/>
  </w:num>
  <w:num w:numId="22" w16cid:durableId="385107026">
    <w:abstractNumId w:val="15"/>
  </w:num>
  <w:num w:numId="23" w16cid:durableId="1656061213">
    <w:abstractNumId w:val="25"/>
  </w:num>
  <w:num w:numId="24" w16cid:durableId="328221219">
    <w:abstractNumId w:val="32"/>
  </w:num>
  <w:num w:numId="25" w16cid:durableId="350573132">
    <w:abstractNumId w:val="5"/>
  </w:num>
  <w:num w:numId="26" w16cid:durableId="1036389656">
    <w:abstractNumId w:val="21"/>
  </w:num>
  <w:num w:numId="27" w16cid:durableId="1656182457">
    <w:abstractNumId w:val="26"/>
  </w:num>
  <w:num w:numId="28" w16cid:durableId="1016077535">
    <w:abstractNumId w:val="33"/>
  </w:num>
  <w:num w:numId="29" w16cid:durableId="337389142">
    <w:abstractNumId w:val="30"/>
  </w:num>
  <w:num w:numId="30" w16cid:durableId="902524597">
    <w:abstractNumId w:val="12"/>
  </w:num>
  <w:num w:numId="31" w16cid:durableId="172914626">
    <w:abstractNumId w:val="9"/>
  </w:num>
  <w:num w:numId="32" w16cid:durableId="1326738374">
    <w:abstractNumId w:val="20"/>
  </w:num>
  <w:num w:numId="33" w16cid:durableId="539974889">
    <w:abstractNumId w:val="23"/>
  </w:num>
  <w:num w:numId="34" w16cid:durableId="601183252">
    <w:abstractNumId w:val="17"/>
  </w:num>
  <w:num w:numId="35" w16cid:durableId="1283462944">
    <w:abstractNumId w:val="1"/>
  </w:num>
  <w:num w:numId="36" w16cid:durableId="1943954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3BA2"/>
    <w:rsid w:val="000A47FA"/>
    <w:rsid w:val="000A65D3"/>
    <w:rsid w:val="000B1E33"/>
    <w:rsid w:val="000D689F"/>
    <w:rsid w:val="000E7B7B"/>
    <w:rsid w:val="000E7D62"/>
    <w:rsid w:val="00103357"/>
    <w:rsid w:val="00123C9F"/>
    <w:rsid w:val="00126120"/>
    <w:rsid w:val="00126190"/>
    <w:rsid w:val="00130F17"/>
    <w:rsid w:val="001320BF"/>
    <w:rsid w:val="00163BC4"/>
    <w:rsid w:val="00191062"/>
    <w:rsid w:val="00192B72"/>
    <w:rsid w:val="001A222F"/>
    <w:rsid w:val="001A29D8"/>
    <w:rsid w:val="001A37B1"/>
    <w:rsid w:val="001A5CAA"/>
    <w:rsid w:val="001B0427"/>
    <w:rsid w:val="001D3A51"/>
    <w:rsid w:val="001E10D2"/>
    <w:rsid w:val="001E25B4"/>
    <w:rsid w:val="001E44FE"/>
    <w:rsid w:val="00200595"/>
    <w:rsid w:val="00204835"/>
    <w:rsid w:val="00213001"/>
    <w:rsid w:val="00231920"/>
    <w:rsid w:val="0023195C"/>
    <w:rsid w:val="0024282C"/>
    <w:rsid w:val="00245BE2"/>
    <w:rsid w:val="002460DC"/>
    <w:rsid w:val="00250985"/>
    <w:rsid w:val="002556F6"/>
    <w:rsid w:val="00283105"/>
    <w:rsid w:val="00284C4C"/>
    <w:rsid w:val="00287E68"/>
    <w:rsid w:val="00290D3F"/>
    <w:rsid w:val="00296529"/>
    <w:rsid w:val="002B27FB"/>
    <w:rsid w:val="002B685A"/>
    <w:rsid w:val="002C35AA"/>
    <w:rsid w:val="002C57D2"/>
    <w:rsid w:val="002D4606"/>
    <w:rsid w:val="002E0D56"/>
    <w:rsid w:val="002E1FDB"/>
    <w:rsid w:val="002F12BA"/>
    <w:rsid w:val="00315186"/>
    <w:rsid w:val="0033343E"/>
    <w:rsid w:val="00336D53"/>
    <w:rsid w:val="00340370"/>
    <w:rsid w:val="003512C2"/>
    <w:rsid w:val="00371FB6"/>
    <w:rsid w:val="003763C1"/>
    <w:rsid w:val="00376BBE"/>
    <w:rsid w:val="0039224F"/>
    <w:rsid w:val="003A2705"/>
    <w:rsid w:val="003A43A4"/>
    <w:rsid w:val="003A7E18"/>
    <w:rsid w:val="003B09CF"/>
    <w:rsid w:val="003C4C86"/>
    <w:rsid w:val="003C6258"/>
    <w:rsid w:val="003E2904"/>
    <w:rsid w:val="00401927"/>
    <w:rsid w:val="0040375A"/>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0FA4"/>
    <w:rsid w:val="00554FDA"/>
    <w:rsid w:val="00570BCE"/>
    <w:rsid w:val="005C784C"/>
    <w:rsid w:val="005D17F6"/>
    <w:rsid w:val="005E5539"/>
    <w:rsid w:val="00602BF5"/>
    <w:rsid w:val="00617FDD"/>
    <w:rsid w:val="00633614"/>
    <w:rsid w:val="00633F68"/>
    <w:rsid w:val="00636EB2"/>
    <w:rsid w:val="006375B8"/>
    <w:rsid w:val="00641F36"/>
    <w:rsid w:val="0065533E"/>
    <w:rsid w:val="0066510A"/>
    <w:rsid w:val="006655D6"/>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3D83"/>
    <w:rsid w:val="00765F14"/>
    <w:rsid w:val="0077749E"/>
    <w:rsid w:val="00790ADA"/>
    <w:rsid w:val="0079153F"/>
    <w:rsid w:val="007D2288"/>
    <w:rsid w:val="007E088F"/>
    <w:rsid w:val="007F7B32"/>
    <w:rsid w:val="00804BC2"/>
    <w:rsid w:val="0081431A"/>
    <w:rsid w:val="0083216F"/>
    <w:rsid w:val="00832905"/>
    <w:rsid w:val="00843FB5"/>
    <w:rsid w:val="00860000"/>
    <w:rsid w:val="00863BD3"/>
    <w:rsid w:val="008641ED"/>
    <w:rsid w:val="00864391"/>
    <w:rsid w:val="00866D66"/>
    <w:rsid w:val="008671C6"/>
    <w:rsid w:val="00875803"/>
    <w:rsid w:val="008960B4"/>
    <w:rsid w:val="008B06B1"/>
    <w:rsid w:val="008B273F"/>
    <w:rsid w:val="008B459E"/>
    <w:rsid w:val="008E13AE"/>
    <w:rsid w:val="008E1506"/>
    <w:rsid w:val="008E710C"/>
    <w:rsid w:val="008F1BFA"/>
    <w:rsid w:val="008F69D6"/>
    <w:rsid w:val="00902823"/>
    <w:rsid w:val="00915CA6"/>
    <w:rsid w:val="00927834"/>
    <w:rsid w:val="009500A6"/>
    <w:rsid w:val="00957C18"/>
    <w:rsid w:val="009659BA"/>
    <w:rsid w:val="00983040"/>
    <w:rsid w:val="009A709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BD8"/>
    <w:rsid w:val="00A73C80"/>
    <w:rsid w:val="00A93309"/>
    <w:rsid w:val="00A94063"/>
    <w:rsid w:val="00AA6219"/>
    <w:rsid w:val="00AA74E0"/>
    <w:rsid w:val="00AB703F"/>
    <w:rsid w:val="00AC6BB8"/>
    <w:rsid w:val="00AE008F"/>
    <w:rsid w:val="00B01FCD"/>
    <w:rsid w:val="00B14E77"/>
    <w:rsid w:val="00B1776C"/>
    <w:rsid w:val="00B458F5"/>
    <w:rsid w:val="00B52583"/>
    <w:rsid w:val="00B52896"/>
    <w:rsid w:val="00B66D7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94A"/>
    <w:rsid w:val="00C71A47"/>
    <w:rsid w:val="00C7464C"/>
    <w:rsid w:val="00C85588"/>
    <w:rsid w:val="00C8685F"/>
    <w:rsid w:val="00CD1ECC"/>
    <w:rsid w:val="00CD6755"/>
    <w:rsid w:val="00CD6856"/>
    <w:rsid w:val="00CE0089"/>
    <w:rsid w:val="00CE793C"/>
    <w:rsid w:val="00CF193C"/>
    <w:rsid w:val="00D114AF"/>
    <w:rsid w:val="00D173F1"/>
    <w:rsid w:val="00D56BF1"/>
    <w:rsid w:val="00D71B0D"/>
    <w:rsid w:val="00D7322B"/>
    <w:rsid w:val="00D74CB0"/>
    <w:rsid w:val="00D8295D"/>
    <w:rsid w:val="00D833F4"/>
    <w:rsid w:val="00D966A2"/>
    <w:rsid w:val="00DC2A65"/>
    <w:rsid w:val="00DE15F0"/>
    <w:rsid w:val="00DE5663"/>
    <w:rsid w:val="00DE78AA"/>
    <w:rsid w:val="00E053D0"/>
    <w:rsid w:val="00E15994"/>
    <w:rsid w:val="00E3114E"/>
    <w:rsid w:val="00E31A70"/>
    <w:rsid w:val="00E35B02"/>
    <w:rsid w:val="00E3659B"/>
    <w:rsid w:val="00E66496"/>
    <w:rsid w:val="00E66B35"/>
    <w:rsid w:val="00E66E10"/>
    <w:rsid w:val="00E769F6"/>
    <w:rsid w:val="00E8407C"/>
    <w:rsid w:val="00E84F3C"/>
    <w:rsid w:val="00EA012C"/>
    <w:rsid w:val="00EC6A55"/>
    <w:rsid w:val="00ED0288"/>
    <w:rsid w:val="00EE4575"/>
    <w:rsid w:val="00EE52CB"/>
    <w:rsid w:val="00EF581D"/>
    <w:rsid w:val="00EF7FD8"/>
    <w:rsid w:val="00F06F59"/>
    <w:rsid w:val="00F17988"/>
    <w:rsid w:val="00F469F0"/>
    <w:rsid w:val="00F53273"/>
    <w:rsid w:val="00F755E4"/>
    <w:rsid w:val="00F77D02"/>
    <w:rsid w:val="00FB3A86"/>
    <w:rsid w:val="00FD36C8"/>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56061"/>
  <w15:docId w15:val="{3A0932BA-8107-420E-9C86-F6601D18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A70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A709A"/>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9A709A"/>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4665814">
      <w:bodyDiv w:val="1"/>
      <w:marLeft w:val="0"/>
      <w:marRight w:val="0"/>
      <w:marTop w:val="0"/>
      <w:marBottom w:val="0"/>
      <w:divBdr>
        <w:top w:val="none" w:sz="0" w:space="0" w:color="auto"/>
        <w:left w:val="none" w:sz="0" w:space="0" w:color="auto"/>
        <w:bottom w:val="none" w:sz="0" w:space="0" w:color="auto"/>
        <w:right w:val="none" w:sz="0" w:space="0" w:color="auto"/>
      </w:divBdr>
      <w:divsChild>
        <w:div w:id="2090812682">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d-fms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4236/ojped.2020.10304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rp.org/journal/paperinforcitation?paperid=1027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CD1F-CF59-4962-A6A6-CD13B72A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1058</TotalTime>
  <Pages>9</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Fidelis Ebong</cp:lastModifiedBy>
  <cp:revision>15</cp:revision>
  <cp:lastPrinted>1999-07-06T11:00:00Z</cp:lastPrinted>
  <dcterms:created xsi:type="dcterms:W3CDTF">2025-04-20T01:16:00Z</dcterms:created>
  <dcterms:modified xsi:type="dcterms:W3CDTF">2025-04-20T19:27:00Z</dcterms:modified>
</cp:coreProperties>
</file>