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18553" w14:textId="27624694" w:rsidR="00090D07" w:rsidRDefault="0029242C" w:rsidP="00090D07">
      <w:pPr>
        <w:spacing w:after="0" w:line="360" w:lineRule="auto"/>
        <w:jc w:val="right"/>
        <w:rPr>
          <w:rFonts w:ascii="Arial" w:eastAsia="Calibri" w:hAnsi="Arial" w:cs="Arial"/>
          <w:b/>
          <w:bCs/>
          <w:kern w:val="0"/>
          <w:sz w:val="36"/>
          <w:szCs w:val="36"/>
          <w:lang w:val="en-US" w:bidi="ar-SA"/>
          <w14:ligatures w14:val="none"/>
        </w:rPr>
      </w:pPr>
      <w:r w:rsidRPr="0029242C">
        <w:rPr>
          <w:rFonts w:ascii="Arial" w:eastAsia="Calibri" w:hAnsi="Arial" w:cs="Arial"/>
          <w:b/>
          <w:bCs/>
          <w:kern w:val="0"/>
          <w:sz w:val="36"/>
          <w:szCs w:val="36"/>
          <w:lang w:val="en-US" w:bidi="ar-SA"/>
          <w14:ligatures w14:val="none"/>
        </w:rPr>
        <w:t xml:space="preserve">Exploring </w:t>
      </w:r>
      <w:r w:rsidR="008F68EA" w:rsidRPr="0029242C">
        <w:rPr>
          <w:rFonts w:ascii="Arial" w:eastAsia="Calibri" w:hAnsi="Arial" w:cs="Arial"/>
          <w:b/>
          <w:bCs/>
          <w:kern w:val="0"/>
          <w:sz w:val="36"/>
          <w:szCs w:val="36"/>
          <w:lang w:val="en-US" w:bidi="ar-SA"/>
          <w14:ligatures w14:val="none"/>
        </w:rPr>
        <w:t xml:space="preserve">the </w:t>
      </w:r>
      <w:r w:rsidRPr="0029242C">
        <w:rPr>
          <w:rFonts w:ascii="Arial" w:eastAsia="Calibri" w:hAnsi="Arial" w:cs="Arial"/>
          <w:b/>
          <w:bCs/>
          <w:kern w:val="0"/>
          <w:sz w:val="36"/>
          <w:szCs w:val="36"/>
          <w:lang w:val="en-US" w:bidi="ar-SA"/>
          <w14:ligatures w14:val="none"/>
        </w:rPr>
        <w:t xml:space="preserve">Relationship Between Bitter Gourd </w:t>
      </w:r>
      <w:r w:rsidRPr="009E2FA1">
        <w:rPr>
          <w:rFonts w:ascii="Arial" w:eastAsia="Calibri" w:hAnsi="Arial" w:cs="Arial"/>
          <w:b/>
          <w:bCs/>
          <w:i/>
          <w:iCs/>
          <w:kern w:val="0"/>
          <w:sz w:val="36"/>
          <w:szCs w:val="36"/>
          <w:highlight w:val="yellow"/>
          <w:lang w:val="en-US" w:bidi="ar-SA"/>
          <w14:ligatures w14:val="none"/>
        </w:rPr>
        <w:t xml:space="preserve">(Momordica </w:t>
      </w:r>
      <w:proofErr w:type="spellStart"/>
      <w:r w:rsidRPr="009E2FA1">
        <w:rPr>
          <w:rFonts w:ascii="Arial" w:eastAsia="Calibri" w:hAnsi="Arial" w:cs="Arial"/>
          <w:b/>
          <w:bCs/>
          <w:i/>
          <w:iCs/>
          <w:kern w:val="0"/>
          <w:sz w:val="36"/>
          <w:szCs w:val="36"/>
          <w:highlight w:val="yellow"/>
          <w:lang w:val="en-US" w:bidi="ar-SA"/>
          <w14:ligatures w14:val="none"/>
        </w:rPr>
        <w:t>Charantia</w:t>
      </w:r>
      <w:proofErr w:type="spellEnd"/>
      <w:r w:rsidRPr="009E2FA1">
        <w:rPr>
          <w:rFonts w:ascii="Arial" w:eastAsia="Calibri" w:hAnsi="Arial" w:cs="Arial"/>
          <w:b/>
          <w:bCs/>
          <w:i/>
          <w:iCs/>
          <w:kern w:val="0"/>
          <w:sz w:val="36"/>
          <w:szCs w:val="36"/>
          <w:highlight w:val="yellow"/>
          <w:lang w:val="en-US" w:bidi="ar-SA"/>
          <w14:ligatures w14:val="none"/>
        </w:rPr>
        <w:t>)</w:t>
      </w:r>
      <w:r w:rsidRPr="009E2FA1">
        <w:rPr>
          <w:rFonts w:ascii="Arial" w:eastAsia="Calibri" w:hAnsi="Arial" w:cs="Arial"/>
          <w:b/>
          <w:bCs/>
          <w:kern w:val="0"/>
          <w:sz w:val="36"/>
          <w:szCs w:val="36"/>
          <w:lang w:val="en-US" w:bidi="ar-SA"/>
          <w14:ligatures w14:val="none"/>
        </w:rPr>
        <w:t xml:space="preserve"> </w:t>
      </w:r>
      <w:r w:rsidRPr="0029242C">
        <w:rPr>
          <w:rFonts w:ascii="Arial" w:eastAsia="Calibri" w:hAnsi="Arial" w:cs="Arial"/>
          <w:b/>
          <w:bCs/>
          <w:kern w:val="0"/>
          <w:sz w:val="36"/>
          <w:szCs w:val="36"/>
          <w:lang w:val="en-US" w:bidi="ar-SA"/>
          <w14:ligatures w14:val="none"/>
        </w:rPr>
        <w:t xml:space="preserve">Consumption </w:t>
      </w:r>
      <w:r w:rsidR="008F68EA" w:rsidRPr="0029242C">
        <w:rPr>
          <w:rFonts w:ascii="Arial" w:eastAsia="Calibri" w:hAnsi="Arial" w:cs="Arial"/>
          <w:b/>
          <w:bCs/>
          <w:kern w:val="0"/>
          <w:sz w:val="36"/>
          <w:szCs w:val="36"/>
          <w:lang w:val="en-US" w:bidi="ar-SA"/>
          <w14:ligatures w14:val="none"/>
        </w:rPr>
        <w:t xml:space="preserve">and </w:t>
      </w:r>
      <w:r w:rsidR="00D14820" w:rsidRPr="00D14820">
        <w:rPr>
          <w:rFonts w:ascii="Arial" w:eastAsia="Calibri" w:hAnsi="Arial" w:cs="Arial"/>
          <w:b/>
          <w:bCs/>
          <w:kern w:val="0"/>
          <w:sz w:val="36"/>
          <w:szCs w:val="36"/>
          <w:lang w:val="en-US" w:bidi="ar-SA"/>
          <w14:ligatures w14:val="none"/>
        </w:rPr>
        <w:t>Glycated Hemoglobin</w:t>
      </w:r>
      <w:r w:rsidR="00D14820">
        <w:rPr>
          <w:rFonts w:ascii="Arial" w:eastAsia="Calibri" w:hAnsi="Arial" w:cs="Arial"/>
          <w:b/>
          <w:bCs/>
          <w:kern w:val="0"/>
          <w:sz w:val="36"/>
          <w:szCs w:val="36"/>
          <w:lang w:val="en-US" w:bidi="ar-SA"/>
          <w14:ligatures w14:val="none"/>
        </w:rPr>
        <w:t xml:space="preserve"> (</w:t>
      </w:r>
      <w:r w:rsidRPr="0029242C">
        <w:rPr>
          <w:rFonts w:ascii="Arial" w:eastAsia="Calibri" w:hAnsi="Arial" w:cs="Arial"/>
          <w:b/>
          <w:bCs/>
          <w:kern w:val="0"/>
          <w:sz w:val="36"/>
          <w:szCs w:val="36"/>
          <w:lang w:val="en-US" w:bidi="ar-SA"/>
          <w14:ligatures w14:val="none"/>
        </w:rPr>
        <w:t>Hb</w:t>
      </w:r>
      <w:r w:rsidR="0060060B" w:rsidRPr="0029242C">
        <w:rPr>
          <w:rFonts w:ascii="Arial" w:eastAsia="Calibri" w:hAnsi="Arial" w:cs="Arial"/>
          <w:b/>
          <w:bCs/>
          <w:kern w:val="0"/>
          <w:sz w:val="36"/>
          <w:szCs w:val="36"/>
          <w:lang w:val="en-US" w:bidi="ar-SA"/>
          <w14:ligatures w14:val="none"/>
        </w:rPr>
        <w:t>A</w:t>
      </w:r>
      <w:r w:rsidRPr="0029242C">
        <w:rPr>
          <w:rFonts w:ascii="Arial" w:eastAsia="Calibri" w:hAnsi="Arial" w:cs="Arial"/>
          <w:b/>
          <w:bCs/>
          <w:kern w:val="0"/>
          <w:sz w:val="36"/>
          <w:szCs w:val="36"/>
          <w:lang w:val="en-US" w:bidi="ar-SA"/>
          <w14:ligatures w14:val="none"/>
        </w:rPr>
        <w:t>1c</w:t>
      </w:r>
      <w:r w:rsidR="00D14820">
        <w:rPr>
          <w:rFonts w:ascii="Arial" w:eastAsia="Calibri" w:hAnsi="Arial" w:cs="Arial"/>
          <w:b/>
          <w:bCs/>
          <w:kern w:val="0"/>
          <w:sz w:val="36"/>
          <w:szCs w:val="36"/>
          <w:lang w:val="en-US" w:bidi="ar-SA"/>
          <w14:ligatures w14:val="none"/>
        </w:rPr>
        <w:t>)</w:t>
      </w:r>
      <w:r w:rsidRPr="0029242C">
        <w:rPr>
          <w:rFonts w:ascii="Arial" w:eastAsia="Calibri" w:hAnsi="Arial" w:cs="Arial"/>
          <w:b/>
          <w:bCs/>
          <w:kern w:val="0"/>
          <w:sz w:val="36"/>
          <w:szCs w:val="36"/>
          <w:lang w:val="en-US" w:bidi="ar-SA"/>
          <w14:ligatures w14:val="none"/>
        </w:rPr>
        <w:t xml:space="preserve"> </w:t>
      </w:r>
      <w:r w:rsidR="004C3F9B" w:rsidRPr="0029242C">
        <w:rPr>
          <w:rFonts w:ascii="Arial" w:eastAsia="Calibri" w:hAnsi="Arial" w:cs="Arial"/>
          <w:b/>
          <w:bCs/>
          <w:kern w:val="0"/>
          <w:sz w:val="36"/>
          <w:szCs w:val="36"/>
          <w:lang w:val="en-US" w:bidi="ar-SA"/>
          <w14:ligatures w14:val="none"/>
        </w:rPr>
        <w:t xml:space="preserve">in </w:t>
      </w:r>
      <w:r w:rsidRPr="0029242C">
        <w:rPr>
          <w:rFonts w:ascii="Arial" w:eastAsia="Calibri" w:hAnsi="Arial" w:cs="Arial"/>
          <w:b/>
          <w:bCs/>
          <w:kern w:val="0"/>
          <w:sz w:val="36"/>
          <w:szCs w:val="36"/>
          <w:lang w:val="en-US" w:bidi="ar-SA"/>
          <w14:ligatures w14:val="none"/>
        </w:rPr>
        <w:t xml:space="preserve">Type 2 Diabetes </w:t>
      </w:r>
      <w:r w:rsidR="002501C2" w:rsidRPr="0029242C">
        <w:rPr>
          <w:rFonts w:ascii="Arial" w:eastAsia="Calibri" w:hAnsi="Arial" w:cs="Arial"/>
          <w:b/>
          <w:bCs/>
          <w:kern w:val="0"/>
          <w:sz w:val="36"/>
          <w:szCs w:val="36"/>
          <w:lang w:val="en-US" w:bidi="ar-SA"/>
          <w14:ligatures w14:val="none"/>
        </w:rPr>
        <w:t xml:space="preserve">and </w:t>
      </w:r>
      <w:r w:rsidRPr="0029242C">
        <w:rPr>
          <w:rFonts w:ascii="Arial" w:eastAsia="Calibri" w:hAnsi="Arial" w:cs="Arial"/>
          <w:b/>
          <w:bCs/>
          <w:kern w:val="0"/>
          <w:sz w:val="36"/>
          <w:szCs w:val="36"/>
          <w:lang w:val="en-US" w:bidi="ar-SA"/>
          <w14:ligatures w14:val="none"/>
        </w:rPr>
        <w:t>Diabetic Hypertension Comorbidity</w:t>
      </w:r>
    </w:p>
    <w:p w14:paraId="5FAE713F" w14:textId="77777777" w:rsidR="00090D07" w:rsidRDefault="00090D07" w:rsidP="00090D07">
      <w:pPr>
        <w:spacing w:after="0" w:line="360" w:lineRule="auto"/>
        <w:jc w:val="right"/>
        <w:rPr>
          <w:rFonts w:ascii="Arial" w:eastAsia="Calibri" w:hAnsi="Arial" w:cs="Arial"/>
          <w:b/>
          <w:bCs/>
          <w:sz w:val="28"/>
          <w:szCs w:val="28"/>
        </w:rPr>
      </w:pPr>
    </w:p>
    <w:p w14:paraId="51D5616D" w14:textId="77777777" w:rsidR="00306984" w:rsidRPr="0029242C" w:rsidRDefault="00306984" w:rsidP="00726A93">
      <w:pPr>
        <w:spacing w:after="0" w:line="360" w:lineRule="auto"/>
        <w:jc w:val="both"/>
        <w:rPr>
          <w:rFonts w:ascii="Arial" w:eastAsia="Calibri" w:hAnsi="Arial" w:cs="Arial"/>
          <w:b/>
          <w:bCs/>
          <w:kern w:val="0"/>
          <w:sz w:val="36"/>
          <w:szCs w:val="36"/>
          <w:lang w:val="en-US" w:bidi="ar-SA"/>
          <w14:ligatures w14:val="none"/>
        </w:rPr>
      </w:pPr>
    </w:p>
    <w:p w14:paraId="562522DF" w14:textId="77777777" w:rsidR="00037D6A" w:rsidRPr="00037593" w:rsidRDefault="00037D6A" w:rsidP="00037D6A">
      <w:pPr>
        <w:spacing w:after="0" w:line="360" w:lineRule="auto"/>
        <w:jc w:val="center"/>
        <w:rPr>
          <w:rFonts w:ascii="Times New Roman" w:eastAsia="Calibri" w:hAnsi="Times New Roman" w:cs="Times New Roman"/>
          <w:b/>
          <w:bCs/>
          <w:kern w:val="0"/>
          <w:szCs w:val="22"/>
          <w:lang w:val="en-US" w:bidi="ar-SA"/>
          <w14:ligatures w14:val="none"/>
        </w:rPr>
      </w:pPr>
    </w:p>
    <w:p w14:paraId="42B9A065" w14:textId="687D14F2" w:rsidR="0055636D" w:rsidRPr="00580361" w:rsidRDefault="00580361" w:rsidP="00037D6A">
      <w:pPr>
        <w:spacing w:after="0" w:line="276" w:lineRule="auto"/>
        <w:jc w:val="both"/>
        <w:rPr>
          <w:rFonts w:ascii="Arial" w:eastAsia="Calibri" w:hAnsi="Arial" w:cs="Arial"/>
          <w:b/>
          <w:bCs/>
          <w:kern w:val="0"/>
          <w:szCs w:val="22"/>
          <w:lang w:val="en-US" w:bidi="ar-SA"/>
          <w14:ligatures w14:val="none"/>
        </w:rPr>
      </w:pPr>
      <w:r w:rsidRPr="00580361">
        <w:rPr>
          <w:rFonts w:ascii="Arial" w:eastAsia="Calibri" w:hAnsi="Arial" w:cs="Arial"/>
          <w:b/>
          <w:bCs/>
          <w:kern w:val="0"/>
          <w:szCs w:val="22"/>
          <w:lang w:val="en-US" w:bidi="ar-SA"/>
          <w14:ligatures w14:val="none"/>
        </w:rPr>
        <w:t>ABSTRACT</w:t>
      </w:r>
    </w:p>
    <w:p w14:paraId="06814CA8" w14:textId="77777777" w:rsidR="0055636D" w:rsidRPr="00037593" w:rsidRDefault="0055636D"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193081FA" w14:textId="6C3D01DC" w:rsidR="00580361" w:rsidRPr="009E2FA1" w:rsidRDefault="00580361" w:rsidP="00037D6A">
      <w:pPr>
        <w:spacing w:after="0" w:line="276" w:lineRule="auto"/>
        <w:jc w:val="both"/>
        <w:rPr>
          <w:rFonts w:ascii="Arial" w:eastAsia="Calibri" w:hAnsi="Arial" w:cs="Arial"/>
          <w:kern w:val="0"/>
          <w:sz w:val="20"/>
          <w:lang w:val="en-US" w:bidi="ar-SA"/>
          <w14:ligatures w14:val="none"/>
        </w:rPr>
      </w:pPr>
      <w:r w:rsidRPr="009E2FA1">
        <w:rPr>
          <w:rFonts w:ascii="Arial" w:eastAsia="Calibri" w:hAnsi="Arial" w:cs="Arial"/>
          <w:b/>
          <w:bCs/>
          <w:kern w:val="0"/>
          <w:sz w:val="20"/>
          <w:lang w:val="en-US" w:bidi="ar-SA"/>
          <w14:ligatures w14:val="none"/>
        </w:rPr>
        <w:t>Aim:</w:t>
      </w:r>
      <w:r w:rsidRPr="009E2FA1">
        <w:rPr>
          <w:rFonts w:ascii="Arial" w:eastAsia="Calibri" w:hAnsi="Arial" w:cs="Arial"/>
          <w:kern w:val="0"/>
          <w:sz w:val="20"/>
          <w:lang w:val="en-US" w:bidi="ar-SA"/>
          <w14:ligatures w14:val="none"/>
        </w:rPr>
        <w:t xml:space="preserve"> </w:t>
      </w:r>
      <w:r w:rsidR="000446F3" w:rsidRPr="009E2FA1">
        <w:rPr>
          <w:rFonts w:ascii="Arial" w:eastAsia="Calibri" w:hAnsi="Arial" w:cs="Arial"/>
          <w:kern w:val="0"/>
          <w:sz w:val="20"/>
          <w:lang w:val="en-US" w:bidi="ar-SA"/>
          <w14:ligatures w14:val="none"/>
        </w:rPr>
        <w:t xml:space="preserve">The objective of this study was to examine the association between the frequency of bitter gourd consumption and </w:t>
      </w:r>
      <w:r w:rsidR="000446F3" w:rsidRPr="009E2FA1">
        <w:rPr>
          <w:rFonts w:ascii="Arial" w:eastAsia="Calibri" w:hAnsi="Arial" w:cs="Arial"/>
          <w:kern w:val="0"/>
          <w:sz w:val="20"/>
          <w:highlight w:val="yellow"/>
          <w:lang w:val="en-US" w:bidi="ar-SA"/>
          <w14:ligatures w14:val="none"/>
        </w:rPr>
        <w:t>HbA1c levels</w:t>
      </w:r>
      <w:r w:rsidR="0060060B" w:rsidRPr="009E2FA1">
        <w:rPr>
          <w:rFonts w:ascii="Arial" w:eastAsia="Calibri" w:hAnsi="Arial" w:cs="Arial"/>
          <w:kern w:val="0"/>
          <w:sz w:val="20"/>
          <w:highlight w:val="yellow"/>
          <w:lang w:val="en-US" w:bidi="ar-SA"/>
          <w14:ligatures w14:val="none"/>
        </w:rPr>
        <w:t xml:space="preserve"> (</w:t>
      </w:r>
      <w:r w:rsidR="00D14820" w:rsidRPr="009E2FA1">
        <w:rPr>
          <w:rFonts w:ascii="Arial" w:eastAsia="Calibri" w:hAnsi="Arial" w:cs="Arial"/>
          <w:kern w:val="0"/>
          <w:sz w:val="20"/>
          <w:highlight w:val="yellow"/>
          <w:lang w:val="en-US" w:bidi="ar-SA"/>
          <w14:ligatures w14:val="none"/>
        </w:rPr>
        <w:t>Glycated Hemoglobin</w:t>
      </w:r>
      <w:r w:rsidR="0060060B" w:rsidRPr="009E2FA1">
        <w:rPr>
          <w:rFonts w:ascii="Arial" w:eastAsia="Calibri" w:hAnsi="Arial" w:cs="Arial"/>
          <w:kern w:val="0"/>
          <w:sz w:val="20"/>
          <w:highlight w:val="yellow"/>
          <w:lang w:val="en-US" w:bidi="ar-SA"/>
          <w14:ligatures w14:val="none"/>
        </w:rPr>
        <w:t>)</w:t>
      </w:r>
      <w:r w:rsidR="000446F3" w:rsidRPr="009E2FA1">
        <w:rPr>
          <w:rFonts w:ascii="Arial" w:eastAsia="Calibri" w:hAnsi="Arial" w:cs="Arial"/>
          <w:kern w:val="0"/>
          <w:sz w:val="20"/>
          <w:lang w:val="en-US" w:bidi="ar-SA"/>
          <w14:ligatures w14:val="none"/>
        </w:rPr>
        <w:t xml:space="preserve"> among patients with T2DM and those with both T2DM and hypertension (T2DM*HTN). </w:t>
      </w:r>
    </w:p>
    <w:p w14:paraId="0CD07E14" w14:textId="2430347F" w:rsidR="009D4654" w:rsidRPr="009E2FA1" w:rsidRDefault="009D4654" w:rsidP="00037D6A">
      <w:pPr>
        <w:spacing w:after="0" w:line="276" w:lineRule="auto"/>
        <w:jc w:val="both"/>
        <w:rPr>
          <w:rFonts w:ascii="Arial" w:eastAsia="Calibri" w:hAnsi="Arial" w:cs="Arial"/>
          <w:kern w:val="0"/>
          <w:sz w:val="20"/>
          <w:lang w:val="en-US" w:bidi="ar-SA"/>
          <w14:ligatures w14:val="none"/>
        </w:rPr>
      </w:pPr>
      <w:r w:rsidRPr="009E2FA1">
        <w:rPr>
          <w:rFonts w:ascii="Arial" w:eastAsia="Calibri" w:hAnsi="Arial" w:cs="Arial"/>
          <w:b/>
          <w:bCs/>
          <w:kern w:val="0"/>
          <w:sz w:val="20"/>
          <w:lang w:val="en-US" w:bidi="ar-SA"/>
          <w14:ligatures w14:val="none"/>
        </w:rPr>
        <w:t>Background:</w:t>
      </w:r>
      <w:r w:rsidRPr="009E2FA1">
        <w:rPr>
          <w:rFonts w:ascii="Arial" w:eastAsia="Calibri" w:hAnsi="Arial" w:cs="Arial"/>
          <w:kern w:val="0"/>
          <w:sz w:val="20"/>
          <w:lang w:val="en-US" w:bidi="ar-SA"/>
          <w14:ligatures w14:val="none"/>
        </w:rPr>
        <w:t xml:space="preserve"> In India, approximately 72.9 million individuals suffer from diabetes, and 317 million experience </w:t>
      </w:r>
      <w:proofErr w:type="gramStart"/>
      <w:r w:rsidR="00D14820" w:rsidRPr="009E2FA1">
        <w:rPr>
          <w:rFonts w:ascii="Arial" w:eastAsia="Calibri" w:hAnsi="Arial" w:cs="Arial"/>
          <w:kern w:val="0"/>
          <w:sz w:val="20"/>
          <w:lang w:val="en-US" w:bidi="ar-SA"/>
          <w14:ligatures w14:val="none"/>
        </w:rPr>
        <w:t>hypertension</w:t>
      </w:r>
      <w:proofErr w:type="gramEnd"/>
      <w:r w:rsidRPr="009E2FA1">
        <w:rPr>
          <w:rFonts w:ascii="Arial" w:eastAsia="Calibri" w:hAnsi="Arial" w:cs="Arial"/>
          <w:kern w:val="0"/>
          <w:sz w:val="20"/>
          <w:lang w:val="en-US" w:bidi="ar-SA"/>
          <w14:ligatures w14:val="none"/>
        </w:rPr>
        <w:t xml:space="preserve">. Bitter gourd </w:t>
      </w:r>
      <w:r w:rsidRPr="009E2FA1">
        <w:rPr>
          <w:rFonts w:ascii="Arial" w:eastAsia="Calibri" w:hAnsi="Arial" w:cs="Arial"/>
          <w:kern w:val="0"/>
          <w:sz w:val="20"/>
          <w:highlight w:val="yellow"/>
          <w:lang w:val="en-US" w:bidi="ar-SA"/>
          <w14:ligatures w14:val="none"/>
        </w:rPr>
        <w:t>(</w:t>
      </w:r>
      <w:r w:rsidRPr="009E2FA1">
        <w:rPr>
          <w:rFonts w:ascii="Arial" w:eastAsia="Calibri" w:hAnsi="Arial" w:cs="Arial"/>
          <w:i/>
          <w:iCs/>
          <w:kern w:val="0"/>
          <w:sz w:val="20"/>
          <w:highlight w:val="yellow"/>
          <w:lang w:val="en-US" w:bidi="ar-SA"/>
          <w14:ligatures w14:val="none"/>
        </w:rPr>
        <w:t xml:space="preserve">Momordica </w:t>
      </w:r>
      <w:proofErr w:type="spellStart"/>
      <w:r w:rsidRPr="009E2FA1">
        <w:rPr>
          <w:rFonts w:ascii="Arial" w:eastAsia="Calibri" w:hAnsi="Arial" w:cs="Arial"/>
          <w:i/>
          <w:iCs/>
          <w:kern w:val="0"/>
          <w:sz w:val="20"/>
          <w:highlight w:val="yellow"/>
          <w:lang w:val="en-US" w:bidi="ar-SA"/>
          <w14:ligatures w14:val="none"/>
        </w:rPr>
        <w:t>Charantia</w:t>
      </w:r>
      <w:proofErr w:type="spellEnd"/>
      <w:r w:rsidRPr="009E2FA1">
        <w:rPr>
          <w:rFonts w:ascii="Arial" w:eastAsia="Calibri" w:hAnsi="Arial" w:cs="Arial"/>
          <w:kern w:val="0"/>
          <w:sz w:val="20"/>
          <w:highlight w:val="yellow"/>
          <w:lang w:val="en-US" w:bidi="ar-SA"/>
          <w14:ligatures w14:val="none"/>
        </w:rPr>
        <w:t>)</w:t>
      </w:r>
      <w:r w:rsidRPr="009E2FA1">
        <w:rPr>
          <w:rFonts w:ascii="Arial" w:eastAsia="Calibri" w:hAnsi="Arial" w:cs="Arial"/>
          <w:kern w:val="0"/>
          <w:sz w:val="20"/>
          <w:lang w:val="en-US" w:bidi="ar-SA"/>
          <w14:ligatures w14:val="none"/>
        </w:rPr>
        <w:t xml:space="preserve"> is traditionally used for the management of type 2 diabetes mellitus (T2DM). </w:t>
      </w:r>
      <w:r w:rsidR="005B322B" w:rsidRPr="009E2FA1">
        <w:rPr>
          <w:rFonts w:ascii="Arial" w:eastAsia="Calibri" w:hAnsi="Arial" w:cs="Arial"/>
          <w:kern w:val="0"/>
          <w:sz w:val="20"/>
          <w:highlight w:val="yellow"/>
          <w:lang w:bidi="ar-SA"/>
          <w14:ligatures w14:val="none"/>
        </w:rPr>
        <w:t xml:space="preserve">It </w:t>
      </w:r>
      <w:r w:rsidR="00191DA2" w:rsidRPr="009E2FA1">
        <w:rPr>
          <w:rFonts w:ascii="Arial" w:eastAsia="Calibri" w:hAnsi="Arial" w:cs="Arial"/>
          <w:kern w:val="0"/>
          <w:sz w:val="20"/>
          <w:highlight w:val="yellow"/>
          <w:lang w:bidi="ar-SA"/>
          <w14:ligatures w14:val="none"/>
        </w:rPr>
        <w:t xml:space="preserve">is rich in nutrients and bioactive compounds like </w:t>
      </w:r>
      <w:proofErr w:type="spellStart"/>
      <w:r w:rsidR="00191DA2" w:rsidRPr="009E2FA1">
        <w:rPr>
          <w:rFonts w:ascii="Arial" w:eastAsia="Calibri" w:hAnsi="Arial" w:cs="Arial"/>
          <w:kern w:val="0"/>
          <w:sz w:val="20"/>
          <w:highlight w:val="yellow"/>
          <w:lang w:bidi="ar-SA"/>
          <w14:ligatures w14:val="none"/>
        </w:rPr>
        <w:t>momordicin</w:t>
      </w:r>
      <w:proofErr w:type="spellEnd"/>
      <w:r w:rsidR="00191DA2" w:rsidRPr="009E2FA1">
        <w:rPr>
          <w:rFonts w:ascii="Arial" w:eastAsia="Calibri" w:hAnsi="Arial" w:cs="Arial"/>
          <w:kern w:val="0"/>
          <w:sz w:val="20"/>
          <w:highlight w:val="yellow"/>
          <w:lang w:bidi="ar-SA"/>
          <w14:ligatures w14:val="none"/>
        </w:rPr>
        <w:t xml:space="preserve"> I, II and cucurbitacin B, which have antidiabetic effects. Its ability to regulate cholesterol, reduce fat accumulation, and improve antioxidant status supports cardiovascular and </w:t>
      </w:r>
      <w:r w:rsidR="00BD7EFC" w:rsidRPr="009E2FA1">
        <w:rPr>
          <w:rFonts w:ascii="Arial" w:eastAsia="Calibri" w:hAnsi="Arial" w:cs="Arial"/>
          <w:kern w:val="0"/>
          <w:sz w:val="20"/>
          <w:highlight w:val="yellow"/>
          <w:lang w:bidi="ar-SA"/>
          <w14:ligatures w14:val="none"/>
        </w:rPr>
        <w:t>glycaemic</w:t>
      </w:r>
      <w:r w:rsidR="00191DA2" w:rsidRPr="009E2FA1">
        <w:rPr>
          <w:rFonts w:ascii="Arial" w:eastAsia="Calibri" w:hAnsi="Arial" w:cs="Arial"/>
          <w:kern w:val="0"/>
          <w:sz w:val="20"/>
          <w:highlight w:val="yellow"/>
          <w:lang w:bidi="ar-SA"/>
          <w14:ligatures w14:val="none"/>
        </w:rPr>
        <w:t xml:space="preserve"> health.</w:t>
      </w:r>
      <w:r w:rsidR="00191DA2" w:rsidRPr="009E2FA1">
        <w:rPr>
          <w:rFonts w:ascii="Arial" w:eastAsia="Calibri" w:hAnsi="Arial" w:cs="Arial"/>
          <w:kern w:val="0"/>
          <w:sz w:val="20"/>
          <w:lang w:bidi="ar-SA"/>
          <w14:ligatures w14:val="none"/>
        </w:rPr>
        <w:t xml:space="preserve"> </w:t>
      </w:r>
    </w:p>
    <w:p w14:paraId="784B51F3" w14:textId="4A4D1B84" w:rsidR="00580361" w:rsidRPr="009E2FA1" w:rsidRDefault="00D14820" w:rsidP="00037D6A">
      <w:pPr>
        <w:spacing w:after="0" w:line="276" w:lineRule="auto"/>
        <w:jc w:val="both"/>
        <w:rPr>
          <w:rFonts w:ascii="Arial" w:eastAsia="Calibri" w:hAnsi="Arial" w:cs="Arial"/>
          <w:kern w:val="0"/>
          <w:sz w:val="20"/>
          <w:lang w:val="en-US" w:bidi="ar-SA"/>
          <w14:ligatures w14:val="none"/>
        </w:rPr>
      </w:pPr>
      <w:r w:rsidRPr="009E2FA1">
        <w:rPr>
          <w:rFonts w:ascii="Arial" w:eastAsia="Calibri" w:hAnsi="Arial" w:cs="Arial"/>
          <w:b/>
          <w:sz w:val="20"/>
        </w:rPr>
        <w:t xml:space="preserve">Methodology: </w:t>
      </w:r>
      <w:r w:rsidR="000446F3" w:rsidRPr="009E2FA1">
        <w:rPr>
          <w:rFonts w:ascii="Arial" w:eastAsia="Calibri" w:hAnsi="Arial" w:cs="Arial"/>
          <w:kern w:val="0"/>
          <w:sz w:val="20"/>
          <w:lang w:val="en-US" w:bidi="ar-SA"/>
          <w14:ligatures w14:val="none"/>
        </w:rPr>
        <w:t xml:space="preserve">A hospital-based, cross-sectional descriptive study was conducted with 320 patients aged 20 years and older, who were diagnosed with T2DM and/or hypertension. The frequency of bitter gourd consumption was assessed using a formative scale, and statistical analysis was performed using Fisher’s exact test and Somers’ </w:t>
      </w:r>
      <w:r w:rsidR="000446F3" w:rsidRPr="009E2FA1">
        <w:rPr>
          <w:rFonts w:ascii="Arial" w:eastAsia="Calibri" w:hAnsi="Arial" w:cs="Arial"/>
          <w:i/>
          <w:iCs/>
          <w:kern w:val="0"/>
          <w:sz w:val="20"/>
          <w:lang w:val="en-US" w:bidi="ar-SA"/>
          <w14:ligatures w14:val="none"/>
        </w:rPr>
        <w:t>d</w:t>
      </w:r>
      <w:r w:rsidR="000446F3" w:rsidRPr="009E2FA1">
        <w:rPr>
          <w:rFonts w:ascii="Arial" w:eastAsia="Calibri" w:hAnsi="Arial" w:cs="Arial"/>
          <w:kern w:val="0"/>
          <w:sz w:val="20"/>
          <w:lang w:val="en-US" w:bidi="ar-SA"/>
          <w14:ligatures w14:val="none"/>
        </w:rPr>
        <w:t xml:space="preserve"> statistic to evaluate associations. </w:t>
      </w:r>
    </w:p>
    <w:p w14:paraId="419E0CDC" w14:textId="154B29C9" w:rsidR="00580361" w:rsidRPr="009E2FA1" w:rsidRDefault="00580361" w:rsidP="00037D6A">
      <w:pPr>
        <w:spacing w:after="0" w:line="276" w:lineRule="auto"/>
        <w:jc w:val="both"/>
        <w:rPr>
          <w:rFonts w:ascii="Arial" w:eastAsia="Calibri" w:hAnsi="Arial" w:cs="Arial"/>
          <w:kern w:val="0"/>
          <w:sz w:val="20"/>
          <w:lang w:val="en-US" w:bidi="ar-SA"/>
          <w14:ligatures w14:val="none"/>
        </w:rPr>
      </w:pPr>
      <w:r w:rsidRPr="009E2FA1">
        <w:rPr>
          <w:rFonts w:ascii="Arial" w:eastAsia="Calibri" w:hAnsi="Arial" w:cs="Arial"/>
          <w:b/>
          <w:bCs/>
          <w:kern w:val="0"/>
          <w:sz w:val="20"/>
          <w:lang w:val="en-US" w:bidi="ar-SA"/>
          <w14:ligatures w14:val="none"/>
        </w:rPr>
        <w:t>Results:</w:t>
      </w:r>
      <w:r w:rsidRPr="009E2FA1">
        <w:rPr>
          <w:rFonts w:ascii="Arial" w:eastAsia="Calibri" w:hAnsi="Arial" w:cs="Arial"/>
          <w:kern w:val="0"/>
          <w:sz w:val="20"/>
          <w:lang w:val="en-US" w:bidi="ar-SA"/>
          <w14:ligatures w14:val="none"/>
        </w:rPr>
        <w:t xml:space="preserve"> </w:t>
      </w:r>
      <w:r w:rsidR="00241150" w:rsidRPr="009E2FA1">
        <w:rPr>
          <w:rFonts w:ascii="Arial" w:eastAsia="Calibri" w:hAnsi="Arial" w:cs="Arial"/>
          <w:kern w:val="0"/>
          <w:sz w:val="20"/>
          <w:lang w:val="en-US" w:bidi="ar-SA"/>
          <w14:ligatures w14:val="none"/>
        </w:rPr>
        <w:t>Among the 320 patients, 31.3% had T2DM, 50.0% had HTN, and 19% showed co-prevalence of T2DM and HTN (T2DM*HTN</w:t>
      </w:r>
      <w:r w:rsidR="00395CA8" w:rsidRPr="009E2FA1">
        <w:rPr>
          <w:rFonts w:ascii="Arial" w:eastAsia="Calibri" w:hAnsi="Arial" w:cs="Arial"/>
          <w:kern w:val="0"/>
          <w:sz w:val="20"/>
          <w:lang w:val="en-US" w:bidi="ar-SA"/>
          <w14:ligatures w14:val="none"/>
        </w:rPr>
        <w:t>). The</w:t>
      </w:r>
      <w:r w:rsidR="000446F3" w:rsidRPr="009E2FA1">
        <w:rPr>
          <w:rFonts w:ascii="Arial" w:eastAsia="Calibri" w:hAnsi="Arial" w:cs="Arial"/>
          <w:kern w:val="0"/>
          <w:sz w:val="20"/>
          <w:lang w:val="en-US" w:bidi="ar-SA"/>
          <w14:ligatures w14:val="none"/>
        </w:rPr>
        <w:t xml:space="preserve"> mean age of participants was 47.6 ± 1.07 years for T2DM</w:t>
      </w:r>
      <w:r w:rsidR="00241150" w:rsidRPr="009E2FA1">
        <w:rPr>
          <w:rFonts w:ascii="Arial" w:eastAsia="Calibri" w:hAnsi="Arial" w:cs="Arial"/>
          <w:kern w:val="0"/>
          <w:sz w:val="20"/>
          <w:lang w:val="en-US" w:bidi="ar-SA"/>
          <w14:ligatures w14:val="none"/>
        </w:rPr>
        <w:t xml:space="preserve"> </w:t>
      </w:r>
      <w:r w:rsidR="000446F3" w:rsidRPr="009E2FA1">
        <w:rPr>
          <w:rFonts w:ascii="Arial" w:eastAsia="Calibri" w:hAnsi="Arial" w:cs="Arial"/>
          <w:kern w:val="0"/>
          <w:sz w:val="20"/>
          <w:lang w:val="en-US" w:bidi="ar-SA"/>
          <w14:ligatures w14:val="none"/>
        </w:rPr>
        <w:t xml:space="preserve">and 54.5 ± 1.1 years for T2DM*HTN. The mean HbA1c% levels were 8.6 ± 0.2% for T2DM and 8.2 ± 0.1% for T2DM*HTN. The mean systolic and diastolic blood pressures for T2DM*HTN patients were 136.5 ± 3.4 mmHg and 92.0 ± 2.6 mmHg, respectively. </w:t>
      </w:r>
      <w:r w:rsidR="001A56EA" w:rsidRPr="009E2FA1">
        <w:rPr>
          <w:rFonts w:ascii="Arial" w:eastAsia="Calibri" w:hAnsi="Arial" w:cs="Arial"/>
          <w:kern w:val="0"/>
          <w:sz w:val="20"/>
          <w:lang w:val="en-US" w:bidi="ar-SA"/>
          <w14:ligatures w14:val="none"/>
        </w:rPr>
        <w:t xml:space="preserve">The study identified a modest but significant negative association between bitter gourd consumption and </w:t>
      </w:r>
      <w:r w:rsidR="00BD7EFC" w:rsidRPr="009E2FA1">
        <w:rPr>
          <w:rFonts w:ascii="Arial" w:eastAsia="Calibri" w:hAnsi="Arial" w:cs="Arial"/>
          <w:kern w:val="0"/>
          <w:sz w:val="20"/>
          <w:lang w:val="en-US" w:bidi="ar-SA"/>
          <w14:ligatures w14:val="none"/>
        </w:rPr>
        <w:t>glycated hemoglobin levels (</w:t>
      </w:r>
      <w:r w:rsidR="001A56EA" w:rsidRPr="009E2FA1">
        <w:rPr>
          <w:rFonts w:ascii="Arial" w:eastAsia="Calibri" w:hAnsi="Arial" w:cs="Arial"/>
          <w:kern w:val="0"/>
          <w:sz w:val="20"/>
          <w:lang w:val="en-US" w:bidi="ar-SA"/>
          <w14:ligatures w14:val="none"/>
        </w:rPr>
        <w:t>HbA1c</w:t>
      </w:r>
      <w:r w:rsidR="00BD7EFC" w:rsidRPr="009E2FA1">
        <w:rPr>
          <w:rFonts w:ascii="Arial" w:eastAsia="Calibri" w:hAnsi="Arial" w:cs="Arial"/>
          <w:kern w:val="0"/>
          <w:sz w:val="20"/>
          <w:lang w:val="en-US" w:bidi="ar-SA"/>
          <w14:ligatures w14:val="none"/>
        </w:rPr>
        <w:t>)</w:t>
      </w:r>
      <w:r w:rsidR="001A56EA" w:rsidRPr="009E2FA1">
        <w:rPr>
          <w:rFonts w:ascii="Arial" w:eastAsia="Calibri" w:hAnsi="Arial" w:cs="Arial"/>
          <w:kern w:val="0"/>
          <w:sz w:val="20"/>
          <w:lang w:val="en-US" w:bidi="ar-SA"/>
          <w14:ligatures w14:val="none"/>
        </w:rPr>
        <w:t xml:space="preserve"> </w:t>
      </w:r>
      <w:r w:rsidR="008429A1" w:rsidRPr="009E2FA1">
        <w:rPr>
          <w:rFonts w:ascii="Arial" w:eastAsia="Calibri" w:hAnsi="Arial" w:cs="Arial"/>
          <w:kern w:val="0"/>
          <w:sz w:val="20"/>
          <w:lang w:val="en-US" w:bidi="ar-SA"/>
          <w14:ligatures w14:val="none"/>
        </w:rPr>
        <w:t>in</w:t>
      </w:r>
      <w:r w:rsidR="001A56EA" w:rsidRPr="009E2FA1">
        <w:rPr>
          <w:rFonts w:ascii="Arial" w:eastAsia="Calibri" w:hAnsi="Arial" w:cs="Arial"/>
          <w:kern w:val="0"/>
          <w:sz w:val="20"/>
          <w:lang w:val="en-US" w:bidi="ar-SA"/>
          <w14:ligatures w14:val="none"/>
        </w:rPr>
        <w:t xml:space="preserve"> patients</w:t>
      </w:r>
      <w:r w:rsidR="008429A1" w:rsidRPr="009E2FA1">
        <w:rPr>
          <w:rFonts w:ascii="Arial" w:eastAsia="Calibri" w:hAnsi="Arial" w:cs="Arial"/>
          <w:kern w:val="0"/>
          <w:sz w:val="20"/>
          <w:lang w:val="en-US" w:bidi="ar-SA"/>
          <w14:ligatures w14:val="none"/>
        </w:rPr>
        <w:t xml:space="preserve"> with only diabetes</w:t>
      </w:r>
      <w:r w:rsidR="001A56EA" w:rsidRPr="009E2FA1">
        <w:rPr>
          <w:rFonts w:ascii="Arial" w:eastAsia="Calibri" w:hAnsi="Arial" w:cs="Arial"/>
          <w:kern w:val="0"/>
          <w:sz w:val="20"/>
          <w:lang w:val="en-US" w:bidi="ar-SA"/>
          <w14:ligatures w14:val="none"/>
        </w:rPr>
        <w:t xml:space="preserve"> (</w:t>
      </w:r>
      <w:r w:rsidR="001A56EA" w:rsidRPr="009E2FA1">
        <w:rPr>
          <w:rFonts w:ascii="Arial" w:eastAsia="Calibri" w:hAnsi="Arial" w:cs="Arial"/>
          <w:i/>
          <w:iCs/>
          <w:kern w:val="0"/>
          <w:sz w:val="20"/>
          <w:lang w:val="en-US" w:bidi="ar-SA"/>
          <w14:ligatures w14:val="none"/>
        </w:rPr>
        <w:t>p</w:t>
      </w:r>
      <w:r w:rsidR="001A56EA" w:rsidRPr="009E2FA1">
        <w:rPr>
          <w:rFonts w:ascii="Arial" w:eastAsia="Calibri" w:hAnsi="Arial" w:cs="Arial"/>
          <w:kern w:val="0"/>
          <w:sz w:val="20"/>
          <w:lang w:val="en-US" w:bidi="ar-SA"/>
          <w14:ligatures w14:val="none"/>
        </w:rPr>
        <w:t xml:space="preserve"> &lt; 0.05) suggest</w:t>
      </w:r>
      <w:r w:rsidR="002D349F" w:rsidRPr="009E2FA1">
        <w:rPr>
          <w:rFonts w:ascii="Arial" w:eastAsia="Calibri" w:hAnsi="Arial" w:cs="Arial"/>
          <w:kern w:val="0"/>
          <w:sz w:val="20"/>
          <w:lang w:val="en-US" w:bidi="ar-SA"/>
          <w14:ligatures w14:val="none"/>
        </w:rPr>
        <w:t>s</w:t>
      </w:r>
      <w:r w:rsidR="001A56EA" w:rsidRPr="009E2FA1">
        <w:rPr>
          <w:rFonts w:ascii="Arial" w:eastAsia="Calibri" w:hAnsi="Arial" w:cs="Arial"/>
          <w:kern w:val="0"/>
          <w:sz w:val="20"/>
          <w:lang w:val="en-US" w:bidi="ar-SA"/>
          <w14:ligatures w14:val="none"/>
        </w:rPr>
        <w:t xml:space="preserve"> that frequent bitter gourd intake may contribute to a gradual reduction in glycemic levels. However, </w:t>
      </w:r>
      <w:r w:rsidR="00D14820" w:rsidRPr="009E2FA1">
        <w:rPr>
          <w:rFonts w:ascii="Arial" w:eastAsia="Calibri" w:hAnsi="Arial" w:cs="Arial"/>
          <w:kern w:val="0"/>
          <w:sz w:val="20"/>
          <w:lang w:val="en-US" w:bidi="ar-SA"/>
          <w14:ligatures w14:val="none"/>
        </w:rPr>
        <w:t>in</w:t>
      </w:r>
      <w:r w:rsidR="001A56EA" w:rsidRPr="009E2FA1">
        <w:rPr>
          <w:rFonts w:ascii="Arial" w:eastAsia="Calibri" w:hAnsi="Arial" w:cs="Arial"/>
          <w:kern w:val="0"/>
          <w:sz w:val="20"/>
          <w:lang w:val="en-US" w:bidi="ar-SA"/>
          <w14:ligatures w14:val="none"/>
        </w:rPr>
        <w:t xml:space="preserve"> diabetic hypertensive patients, no statistically significant association was</w:t>
      </w:r>
      <w:r w:rsidR="008429A1" w:rsidRPr="009E2FA1">
        <w:rPr>
          <w:rFonts w:ascii="Arial" w:eastAsia="Calibri" w:hAnsi="Arial" w:cs="Arial"/>
          <w:kern w:val="0"/>
          <w:sz w:val="20"/>
          <w:lang w:val="en-US" w:bidi="ar-SA"/>
          <w14:ligatures w14:val="none"/>
        </w:rPr>
        <w:t xml:space="preserve"> observed </w:t>
      </w:r>
      <w:r w:rsidR="001A56EA" w:rsidRPr="009E2FA1">
        <w:rPr>
          <w:rFonts w:ascii="Arial" w:eastAsia="Calibri" w:hAnsi="Arial" w:cs="Arial"/>
          <w:kern w:val="0"/>
          <w:sz w:val="20"/>
          <w:lang w:val="en-US" w:bidi="ar-SA"/>
          <w14:ligatures w14:val="none"/>
        </w:rPr>
        <w:t>(</w:t>
      </w:r>
      <w:r w:rsidR="001A56EA" w:rsidRPr="009E2FA1">
        <w:rPr>
          <w:rFonts w:ascii="Arial" w:eastAsia="Calibri" w:hAnsi="Arial" w:cs="Arial"/>
          <w:i/>
          <w:iCs/>
          <w:kern w:val="0"/>
          <w:sz w:val="20"/>
          <w:lang w:val="en-US" w:bidi="ar-SA"/>
          <w14:ligatures w14:val="none"/>
        </w:rPr>
        <w:t>p</w:t>
      </w:r>
      <w:r w:rsidR="001A56EA" w:rsidRPr="009E2FA1">
        <w:rPr>
          <w:rFonts w:ascii="Arial" w:eastAsia="Calibri" w:hAnsi="Arial" w:cs="Arial"/>
          <w:kern w:val="0"/>
          <w:sz w:val="20"/>
          <w:lang w:val="en-US" w:bidi="ar-SA"/>
          <w14:ligatures w14:val="none"/>
        </w:rPr>
        <w:t xml:space="preserve"> &gt; 0.05).</w:t>
      </w:r>
      <w:r w:rsidR="008429A1" w:rsidRPr="009E2FA1">
        <w:rPr>
          <w:rFonts w:ascii="Arial" w:eastAsia="Calibri" w:hAnsi="Arial" w:cs="Arial"/>
          <w:kern w:val="0"/>
          <w:sz w:val="20"/>
          <w:lang w:val="en-US" w:bidi="ar-SA"/>
          <w14:ligatures w14:val="none"/>
        </w:rPr>
        <w:t xml:space="preserve"> </w:t>
      </w:r>
    </w:p>
    <w:p w14:paraId="6A5A01CB" w14:textId="3E8D300C" w:rsidR="000446F3" w:rsidRPr="009E2FA1" w:rsidRDefault="00580361" w:rsidP="00037D6A">
      <w:pPr>
        <w:spacing w:after="0" w:line="276" w:lineRule="auto"/>
        <w:jc w:val="both"/>
        <w:rPr>
          <w:rFonts w:ascii="Arial" w:eastAsia="Calibri" w:hAnsi="Arial" w:cs="Arial"/>
          <w:kern w:val="0"/>
          <w:sz w:val="20"/>
          <w:lang w:val="en-US" w:bidi="ar-SA"/>
          <w14:ligatures w14:val="none"/>
        </w:rPr>
      </w:pPr>
      <w:r w:rsidRPr="009E2FA1">
        <w:rPr>
          <w:rFonts w:ascii="Arial" w:eastAsia="Calibri" w:hAnsi="Arial" w:cs="Arial"/>
          <w:b/>
          <w:bCs/>
          <w:kern w:val="0"/>
          <w:sz w:val="20"/>
          <w:lang w:val="en-US" w:bidi="ar-SA"/>
          <w14:ligatures w14:val="none"/>
        </w:rPr>
        <w:t>Conclusion:</w:t>
      </w:r>
      <w:r w:rsidRPr="009E2FA1">
        <w:rPr>
          <w:rFonts w:ascii="Arial" w:eastAsia="Calibri" w:hAnsi="Arial" w:cs="Arial"/>
          <w:kern w:val="0"/>
          <w:sz w:val="20"/>
          <w:lang w:val="en-US" w:bidi="ar-SA"/>
          <w14:ligatures w14:val="none"/>
        </w:rPr>
        <w:t xml:space="preserve"> </w:t>
      </w:r>
      <w:r w:rsidR="000446F3" w:rsidRPr="009E2FA1">
        <w:rPr>
          <w:rFonts w:ascii="Arial" w:eastAsia="Calibri" w:hAnsi="Arial" w:cs="Arial"/>
          <w:kern w:val="0"/>
          <w:sz w:val="20"/>
          <w:lang w:val="en-US" w:bidi="ar-SA"/>
          <w14:ligatures w14:val="none"/>
        </w:rPr>
        <w:t>The findings indicate a potential role of bitter gourd in managing glycemic levels in T2DM, though further research is required to clarify its effects, particularly in patients with comorbid conditions.</w:t>
      </w:r>
    </w:p>
    <w:p w14:paraId="1A03AA3B" w14:textId="77777777" w:rsidR="000446F3" w:rsidRPr="00580361" w:rsidRDefault="000446F3" w:rsidP="00037D6A">
      <w:pPr>
        <w:spacing w:after="0" w:line="276" w:lineRule="auto"/>
        <w:jc w:val="both"/>
        <w:rPr>
          <w:rFonts w:ascii="Arial" w:eastAsia="Calibri" w:hAnsi="Arial" w:cs="Arial"/>
          <w:kern w:val="0"/>
          <w:sz w:val="20"/>
          <w:lang w:val="en-US" w:bidi="ar-SA"/>
          <w14:ligatures w14:val="none"/>
        </w:rPr>
      </w:pPr>
    </w:p>
    <w:p w14:paraId="7C343262" w14:textId="6993E00E" w:rsidR="00485B6B" w:rsidRPr="009E2FA1" w:rsidRDefault="00AC1256" w:rsidP="00037D6A">
      <w:pPr>
        <w:spacing w:after="0" w:line="276" w:lineRule="auto"/>
        <w:jc w:val="both"/>
        <w:rPr>
          <w:rFonts w:ascii="Arial" w:eastAsia="Calibri" w:hAnsi="Arial" w:cs="Arial"/>
          <w:i/>
          <w:iCs/>
          <w:kern w:val="0"/>
          <w:sz w:val="20"/>
          <w:lang w:val="en-US" w:bidi="ar-SA"/>
          <w14:ligatures w14:val="none"/>
        </w:rPr>
      </w:pPr>
      <w:r w:rsidRPr="009E2FA1">
        <w:rPr>
          <w:rFonts w:ascii="Arial" w:eastAsia="Calibri" w:hAnsi="Arial" w:cs="Arial"/>
          <w:i/>
          <w:iCs/>
          <w:kern w:val="0"/>
          <w:sz w:val="20"/>
          <w:highlight w:val="yellow"/>
          <w:lang w:val="en-US" w:bidi="ar-SA"/>
          <w14:ligatures w14:val="none"/>
        </w:rPr>
        <w:t xml:space="preserve">Keywords: Type 2 Diabetes Mellitus, </w:t>
      </w:r>
      <w:r w:rsidR="00021C6B" w:rsidRPr="009E2FA1">
        <w:rPr>
          <w:rFonts w:ascii="Arial" w:eastAsia="Calibri" w:hAnsi="Arial" w:cs="Arial"/>
          <w:i/>
          <w:iCs/>
          <w:kern w:val="0"/>
          <w:sz w:val="20"/>
          <w:highlight w:val="yellow"/>
          <w:lang w:val="en-US" w:bidi="ar-SA"/>
          <w14:ligatures w14:val="none"/>
        </w:rPr>
        <w:t>Bitter gourd</w:t>
      </w:r>
      <w:r w:rsidRPr="009E2FA1">
        <w:rPr>
          <w:rFonts w:ascii="Arial" w:eastAsia="Calibri" w:hAnsi="Arial" w:cs="Arial"/>
          <w:i/>
          <w:iCs/>
          <w:kern w:val="0"/>
          <w:sz w:val="20"/>
          <w:highlight w:val="yellow"/>
          <w:lang w:val="en-US" w:bidi="ar-SA"/>
          <w14:ligatures w14:val="none"/>
        </w:rPr>
        <w:t xml:space="preserve">, </w:t>
      </w:r>
      <w:r w:rsidR="00D14820" w:rsidRPr="009E2FA1">
        <w:rPr>
          <w:rFonts w:ascii="Arial" w:eastAsia="Calibri" w:hAnsi="Arial" w:cs="Arial"/>
          <w:i/>
          <w:iCs/>
          <w:kern w:val="0"/>
          <w:sz w:val="20"/>
          <w:highlight w:val="yellow"/>
          <w:lang w:val="en-US" w:bidi="ar-SA"/>
          <w14:ligatures w14:val="none"/>
        </w:rPr>
        <w:t>Recommended Dietary Allowances</w:t>
      </w:r>
      <w:r w:rsidRPr="009E2FA1">
        <w:rPr>
          <w:rFonts w:ascii="Arial" w:eastAsia="Calibri" w:hAnsi="Arial" w:cs="Arial"/>
          <w:i/>
          <w:iCs/>
          <w:kern w:val="0"/>
          <w:sz w:val="20"/>
          <w:highlight w:val="yellow"/>
          <w:lang w:val="en-US" w:bidi="ar-SA"/>
          <w14:ligatures w14:val="none"/>
        </w:rPr>
        <w:t xml:space="preserve">, </w:t>
      </w:r>
      <w:r w:rsidR="00D14820" w:rsidRPr="009E2FA1">
        <w:rPr>
          <w:rFonts w:ascii="Arial" w:eastAsia="Calibri" w:hAnsi="Arial" w:cs="Arial"/>
          <w:i/>
          <w:iCs/>
          <w:kern w:val="0"/>
          <w:sz w:val="20"/>
          <w:highlight w:val="yellow"/>
          <w:lang w:val="en-US" w:bidi="ar-SA"/>
          <w14:ligatures w14:val="none"/>
        </w:rPr>
        <w:t>Gycated Hemoglobin</w:t>
      </w:r>
      <w:r w:rsidR="0063109D" w:rsidRPr="009E2FA1">
        <w:rPr>
          <w:rFonts w:ascii="Arial" w:eastAsia="Calibri" w:hAnsi="Arial" w:cs="Arial"/>
          <w:i/>
          <w:iCs/>
          <w:kern w:val="0"/>
          <w:sz w:val="20"/>
          <w:highlight w:val="yellow"/>
          <w:lang w:val="en-US" w:bidi="ar-SA"/>
          <w14:ligatures w14:val="none"/>
        </w:rPr>
        <w:t>, Blood Pressure</w:t>
      </w:r>
    </w:p>
    <w:p w14:paraId="1B53232A" w14:textId="77777777" w:rsidR="002D4988" w:rsidRPr="00610604" w:rsidRDefault="002D4988" w:rsidP="00037D6A">
      <w:pPr>
        <w:spacing w:after="0" w:line="276" w:lineRule="auto"/>
        <w:jc w:val="both"/>
        <w:rPr>
          <w:rFonts w:ascii="Times New Roman" w:eastAsia="Calibri" w:hAnsi="Times New Roman" w:cs="Times New Roman"/>
          <w:b/>
          <w:bCs/>
          <w:i/>
          <w:iCs/>
          <w:kern w:val="0"/>
          <w:sz w:val="28"/>
          <w:szCs w:val="28"/>
          <w:lang w:val="en-US" w:bidi="ar-SA"/>
          <w14:ligatures w14:val="none"/>
        </w:rPr>
      </w:pPr>
    </w:p>
    <w:p w14:paraId="48B68E18" w14:textId="6695D2F3" w:rsidR="00AC1256" w:rsidRPr="004C3F9B" w:rsidRDefault="004C3F9B" w:rsidP="00037D6A">
      <w:pPr>
        <w:spacing w:after="0" w:line="276" w:lineRule="auto"/>
        <w:jc w:val="both"/>
        <w:rPr>
          <w:rFonts w:ascii="Arial" w:eastAsia="Calibri" w:hAnsi="Arial" w:cs="Arial"/>
          <w:kern w:val="0"/>
          <w:sz w:val="20"/>
          <w:lang w:val="en-US" w:bidi="ar-SA"/>
          <w14:ligatures w14:val="none"/>
        </w:rPr>
      </w:pPr>
      <w:r w:rsidRPr="004C3F9B">
        <w:rPr>
          <w:rFonts w:ascii="Arial" w:eastAsia="Calibri" w:hAnsi="Arial" w:cs="Arial"/>
          <w:b/>
          <w:bCs/>
          <w:kern w:val="0"/>
          <w:szCs w:val="22"/>
          <w:lang w:val="en-US" w:bidi="ar-SA"/>
          <w14:ligatures w14:val="none"/>
        </w:rPr>
        <w:t>INTRODUCTION</w:t>
      </w:r>
    </w:p>
    <w:p w14:paraId="67F27962" w14:textId="77777777" w:rsidR="005066EC" w:rsidRPr="00037593" w:rsidRDefault="005066EC" w:rsidP="00037D6A">
      <w:pPr>
        <w:autoSpaceDE w:val="0"/>
        <w:autoSpaceDN w:val="0"/>
        <w:adjustRightInd w:val="0"/>
        <w:spacing w:after="0" w:line="276" w:lineRule="auto"/>
        <w:jc w:val="both"/>
        <w:rPr>
          <w:rFonts w:ascii="Times New Roman" w:eastAsia="Calibri" w:hAnsi="Times New Roman" w:cs="Times New Roman"/>
          <w:kern w:val="0"/>
          <w:sz w:val="24"/>
          <w:szCs w:val="24"/>
          <w:lang w:val="en-US" w:bidi="ar-SA"/>
          <w14:ligatures w14:val="none"/>
        </w:rPr>
      </w:pPr>
    </w:p>
    <w:p w14:paraId="74834BB1" w14:textId="618C914B" w:rsidR="005066EC" w:rsidRPr="00173175" w:rsidRDefault="005066EC" w:rsidP="00037D6A">
      <w:pPr>
        <w:autoSpaceDE w:val="0"/>
        <w:autoSpaceDN w:val="0"/>
        <w:adjustRightInd w:val="0"/>
        <w:spacing w:after="0" w:line="276" w:lineRule="auto"/>
        <w:jc w:val="both"/>
        <w:rPr>
          <w:rFonts w:ascii="Arial" w:eastAsia="Calibri" w:hAnsi="Arial" w:cs="Arial"/>
          <w:kern w:val="0"/>
          <w:sz w:val="20"/>
          <w:lang w:val="en-US" w:bidi="ar-SA"/>
          <w14:ligatures w14:val="none"/>
        </w:rPr>
      </w:pPr>
      <w:r w:rsidRPr="00173175">
        <w:rPr>
          <w:rFonts w:ascii="Arial" w:eastAsia="Calibri" w:hAnsi="Arial" w:cs="Arial"/>
          <w:kern w:val="0"/>
          <w:sz w:val="20"/>
          <w:lang w:val="en-US" w:bidi="ar-SA"/>
          <w14:ligatures w14:val="none"/>
        </w:rPr>
        <w:lastRenderedPageBreak/>
        <w:t>Cardiovascular diseases (CVDs), including coronary heart disease, stroke, and hypertension, are responsible for 31% of global deaths attributable to non-communicable diseases (NCDs), while diabetes accounts for 3% of such deaths. In India, CVDs and diabetes contributed to 27% and 3% of NCD-related deaths, respectively, in 2016</w:t>
      </w:r>
      <w:r w:rsidR="00301123" w:rsidRPr="00173175">
        <w:rPr>
          <w:rFonts w:ascii="Arial" w:eastAsia="Calibri" w:hAnsi="Arial" w:cs="Arial"/>
          <w:kern w:val="0"/>
          <w:sz w:val="20"/>
          <w:lang w:val="en-US" w:bidi="ar-SA"/>
          <w14:ligatures w14:val="none"/>
        </w:rPr>
        <w:t xml:space="preserve"> (</w:t>
      </w:r>
      <w:r w:rsidR="0005352F" w:rsidRPr="00173175">
        <w:rPr>
          <w:rFonts w:ascii="Arial" w:hAnsi="Arial" w:cs="Arial"/>
          <w:sz w:val="20"/>
        </w:rPr>
        <w:t>WHO</w:t>
      </w:r>
      <w:r w:rsidR="00301123" w:rsidRPr="00173175">
        <w:rPr>
          <w:rFonts w:ascii="Arial" w:hAnsi="Arial" w:cs="Arial"/>
          <w:sz w:val="20"/>
        </w:rPr>
        <w:t>, 2018).</w:t>
      </w:r>
      <w:r w:rsidRPr="00173175">
        <w:rPr>
          <w:rFonts w:ascii="Arial" w:eastAsia="Calibri" w:hAnsi="Arial" w:cs="Arial"/>
          <w:kern w:val="0"/>
          <w:sz w:val="20"/>
          <w:lang w:val="en-US" w:bidi="ar-SA"/>
          <w14:ligatures w14:val="none"/>
        </w:rPr>
        <w:t xml:space="preserve"> Globally, an estimated 425 million adults are living with diabetes, of which 87%–91% have type 2 diabetes mellitus (T2DM). India ranks as the second most affected country, with approximately 72 million individuals diagnosed with diabetes</w:t>
      </w:r>
      <w:r w:rsidR="0005352F" w:rsidRPr="00173175">
        <w:rPr>
          <w:rFonts w:ascii="Arial" w:hAnsi="Arial" w:cs="Arial"/>
          <w:sz w:val="20"/>
        </w:rPr>
        <w:t xml:space="preserve"> </w:t>
      </w:r>
      <w:r w:rsidR="0005352F" w:rsidRPr="00173175">
        <w:rPr>
          <w:rFonts w:ascii="Arial" w:eastAsia="Calibri" w:hAnsi="Arial" w:cs="Arial"/>
          <w:kern w:val="0"/>
          <w:sz w:val="20"/>
          <w:lang w:val="en-US" w:bidi="ar-SA"/>
          <w14:ligatures w14:val="none"/>
        </w:rPr>
        <w:t>(IDF, 2017)</w:t>
      </w:r>
      <w:r w:rsidRPr="00173175">
        <w:rPr>
          <w:rFonts w:ascii="Arial" w:eastAsia="Calibri" w:hAnsi="Arial" w:cs="Arial"/>
          <w:kern w:val="0"/>
          <w:sz w:val="20"/>
          <w:lang w:val="en-US" w:bidi="ar-SA"/>
          <w14:ligatures w14:val="none"/>
        </w:rPr>
        <w:t>. Additionally, 1.13 billion people worldwide have hypertension (defined as systolic blood pressure ≥140 mm Hg and diastolic blood pressure ≥90 mm Hg), including an estimated 317 million adults aged over 18 years in India in 2015</w:t>
      </w:r>
      <w:r w:rsidR="0005352F" w:rsidRPr="00173175">
        <w:rPr>
          <w:rFonts w:ascii="Arial" w:eastAsia="Calibri" w:hAnsi="Arial" w:cs="Arial"/>
          <w:kern w:val="0"/>
          <w:sz w:val="20"/>
          <w:lang w:val="en-US" w:bidi="ar-SA"/>
          <w14:ligatures w14:val="none"/>
        </w:rPr>
        <w:t xml:space="preserve"> (WHO, 2018)</w:t>
      </w:r>
      <w:r w:rsidRPr="00173175">
        <w:rPr>
          <w:rFonts w:ascii="Arial" w:eastAsia="Calibri" w:hAnsi="Arial" w:cs="Arial"/>
          <w:kern w:val="0"/>
          <w:sz w:val="20"/>
          <w:lang w:val="en-US" w:bidi="ar-SA"/>
          <w14:ligatures w14:val="none"/>
        </w:rPr>
        <w:t>.</w:t>
      </w:r>
    </w:p>
    <w:p w14:paraId="613C7969" w14:textId="2981EF43" w:rsidR="00244074" w:rsidRPr="00173175" w:rsidRDefault="005066EC" w:rsidP="00037D6A">
      <w:pPr>
        <w:autoSpaceDE w:val="0"/>
        <w:autoSpaceDN w:val="0"/>
        <w:adjustRightInd w:val="0"/>
        <w:spacing w:after="0" w:line="276" w:lineRule="auto"/>
        <w:jc w:val="both"/>
        <w:rPr>
          <w:rFonts w:ascii="Arial" w:eastAsia="Calibri" w:hAnsi="Arial" w:cs="Arial"/>
          <w:kern w:val="0"/>
          <w:sz w:val="20"/>
          <w:shd w:val="clear" w:color="auto" w:fill="FFFFFF"/>
          <w:lang w:val="en-US" w:bidi="ar-SA"/>
          <w14:ligatures w14:val="none"/>
        </w:rPr>
      </w:pPr>
      <w:r w:rsidRPr="00173175">
        <w:rPr>
          <w:rFonts w:ascii="Arial" w:eastAsia="Calibri" w:hAnsi="Arial" w:cs="Arial"/>
          <w:kern w:val="0"/>
          <w:sz w:val="20"/>
          <w:lang w:val="en-US" w:bidi="ar-SA"/>
          <w14:ligatures w14:val="none"/>
        </w:rPr>
        <w:t xml:space="preserve">                  </w:t>
      </w:r>
      <w:r w:rsidRPr="00173175">
        <w:rPr>
          <w:rFonts w:ascii="Arial" w:eastAsia="Calibri" w:hAnsi="Arial" w:cs="Arial"/>
          <w:kern w:val="0"/>
          <w:sz w:val="20"/>
          <w:shd w:val="clear" w:color="auto" w:fill="FFFFFF"/>
          <w:lang w:val="en-US" w:bidi="ar-SA"/>
          <w14:ligatures w14:val="none"/>
        </w:rPr>
        <w:t>According to the American Diabetes Association</w:t>
      </w:r>
      <w:r w:rsidR="00397BCF" w:rsidRPr="00173175">
        <w:rPr>
          <w:rFonts w:ascii="Arial" w:eastAsia="Calibri" w:hAnsi="Arial" w:cs="Arial"/>
          <w:kern w:val="0"/>
          <w:sz w:val="20"/>
          <w:shd w:val="clear" w:color="auto" w:fill="FFFFFF"/>
          <w:lang w:val="en-US" w:bidi="ar-SA"/>
          <w14:ligatures w14:val="none"/>
        </w:rPr>
        <w:t xml:space="preserve"> (ADA)</w:t>
      </w:r>
      <w:r w:rsidRPr="00173175">
        <w:rPr>
          <w:rFonts w:ascii="Arial" w:eastAsia="Calibri" w:hAnsi="Arial" w:cs="Arial"/>
          <w:kern w:val="0"/>
          <w:sz w:val="20"/>
          <w:shd w:val="clear" w:color="auto" w:fill="FFFFFF"/>
          <w:lang w:val="en-US" w:bidi="ar-SA"/>
          <w14:ligatures w14:val="none"/>
        </w:rPr>
        <w:t>, hypertension is commonly associated with diabetes, with its prevalence influenced by the type and duration of diabetes mellitus, as well as factors such as age, sex, body mass index, and history of glycemic control</w:t>
      </w:r>
      <w:r w:rsidR="00F72FDD" w:rsidRPr="00173175">
        <w:rPr>
          <w:rFonts w:ascii="Arial" w:hAnsi="Arial" w:cs="Arial"/>
          <w:sz w:val="20"/>
        </w:rPr>
        <w:t xml:space="preserve"> (</w:t>
      </w:r>
      <w:r w:rsidR="00420E07" w:rsidRPr="00173175">
        <w:rPr>
          <w:rFonts w:ascii="Arial" w:hAnsi="Arial" w:cs="Arial"/>
          <w:sz w:val="20"/>
        </w:rPr>
        <w:t xml:space="preserve">De </w:t>
      </w:r>
      <w:r w:rsidR="00F72FDD" w:rsidRPr="00173175">
        <w:rPr>
          <w:rFonts w:ascii="Arial" w:hAnsi="Arial" w:cs="Arial"/>
          <w:sz w:val="20"/>
        </w:rPr>
        <w:t>Ferranti et al.,2014;</w:t>
      </w:r>
      <w:r w:rsidR="005E55D7" w:rsidRPr="00173175">
        <w:rPr>
          <w:rFonts w:ascii="Arial" w:hAnsi="Arial" w:cs="Arial"/>
          <w:sz w:val="20"/>
        </w:rPr>
        <w:t xml:space="preserve"> Fox et al.,2015).</w:t>
      </w:r>
      <w:r w:rsidRPr="00173175">
        <w:rPr>
          <w:rFonts w:ascii="Arial" w:eastAsia="Calibri" w:hAnsi="Arial" w:cs="Arial"/>
          <w:kern w:val="0"/>
          <w:sz w:val="20"/>
          <w:shd w:val="clear" w:color="auto" w:fill="FFFFFF"/>
          <w:lang w:val="en-US" w:bidi="ar-SA"/>
          <w14:ligatures w14:val="none"/>
        </w:rPr>
        <w:t xml:space="preserve"> Hypertension is a significant risk factor for both macrovascular and microvascular complications, making it a leading cause of morbidity and mortality in individuals with diabetes. It is also a major contributor to the direct and indirect healthcare costs associated with diabetes</w:t>
      </w:r>
      <w:r w:rsidR="00420E07" w:rsidRPr="00173175">
        <w:rPr>
          <w:rFonts w:ascii="Arial" w:eastAsia="Calibri" w:hAnsi="Arial" w:cs="Arial"/>
          <w:kern w:val="0"/>
          <w:sz w:val="20"/>
          <w:shd w:val="clear" w:color="auto" w:fill="FFFFFF"/>
          <w:lang w:val="en-US" w:bidi="ar-SA"/>
          <w14:ligatures w14:val="none"/>
        </w:rPr>
        <w:t xml:space="preserve"> (</w:t>
      </w:r>
      <w:r w:rsidR="00420E07" w:rsidRPr="00173175">
        <w:rPr>
          <w:rFonts w:ascii="Arial" w:hAnsi="Arial" w:cs="Arial"/>
          <w:sz w:val="20"/>
        </w:rPr>
        <w:t>De Boer et al., 2017</w:t>
      </w:r>
      <w:r w:rsidR="00420E07" w:rsidRPr="009E2FA1">
        <w:rPr>
          <w:rFonts w:ascii="Arial" w:hAnsi="Arial" w:cs="Arial"/>
          <w:sz w:val="20"/>
        </w:rPr>
        <w:t>)</w:t>
      </w:r>
      <w:r w:rsidR="00420E07" w:rsidRPr="009E2FA1">
        <w:rPr>
          <w:rFonts w:ascii="Arial" w:eastAsia="Calibri" w:hAnsi="Arial" w:cs="Arial"/>
          <w:kern w:val="0"/>
          <w:sz w:val="20"/>
          <w:shd w:val="clear" w:color="auto" w:fill="FFFFFF"/>
          <w:lang w:val="en-US" w:bidi="ar-SA"/>
          <w14:ligatures w14:val="none"/>
        </w:rPr>
        <w:t>.</w:t>
      </w:r>
      <w:r w:rsidR="00AC1256" w:rsidRPr="009E2FA1">
        <w:rPr>
          <w:rFonts w:ascii="Arial" w:eastAsia="Calibri" w:hAnsi="Arial" w:cs="Arial"/>
          <w:kern w:val="0"/>
          <w:sz w:val="20"/>
          <w:lang w:val="en-US" w:bidi="ar-SA"/>
          <w14:ligatures w14:val="none"/>
        </w:rPr>
        <w:t xml:space="preserve"> </w:t>
      </w:r>
      <w:r w:rsidR="00D31E98" w:rsidRPr="009E2FA1">
        <w:rPr>
          <w:rFonts w:ascii="Arial" w:eastAsia="Calibri" w:hAnsi="Arial" w:cs="Arial"/>
          <w:kern w:val="0"/>
          <w:sz w:val="20"/>
          <w:highlight w:val="yellow"/>
          <w:lang w:bidi="ar-SA"/>
          <w14:ligatures w14:val="none"/>
        </w:rPr>
        <w:t>Diabetes increases the risk of CVD</w:t>
      </w:r>
      <w:r w:rsidR="00490AE0" w:rsidRPr="009E2FA1">
        <w:rPr>
          <w:rFonts w:ascii="Arial" w:eastAsia="Calibri" w:hAnsi="Arial" w:cs="Arial"/>
          <w:kern w:val="0"/>
          <w:sz w:val="20"/>
          <w:highlight w:val="yellow"/>
          <w:lang w:bidi="ar-SA"/>
          <w14:ligatures w14:val="none"/>
        </w:rPr>
        <w:t>s</w:t>
      </w:r>
      <w:r w:rsidR="00D31E98" w:rsidRPr="009E2FA1">
        <w:rPr>
          <w:rFonts w:ascii="Arial" w:eastAsia="Calibri" w:hAnsi="Arial" w:cs="Arial"/>
          <w:kern w:val="0"/>
          <w:sz w:val="20"/>
          <w:highlight w:val="yellow"/>
          <w:lang w:bidi="ar-SA"/>
          <w14:ligatures w14:val="none"/>
        </w:rPr>
        <w:t>, which worsens with coexistent hypertension due to shared mechanisms like oxidative stress, inflammation, and fibrosis. Managing hypertension and promoting vascular health may help reduce diabetes-related complications (</w:t>
      </w:r>
      <w:r w:rsidR="00D31E98" w:rsidRPr="009E2FA1">
        <w:rPr>
          <w:rFonts w:ascii="Arial" w:hAnsi="Arial" w:cs="Arial"/>
          <w:sz w:val="20"/>
          <w:highlight w:val="yellow"/>
        </w:rPr>
        <w:t xml:space="preserve">Petrie &amp; </w:t>
      </w:r>
      <w:proofErr w:type="spellStart"/>
      <w:r w:rsidR="00D31E98" w:rsidRPr="009E2FA1">
        <w:rPr>
          <w:rFonts w:ascii="Arial" w:hAnsi="Arial" w:cs="Arial"/>
          <w:sz w:val="20"/>
          <w:highlight w:val="yellow"/>
        </w:rPr>
        <w:t>Touyz</w:t>
      </w:r>
      <w:proofErr w:type="spellEnd"/>
      <w:r w:rsidR="00D31E98" w:rsidRPr="009E2FA1">
        <w:rPr>
          <w:rFonts w:ascii="Arial" w:hAnsi="Arial" w:cs="Arial"/>
          <w:sz w:val="20"/>
          <w:highlight w:val="yellow"/>
        </w:rPr>
        <w:t>, 2018).</w:t>
      </w:r>
      <w:r w:rsidR="00AC1256" w:rsidRPr="009E2FA1">
        <w:rPr>
          <w:rFonts w:ascii="Arial" w:eastAsia="Calibri" w:hAnsi="Arial" w:cs="Arial"/>
          <w:kern w:val="0"/>
          <w:sz w:val="20"/>
          <w:lang w:val="en-US" w:bidi="ar-SA"/>
          <w14:ligatures w14:val="none"/>
        </w:rPr>
        <w:t xml:space="preserve">                     </w:t>
      </w:r>
    </w:p>
    <w:p w14:paraId="5D118D65" w14:textId="16D98F03" w:rsidR="00244074" w:rsidRPr="00173175" w:rsidRDefault="00244074" w:rsidP="00037D6A">
      <w:pPr>
        <w:autoSpaceDE w:val="0"/>
        <w:autoSpaceDN w:val="0"/>
        <w:adjustRightInd w:val="0"/>
        <w:spacing w:after="0" w:line="276" w:lineRule="auto"/>
        <w:jc w:val="both"/>
        <w:rPr>
          <w:rFonts w:ascii="Arial" w:eastAsia="Calibri" w:hAnsi="Arial" w:cs="Arial"/>
          <w:kern w:val="0"/>
          <w:sz w:val="20"/>
          <w:lang w:val="en-US" w:bidi="ar-SA"/>
          <w14:ligatures w14:val="none"/>
        </w:rPr>
      </w:pPr>
      <w:r w:rsidRPr="00173175">
        <w:rPr>
          <w:rFonts w:ascii="Arial" w:eastAsia="Calibri" w:hAnsi="Arial" w:cs="Arial"/>
          <w:kern w:val="0"/>
          <w:sz w:val="20"/>
          <w:lang w:val="en-US" w:bidi="ar-SA"/>
          <w14:ligatures w14:val="none"/>
        </w:rPr>
        <w:t>The World Health Organization (WHO) has identified an unhealthy diet as a modifiable risk factor significantly associated with the development of diabetes and hypertension</w:t>
      </w:r>
      <w:r w:rsidR="00490AE0" w:rsidRPr="00173175">
        <w:rPr>
          <w:rFonts w:ascii="Arial" w:eastAsia="Calibri" w:hAnsi="Arial" w:cs="Arial"/>
          <w:kern w:val="0"/>
          <w:sz w:val="20"/>
          <w:lang w:val="en-US" w:bidi="ar-SA"/>
          <w14:ligatures w14:val="none"/>
        </w:rPr>
        <w:t xml:space="preserve"> (</w:t>
      </w:r>
      <w:r w:rsidR="00490AE0" w:rsidRPr="00173175">
        <w:rPr>
          <w:rFonts w:ascii="Arial" w:hAnsi="Arial" w:cs="Arial"/>
          <w:sz w:val="20"/>
        </w:rPr>
        <w:t>WHO, 2018).</w:t>
      </w:r>
      <w:r w:rsidRPr="00173175">
        <w:rPr>
          <w:rFonts w:ascii="Arial" w:eastAsia="Calibri" w:hAnsi="Arial" w:cs="Arial"/>
          <w:kern w:val="0"/>
          <w:sz w:val="20"/>
          <w:lang w:val="en-US" w:bidi="ar-SA"/>
          <w14:ligatures w14:val="none"/>
        </w:rPr>
        <w:t xml:space="preserve"> According to the Global Burden of Disease </w:t>
      </w:r>
      <w:r w:rsidR="00490AE0" w:rsidRPr="00173175">
        <w:rPr>
          <w:rFonts w:ascii="Arial" w:eastAsia="Calibri" w:hAnsi="Arial" w:cs="Arial"/>
          <w:kern w:val="0"/>
          <w:sz w:val="20"/>
          <w:lang w:val="en-US" w:bidi="ar-SA"/>
          <w14:ligatures w14:val="none"/>
        </w:rPr>
        <w:t xml:space="preserve">(GDB) </w:t>
      </w:r>
      <w:r w:rsidRPr="00173175">
        <w:rPr>
          <w:rFonts w:ascii="Arial" w:eastAsia="Calibri" w:hAnsi="Arial" w:cs="Arial"/>
          <w:kern w:val="0"/>
          <w:sz w:val="20"/>
          <w:lang w:val="en-US" w:bidi="ar-SA"/>
          <w14:ligatures w14:val="none"/>
        </w:rPr>
        <w:t>study, poor nutrition is linked to approximately 11 million deaths worldwide, accounting for one in five global fatalities. Of these, CVDs were responsible for 9.13 lakh deaths, while type 2 diabetes contributed to 3.39 lakh deaths. These findings underscore the critical role of dietary interventions in mitigating the burden of these chronic conditions</w:t>
      </w:r>
      <w:r w:rsidR="00490AE0" w:rsidRPr="00173175">
        <w:rPr>
          <w:rFonts w:ascii="Arial" w:eastAsia="Calibri" w:hAnsi="Arial" w:cs="Arial"/>
          <w:kern w:val="0"/>
          <w:sz w:val="20"/>
          <w:lang w:val="en-US" w:bidi="ar-SA"/>
          <w14:ligatures w14:val="none"/>
        </w:rPr>
        <w:t xml:space="preserve"> (GBD, 2017)</w:t>
      </w:r>
      <w:r w:rsidRPr="00173175">
        <w:rPr>
          <w:rFonts w:ascii="Arial" w:eastAsia="Calibri" w:hAnsi="Arial" w:cs="Arial"/>
          <w:kern w:val="0"/>
          <w:sz w:val="20"/>
          <w:lang w:val="en-US" w:bidi="ar-SA"/>
          <w14:ligatures w14:val="none"/>
        </w:rPr>
        <w:t>.</w:t>
      </w:r>
    </w:p>
    <w:p w14:paraId="5C32B7A3" w14:textId="0D261A4F" w:rsidR="00DE5EF2" w:rsidRPr="00173175" w:rsidRDefault="00AC1256" w:rsidP="00037D6A">
      <w:pPr>
        <w:autoSpaceDE w:val="0"/>
        <w:autoSpaceDN w:val="0"/>
        <w:adjustRightInd w:val="0"/>
        <w:spacing w:after="0" w:line="276" w:lineRule="auto"/>
        <w:jc w:val="both"/>
        <w:rPr>
          <w:rFonts w:ascii="Arial" w:eastAsia="Calibri" w:hAnsi="Arial" w:cs="Arial"/>
          <w:kern w:val="0"/>
          <w:sz w:val="20"/>
          <w:vertAlign w:val="superscript"/>
          <w:lang w:val="en-US" w:bidi="ar-SA"/>
          <w14:ligatures w14:val="none"/>
        </w:rPr>
      </w:pPr>
      <w:r w:rsidRPr="00173175">
        <w:rPr>
          <w:rFonts w:ascii="Arial" w:eastAsia="Calibri" w:hAnsi="Arial" w:cs="Arial"/>
          <w:kern w:val="0"/>
          <w:sz w:val="20"/>
          <w:lang w:val="en-US" w:bidi="ar-SA"/>
          <w14:ligatures w14:val="none"/>
        </w:rPr>
        <w:t xml:space="preserve">Furthermore, </w:t>
      </w:r>
      <w:r w:rsidR="00DA01A1" w:rsidRPr="00173175">
        <w:rPr>
          <w:rFonts w:ascii="Arial" w:eastAsia="Calibri" w:hAnsi="Arial" w:cs="Arial"/>
          <w:kern w:val="0"/>
          <w:sz w:val="20"/>
          <w:lang w:val="en-US" w:bidi="ar-SA"/>
          <w14:ligatures w14:val="none"/>
        </w:rPr>
        <w:t>According to WHO data on chronic disease prevention, approximately 80% of diabetes- and hypertension-related events can be mitigated through the adoption of a balanced and nutritious diet. Key dietary measures include regular consumption of fruits and vegetables, limiting the intake of saturated fats, reducing sodium consumption, and minimizing the consumption of sugar-sweetened beverages. These dietary modifications play a crucial role in reducing the risk of these condition</w:t>
      </w:r>
      <w:r w:rsidR="00DE5EF2" w:rsidRPr="00173175">
        <w:rPr>
          <w:rFonts w:ascii="Arial" w:eastAsia="Calibri" w:hAnsi="Arial" w:cs="Arial"/>
          <w:kern w:val="0"/>
          <w:sz w:val="20"/>
          <w:lang w:val="en-US" w:bidi="ar-SA"/>
          <w14:ligatures w14:val="none"/>
        </w:rPr>
        <w:t xml:space="preserve"> </w:t>
      </w:r>
      <w:r w:rsidR="00DE5EF2" w:rsidRPr="00173175">
        <w:rPr>
          <w:rFonts w:ascii="Arial" w:hAnsi="Arial" w:cs="Arial"/>
          <w:sz w:val="20"/>
        </w:rPr>
        <w:t>(NCD Risk Factor Collaboration, 2016; WHO, 2005).</w:t>
      </w:r>
    </w:p>
    <w:p w14:paraId="7DF90E3F" w14:textId="2E8F9833" w:rsidR="000822E0" w:rsidRPr="009E2FA1" w:rsidRDefault="00037D6A" w:rsidP="00037D6A">
      <w:pPr>
        <w:autoSpaceDE w:val="0"/>
        <w:autoSpaceDN w:val="0"/>
        <w:adjustRightInd w:val="0"/>
        <w:spacing w:after="0" w:line="276" w:lineRule="auto"/>
        <w:jc w:val="both"/>
        <w:rPr>
          <w:rFonts w:ascii="Arial" w:eastAsia="Calibri" w:hAnsi="Arial" w:cs="Arial"/>
          <w:kern w:val="0"/>
          <w:sz w:val="20"/>
          <w:shd w:val="clear" w:color="auto" w:fill="FFFFFF"/>
          <w:vertAlign w:val="superscript"/>
          <w:lang w:val="en-US" w:bidi="ar-SA"/>
          <w14:ligatures w14:val="none"/>
        </w:rPr>
      </w:pPr>
      <w:r w:rsidRPr="00173175">
        <w:rPr>
          <w:rFonts w:ascii="Arial" w:eastAsia="Calibri" w:hAnsi="Arial" w:cs="Arial"/>
          <w:kern w:val="0"/>
          <w:sz w:val="20"/>
          <w:lang w:val="en-US" w:bidi="ar-SA"/>
          <w14:ligatures w14:val="none"/>
        </w:rPr>
        <w:t xml:space="preserve"> </w:t>
      </w:r>
      <w:r w:rsidR="00DF7399" w:rsidRPr="00173175">
        <w:rPr>
          <w:rFonts w:ascii="Arial" w:eastAsia="Calibri" w:hAnsi="Arial" w:cs="Arial"/>
          <w:kern w:val="0"/>
          <w:sz w:val="20"/>
          <w:shd w:val="clear" w:color="auto" w:fill="FFFFFF"/>
          <w:lang w:val="en-US" w:bidi="ar-SA"/>
          <w14:ligatures w14:val="none"/>
        </w:rPr>
        <w:t xml:space="preserve">Bitter gourd is one of the traditional </w:t>
      </w:r>
      <w:r w:rsidR="00FA2DBF" w:rsidRPr="00173175">
        <w:rPr>
          <w:rFonts w:ascii="Arial" w:eastAsia="Calibri" w:hAnsi="Arial" w:cs="Arial"/>
          <w:kern w:val="0"/>
          <w:sz w:val="20"/>
          <w:shd w:val="clear" w:color="auto" w:fill="FFFFFF"/>
          <w:lang w:val="en-US" w:bidi="ar-SA"/>
          <w14:ligatures w14:val="none"/>
        </w:rPr>
        <w:t>medicines</w:t>
      </w:r>
      <w:r w:rsidR="00DF7399" w:rsidRPr="00173175">
        <w:rPr>
          <w:rFonts w:ascii="Arial" w:eastAsia="Calibri" w:hAnsi="Arial" w:cs="Arial"/>
          <w:kern w:val="0"/>
          <w:sz w:val="20"/>
          <w:shd w:val="clear" w:color="auto" w:fill="FFFFFF"/>
          <w:lang w:val="en-US" w:bidi="ar-SA"/>
          <w14:ligatures w14:val="none"/>
        </w:rPr>
        <w:t xml:space="preserve"> which helps in the treatment of T2DM</w:t>
      </w:r>
      <w:r w:rsidR="00DE5EF2" w:rsidRPr="00173175">
        <w:rPr>
          <w:rFonts w:ascii="Arial" w:eastAsia="Calibri" w:hAnsi="Arial" w:cs="Arial"/>
          <w:kern w:val="0"/>
          <w:sz w:val="20"/>
          <w:shd w:val="clear" w:color="auto" w:fill="FFFFFF"/>
          <w:vertAlign w:val="superscript"/>
          <w:lang w:val="en-US" w:bidi="ar-SA"/>
          <w14:ligatures w14:val="none"/>
        </w:rPr>
        <w:t xml:space="preserve"> </w:t>
      </w:r>
      <w:r w:rsidR="00DE5EF2" w:rsidRPr="00173175">
        <w:rPr>
          <w:rFonts w:ascii="Arial" w:eastAsia="Calibri" w:hAnsi="Arial" w:cs="Arial"/>
          <w:kern w:val="0"/>
          <w:sz w:val="20"/>
          <w:shd w:val="clear" w:color="auto" w:fill="FFFFFF"/>
          <w:lang w:val="en-US" w:bidi="ar-SA"/>
          <w14:ligatures w14:val="none"/>
        </w:rPr>
        <w:t>(</w:t>
      </w:r>
      <w:r w:rsidR="00DE5EF2" w:rsidRPr="00173175">
        <w:rPr>
          <w:rFonts w:ascii="Arial" w:hAnsi="Arial" w:cs="Arial"/>
          <w:sz w:val="20"/>
        </w:rPr>
        <w:t>Ahmad et al., 2016)</w:t>
      </w:r>
      <w:r w:rsidR="00B54D3A" w:rsidRPr="00173175">
        <w:rPr>
          <w:rFonts w:ascii="Arial" w:hAnsi="Arial" w:cs="Arial"/>
          <w:sz w:val="20"/>
        </w:rPr>
        <w:t>.</w:t>
      </w:r>
      <w:r w:rsidR="00DF7399" w:rsidRPr="00173175">
        <w:rPr>
          <w:rFonts w:ascii="Arial" w:eastAsia="Calibri" w:hAnsi="Arial" w:cs="Arial"/>
          <w:kern w:val="0"/>
          <w:sz w:val="20"/>
          <w:shd w:val="clear" w:color="auto" w:fill="FFFFFF"/>
          <w:lang w:val="en-US" w:bidi="ar-SA"/>
          <w14:ligatures w14:val="none"/>
        </w:rPr>
        <w:t xml:space="preserve"> Most scientific studies suggest that frequent consumption of bitter gourd can reduce several health-related problems either by its prophylactic or therapeutic effects</w:t>
      </w:r>
      <w:r w:rsidR="00B54D3A" w:rsidRPr="00173175">
        <w:rPr>
          <w:rFonts w:ascii="Arial" w:eastAsia="Calibri" w:hAnsi="Arial" w:cs="Arial"/>
          <w:kern w:val="0"/>
          <w:sz w:val="20"/>
          <w:shd w:val="clear" w:color="auto" w:fill="FFFFFF"/>
          <w:vertAlign w:val="superscript"/>
          <w:lang w:val="en-US" w:bidi="ar-SA"/>
          <w14:ligatures w14:val="none"/>
        </w:rPr>
        <w:t xml:space="preserve"> </w:t>
      </w:r>
      <w:r w:rsidR="00B54D3A" w:rsidRPr="00173175">
        <w:rPr>
          <w:rFonts w:ascii="Arial" w:eastAsia="Calibri" w:hAnsi="Arial" w:cs="Arial"/>
          <w:kern w:val="0"/>
          <w:sz w:val="20"/>
          <w:shd w:val="clear" w:color="auto" w:fill="FFFFFF"/>
          <w:lang w:val="en-US" w:bidi="ar-SA"/>
          <w14:ligatures w14:val="none"/>
        </w:rPr>
        <w:t>(</w:t>
      </w:r>
      <w:proofErr w:type="spellStart"/>
      <w:r w:rsidR="00B54D3A" w:rsidRPr="00173175">
        <w:rPr>
          <w:rFonts w:ascii="Arial" w:hAnsi="Arial" w:cs="Arial"/>
          <w:sz w:val="20"/>
        </w:rPr>
        <w:t>Anilakumar</w:t>
      </w:r>
      <w:proofErr w:type="spellEnd"/>
      <w:r w:rsidR="00B54D3A" w:rsidRPr="00173175">
        <w:rPr>
          <w:rFonts w:ascii="Arial" w:hAnsi="Arial" w:cs="Arial"/>
          <w:sz w:val="20"/>
        </w:rPr>
        <w:t xml:space="preserve"> et al., 2015).</w:t>
      </w:r>
      <w:r w:rsidR="00DF7399" w:rsidRPr="00173175">
        <w:rPr>
          <w:rFonts w:ascii="Arial" w:eastAsia="Calibri" w:hAnsi="Arial" w:cs="Arial"/>
          <w:kern w:val="0"/>
          <w:sz w:val="20"/>
          <w:shd w:val="clear" w:color="auto" w:fill="FFFFFF"/>
          <w:lang w:val="en-US" w:bidi="ar-SA"/>
          <w14:ligatures w14:val="none"/>
        </w:rPr>
        <w:t xml:space="preserve"> It contains bitter chemicals such as </w:t>
      </w:r>
      <w:proofErr w:type="spellStart"/>
      <w:r w:rsidR="00DF7399" w:rsidRPr="00173175">
        <w:rPr>
          <w:rFonts w:ascii="Arial" w:eastAsia="Calibri" w:hAnsi="Arial" w:cs="Arial"/>
          <w:kern w:val="0"/>
          <w:sz w:val="20"/>
          <w:shd w:val="clear" w:color="auto" w:fill="FFFFFF"/>
          <w:lang w:val="en-US" w:bidi="ar-SA"/>
          <w14:ligatures w14:val="none"/>
        </w:rPr>
        <w:t>charantin</w:t>
      </w:r>
      <w:proofErr w:type="spellEnd"/>
      <w:r w:rsidR="00DF7399" w:rsidRPr="00173175">
        <w:rPr>
          <w:rFonts w:ascii="Arial" w:eastAsia="Calibri" w:hAnsi="Arial" w:cs="Arial"/>
          <w:kern w:val="0"/>
          <w:sz w:val="20"/>
          <w:shd w:val="clear" w:color="auto" w:fill="FFFFFF"/>
          <w:lang w:val="en-US" w:bidi="ar-SA"/>
          <w14:ligatures w14:val="none"/>
        </w:rPr>
        <w:t xml:space="preserve">, vicine, glycosides and </w:t>
      </w:r>
      <w:proofErr w:type="spellStart"/>
      <w:r w:rsidR="00DF7399" w:rsidRPr="00173175">
        <w:rPr>
          <w:rFonts w:ascii="Arial" w:eastAsia="Calibri" w:hAnsi="Arial" w:cs="Arial"/>
          <w:kern w:val="0"/>
          <w:sz w:val="20"/>
          <w:shd w:val="clear" w:color="auto" w:fill="FFFFFF"/>
          <w:lang w:val="en-US" w:bidi="ar-SA"/>
          <w14:ligatures w14:val="none"/>
        </w:rPr>
        <w:t>karavilosides</w:t>
      </w:r>
      <w:proofErr w:type="spellEnd"/>
      <w:r w:rsidR="00DF7399" w:rsidRPr="00173175">
        <w:rPr>
          <w:rFonts w:ascii="Arial" w:eastAsia="Calibri" w:hAnsi="Arial" w:cs="Arial"/>
          <w:kern w:val="0"/>
          <w:sz w:val="20"/>
          <w:shd w:val="clear" w:color="auto" w:fill="FFFFFF"/>
          <w:lang w:val="en-US" w:bidi="ar-SA"/>
          <w14:ligatures w14:val="none"/>
        </w:rPr>
        <w:t xml:space="preserve"> along with polypeptide-plant insulin, which is hypoglycemic in nature and improves glycemic levels by rising glucose uptake and glycogen synthesis in the liver, muscles and fat cells</w:t>
      </w:r>
      <w:r w:rsidR="00B54D3A" w:rsidRPr="00173175">
        <w:rPr>
          <w:rFonts w:ascii="Arial" w:eastAsia="Calibri" w:hAnsi="Arial" w:cs="Arial"/>
          <w:kern w:val="0"/>
          <w:sz w:val="20"/>
          <w:shd w:val="clear" w:color="auto" w:fill="FFFFFF"/>
          <w:vertAlign w:val="superscript"/>
          <w:lang w:val="en-US" w:bidi="ar-SA"/>
          <w14:ligatures w14:val="none"/>
        </w:rPr>
        <w:t xml:space="preserve"> </w:t>
      </w:r>
      <w:r w:rsidR="00B54D3A" w:rsidRPr="00173175">
        <w:rPr>
          <w:rFonts w:ascii="Arial" w:eastAsia="Calibri" w:hAnsi="Arial" w:cs="Arial"/>
          <w:kern w:val="0"/>
          <w:sz w:val="20"/>
          <w:shd w:val="clear" w:color="auto" w:fill="FFFFFF"/>
          <w:lang w:val="en-US" w:bidi="ar-SA"/>
          <w14:ligatures w14:val="none"/>
        </w:rPr>
        <w:t>(</w:t>
      </w:r>
      <w:r w:rsidR="00B54D3A" w:rsidRPr="00173175">
        <w:rPr>
          <w:rFonts w:ascii="Arial" w:hAnsi="Arial" w:cs="Arial"/>
          <w:sz w:val="20"/>
        </w:rPr>
        <w:t>Gupta et al., 2011).</w:t>
      </w:r>
      <w:r w:rsidR="00DF7399" w:rsidRPr="00173175">
        <w:rPr>
          <w:rFonts w:ascii="Arial" w:eastAsia="Calibri" w:hAnsi="Arial" w:cs="Arial"/>
          <w:kern w:val="0"/>
          <w:sz w:val="20"/>
          <w:shd w:val="clear" w:color="auto" w:fill="FFFFFF"/>
          <w:lang w:val="en-US" w:bidi="ar-SA"/>
          <w14:ligatures w14:val="none"/>
        </w:rPr>
        <w:t xml:space="preserve"> </w:t>
      </w:r>
      <w:proofErr w:type="spellStart"/>
      <w:r w:rsidR="00DF7399" w:rsidRPr="00173175">
        <w:rPr>
          <w:rFonts w:ascii="Arial" w:eastAsia="Calibri" w:hAnsi="Arial" w:cs="Arial"/>
          <w:kern w:val="0"/>
          <w:sz w:val="20"/>
          <w:shd w:val="clear" w:color="auto" w:fill="FFFFFF"/>
          <w:lang w:val="en-US" w:bidi="ar-SA"/>
          <w14:ligatures w14:val="none"/>
        </w:rPr>
        <w:t>Wehash</w:t>
      </w:r>
      <w:proofErr w:type="spellEnd"/>
      <w:r w:rsidR="00DF7399" w:rsidRPr="00173175">
        <w:rPr>
          <w:rFonts w:ascii="Arial" w:eastAsia="Calibri" w:hAnsi="Arial" w:cs="Arial"/>
          <w:kern w:val="0"/>
          <w:sz w:val="20"/>
          <w:shd w:val="clear" w:color="auto" w:fill="FFFFFF"/>
          <w:lang w:val="en-US" w:bidi="ar-SA"/>
          <w14:ligatures w14:val="none"/>
        </w:rPr>
        <w:t xml:space="preserve"> et al</w:t>
      </w:r>
      <w:r w:rsidR="00B54D3A" w:rsidRPr="00173175">
        <w:rPr>
          <w:rFonts w:ascii="Arial" w:eastAsia="Calibri" w:hAnsi="Arial" w:cs="Arial"/>
          <w:kern w:val="0"/>
          <w:sz w:val="20"/>
          <w:shd w:val="clear" w:color="auto" w:fill="FFFFFF"/>
          <w:lang w:val="en-US" w:bidi="ar-SA"/>
          <w14:ligatures w14:val="none"/>
        </w:rPr>
        <w:t xml:space="preserve"> (2012) </w:t>
      </w:r>
      <w:r w:rsidR="00DF7399" w:rsidRPr="00173175">
        <w:rPr>
          <w:rFonts w:ascii="Arial" w:eastAsia="Calibri" w:hAnsi="Arial" w:cs="Arial"/>
          <w:kern w:val="0"/>
          <w:sz w:val="20"/>
          <w:shd w:val="clear" w:color="auto" w:fill="FFFFFF"/>
          <w:lang w:val="en-US" w:bidi="ar-SA"/>
          <w14:ligatures w14:val="none"/>
        </w:rPr>
        <w:t xml:space="preserve">observed that bitter melon seems to be exerting in decreasing capillary permeability compared to fenugreek extract. </w:t>
      </w:r>
      <w:r w:rsidR="00DF7399" w:rsidRPr="009E2FA1">
        <w:rPr>
          <w:rFonts w:ascii="Arial" w:eastAsia="Calibri" w:hAnsi="Arial" w:cs="Arial"/>
          <w:kern w:val="0"/>
          <w:sz w:val="20"/>
          <w:highlight w:val="yellow"/>
          <w:shd w:val="clear" w:color="auto" w:fill="FFFFFF"/>
          <w:lang w:val="en-US" w:bidi="ar-SA"/>
          <w14:ligatures w14:val="none"/>
        </w:rPr>
        <w:t>Generally, the increase in capillary permeability is a sign of microvascular dysfunction at the arteriolar and capillary level that is a common and critical complication of diabete</w:t>
      </w:r>
      <w:r w:rsidR="000822E0" w:rsidRPr="009E2FA1">
        <w:rPr>
          <w:rFonts w:ascii="Arial" w:eastAsia="Calibri" w:hAnsi="Arial" w:cs="Arial"/>
          <w:kern w:val="0"/>
          <w:sz w:val="20"/>
          <w:highlight w:val="yellow"/>
          <w:shd w:val="clear" w:color="auto" w:fill="FFFFFF"/>
          <w:lang w:val="en-US" w:bidi="ar-SA"/>
          <w14:ligatures w14:val="none"/>
        </w:rPr>
        <w:t>s.</w:t>
      </w:r>
    </w:p>
    <w:p w14:paraId="27FBC1CF" w14:textId="7A3172BA" w:rsidR="00B57425" w:rsidRPr="009E2FA1" w:rsidRDefault="00AC5CE7" w:rsidP="00037D6A">
      <w:pPr>
        <w:autoSpaceDE w:val="0"/>
        <w:autoSpaceDN w:val="0"/>
        <w:adjustRightInd w:val="0"/>
        <w:spacing w:after="0" w:line="276" w:lineRule="auto"/>
        <w:jc w:val="both"/>
        <w:rPr>
          <w:rFonts w:ascii="Arial" w:eastAsia="Calibri" w:hAnsi="Arial" w:cs="Arial"/>
          <w:kern w:val="0"/>
          <w:sz w:val="20"/>
          <w:lang w:val="en-US" w:bidi="ar-SA"/>
          <w14:ligatures w14:val="none"/>
        </w:rPr>
      </w:pPr>
      <w:r w:rsidRPr="00173175">
        <w:rPr>
          <w:rFonts w:ascii="Arial" w:eastAsia="Calibri" w:hAnsi="Arial" w:cs="Arial"/>
          <w:kern w:val="0"/>
          <w:sz w:val="20"/>
          <w:shd w:val="clear" w:color="auto" w:fill="FFFFFF"/>
          <w:lang w:val="en-US" w:bidi="ar-SA"/>
          <w14:ligatures w14:val="none"/>
        </w:rPr>
        <w:t xml:space="preserve">Furthermore, </w:t>
      </w:r>
      <w:r w:rsidR="00DF7399" w:rsidRPr="00173175">
        <w:rPr>
          <w:rFonts w:ascii="Arial" w:eastAsia="Calibri" w:hAnsi="Arial" w:cs="Arial"/>
          <w:kern w:val="0"/>
          <w:sz w:val="20"/>
          <w:shd w:val="clear" w:color="auto" w:fill="FFFFFF"/>
          <w:lang w:val="en-US" w:bidi="ar-SA"/>
          <w14:ligatures w14:val="none"/>
        </w:rPr>
        <w:t>a review paper regarding medicinal properties of bitter melon and concluded that bitter melon might have properties that can help lower blood glucose level</w:t>
      </w:r>
      <w:r w:rsidR="000822E0" w:rsidRPr="00173175">
        <w:rPr>
          <w:rFonts w:ascii="Arial" w:eastAsia="Calibri" w:hAnsi="Arial" w:cs="Arial"/>
          <w:kern w:val="0"/>
          <w:sz w:val="20"/>
          <w:shd w:val="clear" w:color="auto" w:fill="FFFFFF"/>
          <w:vertAlign w:val="superscript"/>
          <w:lang w:val="en-US" w:bidi="ar-SA"/>
          <w14:ligatures w14:val="none"/>
        </w:rPr>
        <w:t xml:space="preserve"> </w:t>
      </w:r>
      <w:r w:rsidR="000822E0" w:rsidRPr="00173175">
        <w:rPr>
          <w:rFonts w:ascii="Arial" w:eastAsia="Calibri" w:hAnsi="Arial" w:cs="Arial"/>
          <w:kern w:val="0"/>
          <w:sz w:val="20"/>
          <w:shd w:val="clear" w:color="auto" w:fill="FFFFFF"/>
          <w:lang w:val="en-US" w:bidi="ar-SA"/>
          <w14:ligatures w14:val="none"/>
        </w:rPr>
        <w:t>(</w:t>
      </w:r>
      <w:r w:rsidR="000822E0" w:rsidRPr="00173175">
        <w:rPr>
          <w:rFonts w:ascii="Arial" w:hAnsi="Arial" w:cs="Arial"/>
          <w:sz w:val="20"/>
        </w:rPr>
        <w:t>Kwatra et al., 2016).</w:t>
      </w:r>
      <w:r w:rsidR="00DF7399" w:rsidRPr="00173175">
        <w:rPr>
          <w:rFonts w:ascii="Arial" w:eastAsia="Calibri" w:hAnsi="Arial" w:cs="Arial"/>
          <w:kern w:val="0"/>
          <w:sz w:val="20"/>
          <w:shd w:val="clear" w:color="auto" w:fill="FFFFFF"/>
          <w:lang w:val="en-US" w:bidi="ar-SA"/>
          <w14:ligatures w14:val="none"/>
        </w:rPr>
        <w:t xml:space="preserve"> </w:t>
      </w:r>
      <w:r w:rsidR="00DF7399" w:rsidRPr="009E2FA1">
        <w:rPr>
          <w:rFonts w:ascii="Arial" w:eastAsia="Calibri" w:hAnsi="Arial" w:cs="Arial"/>
          <w:kern w:val="0"/>
          <w:sz w:val="20"/>
          <w:highlight w:val="yellow"/>
          <w:shd w:val="clear" w:color="auto" w:fill="FFFFFF"/>
          <w:lang w:val="en-US" w:bidi="ar-SA"/>
          <w14:ligatures w14:val="none"/>
        </w:rPr>
        <w:t>Another systematic review and meta-analysis conducted by Yin et al</w:t>
      </w:r>
      <w:r w:rsidR="000822E0" w:rsidRPr="009E2FA1">
        <w:rPr>
          <w:rFonts w:ascii="Arial" w:eastAsia="Calibri" w:hAnsi="Arial" w:cs="Arial"/>
          <w:kern w:val="0"/>
          <w:sz w:val="20"/>
          <w:highlight w:val="yellow"/>
          <w:shd w:val="clear" w:color="auto" w:fill="FFFFFF"/>
          <w:lang w:val="en-US" w:bidi="ar-SA"/>
          <w14:ligatures w14:val="none"/>
        </w:rPr>
        <w:t xml:space="preserve"> (2014)</w:t>
      </w:r>
      <w:r w:rsidRPr="009E2FA1">
        <w:rPr>
          <w:rFonts w:ascii="Arial" w:eastAsia="Calibri" w:hAnsi="Arial" w:cs="Arial"/>
          <w:kern w:val="0"/>
          <w:sz w:val="20"/>
          <w:highlight w:val="yellow"/>
          <w:shd w:val="clear" w:color="auto" w:fill="FFFFFF"/>
          <w:lang w:val="en-US" w:bidi="ar-SA"/>
          <w14:ligatures w14:val="none"/>
        </w:rPr>
        <w:t xml:space="preserve"> </w:t>
      </w:r>
      <w:r w:rsidR="00DF7399" w:rsidRPr="009E2FA1">
        <w:rPr>
          <w:rFonts w:ascii="Arial" w:eastAsia="Calibri" w:hAnsi="Arial" w:cs="Arial"/>
          <w:kern w:val="0"/>
          <w:sz w:val="20"/>
          <w:highlight w:val="yellow"/>
          <w:shd w:val="clear" w:color="auto" w:fill="FFFFFF"/>
          <w:lang w:val="en-US" w:bidi="ar-SA"/>
          <w14:ligatures w14:val="none"/>
        </w:rPr>
        <w:t>in which he looked at four randomized controlled trials (RCTs) that compared the effects of bitter melon supplements with those of no diabetes treatment at all and concluded that no evidence that bitter melon had any significant effects on A1C levels or FBG leve</w:t>
      </w:r>
      <w:r w:rsidR="000822E0" w:rsidRPr="009E2FA1">
        <w:rPr>
          <w:rFonts w:ascii="Arial" w:eastAsia="Calibri" w:hAnsi="Arial" w:cs="Arial"/>
          <w:kern w:val="0"/>
          <w:sz w:val="20"/>
          <w:highlight w:val="yellow"/>
          <w:shd w:val="clear" w:color="auto" w:fill="FFFFFF"/>
          <w:lang w:val="en-US" w:bidi="ar-SA"/>
          <w14:ligatures w14:val="none"/>
        </w:rPr>
        <w:t>l.</w:t>
      </w:r>
    </w:p>
    <w:p w14:paraId="45D3A28A" w14:textId="068B40B2" w:rsidR="00F53043" w:rsidRPr="009E2FA1" w:rsidRDefault="00855957" w:rsidP="00037D6A">
      <w:pPr>
        <w:autoSpaceDE w:val="0"/>
        <w:autoSpaceDN w:val="0"/>
        <w:adjustRightInd w:val="0"/>
        <w:spacing w:after="0" w:line="276" w:lineRule="auto"/>
        <w:jc w:val="both"/>
        <w:rPr>
          <w:rFonts w:ascii="Arial" w:eastAsia="Calibri" w:hAnsi="Arial" w:cs="Arial"/>
          <w:kern w:val="0"/>
          <w:sz w:val="20"/>
          <w:lang w:val="en-US" w:bidi="ar-SA"/>
          <w14:ligatures w14:val="none"/>
        </w:rPr>
      </w:pPr>
      <w:r w:rsidRPr="00173175">
        <w:rPr>
          <w:rFonts w:ascii="Arial" w:eastAsia="Calibri" w:hAnsi="Arial" w:cs="Arial"/>
          <w:kern w:val="0"/>
          <w:sz w:val="20"/>
          <w:shd w:val="clear" w:color="auto" w:fill="FFFFFF"/>
          <w:lang w:val="en-US" w:bidi="ar-SA"/>
          <w14:ligatures w14:val="none"/>
        </w:rPr>
        <w:t xml:space="preserve">Moreover, </w:t>
      </w:r>
      <w:r w:rsidR="00C811CD" w:rsidRPr="00173175">
        <w:rPr>
          <w:rFonts w:ascii="Arial" w:eastAsia="Calibri" w:hAnsi="Arial" w:cs="Arial"/>
          <w:kern w:val="0"/>
          <w:sz w:val="20"/>
          <w:shd w:val="clear" w:color="auto" w:fill="FFFFFF"/>
          <w:lang w:val="en-US" w:bidi="ar-SA"/>
          <w14:ligatures w14:val="none"/>
        </w:rPr>
        <w:t>Bitter melon extract has shown promise in managing hypertension when combined with dietary modifications and exercise. Some studies suggest it may reduce blood pressure by improving vascular function and inhibiting ACE activity</w:t>
      </w:r>
      <w:r w:rsidR="00BF6129" w:rsidRPr="00173175">
        <w:rPr>
          <w:rFonts w:ascii="Arial" w:eastAsia="Calibri" w:hAnsi="Arial" w:cs="Arial"/>
          <w:kern w:val="0"/>
          <w:sz w:val="20"/>
          <w:shd w:val="clear" w:color="auto" w:fill="FFFFFF"/>
          <w:vertAlign w:val="superscript"/>
          <w:lang w:val="en-US" w:bidi="ar-SA"/>
          <w14:ligatures w14:val="none"/>
        </w:rPr>
        <w:t xml:space="preserve"> </w:t>
      </w:r>
      <w:r w:rsidR="00BF6129" w:rsidRPr="00173175">
        <w:rPr>
          <w:rFonts w:ascii="Arial" w:eastAsia="Calibri" w:hAnsi="Arial" w:cs="Arial"/>
          <w:kern w:val="0"/>
          <w:sz w:val="20"/>
          <w:shd w:val="clear" w:color="auto" w:fill="FFFFFF"/>
          <w:lang w:val="en-US" w:bidi="ar-SA"/>
          <w14:ligatures w14:val="none"/>
        </w:rPr>
        <w:t>(</w:t>
      </w:r>
      <w:r w:rsidR="00BF6129" w:rsidRPr="00173175">
        <w:rPr>
          <w:rFonts w:ascii="Arial" w:hAnsi="Arial" w:cs="Arial"/>
          <w:sz w:val="20"/>
        </w:rPr>
        <w:t>Dahlquist et al., 2023).</w:t>
      </w:r>
      <w:r w:rsidRPr="00173175">
        <w:rPr>
          <w:rFonts w:ascii="Arial" w:eastAsia="Calibri" w:hAnsi="Arial" w:cs="Arial"/>
          <w:kern w:val="0"/>
          <w:sz w:val="20"/>
          <w:shd w:val="clear" w:color="auto" w:fill="FFFFFF"/>
          <w:lang w:val="en-US" w:bidi="ar-SA"/>
          <w14:ligatures w14:val="none"/>
        </w:rPr>
        <w:t xml:space="preserve"> </w:t>
      </w:r>
      <w:r w:rsidR="00F53043" w:rsidRPr="00173175">
        <w:rPr>
          <w:rFonts w:ascii="Arial" w:eastAsia="Calibri" w:hAnsi="Arial" w:cs="Arial"/>
          <w:kern w:val="0"/>
          <w:sz w:val="20"/>
          <w:lang w:val="en-US" w:bidi="ar-SA"/>
          <w14:ligatures w14:val="none"/>
        </w:rPr>
        <w:t xml:space="preserve">Studies also </w:t>
      </w:r>
      <w:r w:rsidR="00F53043" w:rsidRPr="00173175">
        <w:rPr>
          <w:rFonts w:ascii="Arial" w:eastAsia="Calibri" w:hAnsi="Arial" w:cs="Arial"/>
          <w:kern w:val="0"/>
          <w:sz w:val="20"/>
          <w:lang w:val="en-US" w:bidi="ar-SA"/>
          <w14:ligatures w14:val="none"/>
        </w:rPr>
        <w:lastRenderedPageBreak/>
        <w:t xml:space="preserve">suggest that peptides derived from bitter melon can inhibit angiotensin-converting enzyme (ACE), a critical enzyme in blood pressure regulation. This activity, combined with its antidiabetic effects, makes it potentially beneficial for individuals with metabolic syndrome, </w:t>
      </w:r>
      <w:r w:rsidR="00F53043" w:rsidRPr="009E2FA1">
        <w:rPr>
          <w:rFonts w:ascii="Arial" w:eastAsia="Calibri" w:hAnsi="Arial" w:cs="Arial"/>
          <w:kern w:val="0"/>
          <w:sz w:val="20"/>
          <w:lang w:val="en-US" w:bidi="ar-SA"/>
          <w14:ligatures w14:val="none"/>
        </w:rPr>
        <w:t>which often includes both diabetes and hypertension</w:t>
      </w:r>
      <w:r w:rsidR="00BF6129" w:rsidRPr="009E2FA1">
        <w:rPr>
          <w:rFonts w:ascii="Arial" w:eastAsia="Calibri" w:hAnsi="Arial" w:cs="Arial"/>
          <w:kern w:val="0"/>
          <w:sz w:val="20"/>
          <w:vertAlign w:val="superscript"/>
          <w:lang w:val="en-US" w:bidi="ar-SA"/>
          <w14:ligatures w14:val="none"/>
        </w:rPr>
        <w:t xml:space="preserve"> </w:t>
      </w:r>
      <w:r w:rsidR="00BF6129" w:rsidRPr="009E2FA1">
        <w:rPr>
          <w:rFonts w:ascii="Arial" w:eastAsia="Calibri" w:hAnsi="Arial" w:cs="Arial"/>
          <w:kern w:val="0"/>
          <w:sz w:val="20"/>
          <w:lang w:bidi="ar-SA"/>
          <w14:ligatures w14:val="none"/>
        </w:rPr>
        <w:t>(</w:t>
      </w:r>
      <w:r w:rsidR="00BF6129" w:rsidRPr="009E2FA1">
        <w:rPr>
          <w:rFonts w:ascii="Arial" w:hAnsi="Arial" w:cs="Arial"/>
          <w:sz w:val="20"/>
        </w:rPr>
        <w:t xml:space="preserve">Dahlquist et al., 2023; hung et al., 2024). </w:t>
      </w:r>
      <w:r w:rsidR="004048A7" w:rsidRPr="009E2FA1">
        <w:rPr>
          <w:rFonts w:ascii="Arial" w:eastAsia="Calibri" w:hAnsi="Arial" w:cs="Arial"/>
          <w:kern w:val="0"/>
          <w:sz w:val="20"/>
          <w:highlight w:val="yellow"/>
          <w:lang w:bidi="ar-SA"/>
          <w14:ligatures w14:val="none"/>
        </w:rPr>
        <w:t xml:space="preserve">A study using alloxan-induced diabetic albino rats demonstrated the </w:t>
      </w:r>
      <w:proofErr w:type="spellStart"/>
      <w:r w:rsidR="004048A7" w:rsidRPr="009E2FA1">
        <w:rPr>
          <w:rFonts w:ascii="Arial" w:eastAsia="Calibri" w:hAnsi="Arial" w:cs="Arial"/>
          <w:kern w:val="0"/>
          <w:sz w:val="20"/>
          <w:highlight w:val="yellow"/>
          <w:lang w:bidi="ar-SA"/>
          <w14:ligatures w14:val="none"/>
        </w:rPr>
        <w:t>hypoglycemic</w:t>
      </w:r>
      <w:proofErr w:type="spellEnd"/>
      <w:r w:rsidR="004048A7" w:rsidRPr="009E2FA1">
        <w:rPr>
          <w:rFonts w:ascii="Arial" w:eastAsia="Calibri" w:hAnsi="Arial" w:cs="Arial"/>
          <w:kern w:val="0"/>
          <w:sz w:val="20"/>
          <w:highlight w:val="yellow"/>
          <w:lang w:bidi="ar-SA"/>
          <w14:ligatures w14:val="none"/>
        </w:rPr>
        <w:t xml:space="preserve"> effects of </w:t>
      </w:r>
      <w:r w:rsidR="004048A7" w:rsidRPr="009E2FA1">
        <w:rPr>
          <w:rFonts w:ascii="Arial" w:eastAsia="Calibri" w:hAnsi="Arial" w:cs="Arial"/>
          <w:i/>
          <w:iCs/>
          <w:kern w:val="0"/>
          <w:sz w:val="20"/>
          <w:highlight w:val="yellow"/>
          <w:lang w:bidi="ar-SA"/>
          <w14:ligatures w14:val="none"/>
        </w:rPr>
        <w:t xml:space="preserve">Momordica </w:t>
      </w:r>
      <w:proofErr w:type="spellStart"/>
      <w:r w:rsidR="004048A7" w:rsidRPr="009E2FA1">
        <w:rPr>
          <w:rFonts w:ascii="Arial" w:eastAsia="Calibri" w:hAnsi="Arial" w:cs="Arial"/>
          <w:i/>
          <w:iCs/>
          <w:kern w:val="0"/>
          <w:sz w:val="20"/>
          <w:highlight w:val="yellow"/>
          <w:lang w:bidi="ar-SA"/>
          <w14:ligatures w14:val="none"/>
        </w:rPr>
        <w:t>charantia</w:t>
      </w:r>
      <w:proofErr w:type="spellEnd"/>
      <w:r w:rsidR="004048A7" w:rsidRPr="009E2FA1">
        <w:rPr>
          <w:rFonts w:ascii="Arial" w:eastAsia="Calibri" w:hAnsi="Arial" w:cs="Arial"/>
          <w:kern w:val="0"/>
          <w:sz w:val="20"/>
          <w:highlight w:val="yellow"/>
          <w:lang w:bidi="ar-SA"/>
          <w14:ligatures w14:val="none"/>
        </w:rPr>
        <w:t xml:space="preserve"> methanolic extract, showing a dose-dependent reduction in blood glucose levels. This provides scientific support for its potential use as a natural remedy for managing diabetes (</w:t>
      </w:r>
      <w:proofErr w:type="spellStart"/>
      <w:r w:rsidR="004048A7" w:rsidRPr="009E2FA1">
        <w:rPr>
          <w:rFonts w:ascii="Arial" w:eastAsia="Calibri" w:hAnsi="Arial" w:cs="Arial"/>
          <w:kern w:val="0"/>
          <w:sz w:val="20"/>
          <w:highlight w:val="yellow"/>
          <w:lang w:bidi="ar-SA"/>
          <w14:ligatures w14:val="none"/>
        </w:rPr>
        <w:t>kumar</w:t>
      </w:r>
      <w:proofErr w:type="spellEnd"/>
      <w:r w:rsidR="004048A7" w:rsidRPr="009E2FA1">
        <w:rPr>
          <w:rFonts w:ascii="Arial" w:eastAsia="Calibri" w:hAnsi="Arial" w:cs="Arial"/>
          <w:kern w:val="0"/>
          <w:sz w:val="20"/>
          <w:highlight w:val="yellow"/>
          <w:lang w:bidi="ar-SA"/>
          <w14:ligatures w14:val="none"/>
        </w:rPr>
        <w:t xml:space="preserve"> et al., 2024)</w:t>
      </w:r>
    </w:p>
    <w:p w14:paraId="1F80CCA5" w14:textId="5777AE89" w:rsidR="004867AE" w:rsidRPr="00173175" w:rsidRDefault="00405692" w:rsidP="00037D6A">
      <w:pPr>
        <w:spacing w:after="0" w:line="276" w:lineRule="auto"/>
        <w:jc w:val="both"/>
        <w:rPr>
          <w:rFonts w:ascii="Arial" w:eastAsia="Calibri" w:hAnsi="Arial" w:cs="Arial"/>
          <w:kern w:val="0"/>
          <w:sz w:val="20"/>
          <w:shd w:val="clear" w:color="auto" w:fill="FFFFFF"/>
          <w:lang w:val="en-US" w:bidi="ar-SA"/>
          <w14:ligatures w14:val="none"/>
        </w:rPr>
      </w:pPr>
      <w:r w:rsidRPr="00173175">
        <w:rPr>
          <w:rFonts w:ascii="Arial" w:eastAsia="Calibri" w:hAnsi="Arial" w:cs="Arial"/>
          <w:kern w:val="0"/>
          <w:sz w:val="20"/>
          <w:shd w:val="clear" w:color="auto" w:fill="FFFFFF"/>
          <w:lang w:val="en-US" w:bidi="ar-SA"/>
          <w14:ligatures w14:val="none"/>
        </w:rPr>
        <w:t xml:space="preserve">                          </w:t>
      </w:r>
      <w:r w:rsidR="000B59E1" w:rsidRPr="00173175">
        <w:rPr>
          <w:rFonts w:ascii="Arial" w:eastAsia="Calibri" w:hAnsi="Arial" w:cs="Arial"/>
          <w:kern w:val="0"/>
          <w:sz w:val="20"/>
          <w:shd w:val="clear" w:color="auto" w:fill="FFFFFF"/>
          <w:lang w:val="en-US" w:bidi="ar-SA"/>
          <w14:ligatures w14:val="none"/>
        </w:rPr>
        <w:t xml:space="preserve">Bitter melon (Momordica </w:t>
      </w:r>
      <w:proofErr w:type="spellStart"/>
      <w:r w:rsidR="000B59E1" w:rsidRPr="00173175">
        <w:rPr>
          <w:rFonts w:ascii="Arial" w:eastAsia="Calibri" w:hAnsi="Arial" w:cs="Arial"/>
          <w:kern w:val="0"/>
          <w:sz w:val="20"/>
          <w:shd w:val="clear" w:color="auto" w:fill="FFFFFF"/>
          <w:lang w:val="en-US" w:bidi="ar-SA"/>
          <w14:ligatures w14:val="none"/>
        </w:rPr>
        <w:t>charantia</w:t>
      </w:r>
      <w:proofErr w:type="spellEnd"/>
      <w:r w:rsidR="000B59E1" w:rsidRPr="00173175">
        <w:rPr>
          <w:rFonts w:ascii="Arial" w:eastAsia="Calibri" w:hAnsi="Arial" w:cs="Arial"/>
          <w:kern w:val="0"/>
          <w:sz w:val="20"/>
          <w:shd w:val="clear" w:color="auto" w:fill="FFFFFF"/>
          <w:lang w:val="en-US" w:bidi="ar-SA"/>
          <w14:ligatures w14:val="none"/>
        </w:rPr>
        <w:t>) has demonstrated potential benefits for managing both type 2 diabetes mellitus (T2DM) and hypertension. Despite</w:t>
      </w:r>
      <w:r w:rsidR="001C4E6A" w:rsidRPr="00173175">
        <w:rPr>
          <w:rFonts w:ascii="Arial" w:eastAsia="Calibri" w:hAnsi="Arial" w:cs="Arial"/>
          <w:kern w:val="0"/>
          <w:sz w:val="20"/>
          <w:shd w:val="clear" w:color="auto" w:fill="FFFFFF"/>
          <w:lang w:val="en-US" w:bidi="ar-SA"/>
          <w14:ligatures w14:val="none"/>
        </w:rPr>
        <w:t xml:space="preserve"> its observed benefits, no studies have specifically explored the relationship between bitter melon consumption, HbA1c levels, and the coexistence of diabetes and hypertension. Further research is needed to clarify these effects. Thus, present descriptive study aims to examine the connection between bitter melon consumption and HbA1c% in individuals with T2DM and comorbid diabetic hypertension</w:t>
      </w:r>
      <w:r w:rsidRPr="00173175">
        <w:rPr>
          <w:rFonts w:ascii="Arial" w:eastAsia="Calibri" w:hAnsi="Arial" w:cs="Arial"/>
          <w:kern w:val="0"/>
          <w:sz w:val="20"/>
          <w:shd w:val="clear" w:color="auto" w:fill="FFFFFF"/>
          <w:lang w:val="en-US" w:bidi="ar-SA"/>
          <w14:ligatures w14:val="none"/>
        </w:rPr>
        <w:t>.</w:t>
      </w:r>
    </w:p>
    <w:p w14:paraId="64082424" w14:textId="77777777" w:rsidR="00405692" w:rsidRPr="00037593" w:rsidRDefault="00405692"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D882A32" w14:textId="088A8818" w:rsidR="00AC1256" w:rsidRPr="009F220E" w:rsidRDefault="009F220E" w:rsidP="00037D6A">
      <w:pPr>
        <w:spacing w:after="0" w:line="276" w:lineRule="auto"/>
        <w:jc w:val="both"/>
        <w:rPr>
          <w:rFonts w:ascii="Arial" w:eastAsia="Calibri" w:hAnsi="Arial" w:cs="Arial"/>
          <w:b/>
          <w:bCs/>
          <w:kern w:val="0"/>
          <w:szCs w:val="22"/>
          <w:lang w:val="en-US" w:bidi="ar-SA"/>
          <w14:ligatures w14:val="none"/>
        </w:rPr>
      </w:pPr>
      <w:r w:rsidRPr="009F220E">
        <w:rPr>
          <w:rFonts w:ascii="Arial" w:eastAsia="Calibri" w:hAnsi="Arial" w:cs="Arial"/>
          <w:b/>
          <w:bCs/>
          <w:kern w:val="0"/>
          <w:szCs w:val="22"/>
          <w:lang w:val="en-US" w:bidi="ar-SA"/>
          <w14:ligatures w14:val="none"/>
        </w:rPr>
        <w:t>METHODOLOGY</w:t>
      </w:r>
    </w:p>
    <w:p w14:paraId="37B85682" w14:textId="77777777" w:rsidR="004867AE" w:rsidRPr="00037593" w:rsidRDefault="004867AE" w:rsidP="00037D6A">
      <w:pPr>
        <w:spacing w:after="0" w:line="276" w:lineRule="auto"/>
        <w:jc w:val="both"/>
        <w:rPr>
          <w:rFonts w:ascii="Times New Roman" w:eastAsia="Calibri" w:hAnsi="Times New Roman" w:cs="Times New Roman"/>
          <w:b/>
          <w:bCs/>
          <w:kern w:val="0"/>
          <w:sz w:val="20"/>
          <w:lang w:val="en-US" w:bidi="ar-SA"/>
          <w14:ligatures w14:val="none"/>
        </w:rPr>
      </w:pPr>
    </w:p>
    <w:p w14:paraId="4BC7A684" w14:textId="5A1C85B4" w:rsidR="00AC1256" w:rsidRPr="00173175" w:rsidRDefault="00AC1256" w:rsidP="00037D6A">
      <w:pPr>
        <w:spacing w:after="0" w:line="276" w:lineRule="auto"/>
        <w:jc w:val="both"/>
        <w:rPr>
          <w:rFonts w:ascii="Arial" w:eastAsia="Calibri" w:hAnsi="Arial" w:cs="Arial"/>
          <w:b/>
          <w:bCs/>
          <w:kern w:val="0"/>
          <w:szCs w:val="22"/>
          <w:lang w:val="en-US" w:bidi="ar-SA"/>
          <w14:ligatures w14:val="none"/>
        </w:rPr>
      </w:pPr>
      <w:r w:rsidRPr="00173175">
        <w:rPr>
          <w:rFonts w:ascii="Arial" w:eastAsia="Calibri" w:hAnsi="Arial" w:cs="Arial"/>
          <w:b/>
          <w:bCs/>
          <w:kern w:val="0"/>
          <w:szCs w:val="22"/>
          <w:lang w:val="en-US" w:bidi="ar-SA"/>
          <w14:ligatures w14:val="none"/>
        </w:rPr>
        <w:t xml:space="preserve">Research </w:t>
      </w:r>
      <w:r w:rsidR="00221AD7" w:rsidRPr="00173175">
        <w:rPr>
          <w:rFonts w:ascii="Arial" w:eastAsia="Calibri" w:hAnsi="Arial" w:cs="Arial"/>
          <w:b/>
          <w:bCs/>
          <w:kern w:val="0"/>
          <w:szCs w:val="22"/>
          <w:lang w:val="en-US" w:bidi="ar-SA"/>
          <w14:ligatures w14:val="none"/>
        </w:rPr>
        <w:t>Design and Participants</w:t>
      </w:r>
    </w:p>
    <w:p w14:paraId="454BF470" w14:textId="77777777" w:rsidR="00AC1256" w:rsidRPr="00EE63EB" w:rsidRDefault="00AC1256" w:rsidP="00037D6A">
      <w:pPr>
        <w:spacing w:after="0" w:line="276" w:lineRule="auto"/>
        <w:jc w:val="both"/>
        <w:rPr>
          <w:rFonts w:ascii="Times New Roman" w:eastAsia="Calibri" w:hAnsi="Times New Roman" w:cs="Times New Roman"/>
          <w:kern w:val="0"/>
          <w:sz w:val="20"/>
          <w:lang w:val="en-US" w:bidi="ar-SA"/>
          <w14:ligatures w14:val="none"/>
        </w:rPr>
      </w:pPr>
    </w:p>
    <w:p w14:paraId="0DED4867" w14:textId="2F46ED7D" w:rsidR="00AC1256" w:rsidRPr="00173175" w:rsidRDefault="000B59E1" w:rsidP="00037D6A">
      <w:pPr>
        <w:spacing w:after="0" w:line="276" w:lineRule="auto"/>
        <w:jc w:val="both"/>
        <w:rPr>
          <w:rFonts w:ascii="Arial" w:eastAsia="Calibri" w:hAnsi="Arial" w:cs="Arial"/>
          <w:b/>
          <w:bCs/>
          <w:kern w:val="0"/>
          <w:sz w:val="20"/>
          <w:lang w:val="en-US" w:bidi="ar-SA"/>
          <w14:ligatures w14:val="none"/>
        </w:rPr>
      </w:pPr>
      <w:r w:rsidRPr="00173175">
        <w:rPr>
          <w:rFonts w:ascii="Arial" w:eastAsia="Calibri" w:hAnsi="Arial" w:cs="Arial"/>
          <w:kern w:val="0"/>
          <w:sz w:val="20"/>
          <w:lang w:val="en-US" w:bidi="ar-SA"/>
          <w14:ligatures w14:val="none"/>
        </w:rPr>
        <w:t xml:space="preserve">This hospital-based cross-sectional study was conducted on patients with type 2 diabetes mellitus (T2DM) and hypertension (HTN) attending the outpatient clinics of the Endocrinology and General Medicine Departments at Jawaharlal Nehru Medical College and Hospital (JNMCH), Aligarh. Participants included male and female patients aged 20 years or older from diverse socioeconomic backgrounds residing in Aligarh city and who were regular visitors to JNMCH. </w:t>
      </w:r>
      <w:r w:rsidR="00AC1256" w:rsidRPr="00173175">
        <w:rPr>
          <w:rFonts w:ascii="Arial" w:eastAsia="Calibri" w:hAnsi="Arial" w:cs="Arial"/>
          <w:kern w:val="0"/>
          <w:sz w:val="20"/>
          <w:lang w:val="en-US" w:bidi="ar-SA"/>
          <w14:ligatures w14:val="none"/>
        </w:rPr>
        <w:t>Pregnant women and patients with severe illness were excluded from the analysis.</w:t>
      </w:r>
      <w:r w:rsidRPr="00173175">
        <w:rPr>
          <w:rFonts w:ascii="Arial" w:hAnsi="Arial" w:cs="Arial"/>
          <w:sz w:val="20"/>
        </w:rPr>
        <w:t xml:space="preserve"> </w:t>
      </w:r>
      <w:r w:rsidRPr="00173175">
        <w:rPr>
          <w:rFonts w:ascii="Arial" w:eastAsia="Calibri" w:hAnsi="Arial" w:cs="Arial"/>
          <w:kern w:val="0"/>
          <w:sz w:val="20"/>
          <w:lang w:val="en-US" w:bidi="ar-SA"/>
          <w14:ligatures w14:val="none"/>
        </w:rPr>
        <w:t>This design ensured a representative sample of individuals with comorbid T2DM and HTN for analysis.</w:t>
      </w:r>
    </w:p>
    <w:p w14:paraId="62FF577B"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78CBEF22" w14:textId="6BD1B406" w:rsidR="00AC1256" w:rsidRPr="00173175" w:rsidRDefault="00AC1256" w:rsidP="00037D6A">
      <w:pPr>
        <w:spacing w:after="0" w:line="276" w:lineRule="auto"/>
        <w:jc w:val="both"/>
        <w:rPr>
          <w:rFonts w:ascii="Arial" w:eastAsia="Calibri" w:hAnsi="Arial" w:cs="Arial"/>
          <w:kern w:val="0"/>
          <w:szCs w:val="22"/>
          <w:lang w:val="en-US" w:bidi="ar-SA"/>
          <w14:ligatures w14:val="none"/>
        </w:rPr>
      </w:pPr>
      <w:r w:rsidRPr="00173175">
        <w:rPr>
          <w:rFonts w:ascii="Arial" w:eastAsia="Calibri" w:hAnsi="Arial" w:cs="Arial"/>
          <w:b/>
          <w:bCs/>
          <w:kern w:val="0"/>
          <w:szCs w:val="22"/>
          <w:lang w:val="en-US" w:bidi="ar-SA"/>
          <w14:ligatures w14:val="none"/>
        </w:rPr>
        <w:t xml:space="preserve">Sampling </w:t>
      </w:r>
      <w:r w:rsidR="00892798" w:rsidRPr="00173175">
        <w:rPr>
          <w:rFonts w:ascii="Arial" w:eastAsia="Calibri" w:hAnsi="Arial" w:cs="Arial"/>
          <w:b/>
          <w:bCs/>
          <w:kern w:val="0"/>
          <w:szCs w:val="22"/>
          <w:lang w:val="en-US" w:bidi="ar-SA"/>
          <w14:ligatures w14:val="none"/>
        </w:rPr>
        <w:t xml:space="preserve">Design </w:t>
      </w:r>
    </w:p>
    <w:p w14:paraId="42A1E94E" w14:textId="77777777" w:rsidR="00AC1256" w:rsidRPr="00037593" w:rsidRDefault="00AC1256" w:rsidP="00037D6A">
      <w:pPr>
        <w:spacing w:after="0" w:line="276" w:lineRule="auto"/>
        <w:jc w:val="both"/>
        <w:rPr>
          <w:rFonts w:ascii="Times New Roman" w:eastAsia="Calibri" w:hAnsi="Times New Roman" w:cs="Times New Roman"/>
          <w:kern w:val="0"/>
          <w:sz w:val="24"/>
          <w:szCs w:val="24"/>
          <w:lang w:val="en-US" w:bidi="ar-SA"/>
          <w14:ligatures w14:val="none"/>
        </w:rPr>
      </w:pPr>
    </w:p>
    <w:p w14:paraId="58803C36" w14:textId="43EEC326" w:rsidR="00AC1256" w:rsidRPr="00BA6B68" w:rsidRDefault="00AC1256" w:rsidP="00037D6A">
      <w:pPr>
        <w:spacing w:after="0" w:line="276" w:lineRule="auto"/>
        <w:jc w:val="both"/>
        <w:rPr>
          <w:rFonts w:ascii="Arial" w:eastAsia="Calibri" w:hAnsi="Arial" w:cs="Arial"/>
          <w:b/>
          <w:bCs/>
          <w:kern w:val="0"/>
          <w:sz w:val="20"/>
          <w:lang w:val="en-US" w:bidi="ar-SA"/>
          <w14:ligatures w14:val="none"/>
        </w:rPr>
      </w:pPr>
      <w:r w:rsidRPr="00BA6B68">
        <w:rPr>
          <w:rFonts w:ascii="Arial" w:eastAsia="Calibri" w:hAnsi="Arial" w:cs="Arial"/>
          <w:kern w:val="0"/>
          <w:sz w:val="20"/>
          <w:lang w:val="en-US" w:bidi="ar-SA"/>
          <w14:ligatures w14:val="none"/>
        </w:rPr>
        <w:t>On the basis of the earlier prevalence of the disease in Aligarh</w:t>
      </w:r>
      <w:r w:rsidR="00374DB9" w:rsidRPr="00BA6B68">
        <w:rPr>
          <w:rFonts w:ascii="Arial" w:eastAsia="Calibri" w:hAnsi="Arial" w:cs="Arial"/>
          <w:kern w:val="0"/>
          <w:sz w:val="20"/>
          <w:vertAlign w:val="superscript"/>
          <w:lang w:val="en-US" w:bidi="ar-SA"/>
          <w14:ligatures w14:val="none"/>
        </w:rPr>
        <w:t xml:space="preserve"> </w:t>
      </w:r>
      <w:r w:rsidR="00374DB9" w:rsidRPr="00BA6B68">
        <w:rPr>
          <w:rFonts w:ascii="Arial" w:eastAsia="Calibri" w:hAnsi="Arial" w:cs="Arial"/>
          <w:kern w:val="0"/>
          <w:sz w:val="20"/>
          <w:lang w:val="en-US" w:bidi="ar-SA"/>
          <w14:ligatures w14:val="none"/>
        </w:rPr>
        <w:t>(NFHS, 2016),</w:t>
      </w:r>
      <w:r w:rsidRPr="00BA6B68">
        <w:rPr>
          <w:rFonts w:ascii="Arial" w:eastAsia="Calibri" w:hAnsi="Arial" w:cs="Arial"/>
          <w:kern w:val="0"/>
          <w:sz w:val="20"/>
          <w:lang w:val="en-US" w:bidi="ar-SA"/>
          <w14:ligatures w14:val="none"/>
        </w:rPr>
        <w:t xml:space="preserve"> A calculated sample size of diabetes and hypertension were 160 and 110, by using the simplified sample size formula for proportions n = 4pq/ l</w:t>
      </w:r>
      <w:proofErr w:type="gramStart"/>
      <w:r w:rsidRPr="00BA6B68">
        <w:rPr>
          <w:rFonts w:ascii="Arial" w:eastAsia="Calibri" w:hAnsi="Arial" w:cs="Arial"/>
          <w:kern w:val="0"/>
          <w:sz w:val="20"/>
          <w:vertAlign w:val="superscript"/>
          <w:lang w:val="en-US" w:bidi="ar-SA"/>
          <w14:ligatures w14:val="none"/>
        </w:rPr>
        <w:t>2</w:t>
      </w:r>
      <w:r w:rsidR="005A6574" w:rsidRPr="00BA6B68">
        <w:rPr>
          <w:rFonts w:ascii="Arial" w:eastAsia="Calibri" w:hAnsi="Arial" w:cs="Arial"/>
          <w:kern w:val="0"/>
          <w:sz w:val="20"/>
          <w:vertAlign w:val="superscript"/>
          <w:lang w:val="en-US" w:bidi="ar-SA"/>
          <w14:ligatures w14:val="none"/>
        </w:rPr>
        <w:t xml:space="preserve">  </w:t>
      </w:r>
      <w:r w:rsidRPr="00BA6B68">
        <w:rPr>
          <w:rFonts w:ascii="Arial" w:eastAsia="Calibri" w:hAnsi="Arial" w:cs="Arial"/>
          <w:kern w:val="0"/>
          <w:sz w:val="20"/>
          <w:lang w:val="en-US" w:bidi="ar-SA"/>
          <w14:ligatures w14:val="none"/>
        </w:rPr>
        <w:t>with</w:t>
      </w:r>
      <w:proofErr w:type="gramEnd"/>
      <w:r w:rsidRPr="00BA6B68">
        <w:rPr>
          <w:rFonts w:ascii="Arial" w:eastAsia="Calibri" w:hAnsi="Arial" w:cs="Arial"/>
          <w:kern w:val="0"/>
          <w:sz w:val="20"/>
          <w:lang w:val="en-US" w:bidi="ar-SA"/>
          <w14:ligatures w14:val="none"/>
        </w:rPr>
        <w:t xml:space="preserve"> 5 % relative error respectively</w:t>
      </w:r>
      <w:r w:rsidR="005A6574" w:rsidRPr="00BA6B68">
        <w:rPr>
          <w:rFonts w:ascii="Arial" w:eastAsia="Calibri" w:hAnsi="Arial" w:cs="Arial"/>
          <w:kern w:val="0"/>
          <w:sz w:val="20"/>
          <w:lang w:val="en-US" w:bidi="ar-SA"/>
          <w14:ligatures w14:val="none"/>
        </w:rPr>
        <w:t xml:space="preserve"> </w:t>
      </w:r>
      <w:r w:rsidR="005A6574" w:rsidRPr="00BA6B68">
        <w:rPr>
          <w:rFonts w:ascii="Arial" w:hAnsi="Arial" w:cs="Arial"/>
          <w:sz w:val="20"/>
        </w:rPr>
        <w:t>(Singh &amp; Masuku, 2014)</w:t>
      </w:r>
      <w:r w:rsidRPr="00BA6B68">
        <w:rPr>
          <w:rFonts w:ascii="Arial" w:eastAsia="Calibri" w:hAnsi="Arial" w:cs="Arial"/>
          <w:kern w:val="0"/>
          <w:sz w:val="20"/>
          <w:lang w:val="en-US" w:bidi="ar-SA"/>
          <w14:ligatures w14:val="none"/>
        </w:rPr>
        <w:t>. Quota sampling technique was used to select the sample. Furthermore, patients were stratified based on their disease situation such as patients with T2DM and HTN and T2DM*HTN. During the study period of 6 months from August 2017 to January 2018, approximately 336 cases were identified. Out of which around 320 cases were selected for the final study. Moreover, nearly 60 cases of diabetic hypertensive (T2DM*HTN) were extracted among the total sample (N = 320).</w:t>
      </w:r>
    </w:p>
    <w:p w14:paraId="4A92CC84" w14:textId="77777777" w:rsidR="00AC1256" w:rsidRPr="00037593" w:rsidRDefault="00AC1256" w:rsidP="00037D6A">
      <w:pPr>
        <w:spacing w:after="0" w:line="276" w:lineRule="auto"/>
        <w:jc w:val="both"/>
        <w:rPr>
          <w:rFonts w:ascii="Times New Roman" w:eastAsia="Calibri" w:hAnsi="Times New Roman" w:cs="Times New Roman"/>
          <w:b/>
          <w:bCs/>
          <w:kern w:val="0"/>
          <w:sz w:val="20"/>
          <w:lang w:val="en-US" w:bidi="ar-SA"/>
          <w14:ligatures w14:val="none"/>
        </w:rPr>
      </w:pPr>
    </w:p>
    <w:p w14:paraId="7CBCC92E" w14:textId="42669F7D" w:rsidR="00AC1256" w:rsidRPr="00A61968" w:rsidRDefault="00AC1256" w:rsidP="00037D6A">
      <w:pPr>
        <w:spacing w:after="0" w:line="276" w:lineRule="auto"/>
        <w:jc w:val="both"/>
        <w:rPr>
          <w:rFonts w:ascii="Arial" w:eastAsia="Calibri" w:hAnsi="Arial" w:cs="Arial"/>
          <w:kern w:val="0"/>
          <w:szCs w:val="22"/>
          <w:lang w:val="en-US" w:bidi="ar-SA"/>
          <w14:ligatures w14:val="none"/>
        </w:rPr>
      </w:pPr>
      <w:r w:rsidRPr="00A61968">
        <w:rPr>
          <w:rFonts w:ascii="Arial" w:eastAsia="Calibri" w:hAnsi="Arial" w:cs="Arial"/>
          <w:b/>
          <w:bCs/>
          <w:kern w:val="0"/>
          <w:szCs w:val="22"/>
          <w:lang w:val="en-US" w:bidi="ar-SA"/>
          <w14:ligatures w14:val="none"/>
        </w:rPr>
        <w:t xml:space="preserve">Tools </w:t>
      </w:r>
      <w:r w:rsidR="00892798" w:rsidRPr="00A61968">
        <w:rPr>
          <w:rFonts w:ascii="Arial" w:eastAsia="Calibri" w:hAnsi="Arial" w:cs="Arial"/>
          <w:b/>
          <w:bCs/>
          <w:kern w:val="0"/>
          <w:szCs w:val="22"/>
          <w:lang w:val="en-US" w:bidi="ar-SA"/>
          <w14:ligatures w14:val="none"/>
        </w:rPr>
        <w:t xml:space="preserve">For </w:t>
      </w:r>
      <w:r w:rsidRPr="00A61968">
        <w:rPr>
          <w:rFonts w:ascii="Arial" w:eastAsia="Calibri" w:hAnsi="Arial" w:cs="Arial"/>
          <w:b/>
          <w:bCs/>
          <w:kern w:val="0"/>
          <w:szCs w:val="22"/>
          <w:lang w:val="en-US" w:bidi="ar-SA"/>
          <w14:ligatures w14:val="none"/>
        </w:rPr>
        <w:t xml:space="preserve">Data Collection </w:t>
      </w:r>
    </w:p>
    <w:p w14:paraId="6C7AFA2B" w14:textId="77777777" w:rsidR="00A3635A" w:rsidRPr="00037593" w:rsidRDefault="00AC1256" w:rsidP="00037D6A">
      <w:pPr>
        <w:spacing w:after="0" w:line="276" w:lineRule="auto"/>
        <w:jc w:val="both"/>
        <w:rPr>
          <w:rFonts w:ascii="Times New Roman" w:eastAsia="Calibri" w:hAnsi="Times New Roman" w:cs="Times New Roman"/>
          <w:kern w:val="0"/>
          <w:szCs w:val="22"/>
          <w:lang w:val="en-US" w:bidi="ar-SA"/>
          <w14:ligatures w14:val="none"/>
        </w:rPr>
      </w:pPr>
      <w:r w:rsidRPr="00037593">
        <w:rPr>
          <w:rFonts w:ascii="Times New Roman" w:eastAsia="Calibri" w:hAnsi="Times New Roman" w:cs="Times New Roman"/>
          <w:kern w:val="0"/>
          <w:szCs w:val="22"/>
          <w:lang w:val="en-US" w:bidi="ar-SA"/>
          <w14:ligatures w14:val="none"/>
        </w:rPr>
        <w:t xml:space="preserve"> </w:t>
      </w:r>
    </w:p>
    <w:p w14:paraId="29684FCB" w14:textId="70FCE7D8" w:rsidR="00AC1256" w:rsidRPr="00A61968" w:rsidRDefault="00AC1256" w:rsidP="00037D6A">
      <w:pPr>
        <w:spacing w:after="0" w:line="276" w:lineRule="auto"/>
        <w:jc w:val="both"/>
        <w:rPr>
          <w:rFonts w:ascii="Arial" w:eastAsia="Calibri" w:hAnsi="Arial" w:cs="Arial"/>
          <w:kern w:val="0"/>
          <w:sz w:val="20"/>
          <w:lang w:val="en-US" w:bidi="ar-SA"/>
          <w14:ligatures w14:val="none"/>
        </w:rPr>
      </w:pPr>
      <w:r w:rsidRPr="00A61968">
        <w:rPr>
          <w:rFonts w:ascii="Arial" w:eastAsia="Calibri" w:hAnsi="Arial" w:cs="Arial"/>
          <w:kern w:val="0"/>
          <w:sz w:val="20"/>
          <w:lang w:val="en-US" w:bidi="ar-SA"/>
          <w14:ligatures w14:val="none"/>
        </w:rPr>
        <w:t xml:space="preserve">A valid and reliable (Cronbach's alpha = 0.896) self-prepared questionnaire cum interview schedule was designed to collect data regarding demographic information, anthropometric, clinical history, and detailed dietary habits from patients. A signed informed </w:t>
      </w:r>
      <w:r w:rsidR="0099142B">
        <w:rPr>
          <w:rFonts w:ascii="Arial" w:eastAsia="Calibri" w:hAnsi="Arial" w:cs="Arial"/>
          <w:kern w:val="0"/>
          <w:sz w:val="20"/>
          <w:lang w:val="en-US" w:bidi="ar-SA"/>
          <w14:ligatures w14:val="none"/>
        </w:rPr>
        <w:t>written</w:t>
      </w:r>
      <w:r w:rsidRPr="00A61968">
        <w:rPr>
          <w:rFonts w:ascii="Arial" w:eastAsia="Calibri" w:hAnsi="Arial" w:cs="Arial"/>
          <w:kern w:val="0"/>
          <w:sz w:val="20"/>
          <w:lang w:val="en-US" w:bidi="ar-SA"/>
          <w14:ligatures w14:val="none"/>
        </w:rPr>
        <w:t xml:space="preserve"> consent was also taken. </w:t>
      </w:r>
      <w:r w:rsidR="00CC3F20" w:rsidRPr="00A61968">
        <w:rPr>
          <w:rFonts w:ascii="Arial" w:eastAsia="Calibri" w:hAnsi="Arial" w:cs="Arial"/>
          <w:kern w:val="0"/>
          <w:sz w:val="20"/>
          <w:lang w:val="en-US" w:bidi="ar-SA"/>
          <w14:ligatures w14:val="none"/>
        </w:rPr>
        <w:t xml:space="preserve">The height and weight were measured with the help of the standard stature meter </w:t>
      </w:r>
      <w:r w:rsidR="00CC3F20" w:rsidRPr="00A61968">
        <w:rPr>
          <w:rFonts w:ascii="Arial" w:hAnsi="Arial" w:cs="Arial"/>
          <w:sz w:val="20"/>
        </w:rPr>
        <w:t>(MCP Stature-meter04, manufactured by MCP, India)</w:t>
      </w:r>
      <w:r w:rsidR="00CC3F20" w:rsidRPr="00A61968">
        <w:rPr>
          <w:rFonts w:ascii="Arial" w:eastAsia="Calibri" w:hAnsi="Arial" w:cs="Arial"/>
          <w:kern w:val="0"/>
          <w:sz w:val="20"/>
          <w:lang w:val="en-US" w:bidi="ar-SA"/>
          <w14:ligatures w14:val="none"/>
        </w:rPr>
        <w:t xml:space="preserve"> and digital platform weighing scale</w:t>
      </w:r>
      <w:r w:rsidR="00CC3F20" w:rsidRPr="00A61968">
        <w:rPr>
          <w:rFonts w:ascii="Arial" w:hAnsi="Arial" w:cs="Arial"/>
          <w:sz w:val="20"/>
        </w:rPr>
        <w:t xml:space="preserve"> (Stand scale 7830.01.001 manufactured by Soehnle </w:t>
      </w:r>
      <w:proofErr w:type="spellStart"/>
      <w:r w:rsidR="00CC3F20" w:rsidRPr="00A61968">
        <w:rPr>
          <w:rFonts w:ascii="Arial" w:hAnsi="Arial" w:cs="Arial"/>
          <w:sz w:val="20"/>
        </w:rPr>
        <w:t>Backnang</w:t>
      </w:r>
      <w:proofErr w:type="spellEnd"/>
      <w:r w:rsidR="00CC3F20" w:rsidRPr="00A61968">
        <w:rPr>
          <w:rFonts w:ascii="Arial" w:hAnsi="Arial" w:cs="Arial"/>
          <w:sz w:val="20"/>
        </w:rPr>
        <w:t>, Germany)</w:t>
      </w:r>
      <w:r w:rsidR="00CC3F20" w:rsidRPr="00A61968">
        <w:rPr>
          <w:rFonts w:ascii="Arial" w:eastAsia="Calibri" w:hAnsi="Arial" w:cs="Arial"/>
          <w:kern w:val="0"/>
          <w:sz w:val="20"/>
          <w:lang w:val="en-US" w:bidi="ar-SA"/>
          <w14:ligatures w14:val="none"/>
        </w:rPr>
        <w:t xml:space="preserve">, respectively. </w:t>
      </w:r>
      <w:r w:rsidRPr="00A61968">
        <w:rPr>
          <w:rFonts w:ascii="Arial" w:eastAsia="Calibri" w:hAnsi="Arial" w:cs="Arial"/>
          <w:kern w:val="0"/>
          <w:sz w:val="20"/>
          <w:lang w:val="en-US" w:bidi="ar-SA"/>
          <w14:ligatures w14:val="none"/>
        </w:rPr>
        <w:t xml:space="preserve">BMI was calculated with the help of the equation proposed by Garrow and Webster (1985) (weight/height </w:t>
      </w:r>
      <w:r w:rsidRPr="00A61968">
        <w:rPr>
          <w:rFonts w:ascii="Arial" w:eastAsia="Calibri" w:hAnsi="Arial" w:cs="Arial"/>
          <w:kern w:val="0"/>
          <w:sz w:val="20"/>
          <w:lang w:val="en-US" w:bidi="ar-SA"/>
          <w14:ligatures w14:val="none"/>
        </w:rPr>
        <w:lastRenderedPageBreak/>
        <w:t>kg/m</w:t>
      </w:r>
      <w:r w:rsidRPr="00A61968">
        <w:rPr>
          <w:rFonts w:ascii="Arial" w:eastAsia="Calibri" w:hAnsi="Arial" w:cs="Arial"/>
          <w:kern w:val="0"/>
          <w:sz w:val="20"/>
          <w:vertAlign w:val="superscript"/>
          <w:lang w:val="en-US" w:bidi="ar-SA"/>
          <w14:ligatures w14:val="none"/>
        </w:rPr>
        <w:t>2</w:t>
      </w:r>
      <w:r w:rsidRPr="00A61968">
        <w:rPr>
          <w:rFonts w:ascii="Arial" w:eastAsia="Calibri" w:hAnsi="Arial" w:cs="Arial"/>
          <w:kern w:val="0"/>
          <w:sz w:val="20"/>
          <w:lang w:val="en-US" w:bidi="ar-SA"/>
          <w14:ligatures w14:val="none"/>
        </w:rPr>
        <w:t>) and categorized as per Indian adult standard</w:t>
      </w:r>
      <w:r w:rsidR="009F220E" w:rsidRPr="00A61968">
        <w:rPr>
          <w:rFonts w:ascii="Arial" w:eastAsia="Calibri" w:hAnsi="Arial" w:cs="Arial"/>
          <w:kern w:val="0"/>
          <w:sz w:val="20"/>
          <w:vertAlign w:val="superscript"/>
          <w:lang w:val="en-US" w:bidi="ar-SA"/>
          <w14:ligatures w14:val="none"/>
        </w:rPr>
        <w:t xml:space="preserve"> </w:t>
      </w:r>
      <w:r w:rsidR="009F220E" w:rsidRPr="00A61968">
        <w:rPr>
          <w:rFonts w:ascii="Arial" w:eastAsia="Calibri" w:hAnsi="Arial" w:cs="Arial"/>
          <w:kern w:val="0"/>
          <w:sz w:val="20"/>
          <w:lang w:val="en-US" w:bidi="ar-SA"/>
          <w14:ligatures w14:val="none"/>
        </w:rPr>
        <w:t>(WHO, 2004;</w:t>
      </w:r>
      <w:r w:rsidR="009F220E" w:rsidRPr="00A61968">
        <w:rPr>
          <w:rFonts w:ascii="Arial" w:hAnsi="Arial" w:cs="Arial"/>
          <w:sz w:val="20"/>
        </w:rPr>
        <w:t xml:space="preserve"> Indian Consensus Group, 1996).</w:t>
      </w:r>
    </w:p>
    <w:p w14:paraId="21C9E734" w14:textId="77777777" w:rsidR="00AC1256" w:rsidRPr="00037593" w:rsidRDefault="00AC1256" w:rsidP="00037D6A">
      <w:pPr>
        <w:spacing w:after="0" w:line="276" w:lineRule="auto"/>
        <w:jc w:val="both"/>
        <w:rPr>
          <w:rFonts w:ascii="Times New Roman" w:eastAsia="Calibri" w:hAnsi="Times New Roman" w:cs="Times New Roman"/>
          <w:b/>
          <w:bCs/>
          <w:kern w:val="0"/>
          <w:sz w:val="24"/>
          <w:szCs w:val="24"/>
          <w:shd w:val="clear" w:color="auto" w:fill="FFFFFF"/>
          <w:lang w:val="en-US" w:bidi="ar-SA"/>
          <w14:ligatures w14:val="none"/>
        </w:rPr>
      </w:pPr>
    </w:p>
    <w:p w14:paraId="59B7822B" w14:textId="6B1AC1A4" w:rsidR="00AC1256" w:rsidRPr="0053328C" w:rsidRDefault="00892798" w:rsidP="00037D6A">
      <w:pPr>
        <w:spacing w:after="0" w:line="276" w:lineRule="auto"/>
        <w:jc w:val="both"/>
        <w:rPr>
          <w:rFonts w:ascii="Arial" w:eastAsia="Calibri" w:hAnsi="Arial" w:cs="Arial"/>
          <w:b/>
          <w:bCs/>
          <w:kern w:val="0"/>
          <w:szCs w:val="22"/>
          <w:shd w:val="clear" w:color="auto" w:fill="FFFFFF"/>
          <w:lang w:val="en-US" w:bidi="ar-SA"/>
          <w14:ligatures w14:val="none"/>
        </w:rPr>
      </w:pPr>
      <w:r w:rsidRPr="0053328C">
        <w:rPr>
          <w:rFonts w:ascii="Arial" w:eastAsia="Calibri" w:hAnsi="Arial" w:cs="Arial"/>
          <w:b/>
          <w:bCs/>
          <w:kern w:val="0"/>
          <w:szCs w:val="22"/>
          <w:shd w:val="clear" w:color="auto" w:fill="FFFFFF"/>
          <w:lang w:val="en-US" w:bidi="ar-SA"/>
          <w14:ligatures w14:val="none"/>
        </w:rPr>
        <w:t xml:space="preserve">Nutritional Assessment </w:t>
      </w:r>
    </w:p>
    <w:p w14:paraId="70098203" w14:textId="77777777" w:rsidR="00AC1256" w:rsidRPr="00037593" w:rsidRDefault="00AC1256" w:rsidP="00037D6A">
      <w:pPr>
        <w:spacing w:after="0" w:line="276" w:lineRule="auto"/>
        <w:jc w:val="both"/>
        <w:rPr>
          <w:rFonts w:ascii="Times New Roman" w:eastAsia="Calibri" w:hAnsi="Times New Roman" w:cs="Times New Roman"/>
          <w:b/>
          <w:bCs/>
          <w:kern w:val="0"/>
          <w:sz w:val="20"/>
          <w:shd w:val="clear" w:color="auto" w:fill="FFFFFF"/>
          <w:lang w:val="en-US" w:bidi="ar-SA"/>
          <w14:ligatures w14:val="none"/>
        </w:rPr>
      </w:pPr>
    </w:p>
    <w:p w14:paraId="5DF17DDE" w14:textId="084A876E" w:rsidR="000E571A" w:rsidRPr="00EA085F" w:rsidRDefault="006259EC" w:rsidP="00037D6A">
      <w:pPr>
        <w:spacing w:after="0" w:line="276" w:lineRule="auto"/>
        <w:jc w:val="both"/>
        <w:rPr>
          <w:rFonts w:ascii="Arial" w:eastAsia="Calibri" w:hAnsi="Arial" w:cs="Arial"/>
          <w:kern w:val="0"/>
          <w:sz w:val="20"/>
          <w:shd w:val="clear" w:color="auto" w:fill="FFFFFF"/>
          <w:lang w:val="en-US" w:bidi="ar-SA"/>
          <w14:ligatures w14:val="none"/>
        </w:rPr>
      </w:pPr>
      <w:r w:rsidRPr="00EA085F">
        <w:rPr>
          <w:rFonts w:ascii="Arial" w:eastAsia="Calibri" w:hAnsi="Arial" w:cs="Arial"/>
          <w:kern w:val="0"/>
          <w:sz w:val="20"/>
          <w:shd w:val="clear" w:color="auto" w:fill="FFFFFF"/>
          <w:lang w:val="en-US" w:bidi="ar-SA"/>
          <w14:ligatures w14:val="none"/>
        </w:rPr>
        <w:t xml:space="preserve">A structured 24-hour diet recall method was employed over three consecutive days, including two weekdays and one holiday, allowing participants to recall their food and beverage consumption. Standardized weights and measures were used to ensure accurate quantification of food items in grams and liters. The nutrient content of the reported foods was analyzed using </w:t>
      </w:r>
      <w:proofErr w:type="spellStart"/>
      <w:r w:rsidRPr="00EA085F">
        <w:rPr>
          <w:rFonts w:ascii="Arial" w:eastAsia="Calibri" w:hAnsi="Arial" w:cs="Arial"/>
          <w:kern w:val="0"/>
          <w:sz w:val="20"/>
          <w:shd w:val="clear" w:color="auto" w:fill="FFFFFF"/>
          <w:lang w:val="en-US" w:bidi="ar-SA"/>
          <w14:ligatures w14:val="none"/>
        </w:rPr>
        <w:t>DietCal</w:t>
      </w:r>
      <w:proofErr w:type="spellEnd"/>
      <w:r w:rsidRPr="00EA085F">
        <w:rPr>
          <w:rFonts w:ascii="Arial" w:eastAsia="Calibri" w:hAnsi="Arial" w:cs="Arial"/>
          <w:kern w:val="0"/>
          <w:sz w:val="20"/>
          <w:shd w:val="clear" w:color="auto" w:fill="FFFFFF"/>
          <w:lang w:val="en-US" w:bidi="ar-SA"/>
          <w14:ligatures w14:val="none"/>
        </w:rPr>
        <w:t xml:space="preserve"> software 8.0, adapted to the Indian Food Composition Table</w:t>
      </w:r>
      <w:r w:rsidR="00EA085F" w:rsidRPr="00EA085F">
        <w:rPr>
          <w:rFonts w:ascii="Arial" w:eastAsia="Calibri" w:hAnsi="Arial" w:cs="Arial"/>
          <w:kern w:val="0"/>
          <w:sz w:val="20"/>
          <w:shd w:val="clear" w:color="auto" w:fill="FFFFFF"/>
          <w:vertAlign w:val="superscript"/>
          <w:lang w:val="en-US" w:bidi="ar-SA"/>
          <w14:ligatures w14:val="none"/>
        </w:rPr>
        <w:t xml:space="preserve"> </w:t>
      </w:r>
      <w:r w:rsidR="00EA085F" w:rsidRPr="00EA085F">
        <w:rPr>
          <w:rFonts w:ascii="Arial" w:eastAsia="Calibri" w:hAnsi="Arial" w:cs="Arial"/>
          <w:kern w:val="0"/>
          <w:sz w:val="20"/>
          <w:shd w:val="clear" w:color="auto" w:fill="FFFFFF"/>
          <w:lang w:val="en-US" w:bidi="ar-SA"/>
          <w14:ligatures w14:val="none"/>
        </w:rPr>
        <w:t>(</w:t>
      </w:r>
      <w:r w:rsidR="00EA085F" w:rsidRPr="00EA085F">
        <w:rPr>
          <w:rFonts w:ascii="Arial" w:hAnsi="Arial" w:cs="Arial"/>
          <w:sz w:val="20"/>
        </w:rPr>
        <w:t xml:space="preserve">Longvah et al., 2017; Kaur, 2017). </w:t>
      </w:r>
      <w:r w:rsidR="00AC1256" w:rsidRPr="00EA085F">
        <w:rPr>
          <w:rFonts w:ascii="Arial" w:eastAsia="Calibri" w:hAnsi="Arial" w:cs="Arial"/>
          <w:kern w:val="0"/>
          <w:sz w:val="20"/>
          <w:shd w:val="clear" w:color="auto" w:fill="FFFFFF"/>
          <w:lang w:val="en-US" w:bidi="ar-SA"/>
          <w14:ligatures w14:val="none"/>
        </w:rPr>
        <w:t xml:space="preserve"> </w:t>
      </w:r>
      <w:r w:rsidR="004856DA" w:rsidRPr="00EA085F">
        <w:rPr>
          <w:rFonts w:ascii="Arial" w:eastAsia="Calibri" w:hAnsi="Arial" w:cs="Arial"/>
          <w:kern w:val="0"/>
          <w:sz w:val="20"/>
          <w:shd w:val="clear" w:color="auto" w:fill="FFFFFF"/>
          <w:lang w:bidi="ar-SA"/>
          <w14:ligatures w14:val="none"/>
        </w:rPr>
        <w:t xml:space="preserve">"During data collection, it was observed that some patients incorporated functional foods such as fenugreek, bitter gourd, and bottle gourd into their treatment regimens alongside prescribed medications. The frequency of their consumption was assessed using a formative scale and compared against the ICMR (2018) </w:t>
      </w:r>
      <w:proofErr w:type="spellStart"/>
      <w:r w:rsidR="004856DA" w:rsidRPr="00EA085F">
        <w:rPr>
          <w:rFonts w:ascii="Arial" w:eastAsia="Calibri" w:hAnsi="Arial" w:cs="Arial"/>
          <w:kern w:val="0"/>
          <w:sz w:val="20"/>
          <w:shd w:val="clear" w:color="auto" w:fill="FFFFFF"/>
          <w:lang w:bidi="ar-SA"/>
          <w14:ligatures w14:val="none"/>
        </w:rPr>
        <w:t>glycemic</w:t>
      </w:r>
      <w:proofErr w:type="spellEnd"/>
      <w:r w:rsidR="004856DA" w:rsidRPr="00EA085F">
        <w:rPr>
          <w:rFonts w:ascii="Arial" w:eastAsia="Calibri" w:hAnsi="Arial" w:cs="Arial"/>
          <w:kern w:val="0"/>
          <w:sz w:val="20"/>
          <w:shd w:val="clear" w:color="auto" w:fill="FFFFFF"/>
          <w:lang w:bidi="ar-SA"/>
          <w14:ligatures w14:val="none"/>
        </w:rPr>
        <w:t xml:space="preserve"> control guidelines for type 2 diabetes: HbA1c &lt; 7% (ideal), HbA1c ≥ 7 and &lt; 8% (satisfactory), and HbA1c ≥ 8% (unsatisfactory)”</w:t>
      </w:r>
      <w:r w:rsidR="00EA085F" w:rsidRPr="00EA085F">
        <w:rPr>
          <w:rFonts w:ascii="Arial" w:eastAsia="Calibri" w:hAnsi="Arial" w:cs="Arial"/>
          <w:kern w:val="0"/>
          <w:sz w:val="20"/>
          <w:shd w:val="clear" w:color="auto" w:fill="FFFFFF"/>
          <w:vertAlign w:val="superscript"/>
          <w:lang w:bidi="ar-SA"/>
          <w14:ligatures w14:val="none"/>
        </w:rPr>
        <w:t>.</w:t>
      </w:r>
    </w:p>
    <w:p w14:paraId="14769B46" w14:textId="7E217074" w:rsidR="000E571A" w:rsidRPr="00EA085F" w:rsidRDefault="000E571A" w:rsidP="00037D6A">
      <w:pPr>
        <w:spacing w:after="0" w:line="276" w:lineRule="auto"/>
        <w:jc w:val="both"/>
        <w:rPr>
          <w:rFonts w:ascii="Arial" w:eastAsia="Calibri" w:hAnsi="Arial" w:cs="Arial"/>
          <w:kern w:val="0"/>
          <w:sz w:val="20"/>
          <w:shd w:val="clear" w:color="auto" w:fill="FFFFFF"/>
          <w:lang w:bidi="ar-SA"/>
          <w14:ligatures w14:val="none"/>
        </w:rPr>
      </w:pPr>
      <w:r w:rsidRPr="00EA085F">
        <w:rPr>
          <w:rFonts w:ascii="Arial" w:eastAsia="Calibri" w:hAnsi="Arial" w:cs="Arial"/>
          <w:kern w:val="0"/>
          <w:sz w:val="20"/>
          <w:shd w:val="clear" w:color="auto" w:fill="FFFFFF"/>
          <w:lang w:bidi="ar-SA"/>
          <w14:ligatures w14:val="none"/>
        </w:rPr>
        <w:t>This analysis focused solely on patients with T2DM</w:t>
      </w:r>
      <w:r w:rsidR="00BB69FD" w:rsidRPr="00EA085F">
        <w:rPr>
          <w:rFonts w:ascii="Arial" w:eastAsia="Calibri" w:hAnsi="Arial" w:cs="Arial"/>
          <w:kern w:val="0"/>
          <w:sz w:val="20"/>
          <w:shd w:val="clear" w:color="auto" w:fill="FFFFFF"/>
          <w:lang w:bidi="ar-SA"/>
          <w14:ligatures w14:val="none"/>
        </w:rPr>
        <w:t xml:space="preserve"> </w:t>
      </w:r>
      <w:r w:rsidRPr="00EA085F">
        <w:rPr>
          <w:rFonts w:ascii="Arial" w:eastAsia="Calibri" w:hAnsi="Arial" w:cs="Arial"/>
          <w:kern w:val="0"/>
          <w:sz w:val="20"/>
          <w:shd w:val="clear" w:color="auto" w:fill="FFFFFF"/>
          <w:lang w:bidi="ar-SA"/>
          <w14:ligatures w14:val="none"/>
        </w:rPr>
        <w:t xml:space="preserve">and T2DM*HTN, as hypertensive patients without diabetes did not report using functional foods for managing blood pressure. Therefore, the evaluation of special food consumption (e.g., fenugreek seeds, </w:t>
      </w:r>
      <w:r w:rsidR="002255AF" w:rsidRPr="00EA085F">
        <w:rPr>
          <w:rFonts w:ascii="Arial" w:eastAsia="Calibri" w:hAnsi="Arial" w:cs="Arial"/>
          <w:kern w:val="0"/>
          <w:sz w:val="20"/>
          <w:shd w:val="clear" w:color="auto" w:fill="FFFFFF"/>
          <w:lang w:bidi="ar-SA"/>
          <w14:ligatures w14:val="none"/>
        </w:rPr>
        <w:t>bottle guard,</w:t>
      </w:r>
      <w:r w:rsidR="00D94BC5" w:rsidRPr="00EA085F">
        <w:rPr>
          <w:rFonts w:ascii="Arial" w:eastAsia="Calibri" w:hAnsi="Arial" w:cs="Arial"/>
          <w:kern w:val="0"/>
          <w:sz w:val="20"/>
          <w:shd w:val="clear" w:color="auto" w:fill="FFFFFF"/>
          <w:lang w:bidi="ar-SA"/>
          <w14:ligatures w14:val="none"/>
        </w:rPr>
        <w:t xml:space="preserve"> </w:t>
      </w:r>
      <w:r w:rsidRPr="00EA085F">
        <w:rPr>
          <w:rFonts w:ascii="Arial" w:eastAsia="Calibri" w:hAnsi="Arial" w:cs="Arial"/>
          <w:kern w:val="0"/>
          <w:sz w:val="20"/>
          <w:shd w:val="clear" w:color="auto" w:fill="FFFFFF"/>
          <w:lang w:bidi="ar-SA"/>
          <w14:ligatures w14:val="none"/>
        </w:rPr>
        <w:t>bitter gourd) was limited to diabetic patients.</w:t>
      </w:r>
    </w:p>
    <w:p w14:paraId="6CAC240A" w14:textId="77777777" w:rsidR="000E571A" w:rsidRPr="00037593" w:rsidRDefault="000E571A" w:rsidP="00037D6A">
      <w:pPr>
        <w:spacing w:after="0" w:line="276" w:lineRule="auto"/>
        <w:jc w:val="both"/>
        <w:rPr>
          <w:rFonts w:ascii="Times New Roman" w:eastAsia="Calibri" w:hAnsi="Times New Roman" w:cs="Times New Roman"/>
          <w:kern w:val="0"/>
          <w:sz w:val="24"/>
          <w:szCs w:val="24"/>
          <w:shd w:val="clear" w:color="auto" w:fill="FFFFFF"/>
          <w:lang w:val="en-US" w:bidi="ar-SA"/>
          <w14:ligatures w14:val="none"/>
        </w:rPr>
      </w:pPr>
    </w:p>
    <w:p w14:paraId="51D314B5" w14:textId="57E6EAAF" w:rsidR="00A1349F" w:rsidRPr="006E6AD8" w:rsidRDefault="00AC1256" w:rsidP="00037D6A">
      <w:pPr>
        <w:spacing w:after="0" w:line="276" w:lineRule="auto"/>
        <w:jc w:val="both"/>
        <w:rPr>
          <w:rFonts w:ascii="Arial" w:eastAsia="Calibri" w:hAnsi="Arial" w:cs="Arial"/>
          <w:b/>
          <w:bCs/>
          <w:kern w:val="0"/>
          <w:szCs w:val="22"/>
          <w:lang w:val="en-US" w:bidi="ar-SA"/>
          <w14:ligatures w14:val="none"/>
        </w:rPr>
      </w:pPr>
      <w:r w:rsidRPr="006E6AD8">
        <w:rPr>
          <w:rFonts w:ascii="Arial" w:eastAsia="Calibri" w:hAnsi="Arial" w:cs="Arial"/>
          <w:b/>
          <w:bCs/>
          <w:kern w:val="0"/>
          <w:szCs w:val="22"/>
          <w:lang w:val="en-US" w:bidi="ar-SA"/>
          <w14:ligatures w14:val="none"/>
        </w:rPr>
        <w:t>Definitions</w:t>
      </w:r>
      <w:r w:rsidR="00A1349F" w:rsidRPr="006E6AD8">
        <w:rPr>
          <w:rFonts w:ascii="Arial" w:eastAsia="Calibri" w:hAnsi="Arial" w:cs="Arial"/>
          <w:b/>
          <w:bCs/>
          <w:kern w:val="0"/>
          <w:szCs w:val="22"/>
          <w:lang w:val="en-US" w:bidi="ar-SA"/>
          <w14:ligatures w14:val="none"/>
        </w:rPr>
        <w:t>:</w:t>
      </w:r>
    </w:p>
    <w:p w14:paraId="35A60B10" w14:textId="77777777" w:rsidR="00AC1256" w:rsidRPr="00037593" w:rsidRDefault="00AC1256" w:rsidP="00037D6A">
      <w:pPr>
        <w:autoSpaceDE w:val="0"/>
        <w:autoSpaceDN w:val="0"/>
        <w:adjustRightInd w:val="0"/>
        <w:spacing w:after="0" w:line="276" w:lineRule="auto"/>
        <w:jc w:val="both"/>
        <w:rPr>
          <w:rFonts w:ascii="Times New Roman" w:eastAsia="Calibri" w:hAnsi="Times New Roman" w:cs="Times New Roman"/>
          <w:b/>
          <w:bCs/>
          <w:kern w:val="0"/>
          <w:sz w:val="20"/>
          <w:lang w:val="en-US" w:bidi="ar-SA"/>
          <w14:ligatures w14:val="none"/>
        </w:rPr>
      </w:pPr>
    </w:p>
    <w:p w14:paraId="3E03258D" w14:textId="692ECB42" w:rsidR="00AC1256" w:rsidRPr="006E6AD8" w:rsidRDefault="00AC1256" w:rsidP="00037D6A">
      <w:pPr>
        <w:autoSpaceDE w:val="0"/>
        <w:autoSpaceDN w:val="0"/>
        <w:adjustRightInd w:val="0"/>
        <w:spacing w:after="0" w:line="276" w:lineRule="auto"/>
        <w:jc w:val="both"/>
        <w:rPr>
          <w:rFonts w:ascii="Arial" w:eastAsia="Calibri" w:hAnsi="Arial" w:cs="Arial"/>
          <w:b/>
          <w:bCs/>
          <w:kern w:val="0"/>
          <w:szCs w:val="22"/>
          <w:lang w:val="en-US" w:bidi="ar-SA"/>
          <w14:ligatures w14:val="none"/>
        </w:rPr>
      </w:pPr>
      <w:r w:rsidRPr="006E6AD8">
        <w:rPr>
          <w:rFonts w:ascii="Arial" w:eastAsia="Calibri" w:hAnsi="Arial" w:cs="Arial"/>
          <w:b/>
          <w:bCs/>
          <w:kern w:val="0"/>
          <w:szCs w:val="22"/>
          <w:lang w:val="en-US" w:bidi="ar-SA"/>
          <w14:ligatures w14:val="none"/>
        </w:rPr>
        <w:t>Diabetes Mellitu</w:t>
      </w:r>
      <w:r w:rsidR="00BB5C80" w:rsidRPr="006E6AD8">
        <w:rPr>
          <w:rFonts w:ascii="Arial" w:eastAsia="Calibri" w:hAnsi="Arial" w:cs="Arial"/>
          <w:b/>
          <w:bCs/>
          <w:kern w:val="0"/>
          <w:szCs w:val="22"/>
          <w:lang w:val="en-US" w:bidi="ar-SA"/>
          <w14:ligatures w14:val="none"/>
        </w:rPr>
        <w:t>s</w:t>
      </w:r>
    </w:p>
    <w:p w14:paraId="55DA4616" w14:textId="4CEF44E1" w:rsidR="00DF76EF" w:rsidRPr="00146329" w:rsidRDefault="00DF76EF" w:rsidP="00037D6A">
      <w:pPr>
        <w:spacing w:after="0" w:line="276" w:lineRule="auto"/>
        <w:jc w:val="both"/>
        <w:rPr>
          <w:rFonts w:ascii="Arial" w:eastAsia="Calibri" w:hAnsi="Arial" w:cs="Arial"/>
          <w:kern w:val="0"/>
          <w:sz w:val="20"/>
          <w:lang w:bidi="ar-SA"/>
          <w14:ligatures w14:val="none"/>
        </w:rPr>
      </w:pPr>
      <w:r w:rsidRPr="00146329">
        <w:rPr>
          <w:rFonts w:ascii="Arial" w:eastAsia="Calibri" w:hAnsi="Arial" w:cs="Arial"/>
          <w:kern w:val="0"/>
          <w:sz w:val="20"/>
          <w:lang w:val="en-US" w:bidi="ar-SA"/>
          <w14:ligatures w14:val="none"/>
        </w:rPr>
        <w:t xml:space="preserve">Glycated hemoglobin (HbA1c) levels were used as a key outcome measure for assessing glycemic control in diabetic patients, obtained from their medical case records. </w:t>
      </w:r>
      <w:r w:rsidR="00AC1256" w:rsidRPr="00146329">
        <w:rPr>
          <w:rFonts w:ascii="Arial" w:eastAsia="Calibri" w:hAnsi="Arial" w:cs="Arial"/>
          <w:kern w:val="0"/>
          <w:sz w:val="20"/>
          <w:lang w:val="en-US" w:bidi="ar-SA"/>
          <w14:ligatures w14:val="none"/>
        </w:rPr>
        <w:t>Diabetes mellitus was diagnosed as per the criteria of WHO (2006) and ADA (2017)</w:t>
      </w:r>
      <w:r w:rsidR="00146329" w:rsidRPr="00146329">
        <w:rPr>
          <w:rFonts w:ascii="Arial" w:eastAsia="Calibri" w:hAnsi="Arial" w:cs="Arial"/>
          <w:kern w:val="0"/>
          <w:sz w:val="20"/>
          <w:vertAlign w:val="superscript"/>
          <w:lang w:val="en-US" w:bidi="ar-SA"/>
          <w14:ligatures w14:val="none"/>
        </w:rPr>
        <w:t xml:space="preserve"> </w:t>
      </w:r>
      <w:r w:rsidR="00AC1256" w:rsidRPr="00146329">
        <w:rPr>
          <w:rFonts w:ascii="Arial" w:eastAsia="Calibri" w:hAnsi="Arial" w:cs="Arial"/>
          <w:kern w:val="0"/>
          <w:sz w:val="20"/>
          <w:lang w:val="en-US" w:bidi="ar-SA"/>
          <w14:ligatures w14:val="none"/>
        </w:rPr>
        <w:t xml:space="preserve">and recommendations as HbA1c ≥ 6.5%. </w:t>
      </w:r>
      <w:r w:rsidR="002D19FA" w:rsidRPr="00146329">
        <w:rPr>
          <w:rFonts w:ascii="Arial" w:eastAsia="Calibri" w:hAnsi="Arial" w:cs="Arial"/>
          <w:kern w:val="0"/>
          <w:sz w:val="20"/>
          <w:lang w:bidi="ar-SA"/>
          <w14:ligatures w14:val="none"/>
        </w:rPr>
        <w:t>Glycaemic</w:t>
      </w:r>
      <w:r w:rsidR="00CC358A" w:rsidRPr="00146329">
        <w:rPr>
          <w:rFonts w:ascii="Arial" w:eastAsia="Calibri" w:hAnsi="Arial" w:cs="Arial"/>
          <w:kern w:val="0"/>
          <w:sz w:val="20"/>
          <w:lang w:bidi="ar-SA"/>
          <w14:ligatures w14:val="none"/>
        </w:rPr>
        <w:t xml:space="preserve"> control was categorized as per the recent guidelines provided by </w:t>
      </w:r>
      <w:r w:rsidRPr="00146329">
        <w:rPr>
          <w:rFonts w:ascii="Arial" w:eastAsia="Calibri" w:hAnsi="Arial" w:cs="Arial"/>
          <w:kern w:val="0"/>
          <w:sz w:val="20"/>
          <w:lang w:bidi="ar-SA"/>
          <w14:ligatures w14:val="none"/>
        </w:rPr>
        <w:t xml:space="preserve">Indian Council of Medical Research </w:t>
      </w:r>
      <w:r w:rsidR="00CC358A" w:rsidRPr="00146329">
        <w:rPr>
          <w:rFonts w:ascii="Arial" w:eastAsia="Calibri" w:hAnsi="Arial" w:cs="Arial"/>
          <w:kern w:val="0"/>
          <w:sz w:val="20"/>
          <w:lang w:bidi="ar-SA"/>
          <w14:ligatures w14:val="none"/>
        </w:rPr>
        <w:t xml:space="preserve">(2018) for the management of type 2 diabetes mellitus (&lt; 7 for ideal, ≥ 7 - &lt; 8 for satisfactory and ≥ 8 for unsatisfactory </w:t>
      </w:r>
      <w:r w:rsidR="002D19FA" w:rsidRPr="00146329">
        <w:rPr>
          <w:rFonts w:ascii="Arial" w:eastAsia="Calibri" w:hAnsi="Arial" w:cs="Arial"/>
          <w:kern w:val="0"/>
          <w:sz w:val="20"/>
          <w:lang w:bidi="ar-SA"/>
          <w14:ligatures w14:val="none"/>
        </w:rPr>
        <w:t>glycaemic</w:t>
      </w:r>
      <w:r w:rsidR="00CC358A" w:rsidRPr="00146329">
        <w:rPr>
          <w:rFonts w:ascii="Arial" w:eastAsia="Calibri" w:hAnsi="Arial" w:cs="Arial"/>
          <w:kern w:val="0"/>
          <w:sz w:val="20"/>
          <w:lang w:bidi="ar-SA"/>
          <w14:ligatures w14:val="none"/>
        </w:rPr>
        <w:t xml:space="preserve"> control)</w:t>
      </w:r>
      <w:r w:rsidR="00486BDB" w:rsidRPr="00146329">
        <w:rPr>
          <w:rFonts w:ascii="Arial" w:eastAsia="Calibri" w:hAnsi="Arial" w:cs="Arial"/>
          <w:kern w:val="0"/>
          <w:sz w:val="20"/>
          <w:lang w:bidi="ar-SA"/>
          <w14:ligatures w14:val="none"/>
        </w:rPr>
        <w:t>.</w:t>
      </w:r>
      <w:r w:rsidRPr="00146329">
        <w:rPr>
          <w:rFonts w:ascii="Arial" w:eastAsia="Calibri" w:hAnsi="Arial" w:cs="Arial"/>
          <w:kern w:val="0"/>
          <w:sz w:val="20"/>
          <w:lang w:bidi="ar-SA"/>
          <w14:ligatures w14:val="none"/>
        </w:rPr>
        <w:t xml:space="preserve"> This categorization facilitated the evaluation of diabetes management among the study population.</w:t>
      </w:r>
    </w:p>
    <w:p w14:paraId="5339E5D2"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bidi="ar-SA"/>
          <w14:ligatures w14:val="none"/>
        </w:rPr>
      </w:pPr>
    </w:p>
    <w:p w14:paraId="3BF7F8F0" w14:textId="7C9DF7D7" w:rsidR="00AC1256" w:rsidRPr="00146329" w:rsidRDefault="00AC1256" w:rsidP="00037D6A">
      <w:pPr>
        <w:spacing w:after="0" w:line="276" w:lineRule="auto"/>
        <w:jc w:val="both"/>
        <w:rPr>
          <w:rFonts w:ascii="Arial" w:eastAsia="Calibri" w:hAnsi="Arial" w:cs="Arial"/>
          <w:b/>
          <w:bCs/>
          <w:kern w:val="0"/>
          <w:szCs w:val="22"/>
          <w:lang w:val="en-US" w:bidi="ar-SA"/>
          <w14:ligatures w14:val="none"/>
        </w:rPr>
      </w:pPr>
      <w:r w:rsidRPr="00146329">
        <w:rPr>
          <w:rFonts w:ascii="Arial" w:eastAsia="Calibri" w:hAnsi="Arial" w:cs="Arial"/>
          <w:b/>
          <w:bCs/>
          <w:kern w:val="0"/>
          <w:szCs w:val="22"/>
          <w:lang w:val="en-US" w:bidi="ar-SA"/>
          <w14:ligatures w14:val="none"/>
        </w:rPr>
        <w:t xml:space="preserve">Hypertension </w:t>
      </w:r>
    </w:p>
    <w:p w14:paraId="3C968E38" w14:textId="6DEB7F9D" w:rsidR="00DF76EF" w:rsidRPr="00A57D26" w:rsidRDefault="00DF76EF" w:rsidP="00037D6A">
      <w:pPr>
        <w:spacing w:after="0" w:line="276" w:lineRule="auto"/>
        <w:jc w:val="both"/>
        <w:rPr>
          <w:rFonts w:ascii="Arial" w:eastAsia="Calibri" w:hAnsi="Arial" w:cs="Arial"/>
          <w:kern w:val="0"/>
          <w:sz w:val="20"/>
          <w:lang w:bidi="ar-SA"/>
          <w14:ligatures w14:val="none"/>
        </w:rPr>
      </w:pPr>
      <w:r w:rsidRPr="00A57D26">
        <w:rPr>
          <w:rFonts w:ascii="Arial" w:eastAsia="Calibri" w:hAnsi="Arial" w:cs="Arial"/>
          <w:kern w:val="0"/>
          <w:sz w:val="20"/>
          <w:lang w:bidi="ar-SA"/>
          <w14:ligatures w14:val="none"/>
        </w:rPr>
        <w:t>Blood pressure was measured using a standardized sphygmomanometer (Model EHL DIAMOND-BPMR 120, manufactured by Diamond Pvt Ltd., India) employing the auscultation method. Hypertension was identified based on the use of prescribed antihypertensive medications or if blood pressure readings exceeded 140/90 mmHg, in accordance with JNC VIII criteria.</w:t>
      </w:r>
      <w:r w:rsidR="00063DBD" w:rsidRPr="00A57D26">
        <w:rPr>
          <w:rFonts w:ascii="Arial" w:eastAsia="Calibri" w:hAnsi="Arial" w:cs="Arial"/>
          <w:kern w:val="0"/>
          <w:sz w:val="20"/>
          <w:lang w:bidi="ar-SA"/>
          <w14:ligatures w14:val="none"/>
        </w:rPr>
        <w:t xml:space="preserve"> </w:t>
      </w:r>
      <w:r w:rsidRPr="00A57D26">
        <w:rPr>
          <w:rFonts w:ascii="Arial" w:eastAsia="Calibri" w:hAnsi="Arial" w:cs="Arial"/>
          <w:kern w:val="0"/>
          <w:sz w:val="20"/>
          <w:lang w:bidi="ar-SA"/>
          <w14:ligatures w14:val="none"/>
        </w:rPr>
        <w:t>The blood pressure goal for diabetic patients was defined as per the JNC VIII recommendations, with target levels set at &lt; 140 mmHg for systolic blood pressure (SBP) and &lt; 90 mmHg for diastolic blood pressure (DBP). This ensured the classification and management of hypertension aligned with the latest clinical guidelines</w:t>
      </w:r>
      <w:r w:rsidR="00236C5F" w:rsidRPr="00A57D26">
        <w:rPr>
          <w:rFonts w:ascii="Arial" w:eastAsia="Calibri" w:hAnsi="Arial" w:cs="Arial"/>
          <w:kern w:val="0"/>
          <w:sz w:val="20"/>
          <w:vertAlign w:val="superscript"/>
          <w:lang w:bidi="ar-SA"/>
          <w14:ligatures w14:val="none"/>
        </w:rPr>
        <w:t xml:space="preserve"> </w:t>
      </w:r>
      <w:r w:rsidR="00236C5F" w:rsidRPr="00A57D26">
        <w:rPr>
          <w:rFonts w:ascii="Arial" w:eastAsia="Calibri" w:hAnsi="Arial" w:cs="Arial"/>
          <w:kern w:val="0"/>
          <w:sz w:val="20"/>
          <w:lang w:bidi="ar-SA"/>
          <w14:ligatures w14:val="none"/>
        </w:rPr>
        <w:t>(</w:t>
      </w:r>
      <w:r w:rsidR="00236C5F" w:rsidRPr="00A57D26">
        <w:rPr>
          <w:rFonts w:ascii="Arial" w:hAnsi="Arial" w:cs="Arial"/>
          <w:sz w:val="20"/>
        </w:rPr>
        <w:t>Paul et al., 2014).</w:t>
      </w:r>
    </w:p>
    <w:p w14:paraId="37235CB9" w14:textId="77777777" w:rsidR="00DF76EF" w:rsidRPr="00037593" w:rsidRDefault="00DF76EF" w:rsidP="00037D6A">
      <w:pPr>
        <w:spacing w:after="0" w:line="276" w:lineRule="auto"/>
        <w:jc w:val="both"/>
        <w:rPr>
          <w:rFonts w:ascii="Times New Roman" w:eastAsia="Calibri" w:hAnsi="Times New Roman" w:cs="Times New Roman"/>
          <w:kern w:val="0"/>
          <w:sz w:val="24"/>
          <w:szCs w:val="24"/>
          <w:lang w:val="en-US" w:bidi="ar-SA"/>
          <w14:ligatures w14:val="none"/>
        </w:rPr>
      </w:pPr>
    </w:p>
    <w:p w14:paraId="6DA762CF" w14:textId="611691F0" w:rsidR="00AC1256" w:rsidRPr="00A57D26" w:rsidRDefault="00AC1256" w:rsidP="00037D6A">
      <w:pPr>
        <w:spacing w:after="0" w:line="276" w:lineRule="auto"/>
        <w:jc w:val="both"/>
        <w:rPr>
          <w:rFonts w:ascii="Arial" w:eastAsia="Calibri" w:hAnsi="Arial" w:cs="Arial"/>
          <w:b/>
          <w:bCs/>
          <w:kern w:val="0"/>
          <w:szCs w:val="22"/>
          <w:lang w:val="en-US" w:bidi="ar-SA"/>
          <w14:ligatures w14:val="none"/>
        </w:rPr>
      </w:pPr>
      <w:r w:rsidRPr="00A57D26">
        <w:rPr>
          <w:rFonts w:ascii="Arial" w:eastAsia="Calibri" w:hAnsi="Arial" w:cs="Arial"/>
          <w:b/>
          <w:bCs/>
          <w:kern w:val="0"/>
          <w:szCs w:val="22"/>
          <w:lang w:val="en-US" w:bidi="ar-SA"/>
          <w14:ligatures w14:val="none"/>
        </w:rPr>
        <w:t xml:space="preserve">Statistical </w:t>
      </w:r>
      <w:r w:rsidR="00892798" w:rsidRPr="00A57D26">
        <w:rPr>
          <w:rFonts w:ascii="Arial" w:eastAsia="Calibri" w:hAnsi="Arial" w:cs="Arial"/>
          <w:b/>
          <w:bCs/>
          <w:kern w:val="0"/>
          <w:szCs w:val="22"/>
          <w:lang w:val="en-US" w:bidi="ar-SA"/>
          <w14:ligatures w14:val="none"/>
        </w:rPr>
        <w:t>Analysis</w:t>
      </w:r>
    </w:p>
    <w:p w14:paraId="091E1FE6" w14:textId="77777777" w:rsidR="00832FC3" w:rsidRPr="00A57D26" w:rsidRDefault="00832FC3" w:rsidP="00037D6A">
      <w:pPr>
        <w:spacing w:after="0" w:line="276" w:lineRule="auto"/>
        <w:jc w:val="both"/>
        <w:rPr>
          <w:rFonts w:ascii="Arial" w:eastAsia="Calibri" w:hAnsi="Arial" w:cs="Arial"/>
          <w:kern w:val="0"/>
          <w:sz w:val="20"/>
          <w:lang w:val="en-US" w:bidi="ar-SA"/>
          <w14:ligatures w14:val="none"/>
        </w:rPr>
      </w:pPr>
      <w:r w:rsidRPr="00A57D26">
        <w:rPr>
          <w:rFonts w:ascii="Arial" w:eastAsia="Calibri" w:hAnsi="Arial" w:cs="Arial"/>
          <w:kern w:val="0"/>
          <w:sz w:val="20"/>
          <w:lang w:bidi="ar-SA"/>
          <w14:ligatures w14:val="none"/>
        </w:rPr>
        <w:t xml:space="preserve">Data were </w:t>
      </w:r>
      <w:proofErr w:type="spellStart"/>
      <w:r w:rsidRPr="00A57D26">
        <w:rPr>
          <w:rFonts w:ascii="Arial" w:eastAsia="Calibri" w:hAnsi="Arial" w:cs="Arial"/>
          <w:kern w:val="0"/>
          <w:sz w:val="20"/>
          <w:lang w:bidi="ar-SA"/>
          <w14:ligatures w14:val="none"/>
        </w:rPr>
        <w:t>analyzed</w:t>
      </w:r>
      <w:proofErr w:type="spellEnd"/>
      <w:r w:rsidRPr="00A57D26">
        <w:rPr>
          <w:rFonts w:ascii="Arial" w:eastAsia="Calibri" w:hAnsi="Arial" w:cs="Arial"/>
          <w:kern w:val="0"/>
          <w:sz w:val="20"/>
          <w:lang w:bidi="ar-SA"/>
          <w14:ligatures w14:val="none"/>
        </w:rPr>
        <w:t xml:space="preserve"> using SPSS version 20.0 with both descriptive and inferential statistical methods. </w:t>
      </w:r>
      <w:r w:rsidR="00AC1256" w:rsidRPr="00A57D26">
        <w:rPr>
          <w:rFonts w:ascii="Arial" w:eastAsia="Calibri" w:hAnsi="Arial" w:cs="Arial"/>
          <w:kern w:val="0"/>
          <w:sz w:val="20"/>
          <w:lang w:val="en-US" w:bidi="ar-SA"/>
          <w14:ligatures w14:val="none"/>
        </w:rPr>
        <w:t xml:space="preserve">For the general features of patients, a univariate analysis in which mean and standard error of the mean was calculated for each metric variables and frequency and percentages were calculated for non-metric variables. </w:t>
      </w:r>
    </w:p>
    <w:p w14:paraId="15FD7003" w14:textId="77923B13" w:rsidR="00442BB4" w:rsidRPr="00A57D26" w:rsidRDefault="00832FC3" w:rsidP="00037D6A">
      <w:pPr>
        <w:spacing w:after="0" w:line="276" w:lineRule="auto"/>
        <w:jc w:val="both"/>
        <w:rPr>
          <w:rFonts w:ascii="Arial" w:eastAsia="Calibri" w:hAnsi="Arial" w:cs="Arial"/>
          <w:kern w:val="0"/>
          <w:sz w:val="20"/>
          <w:lang w:bidi="ar-SA"/>
          <w14:ligatures w14:val="none"/>
        </w:rPr>
      </w:pPr>
      <w:r w:rsidRPr="00A57D26">
        <w:rPr>
          <w:rFonts w:ascii="Arial" w:eastAsia="Calibri" w:hAnsi="Arial" w:cs="Arial"/>
          <w:kern w:val="0"/>
          <w:sz w:val="20"/>
          <w:lang w:bidi="ar-SA"/>
          <w14:ligatures w14:val="none"/>
        </w:rPr>
        <w:t>A non-parametric fisher exact test was applied to check the</w:t>
      </w:r>
      <w:r w:rsidRPr="00A57D26">
        <w:rPr>
          <w:rFonts w:ascii="Arial" w:hAnsi="Arial" w:cs="Arial"/>
          <w:sz w:val="18"/>
          <w:szCs w:val="16"/>
        </w:rPr>
        <w:t xml:space="preserve"> </w:t>
      </w:r>
      <w:r w:rsidRPr="00A57D26">
        <w:rPr>
          <w:rFonts w:ascii="Arial" w:eastAsia="Calibri" w:hAnsi="Arial" w:cs="Arial"/>
          <w:kern w:val="0"/>
          <w:sz w:val="20"/>
          <w:lang w:bidi="ar-SA"/>
          <w14:ligatures w14:val="none"/>
        </w:rPr>
        <w:t>association between two non-metric categorical variables.</w:t>
      </w:r>
      <w:r w:rsidR="00E36580" w:rsidRPr="00A57D26">
        <w:rPr>
          <w:rFonts w:ascii="Arial" w:eastAsia="Calibri" w:hAnsi="Arial" w:cs="Arial"/>
          <w:kern w:val="0"/>
          <w:sz w:val="20"/>
          <w:lang w:bidi="ar-SA"/>
          <w14:ligatures w14:val="none"/>
        </w:rPr>
        <w:t xml:space="preserve"> Additionally,</w:t>
      </w:r>
      <w:r w:rsidR="00272D59" w:rsidRPr="00A57D26">
        <w:rPr>
          <w:rFonts w:ascii="Arial" w:eastAsia="Calibri" w:hAnsi="Arial" w:cs="Arial"/>
          <w:kern w:val="0"/>
          <w:sz w:val="20"/>
          <w:lang w:bidi="ar-SA"/>
          <w14:ligatures w14:val="none"/>
        </w:rPr>
        <w:t xml:space="preserve"> </w:t>
      </w:r>
      <w:r w:rsidR="00442BB4" w:rsidRPr="00A57D26">
        <w:rPr>
          <w:rFonts w:ascii="Arial" w:eastAsia="Calibri" w:hAnsi="Arial" w:cs="Arial"/>
          <w:kern w:val="0"/>
          <w:sz w:val="20"/>
          <w:lang w:bidi="ar-SA"/>
          <w14:ligatures w14:val="none"/>
        </w:rPr>
        <w:t>Somers’</w:t>
      </w:r>
      <w:r w:rsidR="00442BB4" w:rsidRPr="00A57D26">
        <w:rPr>
          <w:rFonts w:ascii="Arial" w:eastAsia="Calibri" w:hAnsi="Arial" w:cs="Arial"/>
          <w:i/>
          <w:iCs/>
          <w:kern w:val="0"/>
          <w:sz w:val="20"/>
          <w:lang w:bidi="ar-SA"/>
          <w14:ligatures w14:val="none"/>
        </w:rPr>
        <w:t xml:space="preserve"> d</w:t>
      </w:r>
      <w:r w:rsidR="00442BB4" w:rsidRPr="00A57D26">
        <w:rPr>
          <w:rFonts w:ascii="Arial" w:eastAsia="Calibri" w:hAnsi="Arial" w:cs="Arial"/>
          <w:kern w:val="0"/>
          <w:sz w:val="20"/>
          <w:lang w:bidi="ar-SA"/>
          <w14:ligatures w14:val="none"/>
        </w:rPr>
        <w:t xml:space="preserve"> was computed as an index of effect size for nominal and ordinal data in Fisher’s exact test of association. This methodology provided a comprehensive analysis of the data, ensuring the robustness of findings.</w:t>
      </w:r>
    </w:p>
    <w:p w14:paraId="014FE3C4" w14:textId="77777777" w:rsidR="00832FC3" w:rsidRPr="00037593" w:rsidRDefault="00832FC3" w:rsidP="00037D6A">
      <w:pPr>
        <w:spacing w:after="0" w:line="276" w:lineRule="auto"/>
        <w:jc w:val="both"/>
        <w:rPr>
          <w:rFonts w:ascii="Times New Roman" w:eastAsia="Calibri" w:hAnsi="Times New Roman" w:cs="Times New Roman"/>
          <w:kern w:val="0"/>
          <w:sz w:val="24"/>
          <w:szCs w:val="24"/>
          <w:lang w:val="en-US" w:bidi="ar-SA"/>
          <w14:ligatures w14:val="none"/>
        </w:rPr>
      </w:pPr>
    </w:p>
    <w:p w14:paraId="0A0D0C74" w14:textId="77777777" w:rsidR="007E4204" w:rsidRPr="00037593" w:rsidRDefault="007E4204" w:rsidP="00037D6A">
      <w:pPr>
        <w:spacing w:after="0" w:line="276" w:lineRule="auto"/>
        <w:jc w:val="both"/>
        <w:rPr>
          <w:rFonts w:ascii="Times New Roman" w:eastAsia="Calibri" w:hAnsi="Times New Roman" w:cs="Times New Roman"/>
          <w:b/>
          <w:bCs/>
          <w:kern w:val="0"/>
          <w:sz w:val="24"/>
          <w:szCs w:val="24"/>
          <w:lang w:val="en-US" w:bidi="ar-SA"/>
          <w14:ligatures w14:val="none"/>
        </w:rPr>
      </w:pPr>
    </w:p>
    <w:p w14:paraId="2A377806" w14:textId="5A4314C2" w:rsidR="00D30F72" w:rsidRPr="00A57D26" w:rsidRDefault="00892798" w:rsidP="00037D6A">
      <w:pPr>
        <w:spacing w:after="0" w:line="276" w:lineRule="auto"/>
        <w:jc w:val="both"/>
        <w:rPr>
          <w:rFonts w:ascii="Arial" w:eastAsia="Calibri" w:hAnsi="Arial" w:cs="Arial"/>
          <w:b/>
          <w:bCs/>
          <w:kern w:val="0"/>
          <w:szCs w:val="22"/>
          <w:lang w:val="en-US" w:bidi="ar-SA"/>
          <w14:ligatures w14:val="none"/>
        </w:rPr>
      </w:pPr>
      <w:r w:rsidRPr="00A57D26">
        <w:rPr>
          <w:rFonts w:ascii="Arial" w:eastAsia="Calibri" w:hAnsi="Arial" w:cs="Arial"/>
          <w:b/>
          <w:bCs/>
          <w:kern w:val="0"/>
          <w:szCs w:val="22"/>
          <w:lang w:val="en-US" w:bidi="ar-SA"/>
          <w14:ligatures w14:val="none"/>
        </w:rPr>
        <w:t>Results and Discussion</w:t>
      </w:r>
    </w:p>
    <w:p w14:paraId="49446F3B" w14:textId="77777777" w:rsidR="00D30F72" w:rsidRPr="00037593" w:rsidRDefault="00D30F72" w:rsidP="00037D6A">
      <w:pPr>
        <w:spacing w:after="0" w:line="276" w:lineRule="auto"/>
        <w:jc w:val="both"/>
        <w:rPr>
          <w:rFonts w:ascii="Times New Roman" w:eastAsia="Calibri" w:hAnsi="Times New Roman" w:cs="Times New Roman"/>
          <w:b/>
          <w:bCs/>
          <w:kern w:val="0"/>
          <w:sz w:val="20"/>
          <w:lang w:val="en-US" w:bidi="ar-SA"/>
          <w14:ligatures w14:val="none"/>
        </w:rPr>
      </w:pPr>
    </w:p>
    <w:p w14:paraId="188A0881" w14:textId="39DE4916" w:rsidR="005D5245" w:rsidRPr="00FC3603" w:rsidRDefault="005D5245" w:rsidP="00037D6A">
      <w:pPr>
        <w:spacing w:after="0" w:line="276" w:lineRule="auto"/>
        <w:jc w:val="both"/>
        <w:rPr>
          <w:rFonts w:ascii="Arial" w:eastAsia="Calibri" w:hAnsi="Arial" w:cs="Arial"/>
          <w:kern w:val="0"/>
          <w:sz w:val="20"/>
          <w:lang w:val="en-US" w:bidi="ar-SA"/>
          <w14:ligatures w14:val="none"/>
        </w:rPr>
      </w:pPr>
      <w:r w:rsidRPr="00FC3603">
        <w:rPr>
          <w:rFonts w:ascii="Arial" w:eastAsia="Calibri" w:hAnsi="Arial" w:cs="Arial"/>
          <w:kern w:val="0"/>
          <w:sz w:val="20"/>
          <w:lang w:val="en-US" w:bidi="ar-SA"/>
          <w14:ligatures w14:val="none"/>
        </w:rPr>
        <w:t xml:space="preserve">As shown in Table 1, </w:t>
      </w:r>
      <w:bookmarkStart w:id="0" w:name="_Hlk184896272"/>
      <w:r w:rsidRPr="00FC3603">
        <w:rPr>
          <w:rFonts w:ascii="Arial" w:eastAsia="Calibri" w:hAnsi="Arial" w:cs="Arial"/>
          <w:kern w:val="0"/>
          <w:sz w:val="20"/>
          <w:lang w:val="en-US" w:bidi="ar-SA"/>
          <w14:ligatures w14:val="none"/>
        </w:rPr>
        <w:t xml:space="preserve">among the 320 samples, 31.3% of patients had T2DM, </w:t>
      </w:r>
      <w:r w:rsidR="00424005" w:rsidRPr="00FC3603">
        <w:rPr>
          <w:rFonts w:ascii="Arial" w:eastAsia="Calibri" w:hAnsi="Arial" w:cs="Arial"/>
          <w:kern w:val="0"/>
          <w:sz w:val="20"/>
          <w:lang w:val="en-US" w:bidi="ar-SA"/>
          <w14:ligatures w14:val="none"/>
        </w:rPr>
        <w:t>50.0% had HTN and</w:t>
      </w:r>
      <w:r w:rsidRPr="00FC3603">
        <w:rPr>
          <w:rFonts w:ascii="Arial" w:eastAsia="Calibri" w:hAnsi="Arial" w:cs="Arial"/>
          <w:kern w:val="0"/>
          <w:sz w:val="20"/>
          <w:lang w:val="en-US" w:bidi="ar-SA"/>
          <w14:ligatures w14:val="none"/>
        </w:rPr>
        <w:t xml:space="preserve"> 19% showed co-prevalence of diabetes and hypertension (T2DM*HTN).</w:t>
      </w:r>
    </w:p>
    <w:bookmarkEnd w:id="0"/>
    <w:p w14:paraId="5F4E3C12" w14:textId="6D355EFB" w:rsidR="005D5245" w:rsidRPr="00FC3603" w:rsidRDefault="005D5245" w:rsidP="00037D6A">
      <w:pPr>
        <w:spacing w:after="0" w:line="276" w:lineRule="auto"/>
        <w:jc w:val="both"/>
        <w:rPr>
          <w:rFonts w:ascii="Arial" w:eastAsia="Calibri" w:hAnsi="Arial" w:cs="Arial"/>
          <w:kern w:val="0"/>
          <w:sz w:val="20"/>
          <w:lang w:val="en-US" w:bidi="ar-SA"/>
          <w14:ligatures w14:val="none"/>
        </w:rPr>
      </w:pPr>
      <w:r w:rsidRPr="00FC3603">
        <w:rPr>
          <w:rFonts w:ascii="Arial" w:eastAsia="Calibri" w:hAnsi="Arial" w:cs="Arial"/>
          <w:kern w:val="0"/>
          <w:sz w:val="20"/>
          <w:lang w:val="en-US" w:bidi="ar-SA"/>
          <w14:ligatures w14:val="none"/>
        </w:rPr>
        <w:t>The co-prevalence rate in Aligarh city (19%) is notably lower compared to other national studies: Gujarat (47%), Kerala (30%), and Tamil Nadu (61.4%)</w:t>
      </w:r>
      <w:r w:rsidR="003D41B7" w:rsidRPr="00FC3603">
        <w:rPr>
          <w:rFonts w:ascii="Arial" w:eastAsia="Calibri" w:hAnsi="Arial" w:cs="Arial"/>
          <w:kern w:val="0"/>
          <w:sz w:val="20"/>
          <w:vertAlign w:val="superscript"/>
          <w:lang w:val="en-US" w:bidi="ar-SA"/>
          <w14:ligatures w14:val="none"/>
        </w:rPr>
        <w:t xml:space="preserve"> </w:t>
      </w:r>
      <w:r w:rsidR="003D41B7" w:rsidRPr="00FC3603">
        <w:rPr>
          <w:rFonts w:ascii="Arial" w:eastAsia="Calibri" w:hAnsi="Arial" w:cs="Arial"/>
          <w:kern w:val="0"/>
          <w:sz w:val="20"/>
          <w:lang w:val="en-US" w:bidi="ar-SA"/>
          <w14:ligatures w14:val="none"/>
        </w:rPr>
        <w:t>(</w:t>
      </w:r>
      <w:r w:rsidR="003D41B7" w:rsidRPr="00FC3603">
        <w:rPr>
          <w:rFonts w:ascii="Arial" w:hAnsi="Arial" w:cs="Arial"/>
          <w:sz w:val="20"/>
        </w:rPr>
        <w:t>Patel</w:t>
      </w:r>
      <w:r w:rsidR="003D41B7" w:rsidRPr="00FC3603">
        <w:rPr>
          <w:rFonts w:ascii="Arial" w:eastAsia="Calibri" w:hAnsi="Arial" w:cs="Arial"/>
          <w:kern w:val="0"/>
          <w:sz w:val="20"/>
          <w:lang w:val="en-US" w:bidi="ar-SA"/>
          <w14:ligatures w14:val="none"/>
        </w:rPr>
        <w:t xml:space="preserve"> et al., 2013; </w:t>
      </w:r>
      <w:r w:rsidR="003D41B7" w:rsidRPr="00FC3603">
        <w:rPr>
          <w:rFonts w:ascii="Arial" w:hAnsi="Arial" w:cs="Arial"/>
          <w:sz w:val="20"/>
        </w:rPr>
        <w:t>Nair</w:t>
      </w:r>
      <w:r w:rsidR="003D41B7" w:rsidRPr="00FC3603">
        <w:rPr>
          <w:rFonts w:ascii="Arial" w:eastAsia="Calibri" w:hAnsi="Arial" w:cs="Arial"/>
          <w:kern w:val="0"/>
          <w:sz w:val="20"/>
          <w:lang w:val="en-US" w:bidi="ar-SA"/>
          <w14:ligatures w14:val="none"/>
        </w:rPr>
        <w:t xml:space="preserve"> et al., 2018;</w:t>
      </w:r>
      <w:r w:rsidR="003D41B7" w:rsidRPr="00FC3603">
        <w:rPr>
          <w:rFonts w:ascii="Arial" w:hAnsi="Arial" w:cs="Arial"/>
          <w:sz w:val="20"/>
        </w:rPr>
        <w:t xml:space="preserve"> </w:t>
      </w:r>
      <w:proofErr w:type="spellStart"/>
      <w:r w:rsidR="003D41B7" w:rsidRPr="00FC3603">
        <w:rPr>
          <w:rFonts w:ascii="Arial" w:hAnsi="Arial" w:cs="Arial"/>
          <w:sz w:val="20"/>
        </w:rPr>
        <w:t>Maniarasu</w:t>
      </w:r>
      <w:proofErr w:type="spellEnd"/>
      <w:r w:rsidR="003D41B7" w:rsidRPr="00FC3603">
        <w:rPr>
          <w:rFonts w:ascii="Arial" w:hAnsi="Arial" w:cs="Arial"/>
          <w:sz w:val="20"/>
        </w:rPr>
        <w:t xml:space="preserve"> &amp; </w:t>
      </w:r>
      <w:proofErr w:type="spellStart"/>
      <w:r w:rsidR="003D41B7" w:rsidRPr="00FC3603">
        <w:rPr>
          <w:rFonts w:ascii="Arial" w:hAnsi="Arial" w:cs="Arial"/>
          <w:sz w:val="20"/>
        </w:rPr>
        <w:t>Muthunarayanan</w:t>
      </w:r>
      <w:proofErr w:type="spellEnd"/>
      <w:r w:rsidR="003D41B7" w:rsidRPr="00FC3603">
        <w:rPr>
          <w:rFonts w:ascii="Arial" w:hAnsi="Arial" w:cs="Arial"/>
          <w:sz w:val="20"/>
        </w:rPr>
        <w:t>,</w:t>
      </w:r>
      <w:r w:rsidR="00FC3603">
        <w:rPr>
          <w:rFonts w:ascii="Arial" w:hAnsi="Arial" w:cs="Arial"/>
          <w:sz w:val="20"/>
        </w:rPr>
        <w:t xml:space="preserve"> </w:t>
      </w:r>
      <w:r w:rsidR="003D41B7" w:rsidRPr="00FC3603">
        <w:rPr>
          <w:rFonts w:ascii="Arial" w:hAnsi="Arial" w:cs="Arial"/>
          <w:sz w:val="20"/>
        </w:rPr>
        <w:t xml:space="preserve">2017). </w:t>
      </w:r>
      <w:r w:rsidRPr="00FC3603">
        <w:rPr>
          <w:rFonts w:ascii="Arial" w:eastAsia="Calibri" w:hAnsi="Arial" w:cs="Arial"/>
          <w:kern w:val="0"/>
          <w:sz w:val="20"/>
          <w:lang w:val="en-US" w:bidi="ar-SA"/>
          <w14:ligatures w14:val="none"/>
        </w:rPr>
        <w:t>International studies report even more variation in co-prevalence rates, with Nigeria ranging from 14% to 54.2%</w:t>
      </w:r>
      <w:r w:rsidR="00FC3603">
        <w:rPr>
          <w:rFonts w:ascii="Arial" w:eastAsia="Calibri" w:hAnsi="Arial" w:cs="Arial"/>
          <w:kern w:val="0"/>
          <w:sz w:val="20"/>
          <w:vertAlign w:val="superscript"/>
          <w:lang w:val="en-US" w:bidi="ar-SA"/>
          <w14:ligatures w14:val="none"/>
        </w:rPr>
        <w:t xml:space="preserve"> </w:t>
      </w:r>
      <w:r w:rsidR="00FC3603">
        <w:rPr>
          <w:rFonts w:ascii="Arial" w:hAnsi="Arial" w:cs="Arial"/>
          <w:sz w:val="20"/>
        </w:rPr>
        <w:t>(</w:t>
      </w:r>
      <w:proofErr w:type="spellStart"/>
      <w:r w:rsidR="00281ECA" w:rsidRPr="00FC3603">
        <w:rPr>
          <w:rFonts w:ascii="Arial" w:hAnsi="Arial" w:cs="Arial"/>
          <w:sz w:val="20"/>
        </w:rPr>
        <w:t>Opeodu</w:t>
      </w:r>
      <w:proofErr w:type="spellEnd"/>
      <w:r w:rsidR="00281ECA" w:rsidRPr="00FC3603">
        <w:rPr>
          <w:rFonts w:ascii="Arial" w:hAnsi="Arial" w:cs="Arial"/>
          <w:sz w:val="20"/>
        </w:rPr>
        <w:t xml:space="preserve"> &amp; Adeyemi, 2015; </w:t>
      </w:r>
      <w:proofErr w:type="spellStart"/>
      <w:r w:rsidR="00281ECA" w:rsidRPr="00FC3603">
        <w:rPr>
          <w:rFonts w:ascii="Arial" w:hAnsi="Arial" w:cs="Arial"/>
          <w:sz w:val="20"/>
        </w:rPr>
        <w:t>Unadike</w:t>
      </w:r>
      <w:proofErr w:type="spellEnd"/>
      <w:r w:rsidR="00281ECA" w:rsidRPr="00FC3603">
        <w:rPr>
          <w:rFonts w:ascii="Arial" w:hAnsi="Arial" w:cs="Arial"/>
          <w:sz w:val="20"/>
        </w:rPr>
        <w:t xml:space="preserve"> &amp; </w:t>
      </w:r>
      <w:proofErr w:type="spellStart"/>
      <w:r w:rsidR="00281ECA" w:rsidRPr="00FC3603">
        <w:rPr>
          <w:rFonts w:ascii="Arial" w:hAnsi="Arial" w:cs="Arial"/>
          <w:sz w:val="20"/>
        </w:rPr>
        <w:t>Ohwovoriole</w:t>
      </w:r>
      <w:proofErr w:type="spellEnd"/>
      <w:r w:rsidR="00281ECA" w:rsidRPr="00FC3603">
        <w:rPr>
          <w:rFonts w:ascii="Arial" w:hAnsi="Arial" w:cs="Arial"/>
          <w:sz w:val="20"/>
        </w:rPr>
        <w:t xml:space="preserve">, 2011). </w:t>
      </w:r>
      <w:r w:rsidRPr="00FC3603">
        <w:rPr>
          <w:rFonts w:ascii="Arial" w:eastAsia="Calibri" w:hAnsi="Arial" w:cs="Arial"/>
          <w:kern w:val="0"/>
          <w:sz w:val="20"/>
          <w:lang w:val="en-US" w:bidi="ar-SA"/>
          <w14:ligatures w14:val="none"/>
        </w:rPr>
        <w:t xml:space="preserve"> Japan at 62%</w:t>
      </w:r>
      <w:r w:rsidR="00E754DC" w:rsidRPr="00FC3603">
        <w:rPr>
          <w:rFonts w:ascii="Arial" w:eastAsia="Calibri" w:hAnsi="Arial" w:cs="Arial"/>
          <w:kern w:val="0"/>
          <w:sz w:val="20"/>
          <w:vertAlign w:val="superscript"/>
          <w:lang w:val="en-US" w:bidi="ar-SA"/>
          <w14:ligatures w14:val="none"/>
        </w:rPr>
        <w:t xml:space="preserve"> </w:t>
      </w:r>
      <w:r w:rsidR="00E754DC" w:rsidRPr="00FC3603">
        <w:rPr>
          <w:rFonts w:ascii="Arial" w:eastAsia="Calibri" w:hAnsi="Arial" w:cs="Arial"/>
          <w:kern w:val="0"/>
          <w:sz w:val="20"/>
          <w:lang w:val="en-US" w:bidi="ar-SA"/>
          <w14:ligatures w14:val="none"/>
        </w:rPr>
        <w:t>(</w:t>
      </w:r>
      <w:r w:rsidR="00E754DC" w:rsidRPr="00FC3603">
        <w:rPr>
          <w:rFonts w:ascii="Arial" w:hAnsi="Arial" w:cs="Arial"/>
          <w:sz w:val="20"/>
        </w:rPr>
        <w:t>Yamakawa et al., 2019)</w:t>
      </w:r>
      <w:r w:rsidRPr="00FC3603">
        <w:rPr>
          <w:rFonts w:ascii="Arial" w:eastAsia="Calibri" w:hAnsi="Arial" w:cs="Arial"/>
          <w:kern w:val="0"/>
          <w:sz w:val="20"/>
          <w:lang w:val="en-US" w:bidi="ar-SA"/>
          <w14:ligatures w14:val="none"/>
        </w:rPr>
        <w:t>, Morocco and Iran at 70.4%</w:t>
      </w:r>
      <w:r w:rsidR="00E754DC" w:rsidRPr="00FC3603">
        <w:rPr>
          <w:rFonts w:ascii="Arial" w:eastAsia="Calibri" w:hAnsi="Arial" w:cs="Arial"/>
          <w:kern w:val="0"/>
          <w:sz w:val="20"/>
          <w:vertAlign w:val="superscript"/>
          <w:lang w:val="en-US" w:bidi="ar-SA"/>
          <w14:ligatures w14:val="none"/>
        </w:rPr>
        <w:t xml:space="preserve"> </w:t>
      </w:r>
      <w:r w:rsidR="00E754DC" w:rsidRPr="00FC3603">
        <w:rPr>
          <w:rFonts w:ascii="Arial" w:hAnsi="Arial" w:cs="Arial"/>
          <w:sz w:val="20"/>
        </w:rPr>
        <w:t xml:space="preserve">(Berraho et al., 2012; </w:t>
      </w:r>
      <w:proofErr w:type="spellStart"/>
      <w:r w:rsidR="00E754DC" w:rsidRPr="00FC3603">
        <w:rPr>
          <w:rFonts w:ascii="Arial" w:hAnsi="Arial" w:cs="Arial"/>
          <w:sz w:val="20"/>
        </w:rPr>
        <w:t>Hashemizadeh</w:t>
      </w:r>
      <w:proofErr w:type="spellEnd"/>
      <w:r w:rsidR="00E754DC" w:rsidRPr="00FC3603">
        <w:rPr>
          <w:rFonts w:ascii="Arial" w:hAnsi="Arial" w:cs="Arial"/>
          <w:sz w:val="20"/>
        </w:rPr>
        <w:t xml:space="preserve">, &amp; </w:t>
      </w:r>
      <w:proofErr w:type="spellStart"/>
      <w:r w:rsidR="00E754DC" w:rsidRPr="00FC3603">
        <w:rPr>
          <w:rFonts w:ascii="Arial" w:hAnsi="Arial" w:cs="Arial"/>
          <w:sz w:val="20"/>
        </w:rPr>
        <w:t>Sarvelayati</w:t>
      </w:r>
      <w:proofErr w:type="spellEnd"/>
      <w:r w:rsidR="00E754DC" w:rsidRPr="00FC3603">
        <w:rPr>
          <w:rFonts w:ascii="Arial" w:hAnsi="Arial" w:cs="Arial"/>
          <w:sz w:val="20"/>
        </w:rPr>
        <w:t>, 2013)</w:t>
      </w:r>
      <w:r w:rsidRPr="00FC3603">
        <w:rPr>
          <w:rFonts w:ascii="Arial" w:eastAsia="Calibri" w:hAnsi="Arial" w:cs="Arial"/>
          <w:kern w:val="0"/>
          <w:sz w:val="20"/>
          <w:lang w:val="en-US" w:bidi="ar-SA"/>
          <w14:ligatures w14:val="none"/>
        </w:rPr>
        <w:t>, and Northeast Ethiopia at 43.3%</w:t>
      </w:r>
      <w:r w:rsidR="00FC3603" w:rsidRPr="00FC3603">
        <w:rPr>
          <w:rFonts w:ascii="Arial" w:eastAsia="Calibri" w:hAnsi="Arial" w:cs="Arial"/>
          <w:kern w:val="0"/>
          <w:sz w:val="20"/>
          <w:vertAlign w:val="superscript"/>
          <w:lang w:val="en-US" w:bidi="ar-SA"/>
          <w14:ligatures w14:val="none"/>
        </w:rPr>
        <w:t xml:space="preserve"> </w:t>
      </w:r>
      <w:r w:rsidR="00FC3603" w:rsidRPr="00FC3603">
        <w:rPr>
          <w:rFonts w:ascii="Arial" w:eastAsia="Calibri" w:hAnsi="Arial" w:cs="Arial"/>
          <w:kern w:val="0"/>
          <w:sz w:val="20"/>
          <w:lang w:val="en-US" w:bidi="ar-SA"/>
          <w14:ligatures w14:val="none"/>
        </w:rPr>
        <w:t>(</w:t>
      </w:r>
      <w:r w:rsidR="00FC3603" w:rsidRPr="00FC3603">
        <w:rPr>
          <w:rFonts w:ascii="Arial" w:hAnsi="Arial" w:cs="Arial"/>
          <w:sz w:val="20"/>
        </w:rPr>
        <w:t xml:space="preserve">Abejew et al., 2015). </w:t>
      </w:r>
      <w:r w:rsidR="00037D6A" w:rsidRPr="00FC3603">
        <w:rPr>
          <w:rFonts w:ascii="Arial" w:eastAsia="Calibri" w:hAnsi="Arial" w:cs="Arial"/>
          <w:kern w:val="0"/>
          <w:sz w:val="20"/>
          <w:lang w:val="en-US" w:bidi="ar-SA"/>
          <w14:ligatures w14:val="none"/>
        </w:rPr>
        <w:t>The mean age of patients with T2DM was 47.6 ± 1.0 years, while those with T2DM*HTN had a higher mean age of 54.5 ± 1.1 years. A majority of the patients were female across both groups (T2DM: 60%; T2DM*HTN: 76.7%).</w:t>
      </w:r>
    </w:p>
    <w:p w14:paraId="14DC6B32" w14:textId="77777777" w:rsidR="001615FC" w:rsidRPr="00037593" w:rsidRDefault="001615FC" w:rsidP="00752E3F">
      <w:pPr>
        <w:spacing w:after="0" w:line="276" w:lineRule="auto"/>
        <w:rPr>
          <w:rFonts w:ascii="Times New Roman" w:eastAsia="Calibri" w:hAnsi="Times New Roman" w:cs="Times New Roman"/>
          <w:kern w:val="0"/>
          <w:sz w:val="24"/>
          <w:szCs w:val="24"/>
          <w:lang w:val="en-US" w:bidi="ar-SA"/>
          <w14:ligatures w14:val="none"/>
        </w:rPr>
      </w:pPr>
    </w:p>
    <w:p w14:paraId="7AAC7458" w14:textId="772BF415" w:rsidR="00AC1256" w:rsidRPr="00F66C7E" w:rsidRDefault="00AC1256" w:rsidP="00752E3F">
      <w:pPr>
        <w:spacing w:after="0" w:line="276" w:lineRule="auto"/>
        <w:rPr>
          <w:rFonts w:ascii="Arial" w:eastAsia="Calibri" w:hAnsi="Arial" w:cs="Arial"/>
          <w:kern w:val="0"/>
          <w:sz w:val="20"/>
          <w:lang w:val="en-US" w:bidi="ar-SA"/>
          <w14:ligatures w14:val="none"/>
        </w:rPr>
      </w:pPr>
      <w:r w:rsidRPr="00F66C7E">
        <w:rPr>
          <w:rFonts w:ascii="Arial" w:eastAsia="Calibri" w:hAnsi="Arial" w:cs="Arial"/>
          <w:b/>
          <w:bCs/>
          <w:kern w:val="0"/>
          <w:sz w:val="20"/>
          <w:lang w:val="en-US" w:bidi="ar-SA"/>
          <w14:ligatures w14:val="none"/>
        </w:rPr>
        <w:t xml:space="preserve">Table </w:t>
      </w:r>
      <w:r w:rsidRPr="00F66C7E">
        <w:rPr>
          <w:rFonts w:ascii="Arial" w:eastAsia="Calibri" w:hAnsi="Arial" w:cs="Arial"/>
          <w:b/>
          <w:bCs/>
          <w:kern w:val="0"/>
          <w:sz w:val="20"/>
          <w:lang w:val="en-US" w:bidi="ar-SA"/>
          <w14:ligatures w14:val="none"/>
        </w:rPr>
        <w:fldChar w:fldCharType="begin"/>
      </w:r>
      <w:r w:rsidRPr="00F66C7E">
        <w:rPr>
          <w:rFonts w:ascii="Arial" w:eastAsia="Calibri" w:hAnsi="Arial" w:cs="Arial"/>
          <w:b/>
          <w:bCs/>
          <w:kern w:val="0"/>
          <w:sz w:val="20"/>
          <w:lang w:val="en-US" w:bidi="ar-SA"/>
          <w14:ligatures w14:val="none"/>
        </w:rPr>
        <w:instrText xml:space="preserve"> SEQ Table \* ARABIC </w:instrText>
      </w:r>
      <w:r w:rsidRPr="00F66C7E">
        <w:rPr>
          <w:rFonts w:ascii="Arial" w:eastAsia="Calibri" w:hAnsi="Arial" w:cs="Arial"/>
          <w:b/>
          <w:bCs/>
          <w:kern w:val="0"/>
          <w:sz w:val="20"/>
          <w:lang w:val="en-US" w:bidi="ar-SA"/>
          <w14:ligatures w14:val="none"/>
        </w:rPr>
        <w:fldChar w:fldCharType="separate"/>
      </w:r>
      <w:r w:rsidR="00D80295" w:rsidRPr="00F66C7E">
        <w:rPr>
          <w:rFonts w:ascii="Arial" w:eastAsia="Calibri" w:hAnsi="Arial" w:cs="Arial"/>
          <w:b/>
          <w:bCs/>
          <w:noProof/>
          <w:kern w:val="0"/>
          <w:sz w:val="20"/>
          <w:lang w:val="en-US" w:bidi="ar-SA"/>
          <w14:ligatures w14:val="none"/>
        </w:rPr>
        <w:t>1</w:t>
      </w:r>
      <w:r w:rsidRPr="00F66C7E">
        <w:rPr>
          <w:rFonts w:ascii="Arial" w:eastAsia="Calibri" w:hAnsi="Arial" w:cs="Arial"/>
          <w:b/>
          <w:bCs/>
          <w:kern w:val="0"/>
          <w:sz w:val="20"/>
          <w:lang w:val="en-US" w:bidi="ar-SA"/>
          <w14:ligatures w14:val="none"/>
        </w:rPr>
        <w:fldChar w:fldCharType="end"/>
      </w:r>
      <w:r w:rsidRPr="00F66C7E">
        <w:rPr>
          <w:rFonts w:ascii="Arial" w:eastAsia="Calibri" w:hAnsi="Arial" w:cs="Arial"/>
          <w:b/>
          <w:bCs/>
          <w:kern w:val="0"/>
          <w:sz w:val="20"/>
          <w:lang w:val="en-US" w:bidi="ar-SA"/>
          <w14:ligatures w14:val="none"/>
        </w:rPr>
        <w:t>: Baseline Characteristics of the Patients (</w:t>
      </w:r>
      <w:r w:rsidRPr="00F66C7E">
        <w:rPr>
          <w:rFonts w:ascii="Arial" w:eastAsia="Calibri" w:hAnsi="Arial" w:cs="Arial"/>
          <w:b/>
          <w:bCs/>
          <w:i/>
          <w:iCs/>
          <w:kern w:val="0"/>
          <w:sz w:val="20"/>
          <w:lang w:val="en-US" w:bidi="ar-SA"/>
          <w14:ligatures w14:val="none"/>
        </w:rPr>
        <w:t>N</w:t>
      </w:r>
      <w:r w:rsidRPr="00F66C7E">
        <w:rPr>
          <w:rFonts w:ascii="Arial" w:eastAsia="Calibri" w:hAnsi="Arial" w:cs="Arial"/>
          <w:b/>
          <w:bCs/>
          <w:kern w:val="0"/>
          <w:sz w:val="20"/>
          <w:lang w:val="en-US" w:bidi="ar-SA"/>
          <w14:ligatures w14:val="none"/>
        </w:rPr>
        <w:t xml:space="preserve"> = 320)</w:t>
      </w:r>
    </w:p>
    <w:tbl>
      <w:tblPr>
        <w:tblW w:w="7797" w:type="dxa"/>
        <w:tblLook w:val="04A0" w:firstRow="1" w:lastRow="0" w:firstColumn="1" w:lastColumn="0" w:noHBand="0" w:noVBand="1"/>
      </w:tblPr>
      <w:tblGrid>
        <w:gridCol w:w="2835"/>
        <w:gridCol w:w="2127"/>
        <w:gridCol w:w="2835"/>
      </w:tblGrid>
      <w:tr w:rsidR="00752E3F" w:rsidRPr="00F66C7E" w14:paraId="26DBA3DE" w14:textId="77777777" w:rsidTr="00F428DC">
        <w:trPr>
          <w:trHeight w:val="310"/>
        </w:trPr>
        <w:tc>
          <w:tcPr>
            <w:tcW w:w="2835" w:type="dxa"/>
            <w:tcBorders>
              <w:top w:val="single" w:sz="12" w:space="0" w:color="auto"/>
              <w:left w:val="nil"/>
              <w:bottom w:val="single" w:sz="12" w:space="0" w:color="auto"/>
              <w:right w:val="nil"/>
            </w:tcBorders>
            <w:shd w:val="clear" w:color="auto" w:fill="auto"/>
            <w:noWrap/>
            <w:vAlign w:val="center"/>
            <w:hideMark/>
          </w:tcPr>
          <w:p w14:paraId="55DB21D6"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Parameters</w:t>
            </w:r>
          </w:p>
        </w:tc>
        <w:tc>
          <w:tcPr>
            <w:tcW w:w="2127" w:type="dxa"/>
            <w:tcBorders>
              <w:top w:val="single" w:sz="12" w:space="0" w:color="auto"/>
              <w:left w:val="nil"/>
              <w:bottom w:val="single" w:sz="12" w:space="0" w:color="auto"/>
              <w:right w:val="nil"/>
            </w:tcBorders>
            <w:shd w:val="clear" w:color="auto" w:fill="auto"/>
            <w:noWrap/>
            <w:vAlign w:val="center"/>
            <w:hideMark/>
          </w:tcPr>
          <w:p w14:paraId="52ADED6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T2DM (</w:t>
            </w:r>
            <w:r w:rsidRPr="00F66C7E">
              <w:rPr>
                <w:rFonts w:ascii="Arial" w:eastAsia="Times New Roman" w:hAnsi="Arial" w:cs="Arial"/>
                <w:i/>
                <w:iCs/>
                <w:kern w:val="0"/>
                <w:sz w:val="20"/>
                <w:lang w:val="en-US" w:eastAsia="en-IN"/>
                <w14:ligatures w14:val="none"/>
              </w:rPr>
              <w:t>n</w:t>
            </w:r>
            <w:r w:rsidRPr="00F66C7E">
              <w:rPr>
                <w:rFonts w:ascii="Arial" w:eastAsia="Times New Roman" w:hAnsi="Arial" w:cs="Arial"/>
                <w:kern w:val="0"/>
                <w:sz w:val="20"/>
                <w:lang w:val="en-US" w:eastAsia="en-IN"/>
                <w14:ligatures w14:val="none"/>
              </w:rPr>
              <w:t xml:space="preserve"> = 100)</w:t>
            </w:r>
          </w:p>
        </w:tc>
        <w:tc>
          <w:tcPr>
            <w:tcW w:w="2835" w:type="dxa"/>
            <w:tcBorders>
              <w:top w:val="single" w:sz="12" w:space="0" w:color="auto"/>
              <w:left w:val="nil"/>
              <w:bottom w:val="single" w:sz="12" w:space="0" w:color="auto"/>
              <w:right w:val="nil"/>
            </w:tcBorders>
            <w:shd w:val="clear" w:color="auto" w:fill="auto"/>
            <w:noWrap/>
            <w:vAlign w:val="center"/>
            <w:hideMark/>
          </w:tcPr>
          <w:p w14:paraId="7578658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T2DM*HTN (</w:t>
            </w:r>
            <w:r w:rsidRPr="00F66C7E">
              <w:rPr>
                <w:rFonts w:ascii="Arial" w:eastAsia="Times New Roman" w:hAnsi="Arial" w:cs="Arial"/>
                <w:i/>
                <w:iCs/>
                <w:kern w:val="0"/>
                <w:sz w:val="20"/>
                <w:lang w:val="en-US" w:eastAsia="en-IN"/>
                <w14:ligatures w14:val="none"/>
              </w:rPr>
              <w:t xml:space="preserve">n </w:t>
            </w:r>
            <w:r w:rsidRPr="00F66C7E">
              <w:rPr>
                <w:rFonts w:ascii="Arial" w:eastAsia="Times New Roman" w:hAnsi="Arial" w:cs="Arial"/>
                <w:kern w:val="0"/>
                <w:sz w:val="20"/>
                <w:lang w:val="en-US" w:eastAsia="en-IN"/>
                <w14:ligatures w14:val="none"/>
              </w:rPr>
              <w:t>= 60)</w:t>
            </w:r>
          </w:p>
        </w:tc>
      </w:tr>
      <w:tr w:rsidR="00752E3F" w:rsidRPr="00F66C7E" w14:paraId="65AD28E2" w14:textId="77777777" w:rsidTr="00F428DC">
        <w:trPr>
          <w:trHeight w:val="300"/>
        </w:trPr>
        <w:tc>
          <w:tcPr>
            <w:tcW w:w="2835" w:type="dxa"/>
            <w:tcBorders>
              <w:top w:val="nil"/>
              <w:left w:val="nil"/>
              <w:bottom w:val="nil"/>
              <w:right w:val="nil"/>
            </w:tcBorders>
            <w:shd w:val="clear" w:color="auto" w:fill="auto"/>
            <w:noWrap/>
            <w:vAlign w:val="center"/>
            <w:hideMark/>
          </w:tcPr>
          <w:p w14:paraId="532A3B9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 xml:space="preserve">Prevalence of diseases, </w:t>
            </w:r>
            <w:r w:rsidRPr="00F66C7E">
              <w:rPr>
                <w:rFonts w:ascii="Arial" w:eastAsia="Times New Roman" w:hAnsi="Arial" w:cs="Arial"/>
                <w:i/>
                <w:iCs/>
                <w:kern w:val="0"/>
                <w:sz w:val="20"/>
                <w:lang w:val="en-US" w:eastAsia="en-IN"/>
                <w14:ligatures w14:val="none"/>
              </w:rPr>
              <w:t>% (n)</w:t>
            </w:r>
          </w:p>
        </w:tc>
        <w:tc>
          <w:tcPr>
            <w:tcW w:w="2127" w:type="dxa"/>
            <w:tcBorders>
              <w:top w:val="nil"/>
              <w:left w:val="nil"/>
              <w:bottom w:val="nil"/>
              <w:right w:val="nil"/>
            </w:tcBorders>
            <w:shd w:val="clear" w:color="auto" w:fill="auto"/>
            <w:noWrap/>
            <w:vAlign w:val="center"/>
            <w:hideMark/>
          </w:tcPr>
          <w:p w14:paraId="163BDAD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31.3 (100)</w:t>
            </w:r>
          </w:p>
        </w:tc>
        <w:tc>
          <w:tcPr>
            <w:tcW w:w="2835" w:type="dxa"/>
            <w:tcBorders>
              <w:top w:val="nil"/>
              <w:left w:val="nil"/>
              <w:bottom w:val="nil"/>
              <w:right w:val="nil"/>
            </w:tcBorders>
            <w:shd w:val="clear" w:color="auto" w:fill="auto"/>
            <w:noWrap/>
            <w:vAlign w:val="center"/>
            <w:hideMark/>
          </w:tcPr>
          <w:p w14:paraId="1146D6DA"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18.8 (60)</w:t>
            </w:r>
          </w:p>
        </w:tc>
      </w:tr>
      <w:tr w:rsidR="00752E3F" w:rsidRPr="00F66C7E" w14:paraId="0D1B0C58" w14:textId="77777777" w:rsidTr="00F428DC">
        <w:trPr>
          <w:trHeight w:val="290"/>
        </w:trPr>
        <w:tc>
          <w:tcPr>
            <w:tcW w:w="2835" w:type="dxa"/>
            <w:tcBorders>
              <w:top w:val="nil"/>
              <w:left w:val="nil"/>
              <w:bottom w:val="nil"/>
              <w:right w:val="nil"/>
            </w:tcBorders>
            <w:shd w:val="clear" w:color="auto" w:fill="auto"/>
            <w:noWrap/>
            <w:vAlign w:val="center"/>
            <w:hideMark/>
          </w:tcPr>
          <w:p w14:paraId="3F064F1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 xml:space="preserve">Gender, </w:t>
            </w:r>
            <w:r w:rsidRPr="00F66C7E">
              <w:rPr>
                <w:rFonts w:ascii="Arial" w:eastAsia="Times New Roman" w:hAnsi="Arial" w:cs="Arial"/>
                <w:i/>
                <w:iCs/>
                <w:kern w:val="0"/>
                <w:sz w:val="20"/>
                <w:lang w:val="en-US" w:eastAsia="en-IN"/>
                <w14:ligatures w14:val="none"/>
              </w:rPr>
              <w:t>% (n)</w:t>
            </w:r>
          </w:p>
        </w:tc>
        <w:tc>
          <w:tcPr>
            <w:tcW w:w="2127" w:type="dxa"/>
            <w:tcBorders>
              <w:top w:val="nil"/>
              <w:left w:val="nil"/>
              <w:bottom w:val="nil"/>
              <w:right w:val="nil"/>
            </w:tcBorders>
            <w:shd w:val="clear" w:color="auto" w:fill="auto"/>
            <w:noWrap/>
            <w:vAlign w:val="center"/>
            <w:hideMark/>
          </w:tcPr>
          <w:p w14:paraId="7014781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tcBorders>
              <w:top w:val="nil"/>
              <w:left w:val="nil"/>
              <w:bottom w:val="nil"/>
              <w:right w:val="nil"/>
            </w:tcBorders>
            <w:shd w:val="clear" w:color="auto" w:fill="auto"/>
            <w:noWrap/>
            <w:vAlign w:val="center"/>
            <w:hideMark/>
          </w:tcPr>
          <w:p w14:paraId="5C503C02"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45AE1503" w14:textId="77777777" w:rsidTr="00F428DC">
        <w:trPr>
          <w:trHeight w:val="290"/>
        </w:trPr>
        <w:tc>
          <w:tcPr>
            <w:tcW w:w="2835" w:type="dxa"/>
            <w:tcBorders>
              <w:top w:val="nil"/>
              <w:left w:val="nil"/>
              <w:bottom w:val="nil"/>
              <w:right w:val="nil"/>
            </w:tcBorders>
            <w:shd w:val="clear" w:color="auto" w:fill="auto"/>
            <w:noWrap/>
            <w:vAlign w:val="center"/>
            <w:hideMark/>
          </w:tcPr>
          <w:p w14:paraId="61B549DC"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02DF581D"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40.0 (40); 60.0 (60)</w:t>
            </w:r>
          </w:p>
        </w:tc>
        <w:tc>
          <w:tcPr>
            <w:tcW w:w="2835" w:type="dxa"/>
            <w:tcBorders>
              <w:top w:val="nil"/>
              <w:left w:val="nil"/>
              <w:bottom w:val="nil"/>
              <w:right w:val="nil"/>
            </w:tcBorders>
            <w:shd w:val="clear" w:color="auto" w:fill="auto"/>
            <w:noWrap/>
            <w:vAlign w:val="center"/>
            <w:hideMark/>
          </w:tcPr>
          <w:p w14:paraId="4D44062F"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23.3 (14): 76.7 (46)</w:t>
            </w:r>
          </w:p>
        </w:tc>
      </w:tr>
      <w:tr w:rsidR="00752E3F" w:rsidRPr="00F66C7E" w14:paraId="7D69A251" w14:textId="77777777" w:rsidTr="00F428DC">
        <w:trPr>
          <w:trHeight w:val="290"/>
        </w:trPr>
        <w:tc>
          <w:tcPr>
            <w:tcW w:w="2835" w:type="dxa"/>
            <w:tcBorders>
              <w:top w:val="nil"/>
              <w:left w:val="nil"/>
              <w:bottom w:val="nil"/>
              <w:right w:val="nil"/>
            </w:tcBorders>
            <w:shd w:val="clear" w:color="auto" w:fill="auto"/>
            <w:noWrap/>
            <w:vAlign w:val="center"/>
            <w:hideMark/>
          </w:tcPr>
          <w:p w14:paraId="4269001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513435D6"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B022C48"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26100536" w14:textId="77777777" w:rsidTr="00F428DC">
        <w:trPr>
          <w:trHeight w:val="290"/>
        </w:trPr>
        <w:tc>
          <w:tcPr>
            <w:tcW w:w="2835" w:type="dxa"/>
            <w:tcBorders>
              <w:top w:val="nil"/>
              <w:left w:val="nil"/>
              <w:bottom w:val="nil"/>
              <w:right w:val="nil"/>
            </w:tcBorders>
            <w:shd w:val="clear" w:color="auto" w:fill="auto"/>
            <w:noWrap/>
            <w:vAlign w:val="center"/>
            <w:hideMark/>
          </w:tcPr>
          <w:p w14:paraId="5884E74C"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 xml:space="preserve">Age (years), </w:t>
            </w:r>
            <w:r w:rsidRPr="00F66C7E">
              <w:rPr>
                <w:rFonts w:ascii="Arial" w:eastAsia="Times New Roman" w:hAnsi="Arial" w:cs="Arial"/>
                <w:i/>
                <w:iCs/>
                <w:kern w:val="0"/>
                <w:sz w:val="20"/>
                <w:lang w:val="en-US" w:eastAsia="en-IN"/>
                <w14:ligatures w14:val="none"/>
              </w:rPr>
              <w:t>M ± SE</w:t>
            </w:r>
          </w:p>
        </w:tc>
        <w:tc>
          <w:tcPr>
            <w:tcW w:w="2127" w:type="dxa"/>
            <w:vMerge/>
            <w:tcBorders>
              <w:top w:val="nil"/>
              <w:left w:val="nil"/>
              <w:bottom w:val="nil"/>
              <w:right w:val="nil"/>
            </w:tcBorders>
            <w:vAlign w:val="center"/>
            <w:hideMark/>
          </w:tcPr>
          <w:p w14:paraId="7DAA41C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tcBorders>
              <w:top w:val="nil"/>
              <w:left w:val="nil"/>
              <w:bottom w:val="nil"/>
              <w:right w:val="nil"/>
            </w:tcBorders>
            <w:vAlign w:val="center"/>
            <w:hideMark/>
          </w:tcPr>
          <w:p w14:paraId="07AA29BE"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5B731FAE" w14:textId="77777777" w:rsidTr="00F428DC">
        <w:trPr>
          <w:trHeight w:val="290"/>
        </w:trPr>
        <w:tc>
          <w:tcPr>
            <w:tcW w:w="2835" w:type="dxa"/>
            <w:tcBorders>
              <w:top w:val="nil"/>
              <w:left w:val="nil"/>
              <w:bottom w:val="nil"/>
              <w:right w:val="nil"/>
            </w:tcBorders>
            <w:shd w:val="clear" w:color="auto" w:fill="auto"/>
            <w:noWrap/>
            <w:vAlign w:val="center"/>
            <w:hideMark/>
          </w:tcPr>
          <w:p w14:paraId="4FA4C261"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EC1F44D"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47.6 ± 1.0</w:t>
            </w:r>
          </w:p>
        </w:tc>
        <w:tc>
          <w:tcPr>
            <w:tcW w:w="2835" w:type="dxa"/>
            <w:tcBorders>
              <w:top w:val="nil"/>
              <w:left w:val="nil"/>
              <w:bottom w:val="nil"/>
              <w:right w:val="nil"/>
            </w:tcBorders>
            <w:shd w:val="clear" w:color="auto" w:fill="auto"/>
            <w:noWrap/>
            <w:vAlign w:val="center"/>
            <w:hideMark/>
          </w:tcPr>
          <w:p w14:paraId="71C631D8"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54.5 ± 1.1</w:t>
            </w:r>
          </w:p>
        </w:tc>
      </w:tr>
      <w:tr w:rsidR="00752E3F" w:rsidRPr="00F66C7E" w14:paraId="6A32DF48" w14:textId="77777777" w:rsidTr="00F428DC">
        <w:trPr>
          <w:trHeight w:val="290"/>
        </w:trPr>
        <w:tc>
          <w:tcPr>
            <w:tcW w:w="2835" w:type="dxa"/>
            <w:tcBorders>
              <w:top w:val="nil"/>
              <w:left w:val="nil"/>
              <w:bottom w:val="nil"/>
              <w:right w:val="nil"/>
            </w:tcBorders>
            <w:shd w:val="clear" w:color="auto" w:fill="auto"/>
            <w:noWrap/>
            <w:vAlign w:val="center"/>
            <w:hideMark/>
          </w:tcPr>
          <w:p w14:paraId="6A934BEC"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2FD4844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49.8 ± 1.8; 46.1 ± 1.2</w:t>
            </w:r>
          </w:p>
        </w:tc>
        <w:tc>
          <w:tcPr>
            <w:tcW w:w="2835" w:type="dxa"/>
            <w:tcBorders>
              <w:top w:val="nil"/>
              <w:left w:val="nil"/>
              <w:bottom w:val="nil"/>
              <w:right w:val="nil"/>
            </w:tcBorders>
            <w:shd w:val="clear" w:color="auto" w:fill="auto"/>
            <w:noWrap/>
            <w:vAlign w:val="center"/>
            <w:hideMark/>
          </w:tcPr>
          <w:p w14:paraId="06E3BF6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60.6 ± 1.97; 52.6 ± 1.19</w:t>
            </w:r>
          </w:p>
        </w:tc>
      </w:tr>
      <w:tr w:rsidR="00752E3F" w:rsidRPr="00F66C7E" w14:paraId="321E68DE" w14:textId="77777777" w:rsidTr="00F428DC">
        <w:trPr>
          <w:trHeight w:val="290"/>
        </w:trPr>
        <w:tc>
          <w:tcPr>
            <w:tcW w:w="2835" w:type="dxa"/>
            <w:tcBorders>
              <w:top w:val="nil"/>
              <w:left w:val="nil"/>
              <w:bottom w:val="nil"/>
              <w:right w:val="nil"/>
            </w:tcBorders>
            <w:shd w:val="clear" w:color="auto" w:fill="auto"/>
            <w:noWrap/>
            <w:vAlign w:val="center"/>
            <w:hideMark/>
          </w:tcPr>
          <w:p w14:paraId="3CACB99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4958363C"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582582F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29521641" w14:textId="77777777" w:rsidTr="00F428DC">
        <w:trPr>
          <w:trHeight w:val="290"/>
        </w:trPr>
        <w:tc>
          <w:tcPr>
            <w:tcW w:w="2835" w:type="dxa"/>
            <w:tcBorders>
              <w:top w:val="nil"/>
              <w:left w:val="nil"/>
              <w:bottom w:val="nil"/>
              <w:right w:val="nil"/>
            </w:tcBorders>
            <w:shd w:val="clear" w:color="auto" w:fill="auto"/>
            <w:noWrap/>
            <w:vAlign w:val="center"/>
            <w:hideMark/>
          </w:tcPr>
          <w:p w14:paraId="53A9E16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Mean BMI, (kg/m2)</w:t>
            </w:r>
          </w:p>
        </w:tc>
        <w:tc>
          <w:tcPr>
            <w:tcW w:w="2127" w:type="dxa"/>
            <w:vMerge/>
            <w:tcBorders>
              <w:top w:val="nil"/>
              <w:left w:val="nil"/>
              <w:bottom w:val="nil"/>
              <w:right w:val="nil"/>
            </w:tcBorders>
            <w:vAlign w:val="center"/>
            <w:hideMark/>
          </w:tcPr>
          <w:p w14:paraId="3738A3E1"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tcBorders>
              <w:top w:val="nil"/>
              <w:left w:val="nil"/>
              <w:bottom w:val="nil"/>
              <w:right w:val="nil"/>
            </w:tcBorders>
            <w:vAlign w:val="center"/>
            <w:hideMark/>
          </w:tcPr>
          <w:p w14:paraId="12F3AD7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7856B9E3" w14:textId="77777777" w:rsidTr="00F428DC">
        <w:trPr>
          <w:trHeight w:val="290"/>
        </w:trPr>
        <w:tc>
          <w:tcPr>
            <w:tcW w:w="2835" w:type="dxa"/>
            <w:tcBorders>
              <w:top w:val="nil"/>
              <w:left w:val="nil"/>
              <w:bottom w:val="nil"/>
              <w:right w:val="nil"/>
            </w:tcBorders>
            <w:shd w:val="clear" w:color="auto" w:fill="auto"/>
            <w:noWrap/>
            <w:vAlign w:val="center"/>
            <w:hideMark/>
          </w:tcPr>
          <w:p w14:paraId="4D2C90A8"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41B65D17"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25.6 ± 0.5</w:t>
            </w:r>
          </w:p>
        </w:tc>
        <w:tc>
          <w:tcPr>
            <w:tcW w:w="2835" w:type="dxa"/>
            <w:tcBorders>
              <w:top w:val="nil"/>
              <w:left w:val="nil"/>
              <w:bottom w:val="nil"/>
              <w:right w:val="nil"/>
            </w:tcBorders>
            <w:shd w:val="clear" w:color="auto" w:fill="auto"/>
            <w:noWrap/>
            <w:vAlign w:val="center"/>
            <w:hideMark/>
          </w:tcPr>
          <w:p w14:paraId="0C1E0FF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27.5 ± 0.7</w:t>
            </w:r>
          </w:p>
        </w:tc>
      </w:tr>
      <w:tr w:rsidR="00752E3F" w:rsidRPr="00F66C7E" w14:paraId="69126AE2" w14:textId="77777777" w:rsidTr="00F428DC">
        <w:trPr>
          <w:trHeight w:val="290"/>
        </w:trPr>
        <w:tc>
          <w:tcPr>
            <w:tcW w:w="2835" w:type="dxa"/>
            <w:tcBorders>
              <w:top w:val="nil"/>
              <w:left w:val="nil"/>
              <w:bottom w:val="nil"/>
              <w:right w:val="nil"/>
            </w:tcBorders>
            <w:shd w:val="clear" w:color="auto" w:fill="auto"/>
            <w:noWrap/>
            <w:vAlign w:val="center"/>
            <w:hideMark/>
          </w:tcPr>
          <w:p w14:paraId="322626C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 % (</w:t>
            </w:r>
            <w:r w:rsidRPr="00F66C7E">
              <w:rPr>
                <w:rFonts w:ascii="Arial" w:eastAsia="Times New Roman" w:hAnsi="Arial" w:cs="Arial"/>
                <w:i/>
                <w:iCs/>
                <w:kern w:val="0"/>
                <w:sz w:val="20"/>
                <w:lang w:val="en-US" w:eastAsia="en-IN"/>
                <w14:ligatures w14:val="none"/>
              </w:rPr>
              <w:t>n</w:t>
            </w:r>
            <w:r w:rsidRPr="00F66C7E">
              <w:rPr>
                <w:rFonts w:ascii="Arial" w:eastAsia="Times New Roman" w:hAnsi="Arial" w:cs="Arial"/>
                <w:kern w:val="0"/>
                <w:sz w:val="20"/>
                <w:lang w:val="en-US" w:eastAsia="en-IN"/>
                <w14:ligatures w14:val="none"/>
              </w:rPr>
              <w:t>)</w:t>
            </w:r>
          </w:p>
        </w:tc>
        <w:tc>
          <w:tcPr>
            <w:tcW w:w="2127" w:type="dxa"/>
            <w:tcBorders>
              <w:top w:val="nil"/>
              <w:left w:val="nil"/>
              <w:bottom w:val="nil"/>
              <w:right w:val="nil"/>
            </w:tcBorders>
            <w:shd w:val="clear" w:color="auto" w:fill="auto"/>
            <w:noWrap/>
            <w:vAlign w:val="center"/>
            <w:hideMark/>
          </w:tcPr>
          <w:p w14:paraId="7CAAC77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24.7 ± 0.7; 26.2 ± 0.7</w:t>
            </w:r>
          </w:p>
        </w:tc>
        <w:tc>
          <w:tcPr>
            <w:tcW w:w="2835" w:type="dxa"/>
            <w:tcBorders>
              <w:top w:val="nil"/>
              <w:left w:val="nil"/>
              <w:bottom w:val="nil"/>
              <w:right w:val="nil"/>
            </w:tcBorders>
            <w:shd w:val="clear" w:color="auto" w:fill="auto"/>
            <w:noWrap/>
            <w:vAlign w:val="center"/>
            <w:hideMark/>
          </w:tcPr>
          <w:p w14:paraId="3EB2B68F"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25.6 ± 0.7; 28 ± 0.8</w:t>
            </w:r>
          </w:p>
        </w:tc>
      </w:tr>
      <w:tr w:rsidR="00752E3F" w:rsidRPr="00F66C7E" w14:paraId="2046FAB5" w14:textId="77777777" w:rsidTr="00F428DC">
        <w:trPr>
          <w:trHeight w:val="290"/>
        </w:trPr>
        <w:tc>
          <w:tcPr>
            <w:tcW w:w="2835" w:type="dxa"/>
            <w:tcBorders>
              <w:top w:val="nil"/>
              <w:left w:val="nil"/>
              <w:bottom w:val="nil"/>
              <w:right w:val="nil"/>
            </w:tcBorders>
            <w:shd w:val="clear" w:color="auto" w:fill="auto"/>
            <w:vAlign w:val="center"/>
            <w:hideMark/>
          </w:tcPr>
          <w:p w14:paraId="029B3F4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18D6BB0B"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00D25657"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6C7F9747" w14:textId="77777777" w:rsidTr="00F428DC">
        <w:trPr>
          <w:trHeight w:val="290"/>
        </w:trPr>
        <w:tc>
          <w:tcPr>
            <w:tcW w:w="2835" w:type="dxa"/>
            <w:tcBorders>
              <w:top w:val="nil"/>
              <w:left w:val="nil"/>
              <w:bottom w:val="nil"/>
              <w:right w:val="nil"/>
            </w:tcBorders>
            <w:shd w:val="clear" w:color="auto" w:fill="auto"/>
            <w:vAlign w:val="center"/>
            <w:hideMark/>
          </w:tcPr>
          <w:p w14:paraId="5E0CC6F2"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HbA1c%</w:t>
            </w:r>
          </w:p>
        </w:tc>
        <w:tc>
          <w:tcPr>
            <w:tcW w:w="2127" w:type="dxa"/>
            <w:vMerge/>
            <w:tcBorders>
              <w:top w:val="nil"/>
              <w:left w:val="nil"/>
              <w:bottom w:val="nil"/>
              <w:right w:val="nil"/>
            </w:tcBorders>
            <w:vAlign w:val="center"/>
            <w:hideMark/>
          </w:tcPr>
          <w:p w14:paraId="2B392B69"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tcBorders>
              <w:top w:val="nil"/>
              <w:left w:val="nil"/>
              <w:bottom w:val="nil"/>
              <w:right w:val="nil"/>
            </w:tcBorders>
            <w:vAlign w:val="center"/>
            <w:hideMark/>
          </w:tcPr>
          <w:p w14:paraId="4B43361B"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22C5DDD9" w14:textId="77777777" w:rsidTr="00F428DC">
        <w:trPr>
          <w:trHeight w:val="290"/>
        </w:trPr>
        <w:tc>
          <w:tcPr>
            <w:tcW w:w="2835" w:type="dxa"/>
            <w:tcBorders>
              <w:top w:val="nil"/>
              <w:left w:val="nil"/>
              <w:bottom w:val="nil"/>
              <w:right w:val="nil"/>
            </w:tcBorders>
            <w:shd w:val="clear" w:color="auto" w:fill="auto"/>
            <w:noWrap/>
            <w:vAlign w:val="center"/>
            <w:hideMark/>
          </w:tcPr>
          <w:p w14:paraId="75DB6717"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7D0ED78F"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8.6 ± 0.1</w:t>
            </w:r>
          </w:p>
        </w:tc>
        <w:tc>
          <w:tcPr>
            <w:tcW w:w="2835" w:type="dxa"/>
            <w:tcBorders>
              <w:top w:val="nil"/>
              <w:left w:val="nil"/>
              <w:bottom w:val="nil"/>
              <w:right w:val="nil"/>
            </w:tcBorders>
            <w:shd w:val="clear" w:color="auto" w:fill="auto"/>
            <w:noWrap/>
            <w:vAlign w:val="center"/>
            <w:hideMark/>
          </w:tcPr>
          <w:p w14:paraId="3D70930B"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8.2 ± 0.2</w:t>
            </w:r>
          </w:p>
        </w:tc>
      </w:tr>
      <w:tr w:rsidR="00752E3F" w:rsidRPr="00F66C7E" w14:paraId="5E20E921" w14:textId="77777777" w:rsidTr="00F428DC">
        <w:trPr>
          <w:trHeight w:val="290"/>
        </w:trPr>
        <w:tc>
          <w:tcPr>
            <w:tcW w:w="2835" w:type="dxa"/>
            <w:tcBorders>
              <w:top w:val="nil"/>
              <w:left w:val="nil"/>
              <w:bottom w:val="nil"/>
              <w:right w:val="nil"/>
            </w:tcBorders>
            <w:shd w:val="clear" w:color="auto" w:fill="auto"/>
            <w:noWrap/>
            <w:vAlign w:val="center"/>
            <w:hideMark/>
          </w:tcPr>
          <w:p w14:paraId="1BDC80F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54B2604"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8.7 ± 0.3; 8.5 ± 0.2</w:t>
            </w:r>
          </w:p>
        </w:tc>
        <w:tc>
          <w:tcPr>
            <w:tcW w:w="2835" w:type="dxa"/>
            <w:tcBorders>
              <w:top w:val="nil"/>
              <w:left w:val="nil"/>
              <w:bottom w:val="nil"/>
              <w:right w:val="nil"/>
            </w:tcBorders>
            <w:shd w:val="clear" w:color="auto" w:fill="auto"/>
            <w:noWrap/>
            <w:vAlign w:val="center"/>
            <w:hideMark/>
          </w:tcPr>
          <w:p w14:paraId="5EFE5572"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7.7 ± 0.5; 8.3 ± 0.3</w:t>
            </w:r>
          </w:p>
        </w:tc>
      </w:tr>
      <w:tr w:rsidR="00752E3F" w:rsidRPr="00F66C7E" w14:paraId="061FC946" w14:textId="77777777" w:rsidTr="00F428DC">
        <w:trPr>
          <w:trHeight w:val="290"/>
        </w:trPr>
        <w:tc>
          <w:tcPr>
            <w:tcW w:w="2835" w:type="dxa"/>
            <w:tcBorders>
              <w:top w:val="nil"/>
              <w:left w:val="nil"/>
              <w:bottom w:val="nil"/>
              <w:right w:val="nil"/>
            </w:tcBorders>
            <w:shd w:val="clear" w:color="auto" w:fill="auto"/>
            <w:noWrap/>
            <w:vAlign w:val="center"/>
            <w:hideMark/>
          </w:tcPr>
          <w:p w14:paraId="2F9C745A"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2028609D"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val="restart"/>
            <w:tcBorders>
              <w:top w:val="nil"/>
              <w:left w:val="nil"/>
              <w:bottom w:val="nil"/>
              <w:right w:val="nil"/>
            </w:tcBorders>
            <w:shd w:val="clear" w:color="auto" w:fill="auto"/>
            <w:noWrap/>
            <w:vAlign w:val="center"/>
            <w:hideMark/>
          </w:tcPr>
          <w:p w14:paraId="480F183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2E779A2F" w14:textId="77777777" w:rsidTr="00F428DC">
        <w:trPr>
          <w:trHeight w:val="290"/>
        </w:trPr>
        <w:tc>
          <w:tcPr>
            <w:tcW w:w="2835" w:type="dxa"/>
            <w:tcBorders>
              <w:top w:val="nil"/>
              <w:left w:val="nil"/>
              <w:bottom w:val="nil"/>
              <w:right w:val="nil"/>
            </w:tcBorders>
            <w:shd w:val="clear" w:color="auto" w:fill="auto"/>
            <w:noWrap/>
            <w:vAlign w:val="center"/>
            <w:hideMark/>
          </w:tcPr>
          <w:p w14:paraId="0C79421F"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 xml:space="preserve">SBP (mmHg), </w:t>
            </w:r>
            <w:r w:rsidRPr="00F66C7E">
              <w:rPr>
                <w:rFonts w:ascii="Arial" w:eastAsia="Times New Roman" w:hAnsi="Arial" w:cs="Arial"/>
                <w:i/>
                <w:iCs/>
                <w:kern w:val="0"/>
                <w:sz w:val="20"/>
                <w:lang w:val="en-US" w:eastAsia="en-IN"/>
                <w14:ligatures w14:val="none"/>
              </w:rPr>
              <w:t>M ± SE</w:t>
            </w:r>
          </w:p>
        </w:tc>
        <w:tc>
          <w:tcPr>
            <w:tcW w:w="2127" w:type="dxa"/>
            <w:vMerge/>
            <w:tcBorders>
              <w:top w:val="nil"/>
              <w:left w:val="nil"/>
              <w:bottom w:val="nil"/>
              <w:right w:val="nil"/>
            </w:tcBorders>
            <w:vAlign w:val="center"/>
            <w:hideMark/>
          </w:tcPr>
          <w:p w14:paraId="22EA61E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tcBorders>
              <w:top w:val="nil"/>
              <w:left w:val="nil"/>
              <w:bottom w:val="nil"/>
              <w:right w:val="nil"/>
            </w:tcBorders>
            <w:vAlign w:val="center"/>
            <w:hideMark/>
          </w:tcPr>
          <w:p w14:paraId="14B99436"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2E7F4BE8" w14:textId="77777777" w:rsidTr="00F428DC">
        <w:trPr>
          <w:trHeight w:val="290"/>
        </w:trPr>
        <w:tc>
          <w:tcPr>
            <w:tcW w:w="2835" w:type="dxa"/>
            <w:tcBorders>
              <w:top w:val="nil"/>
              <w:left w:val="nil"/>
              <w:bottom w:val="nil"/>
              <w:right w:val="nil"/>
            </w:tcBorders>
            <w:shd w:val="clear" w:color="auto" w:fill="auto"/>
            <w:noWrap/>
            <w:vAlign w:val="center"/>
            <w:hideMark/>
          </w:tcPr>
          <w:p w14:paraId="3D62CA4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11F5D68A"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w:t>
            </w:r>
          </w:p>
        </w:tc>
        <w:tc>
          <w:tcPr>
            <w:tcW w:w="2835" w:type="dxa"/>
            <w:tcBorders>
              <w:top w:val="nil"/>
              <w:left w:val="nil"/>
              <w:bottom w:val="nil"/>
              <w:right w:val="nil"/>
            </w:tcBorders>
            <w:shd w:val="clear" w:color="auto" w:fill="auto"/>
            <w:noWrap/>
            <w:vAlign w:val="center"/>
            <w:hideMark/>
          </w:tcPr>
          <w:p w14:paraId="1F34251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136.5 ± 3.4</w:t>
            </w:r>
          </w:p>
        </w:tc>
      </w:tr>
      <w:tr w:rsidR="00752E3F" w:rsidRPr="00F66C7E" w14:paraId="4504DC99" w14:textId="77777777" w:rsidTr="00F428DC">
        <w:trPr>
          <w:trHeight w:val="290"/>
        </w:trPr>
        <w:tc>
          <w:tcPr>
            <w:tcW w:w="2835" w:type="dxa"/>
            <w:tcBorders>
              <w:top w:val="nil"/>
              <w:left w:val="nil"/>
              <w:bottom w:val="nil"/>
              <w:right w:val="nil"/>
            </w:tcBorders>
            <w:shd w:val="clear" w:color="auto" w:fill="auto"/>
            <w:noWrap/>
            <w:vAlign w:val="center"/>
            <w:hideMark/>
          </w:tcPr>
          <w:p w14:paraId="648FBC60"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793A9872"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w:t>
            </w:r>
          </w:p>
        </w:tc>
        <w:tc>
          <w:tcPr>
            <w:tcW w:w="2835" w:type="dxa"/>
            <w:tcBorders>
              <w:top w:val="nil"/>
              <w:left w:val="nil"/>
              <w:bottom w:val="nil"/>
              <w:right w:val="nil"/>
            </w:tcBorders>
            <w:shd w:val="clear" w:color="auto" w:fill="auto"/>
            <w:noWrap/>
            <w:vAlign w:val="center"/>
            <w:hideMark/>
          </w:tcPr>
          <w:p w14:paraId="57F74AFE"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129.7 ± 7.4; 138.6 ± 3.9</w:t>
            </w:r>
          </w:p>
        </w:tc>
      </w:tr>
      <w:tr w:rsidR="00752E3F" w:rsidRPr="00F66C7E" w14:paraId="63B7B28D" w14:textId="77777777" w:rsidTr="00F428DC">
        <w:trPr>
          <w:trHeight w:val="290"/>
        </w:trPr>
        <w:tc>
          <w:tcPr>
            <w:tcW w:w="2835" w:type="dxa"/>
            <w:tcBorders>
              <w:top w:val="nil"/>
              <w:left w:val="nil"/>
              <w:bottom w:val="nil"/>
              <w:right w:val="nil"/>
            </w:tcBorders>
            <w:shd w:val="clear" w:color="auto" w:fill="auto"/>
            <w:noWrap/>
            <w:vAlign w:val="center"/>
            <w:hideMark/>
          </w:tcPr>
          <w:p w14:paraId="668FA9C1"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127" w:type="dxa"/>
            <w:vMerge w:val="restart"/>
            <w:tcBorders>
              <w:top w:val="nil"/>
              <w:left w:val="nil"/>
              <w:bottom w:val="nil"/>
              <w:right w:val="nil"/>
            </w:tcBorders>
            <w:shd w:val="clear" w:color="auto" w:fill="auto"/>
            <w:noWrap/>
            <w:vAlign w:val="center"/>
            <w:hideMark/>
          </w:tcPr>
          <w:p w14:paraId="30703897"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w:t>
            </w:r>
          </w:p>
        </w:tc>
        <w:tc>
          <w:tcPr>
            <w:tcW w:w="2835" w:type="dxa"/>
            <w:vMerge w:val="restart"/>
            <w:tcBorders>
              <w:top w:val="nil"/>
              <w:left w:val="nil"/>
              <w:bottom w:val="nil"/>
              <w:right w:val="nil"/>
            </w:tcBorders>
            <w:shd w:val="clear" w:color="auto" w:fill="auto"/>
            <w:noWrap/>
            <w:vAlign w:val="center"/>
            <w:hideMark/>
          </w:tcPr>
          <w:p w14:paraId="5C37CCC6"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4B32162F" w14:textId="77777777" w:rsidTr="00F428DC">
        <w:trPr>
          <w:trHeight w:val="290"/>
        </w:trPr>
        <w:tc>
          <w:tcPr>
            <w:tcW w:w="2835" w:type="dxa"/>
            <w:tcBorders>
              <w:top w:val="nil"/>
              <w:left w:val="nil"/>
              <w:bottom w:val="nil"/>
              <w:right w:val="nil"/>
            </w:tcBorders>
            <w:shd w:val="clear" w:color="auto" w:fill="auto"/>
            <w:noWrap/>
            <w:vAlign w:val="center"/>
            <w:hideMark/>
          </w:tcPr>
          <w:p w14:paraId="1949B746"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 xml:space="preserve">DBP (mmHg), </w:t>
            </w:r>
            <w:r w:rsidRPr="00F66C7E">
              <w:rPr>
                <w:rFonts w:ascii="Arial" w:eastAsia="Times New Roman" w:hAnsi="Arial" w:cs="Arial"/>
                <w:i/>
                <w:iCs/>
                <w:kern w:val="0"/>
                <w:sz w:val="20"/>
                <w:lang w:val="en-US" w:eastAsia="en-IN"/>
                <w14:ligatures w14:val="none"/>
              </w:rPr>
              <w:t>M ± SE</w:t>
            </w:r>
          </w:p>
        </w:tc>
        <w:tc>
          <w:tcPr>
            <w:tcW w:w="2127" w:type="dxa"/>
            <w:vMerge/>
            <w:tcBorders>
              <w:top w:val="nil"/>
              <w:left w:val="nil"/>
              <w:bottom w:val="nil"/>
              <w:right w:val="nil"/>
            </w:tcBorders>
            <w:vAlign w:val="center"/>
            <w:hideMark/>
          </w:tcPr>
          <w:p w14:paraId="3C08A90F"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c>
          <w:tcPr>
            <w:tcW w:w="2835" w:type="dxa"/>
            <w:vMerge/>
            <w:tcBorders>
              <w:top w:val="nil"/>
              <w:left w:val="nil"/>
              <w:bottom w:val="nil"/>
              <w:right w:val="nil"/>
            </w:tcBorders>
            <w:vAlign w:val="center"/>
            <w:hideMark/>
          </w:tcPr>
          <w:p w14:paraId="334A79DE"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p>
        </w:tc>
      </w:tr>
      <w:tr w:rsidR="00752E3F" w:rsidRPr="00F66C7E" w14:paraId="7ECBCC07" w14:textId="77777777" w:rsidTr="00F428DC">
        <w:trPr>
          <w:trHeight w:val="290"/>
        </w:trPr>
        <w:tc>
          <w:tcPr>
            <w:tcW w:w="2835" w:type="dxa"/>
            <w:tcBorders>
              <w:top w:val="nil"/>
              <w:left w:val="nil"/>
              <w:bottom w:val="nil"/>
              <w:right w:val="nil"/>
            </w:tcBorders>
            <w:shd w:val="clear" w:color="auto" w:fill="auto"/>
            <w:noWrap/>
            <w:vAlign w:val="center"/>
            <w:hideMark/>
          </w:tcPr>
          <w:p w14:paraId="5B89EF6D"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Overall</w:t>
            </w:r>
          </w:p>
        </w:tc>
        <w:tc>
          <w:tcPr>
            <w:tcW w:w="2127" w:type="dxa"/>
            <w:tcBorders>
              <w:top w:val="nil"/>
              <w:left w:val="nil"/>
              <w:bottom w:val="nil"/>
              <w:right w:val="nil"/>
            </w:tcBorders>
            <w:shd w:val="clear" w:color="auto" w:fill="auto"/>
            <w:noWrap/>
            <w:vAlign w:val="center"/>
            <w:hideMark/>
          </w:tcPr>
          <w:p w14:paraId="55B3071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w:t>
            </w:r>
          </w:p>
        </w:tc>
        <w:tc>
          <w:tcPr>
            <w:tcW w:w="2835" w:type="dxa"/>
            <w:tcBorders>
              <w:top w:val="nil"/>
              <w:left w:val="nil"/>
              <w:bottom w:val="nil"/>
              <w:right w:val="nil"/>
            </w:tcBorders>
            <w:shd w:val="clear" w:color="auto" w:fill="auto"/>
            <w:noWrap/>
            <w:vAlign w:val="center"/>
            <w:hideMark/>
          </w:tcPr>
          <w:p w14:paraId="50238C57"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92 ± 2.6</w:t>
            </w:r>
          </w:p>
        </w:tc>
      </w:tr>
      <w:tr w:rsidR="00752E3F" w:rsidRPr="00F66C7E" w14:paraId="2C0F826A" w14:textId="77777777" w:rsidTr="00F428DC">
        <w:trPr>
          <w:trHeight w:val="300"/>
        </w:trPr>
        <w:tc>
          <w:tcPr>
            <w:tcW w:w="2835" w:type="dxa"/>
            <w:tcBorders>
              <w:top w:val="nil"/>
              <w:left w:val="nil"/>
              <w:bottom w:val="nil"/>
              <w:right w:val="nil"/>
            </w:tcBorders>
            <w:shd w:val="clear" w:color="auto" w:fill="auto"/>
            <w:noWrap/>
            <w:vAlign w:val="center"/>
            <w:hideMark/>
          </w:tcPr>
          <w:p w14:paraId="6B5F345B"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Male: Female</w:t>
            </w:r>
          </w:p>
        </w:tc>
        <w:tc>
          <w:tcPr>
            <w:tcW w:w="2127" w:type="dxa"/>
            <w:tcBorders>
              <w:top w:val="nil"/>
              <w:left w:val="nil"/>
              <w:bottom w:val="nil"/>
              <w:right w:val="nil"/>
            </w:tcBorders>
            <w:shd w:val="clear" w:color="auto" w:fill="auto"/>
            <w:noWrap/>
            <w:vAlign w:val="center"/>
            <w:hideMark/>
          </w:tcPr>
          <w:p w14:paraId="3E68852A"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w:t>
            </w:r>
          </w:p>
        </w:tc>
        <w:tc>
          <w:tcPr>
            <w:tcW w:w="2835" w:type="dxa"/>
            <w:tcBorders>
              <w:top w:val="nil"/>
              <w:left w:val="nil"/>
              <w:bottom w:val="nil"/>
              <w:right w:val="nil"/>
            </w:tcBorders>
            <w:shd w:val="clear" w:color="auto" w:fill="auto"/>
            <w:noWrap/>
            <w:vAlign w:val="center"/>
            <w:hideMark/>
          </w:tcPr>
          <w:p w14:paraId="4AC96AB5" w14:textId="77777777" w:rsidR="00F428DC" w:rsidRPr="00F66C7E" w:rsidRDefault="00F428DC" w:rsidP="00752E3F">
            <w:pPr>
              <w:spacing w:after="0" w:line="240" w:lineRule="auto"/>
              <w:rPr>
                <w:rFonts w:ascii="Arial" w:eastAsia="Times New Roman" w:hAnsi="Arial" w:cs="Arial"/>
                <w:kern w:val="0"/>
                <w:sz w:val="20"/>
                <w:lang w:eastAsia="en-IN"/>
                <w14:ligatures w14:val="none"/>
              </w:rPr>
            </w:pPr>
            <w:r w:rsidRPr="00F66C7E">
              <w:rPr>
                <w:rFonts w:ascii="Arial" w:eastAsia="Times New Roman" w:hAnsi="Arial" w:cs="Arial"/>
                <w:kern w:val="0"/>
                <w:sz w:val="20"/>
                <w:lang w:val="en-US" w:eastAsia="en-IN"/>
                <w14:ligatures w14:val="none"/>
              </w:rPr>
              <w:t>96.7 ± 7.7; 90.5 ± 2.5</w:t>
            </w:r>
          </w:p>
        </w:tc>
      </w:tr>
      <w:tr w:rsidR="00752E3F" w:rsidRPr="00F66C7E" w14:paraId="3DAB7345" w14:textId="77777777" w:rsidTr="001615FC">
        <w:trPr>
          <w:trHeight w:val="842"/>
        </w:trPr>
        <w:tc>
          <w:tcPr>
            <w:tcW w:w="7797" w:type="dxa"/>
            <w:gridSpan w:val="3"/>
            <w:tcBorders>
              <w:top w:val="single" w:sz="12" w:space="0" w:color="auto"/>
              <w:left w:val="nil"/>
              <w:bottom w:val="nil"/>
              <w:right w:val="nil"/>
            </w:tcBorders>
            <w:shd w:val="clear" w:color="auto" w:fill="auto"/>
            <w:vAlign w:val="center"/>
            <w:hideMark/>
          </w:tcPr>
          <w:p w14:paraId="6A0ADC1F" w14:textId="77777777" w:rsidR="00F428DC" w:rsidRPr="00F66C7E" w:rsidRDefault="00F428DC" w:rsidP="00F66C7E">
            <w:pPr>
              <w:spacing w:after="0" w:line="240" w:lineRule="auto"/>
              <w:jc w:val="both"/>
              <w:rPr>
                <w:rFonts w:ascii="Arial" w:eastAsia="Times New Roman" w:hAnsi="Arial" w:cs="Arial"/>
                <w:i/>
                <w:iCs/>
                <w:kern w:val="0"/>
                <w:sz w:val="20"/>
                <w:lang w:eastAsia="en-IN"/>
                <w14:ligatures w14:val="none"/>
              </w:rPr>
            </w:pPr>
            <w:r w:rsidRPr="00F66C7E">
              <w:rPr>
                <w:rFonts w:ascii="Arial" w:eastAsia="Times New Roman" w:hAnsi="Arial" w:cs="Arial"/>
                <w:i/>
                <w:iCs/>
                <w:kern w:val="0"/>
                <w:sz w:val="18"/>
                <w:szCs w:val="18"/>
                <w:lang w:val="en-US" w:eastAsia="en-IN"/>
                <w14:ligatures w14:val="none"/>
              </w:rPr>
              <w:t>Note.</w:t>
            </w:r>
            <w:r w:rsidRPr="00F66C7E">
              <w:rPr>
                <w:rFonts w:ascii="Arial" w:eastAsia="Times New Roman" w:hAnsi="Arial" w:cs="Arial"/>
                <w:kern w:val="0"/>
                <w:sz w:val="18"/>
                <w:szCs w:val="18"/>
                <w:lang w:val="en-US" w:eastAsia="en-IN"/>
                <w14:ligatures w14:val="none"/>
              </w:rPr>
              <w:t xml:space="preserve"> N: Number of sample, M: Mean; SE: Standard error of mean; %/n: percentage and number of the samples, figure in parentheses represents frequencies; HbA1c%; Glycosylated Hemoglobin; T2DM: Type 2 diabetes mellitus; T2DM*HTN: Diabetic hypertensive; BP: Blood pressure; SBP: Systolic Blood Pressure; DBP: Diastolic blood pressure; BMI: Body mass index.</w:t>
            </w:r>
          </w:p>
        </w:tc>
      </w:tr>
    </w:tbl>
    <w:p w14:paraId="1CB4324B" w14:textId="77777777" w:rsidR="001615FC" w:rsidRPr="00037593" w:rsidRDefault="001615FC" w:rsidP="00752E3F">
      <w:pPr>
        <w:spacing w:after="0" w:line="360" w:lineRule="auto"/>
        <w:rPr>
          <w:rFonts w:ascii="Times New Roman" w:eastAsia="Calibri" w:hAnsi="Times New Roman" w:cs="Times New Roman"/>
          <w:kern w:val="0"/>
          <w:sz w:val="24"/>
          <w:szCs w:val="24"/>
          <w:lang w:val="en-US" w:bidi="ar-SA"/>
          <w14:ligatures w14:val="none"/>
        </w:rPr>
      </w:pPr>
    </w:p>
    <w:p w14:paraId="396589C2" w14:textId="7C00D88F" w:rsidR="00087DA4" w:rsidRPr="00140E62" w:rsidRDefault="00087DA4" w:rsidP="00037D6A">
      <w:pPr>
        <w:spacing w:after="0" w:line="360" w:lineRule="auto"/>
        <w:jc w:val="both"/>
        <w:rPr>
          <w:rFonts w:ascii="Arial" w:eastAsia="Calibri" w:hAnsi="Arial" w:cs="Arial"/>
          <w:kern w:val="0"/>
          <w:sz w:val="20"/>
          <w:lang w:val="en-US" w:bidi="ar-SA"/>
          <w14:ligatures w14:val="none"/>
        </w:rPr>
      </w:pPr>
      <w:r w:rsidRPr="00140E62">
        <w:rPr>
          <w:rFonts w:ascii="Arial" w:eastAsia="Calibri" w:hAnsi="Arial" w:cs="Arial"/>
          <w:kern w:val="0"/>
          <w:sz w:val="20"/>
          <w:lang w:val="en-US" w:bidi="ar-SA"/>
          <w14:ligatures w14:val="none"/>
        </w:rPr>
        <w:t xml:space="preserve">The mean BMI was 25.6 ± 0.5 kg/m² for T2DM patients and 27.2 ± 0.4 kg/m² for T2DM*HTN patients. The average HbA1c% levels were comparable between T2DM (8.6 ± 0.2%) and </w:t>
      </w:r>
      <w:r w:rsidRPr="00140E62">
        <w:rPr>
          <w:rFonts w:ascii="Arial" w:eastAsia="Calibri" w:hAnsi="Arial" w:cs="Arial"/>
          <w:kern w:val="0"/>
          <w:sz w:val="20"/>
          <w:lang w:val="en-US" w:bidi="ar-SA"/>
          <w14:ligatures w14:val="none"/>
        </w:rPr>
        <w:lastRenderedPageBreak/>
        <w:t>T2DM*HTN (8.2 ± 0.1%) patients. Male and female T2DM patients had similar HbA1c% levels (</w:t>
      </w:r>
      <w:r w:rsidRPr="00140E62">
        <w:rPr>
          <w:rFonts w:ascii="Arial" w:eastAsia="Calibri" w:hAnsi="Arial" w:cs="Arial"/>
          <w:i/>
          <w:iCs/>
          <w:kern w:val="0"/>
          <w:sz w:val="20"/>
          <w:lang w:val="en-US" w:bidi="ar-SA"/>
          <w14:ligatures w14:val="none"/>
        </w:rPr>
        <w:t>M</w:t>
      </w:r>
      <w:r w:rsidRPr="00140E62">
        <w:rPr>
          <w:rFonts w:ascii="Arial" w:eastAsia="Calibri" w:hAnsi="Arial" w:cs="Arial"/>
          <w:kern w:val="0"/>
          <w:sz w:val="20"/>
          <w:lang w:val="en-US" w:bidi="ar-SA"/>
          <w14:ligatures w14:val="none"/>
        </w:rPr>
        <w:t>: 8.7 ± 0.3, F: 8.5 ± 0.2), while among T2DM*HTN patients, females exhibited a slightly higher mean HbA1c% level compared to males (M: 7.7 ± 0.5, F: 8.3 ± 0.3). For patients with T2DM*HTN, the average systolic blood pressure (SBP) was 136.5 ± 3.4 mmHg, and the diastolic blood pressure (DBP) averaged 92.0 ± 2.6 mmHg.</w:t>
      </w:r>
    </w:p>
    <w:p w14:paraId="50C683FC" w14:textId="77777777" w:rsidR="00E278C1" w:rsidRPr="00140E62" w:rsidRDefault="001E4177" w:rsidP="00037D6A">
      <w:pPr>
        <w:spacing w:after="0" w:line="360" w:lineRule="auto"/>
        <w:jc w:val="both"/>
        <w:rPr>
          <w:rFonts w:ascii="Arial" w:eastAsia="Calibri" w:hAnsi="Arial" w:cs="Arial"/>
          <w:kern w:val="0"/>
          <w:sz w:val="20"/>
          <w:lang w:val="en-US" w:bidi="ar-SA"/>
          <w14:ligatures w14:val="none"/>
        </w:rPr>
      </w:pPr>
      <w:r w:rsidRPr="00140E62">
        <w:rPr>
          <w:rFonts w:ascii="Arial" w:eastAsia="Calibri" w:hAnsi="Arial" w:cs="Arial"/>
          <w:kern w:val="0"/>
          <w:sz w:val="20"/>
          <w:lang w:val="en-US" w:bidi="ar-SA"/>
          <w14:ligatures w14:val="none"/>
        </w:rPr>
        <w:t>As shown in Table 2, among T2DM patients, the analysis of bitter gourd consumption frequency revealed notable trends in glycemic control. Among those who never included bitter gourd in their meals (</w:t>
      </w:r>
      <w:r w:rsidRPr="00140E62">
        <w:rPr>
          <w:rFonts w:ascii="Arial" w:eastAsia="Calibri" w:hAnsi="Arial" w:cs="Arial"/>
          <w:i/>
          <w:iCs/>
          <w:kern w:val="0"/>
          <w:sz w:val="20"/>
          <w:lang w:val="en-US" w:bidi="ar-SA"/>
          <w14:ligatures w14:val="none"/>
        </w:rPr>
        <w:t>n</w:t>
      </w:r>
      <w:r w:rsidRPr="00140E62">
        <w:rPr>
          <w:rFonts w:ascii="Arial" w:eastAsia="Calibri" w:hAnsi="Arial" w:cs="Arial"/>
          <w:kern w:val="0"/>
          <w:sz w:val="20"/>
          <w:lang w:val="en-US" w:bidi="ar-SA"/>
          <w14:ligatures w14:val="none"/>
        </w:rPr>
        <w:t xml:space="preserve"> = 68), 58.8% exhibited unsatisfactory glycemic control (HbA1c ≥ 8), while nearly 41% demonstrated satisfactory or ideal glycemic control. For patients who consumed bitter gourd occasionally (</w:t>
      </w:r>
      <w:r w:rsidRPr="00140E62">
        <w:rPr>
          <w:rFonts w:ascii="Arial" w:eastAsia="Calibri" w:hAnsi="Arial" w:cs="Arial"/>
          <w:i/>
          <w:iCs/>
          <w:kern w:val="0"/>
          <w:sz w:val="20"/>
          <w:lang w:val="en-US" w:bidi="ar-SA"/>
          <w14:ligatures w14:val="none"/>
        </w:rPr>
        <w:t>n</w:t>
      </w:r>
      <w:r w:rsidRPr="00140E62">
        <w:rPr>
          <w:rFonts w:ascii="Arial" w:eastAsia="Calibri" w:hAnsi="Arial" w:cs="Arial"/>
          <w:kern w:val="0"/>
          <w:sz w:val="20"/>
          <w:lang w:val="en-US" w:bidi="ar-SA"/>
          <w14:ligatures w14:val="none"/>
        </w:rPr>
        <w:t xml:space="preserve"> = 16), over 80% had unsatisfactory glycemic control, with only 18.8% achieving ideal control.</w:t>
      </w:r>
      <w:r w:rsidR="00E13765" w:rsidRPr="00140E62">
        <w:rPr>
          <w:rFonts w:ascii="Arial" w:eastAsia="Calibri" w:hAnsi="Arial" w:cs="Arial"/>
          <w:kern w:val="0"/>
          <w:sz w:val="20"/>
          <w:lang w:val="en-US" w:bidi="ar-SA"/>
          <w14:ligatures w14:val="none"/>
        </w:rPr>
        <w:t xml:space="preserve"> </w:t>
      </w:r>
      <w:r w:rsidRPr="00140E62">
        <w:rPr>
          <w:rFonts w:ascii="Arial" w:eastAsia="Calibri" w:hAnsi="Arial" w:cs="Arial"/>
          <w:kern w:val="0"/>
          <w:sz w:val="20"/>
          <w:lang w:val="en-US" w:bidi="ar-SA"/>
          <w14:ligatures w14:val="none"/>
        </w:rPr>
        <w:t>Conversely, among those who regularly consumed bitter gourd (</w:t>
      </w:r>
      <w:r w:rsidRPr="00140E62">
        <w:rPr>
          <w:rFonts w:ascii="Arial" w:eastAsia="Calibri" w:hAnsi="Arial" w:cs="Arial"/>
          <w:i/>
          <w:iCs/>
          <w:kern w:val="0"/>
          <w:sz w:val="20"/>
          <w:lang w:val="en-US" w:bidi="ar-SA"/>
          <w14:ligatures w14:val="none"/>
        </w:rPr>
        <w:t>n</w:t>
      </w:r>
      <w:r w:rsidRPr="00140E62">
        <w:rPr>
          <w:rFonts w:ascii="Arial" w:eastAsia="Calibri" w:hAnsi="Arial" w:cs="Arial"/>
          <w:kern w:val="0"/>
          <w:sz w:val="20"/>
          <w:lang w:val="en-US" w:bidi="ar-SA"/>
          <w14:ligatures w14:val="none"/>
        </w:rPr>
        <w:t xml:space="preserve"> = 12), approximately 60% fell within the satisfactory or ideal range of glycemic control. Notably, among patients who always included bitter gourd in their diet (</w:t>
      </w:r>
      <w:r w:rsidRPr="00140E62">
        <w:rPr>
          <w:rFonts w:ascii="Arial" w:eastAsia="Calibri" w:hAnsi="Arial" w:cs="Arial"/>
          <w:i/>
          <w:iCs/>
          <w:kern w:val="0"/>
          <w:sz w:val="20"/>
          <w:lang w:val="en-US" w:bidi="ar-SA"/>
          <w14:ligatures w14:val="none"/>
        </w:rPr>
        <w:t>n</w:t>
      </w:r>
      <w:r w:rsidRPr="00140E62">
        <w:rPr>
          <w:rFonts w:ascii="Arial" w:eastAsia="Calibri" w:hAnsi="Arial" w:cs="Arial"/>
          <w:kern w:val="0"/>
          <w:sz w:val="20"/>
          <w:lang w:val="en-US" w:bidi="ar-SA"/>
          <w14:ligatures w14:val="none"/>
        </w:rPr>
        <w:t xml:space="preserve"> = 4), about 75% achieved ideal glycemic control. Fisher's exact test statistic of 16.72 (</w:t>
      </w:r>
      <w:r w:rsidRPr="00140E62">
        <w:rPr>
          <w:rFonts w:ascii="Arial" w:eastAsia="Calibri" w:hAnsi="Arial" w:cs="Arial"/>
          <w:i/>
          <w:iCs/>
          <w:kern w:val="0"/>
          <w:sz w:val="20"/>
          <w:lang w:val="en-US" w:bidi="ar-SA"/>
          <w14:ligatures w14:val="none"/>
        </w:rPr>
        <w:t>p</w:t>
      </w:r>
      <w:r w:rsidRPr="00140E62">
        <w:rPr>
          <w:rFonts w:ascii="Arial" w:eastAsia="Calibri" w:hAnsi="Arial" w:cs="Arial"/>
          <w:kern w:val="0"/>
          <w:sz w:val="20"/>
          <w:lang w:val="en-US" w:bidi="ar-SA"/>
          <w14:ligatures w14:val="none"/>
        </w:rPr>
        <w:t xml:space="preserve"> = 0.004) and Somers’ </w:t>
      </w:r>
      <w:r w:rsidRPr="00140E62">
        <w:rPr>
          <w:rFonts w:ascii="Arial" w:eastAsia="Calibri" w:hAnsi="Arial" w:cs="Arial"/>
          <w:i/>
          <w:iCs/>
          <w:kern w:val="0"/>
          <w:sz w:val="20"/>
          <w:lang w:val="en-US" w:bidi="ar-SA"/>
          <w14:ligatures w14:val="none"/>
        </w:rPr>
        <w:t>d</w:t>
      </w:r>
      <w:r w:rsidRPr="00140E62">
        <w:rPr>
          <w:rFonts w:ascii="Arial" w:eastAsia="Calibri" w:hAnsi="Arial" w:cs="Arial"/>
          <w:kern w:val="0"/>
          <w:sz w:val="20"/>
          <w:lang w:val="en-US" w:bidi="ar-SA"/>
          <w14:ligatures w14:val="none"/>
        </w:rPr>
        <w:t xml:space="preserve"> value (</w:t>
      </w:r>
      <w:r w:rsidRPr="00140E62">
        <w:rPr>
          <w:rFonts w:ascii="Arial" w:eastAsia="Calibri" w:hAnsi="Arial" w:cs="Arial"/>
          <w:i/>
          <w:iCs/>
          <w:kern w:val="0"/>
          <w:sz w:val="20"/>
          <w:lang w:val="en-US" w:bidi="ar-SA"/>
          <w14:ligatures w14:val="none"/>
        </w:rPr>
        <w:t xml:space="preserve">d </w:t>
      </w:r>
      <w:r w:rsidRPr="00140E62">
        <w:rPr>
          <w:rFonts w:ascii="Arial" w:eastAsia="Calibri" w:hAnsi="Arial" w:cs="Arial"/>
          <w:kern w:val="0"/>
          <w:sz w:val="20"/>
          <w:lang w:val="en-US" w:bidi="ar-SA"/>
          <w14:ligatures w14:val="none"/>
        </w:rPr>
        <w:t xml:space="preserve">= -0.115, </w:t>
      </w:r>
      <w:r w:rsidRPr="00140E62">
        <w:rPr>
          <w:rFonts w:ascii="Arial" w:eastAsia="Calibri" w:hAnsi="Arial" w:cs="Arial"/>
          <w:i/>
          <w:iCs/>
          <w:kern w:val="0"/>
          <w:sz w:val="20"/>
          <w:lang w:val="en-US" w:bidi="ar-SA"/>
          <w14:ligatures w14:val="none"/>
        </w:rPr>
        <w:t>p</w:t>
      </w:r>
      <w:r w:rsidRPr="00140E62">
        <w:rPr>
          <w:rFonts w:ascii="Arial" w:eastAsia="Calibri" w:hAnsi="Arial" w:cs="Arial"/>
          <w:kern w:val="0"/>
          <w:sz w:val="20"/>
          <w:lang w:val="en-US" w:bidi="ar-SA"/>
          <w14:ligatures w14:val="none"/>
        </w:rPr>
        <w:t xml:space="preserve"> &lt; 0.05) indicated a low but significant negative association between bitter gourd consumption and HbA1c levels in T2DM patients. In simpler terms, frequent consumption of bitter gourd is associated with a gradual reduction in HbA1c levels.</w:t>
      </w:r>
    </w:p>
    <w:p w14:paraId="2BD29F26" w14:textId="6B9E7696" w:rsidR="00623078" w:rsidRPr="009E2FA1" w:rsidRDefault="00E278C1" w:rsidP="00191DA2">
      <w:pPr>
        <w:spacing w:after="0" w:line="276" w:lineRule="auto"/>
        <w:jc w:val="both"/>
        <w:rPr>
          <w:highlight w:val="yellow"/>
        </w:rPr>
      </w:pPr>
      <w:r w:rsidRPr="00037593">
        <w:rPr>
          <w:rFonts w:ascii="Times New Roman" w:eastAsia="Calibri" w:hAnsi="Times New Roman" w:cs="Times New Roman"/>
          <w:kern w:val="0"/>
          <w:sz w:val="24"/>
          <w:szCs w:val="24"/>
          <w:lang w:val="en-US" w:bidi="ar-SA"/>
          <w14:ligatures w14:val="none"/>
        </w:rPr>
        <w:t xml:space="preserve">                       </w:t>
      </w:r>
      <w:r w:rsidR="00930154" w:rsidRPr="00037593">
        <w:rPr>
          <w:rFonts w:ascii="Times New Roman" w:eastAsia="Calibri" w:hAnsi="Times New Roman" w:cs="Times New Roman"/>
          <w:kern w:val="0"/>
          <w:sz w:val="24"/>
          <w:szCs w:val="24"/>
          <w:lang w:val="en-US" w:bidi="ar-SA"/>
          <w14:ligatures w14:val="none"/>
        </w:rPr>
        <w:t xml:space="preserve">Previous studies have highlighted the potential benefits of bitter melon (Momordica </w:t>
      </w:r>
      <w:proofErr w:type="spellStart"/>
      <w:r w:rsidR="00930154" w:rsidRPr="00037593">
        <w:rPr>
          <w:rFonts w:ascii="Times New Roman" w:eastAsia="Calibri" w:hAnsi="Times New Roman" w:cs="Times New Roman"/>
          <w:kern w:val="0"/>
          <w:sz w:val="24"/>
          <w:szCs w:val="24"/>
          <w:lang w:val="en-US" w:bidi="ar-SA"/>
          <w14:ligatures w14:val="none"/>
        </w:rPr>
        <w:t>charantia</w:t>
      </w:r>
      <w:proofErr w:type="spellEnd"/>
      <w:r w:rsidR="00930154" w:rsidRPr="00037593">
        <w:rPr>
          <w:rFonts w:ascii="Times New Roman" w:eastAsia="Calibri" w:hAnsi="Times New Roman" w:cs="Times New Roman"/>
          <w:kern w:val="0"/>
          <w:sz w:val="24"/>
          <w:szCs w:val="24"/>
          <w:lang w:val="en-US" w:bidi="ar-SA"/>
          <w14:ligatures w14:val="none"/>
        </w:rPr>
        <w:t xml:space="preserve">) for managing metabolic conditions. For example, research has demonstrated that bitter melon contains bioactive compounds such as </w:t>
      </w:r>
      <w:proofErr w:type="spellStart"/>
      <w:r w:rsidR="00930154" w:rsidRPr="00037593">
        <w:rPr>
          <w:rFonts w:ascii="Times New Roman" w:eastAsia="Calibri" w:hAnsi="Times New Roman" w:cs="Times New Roman"/>
          <w:kern w:val="0"/>
          <w:sz w:val="24"/>
          <w:szCs w:val="24"/>
          <w:lang w:val="en-US" w:bidi="ar-SA"/>
          <w14:ligatures w14:val="none"/>
        </w:rPr>
        <w:t>charantin</w:t>
      </w:r>
      <w:proofErr w:type="spellEnd"/>
      <w:r w:rsidR="00930154" w:rsidRPr="00037593">
        <w:rPr>
          <w:rFonts w:ascii="Times New Roman" w:eastAsia="Calibri" w:hAnsi="Times New Roman" w:cs="Times New Roman"/>
          <w:kern w:val="0"/>
          <w:sz w:val="24"/>
          <w:szCs w:val="24"/>
          <w:lang w:val="en-US" w:bidi="ar-SA"/>
          <w14:ligatures w14:val="none"/>
        </w:rPr>
        <w:t xml:space="preserve">, vicine, and polypeptide-p, </w:t>
      </w:r>
      <w:r w:rsidR="00930154" w:rsidRPr="009E2FA1">
        <w:rPr>
          <w:rFonts w:ascii="Times New Roman" w:eastAsia="Calibri" w:hAnsi="Times New Roman" w:cs="Times New Roman"/>
          <w:kern w:val="0"/>
          <w:sz w:val="24"/>
          <w:szCs w:val="24"/>
          <w:lang w:val="en-US" w:bidi="ar-SA"/>
          <w14:ligatures w14:val="none"/>
        </w:rPr>
        <w:t>which exhibit hypoglycemic effects through enhanced glucose uptake and insulin sensitivity.</w:t>
      </w:r>
      <w:r w:rsidR="004048A7" w:rsidRPr="009E2FA1">
        <w:t xml:space="preserve"> </w:t>
      </w:r>
      <w:r w:rsidR="004048A7" w:rsidRPr="009E2FA1">
        <w:rPr>
          <w:rFonts w:ascii="Times New Roman" w:eastAsia="Calibri" w:hAnsi="Times New Roman" w:cs="Times New Roman"/>
          <w:kern w:val="0"/>
          <w:sz w:val="24"/>
          <w:szCs w:val="24"/>
          <w:highlight w:val="yellow"/>
          <w:lang w:bidi="ar-SA"/>
          <w14:ligatures w14:val="none"/>
        </w:rPr>
        <w:t xml:space="preserve">A study using alloxan-induced diabetic albino rats demonstrated the </w:t>
      </w:r>
      <w:proofErr w:type="spellStart"/>
      <w:r w:rsidR="004048A7" w:rsidRPr="009E2FA1">
        <w:rPr>
          <w:rFonts w:ascii="Times New Roman" w:eastAsia="Calibri" w:hAnsi="Times New Roman" w:cs="Times New Roman"/>
          <w:kern w:val="0"/>
          <w:sz w:val="24"/>
          <w:szCs w:val="24"/>
          <w:highlight w:val="yellow"/>
          <w:lang w:bidi="ar-SA"/>
          <w14:ligatures w14:val="none"/>
        </w:rPr>
        <w:t>hypoglycemic</w:t>
      </w:r>
      <w:proofErr w:type="spellEnd"/>
      <w:r w:rsidR="004048A7" w:rsidRPr="009E2FA1">
        <w:rPr>
          <w:rFonts w:ascii="Times New Roman" w:eastAsia="Calibri" w:hAnsi="Times New Roman" w:cs="Times New Roman"/>
          <w:kern w:val="0"/>
          <w:sz w:val="24"/>
          <w:szCs w:val="24"/>
          <w:highlight w:val="yellow"/>
          <w:lang w:bidi="ar-SA"/>
          <w14:ligatures w14:val="none"/>
        </w:rPr>
        <w:t xml:space="preserve"> effects of </w:t>
      </w:r>
      <w:r w:rsidR="004048A7" w:rsidRPr="009E2FA1">
        <w:rPr>
          <w:rFonts w:ascii="Times New Roman" w:eastAsia="Calibri" w:hAnsi="Times New Roman" w:cs="Times New Roman"/>
          <w:i/>
          <w:iCs/>
          <w:kern w:val="0"/>
          <w:sz w:val="24"/>
          <w:szCs w:val="24"/>
          <w:highlight w:val="yellow"/>
          <w:lang w:bidi="ar-SA"/>
          <w14:ligatures w14:val="none"/>
        </w:rPr>
        <w:t xml:space="preserve">Momordica </w:t>
      </w:r>
      <w:proofErr w:type="spellStart"/>
      <w:r w:rsidR="004048A7" w:rsidRPr="009E2FA1">
        <w:rPr>
          <w:rFonts w:ascii="Times New Roman" w:eastAsia="Calibri" w:hAnsi="Times New Roman" w:cs="Times New Roman"/>
          <w:i/>
          <w:iCs/>
          <w:kern w:val="0"/>
          <w:sz w:val="24"/>
          <w:szCs w:val="24"/>
          <w:highlight w:val="yellow"/>
          <w:lang w:bidi="ar-SA"/>
          <w14:ligatures w14:val="none"/>
        </w:rPr>
        <w:t>charantia</w:t>
      </w:r>
      <w:proofErr w:type="spellEnd"/>
      <w:r w:rsidR="004048A7" w:rsidRPr="009E2FA1">
        <w:rPr>
          <w:rFonts w:ascii="Times New Roman" w:eastAsia="Calibri" w:hAnsi="Times New Roman" w:cs="Times New Roman"/>
          <w:kern w:val="0"/>
          <w:sz w:val="24"/>
          <w:szCs w:val="24"/>
          <w:highlight w:val="yellow"/>
          <w:lang w:bidi="ar-SA"/>
          <w14:ligatures w14:val="none"/>
        </w:rPr>
        <w:t xml:space="preserve"> methanolic extract, showing a dose-dependent reduction in blood glucose levels. This provides scientific support for its potential use as a natural remedy for managing diabetes</w:t>
      </w:r>
      <w:r w:rsidR="00623078" w:rsidRPr="009E2FA1">
        <w:rPr>
          <w:rFonts w:ascii="Times New Roman" w:eastAsia="Calibri" w:hAnsi="Times New Roman" w:cs="Times New Roman"/>
          <w:kern w:val="0"/>
          <w:sz w:val="24"/>
          <w:szCs w:val="24"/>
          <w:highlight w:val="yellow"/>
          <w:lang w:bidi="ar-SA"/>
          <w14:ligatures w14:val="none"/>
        </w:rPr>
        <w:t xml:space="preserve"> </w:t>
      </w:r>
      <w:r w:rsidR="004048A7" w:rsidRPr="009E2FA1">
        <w:rPr>
          <w:rFonts w:ascii="Times New Roman" w:eastAsia="Calibri" w:hAnsi="Times New Roman" w:cs="Times New Roman"/>
          <w:kern w:val="0"/>
          <w:sz w:val="24"/>
          <w:szCs w:val="24"/>
          <w:highlight w:val="yellow"/>
          <w:lang w:bidi="ar-SA"/>
          <w14:ligatures w14:val="none"/>
        </w:rPr>
        <w:t>(</w:t>
      </w:r>
      <w:proofErr w:type="spellStart"/>
      <w:r w:rsidR="004048A7" w:rsidRPr="009E2FA1">
        <w:rPr>
          <w:rFonts w:ascii="Times New Roman" w:eastAsia="Calibri" w:hAnsi="Times New Roman" w:cs="Times New Roman"/>
          <w:kern w:val="0"/>
          <w:sz w:val="24"/>
          <w:szCs w:val="24"/>
          <w:highlight w:val="yellow"/>
          <w:lang w:bidi="ar-SA"/>
          <w14:ligatures w14:val="none"/>
        </w:rPr>
        <w:t>kumar</w:t>
      </w:r>
      <w:proofErr w:type="spellEnd"/>
      <w:r w:rsidR="004048A7" w:rsidRPr="009E2FA1">
        <w:rPr>
          <w:rFonts w:ascii="Times New Roman" w:eastAsia="Calibri" w:hAnsi="Times New Roman" w:cs="Times New Roman"/>
          <w:kern w:val="0"/>
          <w:sz w:val="24"/>
          <w:szCs w:val="24"/>
          <w:highlight w:val="yellow"/>
          <w:lang w:bidi="ar-SA"/>
          <w14:ligatures w14:val="none"/>
        </w:rPr>
        <w:t xml:space="preserve"> et al.,</w:t>
      </w:r>
      <w:r w:rsidR="00623078" w:rsidRPr="009E2FA1">
        <w:rPr>
          <w:rFonts w:ascii="Times New Roman" w:eastAsia="Calibri" w:hAnsi="Times New Roman" w:cs="Times New Roman"/>
          <w:kern w:val="0"/>
          <w:sz w:val="24"/>
          <w:szCs w:val="24"/>
          <w:highlight w:val="yellow"/>
          <w:lang w:bidi="ar-SA"/>
          <w14:ligatures w14:val="none"/>
        </w:rPr>
        <w:t xml:space="preserve"> </w:t>
      </w:r>
      <w:r w:rsidR="004048A7" w:rsidRPr="009E2FA1">
        <w:rPr>
          <w:rFonts w:ascii="Times New Roman" w:eastAsia="Calibri" w:hAnsi="Times New Roman" w:cs="Times New Roman"/>
          <w:kern w:val="0"/>
          <w:sz w:val="24"/>
          <w:szCs w:val="24"/>
          <w:highlight w:val="yellow"/>
          <w:lang w:bidi="ar-SA"/>
          <w14:ligatures w14:val="none"/>
        </w:rPr>
        <w:t>2024).</w:t>
      </w:r>
      <w:r w:rsidR="009B2AB7" w:rsidRPr="009E2FA1">
        <w:rPr>
          <w:highlight w:val="yellow"/>
        </w:rPr>
        <w:t xml:space="preserve"> </w:t>
      </w:r>
      <w:r w:rsidR="00191DA2" w:rsidRPr="009E2FA1">
        <w:rPr>
          <w:rFonts w:ascii="Times New Roman" w:eastAsia="Calibri" w:hAnsi="Times New Roman" w:cs="Times New Roman"/>
          <w:kern w:val="0"/>
          <w:sz w:val="24"/>
          <w:szCs w:val="24"/>
          <w:highlight w:val="yellow"/>
          <w:lang w:bidi="ar-SA"/>
          <w14:ligatures w14:val="none"/>
        </w:rPr>
        <w:t xml:space="preserve">A review by </w:t>
      </w:r>
      <w:r w:rsidR="00191DA2" w:rsidRPr="009E2FA1">
        <w:rPr>
          <w:rFonts w:ascii="Times New Roman" w:eastAsia="Calibri" w:hAnsi="Times New Roman" w:cs="Times New Roman"/>
          <w:b/>
          <w:bCs/>
          <w:kern w:val="0"/>
          <w:sz w:val="24"/>
          <w:szCs w:val="24"/>
          <w:highlight w:val="yellow"/>
          <w:lang w:bidi="ar-SA"/>
          <w14:ligatures w14:val="none"/>
        </w:rPr>
        <w:t>Hussain et al. (2022)</w:t>
      </w:r>
      <w:r w:rsidR="00191DA2" w:rsidRPr="009E2FA1">
        <w:rPr>
          <w:rFonts w:ascii="Times New Roman" w:eastAsia="Calibri" w:hAnsi="Times New Roman" w:cs="Times New Roman"/>
          <w:kern w:val="0"/>
          <w:sz w:val="24"/>
          <w:szCs w:val="24"/>
          <w:highlight w:val="yellow"/>
          <w:lang w:bidi="ar-SA"/>
          <w14:ligatures w14:val="none"/>
        </w:rPr>
        <w:t xml:space="preserve"> highlighted that bitter gourd is rich in nutrients and bioactive compounds like </w:t>
      </w:r>
      <w:proofErr w:type="spellStart"/>
      <w:r w:rsidR="00191DA2" w:rsidRPr="009E2FA1">
        <w:rPr>
          <w:rFonts w:ascii="Times New Roman" w:eastAsia="Calibri" w:hAnsi="Times New Roman" w:cs="Times New Roman"/>
          <w:b/>
          <w:bCs/>
          <w:kern w:val="0"/>
          <w:sz w:val="24"/>
          <w:szCs w:val="24"/>
          <w:highlight w:val="yellow"/>
          <w:lang w:bidi="ar-SA"/>
          <w14:ligatures w14:val="none"/>
        </w:rPr>
        <w:t>momordicin</w:t>
      </w:r>
      <w:proofErr w:type="spellEnd"/>
      <w:r w:rsidR="00191DA2" w:rsidRPr="009E2FA1">
        <w:rPr>
          <w:rFonts w:ascii="Times New Roman" w:eastAsia="Calibri" w:hAnsi="Times New Roman" w:cs="Times New Roman"/>
          <w:b/>
          <w:bCs/>
          <w:kern w:val="0"/>
          <w:sz w:val="24"/>
          <w:szCs w:val="24"/>
          <w:highlight w:val="yellow"/>
          <w:lang w:bidi="ar-SA"/>
          <w14:ligatures w14:val="none"/>
        </w:rPr>
        <w:t xml:space="preserve"> I, II</w:t>
      </w:r>
      <w:r w:rsidR="00191DA2" w:rsidRPr="009E2FA1">
        <w:rPr>
          <w:rFonts w:ascii="Times New Roman" w:eastAsia="Calibri" w:hAnsi="Times New Roman" w:cs="Times New Roman"/>
          <w:kern w:val="0"/>
          <w:sz w:val="24"/>
          <w:szCs w:val="24"/>
          <w:highlight w:val="yellow"/>
          <w:lang w:bidi="ar-SA"/>
          <w14:ligatures w14:val="none"/>
        </w:rPr>
        <w:t xml:space="preserve"> and </w:t>
      </w:r>
      <w:r w:rsidR="00191DA2" w:rsidRPr="009E2FA1">
        <w:rPr>
          <w:rFonts w:ascii="Times New Roman" w:eastAsia="Calibri" w:hAnsi="Times New Roman" w:cs="Times New Roman"/>
          <w:b/>
          <w:bCs/>
          <w:kern w:val="0"/>
          <w:sz w:val="24"/>
          <w:szCs w:val="24"/>
          <w:highlight w:val="yellow"/>
          <w:lang w:bidi="ar-SA"/>
          <w14:ligatures w14:val="none"/>
        </w:rPr>
        <w:t>cucurbitacin B</w:t>
      </w:r>
      <w:r w:rsidR="00191DA2" w:rsidRPr="009E2FA1">
        <w:rPr>
          <w:rFonts w:ascii="Times New Roman" w:eastAsia="Calibri" w:hAnsi="Times New Roman" w:cs="Times New Roman"/>
          <w:kern w:val="0"/>
          <w:sz w:val="24"/>
          <w:szCs w:val="24"/>
          <w:highlight w:val="yellow"/>
          <w:lang w:bidi="ar-SA"/>
          <w14:ligatures w14:val="none"/>
        </w:rPr>
        <w:t xml:space="preserve">, which have antidiabetic effects. Its ability to regulate cholesterol, reduce fat accumulation, and improve antioxidant status supports both cardiovascular and </w:t>
      </w:r>
      <w:proofErr w:type="spellStart"/>
      <w:r w:rsidR="00191DA2" w:rsidRPr="009E2FA1">
        <w:rPr>
          <w:rFonts w:ascii="Times New Roman" w:eastAsia="Calibri" w:hAnsi="Times New Roman" w:cs="Times New Roman"/>
          <w:kern w:val="0"/>
          <w:sz w:val="24"/>
          <w:szCs w:val="24"/>
          <w:highlight w:val="yellow"/>
          <w:lang w:bidi="ar-SA"/>
          <w14:ligatures w14:val="none"/>
        </w:rPr>
        <w:t>glycemic</w:t>
      </w:r>
      <w:proofErr w:type="spellEnd"/>
      <w:r w:rsidR="00191DA2" w:rsidRPr="009E2FA1">
        <w:rPr>
          <w:rFonts w:ascii="Times New Roman" w:eastAsia="Calibri" w:hAnsi="Times New Roman" w:cs="Times New Roman"/>
          <w:kern w:val="0"/>
          <w:sz w:val="24"/>
          <w:szCs w:val="24"/>
          <w:highlight w:val="yellow"/>
          <w:lang w:bidi="ar-SA"/>
          <w14:ligatures w14:val="none"/>
        </w:rPr>
        <w:t xml:space="preserve"> health. </w:t>
      </w:r>
    </w:p>
    <w:p w14:paraId="3A658031" w14:textId="77777777" w:rsidR="00623078" w:rsidRPr="009E2FA1" w:rsidRDefault="00623078" w:rsidP="00191DA2">
      <w:pPr>
        <w:spacing w:after="0" w:line="276" w:lineRule="auto"/>
        <w:jc w:val="both"/>
        <w:rPr>
          <w:rFonts w:ascii="Times New Roman" w:eastAsia="Calibri" w:hAnsi="Times New Roman" w:cs="Times New Roman"/>
          <w:kern w:val="0"/>
          <w:sz w:val="24"/>
          <w:szCs w:val="24"/>
          <w:highlight w:val="yellow"/>
          <w:lang w:bidi="ar-SA"/>
          <w14:ligatures w14:val="none"/>
        </w:rPr>
      </w:pPr>
    </w:p>
    <w:p w14:paraId="5D1C52D3" w14:textId="3522049C" w:rsidR="00CA1CD7" w:rsidRPr="009E2FA1" w:rsidRDefault="00191DA2" w:rsidP="009B2AB7">
      <w:pPr>
        <w:spacing w:after="0" w:line="276" w:lineRule="auto"/>
        <w:jc w:val="both"/>
        <w:rPr>
          <w:rFonts w:ascii="Times New Roman" w:eastAsia="Calibri" w:hAnsi="Times New Roman" w:cs="Times New Roman"/>
          <w:kern w:val="0"/>
          <w:sz w:val="24"/>
          <w:szCs w:val="24"/>
          <w:lang w:bidi="ar-SA"/>
          <w14:ligatures w14:val="none"/>
        </w:rPr>
      </w:pPr>
      <w:r w:rsidRPr="009E2FA1">
        <w:rPr>
          <w:rFonts w:ascii="Times New Roman" w:eastAsia="Calibri" w:hAnsi="Times New Roman" w:cs="Times New Roman"/>
          <w:kern w:val="0"/>
          <w:sz w:val="24"/>
          <w:szCs w:val="24"/>
          <w:highlight w:val="yellow"/>
          <w:lang w:bidi="ar-SA"/>
          <w14:ligatures w14:val="none"/>
        </w:rPr>
        <w:t xml:space="preserve">These findings align with the study’s observation of improved </w:t>
      </w:r>
      <w:r w:rsidRPr="009E2FA1">
        <w:rPr>
          <w:rFonts w:ascii="Times New Roman" w:eastAsia="Calibri" w:hAnsi="Times New Roman" w:cs="Times New Roman"/>
          <w:b/>
          <w:bCs/>
          <w:kern w:val="0"/>
          <w:sz w:val="24"/>
          <w:szCs w:val="24"/>
          <w:highlight w:val="yellow"/>
          <w:lang w:bidi="ar-SA"/>
          <w14:ligatures w14:val="none"/>
        </w:rPr>
        <w:t>HbA1c levels</w:t>
      </w:r>
      <w:r w:rsidRPr="009E2FA1">
        <w:rPr>
          <w:rFonts w:ascii="Times New Roman" w:eastAsia="Calibri" w:hAnsi="Times New Roman" w:cs="Times New Roman"/>
          <w:kern w:val="0"/>
          <w:sz w:val="24"/>
          <w:szCs w:val="24"/>
          <w:highlight w:val="yellow"/>
          <w:lang w:bidi="ar-SA"/>
          <w14:ligatures w14:val="none"/>
        </w:rPr>
        <w:t xml:space="preserve"> in T2DM patients with frequent bitter gourd consumption. </w:t>
      </w:r>
      <w:r w:rsidR="00930154" w:rsidRPr="009E2FA1">
        <w:rPr>
          <w:rFonts w:ascii="Times New Roman" w:eastAsia="Calibri" w:hAnsi="Times New Roman" w:cs="Times New Roman"/>
          <w:kern w:val="0"/>
          <w:sz w:val="24"/>
          <w:szCs w:val="24"/>
          <w:highlight w:val="yellow"/>
          <w:lang w:val="en-US" w:bidi="ar-SA"/>
          <w14:ligatures w14:val="none"/>
        </w:rPr>
        <w:t>A review by Kwatra et al.</w:t>
      </w:r>
      <w:r w:rsidR="009B2AB7" w:rsidRPr="009E2FA1">
        <w:rPr>
          <w:rFonts w:ascii="Times New Roman" w:eastAsia="Calibri" w:hAnsi="Times New Roman" w:cs="Times New Roman"/>
          <w:kern w:val="0"/>
          <w:sz w:val="24"/>
          <w:szCs w:val="24"/>
          <w:highlight w:val="yellow"/>
          <w:lang w:val="en-US" w:bidi="ar-SA"/>
          <w14:ligatures w14:val="none"/>
        </w:rPr>
        <w:t xml:space="preserve"> (2016)</w:t>
      </w:r>
      <w:r w:rsidR="00930154" w:rsidRPr="009E2FA1">
        <w:rPr>
          <w:rFonts w:ascii="Times New Roman" w:eastAsia="Calibri" w:hAnsi="Times New Roman" w:cs="Times New Roman"/>
          <w:kern w:val="0"/>
          <w:sz w:val="24"/>
          <w:szCs w:val="24"/>
          <w:highlight w:val="yellow"/>
          <w:lang w:val="en-US" w:bidi="ar-SA"/>
          <w14:ligatures w14:val="none"/>
        </w:rPr>
        <w:t xml:space="preserve"> emphasized that bitter melon has properties that can help lower blood glucose levels, supporting its potential as a dietary adjunct for diabetes </w:t>
      </w:r>
      <w:proofErr w:type="gramStart"/>
      <w:r w:rsidR="00930154" w:rsidRPr="009E2FA1">
        <w:rPr>
          <w:rFonts w:ascii="Times New Roman" w:eastAsia="Calibri" w:hAnsi="Times New Roman" w:cs="Times New Roman"/>
          <w:kern w:val="0"/>
          <w:sz w:val="24"/>
          <w:szCs w:val="24"/>
          <w:highlight w:val="yellow"/>
          <w:lang w:val="en-US" w:bidi="ar-SA"/>
          <w14:ligatures w14:val="none"/>
        </w:rPr>
        <w:t>management.</w:t>
      </w:r>
      <w:r w:rsidR="00CA1CD7" w:rsidRPr="009E2FA1">
        <w:rPr>
          <w:rFonts w:ascii="Times New Roman" w:eastAsia="Calibri" w:hAnsi="Times New Roman" w:cs="Times New Roman"/>
          <w:kern w:val="0"/>
          <w:sz w:val="24"/>
          <w:szCs w:val="24"/>
          <w:highlight w:val="yellow"/>
          <w:lang w:bidi="ar-SA"/>
          <w14:ligatures w14:val="none"/>
        </w:rPr>
        <w:t>The</w:t>
      </w:r>
      <w:proofErr w:type="gramEnd"/>
      <w:r w:rsidR="00CA1CD7" w:rsidRPr="009E2FA1">
        <w:rPr>
          <w:rFonts w:ascii="Times New Roman" w:eastAsia="Calibri" w:hAnsi="Times New Roman" w:cs="Times New Roman"/>
          <w:kern w:val="0"/>
          <w:sz w:val="24"/>
          <w:szCs w:val="24"/>
          <w:highlight w:val="yellow"/>
          <w:lang w:bidi="ar-SA"/>
          <w14:ligatures w14:val="none"/>
        </w:rPr>
        <w:t xml:space="preserve"> study supports that </w:t>
      </w:r>
      <w:r w:rsidR="00CA1CD7" w:rsidRPr="009E2FA1">
        <w:rPr>
          <w:rFonts w:ascii="Times New Roman" w:eastAsia="Calibri" w:hAnsi="Times New Roman" w:cs="Times New Roman"/>
          <w:i/>
          <w:iCs/>
          <w:kern w:val="0"/>
          <w:sz w:val="24"/>
          <w:szCs w:val="24"/>
          <w:highlight w:val="yellow"/>
          <w:lang w:bidi="ar-SA"/>
          <w14:ligatures w14:val="none"/>
        </w:rPr>
        <w:t xml:space="preserve">Momordica </w:t>
      </w:r>
      <w:proofErr w:type="spellStart"/>
      <w:r w:rsidR="00CA1CD7" w:rsidRPr="009E2FA1">
        <w:rPr>
          <w:rFonts w:ascii="Times New Roman" w:eastAsia="Calibri" w:hAnsi="Times New Roman" w:cs="Times New Roman"/>
          <w:i/>
          <w:iCs/>
          <w:kern w:val="0"/>
          <w:sz w:val="24"/>
          <w:szCs w:val="24"/>
          <w:highlight w:val="yellow"/>
          <w:lang w:bidi="ar-SA"/>
          <w14:ligatures w14:val="none"/>
        </w:rPr>
        <w:t>charantia</w:t>
      </w:r>
      <w:proofErr w:type="spellEnd"/>
      <w:r w:rsidR="00CA1CD7" w:rsidRPr="009E2FA1">
        <w:rPr>
          <w:rFonts w:ascii="Times New Roman" w:eastAsia="Calibri" w:hAnsi="Times New Roman" w:cs="Times New Roman"/>
          <w:kern w:val="0"/>
          <w:sz w:val="24"/>
          <w:szCs w:val="24"/>
          <w:highlight w:val="yellow"/>
          <w:lang w:bidi="ar-SA"/>
          <w14:ligatures w14:val="none"/>
        </w:rPr>
        <w:t xml:space="preserve"> has a dose-dependent </w:t>
      </w:r>
      <w:proofErr w:type="spellStart"/>
      <w:r w:rsidR="00CA1CD7" w:rsidRPr="009E2FA1">
        <w:rPr>
          <w:rFonts w:ascii="Times New Roman" w:eastAsia="Calibri" w:hAnsi="Times New Roman" w:cs="Times New Roman"/>
          <w:kern w:val="0"/>
          <w:sz w:val="24"/>
          <w:szCs w:val="24"/>
          <w:highlight w:val="yellow"/>
          <w:lang w:bidi="ar-SA"/>
          <w14:ligatures w14:val="none"/>
        </w:rPr>
        <w:t>hypoglycemic</w:t>
      </w:r>
      <w:proofErr w:type="spellEnd"/>
      <w:r w:rsidR="00CA1CD7" w:rsidRPr="009E2FA1">
        <w:rPr>
          <w:rFonts w:ascii="Times New Roman" w:eastAsia="Calibri" w:hAnsi="Times New Roman" w:cs="Times New Roman"/>
          <w:kern w:val="0"/>
          <w:sz w:val="24"/>
          <w:szCs w:val="24"/>
          <w:highlight w:val="yellow"/>
          <w:lang w:bidi="ar-SA"/>
          <w14:ligatures w14:val="none"/>
        </w:rPr>
        <w:t xml:space="preserve"> effect, aligning with the current finding that frequent bitter gourd consumption may help improve HbA1c levels in T2DM patients.</w:t>
      </w:r>
    </w:p>
    <w:p w14:paraId="45A9EFC6" w14:textId="77777777" w:rsidR="00CA1CD7" w:rsidRDefault="00CA1CD7" w:rsidP="00037D6A">
      <w:pPr>
        <w:spacing w:after="0" w:line="360" w:lineRule="auto"/>
        <w:jc w:val="both"/>
        <w:rPr>
          <w:rFonts w:ascii="Times New Roman" w:eastAsia="Calibri" w:hAnsi="Times New Roman" w:cs="Times New Roman"/>
          <w:kern w:val="0"/>
          <w:sz w:val="24"/>
          <w:szCs w:val="24"/>
          <w:lang w:bidi="ar-SA"/>
          <w14:ligatures w14:val="none"/>
        </w:rPr>
      </w:pPr>
    </w:p>
    <w:p w14:paraId="34AF5BD0" w14:textId="22A24125" w:rsidR="00930154" w:rsidRPr="004F2C20" w:rsidRDefault="005F334D" w:rsidP="00037D6A">
      <w:pPr>
        <w:spacing w:after="0" w:line="360" w:lineRule="auto"/>
        <w:jc w:val="both"/>
        <w:rPr>
          <w:rFonts w:ascii="Arial" w:eastAsia="Calibri" w:hAnsi="Arial" w:cs="Arial"/>
          <w:kern w:val="0"/>
          <w:sz w:val="20"/>
          <w:lang w:bidi="ar-SA"/>
          <w14:ligatures w14:val="none"/>
        </w:rPr>
      </w:pPr>
      <w:r w:rsidRPr="004F2C20">
        <w:rPr>
          <w:rFonts w:ascii="Arial" w:eastAsia="Calibri" w:hAnsi="Arial" w:cs="Arial"/>
          <w:kern w:val="0"/>
          <w:sz w:val="20"/>
          <w:lang w:bidi="ar-SA"/>
          <w14:ligatures w14:val="none"/>
        </w:rPr>
        <w:t xml:space="preserve">As observed in the T2DM*HTN column, among patients who never included bitter gourd in their meals (n = 36), approximately 40% achieved ideal </w:t>
      </w:r>
      <w:proofErr w:type="spellStart"/>
      <w:r w:rsidRPr="004F2C20">
        <w:rPr>
          <w:rFonts w:ascii="Arial" w:eastAsia="Calibri" w:hAnsi="Arial" w:cs="Arial"/>
          <w:kern w:val="0"/>
          <w:sz w:val="20"/>
          <w:lang w:bidi="ar-SA"/>
          <w14:ligatures w14:val="none"/>
        </w:rPr>
        <w:t>glycemic</w:t>
      </w:r>
      <w:proofErr w:type="spellEnd"/>
      <w:r w:rsidRPr="004F2C20">
        <w:rPr>
          <w:rFonts w:ascii="Arial" w:eastAsia="Calibri" w:hAnsi="Arial" w:cs="Arial"/>
          <w:kern w:val="0"/>
          <w:sz w:val="20"/>
          <w:lang w:bidi="ar-SA"/>
          <w14:ligatures w14:val="none"/>
        </w:rPr>
        <w:t xml:space="preserve"> control, followed by 16.7% with satisfactory control and 45% with unsatisfactory </w:t>
      </w:r>
      <w:proofErr w:type="spellStart"/>
      <w:r w:rsidRPr="004F2C20">
        <w:rPr>
          <w:rFonts w:ascii="Arial" w:eastAsia="Calibri" w:hAnsi="Arial" w:cs="Arial"/>
          <w:kern w:val="0"/>
          <w:sz w:val="20"/>
          <w:lang w:bidi="ar-SA"/>
          <w14:ligatures w14:val="none"/>
        </w:rPr>
        <w:t>glycemic</w:t>
      </w:r>
      <w:proofErr w:type="spellEnd"/>
      <w:r w:rsidRPr="004F2C20">
        <w:rPr>
          <w:rFonts w:ascii="Arial" w:eastAsia="Calibri" w:hAnsi="Arial" w:cs="Arial"/>
          <w:kern w:val="0"/>
          <w:sz w:val="20"/>
          <w:lang w:bidi="ar-SA"/>
          <w14:ligatures w14:val="none"/>
        </w:rPr>
        <w:t xml:space="preserve"> control. Among those who consumed bitter gourd occasionally (</w:t>
      </w:r>
      <w:r w:rsidRPr="004F2C20">
        <w:rPr>
          <w:rFonts w:ascii="Arial" w:eastAsia="Calibri" w:hAnsi="Arial" w:cs="Arial"/>
          <w:i/>
          <w:iCs/>
          <w:kern w:val="0"/>
          <w:sz w:val="20"/>
          <w:lang w:bidi="ar-SA"/>
          <w14:ligatures w14:val="none"/>
        </w:rPr>
        <w:t>n</w:t>
      </w:r>
      <w:r w:rsidRPr="004F2C20">
        <w:rPr>
          <w:rFonts w:ascii="Arial" w:eastAsia="Calibri" w:hAnsi="Arial" w:cs="Arial"/>
          <w:kern w:val="0"/>
          <w:sz w:val="20"/>
          <w:lang w:bidi="ar-SA"/>
          <w14:ligatures w14:val="none"/>
        </w:rPr>
        <w:t xml:space="preserve"> = 9), over 65% demonstrated unsatisfactory </w:t>
      </w:r>
      <w:proofErr w:type="spellStart"/>
      <w:r w:rsidRPr="004F2C20">
        <w:rPr>
          <w:rFonts w:ascii="Arial" w:eastAsia="Calibri" w:hAnsi="Arial" w:cs="Arial"/>
          <w:kern w:val="0"/>
          <w:sz w:val="20"/>
          <w:lang w:bidi="ar-SA"/>
          <w14:ligatures w14:val="none"/>
        </w:rPr>
        <w:t>glycemic</w:t>
      </w:r>
      <w:proofErr w:type="spellEnd"/>
      <w:r w:rsidRPr="004F2C20">
        <w:rPr>
          <w:rFonts w:ascii="Arial" w:eastAsia="Calibri" w:hAnsi="Arial" w:cs="Arial"/>
          <w:kern w:val="0"/>
          <w:sz w:val="20"/>
          <w:lang w:bidi="ar-SA"/>
          <w14:ligatures w14:val="none"/>
        </w:rPr>
        <w:t xml:space="preserve"> control, while </w:t>
      </w:r>
      <w:r w:rsidRPr="004F2C20">
        <w:rPr>
          <w:rFonts w:ascii="Arial" w:eastAsia="Calibri" w:hAnsi="Arial" w:cs="Arial"/>
          <w:kern w:val="0"/>
          <w:sz w:val="20"/>
          <w:lang w:bidi="ar-SA"/>
          <w14:ligatures w14:val="none"/>
        </w:rPr>
        <w:lastRenderedPageBreak/>
        <w:t xml:space="preserve">35% achieved healthy </w:t>
      </w:r>
      <w:proofErr w:type="spellStart"/>
      <w:r w:rsidRPr="004F2C20">
        <w:rPr>
          <w:rFonts w:ascii="Arial" w:eastAsia="Calibri" w:hAnsi="Arial" w:cs="Arial"/>
          <w:kern w:val="0"/>
          <w:sz w:val="20"/>
          <w:lang w:bidi="ar-SA"/>
          <w14:ligatures w14:val="none"/>
        </w:rPr>
        <w:t>glycemic</w:t>
      </w:r>
      <w:proofErr w:type="spellEnd"/>
      <w:r w:rsidRPr="004F2C20">
        <w:rPr>
          <w:rFonts w:ascii="Arial" w:eastAsia="Calibri" w:hAnsi="Arial" w:cs="Arial"/>
          <w:kern w:val="0"/>
          <w:sz w:val="20"/>
          <w:lang w:bidi="ar-SA"/>
          <w14:ligatures w14:val="none"/>
        </w:rPr>
        <w:t xml:space="preserve"> levels. </w:t>
      </w:r>
      <w:r w:rsidR="00A7484B" w:rsidRPr="004F2C20">
        <w:rPr>
          <w:rFonts w:ascii="Arial" w:eastAsia="Calibri" w:hAnsi="Arial" w:cs="Arial"/>
          <w:kern w:val="0"/>
          <w:sz w:val="20"/>
          <w:lang w:bidi="ar-SA"/>
          <w14:ligatures w14:val="none"/>
        </w:rPr>
        <w:t xml:space="preserve">For patients who consumed bitter gourd regularly (n = 10), nearly 70% successfully maintained their HbA1c% levels within the satisfactory or ideal range. Furthermore, ideal </w:t>
      </w:r>
      <w:proofErr w:type="spellStart"/>
      <w:r w:rsidR="00A7484B" w:rsidRPr="004F2C20">
        <w:rPr>
          <w:rFonts w:ascii="Arial" w:eastAsia="Calibri" w:hAnsi="Arial" w:cs="Arial"/>
          <w:kern w:val="0"/>
          <w:sz w:val="20"/>
          <w:lang w:bidi="ar-SA"/>
          <w14:ligatures w14:val="none"/>
        </w:rPr>
        <w:t>glycemic</w:t>
      </w:r>
      <w:proofErr w:type="spellEnd"/>
      <w:r w:rsidR="00A7484B" w:rsidRPr="004F2C20">
        <w:rPr>
          <w:rFonts w:ascii="Arial" w:eastAsia="Calibri" w:hAnsi="Arial" w:cs="Arial"/>
          <w:kern w:val="0"/>
          <w:sz w:val="20"/>
          <w:lang w:bidi="ar-SA"/>
          <w14:ligatures w14:val="none"/>
        </w:rPr>
        <w:t xml:space="preserve"> control was observed in all patients who consistently consumed bitter gourd. Despite these trends, the Fisher exact test statistic of 8.29 (p = 0.185) indicated that the association between bitter gourd consumption and HbA1c% levels in T2DM*HTN patients was not statistically significant (p &gt; 0.05).</w:t>
      </w:r>
      <w:r w:rsidR="00037D6A" w:rsidRPr="004F2C20">
        <w:rPr>
          <w:rFonts w:ascii="Arial" w:hAnsi="Arial" w:cs="Arial"/>
          <w:sz w:val="18"/>
          <w:szCs w:val="16"/>
        </w:rPr>
        <w:t xml:space="preserve"> </w:t>
      </w:r>
      <w:r w:rsidR="00037D6A" w:rsidRPr="004F2C20">
        <w:rPr>
          <w:rFonts w:ascii="Arial" w:eastAsia="Calibri" w:hAnsi="Arial" w:cs="Arial"/>
          <w:kern w:val="0"/>
          <w:sz w:val="20"/>
          <w:lang w:bidi="ar-SA"/>
          <w14:ligatures w14:val="none"/>
        </w:rPr>
        <w:t>Although differences were noted, their lack of statistical significance underscores the need for further research with larger sample sizes and controlled settings to validate these findings.</w:t>
      </w:r>
    </w:p>
    <w:p w14:paraId="0ACA72B9" w14:textId="77777777" w:rsidR="00930154" w:rsidRPr="00037593" w:rsidRDefault="00930154" w:rsidP="00752E3F">
      <w:pPr>
        <w:rPr>
          <w:rFonts w:ascii="Times New Roman" w:eastAsia="Calibri" w:hAnsi="Times New Roman" w:cs="Times New Roman"/>
          <w:kern w:val="0"/>
          <w:sz w:val="24"/>
          <w:szCs w:val="24"/>
          <w:lang w:val="en-US" w:bidi="ar-SA"/>
          <w14:ligatures w14:val="none"/>
        </w:rPr>
      </w:pPr>
    </w:p>
    <w:p w14:paraId="4B1663B4" w14:textId="3E47C5C8" w:rsidR="00930154" w:rsidRPr="00037593" w:rsidRDefault="00930154" w:rsidP="00752E3F">
      <w:pPr>
        <w:rPr>
          <w:rFonts w:ascii="Times New Roman" w:eastAsia="Calibri" w:hAnsi="Times New Roman" w:cs="Times New Roman"/>
          <w:sz w:val="24"/>
          <w:szCs w:val="24"/>
          <w:lang w:bidi="ar-SA"/>
        </w:rPr>
        <w:sectPr w:rsidR="00930154" w:rsidRPr="00037593" w:rsidSect="00E52B9C">
          <w:headerReference w:type="even" r:id="rId8"/>
          <w:headerReference w:type="default" r:id="rId9"/>
          <w:headerReference w:type="first" r:id="rId10"/>
          <w:pgSz w:w="11907" w:h="16839" w:code="9"/>
          <w:pgMar w:top="1440" w:right="1440" w:bottom="1440" w:left="2160" w:header="720" w:footer="720" w:gutter="0"/>
          <w:cols w:space="720"/>
          <w:docGrid w:linePitch="360"/>
        </w:sectPr>
      </w:pPr>
    </w:p>
    <w:p w14:paraId="4FD79F8C" w14:textId="77777777" w:rsidR="00873C15" w:rsidRPr="00037593" w:rsidRDefault="00873C15" w:rsidP="00752E3F">
      <w:pPr>
        <w:spacing w:after="0" w:line="360" w:lineRule="auto"/>
        <w:rPr>
          <w:rFonts w:ascii="Times New Roman" w:eastAsia="Calibri" w:hAnsi="Times New Roman" w:cs="Times New Roman"/>
          <w:kern w:val="0"/>
          <w:sz w:val="24"/>
          <w:szCs w:val="24"/>
          <w:lang w:val="en-US" w:bidi="ar-SA"/>
          <w14:ligatures w14:val="none"/>
        </w:rPr>
      </w:pPr>
    </w:p>
    <w:tbl>
      <w:tblPr>
        <w:tblW w:w="5000" w:type="pct"/>
        <w:tblLayout w:type="fixed"/>
        <w:tblLook w:val="04A0" w:firstRow="1" w:lastRow="0" w:firstColumn="1" w:lastColumn="0" w:noHBand="0" w:noVBand="1"/>
      </w:tblPr>
      <w:tblGrid>
        <w:gridCol w:w="994"/>
        <w:gridCol w:w="1131"/>
        <w:gridCol w:w="1025"/>
        <w:gridCol w:w="949"/>
        <w:gridCol w:w="952"/>
        <w:gridCol w:w="1187"/>
        <w:gridCol w:w="1859"/>
        <w:gridCol w:w="265"/>
        <w:gridCol w:w="949"/>
        <w:gridCol w:w="949"/>
        <w:gridCol w:w="952"/>
        <w:gridCol w:w="1122"/>
        <w:gridCol w:w="1625"/>
      </w:tblGrid>
      <w:tr w:rsidR="00752E3F" w:rsidRPr="00E04134" w14:paraId="33B34F15" w14:textId="77777777" w:rsidTr="00E04134">
        <w:trPr>
          <w:trHeight w:val="290"/>
        </w:trPr>
        <w:tc>
          <w:tcPr>
            <w:tcW w:w="356" w:type="pct"/>
            <w:tcBorders>
              <w:top w:val="nil"/>
              <w:left w:val="nil"/>
              <w:bottom w:val="nil"/>
              <w:right w:val="nil"/>
            </w:tcBorders>
            <w:shd w:val="clear" w:color="auto" w:fill="auto"/>
            <w:noWrap/>
            <w:vAlign w:val="bottom"/>
            <w:hideMark/>
          </w:tcPr>
          <w:p w14:paraId="125AC17F" w14:textId="7D107701"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r w:rsidRPr="009E2FA1">
              <w:rPr>
                <w:rFonts w:ascii="Arial" w:eastAsia="Times New Roman" w:hAnsi="Arial" w:cs="Arial"/>
                <w:b/>
                <w:bCs/>
                <w:kern w:val="0"/>
                <w:sz w:val="20"/>
                <w:highlight w:val="yellow"/>
                <w:lang w:val="en-US" w:eastAsia="en-IN"/>
                <w14:ligatures w14:val="none"/>
              </w:rPr>
              <w:t xml:space="preserve">Table </w:t>
            </w:r>
            <w:r w:rsidR="00B75DF0" w:rsidRPr="009E2FA1">
              <w:rPr>
                <w:rFonts w:ascii="Arial" w:eastAsia="Times New Roman" w:hAnsi="Arial" w:cs="Arial"/>
                <w:b/>
                <w:bCs/>
                <w:kern w:val="0"/>
                <w:sz w:val="20"/>
                <w:highlight w:val="yellow"/>
                <w:lang w:val="en-US" w:eastAsia="en-IN"/>
                <w14:ligatures w14:val="none"/>
              </w:rPr>
              <w:t>2</w:t>
            </w:r>
          </w:p>
        </w:tc>
        <w:tc>
          <w:tcPr>
            <w:tcW w:w="405" w:type="pct"/>
            <w:tcBorders>
              <w:top w:val="nil"/>
              <w:left w:val="nil"/>
              <w:bottom w:val="nil"/>
              <w:right w:val="nil"/>
            </w:tcBorders>
            <w:shd w:val="clear" w:color="auto" w:fill="auto"/>
            <w:noWrap/>
            <w:vAlign w:val="bottom"/>
            <w:hideMark/>
          </w:tcPr>
          <w:p w14:paraId="3EBDE9D9" w14:textId="77777777"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p>
        </w:tc>
        <w:tc>
          <w:tcPr>
            <w:tcW w:w="367" w:type="pct"/>
            <w:tcBorders>
              <w:top w:val="nil"/>
              <w:left w:val="nil"/>
              <w:bottom w:val="nil"/>
              <w:right w:val="nil"/>
            </w:tcBorders>
            <w:shd w:val="clear" w:color="auto" w:fill="auto"/>
            <w:noWrap/>
            <w:vAlign w:val="bottom"/>
            <w:hideMark/>
          </w:tcPr>
          <w:p w14:paraId="16C0F2F7" w14:textId="77777777"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p>
        </w:tc>
        <w:tc>
          <w:tcPr>
            <w:tcW w:w="340" w:type="pct"/>
            <w:tcBorders>
              <w:top w:val="nil"/>
              <w:left w:val="nil"/>
              <w:bottom w:val="nil"/>
              <w:right w:val="nil"/>
            </w:tcBorders>
            <w:shd w:val="clear" w:color="auto" w:fill="auto"/>
            <w:noWrap/>
            <w:vAlign w:val="bottom"/>
            <w:hideMark/>
          </w:tcPr>
          <w:p w14:paraId="0335AC00" w14:textId="77777777"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p>
        </w:tc>
        <w:tc>
          <w:tcPr>
            <w:tcW w:w="341" w:type="pct"/>
            <w:tcBorders>
              <w:top w:val="nil"/>
              <w:left w:val="nil"/>
              <w:bottom w:val="nil"/>
              <w:right w:val="nil"/>
            </w:tcBorders>
            <w:shd w:val="clear" w:color="auto" w:fill="auto"/>
            <w:noWrap/>
            <w:vAlign w:val="bottom"/>
            <w:hideMark/>
          </w:tcPr>
          <w:p w14:paraId="3D142D4E" w14:textId="77777777"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p>
        </w:tc>
        <w:tc>
          <w:tcPr>
            <w:tcW w:w="425" w:type="pct"/>
            <w:tcBorders>
              <w:top w:val="nil"/>
              <w:left w:val="nil"/>
              <w:bottom w:val="nil"/>
              <w:right w:val="nil"/>
            </w:tcBorders>
            <w:shd w:val="clear" w:color="auto" w:fill="auto"/>
            <w:noWrap/>
            <w:vAlign w:val="bottom"/>
            <w:hideMark/>
          </w:tcPr>
          <w:p w14:paraId="4A1AD0BF" w14:textId="77777777"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p>
        </w:tc>
        <w:tc>
          <w:tcPr>
            <w:tcW w:w="666" w:type="pct"/>
            <w:tcBorders>
              <w:top w:val="nil"/>
              <w:left w:val="nil"/>
              <w:bottom w:val="nil"/>
              <w:right w:val="nil"/>
            </w:tcBorders>
            <w:shd w:val="clear" w:color="auto" w:fill="auto"/>
            <w:noWrap/>
            <w:vAlign w:val="bottom"/>
            <w:hideMark/>
          </w:tcPr>
          <w:p w14:paraId="01C6FDD7"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95" w:type="pct"/>
            <w:tcBorders>
              <w:top w:val="nil"/>
              <w:left w:val="nil"/>
              <w:bottom w:val="nil"/>
              <w:right w:val="nil"/>
            </w:tcBorders>
            <w:shd w:val="clear" w:color="auto" w:fill="auto"/>
            <w:noWrap/>
            <w:vAlign w:val="bottom"/>
            <w:hideMark/>
          </w:tcPr>
          <w:p w14:paraId="4A04DB66"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340" w:type="pct"/>
            <w:tcBorders>
              <w:top w:val="nil"/>
              <w:left w:val="nil"/>
              <w:bottom w:val="nil"/>
              <w:right w:val="nil"/>
            </w:tcBorders>
            <w:shd w:val="clear" w:color="auto" w:fill="auto"/>
            <w:noWrap/>
            <w:vAlign w:val="bottom"/>
            <w:hideMark/>
          </w:tcPr>
          <w:p w14:paraId="3761BE09"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340" w:type="pct"/>
            <w:tcBorders>
              <w:top w:val="nil"/>
              <w:left w:val="nil"/>
              <w:bottom w:val="nil"/>
              <w:right w:val="nil"/>
            </w:tcBorders>
            <w:shd w:val="clear" w:color="auto" w:fill="auto"/>
            <w:noWrap/>
            <w:vAlign w:val="bottom"/>
            <w:hideMark/>
          </w:tcPr>
          <w:p w14:paraId="3BC431EB"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341" w:type="pct"/>
            <w:tcBorders>
              <w:top w:val="nil"/>
              <w:left w:val="nil"/>
              <w:bottom w:val="nil"/>
              <w:right w:val="nil"/>
            </w:tcBorders>
            <w:shd w:val="clear" w:color="auto" w:fill="auto"/>
            <w:noWrap/>
            <w:vAlign w:val="bottom"/>
            <w:hideMark/>
          </w:tcPr>
          <w:p w14:paraId="70BBC542"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402" w:type="pct"/>
            <w:tcBorders>
              <w:top w:val="nil"/>
              <w:left w:val="nil"/>
              <w:bottom w:val="nil"/>
              <w:right w:val="nil"/>
            </w:tcBorders>
            <w:shd w:val="clear" w:color="auto" w:fill="auto"/>
            <w:noWrap/>
            <w:vAlign w:val="bottom"/>
            <w:hideMark/>
          </w:tcPr>
          <w:p w14:paraId="6E8B5A5A"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c>
          <w:tcPr>
            <w:tcW w:w="582" w:type="pct"/>
            <w:tcBorders>
              <w:top w:val="nil"/>
              <w:left w:val="nil"/>
              <w:bottom w:val="nil"/>
              <w:right w:val="nil"/>
            </w:tcBorders>
            <w:shd w:val="clear" w:color="auto" w:fill="auto"/>
            <w:noWrap/>
            <w:vAlign w:val="bottom"/>
            <w:hideMark/>
          </w:tcPr>
          <w:p w14:paraId="731625C1" w14:textId="77777777" w:rsidR="00873C15" w:rsidRPr="009E2FA1" w:rsidRDefault="00873C15" w:rsidP="00752E3F">
            <w:pPr>
              <w:spacing w:after="0" w:line="240" w:lineRule="auto"/>
              <w:rPr>
                <w:rFonts w:ascii="Arial" w:eastAsia="Times New Roman" w:hAnsi="Arial" w:cs="Arial"/>
                <w:kern w:val="0"/>
                <w:sz w:val="20"/>
                <w:highlight w:val="yellow"/>
                <w:lang w:eastAsia="en-IN"/>
                <w14:ligatures w14:val="none"/>
              </w:rPr>
            </w:pPr>
          </w:p>
        </w:tc>
      </w:tr>
      <w:tr w:rsidR="00752E3F" w:rsidRPr="00E04134" w14:paraId="35BCE71E" w14:textId="77777777" w:rsidTr="00184697">
        <w:trPr>
          <w:trHeight w:val="360"/>
        </w:trPr>
        <w:tc>
          <w:tcPr>
            <w:tcW w:w="5000" w:type="pct"/>
            <w:gridSpan w:val="13"/>
            <w:tcBorders>
              <w:top w:val="nil"/>
              <w:left w:val="nil"/>
              <w:bottom w:val="single" w:sz="12" w:space="0" w:color="auto"/>
              <w:right w:val="nil"/>
            </w:tcBorders>
            <w:shd w:val="clear" w:color="auto" w:fill="auto"/>
            <w:noWrap/>
            <w:vAlign w:val="center"/>
            <w:hideMark/>
          </w:tcPr>
          <w:p w14:paraId="00ED96C0" w14:textId="3AEEB219" w:rsidR="00873C15" w:rsidRPr="009E2FA1" w:rsidRDefault="00873C15" w:rsidP="00752E3F">
            <w:pPr>
              <w:spacing w:after="0" w:line="240" w:lineRule="auto"/>
              <w:rPr>
                <w:rFonts w:ascii="Arial" w:eastAsia="Times New Roman" w:hAnsi="Arial" w:cs="Arial"/>
                <w:b/>
                <w:bCs/>
                <w:kern w:val="0"/>
                <w:sz w:val="20"/>
                <w:highlight w:val="yellow"/>
                <w:lang w:eastAsia="en-IN"/>
                <w14:ligatures w14:val="none"/>
              </w:rPr>
            </w:pPr>
            <w:r w:rsidRPr="009E2FA1">
              <w:rPr>
                <w:rFonts w:ascii="Arial" w:eastAsia="Times New Roman" w:hAnsi="Arial" w:cs="Arial"/>
                <w:b/>
                <w:bCs/>
                <w:kern w:val="0"/>
                <w:sz w:val="20"/>
                <w:highlight w:val="yellow"/>
                <w:lang w:val="en-US" w:eastAsia="en-IN"/>
                <w14:ligatures w14:val="none"/>
              </w:rPr>
              <w:t xml:space="preserve">Association between Frequency of Consuming </w:t>
            </w:r>
            <w:r w:rsidR="00037D6A" w:rsidRPr="009E2FA1">
              <w:rPr>
                <w:rFonts w:ascii="Arial" w:eastAsia="Times New Roman" w:hAnsi="Arial" w:cs="Arial"/>
                <w:b/>
                <w:bCs/>
                <w:kern w:val="0"/>
                <w:sz w:val="20"/>
                <w:highlight w:val="yellow"/>
                <w:lang w:val="en-US" w:eastAsia="en-IN"/>
                <w14:ligatures w14:val="none"/>
              </w:rPr>
              <w:t>bitter gourd</w:t>
            </w:r>
            <w:r w:rsidRPr="009E2FA1">
              <w:rPr>
                <w:rFonts w:ascii="Arial" w:eastAsia="Times New Roman" w:hAnsi="Arial" w:cs="Arial"/>
                <w:b/>
                <w:bCs/>
                <w:kern w:val="0"/>
                <w:sz w:val="20"/>
                <w:highlight w:val="yellow"/>
                <w:lang w:val="en-US" w:eastAsia="en-IN"/>
                <w14:ligatures w14:val="none"/>
              </w:rPr>
              <w:t xml:space="preserve"> and Control of HbA1c % Level among the Patients of T2DM and T2DM*HTN</w:t>
            </w:r>
          </w:p>
        </w:tc>
      </w:tr>
      <w:tr w:rsidR="00752E3F" w:rsidRPr="00E04134" w14:paraId="318B3740" w14:textId="77777777" w:rsidTr="00E04134">
        <w:trPr>
          <w:trHeight w:val="310"/>
        </w:trPr>
        <w:tc>
          <w:tcPr>
            <w:tcW w:w="356" w:type="pct"/>
            <w:vMerge w:val="restart"/>
            <w:tcBorders>
              <w:top w:val="nil"/>
              <w:left w:val="nil"/>
              <w:bottom w:val="single" w:sz="12" w:space="0" w:color="000000"/>
              <w:right w:val="nil"/>
            </w:tcBorders>
            <w:shd w:val="clear" w:color="auto" w:fill="auto"/>
            <w:vAlign w:val="center"/>
            <w:hideMark/>
          </w:tcPr>
          <w:p w14:paraId="2AFB398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Special Food</w:t>
            </w:r>
          </w:p>
        </w:tc>
        <w:tc>
          <w:tcPr>
            <w:tcW w:w="405" w:type="pct"/>
            <w:vMerge w:val="restart"/>
            <w:tcBorders>
              <w:top w:val="nil"/>
              <w:left w:val="nil"/>
              <w:bottom w:val="single" w:sz="12" w:space="0" w:color="000000"/>
              <w:right w:val="nil"/>
            </w:tcBorders>
            <w:shd w:val="clear" w:color="auto" w:fill="auto"/>
            <w:vAlign w:val="center"/>
            <w:hideMark/>
          </w:tcPr>
          <w:p w14:paraId="02DB9863"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Frequency</w:t>
            </w:r>
          </w:p>
        </w:tc>
        <w:tc>
          <w:tcPr>
            <w:tcW w:w="1473" w:type="pct"/>
            <w:gridSpan w:val="4"/>
            <w:tcBorders>
              <w:top w:val="single" w:sz="12" w:space="0" w:color="auto"/>
              <w:left w:val="nil"/>
              <w:bottom w:val="nil"/>
              <w:right w:val="nil"/>
            </w:tcBorders>
            <w:shd w:val="clear" w:color="auto" w:fill="auto"/>
            <w:vAlign w:val="center"/>
            <w:hideMark/>
          </w:tcPr>
          <w:p w14:paraId="3D71D05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xml:space="preserve">T2DM </w:t>
            </w:r>
          </w:p>
        </w:tc>
        <w:tc>
          <w:tcPr>
            <w:tcW w:w="666" w:type="pct"/>
            <w:tcBorders>
              <w:top w:val="nil"/>
              <w:left w:val="nil"/>
              <w:bottom w:val="nil"/>
              <w:right w:val="nil"/>
            </w:tcBorders>
            <w:shd w:val="clear" w:color="auto" w:fill="auto"/>
            <w:vAlign w:val="center"/>
            <w:hideMark/>
          </w:tcPr>
          <w:p w14:paraId="5252E3F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w:t>
            </w:r>
          </w:p>
        </w:tc>
        <w:tc>
          <w:tcPr>
            <w:tcW w:w="95" w:type="pct"/>
            <w:tcBorders>
              <w:top w:val="nil"/>
              <w:left w:val="nil"/>
              <w:bottom w:val="nil"/>
              <w:right w:val="nil"/>
            </w:tcBorders>
            <w:shd w:val="clear" w:color="auto" w:fill="auto"/>
            <w:vAlign w:val="center"/>
            <w:hideMark/>
          </w:tcPr>
          <w:p w14:paraId="510142D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w:t>
            </w:r>
          </w:p>
        </w:tc>
        <w:tc>
          <w:tcPr>
            <w:tcW w:w="1422" w:type="pct"/>
            <w:gridSpan w:val="4"/>
            <w:tcBorders>
              <w:top w:val="single" w:sz="12" w:space="0" w:color="auto"/>
              <w:left w:val="nil"/>
              <w:bottom w:val="single" w:sz="8" w:space="0" w:color="auto"/>
              <w:right w:val="nil"/>
            </w:tcBorders>
            <w:shd w:val="clear" w:color="auto" w:fill="auto"/>
            <w:vAlign w:val="center"/>
            <w:hideMark/>
          </w:tcPr>
          <w:p w14:paraId="386E1B75"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T2DM*HTN</w:t>
            </w:r>
          </w:p>
        </w:tc>
        <w:tc>
          <w:tcPr>
            <w:tcW w:w="582" w:type="pct"/>
            <w:tcBorders>
              <w:top w:val="nil"/>
              <w:left w:val="nil"/>
              <w:bottom w:val="nil"/>
              <w:right w:val="nil"/>
            </w:tcBorders>
            <w:shd w:val="clear" w:color="auto" w:fill="auto"/>
            <w:vAlign w:val="center"/>
            <w:hideMark/>
          </w:tcPr>
          <w:p w14:paraId="732019D0"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w:t>
            </w:r>
          </w:p>
        </w:tc>
      </w:tr>
      <w:tr w:rsidR="00752E3F" w:rsidRPr="00E04134" w14:paraId="76395F78" w14:textId="77777777" w:rsidTr="00E04134">
        <w:trPr>
          <w:trHeight w:val="300"/>
        </w:trPr>
        <w:tc>
          <w:tcPr>
            <w:tcW w:w="356" w:type="pct"/>
            <w:vMerge/>
            <w:tcBorders>
              <w:top w:val="nil"/>
              <w:left w:val="nil"/>
              <w:bottom w:val="single" w:sz="12" w:space="0" w:color="000000"/>
              <w:right w:val="nil"/>
            </w:tcBorders>
            <w:vAlign w:val="center"/>
            <w:hideMark/>
          </w:tcPr>
          <w:p w14:paraId="44D3614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7C4892A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1048" w:type="pct"/>
            <w:gridSpan w:val="3"/>
            <w:tcBorders>
              <w:top w:val="single" w:sz="8" w:space="0" w:color="auto"/>
              <w:left w:val="nil"/>
              <w:bottom w:val="single" w:sz="8" w:space="0" w:color="auto"/>
              <w:right w:val="nil"/>
            </w:tcBorders>
            <w:shd w:val="clear" w:color="auto" w:fill="auto"/>
            <w:vAlign w:val="center"/>
            <w:hideMark/>
          </w:tcPr>
          <w:p w14:paraId="072ED5AE"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Control of HbA1c % level</w:t>
            </w:r>
          </w:p>
        </w:tc>
        <w:tc>
          <w:tcPr>
            <w:tcW w:w="425" w:type="pct"/>
            <w:vMerge w:val="restart"/>
            <w:tcBorders>
              <w:top w:val="nil"/>
              <w:left w:val="nil"/>
              <w:bottom w:val="single" w:sz="12" w:space="0" w:color="000000"/>
              <w:right w:val="nil"/>
            </w:tcBorders>
            <w:shd w:val="clear" w:color="auto" w:fill="auto"/>
            <w:vAlign w:val="center"/>
            <w:hideMark/>
          </w:tcPr>
          <w:p w14:paraId="2AC832E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Total</w:t>
            </w:r>
          </w:p>
        </w:tc>
        <w:tc>
          <w:tcPr>
            <w:tcW w:w="666" w:type="pct"/>
            <w:vMerge w:val="restart"/>
            <w:tcBorders>
              <w:top w:val="single" w:sz="8" w:space="0" w:color="auto"/>
              <w:left w:val="nil"/>
              <w:bottom w:val="single" w:sz="12" w:space="0" w:color="000000"/>
              <w:right w:val="nil"/>
            </w:tcBorders>
            <w:shd w:val="clear" w:color="auto" w:fill="auto"/>
            <w:vAlign w:val="center"/>
            <w:hideMark/>
          </w:tcPr>
          <w:p w14:paraId="5D56893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Fishers Exact Test</w:t>
            </w:r>
          </w:p>
        </w:tc>
        <w:tc>
          <w:tcPr>
            <w:tcW w:w="95" w:type="pct"/>
            <w:tcBorders>
              <w:top w:val="nil"/>
              <w:left w:val="nil"/>
              <w:bottom w:val="nil"/>
              <w:right w:val="nil"/>
            </w:tcBorders>
            <w:shd w:val="clear" w:color="auto" w:fill="auto"/>
            <w:vAlign w:val="center"/>
            <w:hideMark/>
          </w:tcPr>
          <w:p w14:paraId="5BDAB1A9"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1021" w:type="pct"/>
            <w:gridSpan w:val="3"/>
            <w:tcBorders>
              <w:top w:val="single" w:sz="8" w:space="0" w:color="auto"/>
              <w:left w:val="nil"/>
              <w:bottom w:val="single" w:sz="8" w:space="0" w:color="auto"/>
              <w:right w:val="nil"/>
            </w:tcBorders>
            <w:shd w:val="clear" w:color="auto" w:fill="auto"/>
            <w:vAlign w:val="center"/>
            <w:hideMark/>
          </w:tcPr>
          <w:p w14:paraId="6FDE8073"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Control of HbA1c % level</w:t>
            </w:r>
          </w:p>
        </w:tc>
        <w:tc>
          <w:tcPr>
            <w:tcW w:w="402" w:type="pct"/>
            <w:vMerge w:val="restart"/>
            <w:tcBorders>
              <w:top w:val="nil"/>
              <w:left w:val="nil"/>
              <w:bottom w:val="single" w:sz="12" w:space="0" w:color="000000"/>
              <w:right w:val="nil"/>
            </w:tcBorders>
            <w:shd w:val="clear" w:color="auto" w:fill="auto"/>
            <w:vAlign w:val="center"/>
            <w:hideMark/>
          </w:tcPr>
          <w:p w14:paraId="45F2B6BC"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Total</w:t>
            </w:r>
          </w:p>
        </w:tc>
        <w:tc>
          <w:tcPr>
            <w:tcW w:w="582" w:type="pct"/>
            <w:vMerge w:val="restart"/>
            <w:tcBorders>
              <w:top w:val="single" w:sz="8" w:space="0" w:color="auto"/>
              <w:left w:val="nil"/>
              <w:bottom w:val="single" w:sz="12" w:space="0" w:color="000000"/>
              <w:right w:val="nil"/>
            </w:tcBorders>
            <w:shd w:val="clear" w:color="auto" w:fill="auto"/>
            <w:vAlign w:val="center"/>
            <w:hideMark/>
          </w:tcPr>
          <w:p w14:paraId="0B5926F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Fishers Exact Test</w:t>
            </w:r>
          </w:p>
        </w:tc>
      </w:tr>
      <w:tr w:rsidR="00752E3F" w:rsidRPr="00E04134" w14:paraId="35943A61" w14:textId="77777777" w:rsidTr="00E04134">
        <w:trPr>
          <w:trHeight w:val="300"/>
        </w:trPr>
        <w:tc>
          <w:tcPr>
            <w:tcW w:w="356" w:type="pct"/>
            <w:vMerge/>
            <w:tcBorders>
              <w:top w:val="nil"/>
              <w:left w:val="nil"/>
              <w:bottom w:val="single" w:sz="12" w:space="0" w:color="000000"/>
              <w:right w:val="nil"/>
            </w:tcBorders>
            <w:vAlign w:val="center"/>
            <w:hideMark/>
          </w:tcPr>
          <w:p w14:paraId="12107B3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405" w:type="pct"/>
            <w:vMerge/>
            <w:tcBorders>
              <w:top w:val="nil"/>
              <w:left w:val="nil"/>
              <w:bottom w:val="single" w:sz="12" w:space="0" w:color="000000"/>
              <w:right w:val="nil"/>
            </w:tcBorders>
            <w:vAlign w:val="center"/>
            <w:hideMark/>
          </w:tcPr>
          <w:p w14:paraId="1D533011"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367" w:type="pct"/>
            <w:tcBorders>
              <w:top w:val="nil"/>
              <w:left w:val="nil"/>
              <w:bottom w:val="single" w:sz="12" w:space="0" w:color="auto"/>
              <w:right w:val="nil"/>
            </w:tcBorders>
            <w:shd w:val="clear" w:color="auto" w:fill="auto"/>
            <w:vAlign w:val="center"/>
            <w:hideMark/>
          </w:tcPr>
          <w:p w14:paraId="1B67BC2B"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75AA75BD"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2773D5BD"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 8</w:t>
            </w:r>
          </w:p>
        </w:tc>
        <w:tc>
          <w:tcPr>
            <w:tcW w:w="425" w:type="pct"/>
            <w:vMerge/>
            <w:tcBorders>
              <w:top w:val="nil"/>
              <w:left w:val="nil"/>
              <w:bottom w:val="single" w:sz="12" w:space="0" w:color="000000"/>
              <w:right w:val="nil"/>
            </w:tcBorders>
            <w:vAlign w:val="center"/>
            <w:hideMark/>
          </w:tcPr>
          <w:p w14:paraId="21DB73B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666" w:type="pct"/>
            <w:vMerge/>
            <w:tcBorders>
              <w:top w:val="single" w:sz="8" w:space="0" w:color="auto"/>
              <w:left w:val="nil"/>
              <w:bottom w:val="single" w:sz="12" w:space="0" w:color="000000"/>
              <w:right w:val="nil"/>
            </w:tcBorders>
            <w:vAlign w:val="center"/>
            <w:hideMark/>
          </w:tcPr>
          <w:p w14:paraId="7AF365A8"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95" w:type="pct"/>
            <w:tcBorders>
              <w:top w:val="nil"/>
              <w:left w:val="nil"/>
              <w:bottom w:val="single" w:sz="12" w:space="0" w:color="auto"/>
              <w:right w:val="nil"/>
            </w:tcBorders>
            <w:shd w:val="clear" w:color="auto" w:fill="auto"/>
            <w:vAlign w:val="center"/>
            <w:hideMark/>
          </w:tcPr>
          <w:p w14:paraId="668FDBFC"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w:t>
            </w:r>
          </w:p>
        </w:tc>
        <w:tc>
          <w:tcPr>
            <w:tcW w:w="340" w:type="pct"/>
            <w:tcBorders>
              <w:top w:val="nil"/>
              <w:left w:val="nil"/>
              <w:bottom w:val="single" w:sz="12" w:space="0" w:color="auto"/>
              <w:right w:val="nil"/>
            </w:tcBorders>
            <w:shd w:val="clear" w:color="auto" w:fill="auto"/>
            <w:vAlign w:val="center"/>
            <w:hideMark/>
          </w:tcPr>
          <w:p w14:paraId="37F7396D"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&lt; 7</w:t>
            </w:r>
          </w:p>
        </w:tc>
        <w:tc>
          <w:tcPr>
            <w:tcW w:w="340" w:type="pct"/>
            <w:tcBorders>
              <w:top w:val="nil"/>
              <w:left w:val="nil"/>
              <w:bottom w:val="single" w:sz="12" w:space="0" w:color="auto"/>
              <w:right w:val="nil"/>
            </w:tcBorders>
            <w:shd w:val="clear" w:color="auto" w:fill="auto"/>
            <w:vAlign w:val="center"/>
            <w:hideMark/>
          </w:tcPr>
          <w:p w14:paraId="2262CD23"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≥7 - &lt;8</w:t>
            </w:r>
          </w:p>
        </w:tc>
        <w:tc>
          <w:tcPr>
            <w:tcW w:w="341" w:type="pct"/>
            <w:tcBorders>
              <w:top w:val="nil"/>
              <w:left w:val="nil"/>
              <w:bottom w:val="single" w:sz="12" w:space="0" w:color="auto"/>
              <w:right w:val="nil"/>
            </w:tcBorders>
            <w:shd w:val="clear" w:color="auto" w:fill="auto"/>
            <w:vAlign w:val="center"/>
            <w:hideMark/>
          </w:tcPr>
          <w:p w14:paraId="43647694" w14:textId="77777777" w:rsidR="00873C15" w:rsidRPr="00E04134" w:rsidRDefault="00873C15" w:rsidP="00752E3F">
            <w:pPr>
              <w:spacing w:after="0" w:line="240" w:lineRule="auto"/>
              <w:rPr>
                <w:rFonts w:ascii="Arial" w:eastAsia="Times New Roman" w:hAnsi="Arial" w:cs="Arial"/>
                <w:b/>
                <w:bCs/>
                <w:kern w:val="0"/>
                <w:sz w:val="20"/>
                <w:lang w:eastAsia="en-IN"/>
                <w14:ligatures w14:val="none"/>
              </w:rPr>
            </w:pPr>
            <w:r w:rsidRPr="00E04134">
              <w:rPr>
                <w:rFonts w:ascii="Arial" w:eastAsia="Times New Roman" w:hAnsi="Arial" w:cs="Arial"/>
                <w:b/>
                <w:bCs/>
                <w:kern w:val="0"/>
                <w:sz w:val="20"/>
                <w:lang w:val="en-US" w:eastAsia="en-IN"/>
                <w14:ligatures w14:val="none"/>
              </w:rPr>
              <w:t>≥ 8</w:t>
            </w:r>
          </w:p>
        </w:tc>
        <w:tc>
          <w:tcPr>
            <w:tcW w:w="402" w:type="pct"/>
            <w:vMerge/>
            <w:tcBorders>
              <w:top w:val="nil"/>
              <w:left w:val="nil"/>
              <w:bottom w:val="single" w:sz="12" w:space="0" w:color="000000"/>
              <w:right w:val="nil"/>
            </w:tcBorders>
            <w:vAlign w:val="center"/>
            <w:hideMark/>
          </w:tcPr>
          <w:p w14:paraId="0025F4D2"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582" w:type="pct"/>
            <w:vMerge/>
            <w:tcBorders>
              <w:top w:val="single" w:sz="8" w:space="0" w:color="auto"/>
              <w:left w:val="nil"/>
              <w:bottom w:val="single" w:sz="12" w:space="0" w:color="000000"/>
              <w:right w:val="nil"/>
            </w:tcBorders>
            <w:vAlign w:val="center"/>
            <w:hideMark/>
          </w:tcPr>
          <w:p w14:paraId="4B2DC2B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r>
      <w:tr w:rsidR="00752E3F" w:rsidRPr="00E04134" w14:paraId="481E7B02" w14:textId="77777777" w:rsidTr="00E04134">
        <w:trPr>
          <w:trHeight w:val="527"/>
        </w:trPr>
        <w:tc>
          <w:tcPr>
            <w:tcW w:w="356" w:type="pct"/>
            <w:vMerge w:val="restart"/>
            <w:tcBorders>
              <w:top w:val="nil"/>
              <w:left w:val="nil"/>
              <w:bottom w:val="single" w:sz="8" w:space="0" w:color="000000"/>
              <w:right w:val="nil"/>
            </w:tcBorders>
            <w:shd w:val="clear" w:color="auto" w:fill="auto"/>
            <w:vAlign w:val="center"/>
            <w:hideMark/>
          </w:tcPr>
          <w:p w14:paraId="1290772E"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Bitter gourd</w:t>
            </w:r>
          </w:p>
        </w:tc>
        <w:tc>
          <w:tcPr>
            <w:tcW w:w="405" w:type="pct"/>
            <w:tcBorders>
              <w:top w:val="nil"/>
              <w:left w:val="nil"/>
              <w:bottom w:val="nil"/>
              <w:right w:val="nil"/>
            </w:tcBorders>
            <w:shd w:val="clear" w:color="auto" w:fill="auto"/>
            <w:noWrap/>
            <w:vAlign w:val="center"/>
            <w:hideMark/>
          </w:tcPr>
          <w:p w14:paraId="4B38CE51"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Never</w:t>
            </w:r>
          </w:p>
        </w:tc>
        <w:tc>
          <w:tcPr>
            <w:tcW w:w="367" w:type="pct"/>
            <w:tcBorders>
              <w:top w:val="nil"/>
              <w:left w:val="nil"/>
              <w:bottom w:val="nil"/>
              <w:right w:val="nil"/>
            </w:tcBorders>
            <w:shd w:val="clear" w:color="auto" w:fill="auto"/>
            <w:noWrap/>
            <w:vAlign w:val="center"/>
            <w:hideMark/>
          </w:tcPr>
          <w:p w14:paraId="5D4FD28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11.8 (8)</w:t>
            </w:r>
          </w:p>
        </w:tc>
        <w:tc>
          <w:tcPr>
            <w:tcW w:w="340" w:type="pct"/>
            <w:tcBorders>
              <w:top w:val="nil"/>
              <w:left w:val="nil"/>
              <w:bottom w:val="nil"/>
              <w:right w:val="nil"/>
            </w:tcBorders>
            <w:shd w:val="clear" w:color="auto" w:fill="auto"/>
            <w:noWrap/>
            <w:vAlign w:val="center"/>
            <w:hideMark/>
          </w:tcPr>
          <w:p w14:paraId="5A4BEAAB"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29.4 (20)</w:t>
            </w:r>
          </w:p>
        </w:tc>
        <w:tc>
          <w:tcPr>
            <w:tcW w:w="341" w:type="pct"/>
            <w:tcBorders>
              <w:top w:val="nil"/>
              <w:left w:val="nil"/>
              <w:bottom w:val="nil"/>
              <w:right w:val="nil"/>
            </w:tcBorders>
            <w:shd w:val="clear" w:color="auto" w:fill="auto"/>
            <w:noWrap/>
            <w:vAlign w:val="center"/>
            <w:hideMark/>
          </w:tcPr>
          <w:p w14:paraId="2D767E5C"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58.8 (40)</w:t>
            </w:r>
          </w:p>
        </w:tc>
        <w:tc>
          <w:tcPr>
            <w:tcW w:w="425" w:type="pct"/>
            <w:tcBorders>
              <w:top w:val="nil"/>
              <w:left w:val="nil"/>
              <w:bottom w:val="nil"/>
              <w:right w:val="nil"/>
            </w:tcBorders>
            <w:shd w:val="clear" w:color="auto" w:fill="auto"/>
            <w:noWrap/>
            <w:vAlign w:val="center"/>
            <w:hideMark/>
          </w:tcPr>
          <w:p w14:paraId="35DA59E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68.0 (68)</w:t>
            </w:r>
          </w:p>
        </w:tc>
        <w:tc>
          <w:tcPr>
            <w:tcW w:w="666" w:type="pct"/>
            <w:tcBorders>
              <w:top w:val="nil"/>
              <w:left w:val="nil"/>
              <w:bottom w:val="nil"/>
              <w:right w:val="nil"/>
            </w:tcBorders>
            <w:shd w:val="clear" w:color="auto" w:fill="auto"/>
            <w:vAlign w:val="center"/>
            <w:hideMark/>
          </w:tcPr>
          <w:p w14:paraId="14B7BB8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xml:space="preserve">* Fisher Exact statistics= 16.72, </w:t>
            </w:r>
          </w:p>
        </w:tc>
        <w:tc>
          <w:tcPr>
            <w:tcW w:w="95" w:type="pct"/>
            <w:tcBorders>
              <w:top w:val="nil"/>
              <w:left w:val="nil"/>
              <w:bottom w:val="nil"/>
              <w:right w:val="nil"/>
            </w:tcBorders>
            <w:shd w:val="clear" w:color="auto" w:fill="auto"/>
            <w:vAlign w:val="center"/>
            <w:hideMark/>
          </w:tcPr>
          <w:p w14:paraId="67A1DDE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47CA685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38.9 (14)</w:t>
            </w:r>
          </w:p>
        </w:tc>
        <w:tc>
          <w:tcPr>
            <w:tcW w:w="340" w:type="pct"/>
            <w:tcBorders>
              <w:top w:val="nil"/>
              <w:left w:val="nil"/>
              <w:bottom w:val="nil"/>
              <w:right w:val="nil"/>
            </w:tcBorders>
            <w:shd w:val="clear" w:color="auto" w:fill="auto"/>
            <w:noWrap/>
            <w:vAlign w:val="center"/>
            <w:hideMark/>
          </w:tcPr>
          <w:p w14:paraId="3B11BCC1"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16.7 (6)</w:t>
            </w:r>
          </w:p>
        </w:tc>
        <w:tc>
          <w:tcPr>
            <w:tcW w:w="341" w:type="pct"/>
            <w:tcBorders>
              <w:top w:val="nil"/>
              <w:left w:val="nil"/>
              <w:bottom w:val="nil"/>
              <w:right w:val="nil"/>
            </w:tcBorders>
            <w:shd w:val="clear" w:color="auto" w:fill="auto"/>
            <w:noWrap/>
            <w:vAlign w:val="center"/>
            <w:hideMark/>
          </w:tcPr>
          <w:p w14:paraId="3283083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44.4 (16)</w:t>
            </w:r>
          </w:p>
        </w:tc>
        <w:tc>
          <w:tcPr>
            <w:tcW w:w="402" w:type="pct"/>
            <w:tcBorders>
              <w:top w:val="nil"/>
              <w:left w:val="nil"/>
              <w:bottom w:val="nil"/>
              <w:right w:val="nil"/>
            </w:tcBorders>
            <w:shd w:val="clear" w:color="auto" w:fill="auto"/>
            <w:noWrap/>
            <w:vAlign w:val="center"/>
            <w:hideMark/>
          </w:tcPr>
          <w:p w14:paraId="67DEE01F"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60 (36)</w:t>
            </w:r>
          </w:p>
        </w:tc>
        <w:tc>
          <w:tcPr>
            <w:tcW w:w="582" w:type="pct"/>
            <w:tcBorders>
              <w:top w:val="nil"/>
              <w:left w:val="nil"/>
              <w:bottom w:val="nil"/>
              <w:right w:val="nil"/>
            </w:tcBorders>
            <w:shd w:val="clear" w:color="auto" w:fill="auto"/>
            <w:vAlign w:val="center"/>
            <w:hideMark/>
          </w:tcPr>
          <w:p w14:paraId="6C4903A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 xml:space="preserve">Fisher Exact statistics = 8.29, </w:t>
            </w:r>
          </w:p>
        </w:tc>
      </w:tr>
      <w:tr w:rsidR="00752E3F" w:rsidRPr="00E04134" w14:paraId="707719BB" w14:textId="77777777" w:rsidTr="00E04134">
        <w:trPr>
          <w:trHeight w:val="544"/>
        </w:trPr>
        <w:tc>
          <w:tcPr>
            <w:tcW w:w="356" w:type="pct"/>
            <w:vMerge/>
            <w:tcBorders>
              <w:top w:val="nil"/>
              <w:left w:val="nil"/>
              <w:bottom w:val="single" w:sz="8" w:space="0" w:color="000000"/>
              <w:right w:val="nil"/>
            </w:tcBorders>
            <w:vAlign w:val="center"/>
            <w:hideMark/>
          </w:tcPr>
          <w:p w14:paraId="5461C515"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405" w:type="pct"/>
            <w:tcBorders>
              <w:top w:val="nil"/>
              <w:left w:val="nil"/>
              <w:bottom w:val="nil"/>
              <w:right w:val="nil"/>
            </w:tcBorders>
            <w:shd w:val="clear" w:color="auto" w:fill="auto"/>
            <w:vAlign w:val="center"/>
            <w:hideMark/>
          </w:tcPr>
          <w:p w14:paraId="45D289C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Sometimes</w:t>
            </w:r>
          </w:p>
        </w:tc>
        <w:tc>
          <w:tcPr>
            <w:tcW w:w="367" w:type="pct"/>
            <w:tcBorders>
              <w:top w:val="nil"/>
              <w:left w:val="nil"/>
              <w:bottom w:val="nil"/>
              <w:right w:val="nil"/>
            </w:tcBorders>
            <w:shd w:val="clear" w:color="auto" w:fill="auto"/>
            <w:vAlign w:val="center"/>
            <w:hideMark/>
          </w:tcPr>
          <w:p w14:paraId="38FD48C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18.8 (3)</w:t>
            </w:r>
          </w:p>
        </w:tc>
        <w:tc>
          <w:tcPr>
            <w:tcW w:w="340" w:type="pct"/>
            <w:tcBorders>
              <w:top w:val="nil"/>
              <w:left w:val="nil"/>
              <w:bottom w:val="nil"/>
              <w:right w:val="nil"/>
            </w:tcBorders>
            <w:shd w:val="clear" w:color="auto" w:fill="auto"/>
            <w:noWrap/>
            <w:vAlign w:val="center"/>
            <w:hideMark/>
          </w:tcPr>
          <w:p w14:paraId="67DDC2D2"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0.0 (0)</w:t>
            </w:r>
          </w:p>
        </w:tc>
        <w:tc>
          <w:tcPr>
            <w:tcW w:w="341" w:type="pct"/>
            <w:tcBorders>
              <w:top w:val="nil"/>
              <w:left w:val="nil"/>
              <w:bottom w:val="nil"/>
              <w:right w:val="nil"/>
            </w:tcBorders>
            <w:shd w:val="clear" w:color="auto" w:fill="auto"/>
            <w:noWrap/>
            <w:vAlign w:val="center"/>
            <w:hideMark/>
          </w:tcPr>
          <w:p w14:paraId="4187EBE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81.2 (13)</w:t>
            </w:r>
          </w:p>
        </w:tc>
        <w:tc>
          <w:tcPr>
            <w:tcW w:w="425" w:type="pct"/>
            <w:tcBorders>
              <w:top w:val="nil"/>
              <w:left w:val="nil"/>
              <w:bottom w:val="nil"/>
              <w:right w:val="nil"/>
            </w:tcBorders>
            <w:shd w:val="clear" w:color="auto" w:fill="auto"/>
            <w:noWrap/>
            <w:vAlign w:val="center"/>
            <w:hideMark/>
          </w:tcPr>
          <w:p w14:paraId="1671A8D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16.0 (16)</w:t>
            </w:r>
          </w:p>
        </w:tc>
        <w:tc>
          <w:tcPr>
            <w:tcW w:w="666" w:type="pct"/>
            <w:tcBorders>
              <w:top w:val="nil"/>
              <w:left w:val="nil"/>
              <w:bottom w:val="nil"/>
              <w:right w:val="nil"/>
            </w:tcBorders>
            <w:shd w:val="clear" w:color="auto" w:fill="auto"/>
            <w:vAlign w:val="center"/>
            <w:hideMark/>
          </w:tcPr>
          <w:p w14:paraId="2166916D" w14:textId="77777777" w:rsidR="00873C15" w:rsidRPr="00E04134" w:rsidRDefault="00873C15" w:rsidP="00752E3F">
            <w:pPr>
              <w:spacing w:after="0" w:line="240" w:lineRule="auto"/>
              <w:rPr>
                <w:rFonts w:ascii="Arial" w:eastAsia="Times New Roman" w:hAnsi="Arial" w:cs="Arial"/>
                <w:i/>
                <w:iCs/>
                <w:kern w:val="0"/>
                <w:sz w:val="20"/>
                <w:lang w:eastAsia="en-IN"/>
                <w14:ligatures w14:val="none"/>
              </w:rPr>
            </w:pPr>
            <w:r w:rsidRPr="00E04134">
              <w:rPr>
                <w:rFonts w:ascii="Arial" w:eastAsia="Times New Roman" w:hAnsi="Arial" w:cs="Arial"/>
                <w:i/>
                <w:iCs/>
                <w:kern w:val="0"/>
                <w:sz w:val="20"/>
                <w:lang w:val="en-US" w:eastAsia="en-IN"/>
                <w14:ligatures w14:val="none"/>
              </w:rPr>
              <w:t>p</w:t>
            </w:r>
            <w:r w:rsidRPr="00E04134">
              <w:rPr>
                <w:rFonts w:ascii="Arial" w:eastAsia="Times New Roman" w:hAnsi="Arial" w:cs="Arial"/>
                <w:kern w:val="0"/>
                <w:sz w:val="20"/>
                <w:lang w:val="en-US" w:eastAsia="en-IN"/>
                <w14:ligatures w14:val="none"/>
              </w:rPr>
              <w:t xml:space="preserve"> = .004,</w:t>
            </w:r>
          </w:p>
        </w:tc>
        <w:tc>
          <w:tcPr>
            <w:tcW w:w="95" w:type="pct"/>
            <w:tcBorders>
              <w:top w:val="nil"/>
              <w:left w:val="nil"/>
              <w:bottom w:val="nil"/>
              <w:right w:val="nil"/>
            </w:tcBorders>
            <w:shd w:val="clear" w:color="auto" w:fill="auto"/>
            <w:vAlign w:val="center"/>
            <w:hideMark/>
          </w:tcPr>
          <w:p w14:paraId="76E5D637" w14:textId="77777777" w:rsidR="00873C15" w:rsidRPr="00E04134" w:rsidRDefault="00873C15" w:rsidP="00752E3F">
            <w:pPr>
              <w:spacing w:after="0" w:line="240" w:lineRule="auto"/>
              <w:rPr>
                <w:rFonts w:ascii="Arial" w:eastAsia="Times New Roman" w:hAnsi="Arial" w:cs="Arial"/>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6A57F11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2 2.2 (2)</w:t>
            </w:r>
          </w:p>
        </w:tc>
        <w:tc>
          <w:tcPr>
            <w:tcW w:w="340" w:type="pct"/>
            <w:tcBorders>
              <w:top w:val="nil"/>
              <w:left w:val="nil"/>
              <w:bottom w:val="nil"/>
              <w:right w:val="nil"/>
            </w:tcBorders>
            <w:shd w:val="clear" w:color="auto" w:fill="auto"/>
            <w:noWrap/>
            <w:vAlign w:val="center"/>
            <w:hideMark/>
          </w:tcPr>
          <w:p w14:paraId="4AC8FBF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11.1 (1)</w:t>
            </w:r>
          </w:p>
        </w:tc>
        <w:tc>
          <w:tcPr>
            <w:tcW w:w="341" w:type="pct"/>
            <w:tcBorders>
              <w:top w:val="nil"/>
              <w:left w:val="nil"/>
              <w:bottom w:val="nil"/>
              <w:right w:val="nil"/>
            </w:tcBorders>
            <w:shd w:val="clear" w:color="auto" w:fill="auto"/>
            <w:noWrap/>
            <w:vAlign w:val="center"/>
            <w:hideMark/>
          </w:tcPr>
          <w:p w14:paraId="1B76E8D5"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66.7 (6)</w:t>
            </w:r>
          </w:p>
        </w:tc>
        <w:tc>
          <w:tcPr>
            <w:tcW w:w="402" w:type="pct"/>
            <w:tcBorders>
              <w:top w:val="nil"/>
              <w:left w:val="nil"/>
              <w:bottom w:val="nil"/>
              <w:right w:val="nil"/>
            </w:tcBorders>
            <w:shd w:val="clear" w:color="auto" w:fill="auto"/>
            <w:noWrap/>
            <w:vAlign w:val="center"/>
            <w:hideMark/>
          </w:tcPr>
          <w:p w14:paraId="3BCEEC6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15.0 (9)</w:t>
            </w:r>
          </w:p>
        </w:tc>
        <w:tc>
          <w:tcPr>
            <w:tcW w:w="582" w:type="pct"/>
            <w:tcBorders>
              <w:top w:val="nil"/>
              <w:left w:val="nil"/>
              <w:bottom w:val="nil"/>
              <w:right w:val="nil"/>
            </w:tcBorders>
            <w:shd w:val="clear" w:color="auto" w:fill="auto"/>
            <w:vAlign w:val="center"/>
            <w:hideMark/>
          </w:tcPr>
          <w:p w14:paraId="0C4FE7AA" w14:textId="77777777" w:rsidR="00873C15" w:rsidRPr="00E04134" w:rsidRDefault="00873C15" w:rsidP="00752E3F">
            <w:pPr>
              <w:spacing w:after="0" w:line="240" w:lineRule="auto"/>
              <w:rPr>
                <w:rFonts w:ascii="Arial" w:eastAsia="Times New Roman" w:hAnsi="Arial" w:cs="Arial"/>
                <w:i/>
                <w:iCs/>
                <w:kern w:val="0"/>
                <w:sz w:val="20"/>
                <w:lang w:eastAsia="en-IN"/>
                <w14:ligatures w14:val="none"/>
              </w:rPr>
            </w:pPr>
            <w:r w:rsidRPr="00E04134">
              <w:rPr>
                <w:rFonts w:ascii="Arial" w:eastAsia="Times New Roman" w:hAnsi="Arial" w:cs="Arial"/>
                <w:i/>
                <w:iCs/>
                <w:kern w:val="0"/>
                <w:sz w:val="20"/>
                <w:lang w:val="en-US" w:eastAsia="en-IN"/>
                <w14:ligatures w14:val="none"/>
              </w:rPr>
              <w:t>p</w:t>
            </w:r>
            <w:r w:rsidRPr="00E04134">
              <w:rPr>
                <w:rFonts w:ascii="Arial" w:eastAsia="Times New Roman" w:hAnsi="Arial" w:cs="Arial"/>
                <w:kern w:val="0"/>
                <w:sz w:val="20"/>
                <w:lang w:val="en-US" w:eastAsia="en-IN"/>
                <w14:ligatures w14:val="none"/>
              </w:rPr>
              <w:t xml:space="preserve"> = .185 </w:t>
            </w:r>
          </w:p>
        </w:tc>
      </w:tr>
      <w:tr w:rsidR="00752E3F" w:rsidRPr="00E04134" w14:paraId="63AF2025" w14:textId="77777777" w:rsidTr="00E04134">
        <w:trPr>
          <w:trHeight w:val="290"/>
        </w:trPr>
        <w:tc>
          <w:tcPr>
            <w:tcW w:w="356" w:type="pct"/>
            <w:vMerge/>
            <w:tcBorders>
              <w:top w:val="nil"/>
              <w:left w:val="nil"/>
              <w:bottom w:val="single" w:sz="8" w:space="0" w:color="000000"/>
              <w:right w:val="nil"/>
            </w:tcBorders>
            <w:vAlign w:val="center"/>
            <w:hideMark/>
          </w:tcPr>
          <w:p w14:paraId="242304E2"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405" w:type="pct"/>
            <w:tcBorders>
              <w:top w:val="nil"/>
              <w:left w:val="nil"/>
              <w:bottom w:val="nil"/>
              <w:right w:val="nil"/>
            </w:tcBorders>
            <w:shd w:val="clear" w:color="auto" w:fill="auto"/>
            <w:vAlign w:val="center"/>
            <w:hideMark/>
          </w:tcPr>
          <w:p w14:paraId="6E7F25F2" w14:textId="7F9159F2" w:rsidR="00873C15" w:rsidRPr="00E04134" w:rsidRDefault="00C44B6D"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Usually,</w:t>
            </w:r>
          </w:p>
        </w:tc>
        <w:tc>
          <w:tcPr>
            <w:tcW w:w="367" w:type="pct"/>
            <w:tcBorders>
              <w:top w:val="nil"/>
              <w:left w:val="nil"/>
              <w:bottom w:val="nil"/>
              <w:right w:val="nil"/>
            </w:tcBorders>
            <w:shd w:val="clear" w:color="auto" w:fill="auto"/>
            <w:vAlign w:val="center"/>
            <w:hideMark/>
          </w:tcPr>
          <w:p w14:paraId="1EDF9892"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33.3 (4)</w:t>
            </w:r>
          </w:p>
        </w:tc>
        <w:tc>
          <w:tcPr>
            <w:tcW w:w="340" w:type="pct"/>
            <w:tcBorders>
              <w:top w:val="nil"/>
              <w:left w:val="nil"/>
              <w:bottom w:val="nil"/>
              <w:right w:val="nil"/>
            </w:tcBorders>
            <w:shd w:val="clear" w:color="auto" w:fill="auto"/>
            <w:noWrap/>
            <w:vAlign w:val="center"/>
            <w:hideMark/>
          </w:tcPr>
          <w:p w14:paraId="02ECE2FF"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25.0 (3)</w:t>
            </w:r>
          </w:p>
        </w:tc>
        <w:tc>
          <w:tcPr>
            <w:tcW w:w="341" w:type="pct"/>
            <w:tcBorders>
              <w:top w:val="nil"/>
              <w:left w:val="nil"/>
              <w:bottom w:val="nil"/>
              <w:right w:val="nil"/>
            </w:tcBorders>
            <w:shd w:val="clear" w:color="auto" w:fill="auto"/>
            <w:noWrap/>
            <w:vAlign w:val="center"/>
            <w:hideMark/>
          </w:tcPr>
          <w:p w14:paraId="54CD0ED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41.7 (5)</w:t>
            </w:r>
          </w:p>
        </w:tc>
        <w:tc>
          <w:tcPr>
            <w:tcW w:w="425" w:type="pct"/>
            <w:tcBorders>
              <w:top w:val="nil"/>
              <w:left w:val="nil"/>
              <w:bottom w:val="nil"/>
              <w:right w:val="nil"/>
            </w:tcBorders>
            <w:shd w:val="clear" w:color="auto" w:fill="auto"/>
            <w:noWrap/>
            <w:vAlign w:val="center"/>
            <w:hideMark/>
          </w:tcPr>
          <w:p w14:paraId="59BEABB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12.0 (12)</w:t>
            </w:r>
          </w:p>
        </w:tc>
        <w:tc>
          <w:tcPr>
            <w:tcW w:w="666" w:type="pct"/>
            <w:tcBorders>
              <w:top w:val="nil"/>
              <w:left w:val="nil"/>
              <w:bottom w:val="nil"/>
              <w:right w:val="nil"/>
            </w:tcBorders>
            <w:shd w:val="clear" w:color="auto" w:fill="auto"/>
            <w:vAlign w:val="center"/>
            <w:hideMark/>
          </w:tcPr>
          <w:p w14:paraId="02CE6E04" w14:textId="77777777" w:rsidR="00873C15" w:rsidRPr="00E04134" w:rsidRDefault="00873C15" w:rsidP="00752E3F">
            <w:pPr>
              <w:spacing w:after="0" w:line="240" w:lineRule="auto"/>
              <w:rPr>
                <w:rFonts w:ascii="Arial" w:eastAsia="Times New Roman" w:hAnsi="Arial" w:cs="Arial"/>
                <w:i/>
                <w:iCs/>
                <w:kern w:val="0"/>
                <w:sz w:val="20"/>
                <w:lang w:eastAsia="en-IN"/>
                <w14:ligatures w14:val="none"/>
              </w:rPr>
            </w:pPr>
            <w:r w:rsidRPr="00E04134">
              <w:rPr>
                <w:rFonts w:ascii="Arial" w:eastAsia="Times New Roman" w:hAnsi="Arial" w:cs="Arial"/>
                <w:i/>
                <w:iCs/>
                <w:kern w:val="0"/>
                <w:sz w:val="20"/>
                <w:lang w:val="en-US" w:eastAsia="en-IN"/>
                <w14:ligatures w14:val="none"/>
              </w:rPr>
              <w:t>d</w:t>
            </w:r>
            <w:r w:rsidRPr="00E04134">
              <w:rPr>
                <w:rFonts w:ascii="Arial" w:eastAsia="Times New Roman" w:hAnsi="Arial" w:cs="Arial"/>
                <w:kern w:val="0"/>
                <w:sz w:val="20"/>
                <w:lang w:val="en-US" w:eastAsia="en-IN"/>
                <w14:ligatures w14:val="none"/>
              </w:rPr>
              <w:t xml:space="preserve"> = -.115 </w:t>
            </w:r>
          </w:p>
        </w:tc>
        <w:tc>
          <w:tcPr>
            <w:tcW w:w="95" w:type="pct"/>
            <w:tcBorders>
              <w:top w:val="nil"/>
              <w:left w:val="nil"/>
              <w:bottom w:val="nil"/>
              <w:right w:val="nil"/>
            </w:tcBorders>
            <w:shd w:val="clear" w:color="auto" w:fill="auto"/>
            <w:vAlign w:val="center"/>
            <w:hideMark/>
          </w:tcPr>
          <w:p w14:paraId="445F3D76" w14:textId="77777777" w:rsidR="00873C15" w:rsidRPr="00E04134" w:rsidRDefault="00873C15" w:rsidP="00752E3F">
            <w:pPr>
              <w:spacing w:after="0" w:line="240" w:lineRule="auto"/>
              <w:rPr>
                <w:rFonts w:ascii="Arial" w:eastAsia="Times New Roman" w:hAnsi="Arial" w:cs="Arial"/>
                <w:i/>
                <w:iCs/>
                <w:kern w:val="0"/>
                <w:sz w:val="20"/>
                <w:lang w:eastAsia="en-IN"/>
                <w14:ligatures w14:val="none"/>
              </w:rPr>
            </w:pPr>
          </w:p>
        </w:tc>
        <w:tc>
          <w:tcPr>
            <w:tcW w:w="340" w:type="pct"/>
            <w:tcBorders>
              <w:top w:val="nil"/>
              <w:left w:val="nil"/>
              <w:bottom w:val="nil"/>
              <w:right w:val="nil"/>
            </w:tcBorders>
            <w:shd w:val="clear" w:color="auto" w:fill="auto"/>
            <w:noWrap/>
            <w:vAlign w:val="center"/>
            <w:hideMark/>
          </w:tcPr>
          <w:p w14:paraId="14C59F94"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30.0 (3)</w:t>
            </w:r>
          </w:p>
        </w:tc>
        <w:tc>
          <w:tcPr>
            <w:tcW w:w="340" w:type="pct"/>
            <w:tcBorders>
              <w:top w:val="nil"/>
              <w:left w:val="nil"/>
              <w:bottom w:val="nil"/>
              <w:right w:val="nil"/>
            </w:tcBorders>
            <w:shd w:val="clear" w:color="auto" w:fill="auto"/>
            <w:noWrap/>
            <w:vAlign w:val="center"/>
            <w:hideMark/>
          </w:tcPr>
          <w:p w14:paraId="7C87B4B9"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40.0 (4)</w:t>
            </w:r>
          </w:p>
        </w:tc>
        <w:tc>
          <w:tcPr>
            <w:tcW w:w="341" w:type="pct"/>
            <w:tcBorders>
              <w:top w:val="nil"/>
              <w:left w:val="nil"/>
              <w:bottom w:val="nil"/>
              <w:right w:val="nil"/>
            </w:tcBorders>
            <w:shd w:val="clear" w:color="auto" w:fill="auto"/>
            <w:noWrap/>
            <w:vAlign w:val="center"/>
            <w:hideMark/>
          </w:tcPr>
          <w:p w14:paraId="7D2D13B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30.0 (3)</w:t>
            </w:r>
          </w:p>
        </w:tc>
        <w:tc>
          <w:tcPr>
            <w:tcW w:w="402" w:type="pct"/>
            <w:tcBorders>
              <w:top w:val="nil"/>
              <w:left w:val="nil"/>
              <w:bottom w:val="nil"/>
              <w:right w:val="nil"/>
            </w:tcBorders>
            <w:shd w:val="clear" w:color="auto" w:fill="auto"/>
            <w:noWrap/>
            <w:vAlign w:val="center"/>
            <w:hideMark/>
          </w:tcPr>
          <w:p w14:paraId="455B47A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16.7 (10)</w:t>
            </w:r>
          </w:p>
        </w:tc>
        <w:tc>
          <w:tcPr>
            <w:tcW w:w="582" w:type="pct"/>
            <w:tcBorders>
              <w:top w:val="nil"/>
              <w:left w:val="nil"/>
              <w:bottom w:val="nil"/>
              <w:right w:val="nil"/>
            </w:tcBorders>
            <w:shd w:val="clear" w:color="auto" w:fill="auto"/>
            <w:vAlign w:val="center"/>
            <w:hideMark/>
          </w:tcPr>
          <w:p w14:paraId="59D88D3C"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r>
      <w:tr w:rsidR="00752E3F" w:rsidRPr="00E04134" w14:paraId="1F978EFE" w14:textId="77777777" w:rsidTr="00E04134">
        <w:trPr>
          <w:trHeight w:val="531"/>
        </w:trPr>
        <w:tc>
          <w:tcPr>
            <w:tcW w:w="356" w:type="pct"/>
            <w:vMerge/>
            <w:tcBorders>
              <w:top w:val="nil"/>
              <w:left w:val="nil"/>
              <w:bottom w:val="single" w:sz="8" w:space="0" w:color="000000"/>
              <w:right w:val="nil"/>
            </w:tcBorders>
            <w:vAlign w:val="center"/>
            <w:hideMark/>
          </w:tcPr>
          <w:p w14:paraId="5071141E"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405" w:type="pct"/>
            <w:tcBorders>
              <w:top w:val="nil"/>
              <w:left w:val="nil"/>
              <w:bottom w:val="single" w:sz="8" w:space="0" w:color="auto"/>
              <w:right w:val="nil"/>
            </w:tcBorders>
            <w:shd w:val="clear" w:color="auto" w:fill="auto"/>
            <w:vAlign w:val="center"/>
            <w:hideMark/>
          </w:tcPr>
          <w:p w14:paraId="1D1D9339"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Always</w:t>
            </w:r>
          </w:p>
        </w:tc>
        <w:tc>
          <w:tcPr>
            <w:tcW w:w="367" w:type="pct"/>
            <w:tcBorders>
              <w:top w:val="nil"/>
              <w:left w:val="nil"/>
              <w:bottom w:val="single" w:sz="8" w:space="0" w:color="auto"/>
              <w:right w:val="nil"/>
            </w:tcBorders>
            <w:shd w:val="clear" w:color="auto" w:fill="auto"/>
            <w:vAlign w:val="center"/>
            <w:hideMark/>
          </w:tcPr>
          <w:p w14:paraId="12A5C0C2"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75.0 (3)</w:t>
            </w:r>
          </w:p>
        </w:tc>
        <w:tc>
          <w:tcPr>
            <w:tcW w:w="340" w:type="pct"/>
            <w:tcBorders>
              <w:top w:val="nil"/>
              <w:left w:val="nil"/>
              <w:bottom w:val="single" w:sz="8" w:space="0" w:color="auto"/>
              <w:right w:val="nil"/>
            </w:tcBorders>
            <w:shd w:val="clear" w:color="auto" w:fill="auto"/>
            <w:noWrap/>
            <w:vAlign w:val="center"/>
            <w:hideMark/>
          </w:tcPr>
          <w:p w14:paraId="7BE09E2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0.0 (0)</w:t>
            </w:r>
          </w:p>
        </w:tc>
        <w:tc>
          <w:tcPr>
            <w:tcW w:w="341" w:type="pct"/>
            <w:tcBorders>
              <w:top w:val="nil"/>
              <w:left w:val="nil"/>
              <w:bottom w:val="single" w:sz="8" w:space="0" w:color="auto"/>
              <w:right w:val="nil"/>
            </w:tcBorders>
            <w:shd w:val="clear" w:color="auto" w:fill="auto"/>
            <w:noWrap/>
            <w:vAlign w:val="center"/>
            <w:hideMark/>
          </w:tcPr>
          <w:p w14:paraId="7320298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25.0 (1)</w:t>
            </w:r>
          </w:p>
        </w:tc>
        <w:tc>
          <w:tcPr>
            <w:tcW w:w="425" w:type="pct"/>
            <w:tcBorders>
              <w:top w:val="nil"/>
              <w:left w:val="nil"/>
              <w:bottom w:val="single" w:sz="8" w:space="0" w:color="auto"/>
              <w:right w:val="nil"/>
            </w:tcBorders>
            <w:shd w:val="clear" w:color="auto" w:fill="auto"/>
            <w:noWrap/>
            <w:vAlign w:val="center"/>
            <w:hideMark/>
          </w:tcPr>
          <w:p w14:paraId="33E67836"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4.0 (4)</w:t>
            </w:r>
          </w:p>
        </w:tc>
        <w:tc>
          <w:tcPr>
            <w:tcW w:w="666" w:type="pct"/>
            <w:tcBorders>
              <w:top w:val="nil"/>
              <w:left w:val="nil"/>
              <w:bottom w:val="single" w:sz="8" w:space="0" w:color="000000"/>
              <w:right w:val="nil"/>
            </w:tcBorders>
            <w:shd w:val="clear" w:color="auto" w:fill="auto"/>
            <w:vAlign w:val="center"/>
            <w:hideMark/>
          </w:tcPr>
          <w:p w14:paraId="2B9E8ACE"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eastAsia="en-IN"/>
                <w14:ligatures w14:val="none"/>
              </w:rPr>
              <w:t> </w:t>
            </w:r>
          </w:p>
        </w:tc>
        <w:tc>
          <w:tcPr>
            <w:tcW w:w="95" w:type="pct"/>
            <w:tcBorders>
              <w:top w:val="nil"/>
              <w:left w:val="nil"/>
              <w:bottom w:val="nil"/>
              <w:right w:val="nil"/>
            </w:tcBorders>
            <w:shd w:val="clear" w:color="auto" w:fill="auto"/>
            <w:vAlign w:val="center"/>
            <w:hideMark/>
          </w:tcPr>
          <w:p w14:paraId="7C3FDCD8"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p>
        </w:tc>
        <w:tc>
          <w:tcPr>
            <w:tcW w:w="340" w:type="pct"/>
            <w:tcBorders>
              <w:top w:val="nil"/>
              <w:left w:val="nil"/>
              <w:bottom w:val="single" w:sz="8" w:space="0" w:color="auto"/>
              <w:right w:val="nil"/>
            </w:tcBorders>
            <w:shd w:val="clear" w:color="auto" w:fill="auto"/>
            <w:noWrap/>
            <w:vAlign w:val="center"/>
            <w:hideMark/>
          </w:tcPr>
          <w:p w14:paraId="39084CC5"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60 (3)</w:t>
            </w:r>
          </w:p>
        </w:tc>
        <w:tc>
          <w:tcPr>
            <w:tcW w:w="340" w:type="pct"/>
            <w:tcBorders>
              <w:top w:val="nil"/>
              <w:left w:val="nil"/>
              <w:bottom w:val="single" w:sz="8" w:space="0" w:color="auto"/>
              <w:right w:val="nil"/>
            </w:tcBorders>
            <w:shd w:val="clear" w:color="auto" w:fill="auto"/>
            <w:noWrap/>
            <w:vAlign w:val="center"/>
            <w:hideMark/>
          </w:tcPr>
          <w:p w14:paraId="0E75F69D"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40.0 (2)</w:t>
            </w:r>
          </w:p>
        </w:tc>
        <w:tc>
          <w:tcPr>
            <w:tcW w:w="341" w:type="pct"/>
            <w:tcBorders>
              <w:top w:val="nil"/>
              <w:left w:val="nil"/>
              <w:bottom w:val="single" w:sz="8" w:space="0" w:color="auto"/>
              <w:right w:val="nil"/>
            </w:tcBorders>
            <w:shd w:val="clear" w:color="auto" w:fill="auto"/>
            <w:noWrap/>
            <w:vAlign w:val="center"/>
            <w:hideMark/>
          </w:tcPr>
          <w:p w14:paraId="5E829EBA"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0.0 (0)</w:t>
            </w:r>
          </w:p>
        </w:tc>
        <w:tc>
          <w:tcPr>
            <w:tcW w:w="402" w:type="pct"/>
            <w:tcBorders>
              <w:top w:val="nil"/>
              <w:left w:val="nil"/>
              <w:bottom w:val="single" w:sz="8" w:space="0" w:color="auto"/>
              <w:right w:val="nil"/>
            </w:tcBorders>
            <w:shd w:val="clear" w:color="auto" w:fill="auto"/>
            <w:noWrap/>
            <w:vAlign w:val="center"/>
            <w:hideMark/>
          </w:tcPr>
          <w:p w14:paraId="54104087"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val="en-US" w:eastAsia="en-IN"/>
                <w14:ligatures w14:val="none"/>
              </w:rPr>
              <w:t>8.3 (5)</w:t>
            </w:r>
          </w:p>
        </w:tc>
        <w:tc>
          <w:tcPr>
            <w:tcW w:w="582" w:type="pct"/>
            <w:tcBorders>
              <w:top w:val="nil"/>
              <w:left w:val="nil"/>
              <w:bottom w:val="single" w:sz="8" w:space="0" w:color="000000"/>
              <w:right w:val="nil"/>
            </w:tcBorders>
            <w:shd w:val="clear" w:color="auto" w:fill="auto"/>
            <w:vAlign w:val="center"/>
            <w:hideMark/>
          </w:tcPr>
          <w:p w14:paraId="0E8857A8" w14:textId="77777777" w:rsidR="00873C15" w:rsidRPr="00E04134" w:rsidRDefault="00873C15" w:rsidP="00752E3F">
            <w:pPr>
              <w:spacing w:after="0" w:line="240" w:lineRule="auto"/>
              <w:rPr>
                <w:rFonts w:ascii="Arial" w:eastAsia="Times New Roman" w:hAnsi="Arial" w:cs="Arial"/>
                <w:kern w:val="0"/>
                <w:sz w:val="20"/>
                <w:lang w:eastAsia="en-IN"/>
                <w14:ligatures w14:val="none"/>
              </w:rPr>
            </w:pPr>
            <w:r w:rsidRPr="00E04134">
              <w:rPr>
                <w:rFonts w:ascii="Arial" w:eastAsia="Times New Roman" w:hAnsi="Arial" w:cs="Arial"/>
                <w:kern w:val="0"/>
                <w:sz w:val="20"/>
                <w:lang w:eastAsia="en-IN"/>
                <w14:ligatures w14:val="none"/>
              </w:rPr>
              <w:t> </w:t>
            </w:r>
          </w:p>
        </w:tc>
      </w:tr>
      <w:tr w:rsidR="00752E3F" w:rsidRPr="00E04134" w14:paraId="29750B85"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14555A47" w14:textId="5B23A445" w:rsidR="00873C15" w:rsidRPr="00E04134" w:rsidRDefault="00873C15" w:rsidP="00752E3F">
            <w:pPr>
              <w:spacing w:after="0" w:line="240" w:lineRule="auto"/>
              <w:rPr>
                <w:rFonts w:ascii="Arial" w:eastAsia="Times New Roman" w:hAnsi="Arial" w:cs="Arial"/>
                <w:i/>
                <w:iCs/>
                <w:kern w:val="0"/>
                <w:sz w:val="18"/>
                <w:szCs w:val="18"/>
                <w:lang w:eastAsia="en-IN"/>
                <w14:ligatures w14:val="none"/>
              </w:rPr>
            </w:pPr>
            <w:r w:rsidRPr="00E04134">
              <w:rPr>
                <w:rFonts w:ascii="Arial" w:eastAsia="Times New Roman" w:hAnsi="Arial" w:cs="Arial"/>
                <w:i/>
                <w:iCs/>
                <w:kern w:val="0"/>
                <w:sz w:val="18"/>
                <w:szCs w:val="18"/>
                <w:lang w:val="en-US" w:eastAsia="en-IN"/>
                <w14:ligatures w14:val="none"/>
              </w:rPr>
              <w:t xml:space="preserve">Note. </w:t>
            </w:r>
            <w:r w:rsidRPr="00E04134">
              <w:rPr>
                <w:rFonts w:ascii="Arial" w:eastAsia="Times New Roman" w:hAnsi="Arial" w:cs="Arial"/>
                <w:kern w:val="0"/>
                <w:sz w:val="18"/>
                <w:szCs w:val="18"/>
                <w:lang w:val="en-US" w:eastAsia="en-IN"/>
                <w14:ligatures w14:val="none"/>
              </w:rPr>
              <w:t>Figures in parentheses indicates frequencies; *</w:t>
            </w:r>
            <w:r w:rsidRPr="00E04134">
              <w:rPr>
                <w:rFonts w:ascii="Arial" w:eastAsia="Times New Roman" w:hAnsi="Arial" w:cs="Arial"/>
                <w:i/>
                <w:iCs/>
                <w:kern w:val="0"/>
                <w:sz w:val="18"/>
                <w:szCs w:val="18"/>
                <w:lang w:val="en-US" w:eastAsia="en-IN"/>
                <w14:ligatures w14:val="none"/>
              </w:rPr>
              <w:t xml:space="preserve">p </w:t>
            </w:r>
            <w:r w:rsidRPr="00E04134">
              <w:rPr>
                <w:rFonts w:ascii="Arial" w:eastAsia="Times New Roman" w:hAnsi="Arial" w:cs="Arial"/>
                <w:kern w:val="0"/>
                <w:sz w:val="18"/>
                <w:szCs w:val="18"/>
                <w:lang w:val="en-US" w:eastAsia="en-IN"/>
                <w14:ligatures w14:val="none"/>
              </w:rPr>
              <w:t xml:space="preserve">&lt; 0.05; </w:t>
            </w:r>
            <w:r w:rsidRPr="00E04134">
              <w:rPr>
                <w:rFonts w:ascii="Arial" w:eastAsia="Times New Roman" w:hAnsi="Arial" w:cs="Arial"/>
                <w:i/>
                <w:iCs/>
                <w:kern w:val="0"/>
                <w:sz w:val="18"/>
                <w:szCs w:val="18"/>
                <w:lang w:val="en-US" w:eastAsia="en-IN"/>
                <w14:ligatures w14:val="none"/>
              </w:rPr>
              <w:t xml:space="preserve">d </w:t>
            </w:r>
            <w:r w:rsidRPr="00E04134">
              <w:rPr>
                <w:rFonts w:ascii="Arial" w:eastAsia="Times New Roman" w:hAnsi="Arial" w:cs="Arial"/>
                <w:kern w:val="0"/>
                <w:sz w:val="18"/>
                <w:szCs w:val="18"/>
                <w:lang w:val="en-US" w:eastAsia="en-IN"/>
                <w14:ligatures w14:val="none"/>
              </w:rPr>
              <w:t xml:space="preserve">= </w:t>
            </w:r>
            <w:proofErr w:type="spellStart"/>
            <w:r w:rsidRPr="00E04134">
              <w:rPr>
                <w:rFonts w:ascii="Arial" w:eastAsia="Times New Roman" w:hAnsi="Arial" w:cs="Arial"/>
                <w:kern w:val="0"/>
                <w:sz w:val="18"/>
                <w:szCs w:val="18"/>
                <w:lang w:val="en-US" w:eastAsia="en-IN"/>
                <w14:ligatures w14:val="none"/>
              </w:rPr>
              <w:t>Somers’d</w:t>
            </w:r>
            <w:proofErr w:type="spellEnd"/>
            <w:r w:rsidRPr="00E04134">
              <w:rPr>
                <w:rFonts w:ascii="Arial" w:eastAsia="Times New Roman" w:hAnsi="Arial" w:cs="Arial"/>
                <w:kern w:val="0"/>
                <w:sz w:val="18"/>
                <w:szCs w:val="18"/>
                <w:lang w:val="en-US" w:eastAsia="en-IN"/>
                <w14:ligatures w14:val="none"/>
              </w:rPr>
              <w:t xml:space="preserve">; </w:t>
            </w:r>
          </w:p>
        </w:tc>
      </w:tr>
      <w:tr w:rsidR="00752E3F" w:rsidRPr="00E04134" w14:paraId="7A4C2DC4" w14:textId="77777777" w:rsidTr="00184697">
        <w:trPr>
          <w:trHeight w:val="290"/>
        </w:trPr>
        <w:tc>
          <w:tcPr>
            <w:tcW w:w="5000" w:type="pct"/>
            <w:gridSpan w:val="13"/>
            <w:tcBorders>
              <w:top w:val="nil"/>
              <w:left w:val="nil"/>
              <w:bottom w:val="nil"/>
              <w:right w:val="nil"/>
            </w:tcBorders>
            <w:shd w:val="clear" w:color="auto" w:fill="auto"/>
            <w:noWrap/>
            <w:vAlign w:val="center"/>
            <w:hideMark/>
          </w:tcPr>
          <w:p w14:paraId="0A47A9DD" w14:textId="77777777" w:rsidR="00873C15" w:rsidRPr="00E04134" w:rsidRDefault="00873C15" w:rsidP="00752E3F">
            <w:pPr>
              <w:spacing w:after="0" w:line="240" w:lineRule="auto"/>
              <w:rPr>
                <w:rFonts w:ascii="Arial" w:eastAsia="Times New Roman" w:hAnsi="Arial" w:cs="Arial"/>
                <w:kern w:val="0"/>
                <w:sz w:val="18"/>
                <w:szCs w:val="18"/>
                <w:lang w:eastAsia="en-IN"/>
                <w14:ligatures w14:val="none"/>
              </w:rPr>
            </w:pPr>
            <w:r w:rsidRPr="00E04134">
              <w:rPr>
                <w:rFonts w:ascii="Arial" w:eastAsia="Times New Roman" w:hAnsi="Arial" w:cs="Arial"/>
                <w:kern w:val="0"/>
                <w:sz w:val="18"/>
                <w:szCs w:val="18"/>
                <w:lang w:val="en-US" w:eastAsia="en-IN"/>
                <w14:ligatures w14:val="none"/>
              </w:rPr>
              <w:t>Glycemic control: &lt; 7: Ideal glycemic control, ≥7 -&lt; 8: Satisfactory glycemic control, ≥ 8: Unsatisfactory glycemic control (ICMR, 2018).</w:t>
            </w:r>
          </w:p>
        </w:tc>
      </w:tr>
    </w:tbl>
    <w:p w14:paraId="3F026F6C" w14:textId="77777777" w:rsidR="00873C15" w:rsidRPr="00E04134" w:rsidRDefault="00873C15" w:rsidP="00752E3F">
      <w:pPr>
        <w:spacing w:after="0" w:line="360" w:lineRule="auto"/>
        <w:rPr>
          <w:rFonts w:ascii="Times New Roman" w:eastAsia="Calibri" w:hAnsi="Times New Roman" w:cs="Times New Roman"/>
          <w:kern w:val="0"/>
          <w:szCs w:val="22"/>
          <w:lang w:val="en-US" w:bidi="ar-SA"/>
          <w14:ligatures w14:val="none"/>
        </w:rPr>
      </w:pPr>
    </w:p>
    <w:p w14:paraId="34FBD82B" w14:textId="77777777" w:rsidR="00475EB1" w:rsidRPr="00037593" w:rsidRDefault="00475EB1" w:rsidP="00752E3F">
      <w:pPr>
        <w:spacing w:after="0" w:line="360" w:lineRule="auto"/>
        <w:rPr>
          <w:rFonts w:ascii="Times New Roman" w:eastAsia="Calibri" w:hAnsi="Times New Roman" w:cs="Times New Roman"/>
          <w:kern w:val="0"/>
          <w:sz w:val="24"/>
          <w:szCs w:val="24"/>
          <w:lang w:val="en-US" w:bidi="ar-SA"/>
          <w14:ligatures w14:val="none"/>
        </w:rPr>
        <w:sectPr w:rsidR="00475EB1" w:rsidRPr="00037593" w:rsidSect="00873C15">
          <w:pgSz w:w="16839" w:h="11907" w:orient="landscape" w:code="9"/>
          <w:pgMar w:top="1440" w:right="1440" w:bottom="2160" w:left="1440" w:header="720" w:footer="720" w:gutter="0"/>
          <w:cols w:space="720"/>
          <w:docGrid w:linePitch="360"/>
        </w:sectPr>
      </w:pPr>
    </w:p>
    <w:p w14:paraId="506313FA" w14:textId="77777777" w:rsidR="006B68EB" w:rsidRDefault="00A7484B" w:rsidP="00CE5B5A">
      <w:pPr>
        <w:spacing w:after="0" w:line="360" w:lineRule="auto"/>
        <w:jc w:val="both"/>
        <w:rPr>
          <w:rFonts w:ascii="Arial" w:eastAsia="Calibri" w:hAnsi="Arial" w:cs="Arial"/>
          <w:kern w:val="0"/>
          <w:sz w:val="20"/>
          <w:lang w:bidi="ar-SA"/>
          <w14:ligatures w14:val="none"/>
        </w:rPr>
      </w:pPr>
      <w:r w:rsidRPr="001905B2">
        <w:rPr>
          <w:rFonts w:ascii="Arial" w:eastAsia="Calibri" w:hAnsi="Arial" w:cs="Arial"/>
          <w:kern w:val="0"/>
          <w:sz w:val="20"/>
          <w:lang w:bidi="ar-SA"/>
          <w14:ligatures w14:val="none"/>
        </w:rPr>
        <w:lastRenderedPageBreak/>
        <w:t>In the context of hypertension, bitter melon has also shown promise. Studies suggest that peptides derived from bitter melon inhibit angiotensin-converting enzyme (ACE), a key enzyme in blood pressure regulation. This dual effect on glucose metabolism and vascular function is particularly beneficial for individuals with comorbid diabetes and hypertension</w:t>
      </w:r>
      <w:bookmarkStart w:id="1" w:name="_Hlk193446549"/>
      <w:r w:rsidR="004F2C20" w:rsidRPr="001905B2">
        <w:rPr>
          <w:rFonts w:ascii="Arial" w:hAnsi="Arial" w:cs="Arial"/>
          <w:sz w:val="20"/>
        </w:rPr>
        <w:t xml:space="preserve"> (Dahlquist</w:t>
      </w:r>
      <w:bookmarkEnd w:id="1"/>
      <w:r w:rsidR="004F2C20" w:rsidRPr="001905B2">
        <w:rPr>
          <w:rFonts w:ascii="Arial" w:hAnsi="Arial" w:cs="Arial"/>
          <w:sz w:val="20"/>
        </w:rPr>
        <w:t xml:space="preserve"> et al., 2023</w:t>
      </w:r>
      <w:r w:rsidR="004F2C20" w:rsidRPr="001905B2">
        <w:rPr>
          <w:rFonts w:ascii="Arial" w:eastAsia="Calibri" w:hAnsi="Arial" w:cs="Arial"/>
          <w:kern w:val="0"/>
          <w:sz w:val="20"/>
          <w:lang w:bidi="ar-SA"/>
          <w14:ligatures w14:val="none"/>
        </w:rPr>
        <w:t>;</w:t>
      </w:r>
      <w:r w:rsidR="004F2C20" w:rsidRPr="001905B2">
        <w:rPr>
          <w:rFonts w:ascii="Arial" w:hAnsi="Arial" w:cs="Arial"/>
          <w:sz w:val="20"/>
        </w:rPr>
        <w:t xml:space="preserve"> Hung et al., 2024)</w:t>
      </w:r>
      <w:r w:rsidRPr="001905B2">
        <w:rPr>
          <w:rFonts w:ascii="Arial" w:eastAsia="Calibri" w:hAnsi="Arial" w:cs="Arial"/>
          <w:kern w:val="0"/>
          <w:sz w:val="20"/>
          <w:lang w:bidi="ar-SA"/>
          <w14:ligatures w14:val="none"/>
        </w:rPr>
        <w:t xml:space="preserve">. </w:t>
      </w:r>
      <w:r w:rsidRPr="009E2FA1">
        <w:rPr>
          <w:rFonts w:ascii="Arial" w:eastAsia="Calibri" w:hAnsi="Arial" w:cs="Arial"/>
          <w:color w:val="FF0000"/>
          <w:kern w:val="0"/>
          <w:sz w:val="20"/>
          <w:highlight w:val="yellow"/>
          <w:lang w:bidi="ar-SA"/>
          <w14:ligatures w14:val="none"/>
        </w:rPr>
        <w:t xml:space="preserve">Moreover, a study by Wehash et al. </w:t>
      </w:r>
      <w:r w:rsidR="001905B2" w:rsidRPr="009E2FA1">
        <w:rPr>
          <w:rFonts w:ascii="Arial" w:eastAsia="Calibri" w:hAnsi="Arial" w:cs="Arial"/>
          <w:color w:val="FF0000"/>
          <w:kern w:val="0"/>
          <w:sz w:val="20"/>
          <w:highlight w:val="yellow"/>
          <w:lang w:bidi="ar-SA"/>
          <w14:ligatures w14:val="none"/>
        </w:rPr>
        <w:t xml:space="preserve">(2012) </w:t>
      </w:r>
      <w:r w:rsidRPr="009E2FA1">
        <w:rPr>
          <w:rFonts w:ascii="Arial" w:eastAsia="Calibri" w:hAnsi="Arial" w:cs="Arial"/>
          <w:color w:val="FF0000"/>
          <w:kern w:val="0"/>
          <w:sz w:val="20"/>
          <w:highlight w:val="yellow"/>
          <w:lang w:bidi="ar-SA"/>
          <w14:ligatures w14:val="none"/>
        </w:rPr>
        <w:t xml:space="preserve">indicated that bitter melon may exert effects on reducing capillary permeability, which could complement its antidiabetic properties. However, contrasting evidence exists. For instance, Yin et al. </w:t>
      </w:r>
      <w:r w:rsidR="001905B2" w:rsidRPr="009E2FA1">
        <w:rPr>
          <w:rFonts w:ascii="Arial" w:eastAsia="Calibri" w:hAnsi="Arial" w:cs="Arial"/>
          <w:color w:val="FF0000"/>
          <w:kern w:val="0"/>
          <w:sz w:val="20"/>
          <w:highlight w:val="yellow"/>
          <w:lang w:bidi="ar-SA"/>
          <w14:ligatures w14:val="none"/>
        </w:rPr>
        <w:t xml:space="preserve">(2014) </w:t>
      </w:r>
      <w:r w:rsidRPr="009E2FA1">
        <w:rPr>
          <w:rFonts w:ascii="Arial" w:eastAsia="Calibri" w:hAnsi="Arial" w:cs="Arial"/>
          <w:color w:val="FF0000"/>
          <w:kern w:val="0"/>
          <w:sz w:val="20"/>
          <w:highlight w:val="yellow"/>
          <w:lang w:bidi="ar-SA"/>
          <w14:ligatures w14:val="none"/>
        </w:rPr>
        <w:t>conducted a systematic review and meta-analysis and found no significant effect of bitter melon on HbA1c or fasting plasma glucose levels, suggesting variability in outcomes based on population, dosage, and study design</w:t>
      </w:r>
      <w:r w:rsidRPr="009E2FA1">
        <w:rPr>
          <w:rFonts w:ascii="Arial" w:eastAsia="Calibri" w:hAnsi="Arial" w:cs="Arial"/>
          <w:kern w:val="0"/>
          <w:sz w:val="20"/>
          <w:highlight w:val="yellow"/>
          <w:lang w:bidi="ar-SA"/>
          <w14:ligatures w14:val="none"/>
        </w:rPr>
        <w:t>.</w:t>
      </w:r>
      <w:r w:rsidRPr="001905B2">
        <w:rPr>
          <w:rFonts w:ascii="Arial" w:eastAsia="Calibri" w:hAnsi="Arial" w:cs="Arial"/>
          <w:kern w:val="0"/>
          <w:sz w:val="20"/>
          <w:lang w:bidi="ar-SA"/>
          <w14:ligatures w14:val="none"/>
        </w:rPr>
        <w:t xml:space="preserve"> </w:t>
      </w:r>
    </w:p>
    <w:p w14:paraId="45E4032A" w14:textId="77777777" w:rsidR="006B68EB" w:rsidRDefault="006B68EB" w:rsidP="00CE5B5A">
      <w:pPr>
        <w:spacing w:after="0" w:line="360" w:lineRule="auto"/>
        <w:jc w:val="both"/>
        <w:rPr>
          <w:rFonts w:ascii="Arial" w:eastAsia="Calibri" w:hAnsi="Arial" w:cs="Arial"/>
          <w:b/>
          <w:bCs/>
          <w:kern w:val="0"/>
          <w:szCs w:val="22"/>
          <w:lang w:bidi="ar-SA"/>
          <w14:ligatures w14:val="none"/>
        </w:rPr>
      </w:pPr>
    </w:p>
    <w:p w14:paraId="7F06CA46" w14:textId="29868A0C" w:rsidR="006B68EB" w:rsidRPr="009E2FA1" w:rsidRDefault="006B68EB" w:rsidP="00CE5B5A">
      <w:pPr>
        <w:spacing w:after="0" w:line="360" w:lineRule="auto"/>
        <w:jc w:val="both"/>
        <w:rPr>
          <w:rFonts w:ascii="Arial" w:eastAsia="Calibri" w:hAnsi="Arial" w:cs="Arial"/>
          <w:b/>
          <w:bCs/>
          <w:kern w:val="0"/>
          <w:szCs w:val="22"/>
          <w:lang w:bidi="ar-SA"/>
          <w14:ligatures w14:val="none"/>
        </w:rPr>
      </w:pPr>
      <w:r w:rsidRPr="009E2FA1">
        <w:rPr>
          <w:rFonts w:ascii="Arial" w:eastAsia="Calibri" w:hAnsi="Arial" w:cs="Arial"/>
          <w:b/>
          <w:bCs/>
          <w:kern w:val="0"/>
          <w:szCs w:val="22"/>
          <w:lang w:bidi="ar-SA"/>
          <w14:ligatures w14:val="none"/>
        </w:rPr>
        <w:t>CONCLUSION</w:t>
      </w:r>
    </w:p>
    <w:p w14:paraId="137960F8" w14:textId="3C3077B6" w:rsidR="00A7484B" w:rsidRDefault="00A7484B" w:rsidP="00CE5B5A">
      <w:pPr>
        <w:spacing w:after="0" w:line="360" w:lineRule="auto"/>
        <w:jc w:val="both"/>
        <w:rPr>
          <w:rFonts w:ascii="Arial" w:eastAsia="Calibri" w:hAnsi="Arial" w:cs="Arial"/>
          <w:kern w:val="0"/>
          <w:sz w:val="20"/>
          <w:lang w:bidi="ar-SA"/>
          <w14:ligatures w14:val="none"/>
        </w:rPr>
      </w:pPr>
      <w:r w:rsidRPr="009E2FA1">
        <w:rPr>
          <w:rFonts w:ascii="Arial" w:eastAsia="Calibri" w:hAnsi="Arial" w:cs="Arial"/>
          <w:kern w:val="0"/>
          <w:sz w:val="20"/>
          <w:lang w:bidi="ar-SA"/>
          <w14:ligatures w14:val="none"/>
        </w:rPr>
        <w:t xml:space="preserve">In conclusion, while bitter gourd shows promise as a functional food with potential benefits for </w:t>
      </w:r>
      <w:r w:rsidR="001905B2" w:rsidRPr="009E2FA1">
        <w:rPr>
          <w:rFonts w:ascii="Arial" w:eastAsia="Calibri" w:hAnsi="Arial" w:cs="Arial"/>
          <w:kern w:val="0"/>
          <w:sz w:val="20"/>
          <w:lang w:bidi="ar-SA"/>
          <w14:ligatures w14:val="none"/>
        </w:rPr>
        <w:t>glycaemic</w:t>
      </w:r>
      <w:r w:rsidRPr="009E2FA1">
        <w:rPr>
          <w:rFonts w:ascii="Arial" w:eastAsia="Calibri" w:hAnsi="Arial" w:cs="Arial"/>
          <w:kern w:val="0"/>
          <w:sz w:val="20"/>
          <w:lang w:bidi="ar-SA"/>
          <w14:ligatures w14:val="none"/>
        </w:rPr>
        <w:t xml:space="preserve"> and blood pressure control, the lack of statistically significant findings in this study underscores the need for robust, large-scale clinical trials to better understand its role in managing </w:t>
      </w:r>
      <w:r w:rsidR="009E33E2" w:rsidRPr="009E2FA1">
        <w:rPr>
          <w:rFonts w:ascii="Arial" w:eastAsia="Calibri" w:hAnsi="Arial" w:cs="Arial"/>
          <w:kern w:val="0"/>
          <w:sz w:val="20"/>
          <w:lang w:bidi="ar-SA"/>
          <w14:ligatures w14:val="none"/>
        </w:rPr>
        <w:t>diabetic</w:t>
      </w:r>
      <w:r w:rsidRPr="009E2FA1">
        <w:rPr>
          <w:rFonts w:ascii="Arial" w:eastAsia="Calibri" w:hAnsi="Arial" w:cs="Arial"/>
          <w:kern w:val="0"/>
          <w:sz w:val="20"/>
          <w:lang w:bidi="ar-SA"/>
          <w14:ligatures w14:val="none"/>
        </w:rPr>
        <w:t xml:space="preserve"> and </w:t>
      </w:r>
      <w:r w:rsidR="009E33E2" w:rsidRPr="009E2FA1">
        <w:rPr>
          <w:rFonts w:ascii="Arial" w:eastAsia="Calibri" w:hAnsi="Arial" w:cs="Arial"/>
          <w:kern w:val="0"/>
          <w:sz w:val="20"/>
          <w:lang w:bidi="ar-SA"/>
          <w14:ligatures w14:val="none"/>
        </w:rPr>
        <w:t>diabetic hypertensives</w:t>
      </w:r>
      <w:r w:rsidRPr="009E2FA1">
        <w:rPr>
          <w:rFonts w:ascii="Arial" w:eastAsia="Calibri" w:hAnsi="Arial" w:cs="Arial"/>
          <w:kern w:val="0"/>
          <w:sz w:val="20"/>
          <w:lang w:bidi="ar-SA"/>
          <w14:ligatures w14:val="none"/>
        </w:rPr>
        <w:t>.</w:t>
      </w:r>
    </w:p>
    <w:p w14:paraId="446C844F" w14:textId="77777777" w:rsidR="0099142B" w:rsidRPr="00A57D26" w:rsidRDefault="0099142B" w:rsidP="0099142B">
      <w:pPr>
        <w:spacing w:after="0" w:line="276" w:lineRule="auto"/>
        <w:jc w:val="both"/>
        <w:rPr>
          <w:rFonts w:ascii="Arial" w:eastAsia="Calibri" w:hAnsi="Arial" w:cs="Arial"/>
          <w:b/>
          <w:bCs/>
          <w:kern w:val="0"/>
          <w:szCs w:val="22"/>
          <w:lang w:val="en-US" w:bidi="ar-SA"/>
          <w14:ligatures w14:val="none"/>
        </w:rPr>
      </w:pPr>
      <w:r w:rsidRPr="00A57D26">
        <w:rPr>
          <w:rFonts w:ascii="Arial" w:eastAsia="Calibri" w:hAnsi="Arial" w:cs="Arial"/>
          <w:b/>
          <w:bCs/>
          <w:kern w:val="0"/>
          <w:szCs w:val="22"/>
          <w:lang w:val="en-US" w:bidi="ar-SA"/>
          <w14:ligatures w14:val="none"/>
        </w:rPr>
        <w:t>Ethical Approval</w:t>
      </w:r>
    </w:p>
    <w:p w14:paraId="121C94E2" w14:textId="77777777" w:rsidR="0099142B" w:rsidRPr="00A57D26" w:rsidRDefault="0099142B" w:rsidP="0099142B">
      <w:pPr>
        <w:spacing w:after="0" w:line="276" w:lineRule="auto"/>
        <w:jc w:val="both"/>
        <w:rPr>
          <w:rFonts w:ascii="Arial" w:eastAsia="Calibri" w:hAnsi="Arial" w:cs="Arial"/>
          <w:kern w:val="0"/>
          <w:sz w:val="16"/>
          <w:szCs w:val="16"/>
          <w:lang w:val="en-US" w:bidi="ar-SA"/>
          <w14:ligatures w14:val="none"/>
        </w:rPr>
      </w:pPr>
      <w:r w:rsidRPr="00A57D26">
        <w:rPr>
          <w:rFonts w:ascii="Arial" w:eastAsia="Calibri" w:hAnsi="Arial" w:cs="Arial"/>
          <w:kern w:val="0"/>
          <w:sz w:val="20"/>
          <w:lang w:bidi="ar-SA"/>
          <w14:ligatures w14:val="none"/>
        </w:rPr>
        <w:t>The study received ethical clearance from the Institutional Ethics Committee of Jawaharlal Nehru Medical College and Hospital, Aligarh Muslim University (Approval No. D. No. 367/FM, dated 14 March 2018).</w:t>
      </w:r>
    </w:p>
    <w:p w14:paraId="728E631E" w14:textId="77777777" w:rsidR="0099142B" w:rsidRPr="009E2FA1" w:rsidRDefault="0099142B" w:rsidP="00CE5B5A">
      <w:pPr>
        <w:spacing w:after="0" w:line="360" w:lineRule="auto"/>
        <w:jc w:val="both"/>
        <w:rPr>
          <w:rFonts w:ascii="Arial" w:eastAsia="Calibri" w:hAnsi="Arial" w:cs="Arial"/>
          <w:kern w:val="0"/>
          <w:sz w:val="20"/>
          <w:lang w:bidi="ar-SA"/>
          <w14:ligatures w14:val="none"/>
        </w:rPr>
      </w:pPr>
    </w:p>
    <w:p w14:paraId="41B72AAE" w14:textId="77777777" w:rsidR="0099142B" w:rsidRPr="0099142B" w:rsidRDefault="0099142B" w:rsidP="0099142B">
      <w:pPr>
        <w:spacing w:after="200" w:line="276" w:lineRule="auto"/>
        <w:rPr>
          <w:rFonts w:ascii="Calibri" w:eastAsia="Calibri" w:hAnsi="Calibri" w:cs="Times New Roman"/>
          <w:b/>
          <w:kern w:val="0"/>
          <w:szCs w:val="22"/>
          <w:lang w:val="en-US" w:bidi="ar-SA"/>
          <w14:ligatures w14:val="none"/>
        </w:rPr>
      </w:pPr>
      <w:r w:rsidRPr="0099142B">
        <w:rPr>
          <w:rFonts w:ascii="Calibri" w:eastAsia="Calibri" w:hAnsi="Calibri" w:cs="Times New Roman"/>
          <w:b/>
          <w:kern w:val="0"/>
          <w:szCs w:val="22"/>
          <w:lang w:val="en-US" w:bidi="ar-SA"/>
          <w14:ligatures w14:val="none"/>
        </w:rPr>
        <w:t xml:space="preserve">Consent </w:t>
      </w:r>
    </w:p>
    <w:p w14:paraId="2AED27DC" w14:textId="77777777" w:rsidR="0099142B" w:rsidRPr="0099142B" w:rsidRDefault="0099142B" w:rsidP="0099142B">
      <w:pPr>
        <w:spacing w:after="200" w:line="276" w:lineRule="auto"/>
        <w:rPr>
          <w:rFonts w:ascii="Calibri" w:eastAsia="Calibri" w:hAnsi="Calibri" w:cs="Times New Roman"/>
          <w:kern w:val="0"/>
          <w:szCs w:val="22"/>
          <w:lang w:val="en-US" w:bidi="ar-SA"/>
          <w14:ligatures w14:val="none"/>
        </w:rPr>
      </w:pPr>
      <w:r w:rsidRPr="0099142B">
        <w:rPr>
          <w:rFonts w:ascii="Calibri" w:eastAsia="Calibri" w:hAnsi="Calibri" w:cs="Times New Roman"/>
          <w:kern w:val="0"/>
          <w:szCs w:val="22"/>
          <w:lang w:val="en-US" w:bidi="ar-SA"/>
          <w14:ligatures w14:val="none"/>
        </w:rPr>
        <w:t>As per international standards or university standards, Participants’ written consent has been collected and preserved by the author(s).</w:t>
      </w:r>
    </w:p>
    <w:p w14:paraId="00E16E57" w14:textId="77777777" w:rsidR="006B68EB" w:rsidRPr="009E2FA1" w:rsidRDefault="006B68EB" w:rsidP="00CE5B5A">
      <w:pPr>
        <w:spacing w:after="0" w:line="360" w:lineRule="auto"/>
        <w:jc w:val="both"/>
        <w:rPr>
          <w:rFonts w:ascii="Arial" w:eastAsia="Calibri" w:hAnsi="Arial" w:cs="Arial"/>
          <w:kern w:val="0"/>
          <w:sz w:val="20"/>
          <w:highlight w:val="yellow"/>
          <w:lang w:bidi="ar-SA"/>
          <w14:ligatures w14:val="none"/>
        </w:rPr>
      </w:pPr>
    </w:p>
    <w:p w14:paraId="61F92D29" w14:textId="77777777" w:rsidR="006B68EB" w:rsidRPr="009E2FA1" w:rsidRDefault="006B68EB" w:rsidP="00CE5B5A">
      <w:pPr>
        <w:spacing w:after="0" w:line="360" w:lineRule="auto"/>
        <w:jc w:val="both"/>
        <w:rPr>
          <w:rFonts w:ascii="Arial" w:eastAsia="Calibri" w:hAnsi="Arial" w:cs="Arial"/>
          <w:b/>
          <w:bCs/>
          <w:kern w:val="0"/>
          <w:szCs w:val="22"/>
          <w:highlight w:val="yellow"/>
          <w:lang w:bidi="ar-SA"/>
          <w14:ligatures w14:val="none"/>
        </w:rPr>
      </w:pPr>
      <w:r w:rsidRPr="009E2FA1">
        <w:rPr>
          <w:rFonts w:ascii="Arial" w:eastAsia="Calibri" w:hAnsi="Arial" w:cs="Arial"/>
          <w:b/>
          <w:bCs/>
          <w:kern w:val="0"/>
          <w:szCs w:val="22"/>
          <w:highlight w:val="yellow"/>
          <w:lang w:bidi="ar-SA"/>
          <w14:ligatures w14:val="none"/>
        </w:rPr>
        <w:t>ACKNOWLEDGEMENTS</w:t>
      </w:r>
    </w:p>
    <w:p w14:paraId="3A164828" w14:textId="1A79C8C9" w:rsidR="006B68EB" w:rsidRPr="009E2FA1" w:rsidRDefault="006B68EB" w:rsidP="00CE5B5A">
      <w:pPr>
        <w:spacing w:after="0" w:line="360" w:lineRule="auto"/>
        <w:jc w:val="both"/>
        <w:rPr>
          <w:rFonts w:ascii="Arial" w:eastAsia="Calibri" w:hAnsi="Arial" w:cs="Arial"/>
          <w:kern w:val="0"/>
          <w:sz w:val="20"/>
          <w:highlight w:val="yellow"/>
          <w:lang w:bidi="ar-SA"/>
          <w14:ligatures w14:val="none"/>
        </w:rPr>
      </w:pPr>
      <w:r w:rsidRPr="009E2FA1">
        <w:rPr>
          <w:rFonts w:ascii="Arial" w:eastAsia="Calibri" w:hAnsi="Arial" w:cs="Arial"/>
          <w:kern w:val="0"/>
          <w:sz w:val="20"/>
          <w:highlight w:val="yellow"/>
          <w:lang w:bidi="ar-SA"/>
          <w14:ligatures w14:val="none"/>
        </w:rPr>
        <w:t>The authors acknowledge the contributions of the department of home science</w:t>
      </w:r>
      <w:r w:rsidR="001F7CC4" w:rsidRPr="009E2FA1">
        <w:rPr>
          <w:rFonts w:ascii="Arial" w:eastAsia="Calibri" w:hAnsi="Arial" w:cs="Arial"/>
          <w:kern w:val="0"/>
          <w:sz w:val="20"/>
          <w:highlight w:val="yellow"/>
          <w:lang w:bidi="ar-SA"/>
          <w14:ligatures w14:val="none"/>
        </w:rPr>
        <w:t>,</w:t>
      </w:r>
      <w:r w:rsidRPr="009E2FA1">
        <w:rPr>
          <w:rFonts w:ascii="Arial" w:eastAsia="Calibri" w:hAnsi="Arial" w:cs="Arial"/>
          <w:kern w:val="0"/>
          <w:sz w:val="20"/>
          <w:highlight w:val="yellow"/>
          <w:lang w:bidi="ar-SA"/>
          <w14:ligatures w14:val="none"/>
        </w:rPr>
        <w:t xml:space="preserve"> faculty of agricultural sciences</w:t>
      </w:r>
      <w:r w:rsidR="001F7CC4" w:rsidRPr="009E2FA1">
        <w:rPr>
          <w:rFonts w:ascii="Arial" w:eastAsia="Calibri" w:hAnsi="Arial" w:cs="Arial"/>
          <w:kern w:val="0"/>
          <w:sz w:val="20"/>
          <w:highlight w:val="yellow"/>
          <w:lang w:bidi="ar-SA"/>
          <w14:ligatures w14:val="none"/>
        </w:rPr>
        <w:t>,</w:t>
      </w:r>
      <w:r w:rsidRPr="009E2FA1">
        <w:rPr>
          <w:rFonts w:ascii="Arial" w:eastAsia="Calibri" w:hAnsi="Arial" w:cs="Arial"/>
          <w:kern w:val="0"/>
          <w:sz w:val="20"/>
          <w:highlight w:val="yellow"/>
          <w:lang w:bidi="ar-SA"/>
          <w14:ligatures w14:val="none"/>
        </w:rPr>
        <w:t xml:space="preserve"> Aligarh Muslim university</w:t>
      </w:r>
      <w:r w:rsidR="001F7CC4" w:rsidRPr="009E2FA1">
        <w:rPr>
          <w:rFonts w:ascii="Arial" w:eastAsia="Calibri" w:hAnsi="Arial" w:cs="Arial"/>
          <w:kern w:val="0"/>
          <w:sz w:val="20"/>
          <w:highlight w:val="yellow"/>
          <w:lang w:bidi="ar-SA"/>
          <w14:ligatures w14:val="none"/>
        </w:rPr>
        <w:t>,</w:t>
      </w:r>
      <w:r w:rsidRPr="009E2FA1">
        <w:rPr>
          <w:rFonts w:ascii="Arial" w:eastAsia="Calibri" w:hAnsi="Arial" w:cs="Arial"/>
          <w:kern w:val="0"/>
          <w:sz w:val="20"/>
          <w:highlight w:val="yellow"/>
          <w:lang w:bidi="ar-SA"/>
          <w14:ligatures w14:val="none"/>
        </w:rPr>
        <w:t xml:space="preserve"> Aligarh</w:t>
      </w:r>
      <w:r w:rsidR="007A2893" w:rsidRPr="009E2FA1">
        <w:rPr>
          <w:rFonts w:ascii="Arial" w:eastAsia="Calibri" w:hAnsi="Arial" w:cs="Arial"/>
          <w:kern w:val="0"/>
          <w:sz w:val="20"/>
          <w:highlight w:val="yellow"/>
          <w:lang w:bidi="ar-SA"/>
          <w14:ligatures w14:val="none"/>
        </w:rPr>
        <w:t>, India</w:t>
      </w:r>
      <w:r w:rsidRPr="009E2FA1">
        <w:rPr>
          <w:rFonts w:ascii="Arial" w:eastAsia="Calibri" w:hAnsi="Arial" w:cs="Arial"/>
          <w:kern w:val="0"/>
          <w:sz w:val="20"/>
          <w:highlight w:val="yellow"/>
          <w:lang w:bidi="ar-SA"/>
          <w14:ligatures w14:val="none"/>
        </w:rPr>
        <w:t xml:space="preserve">. </w:t>
      </w:r>
    </w:p>
    <w:p w14:paraId="03CC8CA3" w14:textId="77777777" w:rsidR="006B68EB" w:rsidRPr="009E2FA1" w:rsidRDefault="006B68EB" w:rsidP="00CE5B5A">
      <w:pPr>
        <w:spacing w:after="0" w:line="360" w:lineRule="auto"/>
        <w:jc w:val="both"/>
        <w:rPr>
          <w:rFonts w:ascii="Arial" w:eastAsia="Calibri" w:hAnsi="Arial" w:cs="Arial"/>
          <w:b/>
          <w:bCs/>
          <w:kern w:val="0"/>
          <w:szCs w:val="22"/>
          <w:highlight w:val="yellow"/>
          <w:lang w:bidi="ar-SA"/>
          <w14:ligatures w14:val="none"/>
        </w:rPr>
      </w:pPr>
    </w:p>
    <w:p w14:paraId="6B9F37E3" w14:textId="77777777" w:rsidR="006B68EB" w:rsidRPr="009E2FA1" w:rsidRDefault="006B68EB" w:rsidP="00CE5B5A">
      <w:pPr>
        <w:spacing w:after="0" w:line="360" w:lineRule="auto"/>
        <w:jc w:val="both"/>
        <w:rPr>
          <w:rFonts w:ascii="Arial" w:eastAsia="Calibri" w:hAnsi="Arial" w:cs="Arial"/>
          <w:b/>
          <w:bCs/>
          <w:kern w:val="0"/>
          <w:szCs w:val="22"/>
          <w:highlight w:val="yellow"/>
          <w:lang w:bidi="ar-SA"/>
          <w14:ligatures w14:val="none"/>
        </w:rPr>
      </w:pPr>
      <w:r w:rsidRPr="009E2FA1">
        <w:rPr>
          <w:rFonts w:ascii="Arial" w:eastAsia="Calibri" w:hAnsi="Arial" w:cs="Arial"/>
          <w:b/>
          <w:bCs/>
          <w:kern w:val="0"/>
          <w:szCs w:val="22"/>
          <w:highlight w:val="yellow"/>
          <w:lang w:bidi="ar-SA"/>
          <w14:ligatures w14:val="none"/>
        </w:rPr>
        <w:t>COMPETINGINTERESTS</w:t>
      </w:r>
    </w:p>
    <w:p w14:paraId="3114C23B" w14:textId="6EF10F7A" w:rsidR="00590931" w:rsidRPr="006B68EB" w:rsidRDefault="006B68EB" w:rsidP="00CE5B5A">
      <w:pPr>
        <w:spacing w:after="0" w:line="360" w:lineRule="auto"/>
        <w:jc w:val="both"/>
        <w:rPr>
          <w:rFonts w:ascii="Arial" w:eastAsia="Calibri" w:hAnsi="Arial" w:cs="Arial"/>
          <w:kern w:val="0"/>
          <w:szCs w:val="22"/>
          <w:lang w:bidi="ar-SA"/>
          <w14:ligatures w14:val="none"/>
        </w:rPr>
      </w:pPr>
      <w:r w:rsidRPr="009E2FA1">
        <w:rPr>
          <w:rFonts w:ascii="Arial" w:eastAsia="Calibri" w:hAnsi="Arial" w:cs="Arial"/>
          <w:kern w:val="0"/>
          <w:szCs w:val="22"/>
          <w:highlight w:val="yellow"/>
          <w:lang w:bidi="ar-SA"/>
          <w14:ligatures w14:val="none"/>
        </w:rPr>
        <w:t>Authors have declared that no competing interests exist.</w:t>
      </w:r>
    </w:p>
    <w:p w14:paraId="5BBA15B4" w14:textId="77777777" w:rsidR="006B68EB" w:rsidRDefault="006B68EB" w:rsidP="00590931">
      <w:pPr>
        <w:spacing w:after="200" w:line="276" w:lineRule="auto"/>
        <w:rPr>
          <w:rFonts w:ascii="Calibri" w:eastAsia="Calibri" w:hAnsi="Calibri" w:cs="Times New Roman"/>
          <w:szCs w:val="22"/>
          <w:highlight w:val="yellow"/>
          <w:lang w:val="en-US" w:bidi="ar-SA"/>
        </w:rPr>
      </w:pPr>
      <w:bookmarkStart w:id="2" w:name="_Hlk190852809"/>
    </w:p>
    <w:p w14:paraId="740D6682"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622D9318"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490F37DB"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61C25E52"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16CFD9BC"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4D5023EE"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299FCFD2"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258803FF"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2C0DF309"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36BF888A"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4CC3AEAA" w14:textId="77777777" w:rsidR="006B68EB" w:rsidRDefault="006B68EB" w:rsidP="00590931">
      <w:pPr>
        <w:spacing w:after="200" w:line="276" w:lineRule="auto"/>
        <w:rPr>
          <w:rFonts w:ascii="Calibri" w:eastAsia="Calibri" w:hAnsi="Calibri" w:cs="Times New Roman"/>
          <w:szCs w:val="22"/>
          <w:highlight w:val="yellow"/>
          <w:lang w:val="en-US" w:bidi="ar-SA"/>
        </w:rPr>
      </w:pPr>
    </w:p>
    <w:p w14:paraId="2459C8AE" w14:textId="6CE5F3B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Disclaimer (Artificial intelligence)</w:t>
      </w:r>
    </w:p>
    <w:p w14:paraId="23748099"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 xml:space="preserve">Option 1: </w:t>
      </w:r>
    </w:p>
    <w:p w14:paraId="477628B3"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 xml:space="preserve">Author(s) hereby declare that NO generative AI technologies such as Large Language Models (ChatGPT, COPILOT, etc.) and text-to-image generators have been used during the writing or editing of this manuscript. </w:t>
      </w:r>
    </w:p>
    <w:p w14:paraId="1B0440EF"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 xml:space="preserve">Option 2: </w:t>
      </w:r>
    </w:p>
    <w:p w14:paraId="0D3BC581"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148D93"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Details of the AI usage are given below:</w:t>
      </w:r>
    </w:p>
    <w:p w14:paraId="34882495"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1.</w:t>
      </w:r>
    </w:p>
    <w:p w14:paraId="65F03C59" w14:textId="77777777" w:rsidR="00590931" w:rsidRPr="00590931" w:rsidRDefault="00590931" w:rsidP="00590931">
      <w:pPr>
        <w:spacing w:after="200" w:line="276" w:lineRule="auto"/>
        <w:rPr>
          <w:rFonts w:ascii="Calibri" w:eastAsia="Calibri" w:hAnsi="Calibri" w:cs="Times New Roman"/>
          <w:szCs w:val="22"/>
          <w:highlight w:val="yellow"/>
          <w:lang w:val="en-US" w:bidi="ar-SA"/>
        </w:rPr>
      </w:pPr>
      <w:r w:rsidRPr="00590931">
        <w:rPr>
          <w:rFonts w:ascii="Calibri" w:eastAsia="Calibri" w:hAnsi="Calibri" w:cs="Times New Roman"/>
          <w:szCs w:val="22"/>
          <w:highlight w:val="yellow"/>
          <w:lang w:val="en-US" w:bidi="ar-SA"/>
        </w:rPr>
        <w:t>2.</w:t>
      </w:r>
    </w:p>
    <w:p w14:paraId="4C480277" w14:textId="77777777" w:rsidR="00590931" w:rsidRPr="00590931" w:rsidRDefault="00590931" w:rsidP="00590931">
      <w:pPr>
        <w:spacing w:after="200" w:line="276" w:lineRule="auto"/>
        <w:rPr>
          <w:rFonts w:ascii="Calibri" w:eastAsia="Calibri" w:hAnsi="Calibri" w:cs="Times New Roman"/>
          <w:szCs w:val="22"/>
          <w:lang w:val="en-US" w:bidi="ar-SA"/>
        </w:rPr>
      </w:pPr>
      <w:r w:rsidRPr="00590931">
        <w:rPr>
          <w:rFonts w:ascii="Calibri" w:eastAsia="Calibri" w:hAnsi="Calibri" w:cs="Times New Roman"/>
          <w:szCs w:val="22"/>
          <w:highlight w:val="yellow"/>
          <w:lang w:val="en-US" w:bidi="ar-SA"/>
        </w:rPr>
        <w:t>3.</w:t>
      </w:r>
    </w:p>
    <w:bookmarkEnd w:id="2"/>
    <w:p w14:paraId="01936ACC" w14:textId="77777777" w:rsidR="00590931" w:rsidRPr="00590931" w:rsidRDefault="00590931" w:rsidP="00590931">
      <w:pPr>
        <w:spacing w:after="200" w:line="276" w:lineRule="auto"/>
        <w:rPr>
          <w:rFonts w:ascii="Calibri" w:eastAsia="Calibri" w:hAnsi="Calibri" w:cs="Times New Roman"/>
          <w:szCs w:val="22"/>
          <w:lang w:val="en-US" w:bidi="ar-SA"/>
        </w:rPr>
      </w:pPr>
    </w:p>
    <w:p w14:paraId="467E6278" w14:textId="464B8C08" w:rsidR="00752E3F" w:rsidRPr="00FF7DAB" w:rsidRDefault="00FF7DAB" w:rsidP="00752E3F">
      <w:pPr>
        <w:rPr>
          <w:rFonts w:ascii="Arial" w:hAnsi="Arial" w:cs="Arial"/>
          <w:b/>
          <w:bCs/>
        </w:rPr>
      </w:pPr>
      <w:r w:rsidRPr="00FF7DAB">
        <w:rPr>
          <w:rFonts w:ascii="Arial" w:hAnsi="Arial" w:cs="Arial"/>
          <w:b/>
          <w:bCs/>
        </w:rPr>
        <w:t>REFERENCES</w:t>
      </w:r>
    </w:p>
    <w:p w14:paraId="7994665D" w14:textId="77777777" w:rsidR="00752E3F" w:rsidRPr="0029242C" w:rsidRDefault="00752E3F" w:rsidP="00752E3F">
      <w:pPr>
        <w:rPr>
          <w:rFonts w:ascii="Times New Roman" w:hAnsi="Times New Roman" w:cs="Times New Roman"/>
          <w:color w:val="FF0000"/>
        </w:rPr>
      </w:pPr>
    </w:p>
    <w:p w14:paraId="6AD3BB62"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Abejew, A. A., Belay, A. Z., &amp; Kerie, M. W. (2015). Diabetic complications among adult diabetic patients of a tertiary hospital in Northeast Ethiopia. Advances in Public Health, 2015.</w:t>
      </w:r>
    </w:p>
    <w:p w14:paraId="57C88D1F"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Ahmad, N., Hasan, N., Ahmad, Z., Zishan, M., &amp; </w:t>
      </w:r>
      <w:proofErr w:type="spellStart"/>
      <w:r w:rsidRPr="009E2FA1">
        <w:rPr>
          <w:rFonts w:ascii="Times New Roman" w:hAnsi="Times New Roman" w:cs="Times New Roman"/>
          <w:highlight w:val="yellow"/>
        </w:rPr>
        <w:t>Zohrameena</w:t>
      </w:r>
      <w:proofErr w:type="spellEnd"/>
      <w:r w:rsidRPr="009E2FA1">
        <w:rPr>
          <w:rFonts w:ascii="Times New Roman" w:hAnsi="Times New Roman" w:cs="Times New Roman"/>
          <w:highlight w:val="yellow"/>
        </w:rPr>
        <w:t xml:space="preserve">, S. (2016).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for traditional uses and pharmacological actions. Journal of Drug Delivery and Therapeutics, 6(2), 40-44.</w:t>
      </w:r>
    </w:p>
    <w:p w14:paraId="43DAB51B"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American Diabetes Association. (2017). 2. Classification and diagnosis of diabetes. Diabetes care, 40(Supplement 1), S11-S24.</w:t>
      </w:r>
    </w:p>
    <w:p w14:paraId="3862944A" w14:textId="77777777" w:rsidR="009A5B83" w:rsidRPr="009E2FA1" w:rsidRDefault="009A5B83" w:rsidP="009A5B83">
      <w:pPr>
        <w:jc w:val="both"/>
        <w:rPr>
          <w:rFonts w:ascii="Times New Roman" w:hAnsi="Times New Roman" w:cs="Times New Roman"/>
          <w:highlight w:val="yellow"/>
        </w:rPr>
      </w:pPr>
      <w:proofErr w:type="spellStart"/>
      <w:r w:rsidRPr="009E2FA1">
        <w:rPr>
          <w:rFonts w:ascii="Times New Roman" w:hAnsi="Times New Roman" w:cs="Times New Roman"/>
          <w:highlight w:val="yellow"/>
        </w:rPr>
        <w:t>Anilakumar</w:t>
      </w:r>
      <w:proofErr w:type="spellEnd"/>
      <w:r w:rsidRPr="009E2FA1">
        <w:rPr>
          <w:rFonts w:ascii="Times New Roman" w:hAnsi="Times New Roman" w:cs="Times New Roman"/>
          <w:highlight w:val="yellow"/>
        </w:rPr>
        <w:t xml:space="preserve">, K. R., Kumar, G. P., &amp; Ilaiyaraja, N. (2015). Nutritional, pharmacological and medicinal properties of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International Journal of Nutrition and Food Sciences, 4(1), 73-83.</w:t>
      </w:r>
    </w:p>
    <w:p w14:paraId="38DFBFAA"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lastRenderedPageBreak/>
        <w:t xml:space="preserve">Berraho, M., El </w:t>
      </w:r>
      <w:proofErr w:type="spellStart"/>
      <w:r w:rsidRPr="009E2FA1">
        <w:rPr>
          <w:rFonts w:ascii="Times New Roman" w:hAnsi="Times New Roman" w:cs="Times New Roman"/>
          <w:highlight w:val="yellow"/>
        </w:rPr>
        <w:t>Achhab</w:t>
      </w:r>
      <w:proofErr w:type="spellEnd"/>
      <w:r w:rsidRPr="009E2FA1">
        <w:rPr>
          <w:rFonts w:ascii="Times New Roman" w:hAnsi="Times New Roman" w:cs="Times New Roman"/>
          <w:highlight w:val="yellow"/>
        </w:rPr>
        <w:t xml:space="preserve">, Y., Benslimane, A., </w:t>
      </w:r>
      <w:proofErr w:type="spellStart"/>
      <w:r w:rsidRPr="009E2FA1">
        <w:rPr>
          <w:rFonts w:ascii="Times New Roman" w:hAnsi="Times New Roman" w:cs="Times New Roman"/>
          <w:highlight w:val="yellow"/>
        </w:rPr>
        <w:t>Rhazi</w:t>
      </w:r>
      <w:proofErr w:type="spellEnd"/>
      <w:r w:rsidRPr="009E2FA1">
        <w:rPr>
          <w:rFonts w:ascii="Times New Roman" w:hAnsi="Times New Roman" w:cs="Times New Roman"/>
          <w:highlight w:val="yellow"/>
        </w:rPr>
        <w:t xml:space="preserve">, K. E., Chikri, M., &amp; </w:t>
      </w:r>
      <w:proofErr w:type="spellStart"/>
      <w:r w:rsidRPr="009E2FA1">
        <w:rPr>
          <w:rFonts w:ascii="Times New Roman" w:hAnsi="Times New Roman" w:cs="Times New Roman"/>
          <w:highlight w:val="yellow"/>
        </w:rPr>
        <w:t>Nejjari</w:t>
      </w:r>
      <w:proofErr w:type="spellEnd"/>
      <w:r w:rsidRPr="009E2FA1">
        <w:rPr>
          <w:rFonts w:ascii="Times New Roman" w:hAnsi="Times New Roman" w:cs="Times New Roman"/>
          <w:highlight w:val="yellow"/>
        </w:rPr>
        <w:t>, C. (2012). Hypertension and type 2 diabetes: a cross-sectional study in Morocco (EPIDIAM Study). Pan African Medical Journal, 11(1).</w:t>
      </w:r>
    </w:p>
    <w:p w14:paraId="7AC89BFE"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Dahlquist, A., Jandali, D., Nauman, M. C., &amp; Johnson, J. J. (2023). Clinical application of Momordica char-</w:t>
      </w:r>
      <w:proofErr w:type="spellStart"/>
      <w:r w:rsidRPr="009E2FA1">
        <w:rPr>
          <w:rFonts w:ascii="Times New Roman" w:hAnsi="Times New Roman" w:cs="Times New Roman"/>
          <w:highlight w:val="yellow"/>
        </w:rPr>
        <w:t>antia</w:t>
      </w:r>
      <w:proofErr w:type="spellEnd"/>
      <w:r w:rsidRPr="009E2FA1">
        <w:rPr>
          <w:rFonts w:ascii="Times New Roman" w:hAnsi="Times New Roman" w:cs="Times New Roman"/>
          <w:highlight w:val="yellow"/>
        </w:rPr>
        <w:t xml:space="preserve"> (Bitter Melon) for reducing blood sugar in type 2 diabetes </w:t>
      </w:r>
      <w:proofErr w:type="spellStart"/>
      <w:r w:rsidRPr="009E2FA1">
        <w:rPr>
          <w:rFonts w:ascii="Times New Roman" w:hAnsi="Times New Roman" w:cs="Times New Roman"/>
          <w:highlight w:val="yellow"/>
        </w:rPr>
        <w:t>melli-tus</w:t>
      </w:r>
      <w:proofErr w:type="spellEnd"/>
      <w:r w:rsidRPr="009E2FA1">
        <w:rPr>
          <w:rFonts w:ascii="Times New Roman" w:hAnsi="Times New Roman" w:cs="Times New Roman"/>
          <w:highlight w:val="yellow"/>
        </w:rPr>
        <w:t>. International Journal of Nutrition-7 (4), 8-26.</w:t>
      </w:r>
    </w:p>
    <w:p w14:paraId="7D156B29"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De Boer, I. H., Bangalore, S., </w:t>
      </w:r>
      <w:proofErr w:type="spellStart"/>
      <w:r w:rsidRPr="009E2FA1">
        <w:rPr>
          <w:rFonts w:ascii="Times New Roman" w:hAnsi="Times New Roman" w:cs="Times New Roman"/>
          <w:highlight w:val="yellow"/>
        </w:rPr>
        <w:t>Benetos</w:t>
      </w:r>
      <w:proofErr w:type="spellEnd"/>
      <w:r w:rsidRPr="009E2FA1">
        <w:rPr>
          <w:rFonts w:ascii="Times New Roman" w:hAnsi="Times New Roman" w:cs="Times New Roman"/>
          <w:highlight w:val="yellow"/>
        </w:rPr>
        <w:t xml:space="preserve">, A., Davis, A. M., Michos, E. D., Muntner, P., ... &amp; </w:t>
      </w:r>
      <w:proofErr w:type="spellStart"/>
      <w:r w:rsidRPr="009E2FA1">
        <w:rPr>
          <w:rFonts w:ascii="Times New Roman" w:hAnsi="Times New Roman" w:cs="Times New Roman"/>
          <w:highlight w:val="yellow"/>
        </w:rPr>
        <w:t>Bakris</w:t>
      </w:r>
      <w:proofErr w:type="spellEnd"/>
      <w:r w:rsidRPr="009E2FA1">
        <w:rPr>
          <w:rFonts w:ascii="Times New Roman" w:hAnsi="Times New Roman" w:cs="Times New Roman"/>
          <w:highlight w:val="yellow"/>
        </w:rPr>
        <w:t>, G. (2017). Diabetes and hypertension: a position statement by the American Diabetes Association. Diabetes care, 40(9), 1273-1284.</w:t>
      </w:r>
    </w:p>
    <w:p w14:paraId="39BD08E5"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De Ferranti, S. D., De Boer, I. H., Fonseca, V., Fox, C. S., Golden, S. H., Lavie, C. J., ... &amp; Zinman, B. (2014). Type 1 diabetes mellitus and cardiovascular disease: a scientific statement from the American Heart Association and American Diabetes Association. Circulation, 130(13), 1110-1130.</w:t>
      </w:r>
    </w:p>
    <w:p w14:paraId="240AFC8E"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Definition, W. H. O. (2006). Diagnosis of diabetes mellitus and intermediate </w:t>
      </w:r>
      <w:proofErr w:type="spellStart"/>
      <w:r w:rsidRPr="009E2FA1">
        <w:rPr>
          <w:rFonts w:ascii="Times New Roman" w:hAnsi="Times New Roman" w:cs="Times New Roman"/>
          <w:highlight w:val="yellow"/>
        </w:rPr>
        <w:t>hyperglycemia</w:t>
      </w:r>
      <w:proofErr w:type="spellEnd"/>
      <w:r w:rsidRPr="009E2FA1">
        <w:rPr>
          <w:rFonts w:ascii="Times New Roman" w:hAnsi="Times New Roman" w:cs="Times New Roman"/>
          <w:highlight w:val="yellow"/>
        </w:rPr>
        <w:t>: report of a WHO/IDF consultation. Geneva: World Health Organization, 3.</w:t>
      </w:r>
    </w:p>
    <w:p w14:paraId="54879260"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Fox, C. S., Golden, S. H., Anderson, C., Bray, G. A., Burke, L. E., De Boer, I. H., ... &amp; </w:t>
      </w:r>
      <w:proofErr w:type="spellStart"/>
      <w:r w:rsidRPr="009E2FA1">
        <w:rPr>
          <w:rFonts w:ascii="Times New Roman" w:hAnsi="Times New Roman" w:cs="Times New Roman"/>
          <w:highlight w:val="yellow"/>
        </w:rPr>
        <w:t>Inzucchi</w:t>
      </w:r>
      <w:proofErr w:type="spellEnd"/>
      <w:r w:rsidRPr="009E2FA1">
        <w:rPr>
          <w:rFonts w:ascii="Times New Roman" w:hAnsi="Times New Roman" w:cs="Times New Roman"/>
          <w:highlight w:val="yellow"/>
        </w:rPr>
        <w:t xml:space="preserve">, S. E. (2015). American Heart Association Diabetes Committee of the Council on Lifestyle and Cardiometabolic Health; Council on Clinical Cardiology, Council on Cardiovascular and Stroke Nursing, Council on Cardiovascular Surgery and </w:t>
      </w:r>
      <w:proofErr w:type="spellStart"/>
      <w:r w:rsidRPr="009E2FA1">
        <w:rPr>
          <w:rFonts w:ascii="Times New Roman" w:hAnsi="Times New Roman" w:cs="Times New Roman"/>
          <w:highlight w:val="yellow"/>
        </w:rPr>
        <w:t>Anesthesia</w:t>
      </w:r>
      <w:proofErr w:type="spellEnd"/>
      <w:r w:rsidRPr="009E2FA1">
        <w:rPr>
          <w:rFonts w:ascii="Times New Roman" w:hAnsi="Times New Roman" w:cs="Times New Roman"/>
          <w:highlight w:val="yellow"/>
        </w:rPr>
        <w:t>, Council on Quality of Care and Outcomes Research; American Diabetes Association. Update on prevention of cardiovascular disease in adults with type 2 diabetes mellitus in light of recent evidence: a scientific statement from the American Heart Association and the American.... Diabetes Care, 38(9), 1777-803.</w:t>
      </w:r>
    </w:p>
    <w:p w14:paraId="70074EF4"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Garrow, J.S. and Webster, J. 1985. </w:t>
      </w:r>
      <w:proofErr w:type="spellStart"/>
      <w:r w:rsidRPr="009E2FA1">
        <w:rPr>
          <w:rFonts w:ascii="Times New Roman" w:hAnsi="Times New Roman" w:cs="Times New Roman"/>
          <w:highlight w:val="yellow"/>
        </w:rPr>
        <w:t>Quetelets</w:t>
      </w:r>
      <w:proofErr w:type="spellEnd"/>
      <w:r w:rsidRPr="009E2FA1">
        <w:rPr>
          <w:rFonts w:ascii="Times New Roman" w:hAnsi="Times New Roman" w:cs="Times New Roman"/>
          <w:highlight w:val="yellow"/>
        </w:rPr>
        <w:t xml:space="preserve"> index (W/H2) as a measure of fatness. International Journal of Obesity 9: 147-53.</w:t>
      </w:r>
    </w:p>
    <w:p w14:paraId="636CDDED"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Gupta, M., Sharma, S., Gautam, A. K., &amp; </w:t>
      </w:r>
      <w:proofErr w:type="spellStart"/>
      <w:r w:rsidRPr="009E2FA1">
        <w:rPr>
          <w:rFonts w:ascii="Times New Roman" w:hAnsi="Times New Roman" w:cs="Times New Roman"/>
          <w:highlight w:val="yellow"/>
        </w:rPr>
        <w:t>Bhadauria</w:t>
      </w:r>
      <w:proofErr w:type="spellEnd"/>
      <w:r w:rsidRPr="009E2FA1">
        <w:rPr>
          <w:rFonts w:ascii="Times New Roman" w:hAnsi="Times New Roman" w:cs="Times New Roman"/>
          <w:highlight w:val="yellow"/>
        </w:rPr>
        <w:t xml:space="preserve">, R. (2011).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xml:space="preserve"> </w:t>
      </w:r>
      <w:proofErr w:type="gramStart"/>
      <w:r w:rsidRPr="009E2FA1">
        <w:rPr>
          <w:rFonts w:ascii="Times New Roman" w:hAnsi="Times New Roman" w:cs="Times New Roman"/>
          <w:highlight w:val="yellow"/>
        </w:rPr>
        <w:t>Linn.(</w:t>
      </w:r>
      <w:proofErr w:type="gramEnd"/>
      <w:r w:rsidRPr="009E2FA1">
        <w:rPr>
          <w:rFonts w:ascii="Times New Roman" w:hAnsi="Times New Roman" w:cs="Times New Roman"/>
          <w:highlight w:val="yellow"/>
        </w:rPr>
        <w:t>Karela): Nature’s silent healer. International Journal of Pharmaceutical Sciences Review and Research, 11(1), 32-37.</w:t>
      </w:r>
    </w:p>
    <w:p w14:paraId="628AAD87" w14:textId="77777777" w:rsidR="009A5B83" w:rsidRPr="009E2FA1" w:rsidRDefault="009A5B83" w:rsidP="009A5B83">
      <w:pPr>
        <w:jc w:val="both"/>
        <w:rPr>
          <w:rFonts w:ascii="Times New Roman" w:hAnsi="Times New Roman" w:cs="Times New Roman"/>
          <w:highlight w:val="yellow"/>
        </w:rPr>
      </w:pPr>
      <w:proofErr w:type="spellStart"/>
      <w:r w:rsidRPr="009E2FA1">
        <w:rPr>
          <w:rFonts w:ascii="Times New Roman" w:hAnsi="Times New Roman" w:cs="Times New Roman"/>
          <w:highlight w:val="yellow"/>
        </w:rPr>
        <w:t>Hashemizadeh</w:t>
      </w:r>
      <w:proofErr w:type="spellEnd"/>
      <w:r w:rsidRPr="009E2FA1">
        <w:rPr>
          <w:rFonts w:ascii="Times New Roman" w:hAnsi="Times New Roman" w:cs="Times New Roman"/>
          <w:highlight w:val="yellow"/>
        </w:rPr>
        <w:t xml:space="preserve">, H., &amp; </w:t>
      </w:r>
      <w:proofErr w:type="spellStart"/>
      <w:r w:rsidRPr="009E2FA1">
        <w:rPr>
          <w:rFonts w:ascii="Times New Roman" w:hAnsi="Times New Roman" w:cs="Times New Roman"/>
          <w:highlight w:val="yellow"/>
        </w:rPr>
        <w:t>Sarvelayati</w:t>
      </w:r>
      <w:proofErr w:type="spellEnd"/>
      <w:r w:rsidRPr="009E2FA1">
        <w:rPr>
          <w:rFonts w:ascii="Times New Roman" w:hAnsi="Times New Roman" w:cs="Times New Roman"/>
          <w:highlight w:val="yellow"/>
        </w:rPr>
        <w:t xml:space="preserve">, D. (2013). Hypertension and type 2 diabetes: a cross-sectional study in hospitalized patients in </w:t>
      </w:r>
      <w:proofErr w:type="spellStart"/>
      <w:r w:rsidRPr="009E2FA1">
        <w:rPr>
          <w:rFonts w:ascii="Times New Roman" w:hAnsi="Times New Roman" w:cs="Times New Roman"/>
          <w:highlight w:val="yellow"/>
        </w:rPr>
        <w:t>Quchan</w:t>
      </w:r>
      <w:proofErr w:type="spellEnd"/>
      <w:r w:rsidRPr="009E2FA1">
        <w:rPr>
          <w:rFonts w:ascii="Times New Roman" w:hAnsi="Times New Roman" w:cs="Times New Roman"/>
          <w:highlight w:val="yellow"/>
        </w:rPr>
        <w:t>, Iran. Iranian Journal of Diabetes and Obesity, 5(1), 21-26.</w:t>
      </w:r>
    </w:p>
    <w:p w14:paraId="7D300B7A"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Hung, W. T., Sutopo, C. C. Y., </w:t>
      </w:r>
      <w:proofErr w:type="spellStart"/>
      <w:r w:rsidRPr="009E2FA1">
        <w:rPr>
          <w:rFonts w:ascii="Times New Roman" w:hAnsi="Times New Roman" w:cs="Times New Roman"/>
          <w:highlight w:val="yellow"/>
        </w:rPr>
        <w:t>Mahatmanto</w:t>
      </w:r>
      <w:proofErr w:type="spellEnd"/>
      <w:r w:rsidRPr="009E2FA1">
        <w:rPr>
          <w:rFonts w:ascii="Times New Roman" w:hAnsi="Times New Roman" w:cs="Times New Roman"/>
          <w:highlight w:val="yellow"/>
        </w:rPr>
        <w:t xml:space="preserve">, T., Wu, M. L., &amp; Hsu, J. L. (2024). Exploring the Antidiabetic and Antihypertensive Potential of Peptides Derived from Bitter Melon Seed Hydrolysate. Biomedicines, 12(11), 2452. </w:t>
      </w:r>
    </w:p>
    <w:p w14:paraId="373535B1"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Hussain, R., Perveen, R., Murtaza, A., Huali, X., Manzoor, M. S., Younas, S., ... &amp; Babur, M. N. (2022). Medicinal and </w:t>
      </w:r>
      <w:proofErr w:type="spellStart"/>
      <w:r w:rsidRPr="009E2FA1">
        <w:rPr>
          <w:rFonts w:ascii="Times New Roman" w:hAnsi="Times New Roman" w:cs="Times New Roman"/>
          <w:highlight w:val="yellow"/>
        </w:rPr>
        <w:t>healthpromoting</w:t>
      </w:r>
      <w:proofErr w:type="spellEnd"/>
      <w:r w:rsidRPr="009E2FA1">
        <w:rPr>
          <w:rFonts w:ascii="Times New Roman" w:hAnsi="Times New Roman" w:cs="Times New Roman"/>
          <w:highlight w:val="yellow"/>
        </w:rPr>
        <w:t xml:space="preserve"> properties of bitter gourd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and its extracts. J Pharm Res Int, 34, 66-76.</w:t>
      </w:r>
    </w:p>
    <w:p w14:paraId="0F599036"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ICMR (2018). Guidelines for Management of Type 2 Diabetes. Indian Council of Medical Research, New Delhi.</w:t>
      </w:r>
    </w:p>
    <w:p w14:paraId="79FE10F9"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Indian Consensus Group. (1996). Indian consensus for prevention of hypertension and coronary heart disease. A joint scientific statement of Indian Society of Hypertension and International College of Nutrition. J </w:t>
      </w:r>
      <w:proofErr w:type="spellStart"/>
      <w:r w:rsidRPr="009E2FA1">
        <w:rPr>
          <w:rFonts w:ascii="Times New Roman" w:hAnsi="Times New Roman" w:cs="Times New Roman"/>
          <w:highlight w:val="yellow"/>
        </w:rPr>
        <w:t>Nutr</w:t>
      </w:r>
      <w:proofErr w:type="spellEnd"/>
      <w:r w:rsidRPr="009E2FA1">
        <w:rPr>
          <w:rFonts w:ascii="Times New Roman" w:hAnsi="Times New Roman" w:cs="Times New Roman"/>
          <w:highlight w:val="yellow"/>
        </w:rPr>
        <w:t xml:space="preserve"> Environ Med, 6, 309-318.</w:t>
      </w:r>
    </w:p>
    <w:p w14:paraId="22DE2ADA"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lastRenderedPageBreak/>
        <w:t>International diabetes federation. IDF Diabetes Atlas, 8th edition, Brussels Belgium: international diabetes federation, 2017.</w:t>
      </w:r>
    </w:p>
    <w:p w14:paraId="401EB38E"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Kaur G. (2017). Diet </w:t>
      </w:r>
      <w:proofErr w:type="spellStart"/>
      <w:r w:rsidRPr="009E2FA1">
        <w:rPr>
          <w:rFonts w:ascii="Times New Roman" w:hAnsi="Times New Roman" w:cs="Times New Roman"/>
          <w:highlight w:val="yellow"/>
        </w:rPr>
        <w:t>cal</w:t>
      </w:r>
      <w:proofErr w:type="spellEnd"/>
      <w:r w:rsidRPr="009E2FA1">
        <w:rPr>
          <w:rFonts w:ascii="Times New Roman" w:hAnsi="Times New Roman" w:cs="Times New Roman"/>
          <w:highlight w:val="yellow"/>
        </w:rPr>
        <w:t>: A tool for dietary assessment and planning; software version 8.: Profound Tech Solutions. Department of Dietetics, AIIMS, New Delhi, India.</w:t>
      </w:r>
    </w:p>
    <w:p w14:paraId="74DB1790"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Kumar, S., Shachi, K., &amp; Dubey, N. K. (2024). Impact of Bitter Gourd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xml:space="preserve">) </w:t>
      </w:r>
      <w:proofErr w:type="spellStart"/>
      <w:r w:rsidRPr="009E2FA1">
        <w:rPr>
          <w:rFonts w:ascii="Times New Roman" w:hAnsi="Times New Roman" w:cs="Times New Roman"/>
          <w:highlight w:val="yellow"/>
        </w:rPr>
        <w:t>Hypoglycemic</w:t>
      </w:r>
      <w:proofErr w:type="spellEnd"/>
      <w:r w:rsidRPr="009E2FA1">
        <w:rPr>
          <w:rFonts w:ascii="Times New Roman" w:hAnsi="Times New Roman" w:cs="Times New Roman"/>
          <w:highlight w:val="yellow"/>
        </w:rPr>
        <w:t xml:space="preserve"> Formulation on Biochemical Parameters in Alloxan-induced Diabetic Albino Rats. Asian Journal of Research in Zoology, 7(4), 1–12. https://doi.org/10.9734/ajriz/2024/v7i4163</w:t>
      </w:r>
    </w:p>
    <w:p w14:paraId="1423EC5F"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Kwatra, D., Dandawate, P., Padhye, S., &amp; Anant, S. (2016). Bitter Melon as a Therapy for Diabetes, Inflammation, and Cancer: a </w:t>
      </w:r>
      <w:proofErr w:type="gramStart"/>
      <w:r w:rsidRPr="009E2FA1">
        <w:rPr>
          <w:rFonts w:ascii="Times New Roman" w:hAnsi="Times New Roman" w:cs="Times New Roman"/>
          <w:highlight w:val="yellow"/>
        </w:rPr>
        <w:t>Panacea?.</w:t>
      </w:r>
      <w:proofErr w:type="gramEnd"/>
      <w:r w:rsidRPr="009E2FA1">
        <w:rPr>
          <w:rFonts w:ascii="Times New Roman" w:hAnsi="Times New Roman" w:cs="Times New Roman"/>
          <w:highlight w:val="yellow"/>
        </w:rPr>
        <w:t xml:space="preserve"> Current Pharmacology Reports, 2(1), 34-44.</w:t>
      </w:r>
    </w:p>
    <w:p w14:paraId="412FB222"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Longvah, T., Ananthan, R., </w:t>
      </w:r>
      <w:proofErr w:type="spellStart"/>
      <w:r w:rsidRPr="009E2FA1">
        <w:rPr>
          <w:rFonts w:ascii="Times New Roman" w:hAnsi="Times New Roman" w:cs="Times New Roman"/>
          <w:highlight w:val="yellow"/>
        </w:rPr>
        <w:t>Bhaskarachary</w:t>
      </w:r>
      <w:proofErr w:type="spellEnd"/>
      <w:r w:rsidRPr="009E2FA1">
        <w:rPr>
          <w:rFonts w:ascii="Times New Roman" w:hAnsi="Times New Roman" w:cs="Times New Roman"/>
          <w:highlight w:val="yellow"/>
        </w:rPr>
        <w:t>, K., &amp; Venkaiah, K. (2017). Indian Food Composition Tables. (T. Longvah, Ed.). Hyderabad, India: National Institute of Nutrition, Indian Council of Medical Research, Ministry of Health and Family Welfare, Government of India.</w:t>
      </w:r>
    </w:p>
    <w:p w14:paraId="5DD18FFA" w14:textId="77777777" w:rsidR="009A5B83" w:rsidRPr="009E2FA1" w:rsidRDefault="009A5B83" w:rsidP="009A5B83">
      <w:pPr>
        <w:jc w:val="both"/>
        <w:rPr>
          <w:rFonts w:ascii="Times New Roman" w:hAnsi="Times New Roman" w:cs="Times New Roman"/>
          <w:highlight w:val="yellow"/>
        </w:rPr>
      </w:pPr>
      <w:proofErr w:type="spellStart"/>
      <w:r w:rsidRPr="009E2FA1">
        <w:rPr>
          <w:rFonts w:ascii="Times New Roman" w:hAnsi="Times New Roman" w:cs="Times New Roman"/>
          <w:highlight w:val="yellow"/>
        </w:rPr>
        <w:t>Maniarasu</w:t>
      </w:r>
      <w:proofErr w:type="spellEnd"/>
      <w:r w:rsidRPr="009E2FA1">
        <w:rPr>
          <w:rFonts w:ascii="Times New Roman" w:hAnsi="Times New Roman" w:cs="Times New Roman"/>
          <w:highlight w:val="yellow"/>
        </w:rPr>
        <w:t xml:space="preserve">, K., &amp; </w:t>
      </w:r>
      <w:proofErr w:type="spellStart"/>
      <w:r w:rsidRPr="009E2FA1">
        <w:rPr>
          <w:rFonts w:ascii="Times New Roman" w:hAnsi="Times New Roman" w:cs="Times New Roman"/>
          <w:highlight w:val="yellow"/>
        </w:rPr>
        <w:t>Muthunarayanan</w:t>
      </w:r>
      <w:proofErr w:type="spellEnd"/>
      <w:r w:rsidRPr="009E2FA1">
        <w:rPr>
          <w:rFonts w:ascii="Times New Roman" w:hAnsi="Times New Roman" w:cs="Times New Roman"/>
          <w:highlight w:val="yellow"/>
        </w:rPr>
        <w:t>, L. (2017). Prevalence of certain chronic complications of diabetes among type 2 diabetic patients in rural population of Kancheepuram District, Tamil Nadu-a cross sectional study. International Journal of Medicine and Public Health, 7(1).</w:t>
      </w:r>
    </w:p>
    <w:p w14:paraId="4B8D4A8D"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Nair, A., </w:t>
      </w:r>
      <w:proofErr w:type="spellStart"/>
      <w:r w:rsidRPr="009E2FA1">
        <w:rPr>
          <w:rFonts w:ascii="Times New Roman" w:hAnsi="Times New Roman" w:cs="Times New Roman"/>
          <w:highlight w:val="yellow"/>
        </w:rPr>
        <w:t>Jayakumari</w:t>
      </w:r>
      <w:proofErr w:type="spellEnd"/>
      <w:r w:rsidRPr="009E2FA1">
        <w:rPr>
          <w:rFonts w:ascii="Times New Roman" w:hAnsi="Times New Roman" w:cs="Times New Roman"/>
          <w:highlight w:val="yellow"/>
        </w:rPr>
        <w:t>, C., Jabbar, P. K., Jayakumar, R. V., Raizada, N., Gopi, A., ... &amp; Seena, T. P. (2018). Prevalence and Associations of Hypothyroidism in Indian Patients with Type 2 Diabetes Mellitus. Journal of thyroid research, 2018.</w:t>
      </w:r>
    </w:p>
    <w:p w14:paraId="0671F02C"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National Family Health Survey 2015-2016, Ministry of Health and Family Welfare (MoHFW)</w:t>
      </w:r>
      <w:proofErr w:type="gramStart"/>
      <w:r w:rsidRPr="009E2FA1">
        <w:rPr>
          <w:rFonts w:ascii="Times New Roman" w:hAnsi="Times New Roman" w:cs="Times New Roman"/>
          <w:highlight w:val="yellow"/>
        </w:rPr>
        <w:t>GovernmentofIndia.Availableat:http://rchiips.org/NFHS/pdf/NFHS4/India.pdf</w:t>
      </w:r>
      <w:proofErr w:type="gramEnd"/>
    </w:p>
    <w:p w14:paraId="5C177F81"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NCD Risk Factor Collaboration. (2016). Worldwide trends in diabetes since 1980: a pooled analysis of 751 population-based studies with 4· 4 million participants. The Lancet, 387(10027), 1513-1530.</w:t>
      </w:r>
    </w:p>
    <w:p w14:paraId="0C83688F" w14:textId="77777777" w:rsidR="009A5B83" w:rsidRPr="009E2FA1" w:rsidRDefault="009A5B83" w:rsidP="009A5B83">
      <w:pPr>
        <w:jc w:val="both"/>
        <w:rPr>
          <w:rFonts w:ascii="Times New Roman" w:hAnsi="Times New Roman" w:cs="Times New Roman"/>
          <w:highlight w:val="yellow"/>
        </w:rPr>
      </w:pPr>
      <w:proofErr w:type="spellStart"/>
      <w:r w:rsidRPr="009E2FA1">
        <w:rPr>
          <w:rFonts w:ascii="Times New Roman" w:hAnsi="Times New Roman" w:cs="Times New Roman"/>
          <w:highlight w:val="yellow"/>
        </w:rPr>
        <w:t>Opeodu</w:t>
      </w:r>
      <w:proofErr w:type="spellEnd"/>
      <w:r w:rsidRPr="009E2FA1">
        <w:rPr>
          <w:rFonts w:ascii="Times New Roman" w:hAnsi="Times New Roman" w:cs="Times New Roman"/>
          <w:highlight w:val="yellow"/>
        </w:rPr>
        <w:t>, O. I., &amp; Adeyemi, B. F. (2015). Prevalence of coexisting diabetes mellitus and hypertension among dental patients in a tertiary care hospital. Journal of the West African College of Surgeons, 5(3), 16.</w:t>
      </w:r>
    </w:p>
    <w:p w14:paraId="284EF09F"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Patel, M., Patel, I. M., Patel, Y. M., &amp; Rathi, S. K. (2013). A hospital-based observational study of type 2 diabetic subjects from India. Indian J Clin </w:t>
      </w:r>
      <w:proofErr w:type="spellStart"/>
      <w:r w:rsidRPr="009E2FA1">
        <w:rPr>
          <w:rFonts w:ascii="Times New Roman" w:hAnsi="Times New Roman" w:cs="Times New Roman"/>
          <w:highlight w:val="yellow"/>
        </w:rPr>
        <w:t>Pract</w:t>
      </w:r>
      <w:proofErr w:type="spellEnd"/>
      <w:r w:rsidRPr="009E2FA1">
        <w:rPr>
          <w:rFonts w:ascii="Times New Roman" w:hAnsi="Times New Roman" w:cs="Times New Roman"/>
          <w:highlight w:val="yellow"/>
        </w:rPr>
        <w:t>, 24, 141-148.</w:t>
      </w:r>
    </w:p>
    <w:p w14:paraId="7771BFDA"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Paul A. James, MD; Suzanne </w:t>
      </w:r>
      <w:proofErr w:type="spellStart"/>
      <w:r w:rsidRPr="009E2FA1">
        <w:rPr>
          <w:rFonts w:ascii="Times New Roman" w:hAnsi="Times New Roman" w:cs="Times New Roman"/>
          <w:highlight w:val="yellow"/>
        </w:rPr>
        <w:t>Oparil</w:t>
      </w:r>
      <w:proofErr w:type="spellEnd"/>
      <w:r w:rsidRPr="009E2FA1">
        <w:rPr>
          <w:rFonts w:ascii="Times New Roman" w:hAnsi="Times New Roman" w:cs="Times New Roman"/>
          <w:highlight w:val="yellow"/>
        </w:rPr>
        <w:t xml:space="preserve">, MD; Barry L. Carter, PharmD; William C. Cushman, MD; Cheryl Dennison-Himmelfarb, RN, ANP, PhD; Joel Handler, </w:t>
      </w:r>
      <w:proofErr w:type="spellStart"/>
      <w:proofErr w:type="gramStart"/>
      <w:r w:rsidRPr="009E2FA1">
        <w:rPr>
          <w:rFonts w:ascii="Times New Roman" w:hAnsi="Times New Roman" w:cs="Times New Roman"/>
          <w:highlight w:val="yellow"/>
        </w:rPr>
        <w:t>MD;Daniel</w:t>
      </w:r>
      <w:proofErr w:type="spellEnd"/>
      <w:proofErr w:type="gramEnd"/>
      <w:r w:rsidRPr="009E2FA1">
        <w:rPr>
          <w:rFonts w:ascii="Times New Roman" w:hAnsi="Times New Roman" w:cs="Times New Roman"/>
          <w:highlight w:val="yellow"/>
        </w:rPr>
        <w:t xml:space="preserve"> T. Lackland, DrPH; Michael L. LeFevre, MD, MSPH; </w:t>
      </w:r>
      <w:proofErr w:type="spellStart"/>
      <w:r w:rsidRPr="009E2FA1">
        <w:rPr>
          <w:rFonts w:ascii="Times New Roman" w:hAnsi="Times New Roman" w:cs="Times New Roman"/>
          <w:highlight w:val="yellow"/>
        </w:rPr>
        <w:t>ThomasD</w:t>
      </w:r>
      <w:proofErr w:type="spellEnd"/>
      <w:r w:rsidRPr="009E2FA1">
        <w:rPr>
          <w:rFonts w:ascii="Times New Roman" w:hAnsi="Times New Roman" w:cs="Times New Roman"/>
          <w:highlight w:val="yellow"/>
        </w:rPr>
        <w:t xml:space="preserve">. </w:t>
      </w:r>
      <w:proofErr w:type="spellStart"/>
      <w:r w:rsidRPr="009E2FA1">
        <w:rPr>
          <w:rFonts w:ascii="Times New Roman" w:hAnsi="Times New Roman" w:cs="Times New Roman"/>
          <w:highlight w:val="yellow"/>
        </w:rPr>
        <w:t>MacKenzie</w:t>
      </w:r>
      <w:proofErr w:type="spellEnd"/>
      <w:r w:rsidRPr="009E2FA1">
        <w:rPr>
          <w:rFonts w:ascii="Times New Roman" w:hAnsi="Times New Roman" w:cs="Times New Roman"/>
          <w:highlight w:val="yellow"/>
        </w:rPr>
        <w:t xml:space="preserve">, MD, MSPH; Olugbenga </w:t>
      </w:r>
      <w:proofErr w:type="spellStart"/>
      <w:r w:rsidRPr="009E2FA1">
        <w:rPr>
          <w:rFonts w:ascii="Times New Roman" w:hAnsi="Times New Roman" w:cs="Times New Roman"/>
          <w:highlight w:val="yellow"/>
        </w:rPr>
        <w:t>Ogedegbe</w:t>
      </w:r>
      <w:proofErr w:type="spellEnd"/>
      <w:r w:rsidRPr="009E2FA1">
        <w:rPr>
          <w:rFonts w:ascii="Times New Roman" w:hAnsi="Times New Roman" w:cs="Times New Roman"/>
          <w:highlight w:val="yellow"/>
        </w:rPr>
        <w:t xml:space="preserve">, MD, M. (2014). 2014 Evidence-Based Guideline for the Management of High Blood Pressure in Adults Report </w:t>
      </w:r>
      <w:proofErr w:type="gramStart"/>
      <w:r w:rsidRPr="009E2FA1">
        <w:rPr>
          <w:rFonts w:ascii="Times New Roman" w:hAnsi="Times New Roman" w:cs="Times New Roman"/>
          <w:highlight w:val="yellow"/>
        </w:rPr>
        <w:t>From</w:t>
      </w:r>
      <w:proofErr w:type="gramEnd"/>
      <w:r w:rsidRPr="009E2FA1">
        <w:rPr>
          <w:rFonts w:ascii="Times New Roman" w:hAnsi="Times New Roman" w:cs="Times New Roman"/>
          <w:highlight w:val="yellow"/>
        </w:rPr>
        <w:t xml:space="preserve"> the Panel Members Appointed to the Eighth Joint National Committee (JNC 8), 1097(5), 507–520. https://doi.org/10.1001/jama.2013.284427</w:t>
      </w:r>
    </w:p>
    <w:p w14:paraId="61DA01F5"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Petrie, J. R., Guzik, T. J., &amp; </w:t>
      </w:r>
      <w:proofErr w:type="spellStart"/>
      <w:r w:rsidRPr="009E2FA1">
        <w:rPr>
          <w:rFonts w:ascii="Times New Roman" w:hAnsi="Times New Roman" w:cs="Times New Roman"/>
          <w:highlight w:val="yellow"/>
        </w:rPr>
        <w:t>Touyz</w:t>
      </w:r>
      <w:proofErr w:type="spellEnd"/>
      <w:r w:rsidRPr="009E2FA1">
        <w:rPr>
          <w:rFonts w:ascii="Times New Roman" w:hAnsi="Times New Roman" w:cs="Times New Roman"/>
          <w:highlight w:val="yellow"/>
        </w:rPr>
        <w:t>, R. M. (2018). Diabetes, hypertension, and cardiovascular disease: clinical insights and vascular mechanisms. Canadian Journal of Cardiology, 34(5), 575-584.</w:t>
      </w:r>
    </w:p>
    <w:p w14:paraId="038A0646"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Singh A, Masuku M. Sampling Techniques &amp; Determination of Sample Size in Applied Statistics Research: an Overview. </w:t>
      </w:r>
      <w:proofErr w:type="spellStart"/>
      <w:r w:rsidRPr="009E2FA1">
        <w:rPr>
          <w:rFonts w:ascii="Times New Roman" w:hAnsi="Times New Roman" w:cs="Times New Roman"/>
          <w:highlight w:val="yellow"/>
        </w:rPr>
        <w:t>IjecmCoUk</w:t>
      </w:r>
      <w:proofErr w:type="spellEnd"/>
      <w:r w:rsidRPr="009E2FA1">
        <w:rPr>
          <w:rFonts w:ascii="Times New Roman" w:hAnsi="Times New Roman" w:cs="Times New Roman"/>
          <w:highlight w:val="yellow"/>
        </w:rPr>
        <w:t xml:space="preserve"> [Internet]. </w:t>
      </w:r>
      <w:proofErr w:type="gramStart"/>
      <w:r w:rsidRPr="009E2FA1">
        <w:rPr>
          <w:rFonts w:ascii="Times New Roman" w:hAnsi="Times New Roman" w:cs="Times New Roman"/>
          <w:highlight w:val="yellow"/>
        </w:rPr>
        <w:t>2014;II</w:t>
      </w:r>
      <w:proofErr w:type="gramEnd"/>
      <w:r w:rsidRPr="009E2FA1">
        <w:rPr>
          <w:rFonts w:ascii="Times New Roman" w:hAnsi="Times New Roman" w:cs="Times New Roman"/>
          <w:highlight w:val="yellow"/>
        </w:rPr>
        <w:t>(11):1–22. Available from: http://ijecm.co.uk/wp-content/uploads/2014/11/21131.pdf</w:t>
      </w:r>
    </w:p>
    <w:p w14:paraId="611F5EFB" w14:textId="77777777" w:rsidR="009A5B83" w:rsidRPr="009E2FA1" w:rsidRDefault="009A5B83" w:rsidP="009A5B83">
      <w:pPr>
        <w:jc w:val="both"/>
        <w:rPr>
          <w:rFonts w:ascii="Times New Roman" w:hAnsi="Times New Roman" w:cs="Times New Roman"/>
          <w:highlight w:val="yellow"/>
        </w:rPr>
      </w:pPr>
      <w:proofErr w:type="spellStart"/>
      <w:r w:rsidRPr="009E2FA1">
        <w:rPr>
          <w:rFonts w:ascii="Times New Roman" w:hAnsi="Times New Roman" w:cs="Times New Roman"/>
          <w:highlight w:val="yellow"/>
        </w:rPr>
        <w:lastRenderedPageBreak/>
        <w:t>Unadike</w:t>
      </w:r>
      <w:proofErr w:type="spellEnd"/>
      <w:r w:rsidRPr="009E2FA1">
        <w:rPr>
          <w:rFonts w:ascii="Times New Roman" w:hAnsi="Times New Roman" w:cs="Times New Roman"/>
          <w:highlight w:val="yellow"/>
        </w:rPr>
        <w:t xml:space="preserve">, B. C., </w:t>
      </w:r>
      <w:proofErr w:type="spellStart"/>
      <w:r w:rsidRPr="009E2FA1">
        <w:rPr>
          <w:rFonts w:ascii="Times New Roman" w:hAnsi="Times New Roman" w:cs="Times New Roman"/>
          <w:highlight w:val="yellow"/>
        </w:rPr>
        <w:t>Eregie</w:t>
      </w:r>
      <w:proofErr w:type="spellEnd"/>
      <w:r w:rsidRPr="009E2FA1">
        <w:rPr>
          <w:rFonts w:ascii="Times New Roman" w:hAnsi="Times New Roman" w:cs="Times New Roman"/>
          <w:highlight w:val="yellow"/>
        </w:rPr>
        <w:t xml:space="preserve">, A., &amp; </w:t>
      </w:r>
      <w:proofErr w:type="spellStart"/>
      <w:r w:rsidRPr="009E2FA1">
        <w:rPr>
          <w:rFonts w:ascii="Times New Roman" w:hAnsi="Times New Roman" w:cs="Times New Roman"/>
          <w:highlight w:val="yellow"/>
        </w:rPr>
        <w:t>Ohwovoriole</w:t>
      </w:r>
      <w:proofErr w:type="spellEnd"/>
      <w:r w:rsidRPr="009E2FA1">
        <w:rPr>
          <w:rFonts w:ascii="Times New Roman" w:hAnsi="Times New Roman" w:cs="Times New Roman"/>
          <w:highlight w:val="yellow"/>
        </w:rPr>
        <w:t>, A. E. (2011). Prevalence of hypertension amongst persons with diabetes mellitus in Benin City, Nigeria. Nigerian journal of clinical practice, 14(3), 300-302.</w:t>
      </w:r>
    </w:p>
    <w:p w14:paraId="0B8B9BD4"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Wehash, F. E., </w:t>
      </w:r>
      <w:proofErr w:type="spellStart"/>
      <w:r w:rsidRPr="009E2FA1">
        <w:rPr>
          <w:rFonts w:ascii="Times New Roman" w:hAnsi="Times New Roman" w:cs="Times New Roman"/>
          <w:highlight w:val="yellow"/>
        </w:rPr>
        <w:t>Abpo-Ghanema</w:t>
      </w:r>
      <w:proofErr w:type="spellEnd"/>
      <w:r w:rsidRPr="009E2FA1">
        <w:rPr>
          <w:rFonts w:ascii="Times New Roman" w:hAnsi="Times New Roman" w:cs="Times New Roman"/>
          <w:highlight w:val="yellow"/>
        </w:rPr>
        <w:t xml:space="preserve">, I. I., &amp; Saleh, R. M. (2012). Some physiological effects of Momordica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xml:space="preserve"> and Trigonella </w:t>
      </w:r>
      <w:proofErr w:type="spellStart"/>
      <w:r w:rsidRPr="009E2FA1">
        <w:rPr>
          <w:rFonts w:ascii="Times New Roman" w:hAnsi="Times New Roman" w:cs="Times New Roman"/>
          <w:highlight w:val="yellow"/>
        </w:rPr>
        <w:t>foenum</w:t>
      </w:r>
      <w:proofErr w:type="spellEnd"/>
      <w:r w:rsidRPr="009E2FA1">
        <w:rPr>
          <w:rFonts w:ascii="Times New Roman" w:hAnsi="Times New Roman" w:cs="Times New Roman"/>
          <w:highlight w:val="yellow"/>
        </w:rPr>
        <w:t xml:space="preserve">-graecum extracts in diabetic rats as compared with </w:t>
      </w:r>
      <w:proofErr w:type="spellStart"/>
      <w:r w:rsidRPr="009E2FA1">
        <w:rPr>
          <w:rFonts w:ascii="Times New Roman" w:hAnsi="Times New Roman" w:cs="Times New Roman"/>
          <w:highlight w:val="yellow"/>
        </w:rPr>
        <w:t>cidophage</w:t>
      </w:r>
      <w:proofErr w:type="spellEnd"/>
      <w:r w:rsidRPr="009E2FA1">
        <w:rPr>
          <w:rFonts w:ascii="Times New Roman" w:hAnsi="Times New Roman" w:cs="Times New Roman"/>
          <w:highlight w:val="yellow"/>
        </w:rPr>
        <w:t>®. World Academy of Science, Engineering and Technology, 64, 1206-1214.</w:t>
      </w:r>
    </w:p>
    <w:p w14:paraId="05E5C2ED"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Who, E. C. (2004). Appropriate body-mass index for Asian populations and its implications for policy and intervention strategies. Lancet (London, England), 363(9403), 157.</w:t>
      </w:r>
    </w:p>
    <w:p w14:paraId="5A73A655"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World Health Organization, Public Health Agency of Canada, &amp; Canada. Public Health Agency of Canada. (2005). Preventing chronic diseases: a vital investment. World Health Organization</w:t>
      </w:r>
    </w:p>
    <w:p w14:paraId="21C0F97A"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World Health Organization. (2018). Noncommunicable diseases country profiles 2018. Geneva (CH): License CC BY-NC-SA 3.0 IGO2018.</w:t>
      </w:r>
    </w:p>
    <w:p w14:paraId="032F74B2" w14:textId="77777777" w:rsidR="009A5B83" w:rsidRPr="009E2FA1" w:rsidRDefault="009A5B83" w:rsidP="009A5B83">
      <w:pPr>
        <w:jc w:val="both"/>
        <w:rPr>
          <w:rFonts w:ascii="Times New Roman" w:hAnsi="Times New Roman" w:cs="Times New Roman"/>
          <w:highlight w:val="yellow"/>
        </w:rPr>
      </w:pPr>
      <w:r w:rsidRPr="009E2FA1">
        <w:rPr>
          <w:rFonts w:ascii="Times New Roman" w:hAnsi="Times New Roman" w:cs="Times New Roman"/>
          <w:highlight w:val="yellow"/>
        </w:rPr>
        <w:t xml:space="preserve">Yamakawa, T., Sakamoto, R., Takahashi, K., Suzuki, J., </w:t>
      </w:r>
      <w:proofErr w:type="spellStart"/>
      <w:r w:rsidRPr="009E2FA1">
        <w:rPr>
          <w:rFonts w:ascii="Times New Roman" w:hAnsi="Times New Roman" w:cs="Times New Roman"/>
          <w:highlight w:val="yellow"/>
        </w:rPr>
        <w:t>Matuura</w:t>
      </w:r>
      <w:proofErr w:type="spellEnd"/>
      <w:r w:rsidRPr="009E2FA1">
        <w:rPr>
          <w:rFonts w:ascii="Times New Roman" w:hAnsi="Times New Roman" w:cs="Times New Roman"/>
          <w:highlight w:val="yellow"/>
        </w:rPr>
        <w:t xml:space="preserve">‐Shinoda, M., Takahashi, M., ... &amp; Kawata, T. (2019). Dietary survey in Japanese patients with type 2 diabetes and the influence of dietary carbohydrate on glycated </w:t>
      </w:r>
      <w:proofErr w:type="spellStart"/>
      <w:r w:rsidRPr="009E2FA1">
        <w:rPr>
          <w:rFonts w:ascii="Times New Roman" w:hAnsi="Times New Roman" w:cs="Times New Roman"/>
          <w:highlight w:val="yellow"/>
        </w:rPr>
        <w:t>hemoglobin</w:t>
      </w:r>
      <w:proofErr w:type="spellEnd"/>
      <w:r w:rsidRPr="009E2FA1">
        <w:rPr>
          <w:rFonts w:ascii="Times New Roman" w:hAnsi="Times New Roman" w:cs="Times New Roman"/>
          <w:highlight w:val="yellow"/>
        </w:rPr>
        <w:t>: The Sleep and Food Registry in Kanagawa study. Journal of diabetes investigation, 10(2), 309-317.</w:t>
      </w:r>
    </w:p>
    <w:p w14:paraId="49D36EE9" w14:textId="4E9C8D0E" w:rsidR="005D4725" w:rsidRPr="009E2FA1" w:rsidRDefault="009A5B83" w:rsidP="009A5B83">
      <w:pPr>
        <w:jc w:val="both"/>
        <w:rPr>
          <w:rFonts w:ascii="Times New Roman" w:hAnsi="Times New Roman" w:cs="Times New Roman"/>
        </w:rPr>
      </w:pPr>
      <w:r w:rsidRPr="009E2FA1">
        <w:rPr>
          <w:rFonts w:ascii="Times New Roman" w:hAnsi="Times New Roman" w:cs="Times New Roman"/>
          <w:highlight w:val="yellow"/>
        </w:rPr>
        <w:t>Yin, R. V., Lee, N. C., Hirpara, H., &amp; Phung, O. J. (2014). The effect of bitter melon (</w:t>
      </w:r>
      <w:proofErr w:type="spellStart"/>
      <w:r w:rsidRPr="009E2FA1">
        <w:rPr>
          <w:rFonts w:ascii="Times New Roman" w:hAnsi="Times New Roman" w:cs="Times New Roman"/>
          <w:highlight w:val="yellow"/>
        </w:rPr>
        <w:t>Mormordica</w:t>
      </w:r>
      <w:proofErr w:type="spellEnd"/>
      <w:r w:rsidRPr="009E2FA1">
        <w:rPr>
          <w:rFonts w:ascii="Times New Roman" w:hAnsi="Times New Roman" w:cs="Times New Roman"/>
          <w:highlight w:val="yellow"/>
        </w:rPr>
        <w:t xml:space="preserve"> </w:t>
      </w:r>
      <w:proofErr w:type="spellStart"/>
      <w:r w:rsidRPr="009E2FA1">
        <w:rPr>
          <w:rFonts w:ascii="Times New Roman" w:hAnsi="Times New Roman" w:cs="Times New Roman"/>
          <w:highlight w:val="yellow"/>
        </w:rPr>
        <w:t>charantia</w:t>
      </w:r>
      <w:proofErr w:type="spellEnd"/>
      <w:r w:rsidRPr="009E2FA1">
        <w:rPr>
          <w:rFonts w:ascii="Times New Roman" w:hAnsi="Times New Roman" w:cs="Times New Roman"/>
          <w:highlight w:val="yellow"/>
        </w:rPr>
        <w:t>) in patients with diabetes mellitus: a systematic review and meta-analysis. Nutrition &amp; diabetes, 4(12), e145.</w:t>
      </w:r>
    </w:p>
    <w:sectPr w:rsidR="005D4725" w:rsidRPr="009E2FA1" w:rsidSect="00E52B9C">
      <w:pgSz w:w="11907" w:h="16839" w:code="9"/>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CE888" w14:textId="77777777" w:rsidR="00075BE8" w:rsidRDefault="00075BE8">
      <w:pPr>
        <w:spacing w:after="0" w:line="240" w:lineRule="auto"/>
      </w:pPr>
      <w:r>
        <w:separator/>
      </w:r>
    </w:p>
  </w:endnote>
  <w:endnote w:type="continuationSeparator" w:id="0">
    <w:p w14:paraId="2593285C" w14:textId="77777777" w:rsidR="00075BE8" w:rsidRDefault="0007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1E633" w14:textId="77777777" w:rsidR="00075BE8" w:rsidRDefault="00075BE8">
      <w:pPr>
        <w:spacing w:after="0" w:line="240" w:lineRule="auto"/>
      </w:pPr>
      <w:r>
        <w:separator/>
      </w:r>
    </w:p>
  </w:footnote>
  <w:footnote w:type="continuationSeparator" w:id="0">
    <w:p w14:paraId="29F1576C" w14:textId="77777777" w:rsidR="00075BE8" w:rsidRDefault="0007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507F" w14:textId="3820EB80" w:rsidR="006F25CA" w:rsidRDefault="00000000">
    <w:pPr>
      <w:pStyle w:val="Header"/>
    </w:pPr>
    <w:r>
      <w:rPr>
        <w:noProof/>
      </w:rPr>
      <w:pict w14:anchorId="49861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CD68" w14:textId="5DC3F263" w:rsidR="006F25CA" w:rsidRDefault="00000000">
    <w:pPr>
      <w:pStyle w:val="Header"/>
    </w:pPr>
    <w:r>
      <w:rPr>
        <w:noProof/>
      </w:rPr>
      <w:pict w14:anchorId="7B0A86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3E9C" w14:textId="7E06D42C" w:rsidR="006F25CA" w:rsidRDefault="00000000">
    <w:pPr>
      <w:pStyle w:val="Header"/>
    </w:pPr>
    <w:r>
      <w:rPr>
        <w:noProof/>
      </w:rPr>
      <w:pict w14:anchorId="205F2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4CE"/>
    <w:multiLevelType w:val="multilevel"/>
    <w:tmpl w:val="2AF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E0DE6"/>
    <w:multiLevelType w:val="multilevel"/>
    <w:tmpl w:val="AB8C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F195D"/>
    <w:multiLevelType w:val="hybridMultilevel"/>
    <w:tmpl w:val="7B4C7AF0"/>
    <w:lvl w:ilvl="0" w:tplc="FF5C362A">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29B2F3C"/>
    <w:multiLevelType w:val="multilevel"/>
    <w:tmpl w:val="8B7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6C3884"/>
    <w:multiLevelType w:val="hybridMultilevel"/>
    <w:tmpl w:val="E8D49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23269A"/>
    <w:multiLevelType w:val="multilevel"/>
    <w:tmpl w:val="406A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679C4"/>
    <w:multiLevelType w:val="hybridMultilevel"/>
    <w:tmpl w:val="3B78EA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25952421">
    <w:abstractNumId w:val="6"/>
  </w:num>
  <w:num w:numId="2" w16cid:durableId="888030548">
    <w:abstractNumId w:val="5"/>
  </w:num>
  <w:num w:numId="3" w16cid:durableId="1905948039">
    <w:abstractNumId w:val="1"/>
  </w:num>
  <w:num w:numId="4" w16cid:durableId="1058741679">
    <w:abstractNumId w:val="3"/>
  </w:num>
  <w:num w:numId="5" w16cid:durableId="678695678">
    <w:abstractNumId w:val="0"/>
  </w:num>
  <w:num w:numId="6" w16cid:durableId="1955165476">
    <w:abstractNumId w:val="2"/>
  </w:num>
  <w:num w:numId="7" w16cid:durableId="339240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56"/>
    <w:rsid w:val="00021C6B"/>
    <w:rsid w:val="00022DCF"/>
    <w:rsid w:val="00024ABE"/>
    <w:rsid w:val="00037593"/>
    <w:rsid w:val="00037D6A"/>
    <w:rsid w:val="000446F3"/>
    <w:rsid w:val="000462C0"/>
    <w:rsid w:val="0005352F"/>
    <w:rsid w:val="000564AB"/>
    <w:rsid w:val="000608F2"/>
    <w:rsid w:val="00063DBD"/>
    <w:rsid w:val="00075BE8"/>
    <w:rsid w:val="000822E0"/>
    <w:rsid w:val="00087DA4"/>
    <w:rsid w:val="00090D07"/>
    <w:rsid w:val="0009527D"/>
    <w:rsid w:val="000B083C"/>
    <w:rsid w:val="000B59E1"/>
    <w:rsid w:val="000D28A9"/>
    <w:rsid w:val="000E234F"/>
    <w:rsid w:val="000E571A"/>
    <w:rsid w:val="00113F41"/>
    <w:rsid w:val="001225B8"/>
    <w:rsid w:val="00122773"/>
    <w:rsid w:val="00140E62"/>
    <w:rsid w:val="00146329"/>
    <w:rsid w:val="001600D2"/>
    <w:rsid w:val="001615FC"/>
    <w:rsid w:val="00164E87"/>
    <w:rsid w:val="00172F92"/>
    <w:rsid w:val="00173175"/>
    <w:rsid w:val="00182D90"/>
    <w:rsid w:val="00184697"/>
    <w:rsid w:val="001905B2"/>
    <w:rsid w:val="00191DA2"/>
    <w:rsid w:val="001958D4"/>
    <w:rsid w:val="00196BD2"/>
    <w:rsid w:val="001A56EA"/>
    <w:rsid w:val="001C1D04"/>
    <w:rsid w:val="001C4E6A"/>
    <w:rsid w:val="001E3BA6"/>
    <w:rsid w:val="001E4177"/>
    <w:rsid w:val="001F7CC4"/>
    <w:rsid w:val="00207808"/>
    <w:rsid w:val="00220F24"/>
    <w:rsid w:val="00221AD7"/>
    <w:rsid w:val="002255AF"/>
    <w:rsid w:val="00236C5F"/>
    <w:rsid w:val="00241150"/>
    <w:rsid w:val="00244074"/>
    <w:rsid w:val="002501C2"/>
    <w:rsid w:val="00256695"/>
    <w:rsid w:val="002579ED"/>
    <w:rsid w:val="00260ABA"/>
    <w:rsid w:val="0026445E"/>
    <w:rsid w:val="00272532"/>
    <w:rsid w:val="00272D59"/>
    <w:rsid w:val="00281ECA"/>
    <w:rsid w:val="00284340"/>
    <w:rsid w:val="0029242C"/>
    <w:rsid w:val="00296861"/>
    <w:rsid w:val="00296C48"/>
    <w:rsid w:val="00297EEF"/>
    <w:rsid w:val="002A3CDA"/>
    <w:rsid w:val="002D19FA"/>
    <w:rsid w:val="002D349F"/>
    <w:rsid w:val="002D4988"/>
    <w:rsid w:val="002F495C"/>
    <w:rsid w:val="002F6FBB"/>
    <w:rsid w:val="00301123"/>
    <w:rsid w:val="00306984"/>
    <w:rsid w:val="00316A50"/>
    <w:rsid w:val="003222D5"/>
    <w:rsid w:val="00331D42"/>
    <w:rsid w:val="003423E5"/>
    <w:rsid w:val="00345860"/>
    <w:rsid w:val="00353FCE"/>
    <w:rsid w:val="00374DB9"/>
    <w:rsid w:val="00381C13"/>
    <w:rsid w:val="00394483"/>
    <w:rsid w:val="00395CA8"/>
    <w:rsid w:val="00397BCF"/>
    <w:rsid w:val="00397C35"/>
    <w:rsid w:val="003A0989"/>
    <w:rsid w:val="003A2855"/>
    <w:rsid w:val="003C501F"/>
    <w:rsid w:val="003C7384"/>
    <w:rsid w:val="003D41B7"/>
    <w:rsid w:val="003F59F5"/>
    <w:rsid w:val="0040039A"/>
    <w:rsid w:val="00401B2B"/>
    <w:rsid w:val="004048A7"/>
    <w:rsid w:val="00405692"/>
    <w:rsid w:val="00420E07"/>
    <w:rsid w:val="00424005"/>
    <w:rsid w:val="00424C9F"/>
    <w:rsid w:val="00442BB4"/>
    <w:rsid w:val="0045038F"/>
    <w:rsid w:val="004523AB"/>
    <w:rsid w:val="0046700E"/>
    <w:rsid w:val="004718C2"/>
    <w:rsid w:val="00472FF1"/>
    <w:rsid w:val="00475EB1"/>
    <w:rsid w:val="00484891"/>
    <w:rsid w:val="00484F56"/>
    <w:rsid w:val="004856DA"/>
    <w:rsid w:val="00485B6B"/>
    <w:rsid w:val="004867AE"/>
    <w:rsid w:val="00486BDB"/>
    <w:rsid w:val="00490AE0"/>
    <w:rsid w:val="00492877"/>
    <w:rsid w:val="004949AA"/>
    <w:rsid w:val="004B7E24"/>
    <w:rsid w:val="004C38DD"/>
    <w:rsid w:val="004C3F9B"/>
    <w:rsid w:val="004D4CE8"/>
    <w:rsid w:val="004D7DDB"/>
    <w:rsid w:val="004E3B81"/>
    <w:rsid w:val="004E760E"/>
    <w:rsid w:val="004F2C20"/>
    <w:rsid w:val="004F605C"/>
    <w:rsid w:val="005066EC"/>
    <w:rsid w:val="00513044"/>
    <w:rsid w:val="00521FF4"/>
    <w:rsid w:val="00527AA1"/>
    <w:rsid w:val="00532CF4"/>
    <w:rsid w:val="0053328C"/>
    <w:rsid w:val="00552DFA"/>
    <w:rsid w:val="0055636D"/>
    <w:rsid w:val="00577CF6"/>
    <w:rsid w:val="00580361"/>
    <w:rsid w:val="00590931"/>
    <w:rsid w:val="00591E37"/>
    <w:rsid w:val="005A5E91"/>
    <w:rsid w:val="005A6574"/>
    <w:rsid w:val="005B2809"/>
    <w:rsid w:val="005B322B"/>
    <w:rsid w:val="005C65BF"/>
    <w:rsid w:val="005D0983"/>
    <w:rsid w:val="005D4725"/>
    <w:rsid w:val="005D5245"/>
    <w:rsid w:val="005D52F1"/>
    <w:rsid w:val="005E48BA"/>
    <w:rsid w:val="005E55D7"/>
    <w:rsid w:val="005F334D"/>
    <w:rsid w:val="005F4663"/>
    <w:rsid w:val="0060060B"/>
    <w:rsid w:val="00601535"/>
    <w:rsid w:val="00602685"/>
    <w:rsid w:val="00610604"/>
    <w:rsid w:val="00617BF6"/>
    <w:rsid w:val="00623078"/>
    <w:rsid w:val="006259EC"/>
    <w:rsid w:val="0063109D"/>
    <w:rsid w:val="00661977"/>
    <w:rsid w:val="00672D90"/>
    <w:rsid w:val="00677CBB"/>
    <w:rsid w:val="00686148"/>
    <w:rsid w:val="00690224"/>
    <w:rsid w:val="00691C2A"/>
    <w:rsid w:val="00692E98"/>
    <w:rsid w:val="006A3D88"/>
    <w:rsid w:val="006B68EB"/>
    <w:rsid w:val="006D146E"/>
    <w:rsid w:val="006E6AD8"/>
    <w:rsid w:val="006E712D"/>
    <w:rsid w:val="006F25CA"/>
    <w:rsid w:val="006F5156"/>
    <w:rsid w:val="00704462"/>
    <w:rsid w:val="00726A93"/>
    <w:rsid w:val="007339DA"/>
    <w:rsid w:val="007407B7"/>
    <w:rsid w:val="00742425"/>
    <w:rsid w:val="00750706"/>
    <w:rsid w:val="00752E3F"/>
    <w:rsid w:val="00752F14"/>
    <w:rsid w:val="00777760"/>
    <w:rsid w:val="00781DDC"/>
    <w:rsid w:val="00784073"/>
    <w:rsid w:val="00791EFA"/>
    <w:rsid w:val="007931C0"/>
    <w:rsid w:val="007A2893"/>
    <w:rsid w:val="007A3C36"/>
    <w:rsid w:val="007B1104"/>
    <w:rsid w:val="007B669F"/>
    <w:rsid w:val="007C21B0"/>
    <w:rsid w:val="007E4204"/>
    <w:rsid w:val="007F1E49"/>
    <w:rsid w:val="007F291E"/>
    <w:rsid w:val="007F47A9"/>
    <w:rsid w:val="008058D7"/>
    <w:rsid w:val="00815DEB"/>
    <w:rsid w:val="00817F6A"/>
    <w:rsid w:val="00823C89"/>
    <w:rsid w:val="00832FC3"/>
    <w:rsid w:val="008429A1"/>
    <w:rsid w:val="00844536"/>
    <w:rsid w:val="0085368C"/>
    <w:rsid w:val="00855957"/>
    <w:rsid w:val="008673E6"/>
    <w:rsid w:val="00870415"/>
    <w:rsid w:val="0087396D"/>
    <w:rsid w:val="00873C15"/>
    <w:rsid w:val="00873CA1"/>
    <w:rsid w:val="00882624"/>
    <w:rsid w:val="008829C7"/>
    <w:rsid w:val="00892798"/>
    <w:rsid w:val="00893B7A"/>
    <w:rsid w:val="00897ED5"/>
    <w:rsid w:val="008A1BF5"/>
    <w:rsid w:val="008A42C5"/>
    <w:rsid w:val="008A472B"/>
    <w:rsid w:val="008A73A0"/>
    <w:rsid w:val="008C4273"/>
    <w:rsid w:val="008C49C9"/>
    <w:rsid w:val="008D29C4"/>
    <w:rsid w:val="008D4E55"/>
    <w:rsid w:val="008F68EA"/>
    <w:rsid w:val="00900C77"/>
    <w:rsid w:val="00906F52"/>
    <w:rsid w:val="00920166"/>
    <w:rsid w:val="00921A2A"/>
    <w:rsid w:val="00921E95"/>
    <w:rsid w:val="00930154"/>
    <w:rsid w:val="0093703A"/>
    <w:rsid w:val="009374CE"/>
    <w:rsid w:val="00945A82"/>
    <w:rsid w:val="009626AA"/>
    <w:rsid w:val="00977D43"/>
    <w:rsid w:val="00977FB1"/>
    <w:rsid w:val="0099142B"/>
    <w:rsid w:val="009A5B83"/>
    <w:rsid w:val="009B2AB7"/>
    <w:rsid w:val="009C30AF"/>
    <w:rsid w:val="009D4654"/>
    <w:rsid w:val="009D4F71"/>
    <w:rsid w:val="009E2FA1"/>
    <w:rsid w:val="009E33E2"/>
    <w:rsid w:val="009E456A"/>
    <w:rsid w:val="009F220E"/>
    <w:rsid w:val="009F285B"/>
    <w:rsid w:val="009F6394"/>
    <w:rsid w:val="00A00ADC"/>
    <w:rsid w:val="00A0495A"/>
    <w:rsid w:val="00A070BC"/>
    <w:rsid w:val="00A079D9"/>
    <w:rsid w:val="00A1349F"/>
    <w:rsid w:val="00A1500E"/>
    <w:rsid w:val="00A20E26"/>
    <w:rsid w:val="00A32F19"/>
    <w:rsid w:val="00A3635A"/>
    <w:rsid w:val="00A37058"/>
    <w:rsid w:val="00A44E9C"/>
    <w:rsid w:val="00A4732A"/>
    <w:rsid w:val="00A53A53"/>
    <w:rsid w:val="00A57D26"/>
    <w:rsid w:val="00A6176A"/>
    <w:rsid w:val="00A61968"/>
    <w:rsid w:val="00A670EB"/>
    <w:rsid w:val="00A7484B"/>
    <w:rsid w:val="00A75C04"/>
    <w:rsid w:val="00AA0045"/>
    <w:rsid w:val="00AA503F"/>
    <w:rsid w:val="00AA7A1A"/>
    <w:rsid w:val="00AB2401"/>
    <w:rsid w:val="00AC1256"/>
    <w:rsid w:val="00AC2E6D"/>
    <w:rsid w:val="00AC5CE7"/>
    <w:rsid w:val="00AF5A3C"/>
    <w:rsid w:val="00B3115F"/>
    <w:rsid w:val="00B33C0D"/>
    <w:rsid w:val="00B5209B"/>
    <w:rsid w:val="00B54D3A"/>
    <w:rsid w:val="00B55165"/>
    <w:rsid w:val="00B55E64"/>
    <w:rsid w:val="00B57425"/>
    <w:rsid w:val="00B70F66"/>
    <w:rsid w:val="00B73A90"/>
    <w:rsid w:val="00B75DF0"/>
    <w:rsid w:val="00B76532"/>
    <w:rsid w:val="00B81A56"/>
    <w:rsid w:val="00B952EF"/>
    <w:rsid w:val="00B95FC1"/>
    <w:rsid w:val="00BA6B68"/>
    <w:rsid w:val="00BA7ACB"/>
    <w:rsid w:val="00BB5C80"/>
    <w:rsid w:val="00BB69FD"/>
    <w:rsid w:val="00BB71A9"/>
    <w:rsid w:val="00BC1FA6"/>
    <w:rsid w:val="00BC60E8"/>
    <w:rsid w:val="00BD2422"/>
    <w:rsid w:val="00BD65C1"/>
    <w:rsid w:val="00BD7EFC"/>
    <w:rsid w:val="00BF6129"/>
    <w:rsid w:val="00C06D00"/>
    <w:rsid w:val="00C14163"/>
    <w:rsid w:val="00C373C6"/>
    <w:rsid w:val="00C44AD2"/>
    <w:rsid w:val="00C44B6D"/>
    <w:rsid w:val="00C5263E"/>
    <w:rsid w:val="00C6388A"/>
    <w:rsid w:val="00C64150"/>
    <w:rsid w:val="00C674B5"/>
    <w:rsid w:val="00C71EA2"/>
    <w:rsid w:val="00C811CD"/>
    <w:rsid w:val="00C83B1C"/>
    <w:rsid w:val="00C9244A"/>
    <w:rsid w:val="00CA1CD7"/>
    <w:rsid w:val="00CB1551"/>
    <w:rsid w:val="00CB57E2"/>
    <w:rsid w:val="00CC358A"/>
    <w:rsid w:val="00CC3F20"/>
    <w:rsid w:val="00CD39A5"/>
    <w:rsid w:val="00CD5F82"/>
    <w:rsid w:val="00CE1C82"/>
    <w:rsid w:val="00CE5B5A"/>
    <w:rsid w:val="00CE6007"/>
    <w:rsid w:val="00CF2642"/>
    <w:rsid w:val="00D00308"/>
    <w:rsid w:val="00D0799F"/>
    <w:rsid w:val="00D11273"/>
    <w:rsid w:val="00D14820"/>
    <w:rsid w:val="00D228C2"/>
    <w:rsid w:val="00D2420A"/>
    <w:rsid w:val="00D30F72"/>
    <w:rsid w:val="00D31E98"/>
    <w:rsid w:val="00D47FA4"/>
    <w:rsid w:val="00D50781"/>
    <w:rsid w:val="00D52C76"/>
    <w:rsid w:val="00D539B5"/>
    <w:rsid w:val="00D600D8"/>
    <w:rsid w:val="00D61775"/>
    <w:rsid w:val="00D64129"/>
    <w:rsid w:val="00D80295"/>
    <w:rsid w:val="00D94634"/>
    <w:rsid w:val="00D94BC5"/>
    <w:rsid w:val="00DA01A1"/>
    <w:rsid w:val="00DA33BB"/>
    <w:rsid w:val="00DA4D38"/>
    <w:rsid w:val="00DA4D51"/>
    <w:rsid w:val="00DC2B98"/>
    <w:rsid w:val="00DC6D84"/>
    <w:rsid w:val="00DE5EF2"/>
    <w:rsid w:val="00DF7399"/>
    <w:rsid w:val="00DF76EF"/>
    <w:rsid w:val="00E03C61"/>
    <w:rsid w:val="00E04134"/>
    <w:rsid w:val="00E1225C"/>
    <w:rsid w:val="00E13765"/>
    <w:rsid w:val="00E278C1"/>
    <w:rsid w:val="00E3410A"/>
    <w:rsid w:val="00E36580"/>
    <w:rsid w:val="00E421C7"/>
    <w:rsid w:val="00E52B9C"/>
    <w:rsid w:val="00E5738B"/>
    <w:rsid w:val="00E604BF"/>
    <w:rsid w:val="00E678C7"/>
    <w:rsid w:val="00E718F7"/>
    <w:rsid w:val="00E754DC"/>
    <w:rsid w:val="00E916B1"/>
    <w:rsid w:val="00E94F71"/>
    <w:rsid w:val="00EA0101"/>
    <w:rsid w:val="00EA0656"/>
    <w:rsid w:val="00EA085F"/>
    <w:rsid w:val="00EB155A"/>
    <w:rsid w:val="00EB5AE4"/>
    <w:rsid w:val="00EC1781"/>
    <w:rsid w:val="00EC5B4C"/>
    <w:rsid w:val="00ED0F6F"/>
    <w:rsid w:val="00ED26CC"/>
    <w:rsid w:val="00ED4FF9"/>
    <w:rsid w:val="00ED7AA4"/>
    <w:rsid w:val="00EE3435"/>
    <w:rsid w:val="00EE3853"/>
    <w:rsid w:val="00EE63EB"/>
    <w:rsid w:val="00EE6D7E"/>
    <w:rsid w:val="00F03D6D"/>
    <w:rsid w:val="00F05307"/>
    <w:rsid w:val="00F33EAF"/>
    <w:rsid w:val="00F428DC"/>
    <w:rsid w:val="00F43BDA"/>
    <w:rsid w:val="00F44C28"/>
    <w:rsid w:val="00F53043"/>
    <w:rsid w:val="00F60F3C"/>
    <w:rsid w:val="00F66C7E"/>
    <w:rsid w:val="00F71DA9"/>
    <w:rsid w:val="00F72206"/>
    <w:rsid w:val="00F72FDD"/>
    <w:rsid w:val="00F73214"/>
    <w:rsid w:val="00F910E0"/>
    <w:rsid w:val="00F93890"/>
    <w:rsid w:val="00F94AAC"/>
    <w:rsid w:val="00FA1E61"/>
    <w:rsid w:val="00FA2DBF"/>
    <w:rsid w:val="00FC3603"/>
    <w:rsid w:val="00FC3CAC"/>
    <w:rsid w:val="00FE2820"/>
    <w:rsid w:val="00FE3924"/>
    <w:rsid w:val="00FE48B9"/>
    <w:rsid w:val="00FE49DC"/>
    <w:rsid w:val="00FF7D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8E713"/>
  <w15:chartTrackingRefBased/>
  <w15:docId w15:val="{07443BE5-04C7-4E6D-99E5-E136F223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C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56"/>
  </w:style>
  <w:style w:type="table" w:customStyle="1" w:styleId="TableGrid1">
    <w:name w:val="Table Grid1"/>
    <w:basedOn w:val="TableNormal"/>
    <w:next w:val="TableGrid"/>
    <w:uiPriority w:val="59"/>
    <w:rsid w:val="00AC1256"/>
    <w:pPr>
      <w:spacing w:after="0" w:line="240" w:lineRule="auto"/>
      <w:jc w:val="both"/>
    </w:pPr>
    <w:rPr>
      <w:kern w:val="0"/>
      <w:szCs w:val="22"/>
      <w:lang w:val="en-US"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AC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36D"/>
    <w:rPr>
      <w:color w:val="0563C1" w:themeColor="hyperlink"/>
      <w:u w:val="single"/>
    </w:rPr>
  </w:style>
  <w:style w:type="character" w:styleId="UnresolvedMention">
    <w:name w:val="Unresolved Mention"/>
    <w:basedOn w:val="DefaultParagraphFont"/>
    <w:uiPriority w:val="99"/>
    <w:semiHidden/>
    <w:unhideWhenUsed/>
    <w:rsid w:val="0055636D"/>
    <w:rPr>
      <w:color w:val="605E5C"/>
      <w:shd w:val="clear" w:color="auto" w:fill="E1DFDD"/>
    </w:rPr>
  </w:style>
  <w:style w:type="paragraph" w:styleId="ListParagraph">
    <w:name w:val="List Paragraph"/>
    <w:basedOn w:val="Normal"/>
    <w:uiPriority w:val="34"/>
    <w:qFormat/>
    <w:rsid w:val="00A00ADC"/>
    <w:pPr>
      <w:ind w:left="720"/>
      <w:contextualSpacing/>
    </w:pPr>
  </w:style>
  <w:style w:type="paragraph" w:styleId="Header">
    <w:name w:val="header"/>
    <w:basedOn w:val="Normal"/>
    <w:link w:val="HeaderChar"/>
    <w:uiPriority w:val="99"/>
    <w:unhideWhenUsed/>
    <w:rsid w:val="006F2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6964">
      <w:bodyDiv w:val="1"/>
      <w:marLeft w:val="0"/>
      <w:marRight w:val="0"/>
      <w:marTop w:val="0"/>
      <w:marBottom w:val="0"/>
      <w:divBdr>
        <w:top w:val="none" w:sz="0" w:space="0" w:color="auto"/>
        <w:left w:val="none" w:sz="0" w:space="0" w:color="auto"/>
        <w:bottom w:val="none" w:sz="0" w:space="0" w:color="auto"/>
        <w:right w:val="none" w:sz="0" w:space="0" w:color="auto"/>
      </w:divBdr>
    </w:div>
    <w:div w:id="221332905">
      <w:bodyDiv w:val="1"/>
      <w:marLeft w:val="0"/>
      <w:marRight w:val="0"/>
      <w:marTop w:val="0"/>
      <w:marBottom w:val="0"/>
      <w:divBdr>
        <w:top w:val="none" w:sz="0" w:space="0" w:color="auto"/>
        <w:left w:val="none" w:sz="0" w:space="0" w:color="auto"/>
        <w:bottom w:val="none" w:sz="0" w:space="0" w:color="auto"/>
        <w:right w:val="none" w:sz="0" w:space="0" w:color="auto"/>
      </w:divBdr>
    </w:div>
    <w:div w:id="597324776">
      <w:bodyDiv w:val="1"/>
      <w:marLeft w:val="0"/>
      <w:marRight w:val="0"/>
      <w:marTop w:val="0"/>
      <w:marBottom w:val="0"/>
      <w:divBdr>
        <w:top w:val="none" w:sz="0" w:space="0" w:color="auto"/>
        <w:left w:val="none" w:sz="0" w:space="0" w:color="auto"/>
        <w:bottom w:val="none" w:sz="0" w:space="0" w:color="auto"/>
        <w:right w:val="none" w:sz="0" w:space="0" w:color="auto"/>
      </w:divBdr>
    </w:div>
    <w:div w:id="602996939">
      <w:bodyDiv w:val="1"/>
      <w:marLeft w:val="0"/>
      <w:marRight w:val="0"/>
      <w:marTop w:val="0"/>
      <w:marBottom w:val="0"/>
      <w:divBdr>
        <w:top w:val="none" w:sz="0" w:space="0" w:color="auto"/>
        <w:left w:val="none" w:sz="0" w:space="0" w:color="auto"/>
        <w:bottom w:val="none" w:sz="0" w:space="0" w:color="auto"/>
        <w:right w:val="none" w:sz="0" w:space="0" w:color="auto"/>
      </w:divBdr>
    </w:div>
    <w:div w:id="829253171">
      <w:bodyDiv w:val="1"/>
      <w:marLeft w:val="0"/>
      <w:marRight w:val="0"/>
      <w:marTop w:val="0"/>
      <w:marBottom w:val="0"/>
      <w:divBdr>
        <w:top w:val="none" w:sz="0" w:space="0" w:color="auto"/>
        <w:left w:val="none" w:sz="0" w:space="0" w:color="auto"/>
        <w:bottom w:val="none" w:sz="0" w:space="0" w:color="auto"/>
        <w:right w:val="none" w:sz="0" w:space="0" w:color="auto"/>
      </w:divBdr>
    </w:div>
    <w:div w:id="953483460">
      <w:bodyDiv w:val="1"/>
      <w:marLeft w:val="0"/>
      <w:marRight w:val="0"/>
      <w:marTop w:val="0"/>
      <w:marBottom w:val="0"/>
      <w:divBdr>
        <w:top w:val="none" w:sz="0" w:space="0" w:color="auto"/>
        <w:left w:val="none" w:sz="0" w:space="0" w:color="auto"/>
        <w:bottom w:val="none" w:sz="0" w:space="0" w:color="auto"/>
        <w:right w:val="none" w:sz="0" w:space="0" w:color="auto"/>
      </w:divBdr>
    </w:div>
    <w:div w:id="1009605063">
      <w:bodyDiv w:val="1"/>
      <w:marLeft w:val="0"/>
      <w:marRight w:val="0"/>
      <w:marTop w:val="0"/>
      <w:marBottom w:val="0"/>
      <w:divBdr>
        <w:top w:val="none" w:sz="0" w:space="0" w:color="auto"/>
        <w:left w:val="none" w:sz="0" w:space="0" w:color="auto"/>
        <w:bottom w:val="none" w:sz="0" w:space="0" w:color="auto"/>
        <w:right w:val="none" w:sz="0" w:space="0" w:color="auto"/>
      </w:divBdr>
    </w:div>
    <w:div w:id="1098140656">
      <w:bodyDiv w:val="1"/>
      <w:marLeft w:val="0"/>
      <w:marRight w:val="0"/>
      <w:marTop w:val="0"/>
      <w:marBottom w:val="0"/>
      <w:divBdr>
        <w:top w:val="none" w:sz="0" w:space="0" w:color="auto"/>
        <w:left w:val="none" w:sz="0" w:space="0" w:color="auto"/>
        <w:bottom w:val="none" w:sz="0" w:space="0" w:color="auto"/>
        <w:right w:val="none" w:sz="0" w:space="0" w:color="auto"/>
      </w:divBdr>
      <w:divsChild>
        <w:div w:id="745496186">
          <w:marLeft w:val="0"/>
          <w:marRight w:val="0"/>
          <w:marTop w:val="0"/>
          <w:marBottom w:val="0"/>
          <w:divBdr>
            <w:top w:val="none" w:sz="0" w:space="0" w:color="auto"/>
            <w:left w:val="none" w:sz="0" w:space="0" w:color="auto"/>
            <w:bottom w:val="none" w:sz="0" w:space="0" w:color="auto"/>
            <w:right w:val="none" w:sz="0" w:space="0" w:color="auto"/>
          </w:divBdr>
          <w:divsChild>
            <w:div w:id="334236467">
              <w:marLeft w:val="0"/>
              <w:marRight w:val="0"/>
              <w:marTop w:val="0"/>
              <w:marBottom w:val="0"/>
              <w:divBdr>
                <w:top w:val="none" w:sz="0" w:space="0" w:color="auto"/>
                <w:left w:val="none" w:sz="0" w:space="0" w:color="auto"/>
                <w:bottom w:val="none" w:sz="0" w:space="0" w:color="auto"/>
                <w:right w:val="none" w:sz="0" w:space="0" w:color="auto"/>
              </w:divBdr>
              <w:divsChild>
                <w:div w:id="72171405">
                  <w:marLeft w:val="0"/>
                  <w:marRight w:val="0"/>
                  <w:marTop w:val="0"/>
                  <w:marBottom w:val="0"/>
                  <w:divBdr>
                    <w:top w:val="none" w:sz="0" w:space="0" w:color="auto"/>
                    <w:left w:val="none" w:sz="0" w:space="0" w:color="auto"/>
                    <w:bottom w:val="none" w:sz="0" w:space="0" w:color="auto"/>
                    <w:right w:val="none" w:sz="0" w:space="0" w:color="auto"/>
                  </w:divBdr>
                  <w:divsChild>
                    <w:div w:id="15259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0397">
          <w:marLeft w:val="0"/>
          <w:marRight w:val="0"/>
          <w:marTop w:val="0"/>
          <w:marBottom w:val="0"/>
          <w:divBdr>
            <w:top w:val="none" w:sz="0" w:space="0" w:color="auto"/>
            <w:left w:val="none" w:sz="0" w:space="0" w:color="auto"/>
            <w:bottom w:val="none" w:sz="0" w:space="0" w:color="auto"/>
            <w:right w:val="none" w:sz="0" w:space="0" w:color="auto"/>
          </w:divBdr>
          <w:divsChild>
            <w:div w:id="1106923345">
              <w:marLeft w:val="0"/>
              <w:marRight w:val="0"/>
              <w:marTop w:val="0"/>
              <w:marBottom w:val="0"/>
              <w:divBdr>
                <w:top w:val="none" w:sz="0" w:space="0" w:color="auto"/>
                <w:left w:val="none" w:sz="0" w:space="0" w:color="auto"/>
                <w:bottom w:val="none" w:sz="0" w:space="0" w:color="auto"/>
                <w:right w:val="none" w:sz="0" w:space="0" w:color="auto"/>
              </w:divBdr>
              <w:divsChild>
                <w:div w:id="2025785947">
                  <w:marLeft w:val="0"/>
                  <w:marRight w:val="0"/>
                  <w:marTop w:val="0"/>
                  <w:marBottom w:val="0"/>
                  <w:divBdr>
                    <w:top w:val="none" w:sz="0" w:space="0" w:color="auto"/>
                    <w:left w:val="none" w:sz="0" w:space="0" w:color="auto"/>
                    <w:bottom w:val="none" w:sz="0" w:space="0" w:color="auto"/>
                    <w:right w:val="none" w:sz="0" w:space="0" w:color="auto"/>
                  </w:divBdr>
                  <w:divsChild>
                    <w:div w:id="2002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41510">
      <w:bodyDiv w:val="1"/>
      <w:marLeft w:val="0"/>
      <w:marRight w:val="0"/>
      <w:marTop w:val="0"/>
      <w:marBottom w:val="0"/>
      <w:divBdr>
        <w:top w:val="none" w:sz="0" w:space="0" w:color="auto"/>
        <w:left w:val="none" w:sz="0" w:space="0" w:color="auto"/>
        <w:bottom w:val="none" w:sz="0" w:space="0" w:color="auto"/>
        <w:right w:val="none" w:sz="0" w:space="0" w:color="auto"/>
      </w:divBdr>
      <w:divsChild>
        <w:div w:id="508564407">
          <w:marLeft w:val="0"/>
          <w:marRight w:val="0"/>
          <w:marTop w:val="0"/>
          <w:marBottom w:val="0"/>
          <w:divBdr>
            <w:top w:val="none" w:sz="0" w:space="0" w:color="auto"/>
            <w:left w:val="none" w:sz="0" w:space="0" w:color="auto"/>
            <w:bottom w:val="none" w:sz="0" w:space="0" w:color="auto"/>
            <w:right w:val="none" w:sz="0" w:space="0" w:color="auto"/>
          </w:divBdr>
          <w:divsChild>
            <w:div w:id="231549348">
              <w:marLeft w:val="0"/>
              <w:marRight w:val="0"/>
              <w:marTop w:val="0"/>
              <w:marBottom w:val="0"/>
              <w:divBdr>
                <w:top w:val="none" w:sz="0" w:space="0" w:color="auto"/>
                <w:left w:val="none" w:sz="0" w:space="0" w:color="auto"/>
                <w:bottom w:val="none" w:sz="0" w:space="0" w:color="auto"/>
                <w:right w:val="none" w:sz="0" w:space="0" w:color="auto"/>
              </w:divBdr>
              <w:divsChild>
                <w:div w:id="1106005131">
                  <w:marLeft w:val="0"/>
                  <w:marRight w:val="0"/>
                  <w:marTop w:val="0"/>
                  <w:marBottom w:val="0"/>
                  <w:divBdr>
                    <w:top w:val="none" w:sz="0" w:space="0" w:color="auto"/>
                    <w:left w:val="none" w:sz="0" w:space="0" w:color="auto"/>
                    <w:bottom w:val="none" w:sz="0" w:space="0" w:color="auto"/>
                    <w:right w:val="none" w:sz="0" w:space="0" w:color="auto"/>
                  </w:divBdr>
                  <w:divsChild>
                    <w:div w:id="17765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62639">
          <w:marLeft w:val="0"/>
          <w:marRight w:val="0"/>
          <w:marTop w:val="0"/>
          <w:marBottom w:val="0"/>
          <w:divBdr>
            <w:top w:val="none" w:sz="0" w:space="0" w:color="auto"/>
            <w:left w:val="none" w:sz="0" w:space="0" w:color="auto"/>
            <w:bottom w:val="none" w:sz="0" w:space="0" w:color="auto"/>
            <w:right w:val="none" w:sz="0" w:space="0" w:color="auto"/>
          </w:divBdr>
          <w:divsChild>
            <w:div w:id="1678388609">
              <w:marLeft w:val="0"/>
              <w:marRight w:val="0"/>
              <w:marTop w:val="0"/>
              <w:marBottom w:val="0"/>
              <w:divBdr>
                <w:top w:val="none" w:sz="0" w:space="0" w:color="auto"/>
                <w:left w:val="none" w:sz="0" w:space="0" w:color="auto"/>
                <w:bottom w:val="none" w:sz="0" w:space="0" w:color="auto"/>
                <w:right w:val="none" w:sz="0" w:space="0" w:color="auto"/>
              </w:divBdr>
              <w:divsChild>
                <w:div w:id="113528893">
                  <w:marLeft w:val="0"/>
                  <w:marRight w:val="0"/>
                  <w:marTop w:val="0"/>
                  <w:marBottom w:val="0"/>
                  <w:divBdr>
                    <w:top w:val="none" w:sz="0" w:space="0" w:color="auto"/>
                    <w:left w:val="none" w:sz="0" w:space="0" w:color="auto"/>
                    <w:bottom w:val="none" w:sz="0" w:space="0" w:color="auto"/>
                    <w:right w:val="none" w:sz="0" w:space="0" w:color="auto"/>
                  </w:divBdr>
                  <w:divsChild>
                    <w:div w:id="16412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566904">
      <w:bodyDiv w:val="1"/>
      <w:marLeft w:val="0"/>
      <w:marRight w:val="0"/>
      <w:marTop w:val="0"/>
      <w:marBottom w:val="0"/>
      <w:divBdr>
        <w:top w:val="none" w:sz="0" w:space="0" w:color="auto"/>
        <w:left w:val="none" w:sz="0" w:space="0" w:color="auto"/>
        <w:bottom w:val="none" w:sz="0" w:space="0" w:color="auto"/>
        <w:right w:val="none" w:sz="0" w:space="0" w:color="auto"/>
      </w:divBdr>
    </w:div>
    <w:div w:id="1510018813">
      <w:bodyDiv w:val="1"/>
      <w:marLeft w:val="0"/>
      <w:marRight w:val="0"/>
      <w:marTop w:val="0"/>
      <w:marBottom w:val="0"/>
      <w:divBdr>
        <w:top w:val="none" w:sz="0" w:space="0" w:color="auto"/>
        <w:left w:val="none" w:sz="0" w:space="0" w:color="auto"/>
        <w:bottom w:val="none" w:sz="0" w:space="0" w:color="auto"/>
        <w:right w:val="none" w:sz="0" w:space="0" w:color="auto"/>
      </w:divBdr>
    </w:div>
    <w:div w:id="1610236897">
      <w:bodyDiv w:val="1"/>
      <w:marLeft w:val="0"/>
      <w:marRight w:val="0"/>
      <w:marTop w:val="0"/>
      <w:marBottom w:val="0"/>
      <w:divBdr>
        <w:top w:val="none" w:sz="0" w:space="0" w:color="auto"/>
        <w:left w:val="none" w:sz="0" w:space="0" w:color="auto"/>
        <w:bottom w:val="none" w:sz="0" w:space="0" w:color="auto"/>
        <w:right w:val="none" w:sz="0" w:space="0" w:color="auto"/>
      </w:divBdr>
    </w:div>
    <w:div w:id="1755273656">
      <w:bodyDiv w:val="1"/>
      <w:marLeft w:val="0"/>
      <w:marRight w:val="0"/>
      <w:marTop w:val="0"/>
      <w:marBottom w:val="0"/>
      <w:divBdr>
        <w:top w:val="none" w:sz="0" w:space="0" w:color="auto"/>
        <w:left w:val="none" w:sz="0" w:space="0" w:color="auto"/>
        <w:bottom w:val="none" w:sz="0" w:space="0" w:color="auto"/>
        <w:right w:val="none" w:sz="0" w:space="0" w:color="auto"/>
      </w:divBdr>
    </w:div>
    <w:div w:id="1884295044">
      <w:bodyDiv w:val="1"/>
      <w:marLeft w:val="0"/>
      <w:marRight w:val="0"/>
      <w:marTop w:val="0"/>
      <w:marBottom w:val="0"/>
      <w:divBdr>
        <w:top w:val="none" w:sz="0" w:space="0" w:color="auto"/>
        <w:left w:val="none" w:sz="0" w:space="0" w:color="auto"/>
        <w:bottom w:val="none" w:sz="0" w:space="0" w:color="auto"/>
        <w:right w:val="none" w:sz="0" w:space="0" w:color="auto"/>
      </w:divBdr>
    </w:div>
    <w:div w:id="1895660471">
      <w:bodyDiv w:val="1"/>
      <w:marLeft w:val="0"/>
      <w:marRight w:val="0"/>
      <w:marTop w:val="0"/>
      <w:marBottom w:val="0"/>
      <w:divBdr>
        <w:top w:val="none" w:sz="0" w:space="0" w:color="auto"/>
        <w:left w:val="none" w:sz="0" w:space="0" w:color="auto"/>
        <w:bottom w:val="none" w:sz="0" w:space="0" w:color="auto"/>
        <w:right w:val="none" w:sz="0" w:space="0" w:color="auto"/>
      </w:divBdr>
    </w:div>
    <w:div w:id="1978606421">
      <w:bodyDiv w:val="1"/>
      <w:marLeft w:val="0"/>
      <w:marRight w:val="0"/>
      <w:marTop w:val="0"/>
      <w:marBottom w:val="0"/>
      <w:divBdr>
        <w:top w:val="none" w:sz="0" w:space="0" w:color="auto"/>
        <w:left w:val="none" w:sz="0" w:space="0" w:color="auto"/>
        <w:bottom w:val="none" w:sz="0" w:space="0" w:color="auto"/>
        <w:right w:val="none" w:sz="0" w:space="0" w:color="auto"/>
      </w:divBdr>
    </w:div>
    <w:div w:id="1980525910">
      <w:bodyDiv w:val="1"/>
      <w:marLeft w:val="0"/>
      <w:marRight w:val="0"/>
      <w:marTop w:val="0"/>
      <w:marBottom w:val="0"/>
      <w:divBdr>
        <w:top w:val="none" w:sz="0" w:space="0" w:color="auto"/>
        <w:left w:val="none" w:sz="0" w:space="0" w:color="auto"/>
        <w:bottom w:val="none" w:sz="0" w:space="0" w:color="auto"/>
        <w:right w:val="none" w:sz="0" w:space="0" w:color="auto"/>
      </w:divBdr>
    </w:div>
    <w:div w:id="21404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B8942-F463-446E-A1C2-2048844B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5973</TotalTime>
  <Pages>13</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Roshina Bano</dc:creator>
  <cp:keywords/>
  <dc:description/>
  <cp:lastModifiedBy>Editor GP 005</cp:lastModifiedBy>
  <cp:revision>716</cp:revision>
  <cp:lastPrinted>2024-12-12T07:04:00Z</cp:lastPrinted>
  <dcterms:created xsi:type="dcterms:W3CDTF">2024-11-30T13:29:00Z</dcterms:created>
  <dcterms:modified xsi:type="dcterms:W3CDTF">2025-03-28T06:52:00Z</dcterms:modified>
</cp:coreProperties>
</file>