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3DF0" w14:textId="77777777" w:rsidR="002964C6" w:rsidRPr="000F1E43" w:rsidRDefault="005C75DA" w:rsidP="00C429F3">
      <w:pPr>
        <w:pStyle w:val="Heading3"/>
        <w:rPr>
          <w:rFonts w:eastAsia="Times New Roman"/>
          <w:noProof/>
        </w:rPr>
      </w:pPr>
      <w:r w:rsidRPr="000F1E43">
        <w:rPr>
          <w:rFonts w:eastAsia="Times New Roman"/>
          <w:noProof/>
        </w:rPr>
        <w:drawing>
          <wp:anchor distT="0" distB="0" distL="114300" distR="114300" simplePos="0" relativeHeight="251658240" behindDoc="1" locked="0" layoutInCell="1" allowOverlap="1" wp14:anchorId="3922D18C" wp14:editId="14721EAA">
            <wp:simplePos x="0" y="0"/>
            <wp:positionH relativeFrom="column">
              <wp:posOffset>10160</wp:posOffset>
            </wp:positionH>
            <wp:positionV relativeFrom="paragraph">
              <wp:posOffset>-280035</wp:posOffset>
            </wp:positionV>
            <wp:extent cx="781050" cy="1103630"/>
            <wp:effectExtent l="0" t="0" r="0" b="0"/>
            <wp:wrapTight wrapText="bothSides">
              <wp:wrapPolygon edited="0">
                <wp:start x="0" y="0"/>
                <wp:lineTo x="0" y="21252"/>
                <wp:lineTo x="21073" y="21252"/>
                <wp:lineTo x="210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1050" cy="1103630"/>
                    </a:xfrm>
                    <a:prstGeom prst="rect">
                      <a:avLst/>
                    </a:prstGeom>
                    <a:noFill/>
                    <a:ln w="9525">
                      <a:noFill/>
                      <a:miter lim="800000"/>
                      <a:headEnd/>
                      <a:tailEnd/>
                    </a:ln>
                  </pic:spPr>
                </pic:pic>
              </a:graphicData>
            </a:graphic>
            <wp14:sizeRelV relativeFrom="margin">
              <wp14:pctHeight>0</wp14:pctHeight>
            </wp14:sizeRelV>
          </wp:anchor>
        </w:drawing>
      </w:r>
      <w:r w:rsidR="002964C6" w:rsidRPr="000F1E43">
        <w:rPr>
          <w:rFonts w:eastAsia="Times New Roman"/>
          <w:noProof/>
        </w:rPr>
        <w:t>European Journal of Nutrition &amp; Food Safety</w:t>
      </w:r>
    </w:p>
    <w:p w14:paraId="6DBA0231" w14:textId="77777777" w:rsidR="00394BC1" w:rsidRPr="000F1E43" w:rsidRDefault="00394BC1" w:rsidP="00394BC1">
      <w:pPr>
        <w:spacing w:after="0" w:line="240" w:lineRule="auto"/>
        <w:ind w:left="2160"/>
        <w:rPr>
          <w:rFonts w:ascii="Arial" w:eastAsia="Times New Roman" w:hAnsi="Arial" w:cs="Arial"/>
          <w:sz w:val="24"/>
          <w:szCs w:val="20"/>
        </w:rPr>
      </w:pPr>
    </w:p>
    <w:p w14:paraId="13F3021F" w14:textId="0B88B91C" w:rsidR="002964C6" w:rsidRPr="000F1E43" w:rsidRDefault="005C75DA" w:rsidP="00C429F3">
      <w:pPr>
        <w:pStyle w:val="Heading4"/>
        <w:rPr>
          <w:rFonts w:eastAsia="Times New Roman"/>
        </w:rPr>
      </w:pPr>
      <w:r w:rsidRPr="000F1E43">
        <w:rPr>
          <w:rFonts w:eastAsia="Times New Roman"/>
        </w:rPr>
        <w:t>Volume XXX, Issue XX, Page XX-XX, 20</w:t>
      </w:r>
      <w:r w:rsidR="00587A1E" w:rsidRPr="000F1E43">
        <w:rPr>
          <w:rFonts w:eastAsia="Times New Roman"/>
        </w:rPr>
        <w:t>YY</w:t>
      </w:r>
      <w:r w:rsidR="00742F63" w:rsidRPr="000F1E43">
        <w:rPr>
          <w:rFonts w:eastAsia="Times New Roman"/>
        </w:rPr>
        <w:t>;</w:t>
      </w:r>
      <w:r w:rsidR="002964C6" w:rsidRPr="000F1E43">
        <w:rPr>
          <w:rFonts w:eastAsia="Times New Roman"/>
        </w:rPr>
        <w:t xml:space="preserve"> Article </w:t>
      </w:r>
      <w:proofErr w:type="gramStart"/>
      <w:r w:rsidR="002964C6" w:rsidRPr="000F1E43">
        <w:rPr>
          <w:rFonts w:eastAsia="Times New Roman"/>
        </w:rPr>
        <w:t>no.EJNFS</w:t>
      </w:r>
      <w:proofErr w:type="gramEnd"/>
      <w:r w:rsidR="007B5DF9" w:rsidRPr="000F1E43">
        <w:rPr>
          <w:rFonts w:eastAsia="Times New Roman"/>
        </w:rPr>
        <w:t>.133021</w:t>
      </w:r>
    </w:p>
    <w:p w14:paraId="6CA51D86" w14:textId="77777777" w:rsidR="002964C6" w:rsidRPr="000F1E43" w:rsidRDefault="002964C6" w:rsidP="00394BC1">
      <w:pPr>
        <w:spacing w:after="0" w:line="240" w:lineRule="auto"/>
        <w:ind w:left="2160"/>
        <w:rPr>
          <w:rFonts w:ascii="Arial" w:eastAsia="Times New Roman" w:hAnsi="Arial" w:cs="Arial"/>
          <w:b/>
          <w:i/>
          <w:sz w:val="18"/>
          <w:szCs w:val="16"/>
        </w:rPr>
      </w:pPr>
      <w:r w:rsidRPr="000F1E43">
        <w:rPr>
          <w:rFonts w:ascii="Arial" w:eastAsia="Times New Roman" w:hAnsi="Arial" w:cs="Arial"/>
          <w:b/>
          <w:i/>
          <w:noProof/>
          <w:sz w:val="18"/>
          <w:szCs w:val="16"/>
          <w:lang w:eastAsia="zh-TW"/>
        </w:rPr>
        <w:t>ISSN: 2347-5641</w:t>
      </w:r>
    </w:p>
    <w:p w14:paraId="156A9BB6" w14:textId="77777777" w:rsidR="002964C6" w:rsidRPr="000F1E43" w:rsidRDefault="002964C6" w:rsidP="002964C6">
      <w:pPr>
        <w:spacing w:after="0" w:line="240" w:lineRule="auto"/>
        <w:jc w:val="center"/>
        <w:rPr>
          <w:rFonts w:ascii="Arial" w:eastAsia="Times New Roman" w:hAnsi="Arial" w:cs="Arial"/>
          <w:i/>
          <w:sz w:val="14"/>
          <w:szCs w:val="20"/>
        </w:rPr>
      </w:pPr>
    </w:p>
    <w:p w14:paraId="35E45CAD" w14:textId="77777777" w:rsidR="00394BC1" w:rsidRPr="000F1E43" w:rsidRDefault="00394BC1" w:rsidP="002964C6">
      <w:pPr>
        <w:spacing w:after="0" w:line="240" w:lineRule="auto"/>
        <w:jc w:val="center"/>
        <w:rPr>
          <w:rFonts w:ascii="Arial" w:eastAsia="Times New Roman" w:hAnsi="Arial" w:cs="Arial"/>
          <w:i/>
          <w:sz w:val="14"/>
          <w:szCs w:val="20"/>
        </w:rPr>
      </w:pPr>
    </w:p>
    <w:p w14:paraId="14C41E3C" w14:textId="77777777" w:rsidR="002964C6" w:rsidRPr="000F1E43" w:rsidRDefault="00600AC8" w:rsidP="002964C6">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09CC4F4D">
          <v:shapetype id="_x0000_t32" coordsize="21600,21600" o:spt="32" o:oned="t" path="m,l21600,21600e" filled="f">
            <v:path arrowok="t" fillok="f" o:connecttype="none"/>
            <o:lock v:ext="edit" shapetype="t"/>
          </v:shapetype>
          <v:shape id="AutoShape 54" o:spid="_x0000_s1065"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42C89EEA" w14:textId="77777777" w:rsidR="00E531CD" w:rsidRPr="000F1E43" w:rsidRDefault="00E531CD" w:rsidP="00BD060A">
      <w:pPr>
        <w:spacing w:after="0" w:line="240" w:lineRule="auto"/>
        <w:contextualSpacing/>
        <w:jc w:val="right"/>
        <w:rPr>
          <w:rFonts w:ascii="Arial" w:eastAsia="Times New Roman" w:hAnsi="Arial" w:cs="Arial"/>
          <w:b/>
          <w:bCs/>
          <w:iCs/>
          <w:kern w:val="28"/>
          <w:sz w:val="20"/>
          <w:szCs w:val="20"/>
        </w:rPr>
      </w:pPr>
    </w:p>
    <w:p w14:paraId="25855CEA" w14:textId="7689DF43" w:rsidR="00911EB6" w:rsidRPr="000F1E43" w:rsidRDefault="007B5DF9" w:rsidP="00C429F3">
      <w:pPr>
        <w:pStyle w:val="Heading1"/>
        <w:rPr>
          <w:rFonts w:eastAsia="Times New Roman"/>
          <w:kern w:val="28"/>
          <w:sz w:val="48"/>
          <w:szCs w:val="48"/>
        </w:rPr>
      </w:pPr>
      <w:r w:rsidRPr="000F1E43">
        <w:rPr>
          <w:rFonts w:eastAsia="Times New Roman"/>
          <w:iCs/>
          <w:kern w:val="28"/>
          <w:sz w:val="48"/>
          <w:szCs w:val="48"/>
        </w:rPr>
        <w:t>Assessment of Mycotoxin Contamination in Rice and Groundnuts from Local Vendors’ Stores in Markets of Kericho, Kenya</w:t>
      </w:r>
    </w:p>
    <w:p w14:paraId="084A31B0" w14:textId="77777777" w:rsidR="00911EB6" w:rsidRPr="000F1E43" w:rsidRDefault="00911EB6" w:rsidP="00911EB6">
      <w:pPr>
        <w:spacing w:after="0" w:line="240" w:lineRule="auto"/>
        <w:contextualSpacing/>
        <w:jc w:val="right"/>
        <w:rPr>
          <w:rFonts w:ascii="Arial" w:eastAsia="Times New Roman" w:hAnsi="Arial" w:cs="Arial"/>
          <w:b/>
          <w:bCs/>
          <w:sz w:val="36"/>
          <w:szCs w:val="20"/>
        </w:rPr>
      </w:pPr>
    </w:p>
    <w:p w14:paraId="2160D4A7" w14:textId="77777777" w:rsidR="00911EB6" w:rsidRPr="00261F2E" w:rsidRDefault="00911EB6" w:rsidP="005C75DA">
      <w:pPr>
        <w:spacing w:before="10" w:after="0" w:line="240" w:lineRule="auto"/>
        <w:jc w:val="right"/>
        <w:rPr>
          <w:rFonts w:ascii="Arial" w:eastAsia="Times New Roman" w:hAnsi="Arial" w:cs="Arial"/>
          <w:b/>
          <w:bCs/>
          <w:sz w:val="32"/>
          <w:szCs w:val="32"/>
          <w:highlight w:val="yellow"/>
        </w:rPr>
      </w:pPr>
      <w:r w:rsidRPr="00261F2E">
        <w:rPr>
          <w:rFonts w:ascii="Arial" w:eastAsia="Times New Roman" w:hAnsi="Arial" w:cs="Arial"/>
          <w:b/>
          <w:bCs/>
          <w:sz w:val="32"/>
          <w:szCs w:val="32"/>
          <w:highlight w:val="yellow"/>
        </w:rPr>
        <w:t>Authors’ Name……………………………………………………</w:t>
      </w:r>
    </w:p>
    <w:p w14:paraId="1ACAC87D" w14:textId="77777777" w:rsidR="00911EB6" w:rsidRPr="00261F2E" w:rsidRDefault="00911EB6" w:rsidP="00911EB6">
      <w:pPr>
        <w:spacing w:after="0" w:line="280" w:lineRule="exact"/>
        <w:jc w:val="right"/>
        <w:rPr>
          <w:rFonts w:ascii="Arial" w:eastAsia="Times New Roman" w:hAnsi="Arial" w:cs="Arial"/>
          <w:b/>
          <w:bCs/>
          <w:sz w:val="24"/>
          <w:szCs w:val="20"/>
          <w:highlight w:val="yellow"/>
        </w:rPr>
      </w:pPr>
    </w:p>
    <w:p w14:paraId="707A1143" w14:textId="77777777" w:rsidR="00911EB6" w:rsidRPr="00261F2E" w:rsidRDefault="00911EB6" w:rsidP="00911EB6">
      <w:pPr>
        <w:spacing w:after="0" w:line="240" w:lineRule="auto"/>
        <w:jc w:val="right"/>
        <w:rPr>
          <w:rFonts w:ascii="Arial" w:eastAsia="Times New Roman" w:hAnsi="Arial" w:cs="Arial"/>
          <w:bCs/>
          <w:i/>
          <w:sz w:val="20"/>
          <w:szCs w:val="20"/>
          <w:highlight w:val="yellow"/>
        </w:rPr>
      </w:pPr>
      <w:r w:rsidRPr="00261F2E">
        <w:rPr>
          <w:rFonts w:ascii="Arial" w:eastAsia="Times New Roman" w:hAnsi="Arial" w:cs="Arial"/>
          <w:bCs/>
          <w:i/>
          <w:sz w:val="20"/>
          <w:szCs w:val="20"/>
          <w:highlight w:val="yellow"/>
        </w:rPr>
        <w:t>Affiliations……………………………………………………….………………</w:t>
      </w:r>
    </w:p>
    <w:p w14:paraId="15F53DD7" w14:textId="77777777" w:rsidR="00CF6B85" w:rsidRPr="00261F2E" w:rsidRDefault="00CF6B85" w:rsidP="00CF6B85">
      <w:pPr>
        <w:spacing w:after="0" w:line="240" w:lineRule="auto"/>
        <w:jc w:val="right"/>
        <w:rPr>
          <w:rFonts w:ascii="Arial" w:eastAsia="Times New Roman" w:hAnsi="Arial" w:cs="Arial"/>
          <w:iCs/>
          <w:color w:val="000000"/>
          <w:sz w:val="20"/>
          <w:szCs w:val="20"/>
          <w:highlight w:val="yellow"/>
          <w:lang w:val="en-GB"/>
        </w:rPr>
      </w:pPr>
    </w:p>
    <w:p w14:paraId="7C521660" w14:textId="56EDE8A9" w:rsidR="00CF6B85" w:rsidRPr="00261F2E" w:rsidRDefault="006D7F9B" w:rsidP="00CF6B85">
      <w:pPr>
        <w:spacing w:after="0" w:line="240" w:lineRule="auto"/>
        <w:jc w:val="right"/>
        <w:rPr>
          <w:rFonts w:ascii="Arial" w:eastAsia="Times New Roman" w:hAnsi="Arial" w:cs="Arial"/>
          <w:b/>
          <w:i/>
          <w:sz w:val="24"/>
          <w:szCs w:val="20"/>
          <w:highlight w:val="yellow"/>
        </w:rPr>
      </w:pPr>
      <w:r w:rsidRPr="00261F2E">
        <w:rPr>
          <w:rFonts w:ascii="Arial" w:eastAsia="Times New Roman" w:hAnsi="Arial" w:cs="Arial"/>
          <w:b/>
          <w:i/>
          <w:sz w:val="20"/>
          <w:szCs w:val="20"/>
          <w:highlight w:val="yellow"/>
        </w:rPr>
        <w:t>Authors’ contributions</w:t>
      </w:r>
    </w:p>
    <w:p w14:paraId="743166B2" w14:textId="77777777" w:rsidR="00CF6B85" w:rsidRPr="00261F2E" w:rsidRDefault="00CF6B85" w:rsidP="00CF6B85">
      <w:pPr>
        <w:spacing w:after="0" w:line="240" w:lineRule="auto"/>
        <w:jc w:val="right"/>
        <w:rPr>
          <w:rFonts w:ascii="Arial" w:eastAsia="Times New Roman" w:hAnsi="Arial" w:cs="Arial"/>
          <w:b/>
          <w:i/>
          <w:sz w:val="20"/>
          <w:szCs w:val="20"/>
          <w:highlight w:val="yellow"/>
        </w:rPr>
      </w:pPr>
    </w:p>
    <w:p w14:paraId="263DA464" w14:textId="77777777" w:rsidR="00EC2241" w:rsidRPr="00261F2E" w:rsidRDefault="00EC2241" w:rsidP="00EC2241">
      <w:pPr>
        <w:spacing w:after="0" w:line="240" w:lineRule="auto"/>
        <w:jc w:val="right"/>
        <w:rPr>
          <w:rFonts w:ascii="Arial" w:eastAsia="Times New Roman" w:hAnsi="Arial" w:cs="Arial"/>
          <w:i/>
          <w:sz w:val="20"/>
          <w:szCs w:val="20"/>
          <w:highlight w:val="yellow"/>
        </w:rPr>
      </w:pPr>
      <w:r w:rsidRPr="00261F2E">
        <w:rPr>
          <w:rFonts w:ascii="Arial" w:hAnsi="Arial" w:cs="Arial"/>
          <w:i/>
          <w:sz w:val="20"/>
          <w:highlight w:val="yellow"/>
        </w:rPr>
        <w:t>This work was carried out in collaboration among all authors. ‘Author A’ designed the study, performed the statistical analysis, wrote the protocol, and wrote the first draft of the manuscript. ‘Author B’ and ‘Author C’ managed the analyses of the study. ‘Author C’ managed the literature searches. All authors read and approved the final manuscript.</w:t>
      </w:r>
    </w:p>
    <w:p w14:paraId="25D84F32" w14:textId="77777777" w:rsidR="00CF6B85" w:rsidRPr="00261F2E" w:rsidRDefault="00CF6B85" w:rsidP="00CF6B85">
      <w:pPr>
        <w:spacing w:after="0" w:line="240" w:lineRule="auto"/>
        <w:jc w:val="right"/>
        <w:rPr>
          <w:rFonts w:ascii="Arial" w:eastAsia="Times New Roman" w:hAnsi="Arial" w:cs="Arial"/>
          <w:i/>
          <w:sz w:val="20"/>
          <w:szCs w:val="20"/>
          <w:highlight w:val="yellow"/>
        </w:rPr>
      </w:pPr>
    </w:p>
    <w:p w14:paraId="7662F3D9" w14:textId="77777777" w:rsidR="00D851AD" w:rsidRPr="00261F2E" w:rsidRDefault="00D851AD" w:rsidP="00D851AD">
      <w:pPr>
        <w:spacing w:after="0" w:line="240" w:lineRule="auto"/>
        <w:jc w:val="right"/>
        <w:rPr>
          <w:rFonts w:ascii="Arial" w:eastAsia="Times New Roman" w:hAnsi="Arial" w:cs="Arial"/>
          <w:b/>
          <w:i/>
          <w:sz w:val="20"/>
          <w:szCs w:val="20"/>
          <w:highlight w:val="yellow"/>
        </w:rPr>
      </w:pPr>
      <w:r w:rsidRPr="00261F2E">
        <w:rPr>
          <w:rFonts w:ascii="Arial" w:eastAsia="Times New Roman" w:hAnsi="Arial" w:cs="Arial"/>
          <w:b/>
          <w:i/>
          <w:sz w:val="20"/>
          <w:szCs w:val="20"/>
          <w:highlight w:val="yellow"/>
        </w:rPr>
        <w:t>Article Information</w:t>
      </w:r>
    </w:p>
    <w:p w14:paraId="4D31BEFF" w14:textId="77777777" w:rsidR="00D851AD" w:rsidRPr="00261F2E" w:rsidRDefault="00D851AD" w:rsidP="00D851AD">
      <w:pPr>
        <w:spacing w:after="0" w:line="240" w:lineRule="auto"/>
        <w:jc w:val="right"/>
        <w:rPr>
          <w:rFonts w:ascii="Arial" w:eastAsia="Times New Roman" w:hAnsi="Arial" w:cs="Arial"/>
          <w:b/>
          <w:i/>
          <w:sz w:val="16"/>
          <w:szCs w:val="20"/>
          <w:highlight w:val="yellow"/>
        </w:rPr>
      </w:pPr>
    </w:p>
    <w:p w14:paraId="08791D86" w14:textId="3E770919" w:rsidR="00D851AD" w:rsidRPr="00261F2E" w:rsidRDefault="00D851AD" w:rsidP="00D851AD">
      <w:pPr>
        <w:spacing w:after="0" w:line="240" w:lineRule="auto"/>
        <w:jc w:val="right"/>
        <w:rPr>
          <w:rFonts w:ascii="Arial" w:eastAsia="Times New Roman" w:hAnsi="Arial" w:cs="Arial"/>
          <w:sz w:val="16"/>
          <w:szCs w:val="16"/>
          <w:highlight w:val="yellow"/>
        </w:rPr>
      </w:pPr>
      <w:r w:rsidRPr="00261F2E">
        <w:rPr>
          <w:rFonts w:ascii="Arial" w:eastAsia="Times New Roman" w:hAnsi="Arial" w:cs="Arial"/>
          <w:sz w:val="16"/>
          <w:szCs w:val="16"/>
          <w:highlight w:val="yellow"/>
        </w:rPr>
        <w:t>DOI:</w:t>
      </w:r>
      <w:r w:rsidR="00C17CF8" w:rsidRPr="00261F2E">
        <w:rPr>
          <w:rFonts w:ascii="Arial" w:eastAsia="Times New Roman" w:hAnsi="Arial" w:cs="Arial"/>
          <w:sz w:val="16"/>
          <w:szCs w:val="16"/>
          <w:highlight w:val="yellow"/>
        </w:rPr>
        <w:t xml:space="preserve"> </w:t>
      </w:r>
      <w:r w:rsidRPr="00261F2E">
        <w:rPr>
          <w:rFonts w:ascii="Arial" w:eastAsia="Times New Roman" w:hAnsi="Arial" w:cs="Arial"/>
          <w:sz w:val="16"/>
          <w:szCs w:val="16"/>
          <w:highlight w:val="yellow"/>
        </w:rPr>
        <w:t>10.9734/</w:t>
      </w:r>
      <w:r w:rsidR="002964C6" w:rsidRPr="00261F2E">
        <w:rPr>
          <w:rFonts w:ascii="Arial" w:eastAsia="Times New Roman" w:hAnsi="Arial" w:cs="Arial"/>
          <w:sz w:val="16"/>
          <w:szCs w:val="16"/>
          <w:highlight w:val="yellow"/>
        </w:rPr>
        <w:t>EJNFS</w:t>
      </w:r>
      <w:r w:rsidRPr="00261F2E">
        <w:rPr>
          <w:rFonts w:ascii="Arial" w:eastAsia="Times New Roman" w:hAnsi="Arial" w:cs="Arial"/>
          <w:sz w:val="16"/>
          <w:szCs w:val="16"/>
          <w:highlight w:val="yellow"/>
        </w:rPr>
        <w:t>/20</w:t>
      </w:r>
      <w:r w:rsidR="00BF552D" w:rsidRPr="00261F2E">
        <w:rPr>
          <w:rFonts w:ascii="Arial" w:eastAsia="Times New Roman" w:hAnsi="Arial" w:cs="Arial"/>
          <w:sz w:val="16"/>
          <w:szCs w:val="16"/>
          <w:highlight w:val="yellow"/>
        </w:rPr>
        <w:t>2</w:t>
      </w:r>
      <w:r w:rsidR="007245E0" w:rsidRPr="00261F2E">
        <w:rPr>
          <w:rFonts w:ascii="Arial" w:eastAsia="Times New Roman" w:hAnsi="Arial" w:cs="Arial"/>
          <w:sz w:val="16"/>
          <w:szCs w:val="16"/>
          <w:highlight w:val="yellow"/>
        </w:rPr>
        <w:t>5</w:t>
      </w:r>
      <w:r w:rsidRPr="00261F2E">
        <w:rPr>
          <w:rFonts w:ascii="Arial" w:eastAsia="Times New Roman" w:hAnsi="Arial" w:cs="Arial"/>
          <w:sz w:val="16"/>
          <w:szCs w:val="16"/>
          <w:highlight w:val="yellow"/>
        </w:rPr>
        <w:t>/</w:t>
      </w:r>
      <w:r w:rsidR="00EC2241" w:rsidRPr="00261F2E">
        <w:rPr>
          <w:rFonts w:ascii="Arial" w:eastAsia="Times New Roman" w:hAnsi="Arial" w:cs="Arial"/>
          <w:sz w:val="16"/>
          <w:szCs w:val="16"/>
          <w:highlight w:val="yellow"/>
        </w:rPr>
        <w:t>XXXXX</w:t>
      </w:r>
    </w:p>
    <w:p w14:paraId="296E4BD6" w14:textId="77777777" w:rsidR="001E444B" w:rsidRPr="00261F2E" w:rsidRDefault="001E444B" w:rsidP="00D851AD">
      <w:pPr>
        <w:spacing w:after="0" w:line="240" w:lineRule="auto"/>
        <w:jc w:val="right"/>
        <w:rPr>
          <w:rFonts w:ascii="Arial" w:eastAsia="Times New Roman" w:hAnsi="Arial" w:cs="Arial"/>
          <w:sz w:val="16"/>
          <w:szCs w:val="16"/>
          <w:highlight w:val="yellow"/>
        </w:rPr>
      </w:pPr>
    </w:p>
    <w:p w14:paraId="07602664" w14:textId="77777777" w:rsidR="001E444B" w:rsidRPr="00261F2E" w:rsidRDefault="001E444B" w:rsidP="001E444B">
      <w:pPr>
        <w:spacing w:after="0" w:line="240" w:lineRule="auto"/>
        <w:jc w:val="right"/>
        <w:rPr>
          <w:rFonts w:ascii="Arial" w:eastAsia="Times New Roman" w:hAnsi="Arial" w:cs="Arial"/>
          <w:b/>
          <w:sz w:val="16"/>
          <w:szCs w:val="16"/>
          <w:highlight w:val="yellow"/>
        </w:rPr>
      </w:pPr>
      <w:r w:rsidRPr="00261F2E">
        <w:rPr>
          <w:rFonts w:ascii="Arial" w:eastAsia="Times New Roman" w:hAnsi="Arial" w:cs="Arial"/>
          <w:b/>
          <w:sz w:val="16"/>
          <w:szCs w:val="16"/>
          <w:highlight w:val="yellow"/>
        </w:rPr>
        <w:t>Open Peer Review History:</w:t>
      </w:r>
    </w:p>
    <w:p w14:paraId="0EAD6F0C" w14:textId="77777777" w:rsidR="001E444B" w:rsidRPr="00261F2E" w:rsidRDefault="001E444B" w:rsidP="001E444B">
      <w:pPr>
        <w:spacing w:after="0" w:line="240" w:lineRule="auto"/>
        <w:jc w:val="right"/>
        <w:rPr>
          <w:rFonts w:ascii="Arial" w:eastAsia="Times New Roman" w:hAnsi="Arial" w:cs="Arial"/>
          <w:sz w:val="16"/>
          <w:szCs w:val="16"/>
          <w:highlight w:val="yellow"/>
        </w:rPr>
      </w:pPr>
      <w:r w:rsidRPr="00261F2E">
        <w:rPr>
          <w:rFonts w:ascii="Arial" w:eastAsia="Times New Roman" w:hAnsi="Arial" w:cs="Arial"/>
          <w:sz w:val="16"/>
          <w:szCs w:val="16"/>
          <w:highlight w:val="yellow"/>
        </w:rPr>
        <w:t xml:space="preserve">This journal follows the Advanced Open Peer Review policy. Identity of the Reviewers, Editor(s) and additional Reviewers,  peer review comments, different versions of the manuscript, comments of the editors, </w:t>
      </w:r>
      <w:proofErr w:type="spellStart"/>
      <w:r w:rsidRPr="00261F2E">
        <w:rPr>
          <w:rFonts w:ascii="Arial" w:eastAsia="Times New Roman" w:hAnsi="Arial" w:cs="Arial"/>
          <w:sz w:val="16"/>
          <w:szCs w:val="16"/>
          <w:highlight w:val="yellow"/>
        </w:rPr>
        <w:t>etc</w:t>
      </w:r>
      <w:proofErr w:type="spellEnd"/>
      <w:r w:rsidRPr="00261F2E">
        <w:rPr>
          <w:rFonts w:ascii="Arial" w:eastAsia="Times New Roman" w:hAnsi="Arial" w:cs="Arial"/>
          <w:sz w:val="16"/>
          <w:szCs w:val="16"/>
          <w:highlight w:val="yellow"/>
        </w:rPr>
        <w:t xml:space="preserve"> are available here:</w:t>
      </w:r>
    </w:p>
    <w:p w14:paraId="2E89D2FD" w14:textId="77777777" w:rsidR="00BD060A" w:rsidRPr="00261F2E" w:rsidRDefault="00BD060A" w:rsidP="00545B7F">
      <w:pPr>
        <w:keepNext/>
        <w:spacing w:after="0" w:line="240" w:lineRule="auto"/>
        <w:contextualSpacing/>
        <w:jc w:val="right"/>
        <w:rPr>
          <w:rFonts w:ascii="Arial" w:eastAsia="Times New Roman" w:hAnsi="Arial" w:cs="Arial"/>
          <w:i/>
          <w:sz w:val="20"/>
          <w:szCs w:val="20"/>
          <w:highlight w:val="yellow"/>
        </w:rPr>
      </w:pPr>
    </w:p>
    <w:p w14:paraId="786FED27" w14:textId="77777777" w:rsidR="00D851AD" w:rsidRPr="00261F2E" w:rsidRDefault="00D851AD" w:rsidP="00545B7F">
      <w:pPr>
        <w:keepNext/>
        <w:spacing w:after="0" w:line="240" w:lineRule="auto"/>
        <w:contextualSpacing/>
        <w:jc w:val="right"/>
        <w:rPr>
          <w:rFonts w:ascii="Arial" w:eastAsia="Times New Roman" w:hAnsi="Arial" w:cs="Arial"/>
          <w:i/>
          <w:sz w:val="20"/>
          <w:szCs w:val="20"/>
          <w:highlight w:val="yellow"/>
        </w:rPr>
      </w:pPr>
    </w:p>
    <w:p w14:paraId="78E9E8AD" w14:textId="77777777" w:rsidR="00BD060A" w:rsidRPr="00261F2E" w:rsidRDefault="00BD060A" w:rsidP="00545B7F">
      <w:pPr>
        <w:spacing w:after="0" w:line="240" w:lineRule="auto"/>
        <w:contextualSpacing/>
        <w:jc w:val="right"/>
        <w:rPr>
          <w:rFonts w:ascii="Arial" w:eastAsia="Times New Roman" w:hAnsi="Arial" w:cs="Arial"/>
          <w:bCs/>
          <w:iCs/>
          <w:sz w:val="20"/>
          <w:szCs w:val="20"/>
          <w:highlight w:val="yellow"/>
        </w:rPr>
      </w:pPr>
    </w:p>
    <w:p w14:paraId="40902A43" w14:textId="77777777" w:rsidR="00BD060A" w:rsidRPr="00261F2E" w:rsidRDefault="00BD060A" w:rsidP="00BD060A">
      <w:pPr>
        <w:autoSpaceDE w:val="0"/>
        <w:autoSpaceDN w:val="0"/>
        <w:adjustRightInd w:val="0"/>
        <w:spacing w:after="0" w:line="240" w:lineRule="auto"/>
        <w:contextualSpacing/>
        <w:jc w:val="right"/>
        <w:rPr>
          <w:rFonts w:ascii="Arial" w:eastAsia="Times New Roman" w:hAnsi="Arial" w:cs="Arial"/>
          <w:b/>
          <w:i/>
          <w:sz w:val="20"/>
          <w:szCs w:val="16"/>
          <w:highlight w:val="yellow"/>
        </w:rPr>
      </w:pPr>
      <w:r w:rsidRPr="00261F2E">
        <w:rPr>
          <w:rFonts w:ascii="Arial" w:eastAsia="Times New Roman" w:hAnsi="Arial" w:cs="Arial"/>
          <w:b/>
          <w:i/>
          <w:sz w:val="20"/>
          <w:szCs w:val="16"/>
          <w:highlight w:val="yellow"/>
        </w:rPr>
        <w:t>Received</w:t>
      </w:r>
      <w:r w:rsidR="009A23F1" w:rsidRPr="00261F2E">
        <w:rPr>
          <w:rFonts w:ascii="Arial" w:eastAsia="Times New Roman" w:hAnsi="Arial" w:cs="Arial"/>
          <w:b/>
          <w:i/>
          <w:sz w:val="20"/>
          <w:szCs w:val="16"/>
          <w:highlight w:val="yellow"/>
        </w:rPr>
        <w:t>:</w:t>
      </w:r>
      <w:r w:rsidRPr="00261F2E">
        <w:rPr>
          <w:rFonts w:ascii="Arial" w:eastAsia="Times New Roman" w:hAnsi="Arial" w:cs="Arial"/>
          <w:b/>
          <w:i/>
          <w:sz w:val="20"/>
          <w:szCs w:val="16"/>
          <w:highlight w:val="yellow"/>
        </w:rPr>
        <w:t xml:space="preserve"> </w:t>
      </w:r>
      <w:r w:rsidR="009A23F1" w:rsidRPr="00261F2E">
        <w:rPr>
          <w:rFonts w:ascii="Arial" w:eastAsia="Times New Roman" w:hAnsi="Arial" w:cs="Arial"/>
          <w:b/>
          <w:i/>
          <w:sz w:val="20"/>
          <w:szCs w:val="16"/>
          <w:highlight w:val="yellow"/>
        </w:rPr>
        <w:t>DD/MM/20YY</w:t>
      </w:r>
    </w:p>
    <w:p w14:paraId="75B21817" w14:textId="77777777" w:rsidR="00BD060A" w:rsidRPr="00261F2E" w:rsidRDefault="00600AC8" w:rsidP="00BD060A">
      <w:pPr>
        <w:autoSpaceDE w:val="0"/>
        <w:autoSpaceDN w:val="0"/>
        <w:adjustRightInd w:val="0"/>
        <w:spacing w:after="0" w:line="240" w:lineRule="auto"/>
        <w:contextualSpacing/>
        <w:jc w:val="right"/>
        <w:rPr>
          <w:rFonts w:ascii="Arial" w:eastAsia="Times New Roman" w:hAnsi="Arial" w:cs="Arial"/>
          <w:b/>
          <w:i/>
          <w:sz w:val="20"/>
          <w:szCs w:val="16"/>
          <w:highlight w:val="yellow"/>
        </w:rPr>
      </w:pPr>
      <w:r>
        <w:rPr>
          <w:rFonts w:ascii="Arial" w:eastAsia="Times New Roman" w:hAnsi="Arial" w:cs="Arial"/>
          <w:b/>
          <w:noProof/>
          <w:sz w:val="24"/>
          <w:szCs w:val="20"/>
          <w:highlight w:val="yellow"/>
        </w:rPr>
        <w:pict w14:anchorId="7E0AF88A">
          <v:rect id="_x0000_s1053" style="position:absolute;left:0;text-align:left;margin-left:1.95pt;margin-top:3.45pt;width:137.6pt;height:18.65pt;z-index:251668480">
            <v:textbox style="mso-next-textbox:#_x0000_s1053" inset=",2.16pt,,2.16pt">
              <w:txbxContent>
                <w:p w14:paraId="17B80936" w14:textId="77777777" w:rsidR="007E16D0" w:rsidRPr="00081439" w:rsidRDefault="007E16D0" w:rsidP="007E16D0">
                  <w:pPr>
                    <w:jc w:val="center"/>
                    <w:rPr>
                      <w:rFonts w:ascii="Arial" w:hAnsi="Arial" w:cs="Arial"/>
                      <w:b/>
                      <w:i/>
                      <w:sz w:val="20"/>
                    </w:rPr>
                  </w:pPr>
                  <w:r>
                    <w:rPr>
                      <w:rFonts w:ascii="Arial" w:hAnsi="Arial" w:cs="Arial"/>
                      <w:b/>
                      <w:i/>
                      <w:sz w:val="20"/>
                    </w:rPr>
                    <w:t>…………</w:t>
                  </w:r>
                  <w:r w:rsidRPr="00081439">
                    <w:rPr>
                      <w:rFonts w:ascii="Arial" w:hAnsi="Arial" w:cs="Arial"/>
                      <w:b/>
                      <w:i/>
                      <w:sz w:val="20"/>
                    </w:rPr>
                    <w:t xml:space="preserve"> Article</w:t>
                  </w:r>
                </w:p>
              </w:txbxContent>
            </v:textbox>
          </v:rect>
        </w:pict>
      </w:r>
      <w:r w:rsidR="00BD060A" w:rsidRPr="00261F2E">
        <w:rPr>
          <w:rFonts w:ascii="Arial" w:eastAsia="Times New Roman" w:hAnsi="Arial" w:cs="Arial"/>
          <w:b/>
          <w:i/>
          <w:sz w:val="20"/>
          <w:szCs w:val="16"/>
          <w:highlight w:val="yellow"/>
        </w:rPr>
        <w:t>Accepted</w:t>
      </w:r>
      <w:r w:rsidR="009A23F1" w:rsidRPr="00261F2E">
        <w:rPr>
          <w:rFonts w:ascii="Arial" w:eastAsia="Times New Roman" w:hAnsi="Arial" w:cs="Arial"/>
          <w:b/>
          <w:i/>
          <w:sz w:val="20"/>
          <w:szCs w:val="16"/>
          <w:highlight w:val="yellow"/>
        </w:rPr>
        <w:t>:</w:t>
      </w:r>
      <w:r w:rsidR="00BD060A" w:rsidRPr="00261F2E">
        <w:rPr>
          <w:rFonts w:ascii="Arial" w:eastAsia="Times New Roman" w:hAnsi="Arial" w:cs="Arial"/>
          <w:b/>
          <w:i/>
          <w:sz w:val="20"/>
          <w:szCs w:val="16"/>
          <w:highlight w:val="yellow"/>
        </w:rPr>
        <w:t xml:space="preserve"> </w:t>
      </w:r>
      <w:r w:rsidR="009A23F1" w:rsidRPr="00261F2E">
        <w:rPr>
          <w:rFonts w:ascii="Arial" w:eastAsia="Times New Roman" w:hAnsi="Arial" w:cs="Arial"/>
          <w:b/>
          <w:i/>
          <w:sz w:val="20"/>
          <w:szCs w:val="16"/>
          <w:highlight w:val="yellow"/>
        </w:rPr>
        <w:t>DD/MM/20YY</w:t>
      </w:r>
    </w:p>
    <w:p w14:paraId="4C531CB2" w14:textId="77777777" w:rsidR="00BD060A" w:rsidRPr="000F1E43" w:rsidRDefault="00BD060A" w:rsidP="00BD060A">
      <w:pPr>
        <w:autoSpaceDE w:val="0"/>
        <w:autoSpaceDN w:val="0"/>
        <w:adjustRightInd w:val="0"/>
        <w:spacing w:after="0" w:line="240" w:lineRule="auto"/>
        <w:contextualSpacing/>
        <w:jc w:val="right"/>
        <w:rPr>
          <w:rFonts w:ascii="Arial" w:eastAsia="Times New Roman" w:hAnsi="Arial" w:cs="Arial"/>
          <w:sz w:val="20"/>
          <w:szCs w:val="20"/>
        </w:rPr>
      </w:pPr>
      <w:r w:rsidRPr="00261F2E">
        <w:rPr>
          <w:rFonts w:ascii="Arial" w:eastAsia="Times New Roman" w:hAnsi="Arial" w:cs="Arial"/>
          <w:b/>
          <w:i/>
          <w:sz w:val="20"/>
          <w:szCs w:val="16"/>
          <w:highlight w:val="yellow"/>
        </w:rPr>
        <w:t>Published</w:t>
      </w:r>
      <w:r w:rsidR="009A23F1" w:rsidRPr="00261F2E">
        <w:rPr>
          <w:rFonts w:ascii="Arial" w:eastAsia="Times New Roman" w:hAnsi="Arial" w:cs="Arial"/>
          <w:b/>
          <w:i/>
          <w:sz w:val="20"/>
          <w:szCs w:val="16"/>
          <w:highlight w:val="yellow"/>
        </w:rPr>
        <w:t>:</w:t>
      </w:r>
      <w:r w:rsidRPr="00261F2E">
        <w:rPr>
          <w:rFonts w:ascii="Arial" w:eastAsia="Times New Roman" w:hAnsi="Arial" w:cs="Arial"/>
          <w:b/>
          <w:i/>
          <w:sz w:val="20"/>
          <w:szCs w:val="16"/>
          <w:highlight w:val="yellow"/>
        </w:rPr>
        <w:t xml:space="preserve"> </w:t>
      </w:r>
      <w:r w:rsidR="009A23F1" w:rsidRPr="00261F2E">
        <w:rPr>
          <w:rFonts w:ascii="Arial" w:eastAsia="Times New Roman" w:hAnsi="Arial" w:cs="Arial"/>
          <w:b/>
          <w:i/>
          <w:sz w:val="20"/>
          <w:szCs w:val="16"/>
          <w:highlight w:val="yellow"/>
        </w:rPr>
        <w:t>DD/MM/20YY</w:t>
      </w:r>
    </w:p>
    <w:p w14:paraId="2B80B9B3" w14:textId="77777777" w:rsidR="00BD060A" w:rsidRPr="000F1E43" w:rsidRDefault="00600AC8" w:rsidP="00BD060A">
      <w:pPr>
        <w:keepNext/>
        <w:spacing w:after="0" w:line="240" w:lineRule="auto"/>
        <w:contextualSpacing/>
        <w:rPr>
          <w:rFonts w:ascii="Arial" w:eastAsia="Times New Roman" w:hAnsi="Arial" w:cs="Arial"/>
          <w:b/>
          <w:caps/>
          <w:sz w:val="24"/>
          <w:szCs w:val="20"/>
        </w:rPr>
      </w:pPr>
      <w:r>
        <w:rPr>
          <w:rFonts w:ascii="Arial" w:eastAsia="Times New Roman" w:hAnsi="Arial" w:cs="Arial"/>
          <w:b/>
          <w:caps/>
          <w:sz w:val="24"/>
          <w:szCs w:val="20"/>
        </w:rPr>
      </w:r>
      <w:r>
        <w:rPr>
          <w:rFonts w:ascii="Arial" w:eastAsia="Times New Roman" w:hAnsi="Arial" w:cs="Arial"/>
          <w:b/>
          <w:caps/>
          <w:sz w:val="24"/>
          <w:szCs w:val="20"/>
        </w:rPr>
        <w:pict w14:anchorId="0A71EA83">
          <v:shape id="_x0000_s1064"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0460C420" w14:textId="77777777" w:rsidR="00BD060A" w:rsidRPr="000F1E43" w:rsidRDefault="00BD060A" w:rsidP="00BD060A">
      <w:pPr>
        <w:keepNext/>
        <w:tabs>
          <w:tab w:val="left" w:pos="3870"/>
        </w:tabs>
        <w:spacing w:after="0" w:line="240" w:lineRule="auto"/>
        <w:contextualSpacing/>
        <w:rPr>
          <w:rFonts w:ascii="Arial" w:eastAsia="Times New Roman" w:hAnsi="Arial" w:cs="Arial"/>
          <w:b/>
          <w:caps/>
          <w:sz w:val="20"/>
          <w:szCs w:val="20"/>
        </w:rPr>
      </w:pPr>
    </w:p>
    <w:p w14:paraId="0F50A6AA" w14:textId="77777777" w:rsidR="00BD060A" w:rsidRPr="000F1E43" w:rsidRDefault="00BD060A" w:rsidP="00C429F3">
      <w:pPr>
        <w:pStyle w:val="Heading2"/>
        <w:rPr>
          <w:rFonts w:eastAsia="Times New Roman"/>
        </w:rPr>
      </w:pPr>
      <w:r w:rsidRPr="000F1E43">
        <w:rPr>
          <w:rFonts w:eastAsia="Times New Roman"/>
        </w:rPr>
        <w:t>ABSTRACT</w:t>
      </w:r>
    </w:p>
    <w:p w14:paraId="24169396" w14:textId="77777777" w:rsidR="00BD060A" w:rsidRPr="000F1E43" w:rsidRDefault="00BD060A" w:rsidP="00BD060A">
      <w:pPr>
        <w:keepNext/>
        <w:spacing w:after="0" w:line="240" w:lineRule="auto"/>
        <w:contextualSpacing/>
        <w:rPr>
          <w:rFonts w:ascii="Arial" w:eastAsia="Times New Roman" w:hAnsi="Arial" w:cs="Arial"/>
          <w:b/>
          <w:caps/>
          <w:sz w:val="20"/>
          <w:szCs w:val="20"/>
        </w:rPr>
      </w:pPr>
    </w:p>
    <w:tbl>
      <w:tblPr>
        <w:tblStyle w:val="TableGrid"/>
        <w:tblW w:w="4900" w:type="pct"/>
        <w:jc w:val="center"/>
        <w:tblLook w:val="04A0" w:firstRow="1" w:lastRow="0" w:firstColumn="1" w:lastColumn="0" w:noHBand="0" w:noVBand="1"/>
      </w:tblPr>
      <w:tblGrid>
        <w:gridCol w:w="9060"/>
      </w:tblGrid>
      <w:tr w:rsidR="00BD060A" w:rsidRPr="000F1E43" w14:paraId="54A5C971" w14:textId="77777777" w:rsidTr="007B5DF9">
        <w:trPr>
          <w:trHeight w:val="20"/>
          <w:jc w:val="center"/>
        </w:trPr>
        <w:tc>
          <w:tcPr>
            <w:tcW w:w="8983" w:type="dxa"/>
          </w:tcPr>
          <w:p w14:paraId="4A5FF20E" w14:textId="77777777" w:rsidR="007B5DF9" w:rsidRPr="000F1E43" w:rsidRDefault="007B5DF9" w:rsidP="00A33D1F">
            <w:pPr>
              <w:contextualSpacing/>
              <w:jc w:val="both"/>
              <w:rPr>
                <w:rFonts w:ascii="Arial" w:eastAsia="Calibri" w:hAnsi="Arial" w:cs="Arial"/>
                <w:iCs/>
                <w:sz w:val="20"/>
                <w:lang w:val="en-GB"/>
              </w:rPr>
            </w:pPr>
            <w:r w:rsidRPr="000F1E43">
              <w:rPr>
                <w:rFonts w:ascii="Arial" w:eastAsia="Calibri" w:hAnsi="Arial" w:cs="Arial"/>
                <w:b/>
                <w:sz w:val="20"/>
              </w:rPr>
              <w:t xml:space="preserve">Aims: </w:t>
            </w:r>
            <w:r w:rsidRPr="000F1E43">
              <w:rPr>
                <w:rFonts w:ascii="Arial" w:eastAsia="Calibri" w:hAnsi="Arial" w:cs="Arial"/>
                <w:bCs/>
                <w:sz w:val="20"/>
              </w:rPr>
              <w:t>The</w:t>
            </w:r>
            <w:r w:rsidRPr="000F1E43">
              <w:rPr>
                <w:rFonts w:ascii="Arial" w:eastAsia="Calibri" w:hAnsi="Arial" w:cs="Arial"/>
                <w:iCs/>
                <w:sz w:val="20"/>
                <w:lang w:val="en-GB"/>
              </w:rPr>
              <w:t xml:space="preserve"> presence of mycotoxins in food crops is associated with severe health hazards and economic losses worldwide. The aim of this study was to assess the quantities of mycotoxins, specifically </w:t>
            </w:r>
            <w:proofErr w:type="spellStart"/>
            <w:r w:rsidRPr="000F1E43">
              <w:rPr>
                <w:rFonts w:ascii="Arial" w:eastAsia="Calibri" w:hAnsi="Arial" w:cs="Arial"/>
                <w:iCs/>
                <w:sz w:val="20"/>
                <w:lang w:val="en-GB"/>
              </w:rPr>
              <w:t>fumonisin</w:t>
            </w:r>
            <w:proofErr w:type="spellEnd"/>
            <w:r w:rsidRPr="000F1E43">
              <w:rPr>
                <w:rFonts w:ascii="Arial" w:eastAsia="Calibri" w:hAnsi="Arial" w:cs="Arial"/>
                <w:iCs/>
                <w:sz w:val="20"/>
                <w:lang w:val="en-GB"/>
              </w:rPr>
              <w:t xml:space="preserve"> and aflatoxin, found in rice and groundnut seeds sold by vendors in local stores. Rice and groundnut samples were obtained from three main markets in Kericho County. </w:t>
            </w:r>
          </w:p>
          <w:p w14:paraId="5DD5EDB5" w14:textId="1613DF6A" w:rsidR="007B5DF9" w:rsidRPr="000F1E43" w:rsidRDefault="007B5DF9" w:rsidP="00A33D1F">
            <w:pPr>
              <w:contextualSpacing/>
              <w:jc w:val="both"/>
              <w:rPr>
                <w:rFonts w:ascii="Arial" w:eastAsia="Calibri" w:hAnsi="Arial" w:cs="Arial"/>
                <w:sz w:val="20"/>
              </w:rPr>
            </w:pPr>
            <w:r w:rsidRPr="000F1E43">
              <w:rPr>
                <w:rFonts w:ascii="Arial" w:eastAsia="Calibri" w:hAnsi="Arial" w:cs="Arial"/>
                <w:b/>
                <w:sz w:val="20"/>
              </w:rPr>
              <w:t>Study Design:</w:t>
            </w:r>
            <w:r w:rsidRPr="000F1E43">
              <w:rPr>
                <w:rFonts w:ascii="Arial" w:eastAsia="Calibri" w:hAnsi="Arial" w:cs="Arial"/>
                <w:sz w:val="20"/>
              </w:rPr>
              <w:t xml:space="preserve"> Cross-sectional laboratory-based study design was used.</w:t>
            </w:r>
          </w:p>
          <w:p w14:paraId="730D24CC" w14:textId="77777777" w:rsidR="007B5DF9" w:rsidRPr="000F1E43" w:rsidRDefault="007B5DF9" w:rsidP="00A33D1F">
            <w:pPr>
              <w:contextualSpacing/>
              <w:jc w:val="both"/>
              <w:rPr>
                <w:rFonts w:ascii="Arial" w:eastAsia="Calibri" w:hAnsi="Arial" w:cs="Arial"/>
                <w:iCs/>
                <w:sz w:val="20"/>
              </w:rPr>
            </w:pPr>
            <w:r w:rsidRPr="000F1E43">
              <w:rPr>
                <w:rFonts w:ascii="Arial" w:eastAsia="Calibri" w:hAnsi="Arial" w:cs="Arial"/>
                <w:b/>
                <w:sz w:val="20"/>
              </w:rPr>
              <w:t>Place and Duration of Study:</w:t>
            </w:r>
            <w:r w:rsidRPr="000F1E43">
              <w:rPr>
                <w:rFonts w:ascii="Arial" w:eastAsia="Calibri" w:hAnsi="Arial" w:cs="Arial"/>
                <w:sz w:val="20"/>
              </w:rPr>
              <w:t xml:space="preserve"> The s</w:t>
            </w:r>
            <w:proofErr w:type="spellStart"/>
            <w:r w:rsidRPr="000F1E43">
              <w:rPr>
                <w:rFonts w:ascii="Arial" w:eastAsia="Calibri" w:hAnsi="Arial" w:cs="Arial"/>
                <w:iCs/>
                <w:sz w:val="20"/>
                <w:lang w:val="en-GB"/>
              </w:rPr>
              <w:t>amples</w:t>
            </w:r>
            <w:proofErr w:type="spellEnd"/>
            <w:r w:rsidRPr="000F1E43">
              <w:rPr>
                <w:rFonts w:ascii="Arial" w:eastAsia="Calibri" w:hAnsi="Arial" w:cs="Arial"/>
                <w:iCs/>
                <w:sz w:val="20"/>
                <w:lang w:val="en-GB"/>
              </w:rPr>
              <w:t xml:space="preserve"> used in the study were collected from the </w:t>
            </w:r>
            <w:proofErr w:type="spellStart"/>
            <w:r w:rsidRPr="000F1E43">
              <w:rPr>
                <w:rFonts w:ascii="Arial" w:eastAsia="Calibri" w:hAnsi="Arial" w:cs="Arial"/>
                <w:iCs/>
                <w:sz w:val="20"/>
                <w:lang w:val="en-GB"/>
              </w:rPr>
              <w:t>Kapsuser</w:t>
            </w:r>
            <w:proofErr w:type="spellEnd"/>
            <w:r w:rsidRPr="000F1E43">
              <w:rPr>
                <w:rFonts w:ascii="Arial" w:eastAsia="Calibri" w:hAnsi="Arial" w:cs="Arial"/>
                <w:iCs/>
                <w:sz w:val="20"/>
                <w:lang w:val="en-GB"/>
              </w:rPr>
              <w:t xml:space="preserve">, Kericho Town, and </w:t>
            </w:r>
            <w:proofErr w:type="spellStart"/>
            <w:r w:rsidRPr="000F1E43">
              <w:rPr>
                <w:rFonts w:ascii="Arial" w:eastAsia="Calibri" w:hAnsi="Arial" w:cs="Arial"/>
                <w:iCs/>
                <w:sz w:val="20"/>
                <w:lang w:val="en-GB"/>
              </w:rPr>
              <w:t>Nyagacho</w:t>
            </w:r>
            <w:proofErr w:type="spellEnd"/>
            <w:r w:rsidRPr="000F1E43">
              <w:rPr>
                <w:rFonts w:ascii="Arial" w:eastAsia="Calibri" w:hAnsi="Arial" w:cs="Arial"/>
                <w:iCs/>
                <w:sz w:val="20"/>
                <w:lang w:val="en-GB"/>
              </w:rPr>
              <w:t xml:space="preserve"> markets in Kericho County. The analysis was carried out at the Kenya Medical Research Institute in Nairobi from August 2022 to August 2023.</w:t>
            </w:r>
          </w:p>
          <w:p w14:paraId="5A49A377" w14:textId="77777777" w:rsidR="007B5DF9" w:rsidRPr="000F1E43" w:rsidRDefault="007B5DF9" w:rsidP="00A33D1F">
            <w:pPr>
              <w:contextualSpacing/>
              <w:jc w:val="both"/>
              <w:rPr>
                <w:rFonts w:ascii="Arial" w:eastAsia="Calibri" w:hAnsi="Arial" w:cs="Arial"/>
                <w:iCs/>
                <w:sz w:val="20"/>
                <w:lang w:val="en-GB"/>
              </w:rPr>
            </w:pPr>
            <w:r w:rsidRPr="000F1E43">
              <w:rPr>
                <w:rFonts w:ascii="Arial" w:eastAsia="Calibri" w:hAnsi="Arial" w:cs="Arial"/>
                <w:b/>
                <w:bCs/>
                <w:sz w:val="20"/>
              </w:rPr>
              <w:lastRenderedPageBreak/>
              <w:t>Methodology:</w:t>
            </w:r>
            <w:r w:rsidRPr="000F1E43">
              <w:rPr>
                <w:rFonts w:ascii="Arial" w:eastAsia="Calibri" w:hAnsi="Arial" w:cs="Arial"/>
                <w:sz w:val="20"/>
              </w:rPr>
              <w:t xml:space="preserve"> We </w:t>
            </w:r>
            <w:r w:rsidRPr="000F1E43">
              <w:rPr>
                <w:rFonts w:ascii="Arial" w:eastAsia="Calibri" w:hAnsi="Arial" w:cs="Arial"/>
                <w:iCs/>
                <w:sz w:val="20"/>
              </w:rPr>
              <w:t xml:space="preserve">included a total of 138 samples in the study. This consisted of 69 samples of rice and 69 samples of groundnuts. The samples were collected from randomly selected vendors selling rice and/or groundnuts. The </w:t>
            </w:r>
            <w:proofErr w:type="spellStart"/>
            <w:r w:rsidRPr="000F1E43">
              <w:rPr>
                <w:rFonts w:ascii="Arial" w:eastAsia="Calibri" w:hAnsi="Arial" w:cs="Arial"/>
                <w:iCs/>
                <w:sz w:val="20"/>
              </w:rPr>
              <w:t>Envirologix</w:t>
            </w:r>
            <w:proofErr w:type="spellEnd"/>
            <w:r w:rsidRPr="000F1E43">
              <w:rPr>
                <w:rFonts w:ascii="Arial" w:eastAsia="Calibri" w:hAnsi="Arial" w:cs="Arial"/>
                <w:iCs/>
                <w:sz w:val="20"/>
              </w:rPr>
              <w:t xml:space="preserve"> </w:t>
            </w:r>
            <w:proofErr w:type="spellStart"/>
            <w:r w:rsidRPr="000F1E43">
              <w:rPr>
                <w:rFonts w:ascii="Arial" w:eastAsia="Calibri" w:hAnsi="Arial" w:cs="Arial"/>
                <w:iCs/>
                <w:sz w:val="20"/>
              </w:rPr>
              <w:t>QuickTox</w:t>
            </w:r>
            <w:proofErr w:type="spellEnd"/>
            <w:r w:rsidRPr="000F1E43">
              <w:rPr>
                <w:rFonts w:ascii="Arial" w:eastAsia="Calibri" w:hAnsi="Arial" w:cs="Arial"/>
                <w:iCs/>
                <w:sz w:val="20"/>
              </w:rPr>
              <w:t xml:space="preserve"> Kit for </w:t>
            </w:r>
            <w:proofErr w:type="spellStart"/>
            <w:r w:rsidRPr="000F1E43">
              <w:rPr>
                <w:rFonts w:ascii="Arial" w:eastAsia="Calibri" w:hAnsi="Arial" w:cs="Arial"/>
                <w:iCs/>
                <w:sz w:val="20"/>
              </w:rPr>
              <w:t>QuickScan</w:t>
            </w:r>
            <w:proofErr w:type="spellEnd"/>
            <w:r w:rsidRPr="000F1E43">
              <w:rPr>
                <w:rFonts w:ascii="Arial" w:eastAsia="Calibri" w:hAnsi="Arial" w:cs="Arial"/>
                <w:iCs/>
                <w:sz w:val="20"/>
              </w:rPr>
              <w:t xml:space="preserve"> Aflatoxin was used in this study to analyze mycotoxin levels. </w:t>
            </w:r>
          </w:p>
          <w:p w14:paraId="5610E1B9" w14:textId="4A05EE5F" w:rsidR="007B5DF9" w:rsidRPr="000F1E43" w:rsidRDefault="007B5DF9" w:rsidP="00A33D1F">
            <w:pPr>
              <w:contextualSpacing/>
              <w:jc w:val="both"/>
              <w:rPr>
                <w:rFonts w:ascii="Arial" w:eastAsia="Calibri" w:hAnsi="Arial" w:cs="Arial"/>
                <w:sz w:val="20"/>
              </w:rPr>
            </w:pPr>
            <w:r w:rsidRPr="000F1E43">
              <w:rPr>
                <w:rFonts w:ascii="Arial" w:eastAsia="Calibri" w:hAnsi="Arial" w:cs="Arial"/>
                <w:b/>
                <w:bCs/>
                <w:sz w:val="20"/>
              </w:rPr>
              <w:t>Results:</w:t>
            </w:r>
            <w:r w:rsidRPr="000F1E43">
              <w:rPr>
                <w:rFonts w:ascii="Arial" w:eastAsia="Calibri" w:hAnsi="Arial" w:cs="Arial"/>
                <w:sz w:val="20"/>
              </w:rPr>
              <w:t xml:space="preserve"> </w:t>
            </w:r>
            <w:r w:rsidRPr="000F1E43">
              <w:rPr>
                <w:rFonts w:ascii="Arial" w:eastAsia="Calibri" w:hAnsi="Arial" w:cs="Arial"/>
                <w:iCs/>
                <w:sz w:val="20"/>
                <w:lang w:val="en-GB"/>
              </w:rPr>
              <w:t xml:space="preserve">The data was </w:t>
            </w:r>
            <w:proofErr w:type="spellStart"/>
            <w:r w:rsidRPr="000F1E43">
              <w:rPr>
                <w:rFonts w:ascii="Arial" w:eastAsia="Calibri" w:hAnsi="Arial" w:cs="Arial"/>
                <w:iCs/>
                <w:sz w:val="20"/>
                <w:lang w:val="en-GB"/>
              </w:rPr>
              <w:t>analyzed</w:t>
            </w:r>
            <w:proofErr w:type="spellEnd"/>
            <w:r w:rsidRPr="000F1E43">
              <w:rPr>
                <w:rFonts w:ascii="Arial" w:eastAsia="Calibri" w:hAnsi="Arial" w:cs="Arial"/>
                <w:iCs/>
                <w:sz w:val="20"/>
                <w:lang w:val="en-GB"/>
              </w:rPr>
              <w:t xml:space="preserve"> using the R and Statistical Package for Social Science (SPSS) software packages. </w:t>
            </w:r>
            <w:r w:rsidRPr="000F1E43">
              <w:rPr>
                <w:rFonts w:ascii="Arial" w:eastAsia="Calibri" w:hAnsi="Arial" w:cs="Arial"/>
                <w:iCs/>
                <w:sz w:val="20"/>
              </w:rPr>
              <w:t>The</w:t>
            </w:r>
            <w:r w:rsidR="005A3F46" w:rsidRPr="000F1E43">
              <w:rPr>
                <w:rFonts w:ascii="Arial" w:eastAsia="Calibri" w:hAnsi="Arial" w:cs="Arial"/>
                <w:iCs/>
                <w:sz w:val="20"/>
              </w:rPr>
              <w:t xml:space="preserve"> </w:t>
            </w:r>
            <w:r w:rsidRPr="000F1E43">
              <w:rPr>
                <w:rFonts w:ascii="Arial" w:eastAsia="Calibri" w:hAnsi="Arial" w:cs="Arial"/>
                <w:iCs/>
                <w:sz w:val="20"/>
              </w:rPr>
              <w:t>statistical</w:t>
            </w:r>
            <w:r w:rsidR="005A3F46" w:rsidRPr="000F1E43">
              <w:rPr>
                <w:rFonts w:ascii="Arial" w:eastAsia="Calibri" w:hAnsi="Arial" w:cs="Arial"/>
                <w:iCs/>
                <w:sz w:val="20"/>
              </w:rPr>
              <w:t xml:space="preserve"> </w:t>
            </w:r>
            <w:r w:rsidRPr="000F1E43">
              <w:rPr>
                <w:rFonts w:ascii="Arial" w:eastAsia="Calibri" w:hAnsi="Arial" w:cs="Arial"/>
                <w:iCs/>
                <w:sz w:val="20"/>
              </w:rPr>
              <w:t>significance</w:t>
            </w:r>
            <w:r w:rsidR="005A3F46" w:rsidRPr="000F1E43">
              <w:rPr>
                <w:rFonts w:ascii="Arial" w:eastAsia="Calibri" w:hAnsi="Arial" w:cs="Arial"/>
                <w:iCs/>
                <w:sz w:val="20"/>
              </w:rPr>
              <w:t xml:space="preserve"> </w:t>
            </w:r>
            <w:r w:rsidRPr="000F1E43">
              <w:rPr>
                <w:rFonts w:ascii="Arial" w:eastAsia="Calibri" w:hAnsi="Arial" w:cs="Arial"/>
                <w:iCs/>
                <w:sz w:val="20"/>
              </w:rPr>
              <w:t>level</w:t>
            </w:r>
            <w:r w:rsidR="005A3F46" w:rsidRPr="000F1E43">
              <w:rPr>
                <w:rFonts w:ascii="Arial" w:eastAsia="Calibri" w:hAnsi="Arial" w:cs="Arial"/>
                <w:iCs/>
                <w:sz w:val="20"/>
              </w:rPr>
              <w:t xml:space="preserve"> </w:t>
            </w:r>
            <w:r w:rsidRPr="000F1E43">
              <w:rPr>
                <w:rFonts w:ascii="Arial" w:eastAsia="Calibri" w:hAnsi="Arial" w:cs="Arial"/>
                <w:iCs/>
                <w:sz w:val="20"/>
              </w:rPr>
              <w:t>was</w:t>
            </w:r>
            <w:r w:rsidR="005A3F46" w:rsidRPr="000F1E43">
              <w:rPr>
                <w:rFonts w:ascii="Arial" w:eastAsia="Calibri" w:hAnsi="Arial" w:cs="Arial"/>
                <w:iCs/>
                <w:sz w:val="20"/>
              </w:rPr>
              <w:t xml:space="preserve"> </w:t>
            </w:r>
            <w:r w:rsidRPr="000F1E43">
              <w:rPr>
                <w:rFonts w:ascii="Arial" w:eastAsia="Calibri" w:hAnsi="Arial" w:cs="Arial"/>
                <w:iCs/>
                <w:sz w:val="20"/>
              </w:rPr>
              <w:t>set</w:t>
            </w:r>
            <w:r w:rsidR="005A3F46" w:rsidRPr="000F1E43">
              <w:rPr>
                <w:rFonts w:ascii="Arial" w:eastAsia="Calibri" w:hAnsi="Arial" w:cs="Arial"/>
                <w:iCs/>
                <w:sz w:val="20"/>
              </w:rPr>
              <w:t xml:space="preserve"> </w:t>
            </w:r>
            <w:r w:rsidRPr="000F1E43">
              <w:rPr>
                <w:rFonts w:ascii="Arial" w:eastAsia="Calibri" w:hAnsi="Arial" w:cs="Arial"/>
                <w:iCs/>
                <w:sz w:val="20"/>
              </w:rPr>
              <w:t>at</w:t>
            </w:r>
            <w:r w:rsidR="005A3F46" w:rsidRPr="000F1E43">
              <w:rPr>
                <w:rFonts w:ascii="Arial" w:eastAsia="Calibri" w:hAnsi="Arial" w:cs="Arial"/>
                <w:iCs/>
                <w:sz w:val="20"/>
              </w:rPr>
              <w:t xml:space="preserve"> </w:t>
            </w:r>
            <w:r w:rsidRPr="000F1E43">
              <w:rPr>
                <w:rFonts w:ascii="Arial" w:eastAsia="Calibri" w:hAnsi="Arial" w:cs="Arial"/>
                <w:iCs/>
                <w:sz w:val="20"/>
              </w:rPr>
              <w:t xml:space="preserve">p&lt;0.05. </w:t>
            </w:r>
            <w:r w:rsidRPr="000F1E43">
              <w:rPr>
                <w:rFonts w:ascii="Arial" w:eastAsia="Calibri" w:hAnsi="Arial" w:cs="Arial"/>
                <w:iCs/>
                <w:sz w:val="20"/>
                <w:lang w:val="en-GB"/>
              </w:rPr>
              <w:t xml:space="preserve">The findings showed a significant presence of </w:t>
            </w:r>
            <w:proofErr w:type="spellStart"/>
            <w:r w:rsidRPr="000F1E43">
              <w:rPr>
                <w:rFonts w:ascii="Arial" w:eastAsia="Calibri" w:hAnsi="Arial" w:cs="Arial"/>
                <w:iCs/>
                <w:sz w:val="20"/>
                <w:lang w:val="en-GB"/>
              </w:rPr>
              <w:t>fumonisins</w:t>
            </w:r>
            <w:proofErr w:type="spellEnd"/>
            <w:r w:rsidRPr="000F1E43">
              <w:rPr>
                <w:rFonts w:ascii="Arial" w:eastAsia="Calibri" w:hAnsi="Arial" w:cs="Arial"/>
                <w:iCs/>
                <w:sz w:val="20"/>
                <w:lang w:val="en-GB"/>
              </w:rPr>
              <w:t xml:space="preserve"> and aflatoxins in different concentrations. These results highlight how crucial routine monitoring and control procedures are to reducing mycotoxin contamination in food supply.</w:t>
            </w:r>
          </w:p>
          <w:p w14:paraId="236F1F7A" w14:textId="77777777" w:rsidR="00911EB6" w:rsidRPr="000F1E43" w:rsidRDefault="007B5DF9" w:rsidP="00A33D1F">
            <w:pPr>
              <w:contextualSpacing/>
              <w:jc w:val="both"/>
              <w:rPr>
                <w:rFonts w:ascii="Arial" w:eastAsia="Calibri" w:hAnsi="Arial" w:cs="Arial"/>
                <w:sz w:val="20"/>
                <w:lang w:val="en-GB"/>
              </w:rPr>
            </w:pPr>
            <w:r w:rsidRPr="000F1E43">
              <w:rPr>
                <w:rFonts w:ascii="Arial" w:eastAsia="Calibri" w:hAnsi="Arial" w:cs="Arial"/>
                <w:b/>
                <w:bCs/>
                <w:sz w:val="20"/>
              </w:rPr>
              <w:t>Conclusion:</w:t>
            </w:r>
            <w:r w:rsidRPr="000F1E43">
              <w:rPr>
                <w:rFonts w:ascii="Arial" w:eastAsia="Calibri" w:hAnsi="Arial" w:cs="Arial"/>
                <w:sz w:val="20"/>
              </w:rPr>
              <w:t xml:space="preserve"> The presence of aflatoxin and </w:t>
            </w:r>
            <w:proofErr w:type="spellStart"/>
            <w:r w:rsidRPr="000F1E43">
              <w:rPr>
                <w:rFonts w:ascii="Arial" w:eastAsia="Calibri" w:hAnsi="Arial" w:cs="Arial"/>
                <w:sz w:val="20"/>
              </w:rPr>
              <w:t>fumonisin</w:t>
            </w:r>
            <w:proofErr w:type="spellEnd"/>
            <w:r w:rsidRPr="000F1E43">
              <w:rPr>
                <w:rFonts w:ascii="Arial" w:eastAsia="Calibri" w:hAnsi="Arial" w:cs="Arial"/>
                <w:sz w:val="20"/>
                <w:lang w:val="en-GB"/>
              </w:rPr>
              <w:t xml:space="preserve"> which exceed the acceptable levels presents a risk to food safety and, in turn, consumer health. The need to increase awareness among rice and peanut traders is quite enormous. To guarantee food safety and public health protection, more study is advised to examine efficient actions and legislative frameworks.</w:t>
            </w:r>
          </w:p>
          <w:p w14:paraId="40E2B77B" w14:textId="68586D89" w:rsidR="00354ABD" w:rsidRPr="000F1E43" w:rsidRDefault="00354ABD" w:rsidP="00A33D1F">
            <w:pPr>
              <w:contextualSpacing/>
              <w:jc w:val="both"/>
              <w:rPr>
                <w:rFonts w:ascii="Arial" w:eastAsia="Calibri" w:hAnsi="Arial" w:cs="Arial"/>
                <w:sz w:val="20"/>
              </w:rPr>
            </w:pPr>
          </w:p>
        </w:tc>
      </w:tr>
    </w:tbl>
    <w:p w14:paraId="772DD322" w14:textId="77777777" w:rsidR="00D851AD" w:rsidRPr="000F1E43" w:rsidRDefault="00D851AD" w:rsidP="00BD060A">
      <w:pPr>
        <w:spacing w:after="0" w:line="240" w:lineRule="auto"/>
        <w:ind w:left="1080" w:hanging="1080"/>
        <w:contextualSpacing/>
        <w:jc w:val="both"/>
        <w:rPr>
          <w:rFonts w:ascii="Arial" w:eastAsia="Times New Roman" w:hAnsi="Arial" w:cs="Arial"/>
          <w:i/>
          <w:sz w:val="20"/>
          <w:szCs w:val="20"/>
        </w:rPr>
      </w:pPr>
    </w:p>
    <w:p w14:paraId="3409AC73" w14:textId="16A14FDC" w:rsidR="00911EB6" w:rsidRPr="000F1E43" w:rsidRDefault="00BD060A" w:rsidP="00911EB6">
      <w:pPr>
        <w:spacing w:after="0" w:line="240" w:lineRule="auto"/>
        <w:ind w:left="1080" w:hanging="1080"/>
        <w:contextualSpacing/>
        <w:jc w:val="both"/>
        <w:rPr>
          <w:rFonts w:ascii="Arial" w:eastAsia="Times New Roman" w:hAnsi="Arial" w:cs="Arial"/>
          <w:bCs/>
          <w:i/>
          <w:iCs/>
          <w:sz w:val="20"/>
          <w:szCs w:val="20"/>
        </w:rPr>
      </w:pPr>
      <w:r w:rsidRPr="000F1E43">
        <w:rPr>
          <w:rFonts w:ascii="Arial" w:eastAsia="Times New Roman" w:hAnsi="Arial" w:cs="Arial"/>
          <w:i/>
          <w:sz w:val="20"/>
          <w:szCs w:val="20"/>
        </w:rPr>
        <w:t xml:space="preserve">Keywords: </w:t>
      </w:r>
      <w:r w:rsidR="007B5DF9" w:rsidRPr="000F1E43">
        <w:rPr>
          <w:rFonts w:ascii="Arial" w:eastAsia="Times New Roman" w:hAnsi="Arial" w:cs="Arial"/>
          <w:bCs/>
          <w:i/>
          <w:iCs/>
          <w:sz w:val="20"/>
          <w:szCs w:val="20"/>
        </w:rPr>
        <w:t xml:space="preserve">Aflatoxin; food safety; </w:t>
      </w:r>
      <w:proofErr w:type="spellStart"/>
      <w:r w:rsidR="007B5DF9" w:rsidRPr="000F1E43">
        <w:rPr>
          <w:rFonts w:ascii="Arial" w:eastAsia="Times New Roman" w:hAnsi="Arial" w:cs="Arial"/>
          <w:bCs/>
          <w:i/>
          <w:iCs/>
          <w:sz w:val="20"/>
          <w:szCs w:val="20"/>
        </w:rPr>
        <w:t>fumonisin</w:t>
      </w:r>
      <w:proofErr w:type="spellEnd"/>
      <w:r w:rsidR="007B5DF9" w:rsidRPr="000F1E43">
        <w:rPr>
          <w:rFonts w:ascii="Arial" w:eastAsia="Times New Roman" w:hAnsi="Arial" w:cs="Arial"/>
          <w:bCs/>
          <w:i/>
          <w:iCs/>
          <w:sz w:val="20"/>
          <w:szCs w:val="20"/>
        </w:rPr>
        <w:t>; groundnuts; mycotoxins; rice.</w:t>
      </w:r>
    </w:p>
    <w:p w14:paraId="4AC4E3DE" w14:textId="77777777" w:rsidR="005A3F46" w:rsidRDefault="005A3F46" w:rsidP="007B5DF9">
      <w:pPr>
        <w:pStyle w:val="Heading2"/>
        <w:rPr>
          <w:rFonts w:eastAsia="Times New Roman"/>
        </w:rPr>
      </w:pPr>
    </w:p>
    <w:p w14:paraId="4192C1CC" w14:textId="77777777" w:rsidR="00600AC8" w:rsidRDefault="00600AC8" w:rsidP="00600AC8"/>
    <w:p w14:paraId="1B4CB90B" w14:textId="7E669C9A" w:rsidR="00600AC8" w:rsidRPr="00600AC8" w:rsidRDefault="00600AC8" w:rsidP="00600AC8">
      <w:pPr>
        <w:sectPr w:rsidR="00600AC8" w:rsidRPr="00600AC8" w:rsidSect="002B033F">
          <w:headerReference w:type="default" r:id="rId9"/>
          <w:footerReference w:type="default" r:id="rId10"/>
          <w:footerReference w:type="first" r:id="rId11"/>
          <w:pgSz w:w="11909" w:h="16834" w:code="9"/>
          <w:pgMar w:top="1440" w:right="1440" w:bottom="1440" w:left="1440" w:header="720" w:footer="864" w:gutter="0"/>
          <w:pgNumType w:start="1"/>
          <w:cols w:space="720"/>
          <w:titlePg/>
          <w:docGrid w:linePitch="360"/>
        </w:sectPr>
      </w:pPr>
    </w:p>
    <w:p w14:paraId="1DC885D3" w14:textId="5204C029" w:rsidR="007B5DF9" w:rsidRPr="000F1E43" w:rsidRDefault="007B5DF9" w:rsidP="007B5DF9">
      <w:pPr>
        <w:pStyle w:val="Heading2"/>
        <w:rPr>
          <w:rFonts w:eastAsia="Times New Roman"/>
        </w:rPr>
      </w:pPr>
      <w:r w:rsidRPr="000F1E43">
        <w:rPr>
          <w:rFonts w:eastAsia="Times New Roman"/>
        </w:rPr>
        <w:t xml:space="preserve">1. INTRODUCTION </w:t>
      </w:r>
    </w:p>
    <w:p w14:paraId="30C2A860" w14:textId="77777777" w:rsidR="007B5DF9" w:rsidRPr="000F1E43" w:rsidRDefault="007B5DF9" w:rsidP="007B5DF9">
      <w:pPr>
        <w:spacing w:after="0" w:line="240" w:lineRule="auto"/>
        <w:contextualSpacing/>
        <w:jc w:val="both"/>
        <w:rPr>
          <w:rFonts w:ascii="Arial" w:eastAsia="Times New Roman" w:hAnsi="Arial" w:cs="Arial"/>
          <w:b/>
          <w:bCs/>
          <w:iCs/>
          <w:sz w:val="20"/>
          <w:szCs w:val="20"/>
        </w:rPr>
      </w:pPr>
    </w:p>
    <w:p w14:paraId="36C2319C" w14:textId="1569186C" w:rsidR="007B5DF9" w:rsidRPr="000F1E43" w:rsidRDefault="007B5DF9" w:rsidP="007B5DF9">
      <w:pPr>
        <w:spacing w:after="0" w:line="240" w:lineRule="auto"/>
        <w:contextualSpacing/>
        <w:jc w:val="both"/>
        <w:rPr>
          <w:rFonts w:ascii="Arial" w:eastAsia="Times New Roman" w:hAnsi="Arial" w:cs="Arial"/>
          <w:bCs/>
          <w:iCs/>
          <w:sz w:val="20"/>
          <w:szCs w:val="20"/>
        </w:rPr>
      </w:pPr>
      <w:bookmarkStart w:id="0" w:name="_Hlk192378579"/>
      <w:r w:rsidRPr="000F1E43">
        <w:rPr>
          <w:rFonts w:ascii="Arial" w:eastAsia="Times New Roman" w:hAnsi="Arial" w:cs="Arial"/>
          <w:bCs/>
          <w:iCs/>
          <w:sz w:val="20"/>
          <w:szCs w:val="20"/>
        </w:rPr>
        <w:t xml:space="preserve">Mycotoxins are toxic secondary metabolites produced by certain fungi, predominantly belonging to the genera </w:t>
      </w:r>
      <w:r w:rsidRPr="000F1E43">
        <w:rPr>
          <w:rFonts w:ascii="Arial" w:eastAsia="Times New Roman" w:hAnsi="Arial" w:cs="Arial"/>
          <w:bCs/>
          <w:i/>
          <w:iCs/>
          <w:sz w:val="20"/>
          <w:szCs w:val="20"/>
        </w:rPr>
        <w:t>Aspergillus</w:t>
      </w:r>
      <w:r w:rsidRPr="000F1E43">
        <w:rPr>
          <w:rFonts w:ascii="Arial" w:eastAsia="Times New Roman" w:hAnsi="Arial" w:cs="Arial"/>
          <w:bCs/>
          <w:iCs/>
          <w:sz w:val="20"/>
          <w:szCs w:val="20"/>
        </w:rPr>
        <w:t xml:space="preserve">, </w:t>
      </w:r>
      <w:r w:rsidRPr="000F1E43">
        <w:rPr>
          <w:rFonts w:ascii="Arial" w:eastAsia="Times New Roman" w:hAnsi="Arial" w:cs="Arial"/>
          <w:bCs/>
          <w:i/>
          <w:iCs/>
          <w:sz w:val="20"/>
          <w:szCs w:val="20"/>
        </w:rPr>
        <w:t>Fusarium</w:t>
      </w:r>
      <w:r w:rsidRPr="000F1E43">
        <w:rPr>
          <w:rFonts w:ascii="Arial" w:eastAsia="Times New Roman" w:hAnsi="Arial" w:cs="Arial"/>
          <w:bCs/>
          <w:iCs/>
          <w:sz w:val="20"/>
          <w:szCs w:val="20"/>
        </w:rPr>
        <w:t xml:space="preserve">, and </w:t>
      </w:r>
      <w:r w:rsidRPr="000F1E43">
        <w:rPr>
          <w:rFonts w:ascii="Arial" w:eastAsia="Times New Roman" w:hAnsi="Arial" w:cs="Arial"/>
          <w:bCs/>
          <w:i/>
          <w:iCs/>
          <w:sz w:val="20"/>
          <w:szCs w:val="20"/>
        </w:rPr>
        <w:t>Penicillium.</w:t>
      </w:r>
      <w:r w:rsidRPr="000F1E43">
        <w:rPr>
          <w:rFonts w:ascii="Arial" w:eastAsia="Times New Roman" w:hAnsi="Arial" w:cs="Arial"/>
          <w:bCs/>
          <w:iCs/>
          <w:sz w:val="20"/>
          <w:szCs w:val="20"/>
        </w:rPr>
        <w:t xml:space="preserve"> These toxic compounds pose significant health risks to humans and animals, including carcinogenic, teratogenic, neurotoxic, and immunosuppressive effects. Among the various mycotoxins, aflatoxins and </w:t>
      </w:r>
      <w:proofErr w:type="spellStart"/>
      <w:r w:rsidRPr="000F1E43">
        <w:rPr>
          <w:rFonts w:ascii="Arial" w:eastAsia="Times New Roman" w:hAnsi="Arial" w:cs="Arial"/>
          <w:bCs/>
          <w:iCs/>
          <w:sz w:val="20"/>
          <w:szCs w:val="20"/>
        </w:rPr>
        <w:t>fumonisins</w:t>
      </w:r>
      <w:proofErr w:type="spellEnd"/>
      <w:r w:rsidRPr="000F1E43">
        <w:rPr>
          <w:rFonts w:ascii="Arial" w:eastAsia="Times New Roman" w:hAnsi="Arial" w:cs="Arial"/>
          <w:bCs/>
          <w:iCs/>
          <w:sz w:val="20"/>
          <w:szCs w:val="20"/>
        </w:rPr>
        <w:t xml:space="preserve"> are of particular concern due to their prevalence in staple food crops and their severe health impacts. Aflatoxins, primarily produced by </w:t>
      </w:r>
      <w:r w:rsidRPr="000F1E43">
        <w:rPr>
          <w:rFonts w:ascii="Arial" w:eastAsia="Times New Roman" w:hAnsi="Arial" w:cs="Arial"/>
          <w:bCs/>
          <w:i/>
          <w:iCs/>
          <w:sz w:val="20"/>
          <w:szCs w:val="20"/>
        </w:rPr>
        <w:t>Aspergillus flavus</w:t>
      </w:r>
      <w:r w:rsidRPr="000F1E43">
        <w:rPr>
          <w:rFonts w:ascii="Arial" w:eastAsia="Times New Roman" w:hAnsi="Arial" w:cs="Arial"/>
          <w:bCs/>
          <w:iCs/>
          <w:sz w:val="20"/>
          <w:szCs w:val="20"/>
        </w:rPr>
        <w:t xml:space="preserve"> and </w:t>
      </w:r>
      <w:r w:rsidRPr="000F1E43">
        <w:rPr>
          <w:rFonts w:ascii="Arial" w:eastAsia="Times New Roman" w:hAnsi="Arial" w:cs="Arial"/>
          <w:bCs/>
          <w:i/>
          <w:iCs/>
          <w:sz w:val="20"/>
          <w:szCs w:val="20"/>
        </w:rPr>
        <w:t>Aspergillus</w:t>
      </w:r>
      <w:r w:rsidRPr="000F1E43">
        <w:rPr>
          <w:rFonts w:ascii="Arial" w:eastAsia="Times New Roman" w:hAnsi="Arial" w:cs="Arial"/>
          <w:bCs/>
          <w:iCs/>
          <w:sz w:val="20"/>
          <w:szCs w:val="20"/>
        </w:rPr>
        <w:t xml:space="preserve"> </w:t>
      </w:r>
      <w:proofErr w:type="spellStart"/>
      <w:r w:rsidRPr="000F1E43">
        <w:rPr>
          <w:rFonts w:ascii="Arial" w:eastAsia="Times New Roman" w:hAnsi="Arial" w:cs="Arial"/>
          <w:bCs/>
          <w:i/>
          <w:iCs/>
          <w:sz w:val="20"/>
          <w:szCs w:val="20"/>
        </w:rPr>
        <w:t>parasiticus</w:t>
      </w:r>
      <w:proofErr w:type="spellEnd"/>
      <w:r w:rsidRPr="000F1E43">
        <w:rPr>
          <w:rFonts w:ascii="Arial" w:eastAsia="Times New Roman" w:hAnsi="Arial" w:cs="Arial"/>
          <w:bCs/>
          <w:iCs/>
          <w:sz w:val="20"/>
          <w:szCs w:val="20"/>
        </w:rPr>
        <w:t xml:space="preserve"> (</w:t>
      </w:r>
      <w:proofErr w:type="spellStart"/>
      <w:r w:rsidRPr="000F1E43">
        <w:rPr>
          <w:rFonts w:ascii="Arial" w:eastAsia="Times New Roman" w:hAnsi="Arial" w:cs="Arial"/>
          <w:bCs/>
          <w:iCs/>
          <w:sz w:val="20"/>
          <w:szCs w:val="20"/>
        </w:rPr>
        <w:t>Fariha</w:t>
      </w:r>
      <w:proofErr w:type="spellEnd"/>
      <w:r w:rsidRPr="000F1E43">
        <w:rPr>
          <w:rFonts w:ascii="Arial" w:eastAsia="Times New Roman" w:hAnsi="Arial" w:cs="Arial"/>
          <w:bCs/>
          <w:iCs/>
          <w:sz w:val="20"/>
          <w:szCs w:val="20"/>
        </w:rPr>
        <w:t xml:space="preserve"> et al., 2016), are potent carcinogens and have been classified as Group 1 carcinogens by the International Agency for Research on Cancer (IARC) in Lyon, France (International Agency for Research on Cancer, 2002;</w:t>
      </w:r>
      <w:r w:rsidR="00F7068C" w:rsidRPr="000F1E43">
        <w:rPr>
          <w:rFonts w:ascii="Arial" w:eastAsia="Times New Roman" w:hAnsi="Arial" w:cs="Arial"/>
          <w:bCs/>
          <w:iCs/>
          <w:sz w:val="20"/>
          <w:szCs w:val="20"/>
        </w:rPr>
        <w:t xml:space="preserve"> </w:t>
      </w:r>
      <w:proofErr w:type="spellStart"/>
      <w:r w:rsidRPr="000F1E43">
        <w:rPr>
          <w:rFonts w:ascii="Arial" w:eastAsia="Times New Roman" w:hAnsi="Arial" w:cs="Arial"/>
          <w:bCs/>
          <w:iCs/>
          <w:sz w:val="20"/>
          <w:szCs w:val="20"/>
        </w:rPr>
        <w:t>Ostry</w:t>
      </w:r>
      <w:proofErr w:type="spellEnd"/>
      <w:r w:rsidRPr="000F1E43">
        <w:rPr>
          <w:rFonts w:ascii="Arial" w:eastAsia="Times New Roman" w:hAnsi="Arial" w:cs="Arial"/>
          <w:bCs/>
          <w:iCs/>
          <w:sz w:val="20"/>
          <w:szCs w:val="20"/>
        </w:rPr>
        <w:t xml:space="preserve"> et al., 2017) Chronic exposure to aflatoxins can lead to liver cancer, immunosuppression, and growth retardation in children</w:t>
      </w:r>
      <w:r w:rsidR="00354ABD" w:rsidRPr="000F1E43">
        <w:rPr>
          <w:rFonts w:ascii="Arial" w:eastAsia="Times New Roman" w:hAnsi="Arial" w:cs="Arial"/>
          <w:bCs/>
          <w:iCs/>
          <w:sz w:val="20"/>
          <w:szCs w:val="20"/>
        </w:rPr>
        <w:t xml:space="preserve"> </w:t>
      </w:r>
      <w:r w:rsidRPr="000F1E43">
        <w:rPr>
          <w:rFonts w:ascii="Arial" w:eastAsia="Times New Roman" w:hAnsi="Arial" w:cs="Arial"/>
          <w:bCs/>
          <w:iCs/>
          <w:sz w:val="20"/>
          <w:szCs w:val="20"/>
        </w:rPr>
        <w:t>(</w:t>
      </w:r>
      <w:proofErr w:type="spellStart"/>
      <w:r w:rsidRPr="000F1E43">
        <w:rPr>
          <w:rFonts w:ascii="Arial" w:eastAsia="Times New Roman" w:hAnsi="Arial" w:cs="Arial"/>
          <w:bCs/>
          <w:iCs/>
          <w:sz w:val="20"/>
          <w:szCs w:val="20"/>
        </w:rPr>
        <w:t>Sirma</w:t>
      </w:r>
      <w:proofErr w:type="spellEnd"/>
      <w:r w:rsidRPr="000F1E43">
        <w:rPr>
          <w:rFonts w:ascii="Arial" w:eastAsia="Times New Roman" w:hAnsi="Arial" w:cs="Arial"/>
          <w:bCs/>
          <w:iCs/>
          <w:sz w:val="20"/>
          <w:szCs w:val="20"/>
        </w:rPr>
        <w:t xml:space="preserve"> et al., 2018), while acute exposure can cause aflatoxicosis, characterized by severe liver damage and potentially fatal outcomes. The significance of aflatoxins in food safety is underscored by numerous studies that have documented their widespread occurrence and detrimental health effects (Probst et al., 2007)</w:t>
      </w:r>
      <w:bookmarkEnd w:id="0"/>
      <w:r w:rsidRPr="000F1E43">
        <w:rPr>
          <w:rFonts w:ascii="Arial" w:eastAsia="Times New Roman" w:hAnsi="Arial" w:cs="Arial"/>
          <w:bCs/>
          <w:iCs/>
          <w:sz w:val="20"/>
          <w:szCs w:val="20"/>
        </w:rPr>
        <w:t>.</w:t>
      </w:r>
    </w:p>
    <w:p w14:paraId="1011FFDB"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52F5F321" w14:textId="760E7FB3" w:rsidR="007B5DF9" w:rsidRPr="000F1E43" w:rsidRDefault="007B5DF9" w:rsidP="007B5DF9">
      <w:pPr>
        <w:spacing w:after="0" w:line="240" w:lineRule="auto"/>
        <w:contextualSpacing/>
        <w:jc w:val="both"/>
        <w:rPr>
          <w:rFonts w:ascii="Arial" w:eastAsia="Times New Roman" w:hAnsi="Arial" w:cs="Arial"/>
          <w:bCs/>
          <w:iCs/>
          <w:sz w:val="20"/>
          <w:szCs w:val="20"/>
        </w:rPr>
      </w:pPr>
      <w:proofErr w:type="spellStart"/>
      <w:r w:rsidRPr="000F1E43">
        <w:rPr>
          <w:rFonts w:ascii="Arial" w:eastAsia="Times New Roman" w:hAnsi="Arial" w:cs="Arial"/>
          <w:bCs/>
          <w:iCs/>
          <w:sz w:val="20"/>
          <w:szCs w:val="20"/>
        </w:rPr>
        <w:t>Fumonisins</w:t>
      </w:r>
      <w:proofErr w:type="spellEnd"/>
      <w:r w:rsidRPr="000F1E43">
        <w:rPr>
          <w:rFonts w:ascii="Arial" w:eastAsia="Times New Roman" w:hAnsi="Arial" w:cs="Arial"/>
          <w:bCs/>
          <w:iCs/>
          <w:sz w:val="20"/>
          <w:szCs w:val="20"/>
        </w:rPr>
        <w:t xml:space="preserve">, produced by </w:t>
      </w:r>
      <w:r w:rsidRPr="000F1E43">
        <w:rPr>
          <w:rFonts w:ascii="Arial" w:eastAsia="Times New Roman" w:hAnsi="Arial" w:cs="Arial"/>
          <w:bCs/>
          <w:i/>
          <w:iCs/>
          <w:sz w:val="20"/>
          <w:szCs w:val="20"/>
        </w:rPr>
        <w:t>Fusarium verticillioides</w:t>
      </w:r>
      <w:r w:rsidRPr="000F1E43">
        <w:rPr>
          <w:rFonts w:ascii="Arial" w:eastAsia="Times New Roman" w:hAnsi="Arial" w:cs="Arial"/>
          <w:bCs/>
          <w:iCs/>
          <w:sz w:val="20"/>
          <w:szCs w:val="20"/>
        </w:rPr>
        <w:t xml:space="preserve"> and </w:t>
      </w:r>
      <w:r w:rsidRPr="000F1E43">
        <w:rPr>
          <w:rFonts w:ascii="Arial" w:eastAsia="Times New Roman" w:hAnsi="Arial" w:cs="Arial"/>
          <w:bCs/>
          <w:i/>
          <w:iCs/>
          <w:sz w:val="20"/>
          <w:szCs w:val="20"/>
        </w:rPr>
        <w:t xml:space="preserve">Fusarium </w:t>
      </w:r>
      <w:proofErr w:type="spellStart"/>
      <w:r w:rsidRPr="000F1E43">
        <w:rPr>
          <w:rFonts w:ascii="Arial" w:eastAsia="Times New Roman" w:hAnsi="Arial" w:cs="Arial"/>
          <w:bCs/>
          <w:i/>
          <w:iCs/>
          <w:sz w:val="20"/>
          <w:szCs w:val="20"/>
        </w:rPr>
        <w:t>proliferatum</w:t>
      </w:r>
      <w:proofErr w:type="spellEnd"/>
      <w:r w:rsidRPr="000F1E43">
        <w:rPr>
          <w:rFonts w:ascii="Arial" w:eastAsia="Times New Roman" w:hAnsi="Arial" w:cs="Arial"/>
          <w:bCs/>
          <w:iCs/>
          <w:sz w:val="20"/>
          <w:szCs w:val="20"/>
        </w:rPr>
        <w:t xml:space="preserve">, are predominantly associated with maize but also contaminate other crops such as rice and groundnuts (Deepa &amp; </w:t>
      </w:r>
      <w:proofErr w:type="spellStart"/>
      <w:r w:rsidRPr="000F1E43">
        <w:rPr>
          <w:rFonts w:ascii="Arial" w:eastAsia="Times New Roman" w:hAnsi="Arial" w:cs="Arial"/>
          <w:bCs/>
          <w:iCs/>
          <w:sz w:val="20"/>
          <w:szCs w:val="20"/>
        </w:rPr>
        <w:t>Sreenivasa</w:t>
      </w:r>
      <w:proofErr w:type="spellEnd"/>
      <w:r w:rsidRPr="000F1E43">
        <w:rPr>
          <w:rFonts w:ascii="Arial" w:eastAsia="Times New Roman" w:hAnsi="Arial" w:cs="Arial"/>
          <w:bCs/>
          <w:iCs/>
          <w:sz w:val="20"/>
          <w:szCs w:val="20"/>
        </w:rPr>
        <w:t xml:space="preserve">, 2017). </w:t>
      </w:r>
      <w:proofErr w:type="spellStart"/>
      <w:r w:rsidRPr="000F1E43">
        <w:rPr>
          <w:rFonts w:ascii="Arial" w:eastAsia="Times New Roman" w:hAnsi="Arial" w:cs="Arial"/>
          <w:bCs/>
          <w:iCs/>
          <w:sz w:val="20"/>
          <w:szCs w:val="20"/>
        </w:rPr>
        <w:t>Fumonisins</w:t>
      </w:r>
      <w:proofErr w:type="spellEnd"/>
      <w:r w:rsidRPr="000F1E43">
        <w:rPr>
          <w:rFonts w:ascii="Arial" w:eastAsia="Times New Roman" w:hAnsi="Arial" w:cs="Arial"/>
          <w:bCs/>
          <w:iCs/>
          <w:sz w:val="20"/>
          <w:szCs w:val="20"/>
        </w:rPr>
        <w:t xml:space="preserve"> interfere with sphingolipid metabolism, leading to diseases such as </w:t>
      </w:r>
      <w:proofErr w:type="spellStart"/>
      <w:r w:rsidRPr="000F1E43">
        <w:rPr>
          <w:rFonts w:ascii="Arial" w:eastAsia="Times New Roman" w:hAnsi="Arial" w:cs="Arial"/>
          <w:bCs/>
          <w:iCs/>
          <w:sz w:val="20"/>
          <w:szCs w:val="20"/>
        </w:rPr>
        <w:t>leukoencephalomalacia</w:t>
      </w:r>
      <w:proofErr w:type="spellEnd"/>
      <w:r w:rsidRPr="000F1E43">
        <w:rPr>
          <w:rFonts w:ascii="Arial" w:eastAsia="Times New Roman" w:hAnsi="Arial" w:cs="Arial"/>
          <w:bCs/>
          <w:iCs/>
          <w:sz w:val="20"/>
          <w:szCs w:val="20"/>
        </w:rPr>
        <w:t xml:space="preserve"> in horses, pulmonary edema in pigs, and esophageal </w:t>
      </w:r>
      <w:r w:rsidRPr="000F1E43">
        <w:rPr>
          <w:rFonts w:ascii="Arial" w:eastAsia="Times New Roman" w:hAnsi="Arial" w:cs="Arial"/>
          <w:bCs/>
          <w:iCs/>
          <w:sz w:val="20"/>
          <w:szCs w:val="20"/>
        </w:rPr>
        <w:t xml:space="preserve">cancer in humans. The global prevalence of </w:t>
      </w:r>
      <w:proofErr w:type="spellStart"/>
      <w:r w:rsidRPr="000F1E43">
        <w:rPr>
          <w:rFonts w:ascii="Arial" w:eastAsia="Times New Roman" w:hAnsi="Arial" w:cs="Arial"/>
          <w:bCs/>
          <w:iCs/>
          <w:sz w:val="20"/>
          <w:szCs w:val="20"/>
        </w:rPr>
        <w:t>fumonisins</w:t>
      </w:r>
      <w:proofErr w:type="spellEnd"/>
      <w:r w:rsidRPr="000F1E43">
        <w:rPr>
          <w:rFonts w:ascii="Arial" w:eastAsia="Times New Roman" w:hAnsi="Arial" w:cs="Arial"/>
          <w:bCs/>
          <w:iCs/>
          <w:sz w:val="20"/>
          <w:szCs w:val="20"/>
        </w:rPr>
        <w:t xml:space="preserve">, along with their severe health impacts, highlights the need for ongoing research and intervention to mitigate their presence in food supplies </w:t>
      </w:r>
      <w:r w:rsidRPr="000F1E43">
        <w:rPr>
          <w:rFonts w:ascii="Arial" w:eastAsia="Times New Roman" w:hAnsi="Arial" w:cs="Arial"/>
          <w:bCs/>
          <w:iCs/>
          <w:sz w:val="20"/>
          <w:szCs w:val="20"/>
          <w:lang w:val="nb-NO"/>
        </w:rPr>
        <w:t>(Fandohan et al., 2005;</w:t>
      </w:r>
      <w:r w:rsidR="00F7068C" w:rsidRPr="000F1E43">
        <w:rPr>
          <w:rFonts w:ascii="Arial" w:eastAsia="Times New Roman" w:hAnsi="Arial" w:cs="Arial"/>
          <w:bCs/>
          <w:iCs/>
          <w:sz w:val="20"/>
          <w:szCs w:val="20"/>
          <w:lang w:val="nb-NO"/>
        </w:rPr>
        <w:t xml:space="preserve"> </w:t>
      </w:r>
      <w:r w:rsidRPr="000F1E43">
        <w:rPr>
          <w:rFonts w:ascii="Arial" w:eastAsia="Times New Roman" w:hAnsi="Arial" w:cs="Arial"/>
          <w:bCs/>
          <w:iCs/>
          <w:sz w:val="20"/>
          <w:szCs w:val="20"/>
          <w:lang w:val="nb-NO"/>
        </w:rPr>
        <w:t xml:space="preserve">Shephard, 2008). </w:t>
      </w:r>
      <w:r w:rsidRPr="000F1E43">
        <w:rPr>
          <w:rFonts w:ascii="Arial" w:eastAsia="Times New Roman" w:hAnsi="Arial" w:cs="Arial"/>
          <w:bCs/>
          <w:iCs/>
          <w:sz w:val="20"/>
          <w:szCs w:val="20"/>
          <w:lang w:val="en-GB"/>
        </w:rPr>
        <w:t xml:space="preserve">The contamination of food crops with mycotoxins is a global issue, exacerbated by factors such as climate change, poor agricultural practices, and inadequate storage conditions (Id et al., 2020). </w:t>
      </w:r>
      <w:r w:rsidRPr="000F1E43">
        <w:rPr>
          <w:rFonts w:ascii="Arial" w:eastAsia="Times New Roman" w:hAnsi="Arial" w:cs="Arial"/>
          <w:bCs/>
          <w:iCs/>
          <w:sz w:val="20"/>
          <w:szCs w:val="20"/>
        </w:rPr>
        <w:t xml:space="preserve">Studies have shown that cereals and legumes are particularly vulnerable to fungal contamination and subsequent mycotoxin production. Rice and groundnuts, essential components of the diet in many regions, are frequently contaminated with aflatoxins and </w:t>
      </w:r>
      <w:proofErr w:type="spellStart"/>
      <w:r w:rsidRPr="000F1E43">
        <w:rPr>
          <w:rFonts w:ascii="Arial" w:eastAsia="Times New Roman" w:hAnsi="Arial" w:cs="Arial"/>
          <w:bCs/>
          <w:iCs/>
          <w:sz w:val="20"/>
          <w:szCs w:val="20"/>
        </w:rPr>
        <w:t>fumonisins</w:t>
      </w:r>
      <w:proofErr w:type="spellEnd"/>
      <w:r w:rsidRPr="000F1E43">
        <w:rPr>
          <w:rFonts w:ascii="Arial" w:eastAsia="Times New Roman" w:hAnsi="Arial" w:cs="Arial"/>
          <w:bCs/>
          <w:iCs/>
          <w:sz w:val="20"/>
          <w:szCs w:val="20"/>
        </w:rPr>
        <w:t>, posing significant health risks to consumers. Previous research has highlighted the widespread occurrence of mycotoxins in food crops across various regions. For instance, a study by (</w:t>
      </w:r>
      <w:proofErr w:type="spellStart"/>
      <w:r w:rsidRPr="000F1E43">
        <w:rPr>
          <w:rFonts w:ascii="Arial" w:eastAsia="Times New Roman" w:hAnsi="Arial" w:cs="Arial"/>
          <w:bCs/>
          <w:iCs/>
          <w:sz w:val="20"/>
          <w:szCs w:val="20"/>
        </w:rPr>
        <w:t>Udomkun</w:t>
      </w:r>
      <w:proofErr w:type="spellEnd"/>
      <w:r w:rsidRPr="000F1E43">
        <w:rPr>
          <w:rFonts w:ascii="Arial" w:eastAsia="Times New Roman" w:hAnsi="Arial" w:cs="Arial"/>
          <w:bCs/>
          <w:iCs/>
          <w:sz w:val="20"/>
          <w:szCs w:val="20"/>
        </w:rPr>
        <w:t xml:space="preserve"> et al., 2017) reported high levels of aflatoxin contamination in groundnuts from sub-Saharan Africa, attributing the contamination to factors such as high humidity, inadequate drying practices, and poor storage conditions. Mycotoxin contamination of rice and groundnuts immensely raises a lot of concern since they are not only eaten directly but also used as raw materials for other food products (</w:t>
      </w:r>
      <w:proofErr w:type="spellStart"/>
      <w:r w:rsidRPr="000F1E43">
        <w:rPr>
          <w:rFonts w:ascii="Arial" w:eastAsia="Times New Roman" w:hAnsi="Arial" w:cs="Arial"/>
          <w:bCs/>
          <w:iCs/>
          <w:sz w:val="20"/>
          <w:szCs w:val="20"/>
        </w:rPr>
        <w:t>Imienwanrin</w:t>
      </w:r>
      <w:proofErr w:type="spellEnd"/>
      <w:r w:rsidRPr="000F1E43">
        <w:rPr>
          <w:rFonts w:ascii="Arial" w:eastAsia="Times New Roman" w:hAnsi="Arial" w:cs="Arial"/>
          <w:bCs/>
          <w:iCs/>
          <w:sz w:val="20"/>
          <w:szCs w:val="20"/>
        </w:rPr>
        <w:t xml:space="preserve"> &amp; </w:t>
      </w:r>
      <w:proofErr w:type="spellStart"/>
      <w:r w:rsidRPr="000F1E43">
        <w:rPr>
          <w:rFonts w:ascii="Arial" w:eastAsia="Times New Roman" w:hAnsi="Arial" w:cs="Arial"/>
          <w:bCs/>
          <w:iCs/>
          <w:sz w:val="20"/>
          <w:szCs w:val="20"/>
        </w:rPr>
        <w:t>Makun</w:t>
      </w:r>
      <w:proofErr w:type="spellEnd"/>
      <w:r w:rsidRPr="000F1E43">
        <w:rPr>
          <w:rFonts w:ascii="Arial" w:eastAsia="Times New Roman" w:hAnsi="Arial" w:cs="Arial"/>
          <w:bCs/>
          <w:iCs/>
          <w:sz w:val="20"/>
          <w:szCs w:val="20"/>
        </w:rPr>
        <w:t>, 2020).  These findings emphasize the critical need for improved agricultural and storage practices to reduce the risk of mycotoxin contamination. The health impacts of mycotoxins are profound and multifaceted, hence the need for continuous monitoring and control measures to protect public health</w:t>
      </w:r>
      <w:r w:rsidR="00F7068C" w:rsidRPr="000F1E43">
        <w:rPr>
          <w:rFonts w:ascii="Arial" w:eastAsia="Times New Roman" w:hAnsi="Arial" w:cs="Arial"/>
          <w:bCs/>
          <w:iCs/>
          <w:sz w:val="20"/>
          <w:szCs w:val="20"/>
        </w:rPr>
        <w:t xml:space="preserve"> (Jonah et al., 2020)</w:t>
      </w:r>
      <w:r w:rsidRPr="000F1E43">
        <w:rPr>
          <w:rFonts w:ascii="Arial" w:eastAsia="Times New Roman" w:hAnsi="Arial" w:cs="Arial"/>
          <w:bCs/>
          <w:iCs/>
          <w:sz w:val="20"/>
          <w:szCs w:val="20"/>
        </w:rPr>
        <w:t>.</w:t>
      </w:r>
    </w:p>
    <w:p w14:paraId="67D30F3F"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407D2170" w14:textId="26FCCAC4"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lastRenderedPageBreak/>
        <w:t xml:space="preserve"> Economically, mycotoxin contamination leads to significant losses through reduced market value of contaminated crops, increased healthcare costs, and decreased agricultural productivity. In regions heavily dependent on agriculture, such as sub-Saharan Africa, the economic burden of mycotoxin contamination is substantial, affecting both food security and economic stability. The economic impacts extend beyond the immediate losses, as they also influence international trade and market access, further exacerbating the challenges faced by affected regions (Bhat et al., 2010).</w:t>
      </w:r>
    </w:p>
    <w:p w14:paraId="4AFB83BD"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1B78A779" w14:textId="6320A48B"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 xml:space="preserve"> Kericho County, located in the highlands of Kenya, is characterized by favorable agricultural conditions, including moderate temperatures, ample rainfall, and low evaporation rates. Despite these advantages, the region's agricultural produce is susceptible to fungal contamination due to various environmental and handling factors. Farmers in Kericho practice domestic farming, growing crops such as sorghum, tea, sugarcane, pineapples, tomatoes, maize, coffee, sweet potatoes, and barley. However, rice and groundnuts, the focus of this study, are not grown locally but are imported from neighboring counties, introducing additional risks of contamination during transportation and storage (Government of Kenya, 2018). The reliance on external sources for rice and groundnuts introduces multiple points of vulnerability in the supply chain, where contamination can occur. Factors such as improper drying, inadequate storage facilities, and long transportation times can exacerbate the risk of fungal growth and mycotoxin production. Understanding the specific conditions in Kericho County that contribute to mycotoxin contamination is essential for developing targeted interventions to ensure the safety of these staple foods</w:t>
      </w:r>
      <w:r w:rsidR="00F7068C" w:rsidRPr="000F1E43">
        <w:rPr>
          <w:rFonts w:ascii="Arial" w:eastAsia="Times New Roman" w:hAnsi="Arial" w:cs="Arial"/>
          <w:bCs/>
          <w:iCs/>
          <w:sz w:val="20"/>
          <w:szCs w:val="20"/>
        </w:rPr>
        <w:t xml:space="preserve"> (Edgar </w:t>
      </w:r>
      <w:proofErr w:type="spellStart"/>
      <w:r w:rsidR="00F7068C" w:rsidRPr="000F1E43">
        <w:rPr>
          <w:rFonts w:ascii="Arial" w:eastAsia="Times New Roman" w:hAnsi="Arial" w:cs="Arial"/>
          <w:bCs/>
          <w:iCs/>
          <w:sz w:val="20"/>
          <w:szCs w:val="20"/>
        </w:rPr>
        <w:t>Mugizi</w:t>
      </w:r>
      <w:proofErr w:type="spellEnd"/>
      <w:r w:rsidR="00F7068C" w:rsidRPr="000F1E43">
        <w:rPr>
          <w:rFonts w:ascii="Arial" w:eastAsia="Times New Roman" w:hAnsi="Arial" w:cs="Arial"/>
          <w:bCs/>
          <w:iCs/>
          <w:sz w:val="20"/>
          <w:szCs w:val="20"/>
        </w:rPr>
        <w:t xml:space="preserve"> et al., 2021)</w:t>
      </w:r>
      <w:r w:rsidRPr="000F1E43">
        <w:rPr>
          <w:rFonts w:ascii="Arial" w:eastAsia="Times New Roman" w:hAnsi="Arial" w:cs="Arial"/>
          <w:bCs/>
          <w:iCs/>
          <w:sz w:val="20"/>
          <w:szCs w:val="20"/>
        </w:rPr>
        <w:t xml:space="preserve">. </w:t>
      </w:r>
    </w:p>
    <w:p w14:paraId="6382C383"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7EBD8201" w14:textId="3EA3EBAA"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The ability of fungi to produce mycotoxins is influenced by various factors, including environmental conditions, crop type, and storage practices. For instance, inadequate drying of crops post-harvest can lead to increased moisture content, providing a conducive environment for fungal growth and mycotoxin production. (</w:t>
      </w:r>
      <w:proofErr w:type="spellStart"/>
      <w:r w:rsidRPr="000F1E43">
        <w:rPr>
          <w:rFonts w:ascii="Arial" w:eastAsia="Times New Roman" w:hAnsi="Arial" w:cs="Arial"/>
          <w:bCs/>
          <w:iCs/>
          <w:sz w:val="20"/>
          <w:szCs w:val="20"/>
        </w:rPr>
        <w:t>Ti</w:t>
      </w:r>
      <w:proofErr w:type="spellEnd"/>
      <w:r w:rsidRPr="000F1E43">
        <w:rPr>
          <w:rFonts w:ascii="Arial" w:eastAsia="Times New Roman" w:hAnsi="Arial" w:cs="Arial"/>
          <w:bCs/>
          <w:iCs/>
          <w:sz w:val="20"/>
          <w:szCs w:val="20"/>
        </w:rPr>
        <w:t xml:space="preserve"> et al., 2019). Similarly, poor storage conditions, such as high humidity and temperature, can exacerbate the problem, leading to significant levels of contamination. Research has shown that controlling these factors can significantly reduce the risk of mycotoxin contamination, highlighting the </w:t>
      </w:r>
      <w:r w:rsidRPr="000F1E43">
        <w:rPr>
          <w:rFonts w:ascii="Arial" w:eastAsia="Times New Roman" w:hAnsi="Arial" w:cs="Arial"/>
          <w:bCs/>
          <w:iCs/>
          <w:sz w:val="20"/>
          <w:szCs w:val="20"/>
        </w:rPr>
        <w:t xml:space="preserve">importance of good agricultural and storage practices </w:t>
      </w:r>
      <w:r w:rsidRPr="000F1E43">
        <w:rPr>
          <w:rFonts w:ascii="Arial" w:eastAsia="Times New Roman" w:hAnsi="Arial" w:cs="Arial"/>
          <w:bCs/>
          <w:iCs/>
          <w:sz w:val="20"/>
          <w:szCs w:val="20"/>
          <w:lang w:val="nb-NO"/>
        </w:rPr>
        <w:t xml:space="preserve">(Magan et al., 2003; Miller, 2008). </w:t>
      </w:r>
      <w:r w:rsidRPr="000F1E43">
        <w:rPr>
          <w:rFonts w:ascii="Arial" w:eastAsia="Times New Roman" w:hAnsi="Arial" w:cs="Arial"/>
          <w:bCs/>
          <w:iCs/>
          <w:sz w:val="20"/>
          <w:szCs w:val="20"/>
          <w:lang w:val="en-GB"/>
        </w:rPr>
        <w:t xml:space="preserve">To mitigate the risks associated with mycotoxin contamination, several strategies have been proposed and implemented. </w:t>
      </w:r>
      <w:r w:rsidRPr="000F1E43">
        <w:rPr>
          <w:rFonts w:ascii="Arial" w:eastAsia="Times New Roman" w:hAnsi="Arial" w:cs="Arial"/>
          <w:bCs/>
          <w:iCs/>
          <w:sz w:val="20"/>
          <w:szCs w:val="20"/>
        </w:rPr>
        <w:t>These include good agricultural practices (GAP), such as timely harvesting, proper drying, and adequate storage of crops, as well as the use of biocontrol agents to inhibit fungal growth. Additionally, regular monitoring and testing of crops for mycotoxin levels are crucial to ensure food safety and to implement timely interventions (Bhat et al., 2010).</w:t>
      </w:r>
      <w:r w:rsidR="00354ABD" w:rsidRPr="000F1E43">
        <w:rPr>
          <w:rFonts w:ascii="Arial" w:eastAsia="Times New Roman" w:hAnsi="Arial" w:cs="Arial"/>
          <w:bCs/>
          <w:iCs/>
          <w:sz w:val="20"/>
          <w:szCs w:val="20"/>
        </w:rPr>
        <w:t xml:space="preserve"> </w:t>
      </w:r>
      <w:r w:rsidRPr="000F1E43">
        <w:rPr>
          <w:rFonts w:ascii="Arial" w:eastAsia="Times New Roman" w:hAnsi="Arial" w:cs="Arial"/>
          <w:bCs/>
          <w:iCs/>
          <w:sz w:val="20"/>
          <w:szCs w:val="20"/>
        </w:rPr>
        <w:t xml:space="preserve">Public awareness campaigns and education programs aimed at farmers and consumers can also play a significant role in reducing mycotoxin contamination. By understanding the risks and adopting best practices, farmers can minimize the chances of fungal growth and mycotoxin production, thereby ensuring the safety and quality of their produce. Government and non-governmental organizations have a critical role in disseminating information and providing resources to support these initiatives (Shephard, 2008). </w:t>
      </w:r>
    </w:p>
    <w:p w14:paraId="7499ABEB"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47315148" w14:textId="61A2B78F"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 xml:space="preserve">The literature highlights the significant threat posed by mycotoxins to food safety, public health, and economic stability. The prevalence of aflatoxins and </w:t>
      </w:r>
      <w:proofErr w:type="spellStart"/>
      <w:r w:rsidRPr="000F1E43">
        <w:rPr>
          <w:rFonts w:ascii="Arial" w:eastAsia="Times New Roman" w:hAnsi="Arial" w:cs="Arial"/>
          <w:bCs/>
          <w:iCs/>
          <w:sz w:val="20"/>
          <w:szCs w:val="20"/>
        </w:rPr>
        <w:t>fumonisins</w:t>
      </w:r>
      <w:proofErr w:type="spellEnd"/>
      <w:r w:rsidRPr="000F1E43">
        <w:rPr>
          <w:rFonts w:ascii="Arial" w:eastAsia="Times New Roman" w:hAnsi="Arial" w:cs="Arial"/>
          <w:bCs/>
          <w:iCs/>
          <w:sz w:val="20"/>
          <w:szCs w:val="20"/>
        </w:rPr>
        <w:t xml:space="preserve"> in staple food crops such as rice and groundnuts underscore the need for continuous monitoring, effective control measures, and public awareness to mitigate the risks associated with mycotoxin contamination. Also, most studies in Kenya on mycotoxin contamination focus on maize and groundnuts largely during production and processing stages, with very little focus on rice in urban market contamination at retail-level (</w:t>
      </w:r>
      <w:proofErr w:type="spellStart"/>
      <w:r w:rsidRPr="000F1E43">
        <w:rPr>
          <w:rFonts w:ascii="Arial" w:eastAsia="Times New Roman" w:hAnsi="Arial" w:cs="Arial"/>
          <w:bCs/>
          <w:iCs/>
          <w:sz w:val="20"/>
          <w:szCs w:val="20"/>
          <w:shd w:val="clear" w:color="auto" w:fill="FFFF00"/>
        </w:rPr>
        <w:t>Birgen</w:t>
      </w:r>
      <w:proofErr w:type="spellEnd"/>
      <w:r w:rsidRPr="000F1E43">
        <w:rPr>
          <w:rFonts w:ascii="Arial" w:eastAsia="Times New Roman" w:hAnsi="Arial" w:cs="Arial"/>
          <w:bCs/>
          <w:iCs/>
          <w:sz w:val="20"/>
          <w:szCs w:val="20"/>
          <w:shd w:val="clear" w:color="auto" w:fill="FFFF00"/>
        </w:rPr>
        <w:t xml:space="preserve"> et al., 2020; </w:t>
      </w:r>
      <w:proofErr w:type="spellStart"/>
      <w:r w:rsidRPr="000F1E43">
        <w:rPr>
          <w:rFonts w:ascii="Arial" w:eastAsia="Times New Roman" w:hAnsi="Arial" w:cs="Arial"/>
          <w:bCs/>
          <w:iCs/>
          <w:sz w:val="20"/>
          <w:szCs w:val="20"/>
          <w:shd w:val="clear" w:color="auto" w:fill="FFFF00"/>
        </w:rPr>
        <w:t>Ankwasa</w:t>
      </w:r>
      <w:proofErr w:type="spellEnd"/>
      <w:r w:rsidRPr="000F1E43">
        <w:rPr>
          <w:rFonts w:ascii="Arial" w:eastAsia="Times New Roman" w:hAnsi="Arial" w:cs="Arial"/>
          <w:bCs/>
          <w:iCs/>
          <w:sz w:val="20"/>
          <w:szCs w:val="20"/>
          <w:shd w:val="clear" w:color="auto" w:fill="FFFF00"/>
        </w:rPr>
        <w:t xml:space="preserve"> </w:t>
      </w:r>
      <w:r w:rsidR="00354ABD" w:rsidRPr="000F1E43">
        <w:rPr>
          <w:rFonts w:ascii="Arial" w:eastAsia="Times New Roman" w:hAnsi="Arial" w:cs="Arial"/>
          <w:bCs/>
          <w:iCs/>
          <w:sz w:val="20"/>
          <w:szCs w:val="20"/>
          <w:shd w:val="clear" w:color="auto" w:fill="FFFF00"/>
        </w:rPr>
        <w:t xml:space="preserve">et al., </w:t>
      </w:r>
      <w:r w:rsidRPr="000F1E43">
        <w:rPr>
          <w:rFonts w:ascii="Arial" w:eastAsia="Times New Roman" w:hAnsi="Arial" w:cs="Arial"/>
          <w:bCs/>
          <w:iCs/>
          <w:sz w:val="20"/>
          <w:szCs w:val="20"/>
          <w:shd w:val="clear" w:color="auto" w:fill="FFFF00"/>
        </w:rPr>
        <w:t>2021</w:t>
      </w:r>
      <w:r w:rsidRPr="000F1E43">
        <w:rPr>
          <w:rFonts w:ascii="Arial" w:eastAsia="Times New Roman" w:hAnsi="Arial" w:cs="Arial"/>
          <w:bCs/>
          <w:iCs/>
          <w:sz w:val="20"/>
          <w:szCs w:val="20"/>
        </w:rPr>
        <w:t xml:space="preserve">). There is also inadequate data on the burden of mycotoxins in stores of small-scale vendors where most of the urban population purchase food from. Moreover, while previous studies have examined mycotoxin levels in Kenya, there is still a paucity of data for high-altitude regions like Kericho, where unique climatic conditions may influence fungal growth and toxin accumulation. This study aims to address these gaps by undertaking a thorough examination of mycotoxin contamination in rice and groundnuts sold in Kericho's local markets. By </w:t>
      </w:r>
      <w:proofErr w:type="spellStart"/>
      <w:r w:rsidRPr="000F1E43">
        <w:rPr>
          <w:rFonts w:ascii="Arial" w:eastAsia="Times New Roman" w:hAnsi="Arial" w:cs="Arial"/>
          <w:bCs/>
          <w:iCs/>
          <w:sz w:val="20"/>
          <w:szCs w:val="20"/>
        </w:rPr>
        <w:t>analysing</w:t>
      </w:r>
      <w:proofErr w:type="spellEnd"/>
      <w:r w:rsidRPr="000F1E43">
        <w:rPr>
          <w:rFonts w:ascii="Arial" w:eastAsia="Times New Roman" w:hAnsi="Arial" w:cs="Arial"/>
          <w:bCs/>
          <w:iCs/>
          <w:sz w:val="20"/>
          <w:szCs w:val="20"/>
        </w:rPr>
        <w:t xml:space="preserve"> contamination levels and identifying potential risk factors related with storage and handling procedures in Kericho County, the study will give crucial data for food safety policies, mycotoxin monitoring systems, and public health protection. The findings will also help to raise awareness among vendors and consumers </w:t>
      </w:r>
      <w:r w:rsidRPr="000F1E43">
        <w:rPr>
          <w:rFonts w:ascii="Arial" w:eastAsia="Times New Roman" w:hAnsi="Arial" w:cs="Arial"/>
          <w:bCs/>
          <w:iCs/>
          <w:sz w:val="20"/>
          <w:szCs w:val="20"/>
        </w:rPr>
        <w:lastRenderedPageBreak/>
        <w:t>about mycotoxin hazards and best practices for contamination prevention, resulting in safer food consumption and contribute to the broader efforts to improve food safety and security in the region and beyond.</w:t>
      </w:r>
    </w:p>
    <w:p w14:paraId="36DFAC5C"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4B3F2D01" w14:textId="07077967" w:rsidR="007B5DF9" w:rsidRPr="000F1E43" w:rsidRDefault="007B5DF9" w:rsidP="007B5DF9">
      <w:pPr>
        <w:pStyle w:val="Heading2"/>
        <w:rPr>
          <w:rFonts w:eastAsia="Times New Roman"/>
        </w:rPr>
      </w:pPr>
      <w:r w:rsidRPr="000F1E43">
        <w:rPr>
          <w:rFonts w:eastAsia="Times New Roman"/>
        </w:rPr>
        <w:t xml:space="preserve">2. MATERIALS AND METHODS </w:t>
      </w:r>
    </w:p>
    <w:p w14:paraId="51AE5DB2" w14:textId="77777777" w:rsidR="007B5DF9" w:rsidRPr="000F1E43" w:rsidRDefault="007B5DF9" w:rsidP="007B5DF9">
      <w:pPr>
        <w:spacing w:after="0" w:line="240" w:lineRule="auto"/>
        <w:contextualSpacing/>
        <w:jc w:val="both"/>
        <w:rPr>
          <w:rFonts w:ascii="Arial" w:eastAsia="Times New Roman" w:hAnsi="Arial" w:cs="Arial"/>
          <w:b/>
          <w:bCs/>
          <w:iCs/>
          <w:sz w:val="20"/>
          <w:szCs w:val="20"/>
        </w:rPr>
      </w:pPr>
    </w:p>
    <w:p w14:paraId="294D69CE" w14:textId="4A79B507" w:rsidR="007B5DF9" w:rsidRPr="000F1E43" w:rsidRDefault="007B5DF9" w:rsidP="007B5DF9">
      <w:pPr>
        <w:spacing w:after="0" w:line="240" w:lineRule="auto"/>
        <w:contextualSpacing/>
        <w:jc w:val="both"/>
        <w:rPr>
          <w:rFonts w:ascii="Arial" w:eastAsia="Times New Roman" w:hAnsi="Arial" w:cs="Arial"/>
          <w:b/>
          <w:bCs/>
          <w:iCs/>
          <w:szCs w:val="20"/>
        </w:rPr>
      </w:pPr>
      <w:r w:rsidRPr="000F1E43">
        <w:rPr>
          <w:rFonts w:ascii="Arial" w:eastAsia="Times New Roman" w:hAnsi="Arial" w:cs="Arial"/>
          <w:b/>
          <w:bCs/>
          <w:iCs/>
          <w:szCs w:val="20"/>
        </w:rPr>
        <w:t>2.1 Study Area and Site</w:t>
      </w:r>
    </w:p>
    <w:p w14:paraId="19E0CC25"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2879BA24" w14:textId="0283A41E" w:rsidR="005A3F46" w:rsidRPr="000F1E43" w:rsidRDefault="007B5DF9" w:rsidP="007B5DF9">
      <w:pPr>
        <w:spacing w:after="0" w:line="240" w:lineRule="auto"/>
        <w:contextualSpacing/>
        <w:jc w:val="both"/>
        <w:rPr>
          <w:rFonts w:ascii="Arial" w:eastAsia="Times New Roman" w:hAnsi="Arial" w:cs="Arial"/>
          <w:bCs/>
          <w:iCs/>
          <w:sz w:val="20"/>
          <w:szCs w:val="20"/>
        </w:rPr>
      </w:pPr>
      <w:bookmarkStart w:id="1" w:name="_Hlk192601713"/>
      <w:r w:rsidRPr="000F1E43">
        <w:rPr>
          <w:rFonts w:ascii="Arial" w:eastAsia="Times New Roman" w:hAnsi="Arial" w:cs="Arial"/>
          <w:bCs/>
          <w:iCs/>
          <w:sz w:val="20"/>
          <w:szCs w:val="20"/>
        </w:rPr>
        <w:t>Fig</w:t>
      </w:r>
      <w:r w:rsidR="00A567A2" w:rsidRPr="000F1E43">
        <w:rPr>
          <w:rFonts w:ascii="Arial" w:eastAsia="Times New Roman" w:hAnsi="Arial" w:cs="Arial"/>
          <w:bCs/>
          <w:iCs/>
          <w:sz w:val="20"/>
          <w:szCs w:val="20"/>
        </w:rPr>
        <w:t>.</w:t>
      </w:r>
      <w:r w:rsidRPr="000F1E43">
        <w:rPr>
          <w:rFonts w:ascii="Arial" w:eastAsia="Times New Roman" w:hAnsi="Arial" w:cs="Arial"/>
          <w:bCs/>
          <w:iCs/>
          <w:sz w:val="20"/>
          <w:szCs w:val="20"/>
        </w:rPr>
        <w:t xml:space="preserve"> 1 represents the map of Kericho County where the study was carried out. The County has a favorable climate and receives relief rainfall, with moderate temperatures of 17 °C and low evaporation rates. Temperatures range between 10°C - 29°C. The mean annual rainfall varies from 1800mm around Kericho town. Most local farmers practice domestic farming</w:t>
      </w:r>
      <w:r w:rsidR="00354ABD" w:rsidRPr="000F1E43">
        <w:rPr>
          <w:rFonts w:ascii="Arial" w:eastAsia="Times New Roman" w:hAnsi="Arial" w:cs="Arial"/>
          <w:bCs/>
          <w:iCs/>
          <w:sz w:val="20"/>
          <w:szCs w:val="20"/>
        </w:rPr>
        <w:t xml:space="preserve"> </w:t>
      </w:r>
      <w:r w:rsidRPr="000F1E43">
        <w:rPr>
          <w:rFonts w:ascii="Arial" w:eastAsia="Times New Roman" w:hAnsi="Arial" w:cs="Arial"/>
          <w:bCs/>
          <w:iCs/>
          <w:sz w:val="20"/>
          <w:szCs w:val="20"/>
        </w:rPr>
        <w:t>(United Agency for International Development</w:t>
      </w:r>
      <w:r w:rsidR="00F7068C" w:rsidRPr="000F1E43">
        <w:rPr>
          <w:rFonts w:ascii="Arial" w:eastAsia="Times New Roman" w:hAnsi="Arial" w:cs="Arial"/>
          <w:bCs/>
          <w:iCs/>
          <w:sz w:val="20"/>
          <w:szCs w:val="20"/>
        </w:rPr>
        <w:t>,</w:t>
      </w:r>
      <w:r w:rsidRPr="000F1E43">
        <w:rPr>
          <w:rFonts w:ascii="Arial" w:eastAsia="Times New Roman" w:hAnsi="Arial" w:cs="Arial"/>
          <w:bCs/>
          <w:iCs/>
          <w:sz w:val="20"/>
          <w:szCs w:val="20"/>
        </w:rPr>
        <w:t xml:space="preserve"> 2019, 2017). The crops grown include; sorghum, tea, sugarcane, fruits (pineapples), tomatoes, maize, </w:t>
      </w:r>
      <w:r w:rsidRPr="000F1E43">
        <w:rPr>
          <w:rFonts w:ascii="Arial" w:eastAsia="Times New Roman" w:hAnsi="Arial" w:cs="Arial"/>
          <w:bCs/>
          <w:iCs/>
          <w:sz w:val="20"/>
          <w:szCs w:val="20"/>
        </w:rPr>
        <w:t xml:space="preserve">coffee, sweet potatoes, and barley. However, crops under study are not grown but </w:t>
      </w:r>
      <w:r w:rsidR="005A3F46" w:rsidRPr="000F1E43">
        <w:rPr>
          <w:rFonts w:ascii="Arial" w:eastAsia="Times New Roman" w:hAnsi="Arial" w:cs="Arial"/>
          <w:bCs/>
          <w:iCs/>
          <w:sz w:val="20"/>
          <w:szCs w:val="20"/>
        </w:rPr>
        <w:t xml:space="preserve">           </w:t>
      </w:r>
      <w:r w:rsidRPr="000F1E43">
        <w:rPr>
          <w:rFonts w:ascii="Arial" w:eastAsia="Times New Roman" w:hAnsi="Arial" w:cs="Arial"/>
          <w:bCs/>
          <w:iCs/>
          <w:sz w:val="20"/>
          <w:szCs w:val="20"/>
        </w:rPr>
        <w:t xml:space="preserve">imported and bought from neighboring counties. Kericho County is well positioned to benefit </w:t>
      </w:r>
      <w:r w:rsidR="005A3F46" w:rsidRPr="000F1E43">
        <w:rPr>
          <w:rFonts w:ascii="Arial" w:eastAsia="Times New Roman" w:hAnsi="Arial" w:cs="Arial"/>
          <w:bCs/>
          <w:iCs/>
          <w:sz w:val="20"/>
          <w:szCs w:val="20"/>
        </w:rPr>
        <w:t xml:space="preserve">           </w:t>
      </w:r>
      <w:r w:rsidRPr="000F1E43">
        <w:rPr>
          <w:rFonts w:ascii="Arial" w:eastAsia="Times New Roman" w:hAnsi="Arial" w:cs="Arial"/>
          <w:bCs/>
          <w:iCs/>
          <w:sz w:val="20"/>
          <w:szCs w:val="20"/>
        </w:rPr>
        <w:t xml:space="preserve">from various markets provided by the neighboring counties as it has robust national and county roads connecting to the rest of the counties. The target population is vendors </w:t>
      </w:r>
      <w:r w:rsidR="005A3F46" w:rsidRPr="000F1E43">
        <w:rPr>
          <w:rFonts w:ascii="Arial" w:eastAsia="Times New Roman" w:hAnsi="Arial" w:cs="Arial"/>
          <w:bCs/>
          <w:iCs/>
          <w:sz w:val="20"/>
          <w:szCs w:val="20"/>
        </w:rPr>
        <w:t xml:space="preserve">             </w:t>
      </w:r>
      <w:r w:rsidRPr="000F1E43">
        <w:rPr>
          <w:rFonts w:ascii="Arial" w:eastAsia="Times New Roman" w:hAnsi="Arial" w:cs="Arial"/>
          <w:bCs/>
          <w:iCs/>
          <w:sz w:val="20"/>
          <w:szCs w:val="20"/>
        </w:rPr>
        <w:t>who store rice and groundnuts in their farm stores for either commercial or consumption purposes</w:t>
      </w:r>
      <w:r w:rsidR="00600AC8">
        <w:rPr>
          <w:rFonts w:ascii="Arial" w:eastAsia="Times New Roman" w:hAnsi="Arial" w:cs="Arial"/>
          <w:bCs/>
          <w:iCs/>
          <w:sz w:val="20"/>
          <w:szCs w:val="20"/>
        </w:rPr>
        <w:pict w14:anchorId="40FD8BA9">
          <v:shape id="_x0000_s1063" type="#_x0000_t32" style="position:absolute;left:0;text-align:left;margin-left:-169.5pt;margin-top:393pt;width:27.75pt;height:20.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" strokecolor="#c00000" strokeweight=".5pt">
            <v:stroke endarrow="block" joinstyle="miter"/>
            <o:lock v:ext="edit" shapetype="f"/>
          </v:shape>
        </w:pict>
      </w:r>
      <w:r w:rsidRPr="000F1E43">
        <w:rPr>
          <w:rFonts w:ascii="Arial" w:eastAsia="Times New Roman" w:hAnsi="Arial" w:cs="Arial"/>
          <w:bCs/>
          <w:iCs/>
          <w:sz w:val="20"/>
          <w:szCs w:val="20"/>
        </w:rPr>
        <w:t>.</w:t>
      </w:r>
    </w:p>
    <w:p w14:paraId="32C75E9C" w14:textId="25854DDB" w:rsidR="005A3F46" w:rsidRPr="000F1E43" w:rsidRDefault="005A3F46" w:rsidP="007B5DF9">
      <w:pPr>
        <w:spacing w:after="0" w:line="240" w:lineRule="auto"/>
        <w:contextualSpacing/>
        <w:jc w:val="both"/>
        <w:rPr>
          <w:rFonts w:ascii="Arial" w:eastAsia="Times New Roman" w:hAnsi="Arial" w:cs="Arial"/>
          <w:bCs/>
          <w:iCs/>
          <w:sz w:val="20"/>
          <w:szCs w:val="20"/>
        </w:rPr>
      </w:pPr>
    </w:p>
    <w:p w14:paraId="5AE74731" w14:textId="77777777" w:rsidR="005A3F46" w:rsidRPr="000F1E43" w:rsidRDefault="005A3F46" w:rsidP="005A3F46">
      <w:pPr>
        <w:spacing w:after="0" w:line="240" w:lineRule="auto"/>
        <w:contextualSpacing/>
        <w:jc w:val="both"/>
        <w:rPr>
          <w:rFonts w:ascii="Arial" w:eastAsia="Times New Roman" w:hAnsi="Arial" w:cs="Arial"/>
          <w:b/>
          <w:bCs/>
          <w:iCs/>
          <w:szCs w:val="20"/>
        </w:rPr>
      </w:pPr>
      <w:r w:rsidRPr="000F1E43">
        <w:rPr>
          <w:rFonts w:ascii="Arial" w:eastAsia="Times New Roman" w:hAnsi="Arial" w:cs="Arial"/>
          <w:b/>
          <w:bCs/>
          <w:iCs/>
          <w:szCs w:val="20"/>
        </w:rPr>
        <w:t>2.2 Research Design</w:t>
      </w:r>
    </w:p>
    <w:p w14:paraId="75A2FFC9" w14:textId="77777777" w:rsidR="005A3F46" w:rsidRPr="000F1E43" w:rsidRDefault="005A3F46" w:rsidP="005A3F46">
      <w:pPr>
        <w:spacing w:after="0" w:line="240" w:lineRule="auto"/>
        <w:contextualSpacing/>
        <w:jc w:val="both"/>
        <w:rPr>
          <w:rFonts w:ascii="Arial" w:eastAsia="Times New Roman" w:hAnsi="Arial" w:cs="Arial"/>
          <w:b/>
          <w:bCs/>
          <w:iCs/>
          <w:sz w:val="20"/>
          <w:szCs w:val="20"/>
        </w:rPr>
      </w:pPr>
    </w:p>
    <w:p w14:paraId="06089378" w14:textId="513B5D0C" w:rsidR="005A3F46" w:rsidRPr="000F1E43" w:rsidRDefault="005A3F46" w:rsidP="007B5DF9">
      <w:pPr>
        <w:spacing w:after="0" w:line="240" w:lineRule="auto"/>
        <w:contextualSpacing/>
        <w:jc w:val="both"/>
        <w:rPr>
          <w:rFonts w:ascii="Arial" w:eastAsia="Times New Roman" w:hAnsi="Arial" w:cs="Arial"/>
          <w:bCs/>
          <w:iCs/>
          <w:sz w:val="20"/>
          <w:szCs w:val="20"/>
        </w:rPr>
      </w:pPr>
      <w:bookmarkStart w:id="2" w:name="_Hlk192602418"/>
      <w:r w:rsidRPr="000F1E43">
        <w:rPr>
          <w:rFonts w:ascii="Arial" w:eastAsia="Times New Roman" w:hAnsi="Arial" w:cs="Arial"/>
          <w:bCs/>
          <w:iCs/>
          <w:sz w:val="20"/>
          <w:szCs w:val="20"/>
        </w:rPr>
        <w:t xml:space="preserve">Cross-sectional laboratory-based research design was employed in this study. The study focused on mycotoxins produced by the fungi genera </w:t>
      </w:r>
      <w:r w:rsidRPr="000F1E43">
        <w:rPr>
          <w:rFonts w:ascii="Arial" w:eastAsia="Times New Roman" w:hAnsi="Arial" w:cs="Arial"/>
          <w:bCs/>
          <w:i/>
          <w:iCs/>
          <w:sz w:val="20"/>
          <w:szCs w:val="20"/>
        </w:rPr>
        <w:t>Aspergillu</w:t>
      </w:r>
      <w:r w:rsidRPr="000F1E43">
        <w:rPr>
          <w:rFonts w:ascii="Arial" w:eastAsia="Times New Roman" w:hAnsi="Arial" w:cs="Arial"/>
          <w:bCs/>
          <w:iCs/>
          <w:sz w:val="20"/>
          <w:szCs w:val="20"/>
        </w:rPr>
        <w:t xml:space="preserve">s and </w:t>
      </w:r>
      <w:r w:rsidRPr="000F1E43">
        <w:rPr>
          <w:rFonts w:ascii="Arial" w:eastAsia="Times New Roman" w:hAnsi="Arial" w:cs="Arial"/>
          <w:bCs/>
          <w:i/>
          <w:iCs/>
          <w:sz w:val="20"/>
          <w:szCs w:val="20"/>
        </w:rPr>
        <w:t>Fusarium</w:t>
      </w:r>
      <w:r w:rsidRPr="000F1E43">
        <w:rPr>
          <w:rFonts w:ascii="Arial" w:eastAsia="Times New Roman" w:hAnsi="Arial" w:cs="Arial"/>
          <w:bCs/>
          <w:iCs/>
          <w:sz w:val="20"/>
          <w:szCs w:val="20"/>
        </w:rPr>
        <w:t xml:space="preserve"> isolated from samples of two grains: rice cereal grains and groundnut legume grains.</w:t>
      </w:r>
      <w:bookmarkEnd w:id="2"/>
    </w:p>
    <w:p w14:paraId="2B43AACB" w14:textId="5DFC05DC" w:rsidR="005A3F46" w:rsidRPr="000F1E43" w:rsidRDefault="005A3F46" w:rsidP="007B5DF9">
      <w:pPr>
        <w:spacing w:after="0" w:line="240" w:lineRule="auto"/>
        <w:contextualSpacing/>
        <w:jc w:val="both"/>
        <w:rPr>
          <w:rFonts w:ascii="Arial" w:eastAsia="Times New Roman" w:hAnsi="Arial" w:cs="Arial"/>
          <w:bCs/>
          <w:iCs/>
          <w:sz w:val="20"/>
          <w:szCs w:val="20"/>
        </w:rPr>
        <w:sectPr w:rsidR="005A3F46" w:rsidRPr="000F1E43" w:rsidSect="005A3F46">
          <w:type w:val="continuous"/>
          <w:pgSz w:w="11909" w:h="16834" w:code="9"/>
          <w:pgMar w:top="1440" w:right="1440" w:bottom="1440" w:left="1440" w:header="720" w:footer="864" w:gutter="0"/>
          <w:pgNumType w:start="1"/>
          <w:cols w:num="2" w:space="288"/>
          <w:titlePg/>
          <w:docGrid w:linePitch="360"/>
        </w:sectPr>
      </w:pPr>
    </w:p>
    <w:bookmarkEnd w:id="1"/>
    <w:p w14:paraId="23C1884B"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52966888" w14:textId="386CC31C" w:rsidR="007B5DF9" w:rsidRPr="000F1E43" w:rsidRDefault="007B5DF9" w:rsidP="007B5DF9">
      <w:pPr>
        <w:spacing w:after="0" w:line="240" w:lineRule="auto"/>
        <w:contextualSpacing/>
        <w:jc w:val="center"/>
        <w:rPr>
          <w:rFonts w:ascii="Arial" w:eastAsia="Times New Roman" w:hAnsi="Arial" w:cs="Arial"/>
          <w:bCs/>
          <w:iCs/>
          <w:sz w:val="20"/>
          <w:szCs w:val="20"/>
        </w:rPr>
      </w:pPr>
      <w:r w:rsidRPr="000F1E43">
        <w:rPr>
          <w:rFonts w:ascii="Arial" w:eastAsia="Times New Roman" w:hAnsi="Arial" w:cs="Arial"/>
          <w:bCs/>
          <w:iCs/>
          <w:noProof/>
          <w:sz w:val="20"/>
          <w:szCs w:val="20"/>
        </w:rPr>
        <w:drawing>
          <wp:inline distT="0" distB="0" distL="0" distR="0" wp14:anchorId="6516E2ED" wp14:editId="1CF0E449">
            <wp:extent cx="4162348" cy="5155565"/>
            <wp:effectExtent l="0" t="0" r="0" b="0"/>
            <wp:docPr id="16" name="Picture 16"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ap of a countr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4943" cy="5220710"/>
                    </a:xfrm>
                    <a:prstGeom prst="rect">
                      <a:avLst/>
                    </a:prstGeom>
                    <a:noFill/>
                    <a:ln>
                      <a:noFill/>
                    </a:ln>
                  </pic:spPr>
                </pic:pic>
              </a:graphicData>
            </a:graphic>
          </wp:inline>
        </w:drawing>
      </w:r>
    </w:p>
    <w:p w14:paraId="0FFD4EDF" w14:textId="77777777" w:rsidR="007B5DF9" w:rsidRPr="000F1E43" w:rsidRDefault="007B5DF9" w:rsidP="007B5DF9">
      <w:pPr>
        <w:spacing w:after="0" w:line="240" w:lineRule="auto"/>
        <w:contextualSpacing/>
        <w:jc w:val="both"/>
        <w:rPr>
          <w:rFonts w:ascii="Arial" w:eastAsia="Times New Roman" w:hAnsi="Arial" w:cs="Arial"/>
          <w:b/>
          <w:bCs/>
          <w:iCs/>
          <w:sz w:val="20"/>
          <w:szCs w:val="20"/>
        </w:rPr>
      </w:pPr>
    </w:p>
    <w:p w14:paraId="6F350797" w14:textId="7827A6BD" w:rsidR="007B5DF9" w:rsidRPr="000F1E43" w:rsidRDefault="007B5DF9" w:rsidP="007B5DF9">
      <w:pPr>
        <w:spacing w:after="0" w:line="240" w:lineRule="auto"/>
        <w:contextualSpacing/>
        <w:jc w:val="center"/>
        <w:rPr>
          <w:rFonts w:ascii="Arial" w:eastAsia="Times New Roman" w:hAnsi="Arial" w:cs="Arial"/>
          <w:b/>
          <w:bCs/>
          <w:iCs/>
          <w:sz w:val="20"/>
          <w:szCs w:val="20"/>
        </w:rPr>
      </w:pPr>
      <w:r w:rsidRPr="000F1E43">
        <w:rPr>
          <w:rFonts w:ascii="Arial" w:eastAsia="Times New Roman" w:hAnsi="Arial" w:cs="Arial"/>
          <w:b/>
          <w:bCs/>
          <w:iCs/>
          <w:sz w:val="20"/>
          <w:szCs w:val="20"/>
        </w:rPr>
        <w:t>Fig.1. Map of Kericho showing the study regions</w:t>
      </w:r>
    </w:p>
    <w:p w14:paraId="310E798A" w14:textId="77777777" w:rsidR="005A3F46" w:rsidRPr="000F1E43" w:rsidRDefault="005A3F46" w:rsidP="005A3F46">
      <w:pPr>
        <w:spacing w:after="0" w:line="240" w:lineRule="auto"/>
        <w:contextualSpacing/>
        <w:jc w:val="center"/>
        <w:rPr>
          <w:rFonts w:ascii="Arial" w:eastAsia="Times New Roman" w:hAnsi="Arial" w:cs="Arial"/>
          <w:bCs/>
          <w:iCs/>
          <w:sz w:val="20"/>
          <w:szCs w:val="20"/>
        </w:rPr>
      </w:pPr>
      <w:r w:rsidRPr="000F1E43">
        <w:rPr>
          <w:rFonts w:ascii="Arial" w:eastAsia="Times New Roman" w:hAnsi="Arial" w:cs="Arial"/>
          <w:bCs/>
          <w:iCs/>
          <w:noProof/>
          <w:sz w:val="20"/>
          <w:szCs w:val="20"/>
        </w:rPr>
        <w:drawing>
          <wp:inline distT="0" distB="0" distL="0" distR="0" wp14:anchorId="11D47371" wp14:editId="0A209292">
            <wp:extent cx="4918542" cy="2318918"/>
            <wp:effectExtent l="0" t="0" r="0" b="0"/>
            <wp:docPr id="17" name="Picture 17" descr="A close-up of a sc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scann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3544" cy="2363708"/>
                    </a:xfrm>
                    <a:prstGeom prst="rect">
                      <a:avLst/>
                    </a:prstGeom>
                    <a:noFill/>
                  </pic:spPr>
                </pic:pic>
              </a:graphicData>
            </a:graphic>
          </wp:inline>
        </w:drawing>
      </w:r>
    </w:p>
    <w:p w14:paraId="13597615" w14:textId="77777777" w:rsidR="005A3F46" w:rsidRPr="000F1E43" w:rsidRDefault="005A3F46" w:rsidP="005A3F46">
      <w:pPr>
        <w:spacing w:after="0" w:line="240" w:lineRule="auto"/>
        <w:contextualSpacing/>
        <w:jc w:val="both"/>
        <w:rPr>
          <w:rFonts w:ascii="Arial" w:eastAsia="Times New Roman" w:hAnsi="Arial" w:cs="Arial"/>
          <w:bCs/>
          <w:iCs/>
          <w:sz w:val="20"/>
          <w:szCs w:val="20"/>
        </w:rPr>
      </w:pPr>
    </w:p>
    <w:p w14:paraId="6A13BA06" w14:textId="011F57B0" w:rsidR="005A3F46" w:rsidRPr="000F1E43" w:rsidRDefault="005A3F46" w:rsidP="005A3F46">
      <w:pPr>
        <w:spacing w:after="0" w:line="240" w:lineRule="auto"/>
        <w:contextualSpacing/>
        <w:jc w:val="center"/>
        <w:rPr>
          <w:rFonts w:ascii="Arial" w:eastAsia="Times New Roman" w:hAnsi="Arial" w:cs="Arial"/>
          <w:b/>
          <w:bCs/>
          <w:iCs/>
          <w:sz w:val="20"/>
          <w:szCs w:val="20"/>
        </w:rPr>
      </w:pPr>
      <w:r w:rsidRPr="000F1E43">
        <w:rPr>
          <w:rFonts w:ascii="Arial" w:eastAsia="Times New Roman" w:hAnsi="Arial" w:cs="Arial"/>
          <w:b/>
          <w:bCs/>
          <w:iCs/>
          <w:sz w:val="20"/>
          <w:szCs w:val="20"/>
        </w:rPr>
        <w:t xml:space="preserve">Fig. 2. (a) </w:t>
      </w:r>
      <w:proofErr w:type="spellStart"/>
      <w:r w:rsidRPr="000F1E43">
        <w:rPr>
          <w:rFonts w:ascii="Arial" w:eastAsia="Times New Roman" w:hAnsi="Arial" w:cs="Arial"/>
          <w:b/>
          <w:bCs/>
          <w:iCs/>
          <w:sz w:val="20"/>
          <w:szCs w:val="20"/>
        </w:rPr>
        <w:t>Envirologix</w:t>
      </w:r>
      <w:proofErr w:type="spellEnd"/>
      <w:r w:rsidRPr="000F1E43">
        <w:rPr>
          <w:rFonts w:ascii="Arial" w:eastAsia="Times New Roman" w:hAnsi="Arial" w:cs="Arial"/>
          <w:b/>
          <w:bCs/>
          <w:iCs/>
          <w:sz w:val="20"/>
          <w:szCs w:val="20"/>
        </w:rPr>
        <w:t xml:space="preserve"> </w:t>
      </w:r>
      <w:r w:rsidR="000F1E43" w:rsidRPr="000F1E43">
        <w:rPr>
          <w:rFonts w:ascii="Arial" w:eastAsia="Times New Roman" w:hAnsi="Arial" w:cs="Arial"/>
          <w:b/>
          <w:bCs/>
          <w:iCs/>
          <w:sz w:val="20"/>
          <w:szCs w:val="20"/>
        </w:rPr>
        <w:t xml:space="preserve">quick toxin kit; </w:t>
      </w:r>
      <w:r w:rsidRPr="000F1E43">
        <w:rPr>
          <w:rFonts w:ascii="Arial" w:eastAsia="Times New Roman" w:hAnsi="Arial" w:cs="Arial"/>
          <w:b/>
          <w:bCs/>
          <w:iCs/>
          <w:sz w:val="20"/>
          <w:szCs w:val="20"/>
        </w:rPr>
        <w:t>(b) Quick scanner reader</w:t>
      </w:r>
    </w:p>
    <w:p w14:paraId="6071120E" w14:textId="77777777" w:rsidR="007B5DF9" w:rsidRPr="000F1E43" w:rsidRDefault="007B5DF9" w:rsidP="007B5DF9">
      <w:pPr>
        <w:spacing w:after="0" w:line="240" w:lineRule="auto"/>
        <w:contextualSpacing/>
        <w:jc w:val="both"/>
        <w:rPr>
          <w:rFonts w:ascii="Arial" w:eastAsia="Times New Roman" w:hAnsi="Arial" w:cs="Arial"/>
          <w:b/>
          <w:bCs/>
          <w:iCs/>
          <w:sz w:val="20"/>
          <w:szCs w:val="20"/>
        </w:rPr>
      </w:pPr>
    </w:p>
    <w:p w14:paraId="2666EC3F" w14:textId="77777777" w:rsidR="005A3F46" w:rsidRPr="000F1E43" w:rsidRDefault="005A3F46" w:rsidP="007B5DF9">
      <w:pPr>
        <w:spacing w:after="0" w:line="240" w:lineRule="auto"/>
        <w:contextualSpacing/>
        <w:jc w:val="both"/>
        <w:rPr>
          <w:rFonts w:ascii="Arial" w:eastAsia="Times New Roman" w:hAnsi="Arial" w:cs="Arial"/>
          <w:b/>
          <w:bCs/>
          <w:iCs/>
          <w:szCs w:val="20"/>
        </w:rPr>
        <w:sectPr w:rsidR="005A3F46" w:rsidRPr="000F1E43" w:rsidSect="005A3F46">
          <w:type w:val="continuous"/>
          <w:pgSz w:w="11909" w:h="16834" w:code="9"/>
          <w:pgMar w:top="1440" w:right="1440" w:bottom="1440" w:left="1440" w:header="720" w:footer="864" w:gutter="0"/>
          <w:pgNumType w:start="1"/>
          <w:cols w:space="720"/>
          <w:titlePg/>
          <w:docGrid w:linePitch="360"/>
        </w:sectPr>
      </w:pPr>
    </w:p>
    <w:p w14:paraId="3D9EE623" w14:textId="2225FCFB" w:rsidR="007B5DF9" w:rsidRPr="000F1E43" w:rsidRDefault="007B5DF9" w:rsidP="007B5DF9">
      <w:pPr>
        <w:spacing w:after="0" w:line="240" w:lineRule="auto"/>
        <w:contextualSpacing/>
        <w:jc w:val="both"/>
        <w:rPr>
          <w:rFonts w:ascii="Arial" w:eastAsia="Times New Roman" w:hAnsi="Arial" w:cs="Arial"/>
          <w:b/>
          <w:bCs/>
          <w:iCs/>
          <w:szCs w:val="20"/>
        </w:rPr>
      </w:pPr>
      <w:r w:rsidRPr="000F1E43">
        <w:rPr>
          <w:rFonts w:ascii="Arial" w:eastAsia="Times New Roman" w:hAnsi="Arial" w:cs="Arial"/>
          <w:b/>
          <w:bCs/>
          <w:iCs/>
          <w:szCs w:val="20"/>
        </w:rPr>
        <w:t>2.3 Sampling Procedure</w:t>
      </w:r>
    </w:p>
    <w:p w14:paraId="13EFB086" w14:textId="77777777" w:rsidR="007B5DF9" w:rsidRPr="000F1E43" w:rsidRDefault="007B5DF9" w:rsidP="007B5DF9">
      <w:pPr>
        <w:spacing w:after="0" w:line="240" w:lineRule="auto"/>
        <w:contextualSpacing/>
        <w:jc w:val="both"/>
        <w:rPr>
          <w:rFonts w:ascii="Arial" w:eastAsia="Times New Roman" w:hAnsi="Arial" w:cs="Arial"/>
          <w:b/>
          <w:bCs/>
          <w:iCs/>
        </w:rPr>
      </w:pPr>
    </w:p>
    <w:p w14:paraId="6D53B60E" w14:textId="51D3E1B4" w:rsidR="007B5DF9" w:rsidRPr="000F1E43" w:rsidRDefault="007B5DF9" w:rsidP="007B5DF9">
      <w:pPr>
        <w:spacing w:after="0" w:line="240" w:lineRule="auto"/>
        <w:contextualSpacing/>
        <w:jc w:val="both"/>
        <w:rPr>
          <w:rFonts w:ascii="Arial" w:eastAsia="Times New Roman" w:hAnsi="Arial" w:cs="Arial"/>
          <w:bCs/>
          <w:iCs/>
          <w:sz w:val="20"/>
          <w:szCs w:val="20"/>
        </w:rPr>
      </w:pPr>
      <w:bookmarkStart w:id="3" w:name="_Hlk192602469"/>
      <w:r w:rsidRPr="000F1E43">
        <w:rPr>
          <w:rFonts w:ascii="Arial" w:eastAsia="Times New Roman" w:hAnsi="Arial" w:cs="Arial"/>
          <w:bCs/>
          <w:iCs/>
          <w:sz w:val="20"/>
          <w:szCs w:val="20"/>
        </w:rPr>
        <w:t xml:space="preserve">Cereal grains and legume grains were collected from three markets: Kericho town market, </w:t>
      </w:r>
      <w:proofErr w:type="spellStart"/>
      <w:r w:rsidRPr="000F1E43">
        <w:rPr>
          <w:rFonts w:ascii="Arial" w:eastAsia="Times New Roman" w:hAnsi="Arial" w:cs="Arial"/>
          <w:bCs/>
          <w:iCs/>
          <w:sz w:val="20"/>
          <w:szCs w:val="20"/>
        </w:rPr>
        <w:t>Kapsuser</w:t>
      </w:r>
      <w:proofErr w:type="spellEnd"/>
      <w:r w:rsidRPr="000F1E43">
        <w:rPr>
          <w:rFonts w:ascii="Arial" w:eastAsia="Times New Roman" w:hAnsi="Arial" w:cs="Arial"/>
          <w:bCs/>
          <w:iCs/>
          <w:sz w:val="20"/>
          <w:szCs w:val="20"/>
        </w:rPr>
        <w:t xml:space="preserve"> market and </w:t>
      </w:r>
      <w:proofErr w:type="spellStart"/>
      <w:r w:rsidRPr="000F1E43">
        <w:rPr>
          <w:rFonts w:ascii="Arial" w:eastAsia="Times New Roman" w:hAnsi="Arial" w:cs="Arial"/>
          <w:bCs/>
          <w:iCs/>
          <w:sz w:val="20"/>
          <w:szCs w:val="20"/>
        </w:rPr>
        <w:t>Nyagacho</w:t>
      </w:r>
      <w:proofErr w:type="spellEnd"/>
      <w:r w:rsidRPr="000F1E43">
        <w:rPr>
          <w:rFonts w:ascii="Arial" w:eastAsia="Times New Roman" w:hAnsi="Arial" w:cs="Arial"/>
          <w:bCs/>
          <w:iCs/>
          <w:sz w:val="20"/>
          <w:szCs w:val="20"/>
        </w:rPr>
        <w:t xml:space="preserve"> market. Using simple random sampling, vendors selling rice and/or groundnuts were picked using a questionnaire.</w:t>
      </w:r>
    </w:p>
    <w:bookmarkEnd w:id="3"/>
    <w:p w14:paraId="3F7C2BD3" w14:textId="77777777" w:rsidR="007B5DF9" w:rsidRPr="000F1E43" w:rsidRDefault="007B5DF9" w:rsidP="007B5DF9">
      <w:pPr>
        <w:spacing w:after="0" w:line="240" w:lineRule="auto"/>
        <w:contextualSpacing/>
        <w:jc w:val="both"/>
        <w:rPr>
          <w:rFonts w:ascii="Arial" w:eastAsia="Times New Roman" w:hAnsi="Arial" w:cs="Arial"/>
          <w:bCs/>
          <w:iCs/>
        </w:rPr>
      </w:pPr>
    </w:p>
    <w:p w14:paraId="19AA177E" w14:textId="77777777" w:rsidR="007B5DF9" w:rsidRPr="000F1E43" w:rsidRDefault="007B5DF9" w:rsidP="007B5DF9">
      <w:pPr>
        <w:spacing w:after="0" w:line="240" w:lineRule="auto"/>
        <w:contextualSpacing/>
        <w:jc w:val="both"/>
        <w:rPr>
          <w:rFonts w:ascii="Arial" w:eastAsia="Times New Roman" w:hAnsi="Arial" w:cs="Arial"/>
          <w:b/>
          <w:bCs/>
          <w:iCs/>
          <w:szCs w:val="20"/>
        </w:rPr>
      </w:pPr>
      <w:bookmarkStart w:id="4" w:name="_Hlk192602675"/>
      <w:r w:rsidRPr="000F1E43">
        <w:rPr>
          <w:rFonts w:ascii="Arial" w:eastAsia="Times New Roman" w:hAnsi="Arial" w:cs="Arial"/>
          <w:b/>
          <w:bCs/>
          <w:iCs/>
          <w:szCs w:val="20"/>
        </w:rPr>
        <w:t>2.4 Sample Collection and Processing</w:t>
      </w:r>
    </w:p>
    <w:p w14:paraId="2D540E72" w14:textId="77777777" w:rsidR="007B5DF9" w:rsidRPr="000F1E43" w:rsidRDefault="007B5DF9" w:rsidP="007B5DF9">
      <w:pPr>
        <w:spacing w:after="0" w:line="240" w:lineRule="auto"/>
        <w:contextualSpacing/>
        <w:jc w:val="both"/>
        <w:rPr>
          <w:rFonts w:ascii="Arial" w:eastAsia="Times New Roman" w:hAnsi="Arial" w:cs="Arial"/>
          <w:b/>
          <w:bCs/>
          <w:iCs/>
        </w:rPr>
      </w:pPr>
    </w:p>
    <w:p w14:paraId="0CBB04CF" w14:textId="48869087"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The samples from the selected vendors were obtained aseptically using sterilized polystyrene spoons (</w:t>
      </w:r>
      <w:proofErr w:type="spellStart"/>
      <w:r w:rsidRPr="000F1E43">
        <w:rPr>
          <w:rFonts w:ascii="Arial" w:eastAsia="Times New Roman" w:hAnsi="Arial" w:cs="Arial"/>
          <w:bCs/>
          <w:iCs/>
          <w:sz w:val="20"/>
          <w:szCs w:val="20"/>
        </w:rPr>
        <w:t>Indiamart</w:t>
      </w:r>
      <w:proofErr w:type="spellEnd"/>
      <w:r w:rsidRPr="000F1E43">
        <w:rPr>
          <w:rFonts w:ascii="Arial" w:eastAsia="Times New Roman" w:hAnsi="Arial" w:cs="Arial"/>
          <w:bCs/>
          <w:iCs/>
          <w:sz w:val="20"/>
          <w:szCs w:val="20"/>
        </w:rPr>
        <w:t xml:space="preserve"> company), placed in well-labeled transparent and plain PVC Peel and zeal VCI zip lock bags (10/16 inches and 50-150 microns’ thickness, </w:t>
      </w:r>
      <w:proofErr w:type="spellStart"/>
      <w:r w:rsidRPr="000F1E43">
        <w:rPr>
          <w:rFonts w:ascii="Arial" w:eastAsia="Times New Roman" w:hAnsi="Arial" w:cs="Arial"/>
          <w:bCs/>
          <w:iCs/>
          <w:sz w:val="20"/>
          <w:szCs w:val="20"/>
        </w:rPr>
        <w:t>Indiamart</w:t>
      </w:r>
      <w:proofErr w:type="spellEnd"/>
      <w:r w:rsidRPr="000F1E43">
        <w:rPr>
          <w:rFonts w:ascii="Arial" w:eastAsia="Times New Roman" w:hAnsi="Arial" w:cs="Arial"/>
          <w:bCs/>
          <w:iCs/>
          <w:sz w:val="20"/>
          <w:szCs w:val="20"/>
        </w:rPr>
        <w:t xml:space="preserve"> company) and then transported to the Centre of Microbiology Research (CMR), at Kenya Medical Research Institute (KEMRI), Nairobi for analysis. </w:t>
      </w:r>
    </w:p>
    <w:p w14:paraId="6D637896" w14:textId="77777777" w:rsidR="007B5DF9" w:rsidRPr="000F1E43" w:rsidRDefault="007B5DF9" w:rsidP="007B5DF9">
      <w:pPr>
        <w:spacing w:after="0" w:line="240" w:lineRule="auto"/>
        <w:contextualSpacing/>
        <w:jc w:val="both"/>
        <w:rPr>
          <w:rFonts w:ascii="Arial" w:eastAsia="Times New Roman" w:hAnsi="Arial" w:cs="Arial"/>
          <w:bCs/>
          <w:iCs/>
          <w:sz w:val="20"/>
        </w:rPr>
      </w:pPr>
    </w:p>
    <w:p w14:paraId="7DB4210F" w14:textId="1C1601C3"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Sample bags were labeled using two identifiers, the date of collection and unique codes assigned to the different vendors, for confidentiality. Laboratory analysis of the collected rice and groundnut samples were involved in the isolation and characterization of environmental fungi. The selected samples were accompanied with information such as the storage practices and food type. Briefly, 10 grams each of rice and groundnut samples were surface sterilized using 0.2% sodium hypochlorite (</w:t>
      </w:r>
      <w:proofErr w:type="spellStart"/>
      <w:r w:rsidRPr="000F1E43">
        <w:rPr>
          <w:rFonts w:ascii="Arial" w:eastAsia="Times New Roman" w:hAnsi="Arial" w:cs="Arial"/>
          <w:bCs/>
          <w:iCs/>
          <w:sz w:val="20"/>
          <w:szCs w:val="20"/>
        </w:rPr>
        <w:t>NaOCl</w:t>
      </w:r>
      <w:proofErr w:type="spellEnd"/>
      <w:r w:rsidRPr="000F1E43">
        <w:rPr>
          <w:rFonts w:ascii="Arial" w:eastAsia="Times New Roman" w:hAnsi="Arial" w:cs="Arial"/>
          <w:bCs/>
          <w:iCs/>
          <w:sz w:val="20"/>
          <w:szCs w:val="20"/>
        </w:rPr>
        <w:t xml:space="preserve">) solution for 2 minutes and then rinsed three times using sterilized distilled water. Sterilization was done to kill fungi found on the surface of samples since the fungi found inside the sample was of interest. </w:t>
      </w:r>
      <w:r w:rsidRPr="000F1E43">
        <w:rPr>
          <w:rFonts w:ascii="Arial" w:eastAsia="Times New Roman" w:hAnsi="Arial" w:cs="Arial"/>
          <w:bCs/>
          <w:iCs/>
          <w:sz w:val="20"/>
          <w:szCs w:val="20"/>
        </w:rPr>
        <w:t>One gram of each of the groundnut and rice samples was grounded.</w:t>
      </w:r>
    </w:p>
    <w:p w14:paraId="02652E92" w14:textId="419E0936" w:rsidR="007B5DF9" w:rsidRPr="000F1E43" w:rsidRDefault="007B5DF9" w:rsidP="007B5DF9">
      <w:pPr>
        <w:spacing w:after="0" w:line="240" w:lineRule="auto"/>
        <w:contextualSpacing/>
        <w:jc w:val="both"/>
        <w:rPr>
          <w:rFonts w:ascii="Arial" w:eastAsia="Times New Roman" w:hAnsi="Arial" w:cs="Arial"/>
          <w:b/>
          <w:bCs/>
          <w:iCs/>
          <w:szCs w:val="20"/>
        </w:rPr>
      </w:pPr>
      <w:r w:rsidRPr="000F1E43">
        <w:rPr>
          <w:rFonts w:ascii="Arial" w:eastAsia="Times New Roman" w:hAnsi="Arial" w:cs="Arial"/>
          <w:b/>
          <w:bCs/>
          <w:iCs/>
          <w:szCs w:val="20"/>
        </w:rPr>
        <w:t>2.5 Determination of Mycotoxin Levels</w:t>
      </w:r>
    </w:p>
    <w:p w14:paraId="66D44524" w14:textId="77777777" w:rsidR="007B5DF9" w:rsidRPr="000F1E43" w:rsidRDefault="007B5DF9" w:rsidP="007B5DF9">
      <w:pPr>
        <w:spacing w:after="0" w:line="240" w:lineRule="auto"/>
        <w:contextualSpacing/>
        <w:jc w:val="both"/>
        <w:rPr>
          <w:rFonts w:ascii="Arial" w:eastAsia="Times New Roman" w:hAnsi="Arial" w:cs="Arial"/>
          <w:b/>
          <w:bCs/>
          <w:iCs/>
        </w:rPr>
      </w:pPr>
    </w:p>
    <w:p w14:paraId="7EB83CB9" w14:textId="00DF65A5"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 xml:space="preserve">The aflatoxins kit known as </w:t>
      </w:r>
      <w:proofErr w:type="spellStart"/>
      <w:r w:rsidRPr="000F1E43">
        <w:rPr>
          <w:rFonts w:ascii="Arial" w:eastAsia="Times New Roman" w:hAnsi="Arial" w:cs="Arial"/>
          <w:bCs/>
          <w:iCs/>
          <w:sz w:val="20"/>
          <w:szCs w:val="20"/>
        </w:rPr>
        <w:t>Envirologix</w:t>
      </w:r>
      <w:proofErr w:type="spellEnd"/>
      <w:r w:rsidRPr="000F1E43">
        <w:rPr>
          <w:rFonts w:ascii="Arial" w:eastAsia="Times New Roman" w:hAnsi="Arial" w:cs="Arial"/>
          <w:bCs/>
          <w:iCs/>
          <w:sz w:val="20"/>
          <w:szCs w:val="20"/>
        </w:rPr>
        <w:t xml:space="preserve"> </w:t>
      </w:r>
      <w:proofErr w:type="spellStart"/>
      <w:r w:rsidRPr="000F1E43">
        <w:rPr>
          <w:rFonts w:ascii="Arial" w:eastAsia="Times New Roman" w:hAnsi="Arial" w:cs="Arial"/>
          <w:bCs/>
          <w:iCs/>
          <w:sz w:val="20"/>
          <w:szCs w:val="20"/>
        </w:rPr>
        <w:t>QuickTox</w:t>
      </w:r>
      <w:proofErr w:type="spellEnd"/>
      <w:r w:rsidRPr="000F1E43">
        <w:rPr>
          <w:rFonts w:ascii="Arial" w:eastAsia="Times New Roman" w:hAnsi="Arial" w:cs="Arial"/>
          <w:bCs/>
          <w:iCs/>
          <w:sz w:val="20"/>
          <w:szCs w:val="20"/>
        </w:rPr>
        <w:t xml:space="preserve"> Kit for </w:t>
      </w:r>
      <w:proofErr w:type="spellStart"/>
      <w:r w:rsidRPr="000F1E43">
        <w:rPr>
          <w:rFonts w:ascii="Arial" w:eastAsia="Times New Roman" w:hAnsi="Arial" w:cs="Arial"/>
          <w:bCs/>
          <w:iCs/>
          <w:sz w:val="20"/>
          <w:szCs w:val="20"/>
        </w:rPr>
        <w:t>QuickScan</w:t>
      </w:r>
      <w:proofErr w:type="spellEnd"/>
      <w:r w:rsidRPr="000F1E43">
        <w:rPr>
          <w:rFonts w:ascii="Arial" w:eastAsia="Times New Roman" w:hAnsi="Arial" w:cs="Arial"/>
          <w:bCs/>
          <w:iCs/>
          <w:sz w:val="20"/>
          <w:szCs w:val="20"/>
        </w:rPr>
        <w:t xml:space="preserve"> Aflatoxin flex (AQ 309 BG, kit Lot: 318-23, version 5.8.1) (Fig</w:t>
      </w:r>
      <w:r w:rsidR="00F7068C" w:rsidRPr="000F1E43">
        <w:rPr>
          <w:rFonts w:ascii="Arial" w:eastAsia="Times New Roman" w:hAnsi="Arial" w:cs="Arial"/>
          <w:bCs/>
          <w:iCs/>
          <w:sz w:val="20"/>
          <w:szCs w:val="20"/>
        </w:rPr>
        <w:t>.</w:t>
      </w:r>
      <w:r w:rsidRPr="000F1E43">
        <w:rPr>
          <w:rFonts w:ascii="Arial" w:eastAsia="Times New Roman" w:hAnsi="Arial" w:cs="Arial"/>
          <w:bCs/>
          <w:iCs/>
          <w:sz w:val="20"/>
          <w:szCs w:val="20"/>
        </w:rPr>
        <w:t xml:space="preserve"> 2) was used to analyze the mycotoxin levels. This is in the conformance range of 5.0-300 parts per billion(ppb). High Liquid Paper </w:t>
      </w:r>
      <w:proofErr w:type="gramStart"/>
      <w:r w:rsidRPr="000F1E43">
        <w:rPr>
          <w:rFonts w:ascii="Arial" w:eastAsia="Times New Roman" w:hAnsi="Arial" w:cs="Arial"/>
          <w:bCs/>
          <w:iCs/>
          <w:sz w:val="20"/>
          <w:szCs w:val="20"/>
        </w:rPr>
        <w:t>Chromatography(</w:t>
      </w:r>
      <w:proofErr w:type="gramEnd"/>
      <w:r w:rsidRPr="000F1E43">
        <w:rPr>
          <w:rFonts w:ascii="Arial" w:eastAsia="Times New Roman" w:hAnsi="Arial" w:cs="Arial"/>
          <w:bCs/>
          <w:iCs/>
          <w:sz w:val="20"/>
          <w:szCs w:val="20"/>
        </w:rPr>
        <w:t>HPLC) was used for confirmation of positive samples of aflatoxin.</w:t>
      </w:r>
    </w:p>
    <w:p w14:paraId="5B5907EC"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4D415480" w14:textId="6BDFBD13"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Extraction procedures were done as previously described by (</w:t>
      </w:r>
      <w:r w:rsidRPr="000F1E43">
        <w:rPr>
          <w:rFonts w:ascii="Arial" w:eastAsia="Times New Roman" w:hAnsi="Arial" w:cs="Arial"/>
          <w:bCs/>
          <w:iCs/>
          <w:sz w:val="20"/>
          <w:szCs w:val="20"/>
          <w:shd w:val="clear" w:color="auto" w:fill="FFFF00"/>
        </w:rPr>
        <w:t>USDA</w:t>
      </w:r>
      <w:r w:rsidR="00F7068C" w:rsidRPr="000F1E43">
        <w:rPr>
          <w:rFonts w:ascii="Arial" w:eastAsia="Times New Roman" w:hAnsi="Arial" w:cs="Arial"/>
          <w:bCs/>
          <w:iCs/>
          <w:sz w:val="20"/>
          <w:szCs w:val="20"/>
          <w:shd w:val="clear" w:color="auto" w:fill="FFFF00"/>
        </w:rPr>
        <w:t>,</w:t>
      </w:r>
      <w:r w:rsidRPr="000F1E43">
        <w:rPr>
          <w:rFonts w:ascii="Arial" w:eastAsia="Times New Roman" w:hAnsi="Arial" w:cs="Arial"/>
          <w:bCs/>
          <w:iCs/>
          <w:sz w:val="20"/>
          <w:szCs w:val="20"/>
          <w:shd w:val="clear" w:color="auto" w:fill="FFFF00"/>
        </w:rPr>
        <w:t xml:space="preserve"> 2019</w:t>
      </w:r>
      <w:r w:rsidRPr="000F1E43">
        <w:rPr>
          <w:rFonts w:ascii="Arial" w:eastAsia="Times New Roman" w:hAnsi="Arial" w:cs="Arial"/>
          <w:bCs/>
          <w:iCs/>
          <w:sz w:val="20"/>
          <w:szCs w:val="20"/>
        </w:rPr>
        <w:t xml:space="preserve">). Briefly, 10 grams of the ground sample was transferred to a hard-walled extraction container (ACC019) for rice and groundnuts. One dissolvable EB 17 pouch was then added to the extraction container. Using a 250ml cylinder, 150ml of distilled water was added to the extraction container, the container sealed and shaken well by hand immediately for 10 seconds avoiding delays between the additions of water and shaking. The extraction mixture was then vortexed at a speed of 300 rotations per minute for one minute on an orbital shaking platform. The extract was filtered by pouring it onto an approved coffee filter (ACC 083) and then into a clean vessel for collection. The sample was allowed to filter for 2 minutes. Thereafter, the filter paper was discarded and the filtered extract was tested for aflatoxin and </w:t>
      </w:r>
      <w:bookmarkEnd w:id="4"/>
      <w:proofErr w:type="spellStart"/>
      <w:r w:rsidRPr="000F1E43">
        <w:rPr>
          <w:rFonts w:ascii="Arial" w:eastAsia="Times New Roman" w:hAnsi="Arial" w:cs="Arial"/>
          <w:bCs/>
          <w:iCs/>
          <w:sz w:val="20"/>
          <w:szCs w:val="20"/>
        </w:rPr>
        <w:t>fumonisin</w:t>
      </w:r>
      <w:proofErr w:type="spellEnd"/>
      <w:r w:rsidRPr="000F1E43">
        <w:rPr>
          <w:rFonts w:ascii="Arial" w:eastAsia="Times New Roman" w:hAnsi="Arial" w:cs="Arial"/>
          <w:bCs/>
          <w:iCs/>
          <w:sz w:val="20"/>
          <w:szCs w:val="20"/>
        </w:rPr>
        <w:t>.</w:t>
      </w:r>
    </w:p>
    <w:p w14:paraId="5E539A6D"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48581EF7" w14:textId="472ED6A3" w:rsidR="007B5DF9" w:rsidRPr="000F1E43" w:rsidRDefault="007B5DF9" w:rsidP="007B5DF9">
      <w:pPr>
        <w:pStyle w:val="Heading2"/>
        <w:rPr>
          <w:rFonts w:eastAsia="Times New Roman"/>
        </w:rPr>
      </w:pPr>
      <w:r w:rsidRPr="000F1E43">
        <w:rPr>
          <w:rFonts w:eastAsia="Times New Roman"/>
        </w:rPr>
        <w:t>3. RESULTS AND DISCUSSION</w:t>
      </w:r>
    </w:p>
    <w:p w14:paraId="77A8BBA0" w14:textId="77777777" w:rsidR="007B5DF9" w:rsidRPr="000F1E43" w:rsidRDefault="007B5DF9" w:rsidP="007B5DF9">
      <w:pPr>
        <w:spacing w:after="0" w:line="240" w:lineRule="auto"/>
        <w:contextualSpacing/>
        <w:jc w:val="both"/>
        <w:rPr>
          <w:rFonts w:ascii="Arial" w:eastAsia="Times New Roman" w:hAnsi="Arial" w:cs="Arial"/>
          <w:b/>
          <w:bCs/>
          <w:iCs/>
          <w:sz w:val="20"/>
          <w:szCs w:val="20"/>
        </w:rPr>
      </w:pPr>
    </w:p>
    <w:p w14:paraId="1F32D76C" w14:textId="612195BD"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lastRenderedPageBreak/>
        <w:t xml:space="preserve">Aflatoxin levels in groundnuts were higher than in rice, whereas </w:t>
      </w:r>
      <w:proofErr w:type="spellStart"/>
      <w:r w:rsidRPr="000F1E43">
        <w:rPr>
          <w:rFonts w:ascii="Arial" w:eastAsia="Times New Roman" w:hAnsi="Arial" w:cs="Arial"/>
          <w:bCs/>
          <w:iCs/>
          <w:sz w:val="20"/>
          <w:szCs w:val="20"/>
        </w:rPr>
        <w:t>fumonisin</w:t>
      </w:r>
      <w:proofErr w:type="spellEnd"/>
      <w:r w:rsidRPr="000F1E43">
        <w:rPr>
          <w:rFonts w:ascii="Arial" w:eastAsia="Times New Roman" w:hAnsi="Arial" w:cs="Arial"/>
          <w:bCs/>
          <w:iCs/>
          <w:sz w:val="20"/>
          <w:szCs w:val="20"/>
        </w:rPr>
        <w:t xml:space="preserve"> occurrence in rice was higher than in groundnuts. Descriptive </w:t>
      </w:r>
      <w:r w:rsidR="00D95A83" w:rsidRPr="000F1E43">
        <w:rPr>
          <w:rFonts w:ascii="Arial" w:eastAsia="Times New Roman" w:hAnsi="Arial" w:cs="Arial"/>
          <w:bCs/>
          <w:iCs/>
          <w:sz w:val="20"/>
          <w:szCs w:val="20"/>
        </w:rPr>
        <w:t xml:space="preserve">       </w:t>
      </w:r>
      <w:r w:rsidRPr="000F1E43">
        <w:rPr>
          <w:rFonts w:ascii="Arial" w:eastAsia="Times New Roman" w:hAnsi="Arial" w:cs="Arial"/>
          <w:bCs/>
          <w:iCs/>
          <w:sz w:val="20"/>
          <w:szCs w:val="20"/>
        </w:rPr>
        <w:t xml:space="preserve">statistics (Table 1) were used to show the aflatoxin levels and </w:t>
      </w:r>
      <w:proofErr w:type="spellStart"/>
      <w:r w:rsidRPr="000F1E43">
        <w:rPr>
          <w:rFonts w:ascii="Arial" w:eastAsia="Times New Roman" w:hAnsi="Arial" w:cs="Arial"/>
          <w:bCs/>
          <w:iCs/>
          <w:sz w:val="20"/>
          <w:szCs w:val="20"/>
        </w:rPr>
        <w:t>fumonisin</w:t>
      </w:r>
      <w:proofErr w:type="spellEnd"/>
      <w:r w:rsidRPr="000F1E43">
        <w:rPr>
          <w:rFonts w:ascii="Arial" w:eastAsia="Times New Roman" w:hAnsi="Arial" w:cs="Arial"/>
          <w:bCs/>
          <w:iCs/>
          <w:sz w:val="20"/>
          <w:szCs w:val="20"/>
        </w:rPr>
        <w:t xml:space="preserve"> distribution in Kericho from the three markets combined. Box plot was used to visually show aflatoxin distribution in the three markets combined </w:t>
      </w:r>
      <w:r w:rsidR="00D95A83" w:rsidRPr="000F1E43">
        <w:rPr>
          <w:rFonts w:ascii="Arial" w:eastAsia="Times New Roman" w:hAnsi="Arial" w:cs="Arial"/>
          <w:bCs/>
          <w:iCs/>
          <w:sz w:val="20"/>
          <w:szCs w:val="20"/>
        </w:rPr>
        <w:t xml:space="preserve">     </w:t>
      </w:r>
      <w:proofErr w:type="gramStart"/>
      <w:r w:rsidR="00D95A83" w:rsidRPr="000F1E43">
        <w:rPr>
          <w:rFonts w:ascii="Arial" w:eastAsia="Times New Roman" w:hAnsi="Arial" w:cs="Arial"/>
          <w:bCs/>
          <w:iCs/>
          <w:sz w:val="20"/>
          <w:szCs w:val="20"/>
        </w:rPr>
        <w:t xml:space="preserve">   </w:t>
      </w:r>
      <w:r w:rsidRPr="000F1E43">
        <w:rPr>
          <w:rFonts w:ascii="Arial" w:eastAsia="Times New Roman" w:hAnsi="Arial" w:cs="Arial"/>
          <w:bCs/>
          <w:iCs/>
          <w:sz w:val="20"/>
          <w:szCs w:val="20"/>
        </w:rPr>
        <w:t>(</w:t>
      </w:r>
      <w:proofErr w:type="gramEnd"/>
      <w:r w:rsidRPr="000F1E43">
        <w:rPr>
          <w:rFonts w:ascii="Arial" w:eastAsia="Times New Roman" w:hAnsi="Arial" w:cs="Arial"/>
          <w:bCs/>
          <w:iCs/>
          <w:sz w:val="20"/>
          <w:szCs w:val="20"/>
        </w:rPr>
        <w:t>Fig. 3).</w:t>
      </w:r>
    </w:p>
    <w:p w14:paraId="61946CCC"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7C7F0C18" w14:textId="757045EB"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 xml:space="preserve">Three product types were further assessed to compare aflatoxin and </w:t>
      </w:r>
      <w:proofErr w:type="spellStart"/>
      <w:r w:rsidRPr="000F1E43">
        <w:rPr>
          <w:rFonts w:ascii="Arial" w:eastAsia="Times New Roman" w:hAnsi="Arial" w:cs="Arial"/>
          <w:bCs/>
          <w:iCs/>
          <w:sz w:val="20"/>
          <w:szCs w:val="20"/>
        </w:rPr>
        <w:t>fumonisin</w:t>
      </w:r>
      <w:proofErr w:type="spellEnd"/>
      <w:r w:rsidRPr="000F1E43">
        <w:rPr>
          <w:rFonts w:ascii="Arial" w:eastAsia="Times New Roman" w:hAnsi="Arial" w:cs="Arial"/>
          <w:bCs/>
          <w:iCs/>
          <w:sz w:val="20"/>
          <w:szCs w:val="20"/>
        </w:rPr>
        <w:t xml:space="preserve"> levels in groundnuts.  The boxplot (Fig</w:t>
      </w:r>
      <w:r w:rsidR="00F7068C" w:rsidRPr="000F1E43">
        <w:rPr>
          <w:rFonts w:ascii="Arial" w:eastAsia="Times New Roman" w:hAnsi="Arial" w:cs="Arial"/>
          <w:bCs/>
          <w:iCs/>
          <w:sz w:val="20"/>
          <w:szCs w:val="20"/>
        </w:rPr>
        <w:t>.</w:t>
      </w:r>
      <w:r w:rsidRPr="000F1E43">
        <w:rPr>
          <w:rFonts w:ascii="Arial" w:eastAsia="Times New Roman" w:hAnsi="Arial" w:cs="Arial"/>
          <w:bCs/>
          <w:iCs/>
          <w:sz w:val="20"/>
          <w:szCs w:val="20"/>
        </w:rPr>
        <w:t xml:space="preserve"> 4a) results showed that roasted groundnuts had higher levels of aflatoxin than groundnuts with pods and unroasted groundnuts. Also, the aflatoxin level was higher in the </w:t>
      </w:r>
      <w:proofErr w:type="spellStart"/>
      <w:r w:rsidRPr="000F1E43">
        <w:rPr>
          <w:rFonts w:ascii="Arial" w:eastAsia="Times New Roman" w:hAnsi="Arial" w:cs="Arial"/>
          <w:bCs/>
          <w:iCs/>
          <w:sz w:val="20"/>
          <w:szCs w:val="20"/>
        </w:rPr>
        <w:t>Kapsuser</w:t>
      </w:r>
      <w:proofErr w:type="spellEnd"/>
      <w:r w:rsidRPr="000F1E43">
        <w:rPr>
          <w:rFonts w:ascii="Arial" w:eastAsia="Times New Roman" w:hAnsi="Arial" w:cs="Arial"/>
          <w:bCs/>
          <w:iCs/>
          <w:sz w:val="20"/>
          <w:szCs w:val="20"/>
        </w:rPr>
        <w:t xml:space="preserve"> market than in </w:t>
      </w:r>
      <w:proofErr w:type="spellStart"/>
      <w:r w:rsidRPr="000F1E43">
        <w:rPr>
          <w:rFonts w:ascii="Arial" w:eastAsia="Times New Roman" w:hAnsi="Arial" w:cs="Arial"/>
          <w:bCs/>
          <w:iCs/>
          <w:sz w:val="20"/>
          <w:szCs w:val="20"/>
        </w:rPr>
        <w:t>Nyagacho</w:t>
      </w:r>
      <w:proofErr w:type="spellEnd"/>
      <w:r w:rsidRPr="000F1E43">
        <w:rPr>
          <w:rFonts w:ascii="Arial" w:eastAsia="Times New Roman" w:hAnsi="Arial" w:cs="Arial"/>
          <w:bCs/>
          <w:iCs/>
          <w:sz w:val="20"/>
          <w:szCs w:val="20"/>
        </w:rPr>
        <w:t xml:space="preserve"> and Kericho. Some locations had no substantive data to allow for representation, for instance, unroasted groundnuts in Kericho and </w:t>
      </w:r>
      <w:proofErr w:type="spellStart"/>
      <w:r w:rsidRPr="000F1E43">
        <w:rPr>
          <w:rFonts w:ascii="Arial" w:eastAsia="Times New Roman" w:hAnsi="Arial" w:cs="Arial"/>
          <w:bCs/>
          <w:iCs/>
          <w:sz w:val="20"/>
          <w:szCs w:val="20"/>
        </w:rPr>
        <w:t>Kapsuser</w:t>
      </w:r>
      <w:proofErr w:type="spellEnd"/>
      <w:r w:rsidRPr="000F1E43">
        <w:rPr>
          <w:rFonts w:ascii="Arial" w:eastAsia="Times New Roman" w:hAnsi="Arial" w:cs="Arial"/>
          <w:bCs/>
          <w:iCs/>
          <w:sz w:val="20"/>
          <w:szCs w:val="20"/>
        </w:rPr>
        <w:t xml:space="preserve">. With regard to </w:t>
      </w:r>
      <w:proofErr w:type="spellStart"/>
      <w:r w:rsidRPr="000F1E43">
        <w:rPr>
          <w:rFonts w:ascii="Arial" w:eastAsia="Times New Roman" w:hAnsi="Arial" w:cs="Arial"/>
          <w:bCs/>
          <w:iCs/>
          <w:sz w:val="20"/>
          <w:szCs w:val="20"/>
        </w:rPr>
        <w:t>fumonisin</w:t>
      </w:r>
      <w:proofErr w:type="spellEnd"/>
      <w:r w:rsidRPr="000F1E43">
        <w:rPr>
          <w:rFonts w:ascii="Arial" w:eastAsia="Times New Roman" w:hAnsi="Arial" w:cs="Arial"/>
          <w:bCs/>
          <w:iCs/>
          <w:sz w:val="20"/>
          <w:szCs w:val="20"/>
        </w:rPr>
        <w:t xml:space="preserve"> levels (Fig</w:t>
      </w:r>
      <w:r w:rsidR="00F7068C" w:rsidRPr="000F1E43">
        <w:rPr>
          <w:rFonts w:ascii="Arial" w:eastAsia="Times New Roman" w:hAnsi="Arial" w:cs="Arial"/>
          <w:bCs/>
          <w:iCs/>
          <w:sz w:val="20"/>
          <w:szCs w:val="20"/>
        </w:rPr>
        <w:t>.</w:t>
      </w:r>
      <w:r w:rsidRPr="000F1E43">
        <w:rPr>
          <w:rFonts w:ascii="Arial" w:eastAsia="Times New Roman" w:hAnsi="Arial" w:cs="Arial"/>
          <w:bCs/>
          <w:iCs/>
          <w:sz w:val="20"/>
          <w:szCs w:val="20"/>
        </w:rPr>
        <w:t xml:space="preserve"> 4b) the results showed that groundnuts with pods had the highest level of </w:t>
      </w:r>
      <w:proofErr w:type="spellStart"/>
      <w:r w:rsidRPr="000F1E43">
        <w:rPr>
          <w:rFonts w:ascii="Arial" w:eastAsia="Times New Roman" w:hAnsi="Arial" w:cs="Arial"/>
          <w:bCs/>
          <w:iCs/>
          <w:sz w:val="20"/>
          <w:szCs w:val="20"/>
        </w:rPr>
        <w:t>fumonisin</w:t>
      </w:r>
      <w:proofErr w:type="spellEnd"/>
      <w:r w:rsidRPr="000F1E43">
        <w:rPr>
          <w:rFonts w:ascii="Arial" w:eastAsia="Times New Roman" w:hAnsi="Arial" w:cs="Arial"/>
          <w:bCs/>
          <w:iCs/>
          <w:sz w:val="20"/>
          <w:szCs w:val="20"/>
        </w:rPr>
        <w:t xml:space="preserve">. Similarly, the </w:t>
      </w:r>
      <w:proofErr w:type="spellStart"/>
      <w:r w:rsidRPr="000F1E43">
        <w:rPr>
          <w:rFonts w:ascii="Arial" w:eastAsia="Times New Roman" w:hAnsi="Arial" w:cs="Arial"/>
          <w:bCs/>
          <w:iCs/>
          <w:sz w:val="20"/>
          <w:szCs w:val="20"/>
        </w:rPr>
        <w:t>fumonisin</w:t>
      </w:r>
      <w:proofErr w:type="spellEnd"/>
      <w:r w:rsidRPr="000F1E43">
        <w:rPr>
          <w:rFonts w:ascii="Arial" w:eastAsia="Times New Roman" w:hAnsi="Arial" w:cs="Arial"/>
          <w:bCs/>
          <w:iCs/>
          <w:sz w:val="20"/>
          <w:szCs w:val="20"/>
        </w:rPr>
        <w:t xml:space="preserve"> levels were higher in </w:t>
      </w:r>
      <w:proofErr w:type="spellStart"/>
      <w:r w:rsidRPr="000F1E43">
        <w:rPr>
          <w:rFonts w:ascii="Arial" w:eastAsia="Times New Roman" w:hAnsi="Arial" w:cs="Arial"/>
          <w:bCs/>
          <w:iCs/>
          <w:sz w:val="20"/>
          <w:szCs w:val="20"/>
        </w:rPr>
        <w:t>Nyagacho</w:t>
      </w:r>
      <w:proofErr w:type="spellEnd"/>
      <w:r w:rsidRPr="000F1E43">
        <w:rPr>
          <w:rFonts w:ascii="Arial" w:eastAsia="Times New Roman" w:hAnsi="Arial" w:cs="Arial"/>
          <w:bCs/>
          <w:iCs/>
          <w:sz w:val="20"/>
          <w:szCs w:val="20"/>
        </w:rPr>
        <w:t xml:space="preserve"> than in </w:t>
      </w:r>
      <w:proofErr w:type="spellStart"/>
      <w:r w:rsidRPr="000F1E43">
        <w:rPr>
          <w:rFonts w:ascii="Arial" w:eastAsia="Times New Roman" w:hAnsi="Arial" w:cs="Arial"/>
          <w:bCs/>
          <w:iCs/>
          <w:sz w:val="20"/>
          <w:szCs w:val="20"/>
        </w:rPr>
        <w:t>Kapsuser</w:t>
      </w:r>
      <w:proofErr w:type="spellEnd"/>
      <w:r w:rsidRPr="000F1E43">
        <w:rPr>
          <w:rFonts w:ascii="Arial" w:eastAsia="Times New Roman" w:hAnsi="Arial" w:cs="Arial"/>
          <w:bCs/>
          <w:iCs/>
          <w:sz w:val="20"/>
          <w:szCs w:val="20"/>
        </w:rPr>
        <w:t xml:space="preserve"> and Kericho. </w:t>
      </w:r>
    </w:p>
    <w:p w14:paraId="30FFE7F6" w14:textId="77777777" w:rsidR="007B5DF9" w:rsidRPr="000F1E43" w:rsidRDefault="007B5DF9" w:rsidP="007B5DF9">
      <w:pPr>
        <w:spacing w:after="0" w:line="240" w:lineRule="auto"/>
        <w:contextualSpacing/>
        <w:jc w:val="both"/>
        <w:rPr>
          <w:rFonts w:ascii="Arial" w:eastAsia="Times New Roman" w:hAnsi="Arial" w:cs="Arial"/>
          <w:bCs/>
          <w:iCs/>
          <w:sz w:val="20"/>
          <w:szCs w:val="20"/>
          <w:lang w:val="en-GB"/>
        </w:rPr>
      </w:pPr>
    </w:p>
    <w:p w14:paraId="647289ED" w14:textId="5B3745D6" w:rsidR="007B5DF9" w:rsidRPr="000F1E43" w:rsidRDefault="007B5DF9" w:rsidP="007B5DF9">
      <w:pPr>
        <w:spacing w:after="0" w:line="240" w:lineRule="auto"/>
        <w:contextualSpacing/>
        <w:jc w:val="both"/>
        <w:rPr>
          <w:rFonts w:ascii="Arial" w:eastAsia="Times New Roman" w:hAnsi="Arial" w:cs="Arial"/>
          <w:bCs/>
          <w:iCs/>
          <w:sz w:val="20"/>
          <w:szCs w:val="20"/>
          <w:lang w:val="en-GB"/>
        </w:rPr>
      </w:pPr>
      <w:r w:rsidRPr="000F1E43">
        <w:rPr>
          <w:rFonts w:ascii="Arial" w:eastAsia="Times New Roman" w:hAnsi="Arial" w:cs="Arial"/>
          <w:bCs/>
          <w:iCs/>
          <w:sz w:val="20"/>
          <w:szCs w:val="20"/>
        </w:rPr>
        <w:t xml:space="preserve">Kruskal-Wallis test was used to compare the statistical differences of the aflatoxin levels in different regions. In this study, Kruskal-Wallis was employed to </w:t>
      </w:r>
      <w:proofErr w:type="spellStart"/>
      <w:r w:rsidRPr="000F1E43">
        <w:rPr>
          <w:rFonts w:ascii="Arial" w:eastAsia="Times New Roman" w:hAnsi="Arial" w:cs="Arial"/>
          <w:bCs/>
          <w:iCs/>
          <w:sz w:val="20"/>
          <w:szCs w:val="20"/>
        </w:rPr>
        <w:t>analyse</w:t>
      </w:r>
      <w:proofErr w:type="spellEnd"/>
      <w:r w:rsidRPr="000F1E43">
        <w:rPr>
          <w:rFonts w:ascii="Arial" w:eastAsia="Times New Roman" w:hAnsi="Arial" w:cs="Arial"/>
          <w:bCs/>
          <w:iCs/>
          <w:sz w:val="20"/>
          <w:szCs w:val="20"/>
        </w:rPr>
        <w:t xml:space="preserve"> the statistical difference in aflatoxin levels for rice and groundnuts and represented boxplots, with statistical differences between the mycotoxins shown using p-values.</w:t>
      </w:r>
      <w:r w:rsidRPr="000F1E43">
        <w:rPr>
          <w:rFonts w:ascii="Arial" w:eastAsia="Times New Roman" w:hAnsi="Arial" w:cs="Arial"/>
          <w:bCs/>
          <w:iCs/>
          <w:sz w:val="20"/>
          <w:szCs w:val="20"/>
          <w:lang w:val="en-GB"/>
        </w:rPr>
        <w:t xml:space="preserve"> The results for rice show that </w:t>
      </w:r>
      <w:proofErr w:type="spellStart"/>
      <w:r w:rsidRPr="000F1E43">
        <w:rPr>
          <w:rFonts w:ascii="Arial" w:eastAsia="Times New Roman" w:hAnsi="Arial" w:cs="Arial"/>
          <w:bCs/>
          <w:iCs/>
          <w:sz w:val="20"/>
          <w:szCs w:val="20"/>
          <w:lang w:val="en-GB"/>
        </w:rPr>
        <w:t>Nyagacho</w:t>
      </w:r>
      <w:proofErr w:type="spellEnd"/>
      <w:r w:rsidRPr="000F1E43">
        <w:rPr>
          <w:rFonts w:ascii="Arial" w:eastAsia="Times New Roman" w:hAnsi="Arial" w:cs="Arial"/>
          <w:bCs/>
          <w:iCs/>
          <w:sz w:val="20"/>
          <w:szCs w:val="20"/>
          <w:lang w:val="en-GB"/>
        </w:rPr>
        <w:t xml:space="preserve"> had a high level of aflatoxin, followed by Kericho and lastly </w:t>
      </w:r>
      <w:proofErr w:type="spellStart"/>
      <w:r w:rsidRPr="000F1E43">
        <w:rPr>
          <w:rFonts w:ascii="Arial" w:eastAsia="Times New Roman" w:hAnsi="Arial" w:cs="Arial"/>
          <w:bCs/>
          <w:iCs/>
          <w:sz w:val="20"/>
          <w:szCs w:val="20"/>
          <w:lang w:val="en-GB"/>
        </w:rPr>
        <w:t>Kapsuser</w:t>
      </w:r>
      <w:proofErr w:type="spellEnd"/>
      <w:r w:rsidRPr="000F1E43">
        <w:rPr>
          <w:rFonts w:ascii="Arial" w:eastAsia="Times New Roman" w:hAnsi="Arial" w:cs="Arial"/>
          <w:bCs/>
          <w:iCs/>
          <w:sz w:val="20"/>
          <w:szCs w:val="20"/>
          <w:lang w:val="en-GB"/>
        </w:rPr>
        <w:t xml:space="preserve">. The statistical differences in rice levels were also depicted between </w:t>
      </w:r>
      <w:proofErr w:type="spellStart"/>
      <w:r w:rsidRPr="000F1E43">
        <w:rPr>
          <w:rFonts w:ascii="Arial" w:eastAsia="Times New Roman" w:hAnsi="Arial" w:cs="Arial"/>
          <w:bCs/>
          <w:iCs/>
          <w:sz w:val="20"/>
          <w:szCs w:val="20"/>
          <w:lang w:val="en-GB"/>
        </w:rPr>
        <w:t>Kapsuser</w:t>
      </w:r>
      <w:proofErr w:type="spellEnd"/>
      <w:r w:rsidRPr="000F1E43">
        <w:rPr>
          <w:rFonts w:ascii="Arial" w:eastAsia="Times New Roman" w:hAnsi="Arial" w:cs="Arial"/>
          <w:bCs/>
          <w:iCs/>
          <w:sz w:val="20"/>
          <w:szCs w:val="20"/>
          <w:lang w:val="en-GB"/>
        </w:rPr>
        <w:t xml:space="preserve"> and Kericho, and between </w:t>
      </w:r>
      <w:proofErr w:type="spellStart"/>
      <w:r w:rsidRPr="000F1E43">
        <w:rPr>
          <w:rFonts w:ascii="Arial" w:eastAsia="Times New Roman" w:hAnsi="Arial" w:cs="Arial"/>
          <w:bCs/>
          <w:iCs/>
          <w:sz w:val="20"/>
          <w:szCs w:val="20"/>
          <w:lang w:val="en-GB"/>
        </w:rPr>
        <w:t>Kapsuser</w:t>
      </w:r>
      <w:proofErr w:type="spellEnd"/>
      <w:r w:rsidRPr="000F1E43">
        <w:rPr>
          <w:rFonts w:ascii="Arial" w:eastAsia="Times New Roman" w:hAnsi="Arial" w:cs="Arial"/>
          <w:bCs/>
          <w:iCs/>
          <w:sz w:val="20"/>
          <w:szCs w:val="20"/>
          <w:lang w:val="en-GB"/>
        </w:rPr>
        <w:t xml:space="preserve"> and </w:t>
      </w:r>
      <w:proofErr w:type="spellStart"/>
      <w:r w:rsidRPr="000F1E43">
        <w:rPr>
          <w:rFonts w:ascii="Arial" w:eastAsia="Times New Roman" w:hAnsi="Arial" w:cs="Arial"/>
          <w:bCs/>
          <w:iCs/>
          <w:sz w:val="20"/>
          <w:szCs w:val="20"/>
          <w:lang w:val="en-GB"/>
        </w:rPr>
        <w:t>Nyagacho</w:t>
      </w:r>
      <w:proofErr w:type="spellEnd"/>
      <w:r w:rsidRPr="000F1E43">
        <w:rPr>
          <w:rFonts w:ascii="Arial" w:eastAsia="Times New Roman" w:hAnsi="Arial" w:cs="Arial"/>
          <w:bCs/>
          <w:iCs/>
          <w:sz w:val="20"/>
          <w:szCs w:val="20"/>
          <w:lang w:val="en-GB"/>
        </w:rPr>
        <w:t xml:space="preserve">. However, there was no statistical difference in aflatoxin levels between Kericho and </w:t>
      </w:r>
      <w:proofErr w:type="spellStart"/>
      <w:r w:rsidRPr="000F1E43">
        <w:rPr>
          <w:rFonts w:ascii="Arial" w:eastAsia="Times New Roman" w:hAnsi="Arial" w:cs="Arial"/>
          <w:bCs/>
          <w:iCs/>
          <w:sz w:val="20"/>
          <w:szCs w:val="20"/>
          <w:lang w:val="en-GB"/>
        </w:rPr>
        <w:t>Nyagacho</w:t>
      </w:r>
      <w:proofErr w:type="spellEnd"/>
      <w:r w:rsidRPr="000F1E43">
        <w:rPr>
          <w:rFonts w:ascii="Arial" w:eastAsia="Times New Roman" w:hAnsi="Arial" w:cs="Arial"/>
          <w:bCs/>
          <w:iCs/>
          <w:sz w:val="20"/>
          <w:szCs w:val="20"/>
          <w:lang w:val="en-GB"/>
        </w:rPr>
        <w:t xml:space="preserve"> (Fig</w:t>
      </w:r>
      <w:r w:rsidR="00F7068C" w:rsidRPr="000F1E43">
        <w:rPr>
          <w:rFonts w:ascii="Arial" w:eastAsia="Times New Roman" w:hAnsi="Arial" w:cs="Arial"/>
          <w:bCs/>
          <w:iCs/>
          <w:sz w:val="20"/>
          <w:szCs w:val="20"/>
          <w:lang w:val="en-GB"/>
        </w:rPr>
        <w:t>.</w:t>
      </w:r>
      <w:r w:rsidRPr="000F1E43">
        <w:rPr>
          <w:rFonts w:ascii="Arial" w:eastAsia="Times New Roman" w:hAnsi="Arial" w:cs="Arial"/>
          <w:bCs/>
          <w:iCs/>
          <w:sz w:val="20"/>
          <w:szCs w:val="20"/>
          <w:lang w:val="en-GB"/>
        </w:rPr>
        <w:t xml:space="preserve"> 5). The results for groundnuts</w:t>
      </w:r>
      <w:r w:rsidRPr="000F1E43">
        <w:rPr>
          <w:rFonts w:ascii="Arial" w:eastAsia="Times New Roman" w:hAnsi="Arial" w:cs="Arial"/>
          <w:bCs/>
          <w:iCs/>
          <w:sz w:val="20"/>
          <w:szCs w:val="20"/>
        </w:rPr>
        <w:t xml:space="preserve"> show that the aflatoxin levels between Kericho and </w:t>
      </w:r>
      <w:proofErr w:type="spellStart"/>
      <w:r w:rsidRPr="000F1E43">
        <w:rPr>
          <w:rFonts w:ascii="Arial" w:eastAsia="Times New Roman" w:hAnsi="Arial" w:cs="Arial"/>
          <w:bCs/>
          <w:iCs/>
          <w:sz w:val="20"/>
          <w:szCs w:val="20"/>
        </w:rPr>
        <w:t>Kapsuser</w:t>
      </w:r>
      <w:proofErr w:type="spellEnd"/>
      <w:r w:rsidRPr="000F1E43">
        <w:rPr>
          <w:rFonts w:ascii="Arial" w:eastAsia="Times New Roman" w:hAnsi="Arial" w:cs="Arial"/>
          <w:bCs/>
          <w:iCs/>
          <w:sz w:val="20"/>
          <w:szCs w:val="20"/>
        </w:rPr>
        <w:t xml:space="preserve">, </w:t>
      </w:r>
      <w:proofErr w:type="spellStart"/>
      <w:r w:rsidRPr="000F1E43">
        <w:rPr>
          <w:rFonts w:ascii="Arial" w:eastAsia="Times New Roman" w:hAnsi="Arial" w:cs="Arial"/>
          <w:bCs/>
          <w:iCs/>
          <w:sz w:val="20"/>
          <w:szCs w:val="20"/>
        </w:rPr>
        <w:t>Kapsuser</w:t>
      </w:r>
      <w:proofErr w:type="spellEnd"/>
      <w:r w:rsidRPr="000F1E43">
        <w:rPr>
          <w:rFonts w:ascii="Arial" w:eastAsia="Times New Roman" w:hAnsi="Arial" w:cs="Arial"/>
          <w:bCs/>
          <w:iCs/>
          <w:sz w:val="20"/>
          <w:szCs w:val="20"/>
        </w:rPr>
        <w:t xml:space="preserve"> and </w:t>
      </w:r>
      <w:proofErr w:type="spellStart"/>
      <w:r w:rsidRPr="000F1E43">
        <w:rPr>
          <w:rFonts w:ascii="Arial" w:eastAsia="Times New Roman" w:hAnsi="Arial" w:cs="Arial"/>
          <w:bCs/>
          <w:iCs/>
          <w:sz w:val="20"/>
          <w:szCs w:val="20"/>
        </w:rPr>
        <w:t>Nyagacho</w:t>
      </w:r>
      <w:proofErr w:type="spellEnd"/>
      <w:r w:rsidRPr="000F1E43">
        <w:rPr>
          <w:rFonts w:ascii="Arial" w:eastAsia="Times New Roman" w:hAnsi="Arial" w:cs="Arial"/>
          <w:bCs/>
          <w:iCs/>
          <w:sz w:val="20"/>
          <w:szCs w:val="20"/>
        </w:rPr>
        <w:t xml:space="preserve"> markets were statistically significant. In contrast, aflatoxin levels between Kericho and </w:t>
      </w:r>
      <w:proofErr w:type="spellStart"/>
      <w:r w:rsidRPr="000F1E43">
        <w:rPr>
          <w:rFonts w:ascii="Arial" w:eastAsia="Times New Roman" w:hAnsi="Arial" w:cs="Arial"/>
          <w:bCs/>
          <w:iCs/>
          <w:sz w:val="20"/>
          <w:szCs w:val="20"/>
        </w:rPr>
        <w:t>Nyagacho</w:t>
      </w:r>
      <w:proofErr w:type="spellEnd"/>
      <w:r w:rsidRPr="000F1E43">
        <w:rPr>
          <w:rFonts w:ascii="Arial" w:eastAsia="Times New Roman" w:hAnsi="Arial" w:cs="Arial"/>
          <w:bCs/>
          <w:iCs/>
          <w:sz w:val="20"/>
          <w:szCs w:val="20"/>
        </w:rPr>
        <w:t xml:space="preserve"> were not statistically significant (Fig</w:t>
      </w:r>
      <w:r w:rsidR="00F7068C" w:rsidRPr="000F1E43">
        <w:rPr>
          <w:rFonts w:ascii="Arial" w:eastAsia="Times New Roman" w:hAnsi="Arial" w:cs="Arial"/>
          <w:bCs/>
          <w:iCs/>
          <w:sz w:val="20"/>
          <w:szCs w:val="20"/>
        </w:rPr>
        <w:t>.</w:t>
      </w:r>
      <w:r w:rsidRPr="000F1E43">
        <w:rPr>
          <w:rFonts w:ascii="Arial" w:eastAsia="Times New Roman" w:hAnsi="Arial" w:cs="Arial"/>
          <w:bCs/>
          <w:iCs/>
          <w:sz w:val="20"/>
          <w:szCs w:val="20"/>
        </w:rPr>
        <w:t xml:space="preserve"> 6).</w:t>
      </w:r>
    </w:p>
    <w:p w14:paraId="75CD9BD2" w14:textId="77777777" w:rsidR="005A3F46" w:rsidRPr="000F1E43" w:rsidRDefault="005A3F46" w:rsidP="007B5DF9">
      <w:pPr>
        <w:spacing w:after="0" w:line="240" w:lineRule="auto"/>
        <w:contextualSpacing/>
        <w:jc w:val="both"/>
        <w:rPr>
          <w:rFonts w:ascii="Arial" w:eastAsia="Times New Roman" w:hAnsi="Arial" w:cs="Arial"/>
          <w:bCs/>
          <w:iCs/>
          <w:sz w:val="20"/>
          <w:szCs w:val="20"/>
        </w:rPr>
        <w:sectPr w:rsidR="005A3F46" w:rsidRPr="000F1E43" w:rsidSect="005A3F46">
          <w:type w:val="continuous"/>
          <w:pgSz w:w="11909" w:h="16834" w:code="9"/>
          <w:pgMar w:top="1440" w:right="1440" w:bottom="1440" w:left="1440" w:header="720" w:footer="864" w:gutter="0"/>
          <w:pgNumType w:start="1"/>
          <w:cols w:num="2" w:space="288"/>
          <w:titlePg/>
          <w:docGrid w:linePitch="360"/>
        </w:sectPr>
      </w:pPr>
    </w:p>
    <w:p w14:paraId="5C3D4CF0" w14:textId="61B07A50" w:rsidR="007B5DF9" w:rsidRPr="000F1E43" w:rsidRDefault="007B5DF9" w:rsidP="007B5DF9">
      <w:pPr>
        <w:spacing w:after="0" w:line="240" w:lineRule="auto"/>
        <w:contextualSpacing/>
        <w:jc w:val="center"/>
        <w:rPr>
          <w:rFonts w:ascii="Arial" w:eastAsia="Times New Roman" w:hAnsi="Arial" w:cs="Arial"/>
          <w:b/>
          <w:bCs/>
          <w:iCs/>
          <w:sz w:val="20"/>
          <w:szCs w:val="20"/>
        </w:rPr>
      </w:pPr>
      <w:r w:rsidRPr="000F1E43">
        <w:rPr>
          <w:rFonts w:ascii="Arial" w:eastAsia="Times New Roman" w:hAnsi="Arial" w:cs="Arial"/>
          <w:b/>
          <w:bCs/>
          <w:iCs/>
          <w:sz w:val="20"/>
          <w:szCs w:val="20"/>
        </w:rPr>
        <w:t>Table 1. Mycotoxin contamination incidence in rice and groundnuts</w:t>
      </w:r>
    </w:p>
    <w:p w14:paraId="1E345E63" w14:textId="77777777" w:rsidR="007B5DF9" w:rsidRPr="000F1E43" w:rsidRDefault="007B5DF9" w:rsidP="007B5DF9">
      <w:pPr>
        <w:spacing w:after="0" w:line="240" w:lineRule="auto"/>
        <w:contextualSpacing/>
        <w:jc w:val="both"/>
        <w:rPr>
          <w:rFonts w:ascii="Arial" w:eastAsia="Times New Roman" w:hAnsi="Arial" w:cs="Arial"/>
          <w:b/>
          <w:bCs/>
          <w:iCs/>
          <w:sz w:val="20"/>
          <w:szCs w:val="20"/>
        </w:rPr>
      </w:pP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1394"/>
        <w:gridCol w:w="711"/>
        <w:gridCol w:w="828"/>
        <w:gridCol w:w="1564"/>
        <w:gridCol w:w="1065"/>
        <w:gridCol w:w="1137"/>
        <w:gridCol w:w="1139"/>
      </w:tblGrid>
      <w:tr w:rsidR="009D40F3" w:rsidRPr="000F1E43" w14:paraId="427D68E3" w14:textId="77777777" w:rsidTr="00C52F72">
        <w:trPr>
          <w:trHeight w:val="20"/>
          <w:jc w:val="center"/>
        </w:trPr>
        <w:tc>
          <w:tcPr>
            <w:tcW w:w="1408" w:type="dxa"/>
            <w:tcBorders>
              <w:top w:val="single" w:sz="4" w:space="0" w:color="auto"/>
              <w:bottom w:val="single" w:sz="4" w:space="0" w:color="auto"/>
            </w:tcBorders>
            <w:noWrap/>
            <w:hideMark/>
          </w:tcPr>
          <w:p w14:paraId="5A15BD60" w14:textId="77777777"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Crops</w:t>
            </w:r>
          </w:p>
        </w:tc>
        <w:tc>
          <w:tcPr>
            <w:tcW w:w="1395" w:type="dxa"/>
            <w:tcBorders>
              <w:top w:val="single" w:sz="4" w:space="0" w:color="auto"/>
              <w:bottom w:val="single" w:sz="4" w:space="0" w:color="auto"/>
            </w:tcBorders>
            <w:noWrap/>
            <w:hideMark/>
          </w:tcPr>
          <w:p w14:paraId="0F0EFBAC" w14:textId="77777777"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Mycotoxins</w:t>
            </w:r>
          </w:p>
        </w:tc>
        <w:tc>
          <w:tcPr>
            <w:tcW w:w="711" w:type="dxa"/>
            <w:tcBorders>
              <w:top w:val="single" w:sz="4" w:space="0" w:color="auto"/>
              <w:bottom w:val="single" w:sz="4" w:space="0" w:color="auto"/>
            </w:tcBorders>
            <w:noWrap/>
            <w:hideMark/>
          </w:tcPr>
          <w:p w14:paraId="4CD9A942" w14:textId="77777777"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n</w:t>
            </w:r>
          </w:p>
        </w:tc>
        <w:tc>
          <w:tcPr>
            <w:tcW w:w="827" w:type="dxa"/>
            <w:tcBorders>
              <w:top w:val="single" w:sz="4" w:space="0" w:color="auto"/>
              <w:bottom w:val="single" w:sz="4" w:space="0" w:color="auto"/>
            </w:tcBorders>
            <w:noWrap/>
            <w:hideMark/>
          </w:tcPr>
          <w:p w14:paraId="553F3685" w14:textId="77777777"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Mean</w:t>
            </w:r>
          </w:p>
        </w:tc>
        <w:tc>
          <w:tcPr>
            <w:tcW w:w="1564" w:type="dxa"/>
            <w:tcBorders>
              <w:top w:val="single" w:sz="4" w:space="0" w:color="auto"/>
              <w:bottom w:val="single" w:sz="4" w:space="0" w:color="auto"/>
            </w:tcBorders>
            <w:noWrap/>
            <w:hideMark/>
          </w:tcPr>
          <w:p w14:paraId="751B7B95" w14:textId="23D29BD2"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Std.</w:t>
            </w:r>
            <w:r w:rsidR="00D95A83" w:rsidRPr="000F1E43">
              <w:rPr>
                <w:rFonts w:ascii="Arial" w:eastAsia="Times New Roman" w:hAnsi="Arial" w:cs="Arial"/>
                <w:b/>
                <w:bCs/>
                <w:iCs/>
                <w:sz w:val="20"/>
                <w:szCs w:val="20"/>
                <w:lang w:val="en-GB"/>
              </w:rPr>
              <w:t xml:space="preserve"> </w:t>
            </w:r>
            <w:r w:rsidRPr="000F1E43">
              <w:rPr>
                <w:rFonts w:ascii="Arial" w:eastAsia="Times New Roman" w:hAnsi="Arial" w:cs="Arial"/>
                <w:b/>
                <w:bCs/>
                <w:iCs/>
                <w:sz w:val="20"/>
                <w:szCs w:val="20"/>
                <w:lang w:val="en-GB"/>
              </w:rPr>
              <w:t>Deviation</w:t>
            </w:r>
          </w:p>
        </w:tc>
        <w:tc>
          <w:tcPr>
            <w:tcW w:w="1065" w:type="dxa"/>
            <w:tcBorders>
              <w:top w:val="single" w:sz="4" w:space="0" w:color="auto"/>
              <w:bottom w:val="single" w:sz="4" w:space="0" w:color="auto"/>
            </w:tcBorders>
            <w:noWrap/>
            <w:hideMark/>
          </w:tcPr>
          <w:p w14:paraId="3A60F937" w14:textId="77777777"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Variance</w:t>
            </w:r>
          </w:p>
        </w:tc>
        <w:tc>
          <w:tcPr>
            <w:tcW w:w="1137" w:type="dxa"/>
            <w:tcBorders>
              <w:top w:val="single" w:sz="4" w:space="0" w:color="auto"/>
              <w:bottom w:val="single" w:sz="4" w:space="0" w:color="auto"/>
            </w:tcBorders>
            <w:noWrap/>
            <w:hideMark/>
          </w:tcPr>
          <w:p w14:paraId="35459703" w14:textId="77777777"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Minimum value</w:t>
            </w:r>
          </w:p>
        </w:tc>
        <w:tc>
          <w:tcPr>
            <w:tcW w:w="1138" w:type="dxa"/>
            <w:tcBorders>
              <w:top w:val="single" w:sz="4" w:space="0" w:color="auto"/>
              <w:bottom w:val="single" w:sz="4" w:space="0" w:color="auto"/>
            </w:tcBorders>
            <w:noWrap/>
            <w:hideMark/>
          </w:tcPr>
          <w:p w14:paraId="49BF145F" w14:textId="77777777"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 xml:space="preserve">Maximum value </w:t>
            </w:r>
          </w:p>
        </w:tc>
      </w:tr>
      <w:tr w:rsidR="009D40F3" w:rsidRPr="000F1E43" w14:paraId="6EED96AA" w14:textId="77777777" w:rsidTr="00C52F72">
        <w:trPr>
          <w:trHeight w:val="20"/>
          <w:jc w:val="center"/>
        </w:trPr>
        <w:tc>
          <w:tcPr>
            <w:tcW w:w="1408" w:type="dxa"/>
            <w:tcBorders>
              <w:top w:val="single" w:sz="4" w:space="0" w:color="auto"/>
              <w:bottom w:val="single" w:sz="4" w:space="0" w:color="auto"/>
            </w:tcBorders>
            <w:noWrap/>
            <w:hideMark/>
          </w:tcPr>
          <w:p w14:paraId="602DA747" w14:textId="77777777"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Rice</w:t>
            </w:r>
          </w:p>
        </w:tc>
        <w:tc>
          <w:tcPr>
            <w:tcW w:w="1395" w:type="dxa"/>
            <w:tcBorders>
              <w:top w:val="single" w:sz="4" w:space="0" w:color="auto"/>
              <w:bottom w:val="single" w:sz="4" w:space="0" w:color="auto"/>
            </w:tcBorders>
            <w:noWrap/>
            <w:hideMark/>
          </w:tcPr>
          <w:p w14:paraId="52772E53" w14:textId="77777777" w:rsidR="007B5DF9" w:rsidRPr="000F1E43" w:rsidRDefault="007B5DF9" w:rsidP="007B5DF9">
            <w:pPr>
              <w:contextualSpacing/>
              <w:rPr>
                <w:rFonts w:ascii="Arial" w:eastAsia="Times New Roman" w:hAnsi="Arial" w:cs="Arial"/>
                <w:b/>
                <w:bCs/>
                <w:iCs/>
                <w:sz w:val="20"/>
                <w:szCs w:val="20"/>
                <w:lang w:val="en-GB"/>
              </w:rPr>
            </w:pPr>
          </w:p>
        </w:tc>
        <w:tc>
          <w:tcPr>
            <w:tcW w:w="711" w:type="dxa"/>
            <w:tcBorders>
              <w:top w:val="single" w:sz="4" w:space="0" w:color="auto"/>
              <w:bottom w:val="single" w:sz="4" w:space="0" w:color="auto"/>
            </w:tcBorders>
            <w:noWrap/>
            <w:hideMark/>
          </w:tcPr>
          <w:p w14:paraId="413916B2" w14:textId="77777777" w:rsidR="007B5DF9" w:rsidRPr="000F1E43" w:rsidRDefault="007B5DF9" w:rsidP="007B5DF9">
            <w:pPr>
              <w:contextualSpacing/>
              <w:rPr>
                <w:rFonts w:ascii="Arial" w:eastAsia="Times New Roman" w:hAnsi="Arial" w:cs="Arial"/>
                <w:bCs/>
                <w:iCs/>
                <w:sz w:val="20"/>
                <w:szCs w:val="20"/>
                <w:lang w:val="en-IN"/>
              </w:rPr>
            </w:pPr>
          </w:p>
        </w:tc>
        <w:tc>
          <w:tcPr>
            <w:tcW w:w="827" w:type="dxa"/>
            <w:tcBorders>
              <w:top w:val="single" w:sz="4" w:space="0" w:color="auto"/>
              <w:bottom w:val="single" w:sz="4" w:space="0" w:color="auto"/>
            </w:tcBorders>
            <w:noWrap/>
            <w:hideMark/>
          </w:tcPr>
          <w:p w14:paraId="46287DC2" w14:textId="77777777" w:rsidR="007B5DF9" w:rsidRPr="000F1E43" w:rsidRDefault="007B5DF9" w:rsidP="007B5DF9">
            <w:pPr>
              <w:contextualSpacing/>
              <w:rPr>
                <w:rFonts w:ascii="Arial" w:eastAsia="Times New Roman" w:hAnsi="Arial" w:cs="Arial"/>
                <w:bCs/>
                <w:iCs/>
                <w:sz w:val="20"/>
                <w:szCs w:val="20"/>
                <w:lang w:val="en-IN"/>
              </w:rPr>
            </w:pPr>
          </w:p>
        </w:tc>
        <w:tc>
          <w:tcPr>
            <w:tcW w:w="1564" w:type="dxa"/>
            <w:tcBorders>
              <w:top w:val="single" w:sz="4" w:space="0" w:color="auto"/>
              <w:bottom w:val="single" w:sz="4" w:space="0" w:color="auto"/>
            </w:tcBorders>
            <w:noWrap/>
            <w:hideMark/>
          </w:tcPr>
          <w:p w14:paraId="1A6D662D" w14:textId="77777777" w:rsidR="007B5DF9" w:rsidRPr="000F1E43" w:rsidRDefault="007B5DF9" w:rsidP="007B5DF9">
            <w:pPr>
              <w:contextualSpacing/>
              <w:rPr>
                <w:rFonts w:ascii="Arial" w:eastAsia="Times New Roman" w:hAnsi="Arial" w:cs="Arial"/>
                <w:bCs/>
                <w:iCs/>
                <w:sz w:val="20"/>
                <w:szCs w:val="20"/>
                <w:lang w:val="en-IN"/>
              </w:rPr>
            </w:pPr>
          </w:p>
        </w:tc>
        <w:tc>
          <w:tcPr>
            <w:tcW w:w="1065" w:type="dxa"/>
            <w:tcBorders>
              <w:top w:val="single" w:sz="4" w:space="0" w:color="auto"/>
              <w:bottom w:val="single" w:sz="4" w:space="0" w:color="auto"/>
            </w:tcBorders>
            <w:noWrap/>
            <w:hideMark/>
          </w:tcPr>
          <w:p w14:paraId="71F598FF" w14:textId="77777777" w:rsidR="007B5DF9" w:rsidRPr="000F1E43" w:rsidRDefault="007B5DF9" w:rsidP="007B5DF9">
            <w:pPr>
              <w:contextualSpacing/>
              <w:rPr>
                <w:rFonts w:ascii="Arial" w:eastAsia="Times New Roman" w:hAnsi="Arial" w:cs="Arial"/>
                <w:bCs/>
                <w:iCs/>
                <w:sz w:val="20"/>
                <w:szCs w:val="20"/>
                <w:lang w:val="en-IN"/>
              </w:rPr>
            </w:pPr>
          </w:p>
        </w:tc>
        <w:tc>
          <w:tcPr>
            <w:tcW w:w="1137" w:type="dxa"/>
            <w:tcBorders>
              <w:top w:val="single" w:sz="4" w:space="0" w:color="auto"/>
              <w:bottom w:val="single" w:sz="4" w:space="0" w:color="auto"/>
            </w:tcBorders>
            <w:noWrap/>
            <w:hideMark/>
          </w:tcPr>
          <w:p w14:paraId="75FB67DE" w14:textId="77777777" w:rsidR="007B5DF9" w:rsidRPr="000F1E43" w:rsidRDefault="007B5DF9" w:rsidP="007B5DF9">
            <w:pPr>
              <w:contextualSpacing/>
              <w:rPr>
                <w:rFonts w:ascii="Arial" w:eastAsia="Times New Roman" w:hAnsi="Arial" w:cs="Arial"/>
                <w:bCs/>
                <w:iCs/>
                <w:sz w:val="20"/>
                <w:szCs w:val="20"/>
                <w:lang w:val="en-IN"/>
              </w:rPr>
            </w:pPr>
          </w:p>
        </w:tc>
        <w:tc>
          <w:tcPr>
            <w:tcW w:w="1138" w:type="dxa"/>
            <w:tcBorders>
              <w:top w:val="single" w:sz="4" w:space="0" w:color="auto"/>
              <w:bottom w:val="single" w:sz="4" w:space="0" w:color="auto"/>
            </w:tcBorders>
            <w:noWrap/>
            <w:hideMark/>
          </w:tcPr>
          <w:p w14:paraId="48CCABF4" w14:textId="77777777" w:rsidR="007B5DF9" w:rsidRPr="000F1E43" w:rsidRDefault="007B5DF9" w:rsidP="007B5DF9">
            <w:pPr>
              <w:contextualSpacing/>
              <w:rPr>
                <w:rFonts w:ascii="Arial" w:eastAsia="Times New Roman" w:hAnsi="Arial" w:cs="Arial"/>
                <w:bCs/>
                <w:iCs/>
                <w:sz w:val="20"/>
                <w:szCs w:val="20"/>
                <w:lang w:val="en-IN"/>
              </w:rPr>
            </w:pPr>
          </w:p>
        </w:tc>
      </w:tr>
      <w:tr w:rsidR="009D40F3" w:rsidRPr="000F1E43" w14:paraId="0D2142A0" w14:textId="77777777" w:rsidTr="00C52F72">
        <w:trPr>
          <w:trHeight w:val="20"/>
          <w:jc w:val="center"/>
        </w:trPr>
        <w:tc>
          <w:tcPr>
            <w:tcW w:w="1408" w:type="dxa"/>
            <w:tcBorders>
              <w:top w:val="single" w:sz="4" w:space="0" w:color="auto"/>
            </w:tcBorders>
            <w:noWrap/>
            <w:hideMark/>
          </w:tcPr>
          <w:p w14:paraId="2BB9EE98" w14:textId="77777777" w:rsidR="007B5DF9" w:rsidRPr="000F1E43" w:rsidRDefault="007B5DF9" w:rsidP="007B5DF9">
            <w:pPr>
              <w:contextualSpacing/>
              <w:rPr>
                <w:rFonts w:ascii="Arial" w:eastAsia="Times New Roman" w:hAnsi="Arial" w:cs="Arial"/>
                <w:bCs/>
                <w:iCs/>
                <w:sz w:val="20"/>
                <w:szCs w:val="20"/>
                <w:lang w:val="en-IN"/>
              </w:rPr>
            </w:pPr>
          </w:p>
        </w:tc>
        <w:tc>
          <w:tcPr>
            <w:tcW w:w="1395" w:type="dxa"/>
            <w:tcBorders>
              <w:top w:val="single" w:sz="4" w:space="0" w:color="auto"/>
            </w:tcBorders>
            <w:noWrap/>
            <w:hideMark/>
          </w:tcPr>
          <w:p w14:paraId="17031A5C"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Aflatoxin</w:t>
            </w:r>
          </w:p>
        </w:tc>
        <w:tc>
          <w:tcPr>
            <w:tcW w:w="711" w:type="dxa"/>
            <w:tcBorders>
              <w:top w:val="single" w:sz="4" w:space="0" w:color="auto"/>
            </w:tcBorders>
            <w:noWrap/>
            <w:hideMark/>
          </w:tcPr>
          <w:p w14:paraId="6D16E66E"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69</w:t>
            </w:r>
          </w:p>
        </w:tc>
        <w:tc>
          <w:tcPr>
            <w:tcW w:w="827" w:type="dxa"/>
            <w:tcBorders>
              <w:top w:val="single" w:sz="4" w:space="0" w:color="auto"/>
            </w:tcBorders>
            <w:noWrap/>
            <w:hideMark/>
          </w:tcPr>
          <w:p w14:paraId="2292EDD8"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5.176</w:t>
            </w:r>
          </w:p>
        </w:tc>
        <w:tc>
          <w:tcPr>
            <w:tcW w:w="1564" w:type="dxa"/>
            <w:tcBorders>
              <w:top w:val="single" w:sz="4" w:space="0" w:color="auto"/>
            </w:tcBorders>
            <w:noWrap/>
            <w:hideMark/>
          </w:tcPr>
          <w:p w14:paraId="79BB2FE3"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8.110</w:t>
            </w:r>
          </w:p>
        </w:tc>
        <w:tc>
          <w:tcPr>
            <w:tcW w:w="1065" w:type="dxa"/>
            <w:tcBorders>
              <w:top w:val="single" w:sz="4" w:space="0" w:color="auto"/>
            </w:tcBorders>
            <w:noWrap/>
            <w:hideMark/>
          </w:tcPr>
          <w:p w14:paraId="1D290F0E"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65.766</w:t>
            </w:r>
          </w:p>
        </w:tc>
        <w:tc>
          <w:tcPr>
            <w:tcW w:w="1137" w:type="dxa"/>
            <w:tcBorders>
              <w:top w:val="single" w:sz="4" w:space="0" w:color="auto"/>
            </w:tcBorders>
            <w:noWrap/>
            <w:hideMark/>
          </w:tcPr>
          <w:p w14:paraId="4B333BAA"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0</w:t>
            </w:r>
          </w:p>
        </w:tc>
        <w:tc>
          <w:tcPr>
            <w:tcW w:w="1138" w:type="dxa"/>
            <w:tcBorders>
              <w:top w:val="single" w:sz="4" w:space="0" w:color="auto"/>
            </w:tcBorders>
            <w:noWrap/>
            <w:hideMark/>
          </w:tcPr>
          <w:p w14:paraId="0784CFB7"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29</w:t>
            </w:r>
          </w:p>
        </w:tc>
      </w:tr>
      <w:tr w:rsidR="009D40F3" w:rsidRPr="000F1E43" w14:paraId="1B069890" w14:textId="77777777" w:rsidTr="00C52F72">
        <w:trPr>
          <w:trHeight w:val="20"/>
          <w:jc w:val="center"/>
        </w:trPr>
        <w:tc>
          <w:tcPr>
            <w:tcW w:w="1408" w:type="dxa"/>
            <w:tcBorders>
              <w:bottom w:val="single" w:sz="4" w:space="0" w:color="auto"/>
            </w:tcBorders>
            <w:noWrap/>
            <w:hideMark/>
          </w:tcPr>
          <w:p w14:paraId="5005AEDE" w14:textId="77777777" w:rsidR="007B5DF9" w:rsidRPr="000F1E43" w:rsidRDefault="007B5DF9" w:rsidP="007B5DF9">
            <w:pPr>
              <w:contextualSpacing/>
              <w:rPr>
                <w:rFonts w:ascii="Arial" w:eastAsia="Times New Roman" w:hAnsi="Arial" w:cs="Arial"/>
                <w:bCs/>
                <w:iCs/>
                <w:sz w:val="20"/>
                <w:szCs w:val="20"/>
                <w:lang w:val="en-GB"/>
              </w:rPr>
            </w:pPr>
          </w:p>
        </w:tc>
        <w:tc>
          <w:tcPr>
            <w:tcW w:w="1395" w:type="dxa"/>
            <w:tcBorders>
              <w:bottom w:val="single" w:sz="4" w:space="0" w:color="auto"/>
            </w:tcBorders>
            <w:noWrap/>
            <w:hideMark/>
          </w:tcPr>
          <w:p w14:paraId="05126414" w14:textId="77777777" w:rsidR="007B5DF9" w:rsidRPr="000F1E43" w:rsidRDefault="007B5DF9" w:rsidP="007B5DF9">
            <w:pPr>
              <w:contextualSpacing/>
              <w:rPr>
                <w:rFonts w:ascii="Arial" w:eastAsia="Times New Roman" w:hAnsi="Arial" w:cs="Arial"/>
                <w:bCs/>
                <w:iCs/>
                <w:sz w:val="20"/>
                <w:szCs w:val="20"/>
                <w:lang w:val="en-GB"/>
              </w:rPr>
            </w:pPr>
            <w:proofErr w:type="spellStart"/>
            <w:r w:rsidRPr="000F1E43">
              <w:rPr>
                <w:rFonts w:ascii="Arial" w:eastAsia="Times New Roman" w:hAnsi="Arial" w:cs="Arial"/>
                <w:bCs/>
                <w:iCs/>
                <w:sz w:val="20"/>
                <w:szCs w:val="20"/>
                <w:lang w:val="en-GB"/>
              </w:rPr>
              <w:t>Fumonisin</w:t>
            </w:r>
            <w:proofErr w:type="spellEnd"/>
          </w:p>
        </w:tc>
        <w:tc>
          <w:tcPr>
            <w:tcW w:w="711" w:type="dxa"/>
            <w:tcBorders>
              <w:bottom w:val="single" w:sz="4" w:space="0" w:color="auto"/>
            </w:tcBorders>
            <w:noWrap/>
            <w:hideMark/>
          </w:tcPr>
          <w:p w14:paraId="2D95F62F"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69</w:t>
            </w:r>
          </w:p>
        </w:tc>
        <w:tc>
          <w:tcPr>
            <w:tcW w:w="827" w:type="dxa"/>
            <w:tcBorders>
              <w:bottom w:val="single" w:sz="4" w:space="0" w:color="auto"/>
            </w:tcBorders>
            <w:noWrap/>
            <w:hideMark/>
          </w:tcPr>
          <w:p w14:paraId="6D123546"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1.670</w:t>
            </w:r>
          </w:p>
        </w:tc>
        <w:tc>
          <w:tcPr>
            <w:tcW w:w="1564" w:type="dxa"/>
            <w:tcBorders>
              <w:bottom w:val="single" w:sz="4" w:space="0" w:color="auto"/>
            </w:tcBorders>
            <w:noWrap/>
            <w:hideMark/>
          </w:tcPr>
          <w:p w14:paraId="6E92B437"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3.644</w:t>
            </w:r>
          </w:p>
        </w:tc>
        <w:tc>
          <w:tcPr>
            <w:tcW w:w="1065" w:type="dxa"/>
            <w:tcBorders>
              <w:bottom w:val="single" w:sz="4" w:space="0" w:color="auto"/>
            </w:tcBorders>
            <w:noWrap/>
            <w:hideMark/>
          </w:tcPr>
          <w:p w14:paraId="0D189081"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13.281</w:t>
            </w:r>
          </w:p>
        </w:tc>
        <w:tc>
          <w:tcPr>
            <w:tcW w:w="1137" w:type="dxa"/>
            <w:tcBorders>
              <w:bottom w:val="single" w:sz="4" w:space="0" w:color="auto"/>
            </w:tcBorders>
            <w:noWrap/>
            <w:hideMark/>
          </w:tcPr>
          <w:p w14:paraId="026C5559"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0</w:t>
            </w:r>
          </w:p>
        </w:tc>
        <w:tc>
          <w:tcPr>
            <w:tcW w:w="1138" w:type="dxa"/>
            <w:tcBorders>
              <w:bottom w:val="single" w:sz="4" w:space="0" w:color="auto"/>
            </w:tcBorders>
            <w:noWrap/>
            <w:hideMark/>
          </w:tcPr>
          <w:p w14:paraId="1112D874"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12</w:t>
            </w:r>
          </w:p>
        </w:tc>
      </w:tr>
      <w:tr w:rsidR="009D40F3" w:rsidRPr="000F1E43" w14:paraId="1AA6C25A" w14:textId="77777777" w:rsidTr="00C52F72">
        <w:trPr>
          <w:trHeight w:val="20"/>
          <w:jc w:val="center"/>
        </w:trPr>
        <w:tc>
          <w:tcPr>
            <w:tcW w:w="1408" w:type="dxa"/>
            <w:tcBorders>
              <w:top w:val="single" w:sz="4" w:space="0" w:color="auto"/>
              <w:bottom w:val="single" w:sz="4" w:space="0" w:color="auto"/>
            </w:tcBorders>
            <w:noWrap/>
            <w:hideMark/>
          </w:tcPr>
          <w:p w14:paraId="0E6F537E" w14:textId="77777777" w:rsidR="007B5DF9" w:rsidRPr="000F1E43" w:rsidRDefault="007B5DF9" w:rsidP="007B5DF9">
            <w:pPr>
              <w:contextualSpacing/>
              <w:rPr>
                <w:rFonts w:ascii="Arial" w:eastAsia="Times New Roman" w:hAnsi="Arial" w:cs="Arial"/>
                <w:b/>
                <w:bCs/>
                <w:iCs/>
                <w:sz w:val="20"/>
                <w:szCs w:val="20"/>
                <w:lang w:val="en-GB"/>
              </w:rPr>
            </w:pPr>
            <w:r w:rsidRPr="000F1E43">
              <w:rPr>
                <w:rFonts w:ascii="Arial" w:eastAsia="Times New Roman" w:hAnsi="Arial" w:cs="Arial"/>
                <w:b/>
                <w:bCs/>
                <w:iCs/>
                <w:sz w:val="20"/>
                <w:szCs w:val="20"/>
                <w:lang w:val="en-GB"/>
              </w:rPr>
              <w:t>Groundnuts</w:t>
            </w:r>
          </w:p>
        </w:tc>
        <w:tc>
          <w:tcPr>
            <w:tcW w:w="1395" w:type="dxa"/>
            <w:tcBorders>
              <w:top w:val="single" w:sz="4" w:space="0" w:color="auto"/>
              <w:bottom w:val="single" w:sz="4" w:space="0" w:color="auto"/>
            </w:tcBorders>
            <w:noWrap/>
            <w:hideMark/>
          </w:tcPr>
          <w:p w14:paraId="5FE2C264" w14:textId="77777777" w:rsidR="007B5DF9" w:rsidRPr="000F1E43" w:rsidRDefault="007B5DF9" w:rsidP="007B5DF9">
            <w:pPr>
              <w:contextualSpacing/>
              <w:rPr>
                <w:rFonts w:ascii="Arial" w:eastAsia="Times New Roman" w:hAnsi="Arial" w:cs="Arial"/>
                <w:b/>
                <w:bCs/>
                <w:iCs/>
                <w:sz w:val="20"/>
                <w:szCs w:val="20"/>
                <w:lang w:val="en-GB"/>
              </w:rPr>
            </w:pPr>
          </w:p>
        </w:tc>
        <w:tc>
          <w:tcPr>
            <w:tcW w:w="711" w:type="dxa"/>
            <w:tcBorders>
              <w:top w:val="single" w:sz="4" w:space="0" w:color="auto"/>
              <w:bottom w:val="single" w:sz="4" w:space="0" w:color="auto"/>
            </w:tcBorders>
            <w:noWrap/>
            <w:hideMark/>
          </w:tcPr>
          <w:p w14:paraId="19486A52" w14:textId="77777777" w:rsidR="007B5DF9" w:rsidRPr="000F1E43" w:rsidRDefault="007B5DF9" w:rsidP="007B5DF9">
            <w:pPr>
              <w:contextualSpacing/>
              <w:rPr>
                <w:rFonts w:ascii="Arial" w:eastAsia="Times New Roman" w:hAnsi="Arial" w:cs="Arial"/>
                <w:bCs/>
                <w:iCs/>
                <w:sz w:val="20"/>
                <w:szCs w:val="20"/>
                <w:lang w:val="en-IN"/>
              </w:rPr>
            </w:pPr>
          </w:p>
        </w:tc>
        <w:tc>
          <w:tcPr>
            <w:tcW w:w="827" w:type="dxa"/>
            <w:tcBorders>
              <w:top w:val="single" w:sz="4" w:space="0" w:color="auto"/>
              <w:bottom w:val="single" w:sz="4" w:space="0" w:color="auto"/>
            </w:tcBorders>
            <w:noWrap/>
            <w:hideMark/>
          </w:tcPr>
          <w:p w14:paraId="0A238629" w14:textId="77777777" w:rsidR="007B5DF9" w:rsidRPr="000F1E43" w:rsidRDefault="007B5DF9" w:rsidP="007B5DF9">
            <w:pPr>
              <w:contextualSpacing/>
              <w:rPr>
                <w:rFonts w:ascii="Arial" w:eastAsia="Times New Roman" w:hAnsi="Arial" w:cs="Arial"/>
                <w:bCs/>
                <w:iCs/>
                <w:sz w:val="20"/>
                <w:szCs w:val="20"/>
                <w:lang w:val="en-IN"/>
              </w:rPr>
            </w:pPr>
          </w:p>
        </w:tc>
        <w:tc>
          <w:tcPr>
            <w:tcW w:w="1564" w:type="dxa"/>
            <w:tcBorders>
              <w:top w:val="single" w:sz="4" w:space="0" w:color="auto"/>
              <w:bottom w:val="single" w:sz="4" w:space="0" w:color="auto"/>
            </w:tcBorders>
            <w:noWrap/>
            <w:hideMark/>
          </w:tcPr>
          <w:p w14:paraId="0FDE997B" w14:textId="77777777" w:rsidR="007B5DF9" w:rsidRPr="000F1E43" w:rsidRDefault="007B5DF9" w:rsidP="007B5DF9">
            <w:pPr>
              <w:contextualSpacing/>
              <w:rPr>
                <w:rFonts w:ascii="Arial" w:eastAsia="Times New Roman" w:hAnsi="Arial" w:cs="Arial"/>
                <w:bCs/>
                <w:iCs/>
                <w:sz w:val="20"/>
                <w:szCs w:val="20"/>
                <w:lang w:val="en-IN"/>
              </w:rPr>
            </w:pPr>
          </w:p>
        </w:tc>
        <w:tc>
          <w:tcPr>
            <w:tcW w:w="1065" w:type="dxa"/>
            <w:tcBorders>
              <w:top w:val="single" w:sz="4" w:space="0" w:color="auto"/>
              <w:bottom w:val="single" w:sz="4" w:space="0" w:color="auto"/>
            </w:tcBorders>
            <w:noWrap/>
            <w:hideMark/>
          </w:tcPr>
          <w:p w14:paraId="69B2BB34" w14:textId="77777777" w:rsidR="007B5DF9" w:rsidRPr="000F1E43" w:rsidRDefault="007B5DF9" w:rsidP="007B5DF9">
            <w:pPr>
              <w:contextualSpacing/>
              <w:rPr>
                <w:rFonts w:ascii="Arial" w:eastAsia="Times New Roman" w:hAnsi="Arial" w:cs="Arial"/>
                <w:bCs/>
                <w:iCs/>
                <w:sz w:val="20"/>
                <w:szCs w:val="20"/>
                <w:lang w:val="en-IN"/>
              </w:rPr>
            </w:pPr>
          </w:p>
        </w:tc>
        <w:tc>
          <w:tcPr>
            <w:tcW w:w="1137" w:type="dxa"/>
            <w:tcBorders>
              <w:top w:val="single" w:sz="4" w:space="0" w:color="auto"/>
              <w:bottom w:val="single" w:sz="4" w:space="0" w:color="auto"/>
            </w:tcBorders>
            <w:noWrap/>
            <w:hideMark/>
          </w:tcPr>
          <w:p w14:paraId="08C4AA96" w14:textId="77777777" w:rsidR="007B5DF9" w:rsidRPr="000F1E43" w:rsidRDefault="007B5DF9" w:rsidP="007B5DF9">
            <w:pPr>
              <w:contextualSpacing/>
              <w:rPr>
                <w:rFonts w:ascii="Arial" w:eastAsia="Times New Roman" w:hAnsi="Arial" w:cs="Arial"/>
                <w:bCs/>
                <w:iCs/>
                <w:sz w:val="20"/>
                <w:szCs w:val="20"/>
                <w:lang w:val="en-IN"/>
              </w:rPr>
            </w:pPr>
          </w:p>
        </w:tc>
        <w:tc>
          <w:tcPr>
            <w:tcW w:w="1138" w:type="dxa"/>
            <w:tcBorders>
              <w:top w:val="single" w:sz="4" w:space="0" w:color="auto"/>
              <w:bottom w:val="single" w:sz="4" w:space="0" w:color="auto"/>
            </w:tcBorders>
            <w:noWrap/>
            <w:hideMark/>
          </w:tcPr>
          <w:p w14:paraId="7BD0F728" w14:textId="77777777" w:rsidR="007B5DF9" w:rsidRPr="000F1E43" w:rsidRDefault="007B5DF9" w:rsidP="007B5DF9">
            <w:pPr>
              <w:contextualSpacing/>
              <w:rPr>
                <w:rFonts w:ascii="Arial" w:eastAsia="Times New Roman" w:hAnsi="Arial" w:cs="Arial"/>
                <w:bCs/>
                <w:iCs/>
                <w:sz w:val="20"/>
                <w:szCs w:val="20"/>
                <w:lang w:val="en-IN"/>
              </w:rPr>
            </w:pPr>
          </w:p>
        </w:tc>
      </w:tr>
      <w:tr w:rsidR="009D40F3" w:rsidRPr="000F1E43" w14:paraId="20594BBE" w14:textId="77777777" w:rsidTr="00C52F72">
        <w:trPr>
          <w:trHeight w:val="20"/>
          <w:jc w:val="center"/>
        </w:trPr>
        <w:tc>
          <w:tcPr>
            <w:tcW w:w="1408" w:type="dxa"/>
            <w:tcBorders>
              <w:top w:val="single" w:sz="4" w:space="0" w:color="auto"/>
            </w:tcBorders>
            <w:noWrap/>
            <w:hideMark/>
          </w:tcPr>
          <w:p w14:paraId="0A7AC440" w14:textId="77777777" w:rsidR="007B5DF9" w:rsidRPr="000F1E43" w:rsidRDefault="007B5DF9" w:rsidP="007B5DF9">
            <w:pPr>
              <w:contextualSpacing/>
              <w:rPr>
                <w:rFonts w:ascii="Arial" w:eastAsia="Times New Roman" w:hAnsi="Arial" w:cs="Arial"/>
                <w:bCs/>
                <w:iCs/>
                <w:sz w:val="20"/>
                <w:szCs w:val="20"/>
                <w:lang w:val="en-IN"/>
              </w:rPr>
            </w:pPr>
          </w:p>
        </w:tc>
        <w:tc>
          <w:tcPr>
            <w:tcW w:w="1395" w:type="dxa"/>
            <w:tcBorders>
              <w:top w:val="single" w:sz="4" w:space="0" w:color="auto"/>
            </w:tcBorders>
            <w:noWrap/>
            <w:hideMark/>
          </w:tcPr>
          <w:p w14:paraId="22C77EA7"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Aflatoxin</w:t>
            </w:r>
          </w:p>
        </w:tc>
        <w:tc>
          <w:tcPr>
            <w:tcW w:w="711" w:type="dxa"/>
            <w:tcBorders>
              <w:top w:val="single" w:sz="4" w:space="0" w:color="auto"/>
            </w:tcBorders>
            <w:noWrap/>
            <w:hideMark/>
          </w:tcPr>
          <w:p w14:paraId="5A52975F"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69</w:t>
            </w:r>
          </w:p>
        </w:tc>
        <w:tc>
          <w:tcPr>
            <w:tcW w:w="827" w:type="dxa"/>
            <w:tcBorders>
              <w:top w:val="single" w:sz="4" w:space="0" w:color="auto"/>
            </w:tcBorders>
            <w:noWrap/>
            <w:hideMark/>
          </w:tcPr>
          <w:p w14:paraId="2D85F506"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15.995</w:t>
            </w:r>
          </w:p>
        </w:tc>
        <w:tc>
          <w:tcPr>
            <w:tcW w:w="1564" w:type="dxa"/>
            <w:tcBorders>
              <w:top w:val="single" w:sz="4" w:space="0" w:color="auto"/>
            </w:tcBorders>
            <w:noWrap/>
            <w:hideMark/>
          </w:tcPr>
          <w:p w14:paraId="0715B509"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15.590</w:t>
            </w:r>
          </w:p>
        </w:tc>
        <w:tc>
          <w:tcPr>
            <w:tcW w:w="1065" w:type="dxa"/>
            <w:tcBorders>
              <w:top w:val="single" w:sz="4" w:space="0" w:color="auto"/>
            </w:tcBorders>
            <w:noWrap/>
            <w:hideMark/>
          </w:tcPr>
          <w:p w14:paraId="66CEC32E"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243.042</w:t>
            </w:r>
          </w:p>
        </w:tc>
        <w:tc>
          <w:tcPr>
            <w:tcW w:w="1137" w:type="dxa"/>
            <w:tcBorders>
              <w:top w:val="single" w:sz="4" w:space="0" w:color="auto"/>
            </w:tcBorders>
            <w:noWrap/>
            <w:hideMark/>
          </w:tcPr>
          <w:p w14:paraId="25229C4C"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0</w:t>
            </w:r>
          </w:p>
        </w:tc>
        <w:tc>
          <w:tcPr>
            <w:tcW w:w="1138" w:type="dxa"/>
            <w:tcBorders>
              <w:top w:val="single" w:sz="4" w:space="0" w:color="auto"/>
            </w:tcBorders>
            <w:noWrap/>
            <w:hideMark/>
          </w:tcPr>
          <w:p w14:paraId="3BD2C841"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50</w:t>
            </w:r>
          </w:p>
        </w:tc>
      </w:tr>
      <w:tr w:rsidR="009D40F3" w:rsidRPr="000F1E43" w14:paraId="152A2E5D" w14:textId="77777777" w:rsidTr="00C52F72">
        <w:trPr>
          <w:trHeight w:val="20"/>
          <w:jc w:val="center"/>
        </w:trPr>
        <w:tc>
          <w:tcPr>
            <w:tcW w:w="1408" w:type="dxa"/>
            <w:noWrap/>
            <w:hideMark/>
          </w:tcPr>
          <w:p w14:paraId="1CBB819B" w14:textId="77777777" w:rsidR="007B5DF9" w:rsidRPr="000F1E43" w:rsidRDefault="007B5DF9" w:rsidP="007B5DF9">
            <w:pPr>
              <w:contextualSpacing/>
              <w:rPr>
                <w:rFonts w:ascii="Arial" w:eastAsia="Times New Roman" w:hAnsi="Arial" w:cs="Arial"/>
                <w:bCs/>
                <w:iCs/>
                <w:sz w:val="20"/>
                <w:szCs w:val="20"/>
                <w:lang w:val="en-GB"/>
              </w:rPr>
            </w:pPr>
          </w:p>
        </w:tc>
        <w:tc>
          <w:tcPr>
            <w:tcW w:w="1395" w:type="dxa"/>
            <w:noWrap/>
            <w:hideMark/>
          </w:tcPr>
          <w:p w14:paraId="6067D905" w14:textId="77777777" w:rsidR="007B5DF9" w:rsidRPr="000F1E43" w:rsidRDefault="007B5DF9" w:rsidP="007B5DF9">
            <w:pPr>
              <w:contextualSpacing/>
              <w:rPr>
                <w:rFonts w:ascii="Arial" w:eastAsia="Times New Roman" w:hAnsi="Arial" w:cs="Arial"/>
                <w:bCs/>
                <w:iCs/>
                <w:sz w:val="20"/>
                <w:szCs w:val="20"/>
                <w:lang w:val="en-GB"/>
              </w:rPr>
            </w:pPr>
            <w:proofErr w:type="spellStart"/>
            <w:r w:rsidRPr="000F1E43">
              <w:rPr>
                <w:rFonts w:ascii="Arial" w:eastAsia="Times New Roman" w:hAnsi="Arial" w:cs="Arial"/>
                <w:bCs/>
                <w:iCs/>
                <w:sz w:val="20"/>
                <w:szCs w:val="20"/>
                <w:lang w:val="en-GB"/>
              </w:rPr>
              <w:t>Fumonisin</w:t>
            </w:r>
            <w:proofErr w:type="spellEnd"/>
          </w:p>
        </w:tc>
        <w:tc>
          <w:tcPr>
            <w:tcW w:w="711" w:type="dxa"/>
            <w:noWrap/>
            <w:hideMark/>
          </w:tcPr>
          <w:p w14:paraId="0AFD7A1F"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69</w:t>
            </w:r>
          </w:p>
        </w:tc>
        <w:tc>
          <w:tcPr>
            <w:tcW w:w="827" w:type="dxa"/>
            <w:noWrap/>
            <w:hideMark/>
          </w:tcPr>
          <w:p w14:paraId="3942C0EB"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0.044</w:t>
            </w:r>
          </w:p>
        </w:tc>
        <w:tc>
          <w:tcPr>
            <w:tcW w:w="1564" w:type="dxa"/>
            <w:noWrap/>
            <w:hideMark/>
          </w:tcPr>
          <w:p w14:paraId="50EFC00D"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0.070</w:t>
            </w:r>
          </w:p>
        </w:tc>
        <w:tc>
          <w:tcPr>
            <w:tcW w:w="1065" w:type="dxa"/>
            <w:noWrap/>
            <w:hideMark/>
          </w:tcPr>
          <w:p w14:paraId="18A793E8"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0.005</w:t>
            </w:r>
          </w:p>
        </w:tc>
        <w:tc>
          <w:tcPr>
            <w:tcW w:w="1137" w:type="dxa"/>
            <w:noWrap/>
            <w:hideMark/>
          </w:tcPr>
          <w:p w14:paraId="6FE1F54F"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0</w:t>
            </w:r>
          </w:p>
        </w:tc>
        <w:tc>
          <w:tcPr>
            <w:tcW w:w="1138" w:type="dxa"/>
            <w:noWrap/>
            <w:hideMark/>
          </w:tcPr>
          <w:p w14:paraId="4A8CC339" w14:textId="77777777" w:rsidR="007B5DF9" w:rsidRPr="000F1E43" w:rsidRDefault="007B5DF9" w:rsidP="007B5DF9">
            <w:pPr>
              <w:contextualSpacing/>
              <w:rPr>
                <w:rFonts w:ascii="Arial" w:eastAsia="Times New Roman" w:hAnsi="Arial" w:cs="Arial"/>
                <w:bCs/>
                <w:iCs/>
                <w:sz w:val="20"/>
                <w:szCs w:val="20"/>
                <w:lang w:val="en-GB"/>
              </w:rPr>
            </w:pPr>
            <w:r w:rsidRPr="000F1E43">
              <w:rPr>
                <w:rFonts w:ascii="Arial" w:eastAsia="Times New Roman" w:hAnsi="Arial" w:cs="Arial"/>
                <w:bCs/>
                <w:iCs/>
                <w:sz w:val="20"/>
                <w:szCs w:val="20"/>
                <w:lang w:val="en-GB"/>
              </w:rPr>
              <w:t>0.3</w:t>
            </w:r>
          </w:p>
        </w:tc>
      </w:tr>
    </w:tbl>
    <w:p w14:paraId="37D8EC82" w14:textId="557FB58B" w:rsidR="007B5DF9" w:rsidRPr="000F1E43" w:rsidRDefault="007B5DF9" w:rsidP="007B5DF9">
      <w:pPr>
        <w:spacing w:after="0" w:line="240" w:lineRule="auto"/>
        <w:contextualSpacing/>
        <w:jc w:val="both"/>
        <w:rPr>
          <w:rFonts w:ascii="Arial" w:eastAsia="Times New Roman" w:hAnsi="Arial" w:cs="Arial"/>
          <w:b/>
          <w:bCs/>
          <w:iCs/>
          <w:sz w:val="20"/>
          <w:szCs w:val="20"/>
          <w:u w:val="single"/>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44"/>
        <w:gridCol w:w="102"/>
      </w:tblGrid>
      <w:tr w:rsidR="00B200B6" w:rsidRPr="000F1E43" w14:paraId="42323BDB" w14:textId="77777777" w:rsidTr="00C02B5E">
        <w:trPr>
          <w:trHeight w:val="20"/>
          <w:jc w:val="center"/>
        </w:trPr>
        <w:tc>
          <w:tcPr>
            <w:tcW w:w="4370" w:type="dxa"/>
          </w:tcPr>
          <w:p w14:paraId="7F2435D6" w14:textId="74076E6A" w:rsidR="007B5DF9" w:rsidRPr="000F1E43" w:rsidRDefault="007B5DF9" w:rsidP="00B200B6">
            <w:pPr>
              <w:contextualSpacing/>
              <w:jc w:val="center"/>
              <w:rPr>
                <w:rFonts w:ascii="Arial" w:eastAsia="Times New Roman" w:hAnsi="Arial" w:cs="Arial"/>
                <w:b/>
                <w:bCs/>
                <w:iCs/>
                <w:sz w:val="20"/>
                <w:szCs w:val="20"/>
                <w:u w:val="single"/>
              </w:rPr>
            </w:pPr>
            <w:r w:rsidRPr="000F1E43">
              <w:rPr>
                <w:noProof/>
              </w:rPr>
              <w:drawing>
                <wp:inline distT="0" distB="0" distL="0" distR="0" wp14:anchorId="5C23DAA8" wp14:editId="766EF4EC">
                  <wp:extent cx="2736382" cy="3060700"/>
                  <wp:effectExtent l="0" t="0" r="0" b="0"/>
                  <wp:docPr id="722115804" name="Picture 722115804" descr="A diagram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722115804" name="Picture 722115804" descr="A diagram of a graph&#10;&#10;Description automatically generated"/>
                          <pic:cNvPicPr/>
                        </pic:nvPicPr>
                        <pic:blipFill>
                          <a:blip r:embed="rId14"/>
                          <a:stretch>
                            <a:fillRect/>
                          </a:stretch>
                        </pic:blipFill>
                        <pic:spPr>
                          <a:xfrm>
                            <a:off x="0" y="0"/>
                            <a:ext cx="2743274" cy="3068409"/>
                          </a:xfrm>
                          <a:prstGeom prst="rect">
                            <a:avLst/>
                          </a:prstGeom>
                        </pic:spPr>
                      </pic:pic>
                    </a:graphicData>
                  </a:graphic>
                </wp:inline>
              </w:drawing>
            </w:r>
          </w:p>
        </w:tc>
        <w:tc>
          <w:tcPr>
            <w:tcW w:w="4587" w:type="dxa"/>
            <w:gridSpan w:val="2"/>
          </w:tcPr>
          <w:p w14:paraId="2B32429D" w14:textId="337B0C72" w:rsidR="007B5DF9" w:rsidRPr="000F1E43" w:rsidRDefault="007B5DF9" w:rsidP="00B200B6">
            <w:pPr>
              <w:contextualSpacing/>
              <w:jc w:val="center"/>
              <w:rPr>
                <w:rFonts w:ascii="Arial" w:eastAsia="Times New Roman" w:hAnsi="Arial" w:cs="Arial"/>
                <w:b/>
                <w:bCs/>
                <w:iCs/>
                <w:sz w:val="20"/>
                <w:szCs w:val="20"/>
                <w:u w:val="single"/>
              </w:rPr>
            </w:pPr>
            <w:r w:rsidRPr="000F1E43">
              <w:rPr>
                <w:noProof/>
              </w:rPr>
              <w:drawing>
                <wp:inline distT="0" distB="0" distL="0" distR="0" wp14:anchorId="12992FE8" wp14:editId="5149A4CE">
                  <wp:extent cx="2749550" cy="3009900"/>
                  <wp:effectExtent l="0" t="0" r="0" b="0"/>
                  <wp:docPr id="1683442663" name="Picture 1683442663" descr="A graph of a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83442663" name="Picture 1683442663" descr="A graph of a square&#10;&#10;Description automatically generated with medium confidence"/>
                          <pic:cNvPicPr/>
                        </pic:nvPicPr>
                        <pic:blipFill>
                          <a:blip r:embed="rId15"/>
                          <a:stretch>
                            <a:fillRect/>
                          </a:stretch>
                        </pic:blipFill>
                        <pic:spPr>
                          <a:xfrm>
                            <a:off x="0" y="0"/>
                            <a:ext cx="2753165" cy="3013857"/>
                          </a:xfrm>
                          <a:prstGeom prst="rect">
                            <a:avLst/>
                          </a:prstGeom>
                        </pic:spPr>
                      </pic:pic>
                    </a:graphicData>
                  </a:graphic>
                </wp:inline>
              </w:drawing>
            </w:r>
          </w:p>
        </w:tc>
      </w:tr>
      <w:tr w:rsidR="007B5DF9" w:rsidRPr="000F1E43" w14:paraId="095E4E09" w14:textId="77777777" w:rsidTr="00C02B5E">
        <w:trPr>
          <w:trHeight w:val="20"/>
          <w:jc w:val="center"/>
        </w:trPr>
        <w:tc>
          <w:tcPr>
            <w:tcW w:w="8957" w:type="dxa"/>
            <w:gridSpan w:val="3"/>
          </w:tcPr>
          <w:p w14:paraId="5CEFD32B" w14:textId="77777777" w:rsidR="007B5DF9" w:rsidRPr="000F1E43" w:rsidRDefault="007B5DF9" w:rsidP="006A5ECB">
            <w:pPr>
              <w:contextualSpacing/>
              <w:jc w:val="center"/>
              <w:rPr>
                <w:rFonts w:ascii="Arial" w:eastAsia="Times New Roman" w:hAnsi="Arial" w:cs="Arial"/>
                <w:b/>
                <w:bCs/>
                <w:iCs/>
                <w:sz w:val="20"/>
                <w:szCs w:val="20"/>
              </w:rPr>
            </w:pPr>
          </w:p>
          <w:p w14:paraId="53B60803" w14:textId="0764446D" w:rsidR="007B5DF9" w:rsidRPr="000F1E43" w:rsidRDefault="007B5DF9" w:rsidP="006A5ECB">
            <w:pPr>
              <w:contextualSpacing/>
              <w:jc w:val="center"/>
              <w:rPr>
                <w:rFonts w:ascii="Arial" w:eastAsia="Times New Roman" w:hAnsi="Arial" w:cs="Arial"/>
                <w:b/>
                <w:bCs/>
                <w:iCs/>
                <w:sz w:val="20"/>
                <w:szCs w:val="20"/>
              </w:rPr>
            </w:pPr>
            <w:r w:rsidRPr="000F1E43">
              <w:rPr>
                <w:rFonts w:ascii="Arial" w:eastAsia="Times New Roman" w:hAnsi="Arial" w:cs="Arial"/>
                <w:b/>
                <w:bCs/>
                <w:iCs/>
                <w:sz w:val="20"/>
                <w:szCs w:val="20"/>
              </w:rPr>
              <w:lastRenderedPageBreak/>
              <w:t>Fig. 3. Boxplot of aflatoxin distribution in (left) rice and (right) groundnuts</w:t>
            </w:r>
          </w:p>
        </w:tc>
      </w:tr>
      <w:tr w:rsidR="00B200B6" w:rsidRPr="000F1E43" w14:paraId="7794CDCC" w14:textId="77777777" w:rsidTr="00C02B5E">
        <w:trPr>
          <w:gridAfter w:val="1"/>
          <w:wAfter w:w="191" w:type="dxa"/>
          <w:trHeight w:val="20"/>
          <w:jc w:val="center"/>
        </w:trPr>
        <w:tc>
          <w:tcPr>
            <w:tcW w:w="4322" w:type="dxa"/>
          </w:tcPr>
          <w:p w14:paraId="603A0D17" w14:textId="65FE9FE9" w:rsidR="007B5DF9" w:rsidRPr="000F1E43" w:rsidRDefault="007B5DF9" w:rsidP="00B200B6">
            <w:pPr>
              <w:contextualSpacing/>
              <w:jc w:val="center"/>
              <w:rPr>
                <w:rFonts w:ascii="Arial" w:eastAsia="Times New Roman" w:hAnsi="Arial" w:cs="Arial"/>
                <w:b/>
                <w:bCs/>
                <w:iCs/>
                <w:sz w:val="20"/>
                <w:szCs w:val="20"/>
                <w:u w:val="single"/>
              </w:rPr>
            </w:pPr>
            <w:r w:rsidRPr="000F1E43">
              <w:rPr>
                <w:noProof/>
              </w:rPr>
              <w:lastRenderedPageBreak/>
              <w:drawing>
                <wp:inline distT="0" distB="0" distL="0" distR="0" wp14:anchorId="7449A0A8" wp14:editId="4327B0B5">
                  <wp:extent cx="2743200" cy="2971800"/>
                  <wp:effectExtent l="0" t="0" r="0" b="0"/>
                  <wp:docPr id="36938535" name="Picture 36938535" descr="A graph of different colored rectangles&#10;&#10;Description automatically generated"/>
                  <wp:cNvGraphicFramePr/>
                  <a:graphic xmlns:a="http://schemas.openxmlformats.org/drawingml/2006/main">
                    <a:graphicData uri="http://schemas.openxmlformats.org/drawingml/2006/picture">
                      <pic:pic xmlns:pic="http://schemas.openxmlformats.org/drawingml/2006/picture">
                        <pic:nvPicPr>
                          <pic:cNvPr id="36938535" name="Picture 36938535" descr="A graph of different colored rectangles&#10;&#10;Description automatically generated"/>
                          <pic:cNvPicPr/>
                        </pic:nvPicPr>
                        <pic:blipFill rotWithShape="1">
                          <a:blip r:embed="rId16"/>
                          <a:srcRect l="665"/>
                          <a:stretch/>
                        </pic:blipFill>
                        <pic:spPr bwMode="auto">
                          <a:xfrm>
                            <a:off x="0" y="0"/>
                            <a:ext cx="2832040" cy="3068043"/>
                          </a:xfrm>
                          <a:prstGeom prst="rect">
                            <a:avLst/>
                          </a:prstGeom>
                          <a:ln>
                            <a:noFill/>
                          </a:ln>
                          <a:extLst>
                            <a:ext uri="{53640926-AAD7-44D8-BBD7-CCE9431645EC}">
                              <a14:shadowObscured xmlns:a14="http://schemas.microsoft.com/office/drawing/2010/main"/>
                            </a:ext>
                          </a:extLst>
                        </pic:spPr>
                      </pic:pic>
                    </a:graphicData>
                  </a:graphic>
                </wp:inline>
              </w:drawing>
            </w:r>
          </w:p>
        </w:tc>
        <w:tc>
          <w:tcPr>
            <w:tcW w:w="4444" w:type="dxa"/>
          </w:tcPr>
          <w:p w14:paraId="2E150606" w14:textId="1953F123" w:rsidR="007B5DF9" w:rsidRPr="000F1E43" w:rsidRDefault="007B5DF9" w:rsidP="00B200B6">
            <w:pPr>
              <w:contextualSpacing/>
              <w:jc w:val="center"/>
              <w:rPr>
                <w:rFonts w:ascii="Arial" w:eastAsia="Times New Roman" w:hAnsi="Arial" w:cs="Arial"/>
                <w:b/>
                <w:bCs/>
                <w:iCs/>
                <w:sz w:val="20"/>
                <w:szCs w:val="20"/>
                <w:u w:val="single"/>
              </w:rPr>
            </w:pPr>
            <w:r w:rsidRPr="000F1E43">
              <w:rPr>
                <w:noProof/>
              </w:rPr>
              <w:drawing>
                <wp:inline distT="0" distB="0" distL="0" distR="0" wp14:anchorId="445681BD" wp14:editId="6888E22F">
                  <wp:extent cx="2590800" cy="2971800"/>
                  <wp:effectExtent l="0" t="0" r="0" b="0"/>
                  <wp:docPr id="1260984258" name="Picture 1260984258" descr="A graph of different colored squares&#10;&#10;Description automatically generated"/>
                  <wp:cNvGraphicFramePr/>
                  <a:graphic xmlns:a="http://schemas.openxmlformats.org/drawingml/2006/main">
                    <a:graphicData uri="http://schemas.openxmlformats.org/drawingml/2006/picture">
                      <pic:pic xmlns:pic="http://schemas.openxmlformats.org/drawingml/2006/picture">
                        <pic:nvPicPr>
                          <pic:cNvPr id="1260984258" name="Picture 1260984258" descr="A graph of different colored squares&#10;&#10;Description automatically generated"/>
                          <pic:cNvPicPr/>
                        </pic:nvPicPr>
                        <pic:blipFill rotWithShape="1">
                          <a:blip r:embed="rId17"/>
                          <a:srcRect r="1351"/>
                          <a:stretch/>
                        </pic:blipFill>
                        <pic:spPr bwMode="auto">
                          <a:xfrm>
                            <a:off x="0" y="0"/>
                            <a:ext cx="2690020" cy="3085611"/>
                          </a:xfrm>
                          <a:prstGeom prst="rect">
                            <a:avLst/>
                          </a:prstGeom>
                          <a:ln>
                            <a:noFill/>
                          </a:ln>
                          <a:extLst>
                            <a:ext uri="{53640926-AAD7-44D8-BBD7-CCE9431645EC}">
                              <a14:shadowObscured xmlns:a14="http://schemas.microsoft.com/office/drawing/2010/main"/>
                            </a:ext>
                          </a:extLst>
                        </pic:spPr>
                      </pic:pic>
                    </a:graphicData>
                  </a:graphic>
                </wp:inline>
              </w:drawing>
            </w:r>
          </w:p>
        </w:tc>
      </w:tr>
      <w:tr w:rsidR="007B5DF9" w:rsidRPr="000F1E43" w14:paraId="65FA1282" w14:textId="77777777" w:rsidTr="00C02B5E">
        <w:trPr>
          <w:gridAfter w:val="1"/>
          <w:wAfter w:w="191" w:type="dxa"/>
          <w:trHeight w:val="20"/>
          <w:jc w:val="center"/>
        </w:trPr>
        <w:tc>
          <w:tcPr>
            <w:tcW w:w="8766" w:type="dxa"/>
            <w:gridSpan w:val="2"/>
          </w:tcPr>
          <w:p w14:paraId="3BAA0E9D" w14:textId="77777777" w:rsidR="00B200B6" w:rsidRPr="000F1E43" w:rsidRDefault="00B200B6" w:rsidP="006A5ECB">
            <w:pPr>
              <w:contextualSpacing/>
              <w:jc w:val="center"/>
              <w:rPr>
                <w:rFonts w:ascii="Arial" w:eastAsia="Times New Roman" w:hAnsi="Arial" w:cs="Arial"/>
                <w:b/>
                <w:bCs/>
                <w:iCs/>
                <w:sz w:val="20"/>
                <w:szCs w:val="20"/>
              </w:rPr>
            </w:pPr>
          </w:p>
          <w:p w14:paraId="7634695F" w14:textId="53ECBA0B" w:rsidR="007B5DF9" w:rsidRPr="000F1E43" w:rsidRDefault="007B5DF9" w:rsidP="006A5ECB">
            <w:pPr>
              <w:contextualSpacing/>
              <w:jc w:val="center"/>
              <w:rPr>
                <w:rFonts w:ascii="Arial" w:eastAsia="Times New Roman" w:hAnsi="Arial" w:cs="Arial"/>
                <w:b/>
                <w:bCs/>
                <w:iCs/>
                <w:sz w:val="20"/>
                <w:szCs w:val="20"/>
              </w:rPr>
            </w:pPr>
            <w:r w:rsidRPr="000F1E43">
              <w:rPr>
                <w:rFonts w:ascii="Arial" w:eastAsia="Times New Roman" w:hAnsi="Arial" w:cs="Arial"/>
                <w:b/>
                <w:bCs/>
                <w:iCs/>
                <w:sz w:val="20"/>
                <w:szCs w:val="20"/>
              </w:rPr>
              <w:t xml:space="preserve">Fig.4. Boxplot of (a) aflatoxin and (b) </w:t>
            </w:r>
            <w:proofErr w:type="spellStart"/>
            <w:r w:rsidRPr="000F1E43">
              <w:rPr>
                <w:rFonts w:ascii="Arial" w:eastAsia="Times New Roman" w:hAnsi="Arial" w:cs="Arial"/>
                <w:b/>
                <w:bCs/>
                <w:iCs/>
                <w:sz w:val="20"/>
                <w:szCs w:val="20"/>
              </w:rPr>
              <w:t>fumonisin</w:t>
            </w:r>
            <w:proofErr w:type="spellEnd"/>
            <w:r w:rsidRPr="000F1E43">
              <w:rPr>
                <w:rFonts w:ascii="Arial" w:eastAsia="Times New Roman" w:hAnsi="Arial" w:cs="Arial"/>
                <w:b/>
                <w:bCs/>
                <w:iCs/>
                <w:sz w:val="20"/>
                <w:szCs w:val="20"/>
              </w:rPr>
              <w:t xml:space="preserve"> groundnuts based on product type per location</w:t>
            </w:r>
          </w:p>
          <w:p w14:paraId="2870BA58" w14:textId="656C32F6" w:rsidR="007B5DF9" w:rsidRPr="000F1E43" w:rsidRDefault="007B5DF9" w:rsidP="006A5ECB">
            <w:pPr>
              <w:contextualSpacing/>
              <w:jc w:val="center"/>
              <w:rPr>
                <w:rFonts w:ascii="Arial" w:eastAsia="Times New Roman" w:hAnsi="Arial" w:cs="Arial"/>
                <w:bCs/>
                <w:i/>
                <w:iCs/>
                <w:sz w:val="18"/>
                <w:szCs w:val="20"/>
              </w:rPr>
            </w:pPr>
            <w:r w:rsidRPr="000F1E43">
              <w:rPr>
                <w:rFonts w:ascii="Arial" w:eastAsia="Times New Roman" w:hAnsi="Arial" w:cs="Arial"/>
                <w:bCs/>
                <w:i/>
                <w:iCs/>
                <w:sz w:val="18"/>
                <w:szCs w:val="20"/>
              </w:rPr>
              <w:t>Key: RG</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 xml:space="preserve">Roasted </w:t>
            </w:r>
            <w:r w:rsidR="006A5ECB" w:rsidRPr="000F1E43">
              <w:rPr>
                <w:rFonts w:ascii="Arial" w:eastAsia="Times New Roman" w:hAnsi="Arial" w:cs="Arial"/>
                <w:bCs/>
                <w:i/>
                <w:iCs/>
                <w:sz w:val="18"/>
                <w:szCs w:val="20"/>
              </w:rPr>
              <w:t>groundnuts</w:t>
            </w:r>
            <w:r w:rsidRPr="000F1E43">
              <w:rPr>
                <w:rFonts w:ascii="Arial" w:eastAsia="Times New Roman" w:hAnsi="Arial" w:cs="Arial"/>
                <w:bCs/>
                <w:i/>
                <w:iCs/>
                <w:sz w:val="18"/>
                <w:szCs w:val="20"/>
              </w:rPr>
              <w:t>, RUG</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 xml:space="preserve">Raw Unopened </w:t>
            </w:r>
            <w:r w:rsidR="006A5ECB" w:rsidRPr="000F1E43">
              <w:rPr>
                <w:rFonts w:ascii="Arial" w:eastAsia="Times New Roman" w:hAnsi="Arial" w:cs="Arial"/>
                <w:bCs/>
                <w:i/>
                <w:iCs/>
                <w:sz w:val="18"/>
                <w:szCs w:val="20"/>
              </w:rPr>
              <w:t>groundnuts</w:t>
            </w:r>
            <w:r w:rsidRPr="000F1E43">
              <w:rPr>
                <w:rFonts w:ascii="Arial" w:eastAsia="Times New Roman" w:hAnsi="Arial" w:cs="Arial"/>
                <w:bCs/>
                <w:i/>
                <w:iCs/>
                <w:sz w:val="18"/>
                <w:szCs w:val="20"/>
              </w:rPr>
              <w:t>, UG</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 xml:space="preserve">Unopened </w:t>
            </w:r>
            <w:r w:rsidR="006A5ECB" w:rsidRPr="000F1E43">
              <w:rPr>
                <w:rFonts w:ascii="Arial" w:eastAsia="Times New Roman" w:hAnsi="Arial" w:cs="Arial"/>
                <w:bCs/>
                <w:i/>
                <w:iCs/>
                <w:sz w:val="18"/>
                <w:szCs w:val="20"/>
              </w:rPr>
              <w:t>groundnuts</w:t>
            </w:r>
          </w:p>
          <w:p w14:paraId="21F242D1" w14:textId="07A97812" w:rsidR="007B5DF9" w:rsidRPr="000F1E43" w:rsidRDefault="007B5DF9" w:rsidP="006A5ECB">
            <w:pPr>
              <w:contextualSpacing/>
              <w:jc w:val="center"/>
              <w:rPr>
                <w:rFonts w:ascii="Arial" w:eastAsia="Times New Roman" w:hAnsi="Arial" w:cs="Arial"/>
                <w:b/>
                <w:bCs/>
                <w:iCs/>
                <w:sz w:val="20"/>
                <w:szCs w:val="20"/>
              </w:rPr>
            </w:pPr>
            <w:r w:rsidRPr="000F1E43">
              <w:rPr>
                <w:rFonts w:ascii="Arial" w:eastAsia="Times New Roman" w:hAnsi="Arial" w:cs="Arial"/>
                <w:bCs/>
                <w:i/>
                <w:iCs/>
                <w:sz w:val="18"/>
                <w:szCs w:val="20"/>
                <w:lang w:val="nb-NO"/>
              </w:rPr>
              <w:t>KA:Kapsuser, KC:Kericho, NY: Nyagacho</w:t>
            </w:r>
          </w:p>
        </w:tc>
      </w:tr>
    </w:tbl>
    <w:p w14:paraId="51BD4324" w14:textId="64C58CE3" w:rsidR="007B5DF9" w:rsidRPr="000F1E43" w:rsidRDefault="007B5DF9" w:rsidP="007B5DF9">
      <w:pPr>
        <w:spacing w:after="0" w:line="240" w:lineRule="auto"/>
        <w:contextualSpacing/>
        <w:jc w:val="both"/>
        <w:rPr>
          <w:rFonts w:ascii="Arial" w:eastAsia="Times New Roman" w:hAnsi="Arial" w:cs="Arial"/>
          <w:b/>
          <w:bCs/>
          <w:iCs/>
          <w:sz w:val="20"/>
          <w:szCs w:val="20"/>
          <w:u w:val="single"/>
        </w:rPr>
      </w:pPr>
    </w:p>
    <w:p w14:paraId="79B9C67A" w14:textId="21B4F469" w:rsidR="007B5DF9" w:rsidRPr="000F1E43" w:rsidRDefault="007B5DF9" w:rsidP="006A5ECB">
      <w:pPr>
        <w:spacing w:after="0" w:line="240" w:lineRule="auto"/>
        <w:contextualSpacing/>
        <w:jc w:val="center"/>
        <w:rPr>
          <w:rFonts w:ascii="Arial" w:eastAsia="Times New Roman" w:hAnsi="Arial" w:cs="Arial"/>
          <w:bCs/>
          <w:iCs/>
          <w:sz w:val="20"/>
          <w:szCs w:val="20"/>
        </w:rPr>
      </w:pPr>
      <w:r w:rsidRPr="000F1E43">
        <w:rPr>
          <w:rFonts w:ascii="Arial" w:eastAsia="Times New Roman" w:hAnsi="Arial" w:cs="Arial"/>
          <w:bCs/>
          <w:iCs/>
          <w:noProof/>
          <w:sz w:val="20"/>
          <w:szCs w:val="20"/>
        </w:rPr>
        <w:drawing>
          <wp:inline distT="0" distB="0" distL="0" distR="0" wp14:anchorId="41E3174D" wp14:editId="1B696408">
            <wp:extent cx="4729598" cy="3726611"/>
            <wp:effectExtent l="0" t="0" r="0" b="0"/>
            <wp:docPr id="11" name="Picture 1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screenshot of a compu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2362" cy="3768186"/>
                    </a:xfrm>
                    <a:prstGeom prst="rect">
                      <a:avLst/>
                    </a:prstGeom>
                    <a:noFill/>
                    <a:ln>
                      <a:noFill/>
                    </a:ln>
                  </pic:spPr>
                </pic:pic>
              </a:graphicData>
            </a:graphic>
          </wp:inline>
        </w:drawing>
      </w:r>
    </w:p>
    <w:p w14:paraId="67003EFD"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0F7D55BE" w14:textId="62966F50" w:rsidR="007B5DF9" w:rsidRPr="000F1E43" w:rsidRDefault="007B5DF9" w:rsidP="006A5ECB">
      <w:pPr>
        <w:spacing w:after="0" w:line="240" w:lineRule="auto"/>
        <w:contextualSpacing/>
        <w:jc w:val="center"/>
        <w:rPr>
          <w:rFonts w:ascii="Arial" w:eastAsia="Times New Roman" w:hAnsi="Arial" w:cs="Arial"/>
          <w:b/>
          <w:bCs/>
          <w:iCs/>
          <w:sz w:val="20"/>
          <w:szCs w:val="20"/>
        </w:rPr>
      </w:pPr>
      <w:r w:rsidRPr="000F1E43">
        <w:rPr>
          <w:rFonts w:ascii="Arial" w:eastAsia="Times New Roman" w:hAnsi="Arial" w:cs="Arial"/>
          <w:b/>
          <w:bCs/>
          <w:iCs/>
          <w:sz w:val="20"/>
          <w:szCs w:val="20"/>
        </w:rPr>
        <w:t>Fig</w:t>
      </w:r>
      <w:r w:rsidR="006A5ECB" w:rsidRPr="000F1E43">
        <w:rPr>
          <w:rFonts w:ascii="Arial" w:eastAsia="Times New Roman" w:hAnsi="Arial" w:cs="Arial"/>
          <w:b/>
          <w:bCs/>
          <w:iCs/>
          <w:sz w:val="20"/>
          <w:szCs w:val="20"/>
        </w:rPr>
        <w:t>.</w:t>
      </w:r>
      <w:r w:rsidRPr="000F1E43">
        <w:rPr>
          <w:rFonts w:ascii="Arial" w:eastAsia="Times New Roman" w:hAnsi="Arial" w:cs="Arial"/>
          <w:b/>
          <w:bCs/>
          <w:iCs/>
          <w:sz w:val="20"/>
          <w:szCs w:val="20"/>
        </w:rPr>
        <w:t xml:space="preserve"> 5</w:t>
      </w:r>
      <w:r w:rsidR="006A5ECB" w:rsidRPr="000F1E43">
        <w:rPr>
          <w:rFonts w:ascii="Arial" w:eastAsia="Times New Roman" w:hAnsi="Arial" w:cs="Arial"/>
          <w:b/>
          <w:bCs/>
          <w:iCs/>
          <w:sz w:val="20"/>
          <w:szCs w:val="20"/>
        </w:rPr>
        <w:t>.</w:t>
      </w:r>
      <w:r w:rsidRPr="000F1E43">
        <w:rPr>
          <w:rFonts w:ascii="Arial" w:eastAsia="Times New Roman" w:hAnsi="Arial" w:cs="Arial"/>
          <w:b/>
          <w:bCs/>
          <w:iCs/>
          <w:sz w:val="20"/>
          <w:szCs w:val="20"/>
        </w:rPr>
        <w:t xml:space="preserve"> Boxplot of aflatoxin in Rice based on the different locations</w:t>
      </w:r>
    </w:p>
    <w:p w14:paraId="564F07BB" w14:textId="775110B6" w:rsidR="007B5DF9" w:rsidRPr="000F1E43" w:rsidRDefault="007B5DF9" w:rsidP="00C02B5E">
      <w:pPr>
        <w:tabs>
          <w:tab w:val="left" w:pos="90"/>
        </w:tabs>
        <w:spacing w:after="0" w:line="240" w:lineRule="auto"/>
        <w:contextualSpacing/>
        <w:jc w:val="center"/>
        <w:rPr>
          <w:rFonts w:ascii="Arial" w:eastAsia="Times New Roman" w:hAnsi="Arial" w:cs="Arial"/>
          <w:bCs/>
          <w:i/>
          <w:iCs/>
          <w:sz w:val="18"/>
          <w:szCs w:val="20"/>
        </w:rPr>
      </w:pPr>
      <w:bookmarkStart w:id="5" w:name="_Hlk192377597"/>
      <w:r w:rsidRPr="000F1E43">
        <w:rPr>
          <w:rFonts w:ascii="Arial" w:eastAsia="Times New Roman" w:hAnsi="Arial" w:cs="Arial"/>
          <w:bCs/>
          <w:i/>
          <w:iCs/>
          <w:sz w:val="18"/>
          <w:szCs w:val="20"/>
        </w:rPr>
        <w:t>The values on the top of the plot indicate p-values showing statistical differences between the locations. KA</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6A5ECB" w:rsidRPr="000F1E43">
        <w:rPr>
          <w:rFonts w:ascii="Arial" w:eastAsia="Times New Roman" w:hAnsi="Arial" w:cs="Arial"/>
          <w:bCs/>
          <w:i/>
          <w:iCs/>
          <w:sz w:val="18"/>
          <w:szCs w:val="20"/>
        </w:rPr>
        <w:t xml:space="preserve"> </w:t>
      </w:r>
      <w:proofErr w:type="spellStart"/>
      <w:r w:rsidRPr="000F1E43">
        <w:rPr>
          <w:rFonts w:ascii="Arial" w:eastAsia="Times New Roman" w:hAnsi="Arial" w:cs="Arial"/>
          <w:bCs/>
          <w:i/>
          <w:iCs/>
          <w:sz w:val="18"/>
          <w:szCs w:val="20"/>
        </w:rPr>
        <w:t>Kapsuser</w:t>
      </w:r>
      <w:proofErr w:type="spellEnd"/>
      <w:r w:rsidRPr="000F1E43">
        <w:rPr>
          <w:rFonts w:ascii="Arial" w:eastAsia="Times New Roman" w:hAnsi="Arial" w:cs="Arial"/>
          <w:bCs/>
          <w:i/>
          <w:iCs/>
          <w:sz w:val="18"/>
          <w:szCs w:val="20"/>
        </w:rPr>
        <w:t>, KC</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Kericho, and NG</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6A5ECB" w:rsidRPr="000F1E43">
        <w:rPr>
          <w:rFonts w:ascii="Arial" w:eastAsia="Times New Roman" w:hAnsi="Arial" w:cs="Arial"/>
          <w:bCs/>
          <w:i/>
          <w:iCs/>
          <w:sz w:val="18"/>
          <w:szCs w:val="20"/>
        </w:rPr>
        <w:t xml:space="preserve"> </w:t>
      </w:r>
      <w:proofErr w:type="spellStart"/>
      <w:r w:rsidRPr="000F1E43">
        <w:rPr>
          <w:rFonts w:ascii="Arial" w:eastAsia="Times New Roman" w:hAnsi="Arial" w:cs="Arial"/>
          <w:bCs/>
          <w:i/>
          <w:iCs/>
          <w:sz w:val="18"/>
          <w:szCs w:val="20"/>
        </w:rPr>
        <w:t>Nyagacho</w:t>
      </w:r>
      <w:proofErr w:type="spellEnd"/>
    </w:p>
    <w:p w14:paraId="30E86322" w14:textId="7715285F" w:rsidR="007B5DF9" w:rsidRPr="000F1E43" w:rsidRDefault="007B5DF9" w:rsidP="006A5ECB">
      <w:pPr>
        <w:spacing w:after="0" w:line="240" w:lineRule="auto"/>
        <w:contextualSpacing/>
        <w:jc w:val="center"/>
        <w:rPr>
          <w:rFonts w:ascii="Arial" w:eastAsia="Times New Roman" w:hAnsi="Arial" w:cs="Arial"/>
          <w:bCs/>
          <w:i/>
          <w:iCs/>
          <w:sz w:val="18"/>
          <w:szCs w:val="20"/>
        </w:rPr>
      </w:pPr>
      <w:r w:rsidRPr="000F1E43">
        <w:rPr>
          <w:rFonts w:ascii="Arial" w:eastAsia="Times New Roman" w:hAnsi="Arial" w:cs="Arial"/>
          <w:bCs/>
          <w:i/>
          <w:iCs/>
          <w:sz w:val="18"/>
          <w:szCs w:val="20"/>
        </w:rPr>
        <w:t>significance level of 0.05 (P</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6A5ECB"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.05)</w:t>
      </w:r>
    </w:p>
    <w:bookmarkEnd w:id="5"/>
    <w:p w14:paraId="6AD05F7C" w14:textId="30B99777" w:rsidR="007B5DF9" w:rsidRPr="000F1E43" w:rsidRDefault="007B5DF9" w:rsidP="009D40F3">
      <w:pPr>
        <w:spacing w:after="0" w:line="240" w:lineRule="auto"/>
        <w:contextualSpacing/>
        <w:jc w:val="center"/>
        <w:rPr>
          <w:rFonts w:ascii="Arial" w:eastAsia="Times New Roman" w:hAnsi="Arial" w:cs="Arial"/>
          <w:b/>
          <w:bCs/>
          <w:iCs/>
          <w:sz w:val="20"/>
          <w:szCs w:val="20"/>
        </w:rPr>
      </w:pPr>
      <w:r w:rsidRPr="000F1E43">
        <w:rPr>
          <w:rFonts w:ascii="Arial" w:eastAsia="Times New Roman" w:hAnsi="Arial" w:cs="Arial"/>
          <w:bCs/>
          <w:iCs/>
          <w:noProof/>
          <w:sz w:val="20"/>
          <w:szCs w:val="20"/>
        </w:rPr>
        <w:lastRenderedPageBreak/>
        <w:drawing>
          <wp:inline distT="0" distB="0" distL="0" distR="0" wp14:anchorId="4001BD50" wp14:editId="58873642">
            <wp:extent cx="4658264" cy="4131234"/>
            <wp:effectExtent l="0" t="0" r="0" b="0"/>
            <wp:docPr id="10" name="Picture 10"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screenshot of a computer scre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8624" cy="4167028"/>
                    </a:xfrm>
                    <a:prstGeom prst="rect">
                      <a:avLst/>
                    </a:prstGeom>
                    <a:noFill/>
                    <a:ln>
                      <a:noFill/>
                    </a:ln>
                  </pic:spPr>
                </pic:pic>
              </a:graphicData>
            </a:graphic>
          </wp:inline>
        </w:drawing>
      </w:r>
    </w:p>
    <w:p w14:paraId="711F971F" w14:textId="77777777" w:rsidR="002171CC" w:rsidRPr="000F1E43" w:rsidRDefault="002171CC" w:rsidP="009D40F3">
      <w:pPr>
        <w:spacing w:after="0" w:line="240" w:lineRule="auto"/>
        <w:contextualSpacing/>
        <w:jc w:val="center"/>
        <w:rPr>
          <w:rFonts w:ascii="Arial" w:eastAsia="Times New Roman" w:hAnsi="Arial" w:cs="Arial"/>
          <w:b/>
          <w:bCs/>
          <w:iCs/>
          <w:sz w:val="20"/>
          <w:szCs w:val="20"/>
        </w:rPr>
      </w:pPr>
      <w:bookmarkStart w:id="6" w:name="_Hlk191608776"/>
    </w:p>
    <w:p w14:paraId="56EC0CC9" w14:textId="56395931" w:rsidR="007B5DF9" w:rsidRPr="000F1E43" w:rsidRDefault="007B5DF9" w:rsidP="009D40F3">
      <w:pPr>
        <w:spacing w:after="0" w:line="240" w:lineRule="auto"/>
        <w:contextualSpacing/>
        <w:jc w:val="center"/>
        <w:rPr>
          <w:rFonts w:ascii="Arial" w:eastAsia="Times New Roman" w:hAnsi="Arial" w:cs="Arial"/>
          <w:b/>
          <w:bCs/>
          <w:iCs/>
          <w:sz w:val="20"/>
          <w:szCs w:val="20"/>
          <w:lang w:val="en-GB"/>
        </w:rPr>
      </w:pPr>
      <w:r w:rsidRPr="000F1E43">
        <w:rPr>
          <w:rFonts w:ascii="Arial" w:eastAsia="Times New Roman" w:hAnsi="Arial" w:cs="Arial"/>
          <w:b/>
          <w:bCs/>
          <w:iCs/>
          <w:sz w:val="20"/>
          <w:szCs w:val="20"/>
        </w:rPr>
        <w:t>Fig</w:t>
      </w:r>
      <w:r w:rsidR="009D40F3" w:rsidRPr="000F1E43">
        <w:rPr>
          <w:rFonts w:ascii="Arial" w:eastAsia="Times New Roman" w:hAnsi="Arial" w:cs="Arial"/>
          <w:b/>
          <w:bCs/>
          <w:iCs/>
          <w:sz w:val="20"/>
          <w:szCs w:val="20"/>
        </w:rPr>
        <w:t>.</w:t>
      </w:r>
      <w:r w:rsidRPr="000F1E43">
        <w:rPr>
          <w:rFonts w:ascii="Arial" w:eastAsia="Times New Roman" w:hAnsi="Arial" w:cs="Arial"/>
          <w:b/>
          <w:bCs/>
          <w:iCs/>
          <w:sz w:val="20"/>
          <w:szCs w:val="20"/>
        </w:rPr>
        <w:t xml:space="preserve"> 6</w:t>
      </w:r>
      <w:r w:rsidR="009D40F3" w:rsidRPr="000F1E43">
        <w:rPr>
          <w:rFonts w:ascii="Arial" w:eastAsia="Times New Roman" w:hAnsi="Arial" w:cs="Arial"/>
          <w:b/>
          <w:bCs/>
          <w:iCs/>
          <w:sz w:val="20"/>
          <w:szCs w:val="20"/>
        </w:rPr>
        <w:t>.</w:t>
      </w:r>
      <w:r w:rsidRPr="000F1E43">
        <w:rPr>
          <w:rFonts w:ascii="Arial" w:eastAsia="Times New Roman" w:hAnsi="Arial" w:cs="Arial"/>
          <w:b/>
          <w:bCs/>
          <w:iCs/>
          <w:sz w:val="20"/>
          <w:szCs w:val="20"/>
        </w:rPr>
        <w:t xml:space="preserve"> Boxplot of </w:t>
      </w:r>
      <w:r w:rsidR="009D40F3" w:rsidRPr="000F1E43">
        <w:rPr>
          <w:rFonts w:ascii="Arial" w:eastAsia="Times New Roman" w:hAnsi="Arial" w:cs="Arial"/>
          <w:b/>
          <w:bCs/>
          <w:iCs/>
          <w:sz w:val="20"/>
          <w:szCs w:val="20"/>
        </w:rPr>
        <w:t xml:space="preserve">aflatoxin </w:t>
      </w:r>
      <w:r w:rsidRPr="000F1E43">
        <w:rPr>
          <w:rFonts w:ascii="Arial" w:eastAsia="Times New Roman" w:hAnsi="Arial" w:cs="Arial"/>
          <w:b/>
          <w:bCs/>
          <w:iCs/>
          <w:sz w:val="20"/>
          <w:szCs w:val="20"/>
        </w:rPr>
        <w:t xml:space="preserve">in groundnuts based on the </w:t>
      </w:r>
      <w:r w:rsidR="009D40F3" w:rsidRPr="000F1E43">
        <w:rPr>
          <w:rFonts w:ascii="Arial" w:eastAsia="Times New Roman" w:hAnsi="Arial" w:cs="Arial"/>
          <w:b/>
          <w:bCs/>
          <w:iCs/>
          <w:sz w:val="20"/>
          <w:szCs w:val="20"/>
        </w:rPr>
        <w:t>locations</w:t>
      </w:r>
      <w:bookmarkEnd w:id="6"/>
    </w:p>
    <w:p w14:paraId="52CB4D98" w14:textId="25AE2F10" w:rsidR="007B5DF9" w:rsidRPr="000F1E43" w:rsidRDefault="007B5DF9" w:rsidP="009D40F3">
      <w:pPr>
        <w:spacing w:after="0" w:line="240" w:lineRule="auto"/>
        <w:contextualSpacing/>
        <w:jc w:val="center"/>
        <w:rPr>
          <w:rFonts w:ascii="Arial" w:eastAsia="Times New Roman" w:hAnsi="Arial" w:cs="Arial"/>
          <w:bCs/>
          <w:i/>
          <w:iCs/>
          <w:sz w:val="18"/>
          <w:szCs w:val="20"/>
        </w:rPr>
      </w:pPr>
      <w:r w:rsidRPr="000F1E43">
        <w:rPr>
          <w:rFonts w:ascii="Arial" w:eastAsia="Times New Roman" w:hAnsi="Arial" w:cs="Arial"/>
          <w:bCs/>
          <w:i/>
          <w:iCs/>
          <w:sz w:val="18"/>
          <w:szCs w:val="20"/>
        </w:rPr>
        <w:t>The values on the top of the plot indicate p-values showing statistical differences between the locations. KA</w:t>
      </w:r>
      <w:r w:rsidR="009D40F3"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 xml:space="preserve">= </w:t>
      </w:r>
      <w:proofErr w:type="spellStart"/>
      <w:r w:rsidRPr="000F1E43">
        <w:rPr>
          <w:rFonts w:ascii="Arial" w:eastAsia="Times New Roman" w:hAnsi="Arial" w:cs="Arial"/>
          <w:bCs/>
          <w:i/>
          <w:iCs/>
          <w:sz w:val="18"/>
          <w:szCs w:val="20"/>
        </w:rPr>
        <w:t>Kapsuser</w:t>
      </w:r>
      <w:proofErr w:type="spellEnd"/>
      <w:r w:rsidRPr="000F1E43">
        <w:rPr>
          <w:rFonts w:ascii="Arial" w:eastAsia="Times New Roman" w:hAnsi="Arial" w:cs="Arial"/>
          <w:bCs/>
          <w:i/>
          <w:iCs/>
          <w:sz w:val="18"/>
          <w:szCs w:val="20"/>
        </w:rPr>
        <w:t>, KC</w:t>
      </w:r>
      <w:r w:rsidR="009D40F3"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9D40F3"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Kericho, and NG</w:t>
      </w:r>
      <w:r w:rsidR="009D40F3"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9D40F3" w:rsidRPr="000F1E43">
        <w:rPr>
          <w:rFonts w:ascii="Arial" w:eastAsia="Times New Roman" w:hAnsi="Arial" w:cs="Arial"/>
          <w:bCs/>
          <w:i/>
          <w:iCs/>
          <w:sz w:val="18"/>
          <w:szCs w:val="20"/>
        </w:rPr>
        <w:t xml:space="preserve"> </w:t>
      </w:r>
      <w:proofErr w:type="spellStart"/>
      <w:r w:rsidRPr="000F1E43">
        <w:rPr>
          <w:rFonts w:ascii="Arial" w:eastAsia="Times New Roman" w:hAnsi="Arial" w:cs="Arial"/>
          <w:bCs/>
          <w:i/>
          <w:iCs/>
          <w:sz w:val="18"/>
          <w:szCs w:val="20"/>
        </w:rPr>
        <w:t>Nyagacho</w:t>
      </w:r>
      <w:proofErr w:type="spellEnd"/>
    </w:p>
    <w:p w14:paraId="5C6C999B" w14:textId="71ED08EF" w:rsidR="007B5DF9" w:rsidRPr="000F1E43" w:rsidRDefault="007B5DF9" w:rsidP="009D40F3">
      <w:pPr>
        <w:spacing w:after="0" w:line="240" w:lineRule="auto"/>
        <w:contextualSpacing/>
        <w:jc w:val="center"/>
        <w:rPr>
          <w:rFonts w:ascii="Arial" w:eastAsia="Times New Roman" w:hAnsi="Arial" w:cs="Arial"/>
          <w:bCs/>
          <w:i/>
          <w:iCs/>
          <w:sz w:val="18"/>
          <w:szCs w:val="20"/>
        </w:rPr>
      </w:pPr>
      <w:r w:rsidRPr="000F1E43">
        <w:rPr>
          <w:rFonts w:ascii="Arial" w:eastAsia="Times New Roman" w:hAnsi="Arial" w:cs="Arial"/>
          <w:bCs/>
          <w:i/>
          <w:iCs/>
          <w:sz w:val="18"/>
          <w:szCs w:val="20"/>
        </w:rPr>
        <w:t>significance level of 0.05 (P</w:t>
      </w:r>
      <w:r w:rsidR="009D40F3"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w:t>
      </w:r>
      <w:r w:rsidR="009D40F3" w:rsidRPr="000F1E43">
        <w:rPr>
          <w:rFonts w:ascii="Arial" w:eastAsia="Times New Roman" w:hAnsi="Arial" w:cs="Arial"/>
          <w:bCs/>
          <w:i/>
          <w:iCs/>
          <w:sz w:val="18"/>
          <w:szCs w:val="20"/>
        </w:rPr>
        <w:t xml:space="preserve"> </w:t>
      </w:r>
      <w:r w:rsidRPr="000F1E43">
        <w:rPr>
          <w:rFonts w:ascii="Arial" w:eastAsia="Times New Roman" w:hAnsi="Arial" w:cs="Arial"/>
          <w:bCs/>
          <w:i/>
          <w:iCs/>
          <w:sz w:val="18"/>
          <w:szCs w:val="20"/>
        </w:rPr>
        <w:t>.05)</w:t>
      </w:r>
    </w:p>
    <w:p w14:paraId="173B14AE"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p>
    <w:p w14:paraId="32234C27" w14:textId="77777777" w:rsidR="007C0EEE" w:rsidRPr="000F1E43" w:rsidRDefault="007C0EEE" w:rsidP="007B5DF9">
      <w:pPr>
        <w:spacing w:after="0" w:line="240" w:lineRule="auto"/>
        <w:contextualSpacing/>
        <w:jc w:val="both"/>
        <w:rPr>
          <w:rFonts w:ascii="Arial" w:eastAsia="Times New Roman" w:hAnsi="Arial" w:cs="Arial"/>
          <w:bCs/>
          <w:iCs/>
          <w:sz w:val="20"/>
          <w:szCs w:val="20"/>
        </w:rPr>
        <w:sectPr w:rsidR="007C0EEE" w:rsidRPr="000F1E43" w:rsidSect="005A3F46">
          <w:type w:val="continuous"/>
          <w:pgSz w:w="11909" w:h="16834" w:code="9"/>
          <w:pgMar w:top="1440" w:right="1440" w:bottom="1440" w:left="1440" w:header="720" w:footer="864" w:gutter="0"/>
          <w:pgNumType w:start="1"/>
          <w:cols w:space="720"/>
          <w:titlePg/>
          <w:docGrid w:linePitch="360"/>
        </w:sectPr>
      </w:pPr>
    </w:p>
    <w:p w14:paraId="509511BB" w14:textId="6B54E007"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 xml:space="preserve">The results of this study highlight significant levels of mycotoxin contamination in rice and groundnuts from Kericho County, emphasizing the need for immediate attention to food safety practices. The quantitative analysis revealed that both rice and groundnuts are significantly contaminated with aflatoxins and </w:t>
      </w:r>
      <w:proofErr w:type="spellStart"/>
      <w:r w:rsidRPr="000F1E43">
        <w:rPr>
          <w:rFonts w:ascii="Arial" w:eastAsia="Times New Roman" w:hAnsi="Arial" w:cs="Arial"/>
          <w:bCs/>
          <w:iCs/>
          <w:sz w:val="20"/>
          <w:szCs w:val="20"/>
        </w:rPr>
        <w:t>fumonisins</w:t>
      </w:r>
      <w:proofErr w:type="spellEnd"/>
      <w:r w:rsidRPr="000F1E43">
        <w:rPr>
          <w:rFonts w:ascii="Arial" w:eastAsia="Times New Roman" w:hAnsi="Arial" w:cs="Arial"/>
          <w:bCs/>
          <w:iCs/>
          <w:sz w:val="20"/>
          <w:szCs w:val="20"/>
        </w:rPr>
        <w:t>, with many samples exceeding the maximum allowable limits set by regulatory bodies. Groundnuts exhibited higher mean aflatoxin levels (15.995 ppb) compared to rice (5.176 ppb), which aligns with the understanding that groundnuts are more susceptible to aflatoxin contamination due to their larger surface area and oil content, which provide a conducive environment for fungal growth (</w:t>
      </w:r>
      <w:proofErr w:type="spellStart"/>
      <w:r w:rsidRPr="000F1E43">
        <w:rPr>
          <w:rFonts w:ascii="Arial" w:eastAsia="Times New Roman" w:hAnsi="Arial" w:cs="Arial"/>
          <w:bCs/>
          <w:iCs/>
          <w:sz w:val="20"/>
          <w:szCs w:val="20"/>
        </w:rPr>
        <w:t>Ayelign</w:t>
      </w:r>
      <w:proofErr w:type="spellEnd"/>
      <w:r w:rsidRPr="000F1E43">
        <w:rPr>
          <w:rFonts w:ascii="Arial" w:eastAsia="Times New Roman" w:hAnsi="Arial" w:cs="Arial"/>
          <w:bCs/>
          <w:iCs/>
          <w:sz w:val="20"/>
          <w:szCs w:val="20"/>
        </w:rPr>
        <w:t xml:space="preserve"> &amp; </w:t>
      </w:r>
      <w:proofErr w:type="spellStart"/>
      <w:r w:rsidRPr="000F1E43">
        <w:rPr>
          <w:rFonts w:ascii="Arial" w:eastAsia="Times New Roman" w:hAnsi="Arial" w:cs="Arial"/>
          <w:bCs/>
          <w:iCs/>
          <w:sz w:val="20"/>
          <w:szCs w:val="20"/>
        </w:rPr>
        <w:t>Saeger</w:t>
      </w:r>
      <w:proofErr w:type="spellEnd"/>
      <w:r w:rsidRPr="000F1E43">
        <w:rPr>
          <w:rFonts w:ascii="Arial" w:eastAsia="Times New Roman" w:hAnsi="Arial" w:cs="Arial"/>
          <w:bCs/>
          <w:iCs/>
          <w:sz w:val="20"/>
          <w:szCs w:val="20"/>
        </w:rPr>
        <w:t xml:space="preserve">, 2020); (Ncube &amp; </w:t>
      </w:r>
      <w:proofErr w:type="spellStart"/>
      <w:r w:rsidRPr="000F1E43">
        <w:rPr>
          <w:rFonts w:ascii="Arial" w:eastAsia="Times New Roman" w:hAnsi="Arial" w:cs="Arial"/>
          <w:bCs/>
          <w:iCs/>
          <w:sz w:val="20"/>
          <w:szCs w:val="20"/>
        </w:rPr>
        <w:t>Maphosa</w:t>
      </w:r>
      <w:proofErr w:type="spellEnd"/>
      <w:r w:rsidRPr="000F1E43">
        <w:rPr>
          <w:rFonts w:ascii="Arial" w:eastAsia="Times New Roman" w:hAnsi="Arial" w:cs="Arial"/>
          <w:bCs/>
          <w:iCs/>
          <w:sz w:val="20"/>
          <w:szCs w:val="20"/>
        </w:rPr>
        <w:t xml:space="preserve">, 2020).The variability in mycotoxin levels across different markets suggests that local environmental conditions, handling, and storage practices significantly influence the extent of contamination. </w:t>
      </w:r>
      <w:proofErr w:type="spellStart"/>
      <w:r w:rsidRPr="000F1E43">
        <w:rPr>
          <w:rFonts w:ascii="Arial" w:eastAsia="Times New Roman" w:hAnsi="Arial" w:cs="Arial"/>
          <w:bCs/>
          <w:iCs/>
          <w:sz w:val="20"/>
          <w:szCs w:val="20"/>
        </w:rPr>
        <w:t>Nyagacho</w:t>
      </w:r>
      <w:proofErr w:type="spellEnd"/>
      <w:r w:rsidRPr="000F1E43">
        <w:rPr>
          <w:rFonts w:ascii="Arial" w:eastAsia="Times New Roman" w:hAnsi="Arial" w:cs="Arial"/>
          <w:bCs/>
          <w:iCs/>
          <w:sz w:val="20"/>
          <w:szCs w:val="20"/>
        </w:rPr>
        <w:t xml:space="preserve"> market, for instance, showed the highest aflatoxin levels in rice samples, which could be </w:t>
      </w:r>
      <w:r w:rsidRPr="000F1E43">
        <w:rPr>
          <w:rFonts w:ascii="Arial" w:eastAsia="Times New Roman" w:hAnsi="Arial" w:cs="Arial"/>
          <w:bCs/>
          <w:iCs/>
          <w:sz w:val="20"/>
          <w:szCs w:val="20"/>
        </w:rPr>
        <w:t>attributed to inadequate drying and storage conditions that favor fungal growth and toxin production. These findings emphasize the need for improved post-harvest handling and storage practices to mitigate mycotoxin contamination (Ezekiel et al., 2019;</w:t>
      </w:r>
      <w:r w:rsidR="00F7068C" w:rsidRPr="000F1E43">
        <w:rPr>
          <w:rFonts w:ascii="Arial" w:eastAsia="Times New Roman" w:hAnsi="Arial" w:cs="Arial"/>
          <w:bCs/>
          <w:iCs/>
          <w:sz w:val="20"/>
          <w:szCs w:val="20"/>
        </w:rPr>
        <w:t xml:space="preserve"> </w:t>
      </w:r>
      <w:proofErr w:type="spellStart"/>
      <w:r w:rsidRPr="000F1E43">
        <w:rPr>
          <w:rFonts w:ascii="Arial" w:eastAsia="Times New Roman" w:hAnsi="Arial" w:cs="Arial"/>
          <w:bCs/>
          <w:iCs/>
          <w:sz w:val="20"/>
          <w:szCs w:val="20"/>
        </w:rPr>
        <w:t>Wielogorska</w:t>
      </w:r>
      <w:proofErr w:type="spellEnd"/>
      <w:r w:rsidRPr="000F1E43">
        <w:rPr>
          <w:rFonts w:ascii="Arial" w:eastAsia="Times New Roman" w:hAnsi="Arial" w:cs="Arial"/>
          <w:bCs/>
          <w:iCs/>
          <w:sz w:val="20"/>
          <w:szCs w:val="20"/>
        </w:rPr>
        <w:t xml:space="preserve"> et al., 2019) (Government of Kenya, 2018; County Government of Kericho, 2022). The significant differences in mycotoxin levels between roasted, unroasted, and raw unopened groundnuts indicate that processing methods can impact the extent of contamination. Raw unopened groundnuts exhibited the highest mean aflatoxin levels, suggesting that roasting may reduce aflatoxin levels to some extent (</w:t>
      </w:r>
      <w:proofErr w:type="spellStart"/>
      <w:r w:rsidRPr="000F1E43">
        <w:rPr>
          <w:rFonts w:ascii="Arial" w:eastAsia="Times New Roman" w:hAnsi="Arial" w:cs="Arial"/>
          <w:bCs/>
          <w:iCs/>
          <w:sz w:val="20"/>
          <w:szCs w:val="20"/>
        </w:rPr>
        <w:t>Nyirahakizimana</w:t>
      </w:r>
      <w:proofErr w:type="spellEnd"/>
      <w:r w:rsidRPr="000F1E43">
        <w:rPr>
          <w:rFonts w:ascii="Arial" w:eastAsia="Times New Roman" w:hAnsi="Arial" w:cs="Arial"/>
          <w:bCs/>
          <w:iCs/>
          <w:sz w:val="20"/>
          <w:szCs w:val="20"/>
        </w:rPr>
        <w:t xml:space="preserve"> et al., 2013). However, even roasted groundnuts showed substantial contamination, highlighting the need for comprehensive strategies to address mycotoxin contamination at various stages of the supply chain. Statistical analysis using SPSS and R software confirmed significant differences in mycotoxin levels between the different markets and product types. The </w:t>
      </w:r>
      <w:r w:rsidRPr="000F1E43">
        <w:rPr>
          <w:rFonts w:ascii="Arial" w:eastAsia="Times New Roman" w:hAnsi="Arial" w:cs="Arial"/>
          <w:bCs/>
          <w:iCs/>
          <w:sz w:val="20"/>
          <w:szCs w:val="20"/>
        </w:rPr>
        <w:lastRenderedPageBreak/>
        <w:t xml:space="preserve">Student’s t-test and Kruskal-Wallis test demonstrated that the variations were statistically significant, underscoring the importance of targeted interventions based on specific market conditions and product types. These statistical insights provide a robust basis for developing tailored strategies to manage mycotoxin risks effectively (Id et al., 2020). The high levels of aflatoxins and </w:t>
      </w:r>
      <w:proofErr w:type="spellStart"/>
      <w:r w:rsidRPr="000F1E43">
        <w:rPr>
          <w:rFonts w:ascii="Arial" w:eastAsia="Times New Roman" w:hAnsi="Arial" w:cs="Arial"/>
          <w:bCs/>
          <w:iCs/>
          <w:sz w:val="20"/>
          <w:szCs w:val="20"/>
        </w:rPr>
        <w:t>fumonisins</w:t>
      </w:r>
      <w:proofErr w:type="spellEnd"/>
      <w:r w:rsidRPr="000F1E43">
        <w:rPr>
          <w:rFonts w:ascii="Arial" w:eastAsia="Times New Roman" w:hAnsi="Arial" w:cs="Arial"/>
          <w:bCs/>
          <w:iCs/>
          <w:sz w:val="20"/>
          <w:szCs w:val="20"/>
        </w:rPr>
        <w:t xml:space="preserve"> detected in the samples pose serious health risks to consumers. The economic implications are also significant, as contaminated crops result in direct losses through reduced market value and indirect losses through increased healthcare costs and decreased agricultural productivity </w:t>
      </w:r>
      <w:r w:rsidRPr="000F1E43">
        <w:rPr>
          <w:rFonts w:ascii="Arial" w:eastAsia="Times New Roman" w:hAnsi="Arial" w:cs="Arial"/>
          <w:bCs/>
          <w:iCs/>
          <w:sz w:val="20"/>
          <w:szCs w:val="20"/>
          <w:lang w:val="nb-NO"/>
        </w:rPr>
        <w:t xml:space="preserve">(Bhat et al., 2010; Wu, 2004). </w:t>
      </w:r>
      <w:r w:rsidRPr="000F1E43">
        <w:rPr>
          <w:rFonts w:ascii="Arial" w:eastAsia="Times New Roman" w:hAnsi="Arial" w:cs="Arial"/>
          <w:bCs/>
          <w:iCs/>
          <w:sz w:val="20"/>
          <w:szCs w:val="20"/>
          <w:lang w:val="en-GB"/>
        </w:rPr>
        <w:t xml:space="preserve">This study underscores the critical need for stringent monitoring and control measures to ensure food safety in Kericho County. </w:t>
      </w:r>
      <w:r w:rsidRPr="000F1E43">
        <w:rPr>
          <w:rFonts w:ascii="Arial" w:eastAsia="Times New Roman" w:hAnsi="Arial" w:cs="Arial"/>
          <w:bCs/>
          <w:iCs/>
          <w:sz w:val="20"/>
          <w:szCs w:val="20"/>
        </w:rPr>
        <w:t>Regular testing of agricultural produce for mycotoxins, coupled with public awareness campaigns and education programs, can play a pivotal role in reducing contamination levels. Farmers and traders should be educated on best practices for drying, storing, and handling crops to minimize fungal growth and toxin production</w:t>
      </w:r>
      <w:r w:rsidR="006347C2" w:rsidRPr="000F1E43">
        <w:rPr>
          <w:rFonts w:ascii="Arial" w:eastAsia="Times New Roman" w:hAnsi="Arial" w:cs="Arial"/>
          <w:bCs/>
          <w:iCs/>
          <w:sz w:val="20"/>
          <w:szCs w:val="20"/>
        </w:rPr>
        <w:t xml:space="preserve"> </w:t>
      </w:r>
      <w:r w:rsidRPr="000F1E43">
        <w:rPr>
          <w:rFonts w:ascii="Arial" w:eastAsia="Times New Roman" w:hAnsi="Arial" w:cs="Arial"/>
          <w:bCs/>
          <w:iCs/>
          <w:sz w:val="20"/>
          <w:szCs w:val="20"/>
        </w:rPr>
        <w:t>(Shephard, 2008). Furthermore, the implementation of good agricultural practices (GAP) and the use of biocontrol agents can help mitigate the risks associated with mycotoxin contamination. Developing and enforcing regulatory standards for mycotoxin levels in food products is essential to protect public health and ensure the safety of the food supply. To sum up, the findings of this study provide valuable insights into the prevalence and levels of mycotoxin contamination in rice and groundnuts in Kericho County. The high contamination levels call for urgent action to improve food safety practices and protect public health. By addressing the specific conditions that contribute to mycotoxin contamination, targeted interventions can be developed to mitigate these risks and ensure the safety and quality of agricultural produce in the region. This research contributes to the broader efforts to enhance food safety and security, not only in Kericho County but also in other regions facing similar challenges.</w:t>
      </w:r>
    </w:p>
    <w:p w14:paraId="18234353" w14:textId="77777777" w:rsidR="006347C2" w:rsidRPr="000F1E43" w:rsidRDefault="006347C2" w:rsidP="007B5DF9">
      <w:pPr>
        <w:spacing w:after="0" w:line="240" w:lineRule="auto"/>
        <w:contextualSpacing/>
        <w:jc w:val="both"/>
        <w:rPr>
          <w:rFonts w:ascii="Arial" w:eastAsia="Times New Roman" w:hAnsi="Arial" w:cs="Arial"/>
          <w:bCs/>
          <w:iCs/>
          <w:sz w:val="20"/>
          <w:szCs w:val="20"/>
        </w:rPr>
      </w:pPr>
    </w:p>
    <w:p w14:paraId="01D60775"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 xml:space="preserve">This study highlights the significant levels of mycotoxin contamination in rice and groundnuts from Kericho County, underscoring the urgent need for improved food safety practices. Quantitative analysis indicated that aflatoxin and </w:t>
      </w:r>
      <w:proofErr w:type="spellStart"/>
      <w:r w:rsidRPr="000F1E43">
        <w:rPr>
          <w:rFonts w:ascii="Arial" w:eastAsia="Times New Roman" w:hAnsi="Arial" w:cs="Arial"/>
          <w:bCs/>
          <w:iCs/>
          <w:sz w:val="20"/>
          <w:szCs w:val="20"/>
        </w:rPr>
        <w:t>fumonisin</w:t>
      </w:r>
      <w:proofErr w:type="spellEnd"/>
      <w:r w:rsidRPr="000F1E43">
        <w:rPr>
          <w:rFonts w:ascii="Arial" w:eastAsia="Times New Roman" w:hAnsi="Arial" w:cs="Arial"/>
          <w:bCs/>
          <w:iCs/>
          <w:sz w:val="20"/>
          <w:szCs w:val="20"/>
        </w:rPr>
        <w:t xml:space="preserve"> levels in many samples exceed the maximum allowable limits, posing serious health risks to consumers. Groundnuts exhibited higher </w:t>
      </w:r>
      <w:r w:rsidRPr="000F1E43">
        <w:rPr>
          <w:rFonts w:ascii="Arial" w:eastAsia="Times New Roman" w:hAnsi="Arial" w:cs="Arial"/>
          <w:bCs/>
          <w:iCs/>
          <w:sz w:val="20"/>
          <w:szCs w:val="20"/>
        </w:rPr>
        <w:t>mean aflatoxin levels compared to rice, indicating a greater susceptibility to contamination. The variability in mycotoxin levels across different markets suggests that local environmental conditions, handling, and storage practices significantly influence the extent of contamination. This emphasizes the need for targeted interventions, including improved post-harvest handling and storage practices, to mitigate mycotoxin contamination.</w:t>
      </w:r>
    </w:p>
    <w:p w14:paraId="0AE8C2CA" w14:textId="77777777" w:rsidR="007B5DF9" w:rsidRPr="000F1E43" w:rsidRDefault="007B5DF9" w:rsidP="007B5DF9">
      <w:pPr>
        <w:spacing w:after="0" w:line="240" w:lineRule="auto"/>
        <w:contextualSpacing/>
        <w:jc w:val="both"/>
        <w:rPr>
          <w:rFonts w:ascii="Arial" w:eastAsia="Times New Roman" w:hAnsi="Arial" w:cs="Arial"/>
          <w:bCs/>
          <w:iCs/>
        </w:rPr>
      </w:pPr>
    </w:p>
    <w:p w14:paraId="1E85641A" w14:textId="2A934226" w:rsidR="007B5DF9" w:rsidRPr="000F1E43" w:rsidRDefault="006347C2" w:rsidP="006347C2">
      <w:pPr>
        <w:pStyle w:val="Heading2"/>
        <w:rPr>
          <w:rFonts w:eastAsia="Times New Roman"/>
        </w:rPr>
      </w:pPr>
      <w:r w:rsidRPr="000F1E43">
        <w:rPr>
          <w:rFonts w:eastAsia="Times New Roman"/>
        </w:rPr>
        <w:t>4. CONCLUSION</w:t>
      </w:r>
    </w:p>
    <w:p w14:paraId="7E5E0410" w14:textId="77777777" w:rsidR="007B5DF9" w:rsidRPr="000F1E43" w:rsidRDefault="007B5DF9" w:rsidP="007B5DF9">
      <w:pPr>
        <w:spacing w:after="0" w:line="240" w:lineRule="auto"/>
        <w:contextualSpacing/>
        <w:jc w:val="both"/>
        <w:rPr>
          <w:rFonts w:ascii="Arial" w:eastAsia="Times New Roman" w:hAnsi="Arial" w:cs="Arial"/>
          <w:b/>
          <w:bCs/>
          <w:iCs/>
        </w:rPr>
      </w:pPr>
    </w:p>
    <w:p w14:paraId="77CEC778" w14:textId="5F72EFDF"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In conclusion, this study provides valuable insights into the prevalence and levels of mycotoxin contamination in rice and groundnuts in Kericho County. The findings call for urgent action to improve food safety practices and protect public health. By addressing the specific conditions contributing to mycotoxin contamination, targeted interventions can be developed to ensure the safety and quality of agricultural produce. This research contributes to the broader efforts to enhance food safety and security, not only in Kericho County but also in other regions facing similar challenges. Future research should explore contamination trends across regions and seasons to guide sustainable food safety interventions.</w:t>
      </w:r>
    </w:p>
    <w:p w14:paraId="5769233D" w14:textId="77777777" w:rsidR="00F7068C" w:rsidRPr="000F1E43" w:rsidRDefault="00F7068C" w:rsidP="007B5DF9">
      <w:pPr>
        <w:spacing w:after="0" w:line="240" w:lineRule="auto"/>
        <w:contextualSpacing/>
        <w:jc w:val="both"/>
        <w:rPr>
          <w:rFonts w:ascii="Arial" w:eastAsia="Times New Roman" w:hAnsi="Arial" w:cs="Arial"/>
          <w:bCs/>
          <w:iCs/>
        </w:rPr>
      </w:pPr>
    </w:p>
    <w:p w14:paraId="52C72D2B" w14:textId="77777777" w:rsidR="007B5DF9" w:rsidRPr="000F1E43" w:rsidRDefault="007B5DF9" w:rsidP="007B5DF9">
      <w:pPr>
        <w:spacing w:after="0" w:line="240" w:lineRule="auto"/>
        <w:contextualSpacing/>
        <w:jc w:val="both"/>
        <w:rPr>
          <w:rFonts w:ascii="Arial" w:eastAsia="Times New Roman" w:hAnsi="Arial" w:cs="Arial"/>
          <w:bCs/>
          <w:iCs/>
          <w:sz w:val="20"/>
          <w:szCs w:val="20"/>
          <w:lang w:val="en-GB"/>
        </w:rPr>
      </w:pPr>
      <w:r w:rsidRPr="000F1E43">
        <w:rPr>
          <w:rFonts w:ascii="Arial" w:eastAsia="Times New Roman" w:hAnsi="Arial" w:cs="Arial"/>
          <w:bCs/>
          <w:iCs/>
          <w:sz w:val="20"/>
          <w:szCs w:val="20"/>
          <w:lang w:val="en-GB"/>
        </w:rPr>
        <w:t>The manuscript generates qualitative and quantitative data regarding mycotoxin contamination in rice and groundnut seeds, which are staple foods, from the markets of Kenya. This is useful for the scientific community as it addresses food safety practices and the health challenges posed with the consumption of these food items. This provides an avenue for best practices in the storage, transport and other post-harvest issues, as well as control measures of the mycotoxins.</w:t>
      </w:r>
    </w:p>
    <w:p w14:paraId="3E1CBE16" w14:textId="77777777" w:rsidR="007B5DF9" w:rsidRPr="000F1E43" w:rsidRDefault="007B5DF9" w:rsidP="007B5DF9">
      <w:pPr>
        <w:spacing w:after="0" w:line="240" w:lineRule="auto"/>
        <w:contextualSpacing/>
        <w:jc w:val="both"/>
        <w:rPr>
          <w:rFonts w:ascii="Arial" w:eastAsia="Times New Roman" w:hAnsi="Arial" w:cs="Arial"/>
          <w:bCs/>
          <w:iCs/>
          <w:lang w:val="en-GB"/>
        </w:rPr>
      </w:pPr>
    </w:p>
    <w:p w14:paraId="6A6DC753" w14:textId="489AE297" w:rsidR="007B5DF9" w:rsidRPr="000F1E43" w:rsidRDefault="006347C2" w:rsidP="000F1E43">
      <w:pPr>
        <w:pStyle w:val="Heading2"/>
        <w:rPr>
          <w:rFonts w:eastAsia="Times New Roman"/>
        </w:rPr>
      </w:pPr>
      <w:r w:rsidRPr="000F1E43">
        <w:rPr>
          <w:rFonts w:eastAsia="Times New Roman"/>
        </w:rPr>
        <w:t>ETHICAL APPROVAL</w:t>
      </w:r>
    </w:p>
    <w:p w14:paraId="1084A51B" w14:textId="77777777" w:rsidR="007B5DF9" w:rsidRPr="000F1E43" w:rsidRDefault="007B5DF9" w:rsidP="007B5DF9">
      <w:pPr>
        <w:spacing w:after="0" w:line="240" w:lineRule="auto"/>
        <w:contextualSpacing/>
        <w:jc w:val="both"/>
        <w:rPr>
          <w:rFonts w:ascii="Arial" w:eastAsia="Times New Roman" w:hAnsi="Arial" w:cs="Arial"/>
          <w:bCs/>
          <w:iCs/>
        </w:rPr>
      </w:pPr>
    </w:p>
    <w:p w14:paraId="4BBEAA24" w14:textId="77777777" w:rsidR="007B5DF9" w:rsidRPr="000F1E43" w:rsidRDefault="007B5DF9" w:rsidP="007B5DF9">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 xml:space="preserve">Research permit was obtained through application from the National Commission for Science, Technology, and Innovation (NACOSTI). License No: NACOSTI/P/23/27236. </w:t>
      </w:r>
    </w:p>
    <w:p w14:paraId="6C91FCCB" w14:textId="77777777" w:rsidR="007B5DF9" w:rsidRPr="000F1E43" w:rsidRDefault="007B5DF9" w:rsidP="007B5DF9">
      <w:pPr>
        <w:spacing w:after="0" w:line="240" w:lineRule="auto"/>
        <w:contextualSpacing/>
        <w:jc w:val="both"/>
        <w:rPr>
          <w:rFonts w:ascii="Arial" w:eastAsia="Times New Roman" w:hAnsi="Arial" w:cs="Arial"/>
          <w:bCs/>
          <w:iCs/>
          <w:u w:val="single"/>
        </w:rPr>
      </w:pPr>
    </w:p>
    <w:p w14:paraId="3B0AB073" w14:textId="77777777" w:rsidR="006347C2" w:rsidRPr="000F1E43" w:rsidRDefault="006347C2" w:rsidP="006347C2">
      <w:pPr>
        <w:pStyle w:val="Heading2"/>
        <w:rPr>
          <w:rFonts w:eastAsia="Times New Roman"/>
          <w:sz w:val="21"/>
          <w:szCs w:val="21"/>
        </w:rPr>
      </w:pPr>
      <w:r w:rsidRPr="000F1E43">
        <w:rPr>
          <w:rFonts w:eastAsia="Times New Roman"/>
          <w:sz w:val="21"/>
          <w:szCs w:val="21"/>
        </w:rPr>
        <w:t>DISCLAIMER (ARTIFICIAL INTELLIGENCE)</w:t>
      </w:r>
    </w:p>
    <w:p w14:paraId="241FF4C2" w14:textId="3DDE9D3E" w:rsidR="006347C2" w:rsidRPr="00335731" w:rsidRDefault="006347C2" w:rsidP="006347C2">
      <w:pPr>
        <w:spacing w:after="0" w:line="240" w:lineRule="auto"/>
        <w:contextualSpacing/>
        <w:jc w:val="both"/>
        <w:rPr>
          <w:rFonts w:ascii="Arial" w:eastAsia="Times New Roman" w:hAnsi="Arial" w:cs="Arial"/>
          <w:b/>
          <w:bCs/>
          <w:iCs/>
          <w:color w:val="FF0000"/>
          <w:sz w:val="20"/>
          <w:szCs w:val="20"/>
          <w:highlight w:val="yellow"/>
        </w:rPr>
      </w:pPr>
      <w:r w:rsidRPr="00335731">
        <w:rPr>
          <w:rFonts w:ascii="Arial" w:eastAsia="Times New Roman" w:hAnsi="Arial" w:cs="Arial"/>
          <w:b/>
          <w:bCs/>
          <w:i/>
          <w:iCs/>
          <w:color w:val="FF0000"/>
          <w:sz w:val="20"/>
          <w:szCs w:val="20"/>
          <w:highlight w:val="yellow"/>
        </w:rPr>
        <w:t>Please write this section</w:t>
      </w:r>
    </w:p>
    <w:p w14:paraId="78FD8D2A" w14:textId="77777777" w:rsidR="006347C2" w:rsidRPr="00335731" w:rsidRDefault="006347C2" w:rsidP="006347C2">
      <w:pPr>
        <w:spacing w:after="0" w:line="240" w:lineRule="auto"/>
        <w:contextualSpacing/>
        <w:jc w:val="both"/>
        <w:rPr>
          <w:rFonts w:ascii="Arial" w:eastAsia="Times New Roman" w:hAnsi="Arial" w:cs="Arial"/>
          <w:b/>
          <w:bCs/>
          <w:iCs/>
          <w:sz w:val="20"/>
          <w:szCs w:val="20"/>
          <w:highlight w:val="yellow"/>
        </w:rPr>
      </w:pPr>
      <w:r w:rsidRPr="00335731">
        <w:rPr>
          <w:rFonts w:ascii="Arial" w:eastAsia="Times New Roman" w:hAnsi="Arial" w:cs="Arial"/>
          <w:b/>
          <w:bCs/>
          <w:iCs/>
          <w:sz w:val="20"/>
          <w:szCs w:val="20"/>
          <w:highlight w:val="yellow"/>
        </w:rPr>
        <w:t xml:space="preserve">Option 1: </w:t>
      </w:r>
    </w:p>
    <w:p w14:paraId="321D8A88" w14:textId="77777777" w:rsidR="006347C2" w:rsidRPr="00335731" w:rsidRDefault="006347C2" w:rsidP="006347C2">
      <w:pPr>
        <w:spacing w:after="0" w:line="240" w:lineRule="auto"/>
        <w:contextualSpacing/>
        <w:jc w:val="both"/>
        <w:rPr>
          <w:rFonts w:ascii="Arial" w:eastAsia="Times New Roman" w:hAnsi="Arial" w:cs="Arial"/>
          <w:b/>
          <w:bCs/>
          <w:iCs/>
          <w:sz w:val="20"/>
          <w:highlight w:val="yellow"/>
        </w:rPr>
      </w:pPr>
    </w:p>
    <w:p w14:paraId="32584A11" w14:textId="77777777" w:rsidR="006347C2" w:rsidRPr="00335731" w:rsidRDefault="006347C2" w:rsidP="006347C2">
      <w:pPr>
        <w:spacing w:after="0" w:line="240" w:lineRule="auto"/>
        <w:contextualSpacing/>
        <w:jc w:val="both"/>
        <w:rPr>
          <w:rFonts w:ascii="Arial" w:eastAsia="Times New Roman" w:hAnsi="Arial" w:cs="Arial"/>
          <w:bCs/>
          <w:iCs/>
          <w:sz w:val="20"/>
          <w:szCs w:val="20"/>
          <w:highlight w:val="yellow"/>
        </w:rPr>
      </w:pPr>
      <w:r w:rsidRPr="00335731">
        <w:rPr>
          <w:rFonts w:ascii="Arial" w:eastAsia="Times New Roman" w:hAnsi="Arial" w:cs="Arial"/>
          <w:bCs/>
          <w:iCs/>
          <w:sz w:val="20"/>
          <w:szCs w:val="20"/>
          <w:highlight w:val="yellow"/>
        </w:rPr>
        <w:t>Author(s) hereby declare that NO generative AI technologies such as Large Language Models (</w:t>
      </w:r>
      <w:proofErr w:type="spellStart"/>
      <w:r w:rsidRPr="00335731">
        <w:rPr>
          <w:rFonts w:ascii="Arial" w:eastAsia="Times New Roman" w:hAnsi="Arial" w:cs="Arial"/>
          <w:bCs/>
          <w:iCs/>
          <w:sz w:val="20"/>
          <w:szCs w:val="20"/>
          <w:highlight w:val="yellow"/>
        </w:rPr>
        <w:t>ChatGPT</w:t>
      </w:r>
      <w:proofErr w:type="spellEnd"/>
      <w:r w:rsidRPr="00335731">
        <w:rPr>
          <w:rFonts w:ascii="Arial" w:eastAsia="Times New Roman" w:hAnsi="Arial" w:cs="Arial"/>
          <w:bCs/>
          <w:iCs/>
          <w:sz w:val="20"/>
          <w:szCs w:val="20"/>
          <w:highlight w:val="yellow"/>
        </w:rPr>
        <w:t xml:space="preserve">, COPILOT, </w:t>
      </w:r>
      <w:proofErr w:type="spellStart"/>
      <w:r w:rsidRPr="00335731">
        <w:rPr>
          <w:rFonts w:ascii="Arial" w:eastAsia="Times New Roman" w:hAnsi="Arial" w:cs="Arial"/>
          <w:bCs/>
          <w:iCs/>
          <w:sz w:val="20"/>
          <w:szCs w:val="20"/>
          <w:highlight w:val="yellow"/>
        </w:rPr>
        <w:t>etc</w:t>
      </w:r>
      <w:proofErr w:type="spellEnd"/>
      <w:r w:rsidRPr="00335731">
        <w:rPr>
          <w:rFonts w:ascii="Arial" w:eastAsia="Times New Roman" w:hAnsi="Arial" w:cs="Arial"/>
          <w:bCs/>
          <w:iCs/>
          <w:sz w:val="20"/>
          <w:szCs w:val="20"/>
          <w:highlight w:val="yellow"/>
        </w:rPr>
        <w:t xml:space="preserve">) and text-to-image </w:t>
      </w:r>
      <w:r w:rsidRPr="00335731">
        <w:rPr>
          <w:rFonts w:ascii="Arial" w:eastAsia="Times New Roman" w:hAnsi="Arial" w:cs="Arial"/>
          <w:bCs/>
          <w:iCs/>
          <w:sz w:val="20"/>
          <w:szCs w:val="20"/>
          <w:highlight w:val="yellow"/>
        </w:rPr>
        <w:lastRenderedPageBreak/>
        <w:t xml:space="preserve">generators have been used during writing or editing of this manuscript. </w:t>
      </w:r>
    </w:p>
    <w:p w14:paraId="001E2CAC" w14:textId="77777777" w:rsidR="006347C2" w:rsidRPr="00335731" w:rsidRDefault="006347C2" w:rsidP="006347C2">
      <w:pPr>
        <w:spacing w:after="0" w:line="240" w:lineRule="auto"/>
        <w:contextualSpacing/>
        <w:jc w:val="both"/>
        <w:rPr>
          <w:rFonts w:ascii="Arial" w:eastAsia="Times New Roman" w:hAnsi="Arial" w:cs="Arial"/>
          <w:bCs/>
          <w:iCs/>
          <w:sz w:val="20"/>
          <w:szCs w:val="20"/>
          <w:highlight w:val="yellow"/>
        </w:rPr>
      </w:pPr>
    </w:p>
    <w:p w14:paraId="20A46255" w14:textId="77777777" w:rsidR="006347C2" w:rsidRPr="00335731" w:rsidRDefault="006347C2" w:rsidP="006347C2">
      <w:pPr>
        <w:spacing w:after="0" w:line="240" w:lineRule="auto"/>
        <w:contextualSpacing/>
        <w:jc w:val="both"/>
        <w:rPr>
          <w:rFonts w:ascii="Arial" w:eastAsia="Times New Roman" w:hAnsi="Arial" w:cs="Arial"/>
          <w:b/>
          <w:bCs/>
          <w:iCs/>
          <w:sz w:val="20"/>
          <w:szCs w:val="20"/>
          <w:highlight w:val="yellow"/>
        </w:rPr>
      </w:pPr>
      <w:r w:rsidRPr="00335731">
        <w:rPr>
          <w:rFonts w:ascii="Arial" w:eastAsia="Times New Roman" w:hAnsi="Arial" w:cs="Arial"/>
          <w:b/>
          <w:bCs/>
          <w:iCs/>
          <w:sz w:val="20"/>
          <w:szCs w:val="20"/>
          <w:highlight w:val="yellow"/>
        </w:rPr>
        <w:t xml:space="preserve">Option 2: </w:t>
      </w:r>
    </w:p>
    <w:p w14:paraId="5D5D11EC" w14:textId="77777777" w:rsidR="006347C2" w:rsidRPr="00335731" w:rsidRDefault="006347C2" w:rsidP="006347C2">
      <w:pPr>
        <w:spacing w:after="0" w:line="240" w:lineRule="auto"/>
        <w:contextualSpacing/>
        <w:jc w:val="both"/>
        <w:rPr>
          <w:rFonts w:ascii="Arial" w:eastAsia="Times New Roman" w:hAnsi="Arial" w:cs="Arial"/>
          <w:b/>
          <w:bCs/>
          <w:iCs/>
          <w:sz w:val="20"/>
          <w:szCs w:val="20"/>
          <w:highlight w:val="yellow"/>
        </w:rPr>
      </w:pPr>
    </w:p>
    <w:p w14:paraId="5685780E" w14:textId="77777777" w:rsidR="006347C2" w:rsidRPr="00335731" w:rsidRDefault="006347C2" w:rsidP="006347C2">
      <w:pPr>
        <w:spacing w:after="0" w:line="240" w:lineRule="auto"/>
        <w:contextualSpacing/>
        <w:jc w:val="both"/>
        <w:rPr>
          <w:rFonts w:ascii="Arial" w:eastAsia="Times New Roman" w:hAnsi="Arial" w:cs="Arial"/>
          <w:bCs/>
          <w:iCs/>
          <w:sz w:val="20"/>
          <w:szCs w:val="20"/>
          <w:highlight w:val="yellow"/>
        </w:rPr>
      </w:pPr>
      <w:r w:rsidRPr="00335731">
        <w:rPr>
          <w:rFonts w:ascii="Arial" w:eastAsia="Times New Roman" w:hAnsi="Arial" w:cs="Arial"/>
          <w:bCs/>
          <w:iCs/>
          <w:sz w:val="20"/>
          <w:szCs w:val="20"/>
          <w:highlight w:val="yellow"/>
        </w:rPr>
        <w:t xml:space="preserve">Author(s) hereby declare that generative AI technologies such as Large Language Models, </w:t>
      </w:r>
      <w:proofErr w:type="spellStart"/>
      <w:r w:rsidRPr="00335731">
        <w:rPr>
          <w:rFonts w:ascii="Arial" w:eastAsia="Times New Roman" w:hAnsi="Arial" w:cs="Arial"/>
          <w:bCs/>
          <w:iCs/>
          <w:sz w:val="20"/>
          <w:szCs w:val="20"/>
          <w:highlight w:val="yellow"/>
        </w:rPr>
        <w:t>etc</w:t>
      </w:r>
      <w:proofErr w:type="spellEnd"/>
      <w:r w:rsidRPr="00335731">
        <w:rPr>
          <w:rFonts w:ascii="Arial" w:eastAsia="Times New Roman" w:hAnsi="Arial" w:cs="Arial"/>
          <w:bCs/>
          <w:iCs/>
          <w:sz w:val="20"/>
          <w:szCs w:val="20"/>
          <w:highlight w:val="yellow"/>
        </w:rPr>
        <w:t xml:space="preserve"> have been used during writing or editing of this manuscript. This explanation will include the name, version, model, and source of the generative AI technology and as well as all input prompts provided to the generative AI technology.</w:t>
      </w:r>
    </w:p>
    <w:p w14:paraId="595B8B73" w14:textId="77777777" w:rsidR="006347C2" w:rsidRPr="00335731" w:rsidRDefault="006347C2" w:rsidP="006347C2">
      <w:pPr>
        <w:spacing w:after="0" w:line="240" w:lineRule="auto"/>
        <w:contextualSpacing/>
        <w:jc w:val="both"/>
        <w:rPr>
          <w:rFonts w:ascii="Arial" w:eastAsia="Times New Roman" w:hAnsi="Arial" w:cs="Arial"/>
          <w:bCs/>
          <w:iCs/>
          <w:sz w:val="20"/>
          <w:szCs w:val="20"/>
          <w:highlight w:val="yellow"/>
        </w:rPr>
      </w:pPr>
    </w:p>
    <w:p w14:paraId="280196DE" w14:textId="77777777" w:rsidR="006347C2" w:rsidRPr="00335731" w:rsidRDefault="006347C2" w:rsidP="006347C2">
      <w:pPr>
        <w:spacing w:after="0" w:line="240" w:lineRule="auto"/>
        <w:contextualSpacing/>
        <w:jc w:val="both"/>
        <w:rPr>
          <w:rFonts w:ascii="Arial" w:eastAsia="Times New Roman" w:hAnsi="Arial" w:cs="Arial"/>
          <w:b/>
          <w:bCs/>
          <w:iCs/>
          <w:sz w:val="20"/>
          <w:szCs w:val="20"/>
          <w:highlight w:val="yellow"/>
        </w:rPr>
      </w:pPr>
      <w:r w:rsidRPr="00335731">
        <w:rPr>
          <w:rFonts w:ascii="Arial" w:eastAsia="Times New Roman" w:hAnsi="Arial" w:cs="Arial"/>
          <w:b/>
          <w:bCs/>
          <w:iCs/>
          <w:sz w:val="20"/>
          <w:szCs w:val="20"/>
          <w:highlight w:val="yellow"/>
        </w:rPr>
        <w:t>Details of the AI usage are given below:</w:t>
      </w:r>
    </w:p>
    <w:p w14:paraId="60057F30" w14:textId="77777777" w:rsidR="006347C2" w:rsidRPr="00335731" w:rsidRDefault="006347C2" w:rsidP="006347C2">
      <w:pPr>
        <w:spacing w:after="0" w:line="240" w:lineRule="auto"/>
        <w:contextualSpacing/>
        <w:jc w:val="both"/>
        <w:rPr>
          <w:rFonts w:ascii="Arial" w:eastAsia="Times New Roman" w:hAnsi="Arial" w:cs="Arial"/>
          <w:bCs/>
          <w:iCs/>
          <w:sz w:val="20"/>
          <w:szCs w:val="20"/>
          <w:highlight w:val="yellow"/>
        </w:rPr>
      </w:pPr>
    </w:p>
    <w:p w14:paraId="4DED4BA6" w14:textId="77777777" w:rsidR="006347C2" w:rsidRPr="00335731" w:rsidRDefault="006347C2" w:rsidP="006347C2">
      <w:pPr>
        <w:spacing w:after="0" w:line="240" w:lineRule="auto"/>
        <w:contextualSpacing/>
        <w:jc w:val="both"/>
        <w:rPr>
          <w:rFonts w:ascii="Arial" w:eastAsia="Times New Roman" w:hAnsi="Arial" w:cs="Arial"/>
          <w:bCs/>
          <w:iCs/>
          <w:sz w:val="20"/>
          <w:szCs w:val="20"/>
          <w:highlight w:val="yellow"/>
        </w:rPr>
      </w:pPr>
      <w:r w:rsidRPr="00335731">
        <w:rPr>
          <w:rFonts w:ascii="Arial" w:eastAsia="Times New Roman" w:hAnsi="Arial" w:cs="Arial"/>
          <w:bCs/>
          <w:iCs/>
          <w:sz w:val="20"/>
          <w:szCs w:val="20"/>
          <w:highlight w:val="yellow"/>
        </w:rPr>
        <w:t>1.</w:t>
      </w:r>
    </w:p>
    <w:p w14:paraId="237BF8C5" w14:textId="77777777" w:rsidR="006347C2" w:rsidRPr="00335731" w:rsidRDefault="006347C2" w:rsidP="006347C2">
      <w:pPr>
        <w:spacing w:after="0" w:line="240" w:lineRule="auto"/>
        <w:contextualSpacing/>
        <w:jc w:val="both"/>
        <w:rPr>
          <w:rFonts w:ascii="Arial" w:eastAsia="Times New Roman" w:hAnsi="Arial" w:cs="Arial"/>
          <w:bCs/>
          <w:iCs/>
          <w:sz w:val="20"/>
          <w:szCs w:val="20"/>
          <w:highlight w:val="yellow"/>
        </w:rPr>
      </w:pPr>
      <w:r w:rsidRPr="00335731">
        <w:rPr>
          <w:rFonts w:ascii="Arial" w:eastAsia="Times New Roman" w:hAnsi="Arial" w:cs="Arial"/>
          <w:bCs/>
          <w:iCs/>
          <w:sz w:val="20"/>
          <w:szCs w:val="20"/>
          <w:highlight w:val="yellow"/>
        </w:rPr>
        <w:t>2.</w:t>
      </w:r>
    </w:p>
    <w:p w14:paraId="660372C2" w14:textId="77777777" w:rsidR="006347C2" w:rsidRPr="000F1E43" w:rsidRDefault="006347C2" w:rsidP="006347C2">
      <w:pPr>
        <w:spacing w:after="0" w:line="240" w:lineRule="auto"/>
        <w:contextualSpacing/>
        <w:jc w:val="both"/>
        <w:rPr>
          <w:rFonts w:ascii="Arial" w:eastAsia="Times New Roman" w:hAnsi="Arial" w:cs="Arial"/>
          <w:bCs/>
          <w:iCs/>
          <w:sz w:val="20"/>
          <w:szCs w:val="20"/>
        </w:rPr>
      </w:pPr>
      <w:r w:rsidRPr="00335731">
        <w:rPr>
          <w:rFonts w:ascii="Arial" w:eastAsia="Times New Roman" w:hAnsi="Arial" w:cs="Arial"/>
          <w:bCs/>
          <w:iCs/>
          <w:sz w:val="20"/>
          <w:szCs w:val="20"/>
          <w:highlight w:val="yellow"/>
        </w:rPr>
        <w:t>3.</w:t>
      </w:r>
    </w:p>
    <w:p w14:paraId="07C46410" w14:textId="77777777" w:rsidR="006347C2" w:rsidRPr="000F1E43" w:rsidRDefault="006347C2" w:rsidP="006347C2">
      <w:pPr>
        <w:spacing w:after="0" w:line="240" w:lineRule="auto"/>
        <w:contextualSpacing/>
        <w:jc w:val="both"/>
        <w:rPr>
          <w:rFonts w:ascii="Arial" w:eastAsia="Times New Roman" w:hAnsi="Arial" w:cs="Arial"/>
          <w:b/>
          <w:bCs/>
          <w:iCs/>
          <w:sz w:val="20"/>
          <w:szCs w:val="20"/>
        </w:rPr>
      </w:pPr>
    </w:p>
    <w:p w14:paraId="143F79BB" w14:textId="4CD9B2D4" w:rsidR="006347C2" w:rsidRPr="000F1E43" w:rsidRDefault="006347C2" w:rsidP="006347C2">
      <w:pPr>
        <w:pStyle w:val="Heading2"/>
        <w:rPr>
          <w:rFonts w:eastAsia="Times New Roman"/>
        </w:rPr>
      </w:pPr>
      <w:r w:rsidRPr="000F1E43">
        <w:rPr>
          <w:rFonts w:eastAsia="Times New Roman"/>
        </w:rPr>
        <w:t>COMPETING INTERESTS</w:t>
      </w:r>
    </w:p>
    <w:p w14:paraId="622DAC16" w14:textId="77777777" w:rsidR="006347C2" w:rsidRPr="000F1E43" w:rsidRDefault="006347C2" w:rsidP="006347C2">
      <w:pPr>
        <w:spacing w:after="0" w:line="240" w:lineRule="auto"/>
        <w:contextualSpacing/>
        <w:jc w:val="both"/>
        <w:rPr>
          <w:rFonts w:ascii="Arial" w:eastAsia="Times New Roman" w:hAnsi="Arial" w:cs="Arial"/>
          <w:b/>
          <w:bCs/>
          <w:iCs/>
          <w:sz w:val="20"/>
          <w:szCs w:val="20"/>
        </w:rPr>
      </w:pPr>
    </w:p>
    <w:p w14:paraId="379BF028" w14:textId="0D2FA7D4" w:rsidR="007B5DF9" w:rsidRPr="000F1E43" w:rsidRDefault="006347C2" w:rsidP="006347C2">
      <w:pPr>
        <w:spacing w:after="0" w:line="240" w:lineRule="auto"/>
        <w:contextualSpacing/>
        <w:jc w:val="both"/>
        <w:rPr>
          <w:rFonts w:ascii="Arial" w:eastAsia="Times New Roman" w:hAnsi="Arial" w:cs="Arial"/>
          <w:bCs/>
          <w:iCs/>
          <w:sz w:val="20"/>
          <w:szCs w:val="20"/>
        </w:rPr>
      </w:pPr>
      <w:r w:rsidRPr="000F1E43">
        <w:rPr>
          <w:rFonts w:ascii="Arial" w:eastAsia="Times New Roman" w:hAnsi="Arial" w:cs="Arial"/>
          <w:bCs/>
          <w:iCs/>
          <w:sz w:val="20"/>
          <w:szCs w:val="20"/>
        </w:rPr>
        <w:t>Authors have declared that no competing interests exist.</w:t>
      </w:r>
    </w:p>
    <w:p w14:paraId="47B05F83" w14:textId="77777777" w:rsidR="007B5DF9" w:rsidRPr="000F1E43" w:rsidRDefault="007B5DF9" w:rsidP="007B5DF9">
      <w:pPr>
        <w:spacing w:after="0" w:line="240" w:lineRule="auto"/>
        <w:contextualSpacing/>
        <w:jc w:val="both"/>
        <w:rPr>
          <w:rFonts w:ascii="Arial" w:eastAsia="Times New Roman" w:hAnsi="Arial" w:cs="Arial"/>
          <w:bCs/>
          <w:iCs/>
          <w:sz w:val="20"/>
          <w:szCs w:val="20"/>
          <w:lang w:val="nb-NO"/>
        </w:rPr>
      </w:pPr>
    </w:p>
    <w:p w14:paraId="544CECAC" w14:textId="367C213B" w:rsidR="007B5DF9" w:rsidRPr="000F1E43" w:rsidRDefault="006347C2" w:rsidP="006347C2">
      <w:pPr>
        <w:pStyle w:val="Heading2"/>
        <w:rPr>
          <w:rFonts w:eastAsia="Times New Roman"/>
          <w:lang w:val="nb-NO"/>
        </w:rPr>
      </w:pPr>
      <w:r w:rsidRPr="000F1E43">
        <w:rPr>
          <w:rFonts w:eastAsia="Times New Roman"/>
          <w:lang w:val="nb-NO"/>
        </w:rPr>
        <w:t>REFERENCES</w:t>
      </w:r>
    </w:p>
    <w:p w14:paraId="26205249" w14:textId="77777777" w:rsidR="007B5DF9" w:rsidRPr="000F1E43" w:rsidRDefault="007B5DF9" w:rsidP="007B5DF9">
      <w:pPr>
        <w:spacing w:after="0" w:line="240" w:lineRule="auto"/>
        <w:contextualSpacing/>
        <w:jc w:val="both"/>
        <w:rPr>
          <w:rFonts w:ascii="Arial" w:eastAsia="Times New Roman" w:hAnsi="Arial" w:cs="Arial"/>
          <w:b/>
          <w:bCs/>
          <w:iCs/>
          <w:sz w:val="18"/>
          <w:szCs w:val="20"/>
          <w:lang w:val="nb-NO"/>
        </w:rPr>
      </w:pPr>
    </w:p>
    <w:p w14:paraId="255B82F7"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Ayelign</w:t>
      </w:r>
      <w:proofErr w:type="spellEnd"/>
      <w:r w:rsidRPr="000F1E43">
        <w:rPr>
          <w:rFonts w:ascii="Arial" w:eastAsia="Times New Roman" w:hAnsi="Arial" w:cs="Arial"/>
          <w:bCs/>
          <w:iCs/>
          <w:sz w:val="20"/>
          <w:szCs w:val="20"/>
          <w:lang w:val="en-IN"/>
        </w:rPr>
        <w:t xml:space="preserve">, A., &amp; </w:t>
      </w:r>
      <w:proofErr w:type="spellStart"/>
      <w:r w:rsidRPr="000F1E43">
        <w:rPr>
          <w:rFonts w:ascii="Arial" w:eastAsia="Times New Roman" w:hAnsi="Arial" w:cs="Arial"/>
          <w:bCs/>
          <w:iCs/>
          <w:sz w:val="20"/>
          <w:szCs w:val="20"/>
          <w:lang w:val="en-IN"/>
        </w:rPr>
        <w:t>Saeger</w:t>
      </w:r>
      <w:proofErr w:type="spellEnd"/>
      <w:r w:rsidRPr="000F1E43">
        <w:rPr>
          <w:rFonts w:ascii="Arial" w:eastAsia="Times New Roman" w:hAnsi="Arial" w:cs="Arial"/>
          <w:bCs/>
          <w:iCs/>
          <w:sz w:val="20"/>
          <w:szCs w:val="20"/>
          <w:lang w:val="en-IN"/>
        </w:rPr>
        <w:t xml:space="preserve">, S. De. (2020). Mycotoxins in Ethiopia: Current status, implications to food safety and mitigation strategies. </w:t>
      </w:r>
      <w:r w:rsidRPr="000F1E43">
        <w:rPr>
          <w:rFonts w:ascii="Arial" w:eastAsia="Times New Roman" w:hAnsi="Arial" w:cs="Arial"/>
          <w:bCs/>
          <w:i/>
          <w:iCs/>
          <w:sz w:val="20"/>
          <w:szCs w:val="20"/>
          <w:lang w:val="en-IN"/>
        </w:rPr>
        <w:t>Food Control, 113</w:t>
      </w:r>
      <w:r w:rsidRPr="000F1E43">
        <w:rPr>
          <w:rFonts w:ascii="Arial" w:eastAsia="Times New Roman" w:hAnsi="Arial" w:cs="Arial"/>
          <w:bCs/>
          <w:iCs/>
          <w:sz w:val="20"/>
          <w:szCs w:val="20"/>
          <w:lang w:val="en-IN"/>
        </w:rPr>
        <w:t>, 107163. https://doi.org/10.1016/j.foodcont.2020.107163</w:t>
      </w:r>
    </w:p>
    <w:p w14:paraId="42BC091C"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Bhat, R., Rai, R. V., &amp; Karim, A. A. (2010). Mycotoxins in food and feed: Present status and future concerns. </w:t>
      </w:r>
      <w:r w:rsidRPr="000F1E43">
        <w:rPr>
          <w:rFonts w:ascii="Arial" w:eastAsia="Times New Roman" w:hAnsi="Arial" w:cs="Arial"/>
          <w:bCs/>
          <w:i/>
          <w:iCs/>
          <w:sz w:val="20"/>
          <w:szCs w:val="20"/>
          <w:lang w:val="en-IN"/>
        </w:rPr>
        <w:t>Comprehensive Reviews in Food Science and Food Safety, 9</w:t>
      </w:r>
      <w:r w:rsidRPr="000F1E43">
        <w:rPr>
          <w:rFonts w:ascii="Arial" w:eastAsia="Times New Roman" w:hAnsi="Arial" w:cs="Arial"/>
          <w:bCs/>
          <w:iCs/>
          <w:sz w:val="20"/>
          <w:szCs w:val="20"/>
          <w:lang w:val="en-IN"/>
        </w:rPr>
        <w:t>(1), 57–81. https://doi.org/10.1111/j.1541-4337.2009.00094.x</w:t>
      </w:r>
    </w:p>
    <w:p w14:paraId="42B646AC"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County Government of Kericho. (2022). </w:t>
      </w:r>
      <w:r w:rsidRPr="000F1E43">
        <w:rPr>
          <w:rFonts w:ascii="Arial" w:eastAsia="Times New Roman" w:hAnsi="Arial" w:cs="Arial"/>
          <w:bCs/>
          <w:i/>
          <w:iCs/>
          <w:sz w:val="20"/>
          <w:szCs w:val="20"/>
          <w:lang w:val="en-IN"/>
        </w:rPr>
        <w:t>Republic of Kenya County Government of Kericho</w:t>
      </w:r>
      <w:r w:rsidRPr="000F1E43">
        <w:rPr>
          <w:rFonts w:ascii="Arial" w:eastAsia="Times New Roman" w:hAnsi="Arial" w:cs="Arial"/>
          <w:bCs/>
          <w:iCs/>
          <w:sz w:val="20"/>
          <w:szCs w:val="20"/>
          <w:lang w:val="en-IN"/>
        </w:rPr>
        <w:t>.</w:t>
      </w:r>
    </w:p>
    <w:p w14:paraId="65C2039B"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Deepa, N., &amp; </w:t>
      </w:r>
      <w:proofErr w:type="spellStart"/>
      <w:r w:rsidRPr="000F1E43">
        <w:rPr>
          <w:rFonts w:ascii="Arial" w:eastAsia="Times New Roman" w:hAnsi="Arial" w:cs="Arial"/>
          <w:bCs/>
          <w:iCs/>
          <w:sz w:val="20"/>
          <w:szCs w:val="20"/>
          <w:lang w:val="en-IN"/>
        </w:rPr>
        <w:t>Sreenivasa</w:t>
      </w:r>
      <w:proofErr w:type="spellEnd"/>
      <w:r w:rsidRPr="000F1E43">
        <w:rPr>
          <w:rFonts w:ascii="Arial" w:eastAsia="Times New Roman" w:hAnsi="Arial" w:cs="Arial"/>
          <w:bCs/>
          <w:iCs/>
          <w:sz w:val="20"/>
          <w:szCs w:val="20"/>
          <w:lang w:val="en-IN"/>
        </w:rPr>
        <w:t xml:space="preserve">, M. Y. (2017). </w:t>
      </w:r>
      <w:r w:rsidRPr="000F1E43">
        <w:rPr>
          <w:rFonts w:ascii="Arial" w:eastAsia="Times New Roman" w:hAnsi="Arial" w:cs="Arial"/>
          <w:bCs/>
          <w:i/>
          <w:iCs/>
          <w:sz w:val="20"/>
          <w:szCs w:val="20"/>
          <w:lang w:val="en-IN"/>
        </w:rPr>
        <w:t>Fusarium verticillioides</w:t>
      </w:r>
      <w:r w:rsidRPr="000F1E43">
        <w:rPr>
          <w:rFonts w:ascii="Arial" w:eastAsia="Times New Roman" w:hAnsi="Arial" w:cs="Arial"/>
          <w:bCs/>
          <w:iCs/>
          <w:sz w:val="20"/>
          <w:szCs w:val="20"/>
          <w:lang w:val="en-IN"/>
        </w:rPr>
        <w:t>, a globally important pathogen of agriculture and livestock: A review. 4.</w:t>
      </w:r>
    </w:p>
    <w:p w14:paraId="5F114A51"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bookmarkStart w:id="7" w:name="_Hlk193884105"/>
      <w:r w:rsidRPr="000F1E43">
        <w:rPr>
          <w:rFonts w:ascii="Arial" w:eastAsia="Times New Roman" w:hAnsi="Arial" w:cs="Arial"/>
          <w:bCs/>
          <w:iCs/>
          <w:sz w:val="20"/>
          <w:szCs w:val="20"/>
          <w:lang w:val="en-IN"/>
        </w:rPr>
        <w:t xml:space="preserve">Edgar </w:t>
      </w:r>
      <w:proofErr w:type="spellStart"/>
      <w:r w:rsidRPr="000F1E43">
        <w:rPr>
          <w:rFonts w:ascii="Arial" w:eastAsia="Times New Roman" w:hAnsi="Arial" w:cs="Arial"/>
          <w:bCs/>
          <w:iCs/>
          <w:sz w:val="20"/>
          <w:szCs w:val="20"/>
          <w:lang w:val="en-IN"/>
        </w:rPr>
        <w:t>Mugizi</w:t>
      </w:r>
      <w:bookmarkEnd w:id="7"/>
      <w:proofErr w:type="spellEnd"/>
      <w:r w:rsidRPr="000F1E43">
        <w:rPr>
          <w:rFonts w:ascii="Arial" w:eastAsia="Times New Roman" w:hAnsi="Arial" w:cs="Arial"/>
          <w:bCs/>
          <w:iCs/>
          <w:sz w:val="20"/>
          <w:szCs w:val="20"/>
          <w:lang w:val="en-IN"/>
        </w:rPr>
        <w:t xml:space="preserve">, A., </w:t>
      </w:r>
      <w:proofErr w:type="spellStart"/>
      <w:r w:rsidRPr="000F1E43">
        <w:rPr>
          <w:rFonts w:ascii="Arial" w:eastAsia="Times New Roman" w:hAnsi="Arial" w:cs="Arial"/>
          <w:bCs/>
          <w:iCs/>
          <w:sz w:val="20"/>
          <w:szCs w:val="20"/>
          <w:lang w:val="en-IN"/>
        </w:rPr>
        <w:t>Imade</w:t>
      </w:r>
      <w:proofErr w:type="spellEnd"/>
      <w:r w:rsidRPr="000F1E43">
        <w:rPr>
          <w:rFonts w:ascii="Arial" w:eastAsia="Times New Roman" w:hAnsi="Arial" w:cs="Arial"/>
          <w:bCs/>
          <w:iCs/>
          <w:sz w:val="20"/>
          <w:szCs w:val="20"/>
          <w:lang w:val="en-IN"/>
        </w:rPr>
        <w:t xml:space="preserve">, F., &amp; Tanvir, A. (2021). Update on mycotoxin contamination of maize and peanuts in East African Community countries. </w:t>
      </w:r>
      <w:r w:rsidRPr="000F1E43">
        <w:rPr>
          <w:rFonts w:ascii="Arial" w:eastAsia="Times New Roman" w:hAnsi="Arial" w:cs="Arial"/>
          <w:bCs/>
          <w:i/>
          <w:iCs/>
          <w:sz w:val="20"/>
          <w:szCs w:val="20"/>
          <w:lang w:val="en-IN"/>
        </w:rPr>
        <w:t>Journal of Food Science and Nutrition Therapy, 7</w:t>
      </w:r>
      <w:r w:rsidRPr="000F1E43">
        <w:rPr>
          <w:rFonts w:ascii="Arial" w:eastAsia="Times New Roman" w:hAnsi="Arial" w:cs="Arial"/>
          <w:bCs/>
          <w:iCs/>
          <w:sz w:val="20"/>
          <w:szCs w:val="20"/>
          <w:lang w:val="en-IN"/>
        </w:rPr>
        <w:t>, 001–010. https://doi.org/10.17352/jfsnt.000026</w:t>
      </w:r>
    </w:p>
    <w:p w14:paraId="355CECAE"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Ezekiel, C., Ortega-Beltran, A., &amp; Bandyopadhyay, R. (2019). The need for integrated approaches to address food safety risk: The case of mycotoxins in Africa. </w:t>
      </w:r>
      <w:r w:rsidRPr="000F1E43">
        <w:rPr>
          <w:rFonts w:ascii="Arial" w:eastAsia="Times New Roman" w:hAnsi="Arial" w:cs="Arial"/>
          <w:bCs/>
          <w:i/>
          <w:iCs/>
          <w:sz w:val="20"/>
          <w:szCs w:val="20"/>
          <w:lang w:val="en-IN"/>
        </w:rPr>
        <w:t xml:space="preserve">First FAO/WHO/AU International </w:t>
      </w:r>
      <w:r w:rsidRPr="000F1E43">
        <w:rPr>
          <w:rFonts w:ascii="Arial" w:eastAsia="Times New Roman" w:hAnsi="Arial" w:cs="Arial"/>
          <w:bCs/>
          <w:i/>
          <w:iCs/>
          <w:sz w:val="20"/>
          <w:szCs w:val="20"/>
          <w:lang w:val="en-IN"/>
        </w:rPr>
        <w:t>Food Safety Conference</w:t>
      </w:r>
      <w:r w:rsidRPr="000F1E43">
        <w:rPr>
          <w:rFonts w:ascii="Arial" w:eastAsia="Times New Roman" w:hAnsi="Arial" w:cs="Arial"/>
          <w:bCs/>
          <w:iCs/>
          <w:sz w:val="20"/>
          <w:szCs w:val="20"/>
          <w:lang w:val="en-IN"/>
        </w:rPr>
        <w:t xml:space="preserve">, 12-13 Feb, Addis Ababa, Ethiopia, </w:t>
      </w:r>
      <w:proofErr w:type="spellStart"/>
      <w:r w:rsidRPr="000F1E43">
        <w:rPr>
          <w:rFonts w:ascii="Arial" w:eastAsia="Times New Roman" w:hAnsi="Arial" w:cs="Arial"/>
          <w:bCs/>
          <w:iCs/>
          <w:sz w:val="20"/>
          <w:szCs w:val="20"/>
          <w:lang w:val="en-IN"/>
        </w:rPr>
        <w:t>Paca</w:t>
      </w:r>
      <w:proofErr w:type="spellEnd"/>
      <w:r w:rsidRPr="000F1E43">
        <w:rPr>
          <w:rFonts w:ascii="Arial" w:eastAsia="Times New Roman" w:hAnsi="Arial" w:cs="Arial"/>
          <w:bCs/>
          <w:iCs/>
          <w:sz w:val="20"/>
          <w:szCs w:val="20"/>
          <w:lang w:val="en-IN"/>
        </w:rPr>
        <w:t>, 2016–2018.</w:t>
      </w:r>
    </w:p>
    <w:p w14:paraId="48F08E3A"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Fandohan</w:t>
      </w:r>
      <w:proofErr w:type="spellEnd"/>
      <w:r w:rsidRPr="000F1E43">
        <w:rPr>
          <w:rFonts w:ascii="Arial" w:eastAsia="Times New Roman" w:hAnsi="Arial" w:cs="Arial"/>
          <w:bCs/>
          <w:iCs/>
          <w:sz w:val="20"/>
          <w:szCs w:val="20"/>
          <w:lang w:val="en-IN"/>
        </w:rPr>
        <w:t xml:space="preserve">, P., </w:t>
      </w:r>
      <w:proofErr w:type="spellStart"/>
      <w:r w:rsidRPr="000F1E43">
        <w:rPr>
          <w:rFonts w:ascii="Arial" w:eastAsia="Times New Roman" w:hAnsi="Arial" w:cs="Arial"/>
          <w:bCs/>
          <w:iCs/>
          <w:sz w:val="20"/>
          <w:szCs w:val="20"/>
          <w:lang w:val="en-IN"/>
        </w:rPr>
        <w:t>Zoumenou</w:t>
      </w:r>
      <w:proofErr w:type="spellEnd"/>
      <w:r w:rsidRPr="000F1E43">
        <w:rPr>
          <w:rFonts w:ascii="Arial" w:eastAsia="Times New Roman" w:hAnsi="Arial" w:cs="Arial"/>
          <w:bCs/>
          <w:iCs/>
          <w:sz w:val="20"/>
          <w:szCs w:val="20"/>
          <w:lang w:val="en-IN"/>
        </w:rPr>
        <w:t xml:space="preserve">, D., </w:t>
      </w:r>
      <w:proofErr w:type="spellStart"/>
      <w:r w:rsidRPr="000F1E43">
        <w:rPr>
          <w:rFonts w:ascii="Arial" w:eastAsia="Times New Roman" w:hAnsi="Arial" w:cs="Arial"/>
          <w:bCs/>
          <w:iCs/>
          <w:sz w:val="20"/>
          <w:szCs w:val="20"/>
          <w:lang w:val="en-IN"/>
        </w:rPr>
        <w:t>Hounhouigan</w:t>
      </w:r>
      <w:proofErr w:type="spellEnd"/>
      <w:r w:rsidRPr="000F1E43">
        <w:rPr>
          <w:rFonts w:ascii="Arial" w:eastAsia="Times New Roman" w:hAnsi="Arial" w:cs="Arial"/>
          <w:bCs/>
          <w:iCs/>
          <w:sz w:val="20"/>
          <w:szCs w:val="20"/>
          <w:lang w:val="en-IN"/>
        </w:rPr>
        <w:t xml:space="preserve">, D. J., </w:t>
      </w:r>
      <w:proofErr w:type="spellStart"/>
      <w:r w:rsidRPr="000F1E43">
        <w:rPr>
          <w:rFonts w:ascii="Arial" w:eastAsia="Times New Roman" w:hAnsi="Arial" w:cs="Arial"/>
          <w:bCs/>
          <w:iCs/>
          <w:sz w:val="20"/>
          <w:szCs w:val="20"/>
          <w:lang w:val="en-IN"/>
        </w:rPr>
        <w:t>Marasas</w:t>
      </w:r>
      <w:proofErr w:type="spellEnd"/>
      <w:r w:rsidRPr="000F1E43">
        <w:rPr>
          <w:rFonts w:ascii="Arial" w:eastAsia="Times New Roman" w:hAnsi="Arial" w:cs="Arial"/>
          <w:bCs/>
          <w:iCs/>
          <w:sz w:val="20"/>
          <w:szCs w:val="20"/>
          <w:lang w:val="en-IN"/>
        </w:rPr>
        <w:t xml:space="preserve">, W. F. O., Wingfield, M. J., &amp; Hell, K. (2005). Fate of aflatoxins and </w:t>
      </w:r>
      <w:proofErr w:type="spellStart"/>
      <w:r w:rsidRPr="000F1E43">
        <w:rPr>
          <w:rFonts w:ascii="Arial" w:eastAsia="Times New Roman" w:hAnsi="Arial" w:cs="Arial"/>
          <w:bCs/>
          <w:iCs/>
          <w:sz w:val="20"/>
          <w:szCs w:val="20"/>
          <w:lang w:val="en-IN"/>
        </w:rPr>
        <w:t>fumonisins</w:t>
      </w:r>
      <w:proofErr w:type="spellEnd"/>
      <w:r w:rsidRPr="000F1E43">
        <w:rPr>
          <w:rFonts w:ascii="Arial" w:eastAsia="Times New Roman" w:hAnsi="Arial" w:cs="Arial"/>
          <w:bCs/>
          <w:iCs/>
          <w:sz w:val="20"/>
          <w:szCs w:val="20"/>
          <w:lang w:val="en-IN"/>
        </w:rPr>
        <w:t xml:space="preserve"> during the processing of maize into food products in Benin. </w:t>
      </w:r>
      <w:r w:rsidRPr="000F1E43">
        <w:rPr>
          <w:rFonts w:ascii="Arial" w:eastAsia="Times New Roman" w:hAnsi="Arial" w:cs="Arial"/>
          <w:bCs/>
          <w:i/>
          <w:iCs/>
          <w:sz w:val="20"/>
          <w:szCs w:val="20"/>
          <w:lang w:val="en-IN"/>
        </w:rPr>
        <w:t>International Journal of Food Microbiology, 98</w:t>
      </w:r>
      <w:r w:rsidRPr="000F1E43">
        <w:rPr>
          <w:rFonts w:ascii="Arial" w:eastAsia="Times New Roman" w:hAnsi="Arial" w:cs="Arial"/>
          <w:bCs/>
          <w:iCs/>
          <w:sz w:val="20"/>
          <w:szCs w:val="20"/>
          <w:lang w:val="en-IN"/>
        </w:rPr>
        <w:t>(3), 249–259. https://doi.org/10.1016/j.ijfoodmicro.2004.07.007</w:t>
      </w:r>
    </w:p>
    <w:p w14:paraId="4F8D17B1"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Fariha</w:t>
      </w:r>
      <w:proofErr w:type="spellEnd"/>
      <w:r w:rsidRPr="000F1E43">
        <w:rPr>
          <w:rFonts w:ascii="Arial" w:eastAsia="Times New Roman" w:hAnsi="Arial" w:cs="Arial"/>
          <w:bCs/>
          <w:iCs/>
          <w:sz w:val="20"/>
          <w:szCs w:val="20"/>
          <w:lang w:val="en-IN"/>
        </w:rPr>
        <w:t xml:space="preserve"> Ibrahim, H., Jalal, H., Khan, A. B., Asghar, M. A., Iqbal, J., Ahmed, A., Nadeem, G., et al. (2016). Prevalence of aflatoxigenic </w:t>
      </w:r>
      <w:r w:rsidRPr="000F1E43">
        <w:rPr>
          <w:rFonts w:ascii="Arial" w:eastAsia="Times New Roman" w:hAnsi="Arial" w:cs="Arial"/>
          <w:bCs/>
          <w:i/>
          <w:iCs/>
          <w:sz w:val="20"/>
          <w:szCs w:val="20"/>
          <w:lang w:val="en-IN"/>
        </w:rPr>
        <w:t>Aspergillus</w:t>
      </w:r>
      <w:r w:rsidRPr="000F1E43">
        <w:rPr>
          <w:rFonts w:ascii="Arial" w:eastAsia="Times New Roman" w:hAnsi="Arial" w:cs="Arial"/>
          <w:bCs/>
          <w:iCs/>
          <w:sz w:val="20"/>
          <w:szCs w:val="20"/>
          <w:lang w:val="en-IN"/>
        </w:rPr>
        <w:t xml:space="preserve"> in food and feed samples from Karachi, Pakistan. </w:t>
      </w:r>
      <w:r w:rsidRPr="000F1E43">
        <w:rPr>
          <w:rFonts w:ascii="Arial" w:eastAsia="Times New Roman" w:hAnsi="Arial" w:cs="Arial"/>
          <w:bCs/>
          <w:i/>
          <w:iCs/>
          <w:sz w:val="20"/>
          <w:szCs w:val="20"/>
          <w:lang w:val="en-IN"/>
        </w:rPr>
        <w:t>Journal of Infection and Molecular Biology, 4</w:t>
      </w:r>
      <w:r w:rsidRPr="000F1E43">
        <w:rPr>
          <w:rFonts w:ascii="Arial" w:eastAsia="Times New Roman" w:hAnsi="Arial" w:cs="Arial"/>
          <w:bCs/>
          <w:iCs/>
          <w:sz w:val="20"/>
          <w:szCs w:val="20"/>
          <w:lang w:val="en-IN"/>
        </w:rPr>
        <w:t>, 1–8. https://doi.org/10.14737/journal.jimb/2016/4.1.1.8</w:t>
      </w:r>
    </w:p>
    <w:p w14:paraId="72D2CC38"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Government of Kenya. (2018). </w:t>
      </w:r>
      <w:r w:rsidRPr="000F1E43">
        <w:rPr>
          <w:rFonts w:ascii="Arial" w:eastAsia="Times New Roman" w:hAnsi="Arial" w:cs="Arial"/>
          <w:bCs/>
          <w:i/>
          <w:iCs/>
          <w:sz w:val="20"/>
          <w:szCs w:val="20"/>
          <w:lang w:val="en-IN"/>
        </w:rPr>
        <w:t>Climate risk profile for Kericho County. Kenya County Climate Risk Profile Series</w:t>
      </w:r>
      <w:r w:rsidRPr="000F1E43">
        <w:rPr>
          <w:rFonts w:ascii="Arial" w:eastAsia="Times New Roman" w:hAnsi="Arial" w:cs="Arial"/>
          <w:bCs/>
          <w:iCs/>
          <w:sz w:val="20"/>
          <w:szCs w:val="20"/>
          <w:lang w:val="en-IN"/>
        </w:rPr>
        <w:t>. https://hdl.handle.net/10568/96290</w:t>
      </w:r>
    </w:p>
    <w:p w14:paraId="1BF18844"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Id, A. W., </w:t>
      </w:r>
      <w:proofErr w:type="spellStart"/>
      <w:r w:rsidRPr="000F1E43">
        <w:rPr>
          <w:rFonts w:ascii="Arial" w:eastAsia="Times New Roman" w:hAnsi="Arial" w:cs="Arial"/>
          <w:bCs/>
          <w:iCs/>
          <w:sz w:val="20"/>
          <w:szCs w:val="20"/>
          <w:lang w:val="en-IN"/>
        </w:rPr>
        <w:t>Sudini</w:t>
      </w:r>
      <w:proofErr w:type="spellEnd"/>
      <w:r w:rsidRPr="000F1E43">
        <w:rPr>
          <w:rFonts w:ascii="Arial" w:eastAsia="Times New Roman" w:hAnsi="Arial" w:cs="Arial"/>
          <w:bCs/>
          <w:iCs/>
          <w:sz w:val="20"/>
          <w:szCs w:val="20"/>
          <w:lang w:val="en-IN"/>
        </w:rPr>
        <w:t xml:space="preserve">, H. K., </w:t>
      </w:r>
      <w:proofErr w:type="spellStart"/>
      <w:r w:rsidRPr="000F1E43">
        <w:rPr>
          <w:rFonts w:ascii="Arial" w:eastAsia="Times New Roman" w:hAnsi="Arial" w:cs="Arial"/>
          <w:bCs/>
          <w:iCs/>
          <w:sz w:val="20"/>
          <w:szCs w:val="20"/>
          <w:lang w:val="en-IN"/>
        </w:rPr>
        <w:t>Pingali</w:t>
      </w:r>
      <w:proofErr w:type="spellEnd"/>
      <w:r w:rsidRPr="000F1E43">
        <w:rPr>
          <w:rFonts w:ascii="Arial" w:eastAsia="Times New Roman" w:hAnsi="Arial" w:cs="Arial"/>
          <w:bCs/>
          <w:iCs/>
          <w:sz w:val="20"/>
          <w:szCs w:val="20"/>
          <w:lang w:val="en-IN"/>
        </w:rPr>
        <w:t>, P., &amp; Nelson, R. (2020). Exploring aflatoxin contamination and household-level exposure risk in diverse Indian food systems. 1–29. https://doi.org/10.1371/journal.pone.0240565</w:t>
      </w:r>
    </w:p>
    <w:p w14:paraId="1C055F5D"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Imienwanrin</w:t>
      </w:r>
      <w:proofErr w:type="spellEnd"/>
      <w:r w:rsidRPr="000F1E43">
        <w:rPr>
          <w:rFonts w:ascii="Arial" w:eastAsia="Times New Roman" w:hAnsi="Arial" w:cs="Arial"/>
          <w:bCs/>
          <w:iCs/>
          <w:sz w:val="20"/>
          <w:szCs w:val="20"/>
          <w:lang w:val="en-IN"/>
        </w:rPr>
        <w:t xml:space="preserve">, M. R., &amp; </w:t>
      </w:r>
      <w:proofErr w:type="spellStart"/>
      <w:r w:rsidRPr="000F1E43">
        <w:rPr>
          <w:rFonts w:ascii="Arial" w:eastAsia="Times New Roman" w:hAnsi="Arial" w:cs="Arial"/>
          <w:bCs/>
          <w:iCs/>
          <w:sz w:val="20"/>
          <w:szCs w:val="20"/>
          <w:lang w:val="en-IN"/>
        </w:rPr>
        <w:t>Makun</w:t>
      </w:r>
      <w:proofErr w:type="spellEnd"/>
      <w:r w:rsidRPr="000F1E43">
        <w:rPr>
          <w:rFonts w:ascii="Arial" w:eastAsia="Times New Roman" w:hAnsi="Arial" w:cs="Arial"/>
          <w:bCs/>
          <w:iCs/>
          <w:sz w:val="20"/>
          <w:szCs w:val="20"/>
          <w:lang w:val="en-IN"/>
        </w:rPr>
        <w:t xml:space="preserve">, H. A. (2020). Occurrence of major mycotoxins and their dietary exposure in North-Central Nigeria staples. </w:t>
      </w:r>
      <w:r w:rsidRPr="000F1E43">
        <w:rPr>
          <w:rFonts w:ascii="Arial" w:eastAsia="Times New Roman" w:hAnsi="Arial" w:cs="Arial"/>
          <w:bCs/>
          <w:i/>
          <w:iCs/>
          <w:sz w:val="20"/>
          <w:szCs w:val="20"/>
          <w:lang w:val="en-IN"/>
        </w:rPr>
        <w:t>Scientific African, 7</w:t>
      </w:r>
      <w:r w:rsidRPr="000F1E43">
        <w:rPr>
          <w:rFonts w:ascii="Arial" w:eastAsia="Times New Roman" w:hAnsi="Arial" w:cs="Arial"/>
          <w:bCs/>
          <w:iCs/>
          <w:sz w:val="20"/>
          <w:szCs w:val="20"/>
          <w:lang w:val="en-IN"/>
        </w:rPr>
        <w:t>, e00188. https://doi.org/10.1016/j.sciaf.2019.e00188</w:t>
      </w:r>
    </w:p>
    <w:p w14:paraId="15283147"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International Agency for Research on Cancer. (2002). </w:t>
      </w:r>
      <w:r w:rsidRPr="000F1E43">
        <w:rPr>
          <w:rFonts w:ascii="Arial" w:eastAsia="Times New Roman" w:hAnsi="Arial" w:cs="Arial"/>
          <w:bCs/>
          <w:i/>
          <w:iCs/>
          <w:sz w:val="20"/>
          <w:szCs w:val="20"/>
          <w:lang w:val="en-IN"/>
        </w:rPr>
        <w:t>IARC monographs on the evaluation of carcinogenic risks to humans</w:t>
      </w:r>
      <w:r w:rsidRPr="000F1E43">
        <w:rPr>
          <w:rFonts w:ascii="Arial" w:eastAsia="Times New Roman" w:hAnsi="Arial" w:cs="Arial"/>
          <w:bCs/>
          <w:iCs/>
          <w:sz w:val="20"/>
          <w:szCs w:val="20"/>
          <w:lang w:val="en-IN"/>
        </w:rPr>
        <w:t xml:space="preserve"> (Vol. 96). http://monographs.iarc.fr/ENG/Monographs/vol83/mono83-1.pdf</w:t>
      </w:r>
    </w:p>
    <w:p w14:paraId="41F73700"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bookmarkStart w:id="8" w:name="_Hlk193884049"/>
      <w:r w:rsidRPr="000F1E43">
        <w:rPr>
          <w:rFonts w:ascii="Arial" w:eastAsia="Times New Roman" w:hAnsi="Arial" w:cs="Arial"/>
          <w:bCs/>
          <w:iCs/>
          <w:sz w:val="20"/>
          <w:szCs w:val="20"/>
          <w:lang w:val="en-IN"/>
        </w:rPr>
        <w:t>Jonah</w:t>
      </w:r>
      <w:bookmarkEnd w:id="8"/>
      <w:r w:rsidRPr="000F1E43">
        <w:rPr>
          <w:rFonts w:ascii="Arial" w:eastAsia="Times New Roman" w:hAnsi="Arial" w:cs="Arial"/>
          <w:bCs/>
          <w:iCs/>
          <w:sz w:val="20"/>
          <w:szCs w:val="20"/>
          <w:lang w:val="en-IN"/>
        </w:rPr>
        <w:t xml:space="preserve"> K, B., Richard C, C., &amp; </w:t>
      </w:r>
      <w:proofErr w:type="spellStart"/>
      <w:r w:rsidRPr="000F1E43">
        <w:rPr>
          <w:rFonts w:ascii="Arial" w:eastAsia="Times New Roman" w:hAnsi="Arial" w:cs="Arial"/>
          <w:bCs/>
          <w:iCs/>
          <w:sz w:val="20"/>
          <w:szCs w:val="20"/>
          <w:lang w:val="en-IN"/>
        </w:rPr>
        <w:t>Teh</w:t>
      </w:r>
      <w:proofErr w:type="spellEnd"/>
      <w:r w:rsidRPr="000F1E43">
        <w:rPr>
          <w:rFonts w:ascii="Arial" w:eastAsia="Times New Roman" w:hAnsi="Arial" w:cs="Arial"/>
          <w:bCs/>
          <w:iCs/>
          <w:sz w:val="20"/>
          <w:szCs w:val="20"/>
          <w:lang w:val="en-IN"/>
        </w:rPr>
        <w:t xml:space="preserve"> Exodus, A. (2020). Mycotoxin contamination of stored maize in Kenya and the associated fungi. </w:t>
      </w:r>
      <w:r w:rsidRPr="000F1E43">
        <w:rPr>
          <w:rFonts w:ascii="Arial" w:eastAsia="Times New Roman" w:hAnsi="Arial" w:cs="Arial"/>
          <w:bCs/>
          <w:i/>
          <w:iCs/>
          <w:sz w:val="20"/>
          <w:szCs w:val="20"/>
          <w:lang w:val="en-IN"/>
        </w:rPr>
        <w:t>Journal of Plant Pathology Research, 2</w:t>
      </w:r>
      <w:r w:rsidRPr="000F1E43">
        <w:rPr>
          <w:rFonts w:ascii="Arial" w:eastAsia="Times New Roman" w:hAnsi="Arial" w:cs="Arial"/>
          <w:bCs/>
          <w:iCs/>
          <w:sz w:val="20"/>
          <w:szCs w:val="20"/>
          <w:lang w:val="en-IN"/>
        </w:rPr>
        <w:t>(1). https://doi.org/10.36959/394/620</w:t>
      </w:r>
    </w:p>
    <w:p w14:paraId="4405DC68"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Magan</w:t>
      </w:r>
      <w:proofErr w:type="spellEnd"/>
      <w:r w:rsidRPr="000F1E43">
        <w:rPr>
          <w:rFonts w:ascii="Arial" w:eastAsia="Times New Roman" w:hAnsi="Arial" w:cs="Arial"/>
          <w:bCs/>
          <w:iCs/>
          <w:sz w:val="20"/>
          <w:szCs w:val="20"/>
          <w:lang w:val="en-IN"/>
        </w:rPr>
        <w:t xml:space="preserve">, N., Hope, R., Cairns, V., &amp; </w:t>
      </w:r>
      <w:proofErr w:type="spellStart"/>
      <w:r w:rsidRPr="000F1E43">
        <w:rPr>
          <w:rFonts w:ascii="Arial" w:eastAsia="Times New Roman" w:hAnsi="Arial" w:cs="Arial"/>
          <w:bCs/>
          <w:iCs/>
          <w:sz w:val="20"/>
          <w:szCs w:val="20"/>
          <w:lang w:val="en-IN"/>
        </w:rPr>
        <w:t>Aldred</w:t>
      </w:r>
      <w:proofErr w:type="spellEnd"/>
      <w:r w:rsidRPr="000F1E43">
        <w:rPr>
          <w:rFonts w:ascii="Arial" w:eastAsia="Times New Roman" w:hAnsi="Arial" w:cs="Arial"/>
          <w:bCs/>
          <w:iCs/>
          <w:sz w:val="20"/>
          <w:szCs w:val="20"/>
          <w:lang w:val="en-IN"/>
        </w:rPr>
        <w:t xml:space="preserve">, D. (2003). Post-harvest fungal ecology: Impact of fungal growth and mycotoxin accumulation in stored grain. </w:t>
      </w:r>
      <w:r w:rsidRPr="000F1E43">
        <w:rPr>
          <w:rFonts w:ascii="Arial" w:eastAsia="Times New Roman" w:hAnsi="Arial" w:cs="Arial"/>
          <w:bCs/>
          <w:i/>
          <w:iCs/>
          <w:sz w:val="20"/>
          <w:szCs w:val="20"/>
          <w:lang w:val="en-IN"/>
        </w:rPr>
        <w:t>European Journal of Plant Pathology, 109</w:t>
      </w:r>
      <w:r w:rsidRPr="000F1E43">
        <w:rPr>
          <w:rFonts w:ascii="Arial" w:eastAsia="Times New Roman" w:hAnsi="Arial" w:cs="Arial"/>
          <w:bCs/>
          <w:iCs/>
          <w:sz w:val="20"/>
          <w:szCs w:val="20"/>
          <w:lang w:val="en-IN"/>
        </w:rPr>
        <w:t>(7), 723–730. https://doi.org/10.1023/A:1026082425177</w:t>
      </w:r>
    </w:p>
    <w:p w14:paraId="2FE560B7"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Miller, J. D. (2008). Mycotoxins in small grains and maize: Old problems, new challenges. </w:t>
      </w:r>
      <w:r w:rsidRPr="000F1E43">
        <w:rPr>
          <w:rFonts w:ascii="Arial" w:eastAsia="Times New Roman" w:hAnsi="Arial" w:cs="Arial"/>
          <w:bCs/>
          <w:i/>
          <w:iCs/>
          <w:sz w:val="20"/>
          <w:szCs w:val="20"/>
          <w:lang w:val="en-IN"/>
        </w:rPr>
        <w:t>Food Additives and Contaminants - Part A Chemistry, Analysis, Control, Exposure and Risk Assessment, 25</w:t>
      </w:r>
      <w:r w:rsidRPr="000F1E43">
        <w:rPr>
          <w:rFonts w:ascii="Arial" w:eastAsia="Times New Roman" w:hAnsi="Arial" w:cs="Arial"/>
          <w:bCs/>
          <w:iCs/>
          <w:sz w:val="20"/>
          <w:szCs w:val="20"/>
          <w:lang w:val="en-IN"/>
        </w:rPr>
        <w:t xml:space="preserve">(2), 219–230. </w:t>
      </w:r>
      <w:r w:rsidRPr="000F1E43">
        <w:rPr>
          <w:rFonts w:ascii="Arial" w:eastAsia="Times New Roman" w:hAnsi="Arial" w:cs="Arial"/>
          <w:bCs/>
          <w:iCs/>
          <w:sz w:val="20"/>
          <w:szCs w:val="20"/>
          <w:lang w:val="en-IN"/>
        </w:rPr>
        <w:lastRenderedPageBreak/>
        <w:t>https://doi.org/10.1080/02652030701744520</w:t>
      </w:r>
    </w:p>
    <w:p w14:paraId="0DBC2BA5"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Ncube, J., &amp; </w:t>
      </w:r>
      <w:proofErr w:type="spellStart"/>
      <w:r w:rsidRPr="000F1E43">
        <w:rPr>
          <w:rFonts w:ascii="Arial" w:eastAsia="Times New Roman" w:hAnsi="Arial" w:cs="Arial"/>
          <w:bCs/>
          <w:iCs/>
          <w:sz w:val="20"/>
          <w:szCs w:val="20"/>
          <w:lang w:val="en-IN"/>
        </w:rPr>
        <w:t>Maphosa</w:t>
      </w:r>
      <w:proofErr w:type="spellEnd"/>
      <w:r w:rsidRPr="000F1E43">
        <w:rPr>
          <w:rFonts w:ascii="Arial" w:eastAsia="Times New Roman" w:hAnsi="Arial" w:cs="Arial"/>
          <w:bCs/>
          <w:iCs/>
          <w:sz w:val="20"/>
          <w:szCs w:val="20"/>
          <w:lang w:val="en-IN"/>
        </w:rPr>
        <w:t xml:space="preserve">, M. (2020). Current state of knowledge on groundnut aflatoxins and their management from a plant breeding perspective: Lessons for Africa. </w:t>
      </w:r>
      <w:r w:rsidRPr="000F1E43">
        <w:rPr>
          <w:rFonts w:ascii="Arial" w:eastAsia="Times New Roman" w:hAnsi="Arial" w:cs="Arial"/>
          <w:bCs/>
          <w:i/>
          <w:iCs/>
          <w:sz w:val="20"/>
          <w:szCs w:val="20"/>
          <w:lang w:val="en-IN"/>
        </w:rPr>
        <w:t>Scientific African, 7</w:t>
      </w:r>
      <w:r w:rsidRPr="000F1E43">
        <w:rPr>
          <w:rFonts w:ascii="Arial" w:eastAsia="Times New Roman" w:hAnsi="Arial" w:cs="Arial"/>
          <w:bCs/>
          <w:iCs/>
          <w:sz w:val="20"/>
          <w:szCs w:val="20"/>
          <w:lang w:val="en-IN"/>
        </w:rPr>
        <w:t>, e00264. https://doi.org/10.1016/j.sciaf.2020.e00264</w:t>
      </w:r>
    </w:p>
    <w:p w14:paraId="06E30048"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Nyirahakizimana</w:t>
      </w:r>
      <w:proofErr w:type="spellEnd"/>
      <w:r w:rsidRPr="000F1E43">
        <w:rPr>
          <w:rFonts w:ascii="Arial" w:eastAsia="Times New Roman" w:hAnsi="Arial" w:cs="Arial"/>
          <w:bCs/>
          <w:iCs/>
          <w:sz w:val="20"/>
          <w:szCs w:val="20"/>
          <w:lang w:val="en-IN"/>
        </w:rPr>
        <w:t xml:space="preserve">, H., </w:t>
      </w:r>
      <w:proofErr w:type="spellStart"/>
      <w:r w:rsidRPr="000F1E43">
        <w:rPr>
          <w:rFonts w:ascii="Arial" w:eastAsia="Times New Roman" w:hAnsi="Arial" w:cs="Arial"/>
          <w:bCs/>
          <w:iCs/>
          <w:sz w:val="20"/>
          <w:szCs w:val="20"/>
          <w:lang w:val="en-IN"/>
        </w:rPr>
        <w:t>Mwamburi</w:t>
      </w:r>
      <w:proofErr w:type="spellEnd"/>
      <w:r w:rsidRPr="000F1E43">
        <w:rPr>
          <w:rFonts w:ascii="Arial" w:eastAsia="Times New Roman" w:hAnsi="Arial" w:cs="Arial"/>
          <w:bCs/>
          <w:iCs/>
          <w:sz w:val="20"/>
          <w:szCs w:val="20"/>
          <w:lang w:val="en-IN"/>
        </w:rPr>
        <w:t xml:space="preserve">, L., </w:t>
      </w:r>
      <w:proofErr w:type="spellStart"/>
      <w:r w:rsidRPr="000F1E43">
        <w:rPr>
          <w:rFonts w:ascii="Arial" w:eastAsia="Times New Roman" w:hAnsi="Arial" w:cs="Arial"/>
          <w:bCs/>
          <w:iCs/>
          <w:sz w:val="20"/>
          <w:szCs w:val="20"/>
          <w:lang w:val="en-IN"/>
        </w:rPr>
        <w:t>Wakhisi</w:t>
      </w:r>
      <w:proofErr w:type="spellEnd"/>
      <w:r w:rsidRPr="000F1E43">
        <w:rPr>
          <w:rFonts w:ascii="Arial" w:eastAsia="Times New Roman" w:hAnsi="Arial" w:cs="Arial"/>
          <w:bCs/>
          <w:iCs/>
          <w:sz w:val="20"/>
          <w:szCs w:val="20"/>
          <w:lang w:val="en-IN"/>
        </w:rPr>
        <w:t xml:space="preserve">, J., </w:t>
      </w:r>
      <w:proofErr w:type="spellStart"/>
      <w:r w:rsidRPr="000F1E43">
        <w:rPr>
          <w:rFonts w:ascii="Arial" w:eastAsia="Times New Roman" w:hAnsi="Arial" w:cs="Arial"/>
          <w:bCs/>
          <w:iCs/>
          <w:sz w:val="20"/>
          <w:szCs w:val="20"/>
          <w:lang w:val="en-IN"/>
        </w:rPr>
        <w:t>Mutegi</w:t>
      </w:r>
      <w:proofErr w:type="spellEnd"/>
      <w:r w:rsidRPr="000F1E43">
        <w:rPr>
          <w:rFonts w:ascii="Arial" w:eastAsia="Times New Roman" w:hAnsi="Arial" w:cs="Arial"/>
          <w:bCs/>
          <w:iCs/>
          <w:sz w:val="20"/>
          <w:szCs w:val="20"/>
          <w:lang w:val="en-IN"/>
        </w:rPr>
        <w:t xml:space="preserve">, C. K., Christie, M. E., &amp; </w:t>
      </w:r>
      <w:proofErr w:type="spellStart"/>
      <w:r w:rsidRPr="000F1E43">
        <w:rPr>
          <w:rFonts w:ascii="Arial" w:eastAsia="Times New Roman" w:hAnsi="Arial" w:cs="Arial"/>
          <w:bCs/>
          <w:iCs/>
          <w:sz w:val="20"/>
          <w:szCs w:val="20"/>
          <w:lang w:val="en-IN"/>
        </w:rPr>
        <w:t>Wagacha</w:t>
      </w:r>
      <w:proofErr w:type="spellEnd"/>
      <w:r w:rsidRPr="000F1E43">
        <w:rPr>
          <w:rFonts w:ascii="Arial" w:eastAsia="Times New Roman" w:hAnsi="Arial" w:cs="Arial"/>
          <w:bCs/>
          <w:iCs/>
          <w:sz w:val="20"/>
          <w:szCs w:val="20"/>
          <w:lang w:val="en-IN"/>
        </w:rPr>
        <w:t xml:space="preserve">, J. M. (2013). Occurrence of </w:t>
      </w:r>
      <w:r w:rsidRPr="000F1E43">
        <w:rPr>
          <w:rFonts w:ascii="Arial" w:eastAsia="Times New Roman" w:hAnsi="Arial" w:cs="Arial"/>
          <w:bCs/>
          <w:i/>
          <w:iCs/>
          <w:sz w:val="20"/>
          <w:szCs w:val="20"/>
          <w:lang w:val="en-IN"/>
        </w:rPr>
        <w:t>Aspergillus</w:t>
      </w:r>
      <w:r w:rsidRPr="000F1E43">
        <w:rPr>
          <w:rFonts w:ascii="Arial" w:eastAsia="Times New Roman" w:hAnsi="Arial" w:cs="Arial"/>
          <w:bCs/>
          <w:iCs/>
          <w:sz w:val="20"/>
          <w:szCs w:val="20"/>
          <w:lang w:val="en-IN"/>
        </w:rPr>
        <w:t xml:space="preserve"> species and aflatoxin contamination in raw and roasted peanuts from formal and informal markets in Eldoret and Kericho towns, Kenya. </w:t>
      </w:r>
      <w:r w:rsidRPr="000F1E43">
        <w:rPr>
          <w:rFonts w:ascii="Arial" w:eastAsia="Times New Roman" w:hAnsi="Arial" w:cs="Arial"/>
          <w:bCs/>
          <w:i/>
          <w:iCs/>
          <w:sz w:val="20"/>
          <w:szCs w:val="20"/>
          <w:lang w:val="en-IN"/>
        </w:rPr>
        <w:t>Advances in Microbiology, 03</w:t>
      </w:r>
      <w:r w:rsidRPr="000F1E43">
        <w:rPr>
          <w:rFonts w:ascii="Arial" w:eastAsia="Times New Roman" w:hAnsi="Arial" w:cs="Arial"/>
          <w:bCs/>
          <w:iCs/>
          <w:sz w:val="20"/>
          <w:szCs w:val="20"/>
          <w:lang w:val="en-IN"/>
        </w:rPr>
        <w:t>(04), 333–342. https://doi.org/10.4236/aim.2013.34047</w:t>
      </w:r>
    </w:p>
    <w:p w14:paraId="4D8E8B7E"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Ostry</w:t>
      </w:r>
      <w:proofErr w:type="spellEnd"/>
      <w:r w:rsidRPr="000F1E43">
        <w:rPr>
          <w:rFonts w:ascii="Arial" w:eastAsia="Times New Roman" w:hAnsi="Arial" w:cs="Arial"/>
          <w:bCs/>
          <w:iCs/>
          <w:sz w:val="20"/>
          <w:szCs w:val="20"/>
          <w:lang w:val="en-IN"/>
        </w:rPr>
        <w:t xml:space="preserve">, V., </w:t>
      </w:r>
      <w:proofErr w:type="spellStart"/>
      <w:r w:rsidRPr="000F1E43">
        <w:rPr>
          <w:rFonts w:ascii="Arial" w:eastAsia="Times New Roman" w:hAnsi="Arial" w:cs="Arial"/>
          <w:bCs/>
          <w:iCs/>
          <w:sz w:val="20"/>
          <w:szCs w:val="20"/>
          <w:lang w:val="en-IN"/>
        </w:rPr>
        <w:t>Malir</w:t>
      </w:r>
      <w:proofErr w:type="spellEnd"/>
      <w:r w:rsidRPr="000F1E43">
        <w:rPr>
          <w:rFonts w:ascii="Arial" w:eastAsia="Times New Roman" w:hAnsi="Arial" w:cs="Arial"/>
          <w:bCs/>
          <w:iCs/>
          <w:sz w:val="20"/>
          <w:szCs w:val="20"/>
          <w:lang w:val="en-IN"/>
        </w:rPr>
        <w:t xml:space="preserve">, F., </w:t>
      </w:r>
      <w:proofErr w:type="spellStart"/>
      <w:r w:rsidRPr="000F1E43">
        <w:rPr>
          <w:rFonts w:ascii="Arial" w:eastAsia="Times New Roman" w:hAnsi="Arial" w:cs="Arial"/>
          <w:bCs/>
          <w:iCs/>
          <w:sz w:val="20"/>
          <w:szCs w:val="20"/>
          <w:lang w:val="en-IN"/>
        </w:rPr>
        <w:t>Toman</w:t>
      </w:r>
      <w:proofErr w:type="spellEnd"/>
      <w:r w:rsidRPr="000F1E43">
        <w:rPr>
          <w:rFonts w:ascii="Arial" w:eastAsia="Times New Roman" w:hAnsi="Arial" w:cs="Arial"/>
          <w:bCs/>
          <w:iCs/>
          <w:sz w:val="20"/>
          <w:szCs w:val="20"/>
          <w:lang w:val="en-IN"/>
        </w:rPr>
        <w:t xml:space="preserve">, J., &amp; Grosse, Y. (2017). Mycotoxins as human carcinogens—the IARC Monographs classification. </w:t>
      </w:r>
      <w:r w:rsidRPr="000F1E43">
        <w:rPr>
          <w:rFonts w:ascii="Arial" w:eastAsia="Times New Roman" w:hAnsi="Arial" w:cs="Arial"/>
          <w:bCs/>
          <w:i/>
          <w:iCs/>
          <w:sz w:val="20"/>
          <w:szCs w:val="20"/>
          <w:lang w:val="en-IN"/>
        </w:rPr>
        <w:t>Mycotoxin Research, 33</w:t>
      </w:r>
      <w:r w:rsidRPr="000F1E43">
        <w:rPr>
          <w:rFonts w:ascii="Arial" w:eastAsia="Times New Roman" w:hAnsi="Arial" w:cs="Arial"/>
          <w:bCs/>
          <w:iCs/>
          <w:sz w:val="20"/>
          <w:szCs w:val="20"/>
          <w:lang w:val="en-IN"/>
        </w:rPr>
        <w:t>(1), 65–73. https://doi.org/10.1007/s12550-016-0265-7</w:t>
      </w:r>
    </w:p>
    <w:p w14:paraId="708A4998"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Probst, C., </w:t>
      </w:r>
      <w:proofErr w:type="spellStart"/>
      <w:r w:rsidRPr="000F1E43">
        <w:rPr>
          <w:rFonts w:ascii="Arial" w:eastAsia="Times New Roman" w:hAnsi="Arial" w:cs="Arial"/>
          <w:bCs/>
          <w:iCs/>
          <w:sz w:val="20"/>
          <w:szCs w:val="20"/>
          <w:lang w:val="en-IN"/>
        </w:rPr>
        <w:t>Njapau</w:t>
      </w:r>
      <w:proofErr w:type="spellEnd"/>
      <w:r w:rsidRPr="000F1E43">
        <w:rPr>
          <w:rFonts w:ascii="Arial" w:eastAsia="Times New Roman" w:hAnsi="Arial" w:cs="Arial"/>
          <w:bCs/>
          <w:iCs/>
          <w:sz w:val="20"/>
          <w:szCs w:val="20"/>
          <w:lang w:val="en-IN"/>
        </w:rPr>
        <w:t xml:space="preserve">, H., &amp; </w:t>
      </w:r>
      <w:proofErr w:type="spellStart"/>
      <w:r w:rsidRPr="000F1E43">
        <w:rPr>
          <w:rFonts w:ascii="Arial" w:eastAsia="Times New Roman" w:hAnsi="Arial" w:cs="Arial"/>
          <w:bCs/>
          <w:iCs/>
          <w:sz w:val="20"/>
          <w:szCs w:val="20"/>
          <w:lang w:val="en-IN"/>
        </w:rPr>
        <w:t>Cotty</w:t>
      </w:r>
      <w:proofErr w:type="spellEnd"/>
      <w:r w:rsidRPr="000F1E43">
        <w:rPr>
          <w:rFonts w:ascii="Arial" w:eastAsia="Times New Roman" w:hAnsi="Arial" w:cs="Arial"/>
          <w:bCs/>
          <w:iCs/>
          <w:sz w:val="20"/>
          <w:szCs w:val="20"/>
          <w:lang w:val="en-IN"/>
        </w:rPr>
        <w:t xml:space="preserve">, P. J. (2007). Outbreak of an acute aflatoxicosis in Kenya in 2004: Identification of the causal agent. </w:t>
      </w:r>
      <w:r w:rsidRPr="000F1E43">
        <w:rPr>
          <w:rFonts w:ascii="Arial" w:eastAsia="Times New Roman" w:hAnsi="Arial" w:cs="Arial"/>
          <w:bCs/>
          <w:i/>
          <w:iCs/>
          <w:sz w:val="20"/>
          <w:szCs w:val="20"/>
          <w:lang w:val="en-IN"/>
        </w:rPr>
        <w:t>Applied and Environmental Microbiology, 73</w:t>
      </w:r>
      <w:r w:rsidRPr="000F1E43">
        <w:rPr>
          <w:rFonts w:ascii="Arial" w:eastAsia="Times New Roman" w:hAnsi="Arial" w:cs="Arial"/>
          <w:bCs/>
          <w:iCs/>
          <w:sz w:val="20"/>
          <w:szCs w:val="20"/>
          <w:lang w:val="en-IN"/>
        </w:rPr>
        <w:t>(8), 2762–2764. https://doi.org/10.1128/AEM.02370-06</w:t>
      </w:r>
    </w:p>
    <w:p w14:paraId="043650D9"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Shephard, G. S. (2008). Impact of mycotoxins on human health in developing countries. </w:t>
      </w:r>
      <w:r w:rsidRPr="000F1E43">
        <w:rPr>
          <w:rFonts w:ascii="Arial" w:eastAsia="Times New Roman" w:hAnsi="Arial" w:cs="Arial"/>
          <w:bCs/>
          <w:i/>
          <w:iCs/>
          <w:sz w:val="20"/>
          <w:szCs w:val="20"/>
          <w:lang w:val="en-IN"/>
        </w:rPr>
        <w:t>Food Additives and Contaminants - Part A Chemistry, Analysis, Control, Exposure and Risk Assessment, 25</w:t>
      </w:r>
      <w:r w:rsidRPr="000F1E43">
        <w:rPr>
          <w:rFonts w:ascii="Arial" w:eastAsia="Times New Roman" w:hAnsi="Arial" w:cs="Arial"/>
          <w:bCs/>
          <w:iCs/>
          <w:sz w:val="20"/>
          <w:szCs w:val="20"/>
          <w:lang w:val="en-IN"/>
        </w:rPr>
        <w:t>(2), 146–151. https://doi.org/10.1080/02652030701567442</w:t>
      </w:r>
    </w:p>
    <w:p w14:paraId="32C8356D" w14:textId="5BE5B188"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Sirma</w:t>
      </w:r>
      <w:proofErr w:type="spellEnd"/>
      <w:r w:rsidRPr="000F1E43">
        <w:rPr>
          <w:rFonts w:ascii="Arial" w:eastAsia="Times New Roman" w:hAnsi="Arial" w:cs="Arial"/>
          <w:bCs/>
          <w:iCs/>
          <w:sz w:val="20"/>
          <w:szCs w:val="20"/>
          <w:lang w:val="en-IN"/>
        </w:rPr>
        <w:t xml:space="preserve">, A. J., Lindahl, J. F., Makita, K., </w:t>
      </w:r>
      <w:proofErr w:type="spellStart"/>
      <w:r w:rsidRPr="000F1E43">
        <w:rPr>
          <w:rFonts w:ascii="Arial" w:eastAsia="Times New Roman" w:hAnsi="Arial" w:cs="Arial"/>
          <w:bCs/>
          <w:iCs/>
          <w:sz w:val="20"/>
          <w:szCs w:val="20"/>
          <w:lang w:val="en-IN"/>
        </w:rPr>
        <w:t>Senerwa</w:t>
      </w:r>
      <w:proofErr w:type="spellEnd"/>
      <w:r w:rsidRPr="000F1E43">
        <w:rPr>
          <w:rFonts w:ascii="Arial" w:eastAsia="Times New Roman" w:hAnsi="Arial" w:cs="Arial"/>
          <w:bCs/>
          <w:iCs/>
          <w:sz w:val="20"/>
          <w:szCs w:val="20"/>
          <w:lang w:val="en-IN"/>
        </w:rPr>
        <w:t xml:space="preserve">, D., </w:t>
      </w:r>
      <w:proofErr w:type="spellStart"/>
      <w:r w:rsidRPr="000F1E43">
        <w:rPr>
          <w:rFonts w:ascii="Arial" w:eastAsia="Times New Roman" w:hAnsi="Arial" w:cs="Arial"/>
          <w:bCs/>
          <w:iCs/>
          <w:sz w:val="20"/>
          <w:szCs w:val="20"/>
          <w:lang w:val="en-IN"/>
        </w:rPr>
        <w:t>Mtimet</w:t>
      </w:r>
      <w:proofErr w:type="spellEnd"/>
      <w:r w:rsidRPr="000F1E43">
        <w:rPr>
          <w:rFonts w:ascii="Arial" w:eastAsia="Times New Roman" w:hAnsi="Arial" w:cs="Arial"/>
          <w:bCs/>
          <w:iCs/>
          <w:sz w:val="20"/>
          <w:szCs w:val="20"/>
          <w:lang w:val="en-IN"/>
        </w:rPr>
        <w:t xml:space="preserve">, N., </w:t>
      </w:r>
      <w:proofErr w:type="spellStart"/>
      <w:r w:rsidRPr="000F1E43">
        <w:rPr>
          <w:rFonts w:ascii="Arial" w:eastAsia="Times New Roman" w:hAnsi="Arial" w:cs="Arial"/>
          <w:bCs/>
          <w:iCs/>
          <w:sz w:val="20"/>
          <w:szCs w:val="20"/>
          <w:lang w:val="en-IN"/>
        </w:rPr>
        <w:t>Kang’ethe</w:t>
      </w:r>
      <w:proofErr w:type="spellEnd"/>
      <w:r w:rsidRPr="000F1E43">
        <w:rPr>
          <w:rFonts w:ascii="Arial" w:eastAsia="Times New Roman" w:hAnsi="Arial" w:cs="Arial"/>
          <w:bCs/>
          <w:iCs/>
          <w:sz w:val="20"/>
          <w:szCs w:val="20"/>
          <w:lang w:val="en-IN"/>
        </w:rPr>
        <w:t xml:space="preserve">, E. K., &amp; </w:t>
      </w:r>
      <w:r w:rsidR="00BD45AB" w:rsidRPr="000F1E43">
        <w:rPr>
          <w:rFonts w:ascii="Arial" w:eastAsia="Times New Roman" w:hAnsi="Arial" w:cs="Arial"/>
          <w:bCs/>
          <w:iCs/>
          <w:sz w:val="20"/>
          <w:szCs w:val="20"/>
          <w:lang w:val="en-IN"/>
        </w:rPr>
        <w:t xml:space="preserve">             </w:t>
      </w:r>
      <w:r w:rsidRPr="000F1E43">
        <w:rPr>
          <w:rFonts w:ascii="Arial" w:eastAsia="Times New Roman" w:hAnsi="Arial" w:cs="Arial"/>
          <w:bCs/>
          <w:iCs/>
          <w:sz w:val="20"/>
          <w:szCs w:val="20"/>
          <w:lang w:val="en-IN"/>
        </w:rPr>
        <w:t xml:space="preserve">Grace, D. (2018). The impacts of </w:t>
      </w:r>
      <w:r w:rsidR="00BD45AB" w:rsidRPr="000F1E43">
        <w:rPr>
          <w:rFonts w:ascii="Arial" w:eastAsia="Times New Roman" w:hAnsi="Arial" w:cs="Arial"/>
          <w:bCs/>
          <w:iCs/>
          <w:sz w:val="20"/>
          <w:szCs w:val="20"/>
          <w:lang w:val="en-IN"/>
        </w:rPr>
        <w:t xml:space="preserve">            </w:t>
      </w:r>
      <w:r w:rsidRPr="000F1E43">
        <w:rPr>
          <w:rFonts w:ascii="Arial" w:eastAsia="Times New Roman" w:hAnsi="Arial" w:cs="Arial"/>
          <w:bCs/>
          <w:iCs/>
          <w:sz w:val="20"/>
          <w:szCs w:val="20"/>
          <w:lang w:val="en-IN"/>
        </w:rPr>
        <w:t xml:space="preserve">aflatoxin standards on health and </w:t>
      </w:r>
      <w:r w:rsidR="00BD45AB" w:rsidRPr="000F1E43">
        <w:rPr>
          <w:rFonts w:ascii="Arial" w:eastAsia="Times New Roman" w:hAnsi="Arial" w:cs="Arial"/>
          <w:bCs/>
          <w:iCs/>
          <w:sz w:val="20"/>
          <w:szCs w:val="20"/>
          <w:lang w:val="en-IN"/>
        </w:rPr>
        <w:t xml:space="preserve">             </w:t>
      </w:r>
      <w:r w:rsidRPr="000F1E43">
        <w:rPr>
          <w:rFonts w:ascii="Arial" w:eastAsia="Times New Roman" w:hAnsi="Arial" w:cs="Arial"/>
          <w:bCs/>
          <w:iCs/>
          <w:sz w:val="20"/>
          <w:szCs w:val="20"/>
          <w:lang w:val="en-IN"/>
        </w:rPr>
        <w:t xml:space="preserve">nutrition in sub-Saharan Africa: The case of Kenya. </w:t>
      </w:r>
      <w:r w:rsidRPr="000F1E43">
        <w:rPr>
          <w:rFonts w:ascii="Arial" w:eastAsia="Times New Roman" w:hAnsi="Arial" w:cs="Arial"/>
          <w:bCs/>
          <w:i/>
          <w:iCs/>
          <w:sz w:val="20"/>
          <w:szCs w:val="20"/>
          <w:lang w:val="en-IN"/>
        </w:rPr>
        <w:t>Global Food Security, 18</w:t>
      </w:r>
      <w:r w:rsidRPr="000F1E43">
        <w:rPr>
          <w:rFonts w:ascii="Arial" w:eastAsia="Times New Roman" w:hAnsi="Arial" w:cs="Arial"/>
          <w:bCs/>
          <w:iCs/>
          <w:sz w:val="20"/>
          <w:szCs w:val="20"/>
          <w:lang w:val="en-IN"/>
        </w:rPr>
        <w:t>(May), 57–61. https://doi.org/10.1016/j.gfs.2018.08.001</w:t>
      </w:r>
    </w:p>
    <w:p w14:paraId="45B670F6"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Ti</w:t>
      </w:r>
      <w:proofErr w:type="spellEnd"/>
      <w:r w:rsidRPr="000F1E43">
        <w:rPr>
          <w:rFonts w:ascii="Arial" w:eastAsia="Times New Roman" w:hAnsi="Arial" w:cs="Arial"/>
          <w:bCs/>
          <w:iCs/>
          <w:sz w:val="20"/>
          <w:szCs w:val="20"/>
          <w:lang w:val="en-IN"/>
        </w:rPr>
        <w:t>, E. S., Ta, E. D., El, A., &amp; Am, A. (2019). Investigation of fungus associated with co-</w:t>
      </w:r>
      <w:r w:rsidRPr="000F1E43">
        <w:rPr>
          <w:rFonts w:ascii="Arial" w:eastAsia="Times New Roman" w:hAnsi="Arial" w:cs="Arial"/>
          <w:bCs/>
          <w:iCs/>
          <w:sz w:val="20"/>
          <w:szCs w:val="20"/>
          <w:lang w:val="en-IN"/>
        </w:rPr>
        <w:t xml:space="preserve">occurrence of aflatoxins and ochratoxin A in cereals from Egypt. </w:t>
      </w:r>
      <w:r w:rsidRPr="000F1E43">
        <w:rPr>
          <w:rFonts w:ascii="Arial" w:eastAsia="Times New Roman" w:hAnsi="Arial" w:cs="Arial"/>
          <w:bCs/>
          <w:i/>
          <w:iCs/>
          <w:sz w:val="20"/>
          <w:szCs w:val="20"/>
          <w:lang w:val="en-IN"/>
        </w:rPr>
        <w:t>5</w:t>
      </w:r>
      <w:r w:rsidRPr="000F1E43">
        <w:rPr>
          <w:rFonts w:ascii="Arial" w:eastAsia="Times New Roman" w:hAnsi="Arial" w:cs="Arial"/>
          <w:bCs/>
          <w:iCs/>
          <w:sz w:val="20"/>
          <w:szCs w:val="20"/>
          <w:lang w:val="en-IN"/>
        </w:rPr>
        <w:t>(3), 92–99. https://doi.org/10.15406/mojt.2019.05.00161</w:t>
      </w:r>
    </w:p>
    <w:p w14:paraId="03186975"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Udomkun</w:t>
      </w:r>
      <w:proofErr w:type="spellEnd"/>
      <w:r w:rsidRPr="000F1E43">
        <w:rPr>
          <w:rFonts w:ascii="Arial" w:eastAsia="Times New Roman" w:hAnsi="Arial" w:cs="Arial"/>
          <w:bCs/>
          <w:iCs/>
          <w:sz w:val="20"/>
          <w:szCs w:val="20"/>
          <w:lang w:val="en-IN"/>
        </w:rPr>
        <w:t xml:space="preserve">, P., </w:t>
      </w:r>
      <w:proofErr w:type="spellStart"/>
      <w:r w:rsidRPr="000F1E43">
        <w:rPr>
          <w:rFonts w:ascii="Arial" w:eastAsia="Times New Roman" w:hAnsi="Arial" w:cs="Arial"/>
          <w:bCs/>
          <w:iCs/>
          <w:sz w:val="20"/>
          <w:szCs w:val="20"/>
          <w:lang w:val="en-IN"/>
        </w:rPr>
        <w:t>Nimo</w:t>
      </w:r>
      <w:proofErr w:type="spellEnd"/>
      <w:r w:rsidRPr="000F1E43">
        <w:rPr>
          <w:rFonts w:ascii="Arial" w:eastAsia="Times New Roman" w:hAnsi="Arial" w:cs="Arial"/>
          <w:bCs/>
          <w:iCs/>
          <w:sz w:val="20"/>
          <w:szCs w:val="20"/>
          <w:lang w:val="en-IN"/>
        </w:rPr>
        <w:t xml:space="preserve">, A., Nagle, M., Bandyopadhyay, R., Müller, J., &amp; </w:t>
      </w:r>
      <w:proofErr w:type="spellStart"/>
      <w:r w:rsidRPr="000F1E43">
        <w:rPr>
          <w:rFonts w:ascii="Arial" w:eastAsia="Times New Roman" w:hAnsi="Arial" w:cs="Arial"/>
          <w:bCs/>
          <w:iCs/>
          <w:sz w:val="20"/>
          <w:szCs w:val="20"/>
          <w:lang w:val="en-IN"/>
        </w:rPr>
        <w:t>Vanlauwe</w:t>
      </w:r>
      <w:proofErr w:type="spellEnd"/>
      <w:r w:rsidRPr="000F1E43">
        <w:rPr>
          <w:rFonts w:ascii="Arial" w:eastAsia="Times New Roman" w:hAnsi="Arial" w:cs="Arial"/>
          <w:bCs/>
          <w:iCs/>
          <w:sz w:val="20"/>
          <w:szCs w:val="20"/>
          <w:lang w:val="en-IN"/>
        </w:rPr>
        <w:t xml:space="preserve">, B. (2017). Mycotoxins in sub-Saharan Africa: Present situation, socio-economic impact, awareness, and outlook. </w:t>
      </w:r>
      <w:r w:rsidRPr="000F1E43">
        <w:rPr>
          <w:rFonts w:ascii="Arial" w:eastAsia="Times New Roman" w:hAnsi="Arial" w:cs="Arial"/>
          <w:bCs/>
          <w:i/>
          <w:iCs/>
          <w:sz w:val="20"/>
          <w:szCs w:val="20"/>
          <w:lang w:val="en-IN"/>
        </w:rPr>
        <w:t>Food Control, 72</w:t>
      </w:r>
      <w:r w:rsidRPr="000F1E43">
        <w:rPr>
          <w:rFonts w:ascii="Arial" w:eastAsia="Times New Roman" w:hAnsi="Arial" w:cs="Arial"/>
          <w:bCs/>
          <w:iCs/>
          <w:sz w:val="20"/>
          <w:szCs w:val="20"/>
          <w:lang w:val="en-IN"/>
        </w:rPr>
        <w:t>, 110–122. https://doi.org/10.1016/j.foodcont.2016.07.039</w:t>
      </w:r>
    </w:p>
    <w:p w14:paraId="5A926A0B"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United States Agency for International Development. (2017). </w:t>
      </w:r>
      <w:r w:rsidRPr="000F1E43">
        <w:rPr>
          <w:rFonts w:ascii="Arial" w:eastAsia="Times New Roman" w:hAnsi="Arial" w:cs="Arial"/>
          <w:bCs/>
          <w:i/>
          <w:iCs/>
          <w:sz w:val="20"/>
          <w:szCs w:val="20"/>
          <w:lang w:val="en-IN"/>
        </w:rPr>
        <w:t>Climate risk profile</w:t>
      </w:r>
      <w:r w:rsidRPr="000F1E43">
        <w:rPr>
          <w:rFonts w:ascii="Arial" w:eastAsia="Times New Roman" w:hAnsi="Arial" w:cs="Arial"/>
          <w:bCs/>
          <w:iCs/>
          <w:sz w:val="20"/>
          <w:szCs w:val="20"/>
          <w:lang w:val="en-IN"/>
        </w:rPr>
        <w:t>. USAID, April, 1–5. https://www.climatelinks.org/sites/default/files/asset/document/2017_Cadmus_Climate-Risk-Profile_Haiti.pdf%0Ahttps://www.climatelinks.org/sites/default/files/asset/document/2017_USAID_ATLAS_Climate_Risk_Profile-India.pdf</w:t>
      </w:r>
    </w:p>
    <w:p w14:paraId="3DFB1F36" w14:textId="77777777" w:rsidR="002171CC" w:rsidRPr="000F1E43" w:rsidRDefault="002171CC" w:rsidP="002171CC">
      <w:pPr>
        <w:spacing w:after="0" w:line="240" w:lineRule="auto"/>
        <w:ind w:left="540" w:hanging="540"/>
        <w:contextualSpacing/>
        <w:jc w:val="both"/>
        <w:rPr>
          <w:rFonts w:ascii="Arial" w:eastAsia="Times New Roman" w:hAnsi="Arial" w:cs="Arial"/>
          <w:bCs/>
          <w:iCs/>
          <w:sz w:val="20"/>
          <w:szCs w:val="20"/>
          <w:lang w:val="en-IN"/>
        </w:rPr>
      </w:pPr>
      <w:proofErr w:type="spellStart"/>
      <w:r w:rsidRPr="000F1E43">
        <w:rPr>
          <w:rFonts w:ascii="Arial" w:eastAsia="Times New Roman" w:hAnsi="Arial" w:cs="Arial"/>
          <w:bCs/>
          <w:iCs/>
          <w:sz w:val="20"/>
          <w:szCs w:val="20"/>
          <w:lang w:val="en-IN"/>
        </w:rPr>
        <w:t>Wielogorska</w:t>
      </w:r>
      <w:proofErr w:type="spellEnd"/>
      <w:r w:rsidRPr="000F1E43">
        <w:rPr>
          <w:rFonts w:ascii="Arial" w:eastAsia="Times New Roman" w:hAnsi="Arial" w:cs="Arial"/>
          <w:bCs/>
          <w:iCs/>
          <w:sz w:val="20"/>
          <w:szCs w:val="20"/>
          <w:lang w:val="en-IN"/>
        </w:rPr>
        <w:t xml:space="preserve">, E., Mooney, M., </w:t>
      </w:r>
      <w:proofErr w:type="spellStart"/>
      <w:r w:rsidRPr="000F1E43">
        <w:rPr>
          <w:rFonts w:ascii="Arial" w:eastAsia="Times New Roman" w:hAnsi="Arial" w:cs="Arial"/>
          <w:bCs/>
          <w:iCs/>
          <w:sz w:val="20"/>
          <w:szCs w:val="20"/>
          <w:lang w:val="en-IN"/>
        </w:rPr>
        <w:t>Eskola</w:t>
      </w:r>
      <w:proofErr w:type="spellEnd"/>
      <w:r w:rsidRPr="000F1E43">
        <w:rPr>
          <w:rFonts w:ascii="Arial" w:eastAsia="Times New Roman" w:hAnsi="Arial" w:cs="Arial"/>
          <w:bCs/>
          <w:iCs/>
          <w:sz w:val="20"/>
          <w:szCs w:val="20"/>
          <w:lang w:val="en-IN"/>
        </w:rPr>
        <w:t xml:space="preserve">, M., Ezekiel, C. N., </w:t>
      </w:r>
      <w:proofErr w:type="spellStart"/>
      <w:r w:rsidRPr="000F1E43">
        <w:rPr>
          <w:rFonts w:ascii="Arial" w:eastAsia="Times New Roman" w:hAnsi="Arial" w:cs="Arial"/>
          <w:bCs/>
          <w:iCs/>
          <w:sz w:val="20"/>
          <w:szCs w:val="20"/>
          <w:lang w:val="en-IN"/>
        </w:rPr>
        <w:t>Stranska</w:t>
      </w:r>
      <w:proofErr w:type="spellEnd"/>
      <w:r w:rsidRPr="000F1E43">
        <w:rPr>
          <w:rFonts w:ascii="Arial" w:eastAsia="Times New Roman" w:hAnsi="Arial" w:cs="Arial"/>
          <w:bCs/>
          <w:iCs/>
          <w:sz w:val="20"/>
          <w:szCs w:val="20"/>
          <w:lang w:val="en-IN"/>
        </w:rPr>
        <w:t xml:space="preserve">, M., </w:t>
      </w:r>
      <w:proofErr w:type="spellStart"/>
      <w:r w:rsidRPr="000F1E43">
        <w:rPr>
          <w:rFonts w:ascii="Arial" w:eastAsia="Times New Roman" w:hAnsi="Arial" w:cs="Arial"/>
          <w:bCs/>
          <w:iCs/>
          <w:sz w:val="20"/>
          <w:szCs w:val="20"/>
          <w:lang w:val="en-IN"/>
        </w:rPr>
        <w:t>Krska</w:t>
      </w:r>
      <w:proofErr w:type="spellEnd"/>
      <w:r w:rsidRPr="000F1E43">
        <w:rPr>
          <w:rFonts w:ascii="Arial" w:eastAsia="Times New Roman" w:hAnsi="Arial" w:cs="Arial"/>
          <w:bCs/>
          <w:iCs/>
          <w:sz w:val="20"/>
          <w:szCs w:val="20"/>
          <w:lang w:val="en-IN"/>
        </w:rPr>
        <w:t xml:space="preserve">, R., &amp; Elliott, C. (2019). Occurrence and human-health impacts of mycotoxins in Somalia. </w:t>
      </w:r>
      <w:r w:rsidRPr="000F1E43">
        <w:rPr>
          <w:rFonts w:ascii="Arial" w:eastAsia="Times New Roman" w:hAnsi="Arial" w:cs="Arial"/>
          <w:bCs/>
          <w:i/>
          <w:iCs/>
          <w:sz w:val="20"/>
          <w:szCs w:val="20"/>
          <w:lang w:val="en-IN"/>
        </w:rPr>
        <w:t>Journal of Agricultural and Food Chemistry, 67</w:t>
      </w:r>
      <w:r w:rsidRPr="000F1E43">
        <w:rPr>
          <w:rFonts w:ascii="Arial" w:eastAsia="Times New Roman" w:hAnsi="Arial" w:cs="Arial"/>
          <w:bCs/>
          <w:iCs/>
          <w:sz w:val="20"/>
          <w:szCs w:val="20"/>
          <w:lang w:val="en-IN"/>
        </w:rPr>
        <w:t>, 2052–2060. https://doi.org/10.1021/acs.jafc.8b05141</w:t>
      </w:r>
    </w:p>
    <w:p w14:paraId="6C78A738" w14:textId="77E41C7F" w:rsidR="00E107D6" w:rsidRDefault="002171CC" w:rsidP="002171CC">
      <w:pPr>
        <w:spacing w:after="0" w:line="240" w:lineRule="auto"/>
        <w:ind w:left="540" w:hanging="540"/>
        <w:contextualSpacing/>
        <w:jc w:val="both"/>
        <w:rPr>
          <w:rFonts w:ascii="Arial" w:eastAsia="Times New Roman" w:hAnsi="Arial" w:cs="Arial"/>
          <w:bCs/>
          <w:iCs/>
          <w:sz w:val="20"/>
          <w:szCs w:val="20"/>
          <w:lang w:val="en-IN"/>
        </w:rPr>
      </w:pPr>
      <w:r w:rsidRPr="000F1E43">
        <w:rPr>
          <w:rFonts w:ascii="Arial" w:eastAsia="Times New Roman" w:hAnsi="Arial" w:cs="Arial"/>
          <w:bCs/>
          <w:iCs/>
          <w:sz w:val="20"/>
          <w:szCs w:val="20"/>
          <w:lang w:val="en-IN"/>
        </w:rPr>
        <w:t xml:space="preserve">Wu, F. (2004). Mycotoxin risk assessment for the purpose of setting international regulatory standards. </w:t>
      </w:r>
      <w:r w:rsidRPr="000F1E43">
        <w:rPr>
          <w:rFonts w:ascii="Arial" w:eastAsia="Times New Roman" w:hAnsi="Arial" w:cs="Arial"/>
          <w:bCs/>
          <w:i/>
          <w:iCs/>
          <w:sz w:val="20"/>
          <w:szCs w:val="20"/>
          <w:lang w:val="en-IN"/>
        </w:rPr>
        <w:t>Environmental Science and Technology, 38</w:t>
      </w:r>
      <w:r w:rsidRPr="000F1E43">
        <w:rPr>
          <w:rFonts w:ascii="Arial" w:eastAsia="Times New Roman" w:hAnsi="Arial" w:cs="Arial"/>
          <w:bCs/>
          <w:iCs/>
          <w:sz w:val="20"/>
          <w:szCs w:val="20"/>
          <w:lang w:val="en-IN"/>
        </w:rPr>
        <w:t xml:space="preserve">(15), 4049–4055. </w:t>
      </w:r>
      <w:hyperlink r:id="rId20" w:history="1">
        <w:r w:rsidR="00600AC8" w:rsidRPr="007A191D">
          <w:rPr>
            <w:rStyle w:val="Hyperlink"/>
            <w:rFonts w:ascii="Arial" w:eastAsia="Times New Roman" w:hAnsi="Arial" w:cs="Arial"/>
            <w:bCs/>
            <w:iCs/>
            <w:sz w:val="20"/>
            <w:szCs w:val="20"/>
            <w:lang w:val="en-IN"/>
          </w:rPr>
          <w:t>https://doi.org/10.1021/es035353n</w:t>
        </w:r>
      </w:hyperlink>
    </w:p>
    <w:p w14:paraId="5B14319C" w14:textId="77777777" w:rsidR="00600AC8" w:rsidRPr="00600AC8" w:rsidRDefault="00600AC8" w:rsidP="00600AC8">
      <w:pPr>
        <w:spacing w:after="0" w:line="240" w:lineRule="auto"/>
        <w:ind w:left="540" w:hanging="540"/>
        <w:contextualSpacing/>
        <w:jc w:val="both"/>
        <w:rPr>
          <w:rFonts w:ascii="Arial" w:eastAsia="Times New Roman" w:hAnsi="Arial" w:cs="Arial"/>
          <w:bCs/>
          <w:iCs/>
          <w:sz w:val="20"/>
          <w:szCs w:val="20"/>
        </w:rPr>
      </w:pPr>
      <w:proofErr w:type="spellStart"/>
      <w:r w:rsidRPr="00600AC8">
        <w:rPr>
          <w:rFonts w:ascii="Arial" w:eastAsia="Times New Roman" w:hAnsi="Arial" w:cs="Arial"/>
          <w:bCs/>
          <w:iCs/>
          <w:sz w:val="20"/>
          <w:szCs w:val="20"/>
        </w:rPr>
        <w:t>Birgen</w:t>
      </w:r>
      <w:proofErr w:type="spellEnd"/>
      <w:r w:rsidRPr="00600AC8">
        <w:rPr>
          <w:rFonts w:ascii="Arial" w:eastAsia="Times New Roman" w:hAnsi="Arial" w:cs="Arial"/>
          <w:bCs/>
          <w:iCs/>
          <w:sz w:val="20"/>
          <w:szCs w:val="20"/>
        </w:rPr>
        <w:t xml:space="preserve">, J. K., Cheruiyot, R. C., &amp; </w:t>
      </w:r>
      <w:proofErr w:type="spellStart"/>
      <w:r w:rsidRPr="00600AC8">
        <w:rPr>
          <w:rFonts w:ascii="Arial" w:eastAsia="Times New Roman" w:hAnsi="Arial" w:cs="Arial"/>
          <w:bCs/>
          <w:iCs/>
          <w:sz w:val="20"/>
          <w:szCs w:val="20"/>
        </w:rPr>
        <w:t>Akwa</w:t>
      </w:r>
      <w:proofErr w:type="spellEnd"/>
      <w:r w:rsidRPr="00600AC8">
        <w:rPr>
          <w:rFonts w:ascii="Arial" w:eastAsia="Times New Roman" w:hAnsi="Arial" w:cs="Arial"/>
          <w:bCs/>
          <w:iCs/>
          <w:sz w:val="20"/>
          <w:szCs w:val="20"/>
        </w:rPr>
        <w:t>, T. E. (2020). Mycotoxin contamination of stored maize in Kenya and the associated fungi. Journal of Plant Pathology Research, 2(1), 7-13.</w:t>
      </w:r>
    </w:p>
    <w:p w14:paraId="347F55C1" w14:textId="30C01CF1" w:rsidR="00600AC8" w:rsidRPr="000F1E43" w:rsidRDefault="00600AC8" w:rsidP="00600AC8">
      <w:pPr>
        <w:spacing w:after="0" w:line="240" w:lineRule="auto"/>
        <w:ind w:left="540" w:hanging="540"/>
        <w:contextualSpacing/>
        <w:jc w:val="both"/>
        <w:rPr>
          <w:rFonts w:ascii="Arial" w:eastAsia="Times New Roman" w:hAnsi="Arial" w:cs="Arial"/>
          <w:bCs/>
          <w:iCs/>
          <w:sz w:val="20"/>
          <w:szCs w:val="20"/>
        </w:rPr>
      </w:pPr>
      <w:proofErr w:type="spellStart"/>
      <w:r w:rsidRPr="00600AC8">
        <w:rPr>
          <w:rFonts w:ascii="Arial" w:eastAsia="Times New Roman" w:hAnsi="Arial" w:cs="Arial"/>
          <w:bCs/>
          <w:iCs/>
          <w:sz w:val="20"/>
          <w:szCs w:val="20"/>
        </w:rPr>
        <w:t>Ankwasa</w:t>
      </w:r>
      <w:proofErr w:type="spellEnd"/>
      <w:r w:rsidRPr="00600AC8">
        <w:rPr>
          <w:rFonts w:ascii="Arial" w:eastAsia="Times New Roman" w:hAnsi="Arial" w:cs="Arial"/>
          <w:bCs/>
          <w:iCs/>
          <w:sz w:val="20"/>
          <w:szCs w:val="20"/>
        </w:rPr>
        <w:t>, E. M., Francis, I., &amp; Ahmad, T. (2021). Update on mycotoxin contamination of maize and peanuts in East African Community Countries. Journal of Food Science and Nutrition Therapy, 7(1), 001-010.</w:t>
      </w:r>
      <w:bookmarkStart w:id="9" w:name="_GoBack"/>
      <w:bookmarkEnd w:id="9"/>
    </w:p>
    <w:p w14:paraId="56C90366" w14:textId="77777777" w:rsidR="007C0EEE" w:rsidRPr="000F1E43" w:rsidRDefault="007C0EEE" w:rsidP="00BD060A">
      <w:pPr>
        <w:keepNext/>
        <w:spacing w:after="0" w:line="240" w:lineRule="auto"/>
        <w:contextualSpacing/>
        <w:jc w:val="both"/>
        <w:rPr>
          <w:rFonts w:ascii="Arial" w:eastAsia="Times New Roman" w:hAnsi="Arial" w:cs="Arial"/>
          <w:b/>
          <w:szCs w:val="20"/>
        </w:rPr>
        <w:sectPr w:rsidR="007C0EEE" w:rsidRPr="000F1E43" w:rsidSect="007C0EEE">
          <w:type w:val="continuous"/>
          <w:pgSz w:w="11909" w:h="16834" w:code="9"/>
          <w:pgMar w:top="1440" w:right="1440" w:bottom="1440" w:left="1440" w:header="720" w:footer="864" w:gutter="0"/>
          <w:pgNumType w:start="1"/>
          <w:cols w:num="2" w:space="288"/>
          <w:titlePg/>
          <w:docGrid w:linePitch="360"/>
        </w:sectPr>
      </w:pPr>
    </w:p>
    <w:p w14:paraId="369D5867" w14:textId="0F2D4552" w:rsidR="00D851AD" w:rsidRPr="000F1E43" w:rsidRDefault="00D851AD" w:rsidP="00BD060A">
      <w:pPr>
        <w:keepNext/>
        <w:spacing w:after="0" w:line="240" w:lineRule="auto"/>
        <w:contextualSpacing/>
        <w:jc w:val="both"/>
        <w:rPr>
          <w:rFonts w:ascii="Arial" w:eastAsia="Times New Roman" w:hAnsi="Arial" w:cs="Arial"/>
          <w:b/>
          <w:szCs w:val="20"/>
        </w:rPr>
      </w:pPr>
    </w:p>
    <w:p w14:paraId="4D55406F" w14:textId="08C31FEC" w:rsidR="00D851AD" w:rsidRPr="000F1E43" w:rsidRDefault="009941D0" w:rsidP="00BD060A">
      <w:pPr>
        <w:keepNext/>
        <w:spacing w:after="0" w:line="240" w:lineRule="auto"/>
        <w:contextualSpacing/>
        <w:jc w:val="both"/>
        <w:rPr>
          <w:rFonts w:ascii="Arial" w:eastAsia="Times New Roman" w:hAnsi="Arial" w:cs="Arial"/>
          <w:b/>
          <w:sz w:val="15"/>
          <w:szCs w:val="15"/>
        </w:rPr>
      </w:pPr>
      <w:r w:rsidRPr="000F1E43">
        <w:rPr>
          <w:rFonts w:ascii="Arial" w:eastAsia="Calibri" w:hAnsi="Arial" w:cs="Arial"/>
          <w:b/>
          <w:bCs/>
          <w:kern w:val="2"/>
          <w:sz w:val="15"/>
          <w:szCs w:val="15"/>
          <w:lang w:val="en-GB"/>
        </w:rPr>
        <w:t xml:space="preserve">Disclaimer/Publisher’s Note: </w:t>
      </w:r>
      <w:r w:rsidRPr="000F1E43">
        <w:rPr>
          <w:rFonts w:ascii="Arial" w:eastAsia="Calibri" w:hAnsi="Arial" w:cs="Arial"/>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5A95BF89" w14:textId="77777777" w:rsidR="00D851AD" w:rsidRPr="000F1E43" w:rsidRDefault="00D851AD" w:rsidP="00BD060A">
      <w:pPr>
        <w:keepNext/>
        <w:spacing w:after="0" w:line="240" w:lineRule="auto"/>
        <w:contextualSpacing/>
        <w:jc w:val="both"/>
        <w:rPr>
          <w:rFonts w:ascii="Arial" w:eastAsia="Times New Roman" w:hAnsi="Arial" w:cs="Arial"/>
          <w:b/>
          <w:szCs w:val="20"/>
        </w:rPr>
        <w:sectPr w:rsidR="00D851AD" w:rsidRPr="000F1E43" w:rsidSect="005A3F46">
          <w:type w:val="continuous"/>
          <w:pgSz w:w="11909" w:h="16834" w:code="9"/>
          <w:pgMar w:top="1440" w:right="1440" w:bottom="1440" w:left="1440" w:header="720" w:footer="864" w:gutter="0"/>
          <w:pgNumType w:start="1"/>
          <w:cols w:space="720"/>
          <w:titlePg/>
          <w:docGrid w:linePitch="360"/>
        </w:sectPr>
      </w:pPr>
    </w:p>
    <w:p w14:paraId="3DE1C31C" w14:textId="77777777" w:rsidR="00BD060A" w:rsidRPr="000F1E43" w:rsidRDefault="00BD060A" w:rsidP="00E702F4">
      <w:pPr>
        <w:spacing w:after="0" w:line="240" w:lineRule="auto"/>
        <w:ind w:left="540" w:hanging="540"/>
        <w:jc w:val="center"/>
        <w:rPr>
          <w:rFonts w:ascii="Arial" w:eastAsia="Times New Roman" w:hAnsi="Arial" w:cs="Arial"/>
          <w:i/>
          <w:sz w:val="16"/>
          <w:szCs w:val="20"/>
        </w:rPr>
      </w:pPr>
    </w:p>
    <w:p w14:paraId="1906E8EF" w14:textId="07FCD9C7" w:rsidR="00CD3A89" w:rsidRDefault="000B5CE7" w:rsidP="00380ACB">
      <w:pPr>
        <w:pBdr>
          <w:top w:val="single" w:sz="4" w:space="1" w:color="auto"/>
        </w:pBdr>
        <w:spacing w:after="0" w:line="240" w:lineRule="auto"/>
        <w:jc w:val="both"/>
        <w:rPr>
          <w:rFonts w:ascii="Arial" w:hAnsi="Arial" w:cs="Arial"/>
        </w:rPr>
      </w:pPr>
      <w:r w:rsidRPr="000F1E43">
        <w:rPr>
          <w:rFonts w:ascii="Arial" w:eastAsia="Calibri" w:hAnsi="Arial" w:cs="Arial"/>
          <w:i/>
          <w:iCs/>
          <w:kern w:val="2"/>
          <w:sz w:val="16"/>
          <w:szCs w:val="16"/>
          <w:lang w:val="en-GB"/>
        </w:rPr>
        <w:t>© Copyright (202</w:t>
      </w:r>
      <w:r w:rsidR="007245E0" w:rsidRPr="000F1E43">
        <w:rPr>
          <w:rFonts w:ascii="Arial" w:eastAsia="Calibri" w:hAnsi="Arial" w:cs="Arial"/>
          <w:i/>
          <w:iCs/>
          <w:kern w:val="2"/>
          <w:sz w:val="16"/>
          <w:szCs w:val="16"/>
          <w:lang w:val="en-GB"/>
        </w:rPr>
        <w:t>5</w:t>
      </w:r>
      <w:r w:rsidRPr="000F1E43">
        <w:rPr>
          <w:rFonts w:ascii="Arial" w:eastAsia="Calibri" w:hAnsi="Arial" w:cs="Arial"/>
          <w:i/>
          <w:iCs/>
          <w:kern w:val="2"/>
          <w:sz w:val="16"/>
          <w:szCs w:val="16"/>
          <w:lang w:val="en-GB"/>
        </w:rPr>
        <w:t>): Author(s). The licensee is the journal publisher. This is an Open Access article distributed under the terms of the Creative Commons Attribution License (</w:t>
      </w:r>
      <w:r w:rsidRPr="000F1E43">
        <w:rPr>
          <w:rFonts w:ascii="Arial" w:eastAsia="Calibri" w:hAnsi="Arial" w:cs="Arial"/>
          <w:i/>
          <w:iCs/>
          <w:color w:val="0000FF"/>
          <w:kern w:val="2"/>
          <w:sz w:val="16"/>
          <w:szCs w:val="16"/>
          <w:lang w:val="en-GB"/>
        </w:rPr>
        <w:t>http://creativecommons.org/licenses/by/4.0</w:t>
      </w:r>
      <w:r w:rsidRPr="000F1E43">
        <w:rPr>
          <w:rFonts w:ascii="Arial" w:eastAsia="Calibri" w:hAnsi="Arial" w:cs="Arial"/>
          <w:i/>
          <w:iCs/>
          <w:kern w:val="2"/>
          <w:sz w:val="16"/>
          <w:szCs w:val="16"/>
          <w:lang w:val="en-GB"/>
        </w:rPr>
        <w:t>), which permits unrestricted use, distribution, and reproduction in any medium, provided the original work is properly cited.</w:t>
      </w:r>
      <w:r w:rsidR="00BD060A" w:rsidRPr="000A2031">
        <w:rPr>
          <w:rFonts w:ascii="Arial" w:hAnsi="Arial" w:cs="Arial"/>
        </w:rPr>
        <w:t xml:space="preserve"> </w:t>
      </w:r>
    </w:p>
    <w:sectPr w:rsidR="00CD3A89" w:rsidSect="002B033F">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9B714" w14:textId="77777777" w:rsidR="000F35DF" w:rsidRDefault="000F35DF" w:rsidP="00CD3A89">
      <w:pPr>
        <w:spacing w:after="0" w:line="240" w:lineRule="auto"/>
      </w:pPr>
      <w:r>
        <w:separator/>
      </w:r>
    </w:p>
  </w:endnote>
  <w:endnote w:type="continuationSeparator" w:id="0">
    <w:p w14:paraId="446F9EC0" w14:textId="77777777" w:rsidR="000F35DF" w:rsidRDefault="000F35DF"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3113"/>
      <w:docPartObj>
        <w:docPartGallery w:val="Page Numbers (Bottom of Page)"/>
        <w:docPartUnique/>
      </w:docPartObj>
    </w:sdtPr>
    <w:sdtEndPr/>
    <w:sdtContent>
      <w:p w14:paraId="3ECE2045" w14:textId="77777777" w:rsidR="00F6450F" w:rsidRPr="00F17D5A" w:rsidRDefault="00F6450F">
        <w:pPr>
          <w:pStyle w:val="Footer"/>
          <w:jc w:val="center"/>
          <w:rPr>
            <w:rFonts w:ascii="Arial" w:hAnsi="Arial" w:cs="Arial"/>
            <w:sz w:val="28"/>
          </w:rPr>
        </w:pPr>
      </w:p>
      <w:p w14:paraId="04B8CF09" w14:textId="77777777" w:rsidR="00F17D5A" w:rsidRDefault="00D777A2">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587A1E">
          <w:rPr>
            <w:rFonts w:ascii="Arial" w:hAnsi="Arial" w:cs="Arial"/>
            <w:noProof/>
            <w:sz w:val="20"/>
          </w:rPr>
          <w:t>10</w:t>
        </w:r>
        <w:r w:rsidRPr="00945900">
          <w:rPr>
            <w:rFonts w:ascii="Arial" w:hAnsi="Arial" w:cs="Arial"/>
            <w:sz w:val="20"/>
          </w:rPr>
          <w:fldChar w:fldCharType="end"/>
        </w:r>
      </w:p>
      <w:p w14:paraId="40EB4930" w14:textId="77777777" w:rsidR="00485F13" w:rsidRPr="00F17D5A" w:rsidRDefault="00600AC8">
        <w:pPr>
          <w:pStyle w:val="Footer"/>
          <w:jc w:val="center"/>
          <w:rPr>
            <w:rFonts w:ascii="Arial" w:hAnsi="Arial" w:cs="Arial"/>
            <w:sz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BB11"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028F2BE2" w14:textId="77777777" w:rsidR="00E72385" w:rsidRPr="00E72385" w:rsidRDefault="00E72385" w:rsidP="00E72385">
    <w:pPr>
      <w:spacing w:after="0" w:line="240" w:lineRule="auto"/>
      <w:jc w:val="both"/>
      <w:rPr>
        <w:rFonts w:ascii="Arial" w:eastAsia="Times New Roman" w:hAnsi="Arial" w:cs="Arial"/>
        <w:i/>
        <w:sz w:val="16"/>
        <w:szCs w:val="20"/>
      </w:rPr>
    </w:pPr>
  </w:p>
  <w:p w14:paraId="49933320" w14:textId="77777777" w:rsidR="00E72385" w:rsidRDefault="00E72385"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*Corresponding author: Email: ………………………….;</w:t>
    </w:r>
  </w:p>
  <w:p w14:paraId="2F1D2B0B" w14:textId="77777777" w:rsidR="005C75DA" w:rsidRDefault="005C75DA" w:rsidP="00E72385">
    <w:pPr>
      <w:spacing w:after="0" w:line="240" w:lineRule="auto"/>
      <w:jc w:val="both"/>
      <w:rPr>
        <w:rFonts w:ascii="Arial" w:eastAsia="Times New Roman" w:hAnsi="Arial" w:cs="Arial"/>
        <w:i/>
        <w:sz w:val="16"/>
        <w:szCs w:val="20"/>
      </w:rPr>
    </w:pPr>
  </w:p>
  <w:p w14:paraId="176CC21A" w14:textId="77777777" w:rsidR="006928DD" w:rsidRDefault="006928DD" w:rsidP="006928DD">
    <w:pPr>
      <w:pStyle w:val="Footer"/>
      <w:jc w:val="both"/>
      <w:rPr>
        <w:rFonts w:ascii="Arial" w:hAnsi="Arial" w:cs="Arial"/>
        <w:b/>
        <w:bCs/>
        <w:i/>
        <w:sz w:val="16"/>
      </w:rPr>
    </w:pPr>
    <w:r w:rsidRPr="00932C11">
      <w:rPr>
        <w:rFonts w:ascii="Arial" w:hAnsi="Arial" w:cs="Arial"/>
        <w:b/>
        <w:bCs/>
        <w:i/>
        <w:sz w:val="16"/>
      </w:rPr>
      <w:t>Cite as:</w:t>
    </w:r>
  </w:p>
  <w:p w14:paraId="425F19E4" w14:textId="77777777" w:rsidR="006928DD" w:rsidRDefault="006928DD" w:rsidP="006928DD">
    <w:pPr>
      <w:pStyle w:val="Footer"/>
      <w:jc w:val="both"/>
      <w:rPr>
        <w:rFonts w:ascii="Arial" w:hAnsi="Arial" w:cs="Arial"/>
        <w:i/>
        <w:sz w:val="16"/>
      </w:rPr>
    </w:pPr>
  </w:p>
  <w:p w14:paraId="4D0AD955" w14:textId="77777777" w:rsidR="009941D0" w:rsidRDefault="009941D0" w:rsidP="006928DD">
    <w:pPr>
      <w:pStyle w:val="Footer"/>
      <w:jc w:val="both"/>
      <w:rPr>
        <w:rFonts w:ascii="Arial" w:hAnsi="Arial" w:cs="Arial"/>
        <w:i/>
        <w:sz w:val="16"/>
      </w:rPr>
    </w:pPr>
  </w:p>
  <w:p w14:paraId="55710D61" w14:textId="77777777" w:rsidR="006928DD" w:rsidRPr="00932C11" w:rsidRDefault="006928DD" w:rsidP="006928DD">
    <w:pPr>
      <w:pStyle w:val="Footer"/>
      <w:jc w:val="both"/>
      <w:rPr>
        <w:rFonts w:ascii="Arial" w:hAnsi="Arial" w:cs="Arial"/>
        <w:i/>
        <w:sz w:val="16"/>
      </w:rPr>
    </w:pPr>
  </w:p>
  <w:p w14:paraId="3191EDAF" w14:textId="77777777" w:rsidR="00CD3A89" w:rsidRDefault="00CD3A89">
    <w:pPr>
      <w:pStyle w:val="Footer"/>
      <w:rPr>
        <w:rFonts w:ascii="Arial" w:hAnsi="Arial" w:cs="Arial"/>
        <w:sz w:val="20"/>
      </w:rPr>
    </w:pPr>
  </w:p>
  <w:p w14:paraId="46581A81" w14:textId="77777777" w:rsidR="00F17D5A" w:rsidRPr="00F17D5A" w:rsidRDefault="00F17D5A">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B63A" w14:textId="77777777" w:rsidR="000F35DF" w:rsidRDefault="000F35DF" w:rsidP="00CD3A89">
      <w:pPr>
        <w:spacing w:after="0" w:line="240" w:lineRule="auto"/>
      </w:pPr>
      <w:r>
        <w:separator/>
      </w:r>
    </w:p>
  </w:footnote>
  <w:footnote w:type="continuationSeparator" w:id="0">
    <w:p w14:paraId="2A20AB7D" w14:textId="77777777" w:rsidR="000F35DF" w:rsidRDefault="000F35DF"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603A"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2687E8A"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2DCB5C82"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6DA8C21D"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E2BB909" w14:textId="5F22DA27" w:rsidR="00171FBC" w:rsidRDefault="00974577" w:rsidP="00171FBC">
    <w:pPr>
      <w:tabs>
        <w:tab w:val="center" w:pos="4320"/>
        <w:tab w:val="right" w:pos="8640"/>
      </w:tabs>
      <w:spacing w:after="0" w:line="240" w:lineRule="auto"/>
      <w:jc w:val="right"/>
      <w:rPr>
        <w:rFonts w:ascii="Arial" w:eastAsia="Times New Roman" w:hAnsi="Arial" w:cs="Arial"/>
        <w:i/>
        <w:sz w:val="16"/>
        <w:szCs w:val="20"/>
      </w:rPr>
    </w:pPr>
    <w:r w:rsidRPr="00D851AD">
      <w:rPr>
        <w:rFonts w:ascii="Arial" w:eastAsia="Times New Roman" w:hAnsi="Arial" w:cs="Arial"/>
        <w:i/>
        <w:sz w:val="16"/>
        <w:szCs w:val="20"/>
        <w:highlight w:val="yellow"/>
      </w:rPr>
      <w:t>Author name</w:t>
    </w:r>
    <w:r w:rsidRPr="00974577">
      <w:rPr>
        <w:rFonts w:ascii="Arial" w:eastAsia="Times New Roman" w:hAnsi="Arial" w:cs="Arial"/>
        <w:i/>
        <w:sz w:val="16"/>
        <w:szCs w:val="20"/>
      </w:rPr>
      <w:t xml:space="preserve">; </w:t>
    </w:r>
    <w:r w:rsidR="005C75DA" w:rsidRPr="005C75DA">
      <w:rPr>
        <w:rFonts w:ascii="Arial" w:eastAsia="Times New Roman" w:hAnsi="Arial" w:cs="Arial"/>
        <w:i/>
        <w:sz w:val="16"/>
        <w:szCs w:val="20"/>
      </w:rPr>
      <w:t xml:space="preserve">Eur. J. </w:t>
    </w:r>
    <w:proofErr w:type="spellStart"/>
    <w:r w:rsidR="005C75DA" w:rsidRPr="005C75DA">
      <w:rPr>
        <w:rFonts w:ascii="Arial" w:eastAsia="Times New Roman" w:hAnsi="Arial" w:cs="Arial"/>
        <w:i/>
        <w:sz w:val="16"/>
        <w:szCs w:val="20"/>
      </w:rPr>
      <w:t>Nutr</w:t>
    </w:r>
    <w:proofErr w:type="spellEnd"/>
    <w:r w:rsidR="005C75DA" w:rsidRPr="005C75DA">
      <w:rPr>
        <w:rFonts w:ascii="Arial" w:eastAsia="Times New Roman" w:hAnsi="Arial" w:cs="Arial"/>
        <w:i/>
        <w:sz w:val="16"/>
        <w:szCs w:val="20"/>
      </w:rPr>
      <w:t>. Food. Saf., vol. xx, no. xx, pp. xx-xx, 20</w:t>
    </w:r>
    <w:r w:rsidR="00587A1E">
      <w:rPr>
        <w:rFonts w:ascii="Arial" w:eastAsia="Times New Roman" w:hAnsi="Arial" w:cs="Arial"/>
        <w:i/>
        <w:sz w:val="16"/>
        <w:szCs w:val="20"/>
      </w:rPr>
      <w:t>YY</w:t>
    </w:r>
    <w:r w:rsidR="00D851AD">
      <w:rPr>
        <w:rFonts w:ascii="Arial" w:eastAsia="Times New Roman" w:hAnsi="Arial" w:cs="Arial"/>
        <w:i/>
        <w:sz w:val="16"/>
        <w:szCs w:val="20"/>
      </w:rPr>
      <w:t xml:space="preserve">; Article </w:t>
    </w:r>
    <w:proofErr w:type="gramStart"/>
    <w:r w:rsidR="00D851AD">
      <w:rPr>
        <w:rFonts w:ascii="Arial" w:eastAsia="Times New Roman" w:hAnsi="Arial" w:cs="Arial"/>
        <w:i/>
        <w:sz w:val="16"/>
        <w:szCs w:val="20"/>
      </w:rPr>
      <w:t>no.</w:t>
    </w:r>
    <w:r w:rsidR="00CF6B85" w:rsidRPr="00CF6B85">
      <w:rPr>
        <w:rFonts w:ascii="Arial" w:eastAsia="Times New Roman" w:hAnsi="Arial" w:cs="Arial"/>
        <w:i/>
        <w:sz w:val="16"/>
        <w:szCs w:val="20"/>
      </w:rPr>
      <w:t>EJNFS</w:t>
    </w:r>
    <w:proofErr w:type="gramEnd"/>
    <w:r w:rsidR="007B5DF9">
      <w:rPr>
        <w:rFonts w:ascii="Arial" w:eastAsia="Times New Roman" w:hAnsi="Arial" w:cs="Arial"/>
        <w:i/>
        <w:sz w:val="16"/>
        <w:szCs w:val="20"/>
      </w:rPr>
      <w:t>.</w:t>
    </w:r>
    <w:r w:rsidR="007B5DF9" w:rsidRPr="007B5DF9">
      <w:rPr>
        <w:rFonts w:ascii="Arial" w:eastAsia="Times New Roman" w:hAnsi="Arial" w:cs="Arial"/>
        <w:i/>
        <w:sz w:val="16"/>
        <w:szCs w:val="20"/>
      </w:rPr>
      <w:t>133021</w:t>
    </w:r>
  </w:p>
  <w:p w14:paraId="6E667AB0" w14:textId="77777777"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14:paraId="6C7DABD8"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009E3"/>
    <w:rsid w:val="00001766"/>
    <w:rsid w:val="000140EA"/>
    <w:rsid w:val="00014315"/>
    <w:rsid w:val="0001551A"/>
    <w:rsid w:val="000168C6"/>
    <w:rsid w:val="00027BC3"/>
    <w:rsid w:val="0003242C"/>
    <w:rsid w:val="0008142C"/>
    <w:rsid w:val="00097AC1"/>
    <w:rsid w:val="000A2031"/>
    <w:rsid w:val="000A6BAC"/>
    <w:rsid w:val="000B3645"/>
    <w:rsid w:val="000B5CE7"/>
    <w:rsid w:val="000D6F20"/>
    <w:rsid w:val="000F1E43"/>
    <w:rsid w:val="000F35DF"/>
    <w:rsid w:val="001004BF"/>
    <w:rsid w:val="00111126"/>
    <w:rsid w:val="00164F4D"/>
    <w:rsid w:val="00171FBC"/>
    <w:rsid w:val="00182B92"/>
    <w:rsid w:val="00190C2D"/>
    <w:rsid w:val="00192899"/>
    <w:rsid w:val="001D1F20"/>
    <w:rsid w:val="001E444B"/>
    <w:rsid w:val="002171CC"/>
    <w:rsid w:val="00242E2D"/>
    <w:rsid w:val="002544D8"/>
    <w:rsid w:val="00260707"/>
    <w:rsid w:val="00261F2E"/>
    <w:rsid w:val="002759F0"/>
    <w:rsid w:val="00275E09"/>
    <w:rsid w:val="00294686"/>
    <w:rsid w:val="002964C6"/>
    <w:rsid w:val="002A041A"/>
    <w:rsid w:val="002B033F"/>
    <w:rsid w:val="00301B26"/>
    <w:rsid w:val="00335731"/>
    <w:rsid w:val="00354305"/>
    <w:rsid w:val="00354ABD"/>
    <w:rsid w:val="00362C07"/>
    <w:rsid w:val="00370C0D"/>
    <w:rsid w:val="00380ACB"/>
    <w:rsid w:val="00385A93"/>
    <w:rsid w:val="00394BC1"/>
    <w:rsid w:val="003A2B60"/>
    <w:rsid w:val="003A648D"/>
    <w:rsid w:val="003D0DD7"/>
    <w:rsid w:val="003D30F2"/>
    <w:rsid w:val="004066AF"/>
    <w:rsid w:val="004236B3"/>
    <w:rsid w:val="0043035E"/>
    <w:rsid w:val="00454377"/>
    <w:rsid w:val="00472B40"/>
    <w:rsid w:val="004743E7"/>
    <w:rsid w:val="00485F13"/>
    <w:rsid w:val="004914E9"/>
    <w:rsid w:val="004B4DC1"/>
    <w:rsid w:val="004E53FC"/>
    <w:rsid w:val="004F16D4"/>
    <w:rsid w:val="004F79DF"/>
    <w:rsid w:val="00510B32"/>
    <w:rsid w:val="00512AB4"/>
    <w:rsid w:val="00516CA4"/>
    <w:rsid w:val="0052349B"/>
    <w:rsid w:val="005456E2"/>
    <w:rsid w:val="00545B7F"/>
    <w:rsid w:val="00560217"/>
    <w:rsid w:val="00567976"/>
    <w:rsid w:val="00582E2D"/>
    <w:rsid w:val="00587A1E"/>
    <w:rsid w:val="005A1980"/>
    <w:rsid w:val="005A3F46"/>
    <w:rsid w:val="005C75DA"/>
    <w:rsid w:val="005D512D"/>
    <w:rsid w:val="005E1A5D"/>
    <w:rsid w:val="00600AC8"/>
    <w:rsid w:val="00613648"/>
    <w:rsid w:val="006347C2"/>
    <w:rsid w:val="00645AB4"/>
    <w:rsid w:val="00647361"/>
    <w:rsid w:val="0064784B"/>
    <w:rsid w:val="0067626D"/>
    <w:rsid w:val="006928DD"/>
    <w:rsid w:val="006A5ECB"/>
    <w:rsid w:val="006A7DA0"/>
    <w:rsid w:val="006C667C"/>
    <w:rsid w:val="006C6EB1"/>
    <w:rsid w:val="006D112D"/>
    <w:rsid w:val="006D11CF"/>
    <w:rsid w:val="006D7F9B"/>
    <w:rsid w:val="006E3E64"/>
    <w:rsid w:val="006E45E6"/>
    <w:rsid w:val="0071105A"/>
    <w:rsid w:val="0071621E"/>
    <w:rsid w:val="0071719B"/>
    <w:rsid w:val="007245E0"/>
    <w:rsid w:val="00731A1F"/>
    <w:rsid w:val="00742F63"/>
    <w:rsid w:val="00745EAD"/>
    <w:rsid w:val="00747D62"/>
    <w:rsid w:val="0075236B"/>
    <w:rsid w:val="00754D74"/>
    <w:rsid w:val="00785993"/>
    <w:rsid w:val="007A3A44"/>
    <w:rsid w:val="007A7DE4"/>
    <w:rsid w:val="007B18AA"/>
    <w:rsid w:val="007B5DF9"/>
    <w:rsid w:val="007B646C"/>
    <w:rsid w:val="007C0EEE"/>
    <w:rsid w:val="007E16D0"/>
    <w:rsid w:val="007F3DF7"/>
    <w:rsid w:val="00803F40"/>
    <w:rsid w:val="00811614"/>
    <w:rsid w:val="008227F2"/>
    <w:rsid w:val="00825F35"/>
    <w:rsid w:val="008425D2"/>
    <w:rsid w:val="00847D77"/>
    <w:rsid w:val="00855665"/>
    <w:rsid w:val="00867204"/>
    <w:rsid w:val="00873867"/>
    <w:rsid w:val="00883962"/>
    <w:rsid w:val="00903178"/>
    <w:rsid w:val="00911EB6"/>
    <w:rsid w:val="00933BEE"/>
    <w:rsid w:val="00945900"/>
    <w:rsid w:val="00950E38"/>
    <w:rsid w:val="00953210"/>
    <w:rsid w:val="00965690"/>
    <w:rsid w:val="00974577"/>
    <w:rsid w:val="00975CEA"/>
    <w:rsid w:val="00983831"/>
    <w:rsid w:val="009915D1"/>
    <w:rsid w:val="009941D0"/>
    <w:rsid w:val="009A23F1"/>
    <w:rsid w:val="009A3FBD"/>
    <w:rsid w:val="009B1955"/>
    <w:rsid w:val="009D40F3"/>
    <w:rsid w:val="009E3CF1"/>
    <w:rsid w:val="009F2773"/>
    <w:rsid w:val="009F5005"/>
    <w:rsid w:val="00A16BE0"/>
    <w:rsid w:val="00A22248"/>
    <w:rsid w:val="00A33D1F"/>
    <w:rsid w:val="00A567A2"/>
    <w:rsid w:val="00A91013"/>
    <w:rsid w:val="00A974B4"/>
    <w:rsid w:val="00AD094E"/>
    <w:rsid w:val="00AE2B64"/>
    <w:rsid w:val="00AF78AF"/>
    <w:rsid w:val="00B0333B"/>
    <w:rsid w:val="00B0748D"/>
    <w:rsid w:val="00B200B6"/>
    <w:rsid w:val="00B37525"/>
    <w:rsid w:val="00B5744E"/>
    <w:rsid w:val="00B611C9"/>
    <w:rsid w:val="00B62778"/>
    <w:rsid w:val="00B7611C"/>
    <w:rsid w:val="00BC6271"/>
    <w:rsid w:val="00BD060A"/>
    <w:rsid w:val="00BD2515"/>
    <w:rsid w:val="00BD45AB"/>
    <w:rsid w:val="00BE6CE1"/>
    <w:rsid w:val="00BF552D"/>
    <w:rsid w:val="00C012AB"/>
    <w:rsid w:val="00C02B5E"/>
    <w:rsid w:val="00C03ACA"/>
    <w:rsid w:val="00C11E0B"/>
    <w:rsid w:val="00C13266"/>
    <w:rsid w:val="00C17CF8"/>
    <w:rsid w:val="00C305AC"/>
    <w:rsid w:val="00C32323"/>
    <w:rsid w:val="00C34076"/>
    <w:rsid w:val="00C411DC"/>
    <w:rsid w:val="00C429F3"/>
    <w:rsid w:val="00C46D8E"/>
    <w:rsid w:val="00C52F72"/>
    <w:rsid w:val="00C87A4F"/>
    <w:rsid w:val="00CA6559"/>
    <w:rsid w:val="00CB42CE"/>
    <w:rsid w:val="00CC52CB"/>
    <w:rsid w:val="00CD3A89"/>
    <w:rsid w:val="00CE1EB8"/>
    <w:rsid w:val="00CF6B85"/>
    <w:rsid w:val="00D106FC"/>
    <w:rsid w:val="00D6720F"/>
    <w:rsid w:val="00D777A2"/>
    <w:rsid w:val="00D851AD"/>
    <w:rsid w:val="00D95A83"/>
    <w:rsid w:val="00DA7E6E"/>
    <w:rsid w:val="00DB19A5"/>
    <w:rsid w:val="00DC79F9"/>
    <w:rsid w:val="00DE2AEB"/>
    <w:rsid w:val="00DE3C96"/>
    <w:rsid w:val="00DE6094"/>
    <w:rsid w:val="00E107D6"/>
    <w:rsid w:val="00E15BB8"/>
    <w:rsid w:val="00E43107"/>
    <w:rsid w:val="00E46D35"/>
    <w:rsid w:val="00E531CD"/>
    <w:rsid w:val="00E702F4"/>
    <w:rsid w:val="00E72385"/>
    <w:rsid w:val="00EA7EE9"/>
    <w:rsid w:val="00EB7722"/>
    <w:rsid w:val="00EC09B7"/>
    <w:rsid w:val="00EC2241"/>
    <w:rsid w:val="00ED402E"/>
    <w:rsid w:val="00ED56A4"/>
    <w:rsid w:val="00EF3322"/>
    <w:rsid w:val="00F17D5A"/>
    <w:rsid w:val="00F31F4B"/>
    <w:rsid w:val="00F51FB8"/>
    <w:rsid w:val="00F6279F"/>
    <w:rsid w:val="00F6450F"/>
    <w:rsid w:val="00F7068C"/>
    <w:rsid w:val="00F72FFA"/>
    <w:rsid w:val="00FC4574"/>
    <w:rsid w:val="00FC7946"/>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4" type="connector" idref="#AutoShape 54"/>
        <o:r id="V:Rule5" type="connector" idref="#_x0000_s1063"/>
        <o:r id="V:Rule6" type="connector" idref="#_x0000_s1064"/>
      </o:rules>
    </o:shapelayout>
  </w:shapeDefaults>
  <w:decimalSymbol w:val="."/>
  <w:listSeparator w:val=","/>
  <w14:docId w14:val="738A67AE"/>
  <w15:docId w15:val="{42889079-E27F-46D4-A787-8A722DD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C429F3"/>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429F3"/>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C429F3"/>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C429F3"/>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uiPriority w:val="99"/>
    <w:unhideWhenUsed/>
    <w:rsid w:val="00CF6B85"/>
    <w:rPr>
      <w:color w:val="0000FF" w:themeColor="hyperlink"/>
      <w:u w:val="single"/>
    </w:rPr>
  </w:style>
  <w:style w:type="paragraph" w:customStyle="1" w:styleId="ReferHead">
    <w:name w:val="Refer Head"/>
    <w:basedOn w:val="Normal"/>
    <w:rsid w:val="005456E2"/>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C429F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C429F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C429F3"/>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C429F3"/>
    <w:rPr>
      <w:rFonts w:ascii="Arial" w:eastAsiaTheme="majorEastAsia" w:hAnsi="Arial" w:cstheme="majorBidi"/>
      <w:b/>
      <w:bCs/>
      <w:i/>
      <w:iCs/>
      <w:sz w:val="20"/>
    </w:rPr>
  </w:style>
  <w:style w:type="paragraph" w:styleId="BalloonText">
    <w:name w:val="Balloon Text"/>
    <w:basedOn w:val="Normal"/>
    <w:link w:val="BalloonTextChar"/>
    <w:uiPriority w:val="99"/>
    <w:semiHidden/>
    <w:unhideWhenUsed/>
    <w:rsid w:val="005C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DA"/>
    <w:rPr>
      <w:rFonts w:ascii="Tahoma" w:hAnsi="Tahoma" w:cs="Tahoma"/>
      <w:sz w:val="16"/>
      <w:szCs w:val="16"/>
    </w:rPr>
  </w:style>
  <w:style w:type="table" w:styleId="TableGrid">
    <w:name w:val="Table Grid"/>
    <w:basedOn w:val="TableNormal"/>
    <w:uiPriority w:val="59"/>
    <w:rsid w:val="007B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0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943">
      <w:bodyDiv w:val="1"/>
      <w:marLeft w:val="0"/>
      <w:marRight w:val="0"/>
      <w:marTop w:val="0"/>
      <w:marBottom w:val="0"/>
      <w:divBdr>
        <w:top w:val="none" w:sz="0" w:space="0" w:color="auto"/>
        <w:left w:val="none" w:sz="0" w:space="0" w:color="auto"/>
        <w:bottom w:val="none" w:sz="0" w:space="0" w:color="auto"/>
        <w:right w:val="none" w:sz="0" w:space="0" w:color="auto"/>
      </w:divBdr>
    </w:div>
    <w:div w:id="67924009">
      <w:bodyDiv w:val="1"/>
      <w:marLeft w:val="0"/>
      <w:marRight w:val="0"/>
      <w:marTop w:val="0"/>
      <w:marBottom w:val="0"/>
      <w:divBdr>
        <w:top w:val="none" w:sz="0" w:space="0" w:color="auto"/>
        <w:left w:val="none" w:sz="0" w:space="0" w:color="auto"/>
        <w:bottom w:val="none" w:sz="0" w:space="0" w:color="auto"/>
        <w:right w:val="none" w:sz="0" w:space="0" w:color="auto"/>
      </w:divBdr>
    </w:div>
    <w:div w:id="154537048">
      <w:bodyDiv w:val="1"/>
      <w:marLeft w:val="0"/>
      <w:marRight w:val="0"/>
      <w:marTop w:val="0"/>
      <w:marBottom w:val="0"/>
      <w:divBdr>
        <w:top w:val="none" w:sz="0" w:space="0" w:color="auto"/>
        <w:left w:val="none" w:sz="0" w:space="0" w:color="auto"/>
        <w:bottom w:val="none" w:sz="0" w:space="0" w:color="auto"/>
        <w:right w:val="none" w:sz="0" w:space="0" w:color="auto"/>
      </w:divBdr>
    </w:div>
    <w:div w:id="204877902">
      <w:bodyDiv w:val="1"/>
      <w:marLeft w:val="0"/>
      <w:marRight w:val="0"/>
      <w:marTop w:val="0"/>
      <w:marBottom w:val="0"/>
      <w:divBdr>
        <w:top w:val="none" w:sz="0" w:space="0" w:color="auto"/>
        <w:left w:val="none" w:sz="0" w:space="0" w:color="auto"/>
        <w:bottom w:val="none" w:sz="0" w:space="0" w:color="auto"/>
        <w:right w:val="none" w:sz="0" w:space="0" w:color="auto"/>
      </w:divBdr>
    </w:div>
    <w:div w:id="245192739">
      <w:bodyDiv w:val="1"/>
      <w:marLeft w:val="0"/>
      <w:marRight w:val="0"/>
      <w:marTop w:val="0"/>
      <w:marBottom w:val="0"/>
      <w:divBdr>
        <w:top w:val="none" w:sz="0" w:space="0" w:color="auto"/>
        <w:left w:val="none" w:sz="0" w:space="0" w:color="auto"/>
        <w:bottom w:val="none" w:sz="0" w:space="0" w:color="auto"/>
        <w:right w:val="none" w:sz="0" w:space="0" w:color="auto"/>
      </w:divBdr>
    </w:div>
    <w:div w:id="516771559">
      <w:bodyDiv w:val="1"/>
      <w:marLeft w:val="0"/>
      <w:marRight w:val="0"/>
      <w:marTop w:val="0"/>
      <w:marBottom w:val="0"/>
      <w:divBdr>
        <w:top w:val="none" w:sz="0" w:space="0" w:color="auto"/>
        <w:left w:val="none" w:sz="0" w:space="0" w:color="auto"/>
        <w:bottom w:val="none" w:sz="0" w:space="0" w:color="auto"/>
        <w:right w:val="none" w:sz="0" w:space="0" w:color="auto"/>
      </w:divBdr>
    </w:div>
    <w:div w:id="580677530">
      <w:bodyDiv w:val="1"/>
      <w:marLeft w:val="0"/>
      <w:marRight w:val="0"/>
      <w:marTop w:val="0"/>
      <w:marBottom w:val="0"/>
      <w:divBdr>
        <w:top w:val="none" w:sz="0" w:space="0" w:color="auto"/>
        <w:left w:val="none" w:sz="0" w:space="0" w:color="auto"/>
        <w:bottom w:val="none" w:sz="0" w:space="0" w:color="auto"/>
        <w:right w:val="none" w:sz="0" w:space="0" w:color="auto"/>
      </w:divBdr>
    </w:div>
    <w:div w:id="604843229">
      <w:bodyDiv w:val="1"/>
      <w:marLeft w:val="0"/>
      <w:marRight w:val="0"/>
      <w:marTop w:val="0"/>
      <w:marBottom w:val="0"/>
      <w:divBdr>
        <w:top w:val="none" w:sz="0" w:space="0" w:color="auto"/>
        <w:left w:val="none" w:sz="0" w:space="0" w:color="auto"/>
        <w:bottom w:val="none" w:sz="0" w:space="0" w:color="auto"/>
        <w:right w:val="none" w:sz="0" w:space="0" w:color="auto"/>
      </w:divBdr>
    </w:div>
    <w:div w:id="713122606">
      <w:bodyDiv w:val="1"/>
      <w:marLeft w:val="0"/>
      <w:marRight w:val="0"/>
      <w:marTop w:val="0"/>
      <w:marBottom w:val="0"/>
      <w:divBdr>
        <w:top w:val="none" w:sz="0" w:space="0" w:color="auto"/>
        <w:left w:val="none" w:sz="0" w:space="0" w:color="auto"/>
        <w:bottom w:val="none" w:sz="0" w:space="0" w:color="auto"/>
        <w:right w:val="none" w:sz="0" w:space="0" w:color="auto"/>
      </w:divBdr>
    </w:div>
    <w:div w:id="734084995">
      <w:bodyDiv w:val="1"/>
      <w:marLeft w:val="0"/>
      <w:marRight w:val="0"/>
      <w:marTop w:val="0"/>
      <w:marBottom w:val="0"/>
      <w:divBdr>
        <w:top w:val="none" w:sz="0" w:space="0" w:color="auto"/>
        <w:left w:val="none" w:sz="0" w:space="0" w:color="auto"/>
        <w:bottom w:val="none" w:sz="0" w:space="0" w:color="auto"/>
        <w:right w:val="none" w:sz="0" w:space="0" w:color="auto"/>
      </w:divBdr>
    </w:div>
    <w:div w:id="907033298">
      <w:bodyDiv w:val="1"/>
      <w:marLeft w:val="0"/>
      <w:marRight w:val="0"/>
      <w:marTop w:val="0"/>
      <w:marBottom w:val="0"/>
      <w:divBdr>
        <w:top w:val="none" w:sz="0" w:space="0" w:color="auto"/>
        <w:left w:val="none" w:sz="0" w:space="0" w:color="auto"/>
        <w:bottom w:val="none" w:sz="0" w:space="0" w:color="auto"/>
        <w:right w:val="none" w:sz="0" w:space="0" w:color="auto"/>
      </w:divBdr>
    </w:div>
    <w:div w:id="1030372697">
      <w:bodyDiv w:val="1"/>
      <w:marLeft w:val="0"/>
      <w:marRight w:val="0"/>
      <w:marTop w:val="0"/>
      <w:marBottom w:val="0"/>
      <w:divBdr>
        <w:top w:val="none" w:sz="0" w:space="0" w:color="auto"/>
        <w:left w:val="none" w:sz="0" w:space="0" w:color="auto"/>
        <w:bottom w:val="none" w:sz="0" w:space="0" w:color="auto"/>
        <w:right w:val="none" w:sz="0" w:space="0" w:color="auto"/>
      </w:divBdr>
    </w:div>
    <w:div w:id="1542984980">
      <w:bodyDiv w:val="1"/>
      <w:marLeft w:val="0"/>
      <w:marRight w:val="0"/>
      <w:marTop w:val="0"/>
      <w:marBottom w:val="0"/>
      <w:divBdr>
        <w:top w:val="none" w:sz="0" w:space="0" w:color="auto"/>
        <w:left w:val="none" w:sz="0" w:space="0" w:color="auto"/>
        <w:bottom w:val="none" w:sz="0" w:space="0" w:color="auto"/>
        <w:right w:val="none" w:sz="0" w:space="0" w:color="auto"/>
      </w:divBdr>
    </w:div>
    <w:div w:id="18565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10.1021/es03535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FD92-A94D-49E7-AA16-A96FE0E3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4974</Words>
  <Characters>28357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SDI PC New 16</cp:lastModifiedBy>
  <cp:revision>130</cp:revision>
  <dcterms:created xsi:type="dcterms:W3CDTF">2014-09-20T11:25:00Z</dcterms:created>
  <dcterms:modified xsi:type="dcterms:W3CDTF">2025-03-27T06:31:00Z</dcterms:modified>
</cp:coreProperties>
</file>