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58519" w14:textId="4DD9AB75" w:rsidR="00754C9A" w:rsidRDefault="004303B1" w:rsidP="00441B6F">
      <w:pPr>
        <w:pStyle w:val="a3"/>
        <w:spacing w:after="0"/>
        <w:jc w:val="both"/>
        <w:rPr>
          <w:rFonts w:ascii="Arial" w:hAnsi="Arial" w:cs="Arial"/>
        </w:rPr>
      </w:pPr>
      <w:r w:rsidRPr="004303B1">
        <w:rPr>
          <w:rFonts w:ascii="Arial" w:hAnsi="Arial" w:cs="Arial"/>
        </w:rPr>
        <w:t>Original Research Article</w:t>
      </w:r>
    </w:p>
    <w:p w14:paraId="63C47E83" w14:textId="77777777" w:rsidR="004303B1" w:rsidRDefault="004303B1" w:rsidP="00441B6F">
      <w:pPr>
        <w:pStyle w:val="a3"/>
        <w:spacing w:after="0"/>
        <w:jc w:val="both"/>
        <w:rPr>
          <w:rFonts w:ascii="Arial" w:hAnsi="Arial" w:cs="Arial"/>
        </w:rPr>
      </w:pPr>
    </w:p>
    <w:p w14:paraId="78EFF395" w14:textId="369DCDA2" w:rsidR="00163BC4" w:rsidRPr="00163BC4" w:rsidRDefault="00A46798" w:rsidP="00441B6F">
      <w:pPr>
        <w:pStyle w:val="Author"/>
        <w:spacing w:line="240" w:lineRule="auto"/>
        <w:rPr>
          <w:rFonts w:ascii="Arial" w:hAnsi="Arial" w:cs="Arial"/>
          <w:bCs/>
          <w:iCs/>
          <w:kern w:val="28"/>
          <w:sz w:val="36"/>
        </w:rPr>
      </w:pPr>
      <w:r w:rsidRPr="00A46798">
        <w:rPr>
          <w:rFonts w:ascii="Arial" w:hAnsi="Arial" w:cs="Arial"/>
          <w:bCs/>
          <w:iCs/>
          <w:kern w:val="28"/>
          <w:sz w:val="36"/>
          <w:highlight w:val="yellow"/>
        </w:rPr>
        <w:t>Effectiveness and Safety of 35 kDa Hyaluronan for Symptom Relief in Advanced Lung Cancer: A Pilot Study Focusing on Pain and Cough</w:t>
      </w:r>
      <w:r w:rsidR="00CE20C5" w:rsidRPr="00CE20C5">
        <w:rPr>
          <w:rFonts w:ascii="Arial" w:hAnsi="Arial" w:cs="Arial"/>
          <w:bCs/>
          <w:iCs/>
          <w:kern w:val="28"/>
          <w:sz w:val="36"/>
        </w:rPr>
        <w:t xml:space="preserve"> </w:t>
      </w:r>
    </w:p>
    <w:p w14:paraId="2860A3BA" w14:textId="77777777" w:rsidR="00A258C3" w:rsidRPr="00790ADA" w:rsidRDefault="00A258C3" w:rsidP="00441B6F">
      <w:pPr>
        <w:pStyle w:val="Author"/>
        <w:spacing w:line="240" w:lineRule="auto"/>
        <w:jc w:val="both"/>
        <w:rPr>
          <w:rFonts w:ascii="Arial" w:hAnsi="Arial" w:cs="Arial"/>
          <w:sz w:val="36"/>
        </w:rPr>
      </w:pPr>
    </w:p>
    <w:p w14:paraId="53DD21EF" w14:textId="7631D174" w:rsidR="007305F6" w:rsidRPr="007305F6" w:rsidRDefault="007305F6" w:rsidP="007305F6">
      <w:pPr>
        <w:pStyle w:val="Affiliation"/>
        <w:rPr>
          <w:rFonts w:ascii="Arial" w:hAnsi="Arial" w:cs="Arial"/>
          <w:i/>
        </w:rPr>
      </w:pPr>
      <w:r>
        <w:rPr>
          <w:rFonts w:ascii="Arial" w:hAnsi="Arial" w:cs="Arial"/>
          <w:i/>
        </w:rPr>
        <w:t xml:space="preserve"> </w:t>
      </w:r>
    </w:p>
    <w:p w14:paraId="18DE4868" w14:textId="77777777" w:rsidR="007305F6" w:rsidRDefault="007305F6" w:rsidP="008C5E4E">
      <w:pPr>
        <w:pStyle w:val="Affiliation"/>
        <w:rPr>
          <w:rFonts w:ascii="Arial" w:hAnsi="Arial" w:cs="Arial"/>
          <w:i/>
        </w:rPr>
      </w:pPr>
    </w:p>
    <w:p w14:paraId="2C1A97D4" w14:textId="77777777" w:rsidR="00790ADA" w:rsidRDefault="00790ADA" w:rsidP="00441B6F">
      <w:pPr>
        <w:pStyle w:val="Affiliation"/>
        <w:spacing w:after="0" w:line="240" w:lineRule="auto"/>
        <w:jc w:val="both"/>
        <w:rPr>
          <w:rFonts w:ascii="Arial" w:hAnsi="Arial" w:cs="Arial"/>
        </w:rPr>
      </w:pPr>
    </w:p>
    <w:p w14:paraId="133F6DCB" w14:textId="77777777" w:rsidR="002C57D2" w:rsidRPr="00FB3A86" w:rsidRDefault="002C57D2" w:rsidP="00441B6F">
      <w:pPr>
        <w:pStyle w:val="Affiliation"/>
        <w:spacing w:after="0" w:line="240" w:lineRule="auto"/>
        <w:jc w:val="both"/>
        <w:rPr>
          <w:rFonts w:ascii="Arial" w:hAnsi="Arial" w:cs="Arial"/>
        </w:rPr>
      </w:pPr>
    </w:p>
    <w:p w14:paraId="0363CD0E" w14:textId="77777777" w:rsidR="00B01FCD" w:rsidRPr="00FB3A86" w:rsidRDefault="00000000" w:rsidP="00441B6F">
      <w:pPr>
        <w:pStyle w:val="Copyright"/>
        <w:spacing w:after="0" w:line="240" w:lineRule="auto"/>
        <w:jc w:val="both"/>
        <w:rPr>
          <w:rFonts w:ascii="Arial" w:hAnsi="Arial" w:cs="Arial"/>
        </w:rPr>
        <w:sectPr w:rsidR="00B01FCD" w:rsidRPr="00FB3A86" w:rsidSect="00F1540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8B77025">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26BE506E" w14:textId="7D7CC6E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6E20443B"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856"/>
      </w:tblGrid>
      <w:tr w:rsidR="00296529" w:rsidRPr="001E44FE" w14:paraId="19EADBBC" w14:textId="77777777" w:rsidTr="001E44FE">
        <w:tc>
          <w:tcPr>
            <w:tcW w:w="9576" w:type="dxa"/>
            <w:shd w:val="clear" w:color="auto" w:fill="F2F2F2"/>
          </w:tcPr>
          <w:p w14:paraId="2825F2CF" w14:textId="73644809" w:rsidR="00BA1B01" w:rsidRPr="00BA1B01" w:rsidRDefault="008C5E4E" w:rsidP="00441B6F">
            <w:pPr>
              <w:pStyle w:val="Body"/>
              <w:spacing w:after="0"/>
              <w:rPr>
                <w:rFonts w:ascii="Arial" w:eastAsia="Calibri" w:hAnsi="Arial" w:cs="Arial"/>
                <w:szCs w:val="22"/>
              </w:rPr>
            </w:pPr>
            <w:r>
              <w:rPr>
                <w:rFonts w:hint="eastAsia"/>
                <w:b/>
                <w:bCs/>
                <w:lang w:eastAsia="zh-CN"/>
              </w:rPr>
              <w:t>Background</w:t>
            </w:r>
            <w:r w:rsidR="00BA1B01" w:rsidRPr="00BA1B01">
              <w:rPr>
                <w:rFonts w:ascii="Arial" w:eastAsia="Calibri" w:hAnsi="Arial" w:cs="Arial"/>
                <w:b/>
                <w:szCs w:val="22"/>
              </w:rPr>
              <w:t xml:space="preserve">: </w:t>
            </w:r>
            <w:r w:rsidR="00167773" w:rsidRPr="00167773">
              <w:rPr>
                <w:lang w:eastAsia="zh-CN"/>
              </w:rPr>
              <w:t>Advanced lung cancer and its associated pain symptoms place a significant burden on patients. A 35 kDa hyaluronan fragment (HA35) has been confirmed to effectively alleviate inflammatory and neuropathic pain in palliative care settings.</w:t>
            </w:r>
            <w:r w:rsidR="00AD0274">
              <w:rPr>
                <w:rFonts w:hint="eastAsia"/>
                <w:lang w:eastAsia="zh-CN"/>
              </w:rPr>
              <w:t xml:space="preserve"> </w:t>
            </w:r>
            <w:r w:rsidR="00167773" w:rsidRPr="00167773">
              <w:rPr>
                <w:highlight w:val="yellow"/>
                <w:lang w:eastAsia="zh-CN"/>
              </w:rPr>
              <w:t>This single-arm, prospective pilot study aimed to evaluate the effectiveness of HA35 injection in providing symptomatic relief, particularly for pain and cough, in patients with advanced lung cancer</w:t>
            </w:r>
            <w:r w:rsidR="00BA1B01" w:rsidRPr="00BA1B01">
              <w:rPr>
                <w:rFonts w:ascii="Arial" w:eastAsia="Calibri" w:hAnsi="Arial" w:cs="Arial"/>
                <w:szCs w:val="22"/>
              </w:rPr>
              <w:t>.</w:t>
            </w:r>
          </w:p>
          <w:p w14:paraId="52E0B27C" w14:textId="6B9D46D2" w:rsidR="00BA1B01" w:rsidRPr="00F34C1D" w:rsidRDefault="008C5E4E" w:rsidP="00441B6F">
            <w:pPr>
              <w:pStyle w:val="Body"/>
              <w:spacing w:after="0"/>
              <w:rPr>
                <w:rFonts w:ascii="Arial" w:hAnsi="Arial" w:cs="Arial" w:hint="eastAsia"/>
                <w:szCs w:val="22"/>
                <w:lang w:eastAsia="zh-CN"/>
              </w:rPr>
            </w:pPr>
            <w:r w:rsidRPr="00203597">
              <w:rPr>
                <w:rFonts w:hint="eastAsia"/>
                <w:b/>
                <w:bCs/>
                <w:lang w:eastAsia="zh-CN"/>
              </w:rPr>
              <w:t>Methods</w:t>
            </w:r>
            <w:r w:rsidR="00BA1B01" w:rsidRPr="00BA1B01">
              <w:rPr>
                <w:rFonts w:ascii="Arial" w:eastAsia="Calibri" w:hAnsi="Arial" w:cs="Arial"/>
                <w:b/>
                <w:szCs w:val="22"/>
                <w:lang w:eastAsia="zh-CN"/>
              </w:rPr>
              <w:t>:</w:t>
            </w:r>
            <w:r w:rsidR="00BA1B01" w:rsidRPr="00BA1B01">
              <w:rPr>
                <w:rFonts w:ascii="Arial" w:eastAsia="Calibri" w:hAnsi="Arial" w:cs="Arial"/>
                <w:szCs w:val="22"/>
                <w:lang w:eastAsia="zh-CN"/>
              </w:rPr>
              <w:t xml:space="preserve"> </w:t>
            </w:r>
            <w:r w:rsidR="00167773" w:rsidRPr="00167773">
              <w:rPr>
                <w:highlight w:val="yellow"/>
                <w:lang w:eastAsia="zh-CN"/>
              </w:rPr>
              <w:t>This study was a single-arm design without a control group. A total of 12 subjects were recruited from Tuya Amglan Hospital, with 2 subjects excluded; thus, 10 subjects completed the clinical study.</w:t>
            </w:r>
            <w:r w:rsidR="00167773" w:rsidRPr="00167773">
              <w:rPr>
                <w:lang w:eastAsia="zh-CN"/>
              </w:rPr>
              <w:t xml:space="preserve"> </w:t>
            </w:r>
            <w:r w:rsidR="00167773" w:rsidRPr="00167773">
              <w:rPr>
                <w:highlight w:val="yellow"/>
                <w:lang w:eastAsia="zh-CN"/>
              </w:rPr>
              <w:t>Ten patients received 100 mg of HA35 via abdominal deep fat layer injection once daily for 1 week, followed by 100 mg every 3 days for 3 months.</w:t>
            </w:r>
            <w:r w:rsidR="00167773" w:rsidRPr="00167773">
              <w:rPr>
                <w:lang w:eastAsia="zh-CN"/>
              </w:rPr>
              <w:t xml:space="preserve"> All patients were allowed intermittent use of antibiotic compounds and corticosteroids during the treatment period to prevent potential infections</w:t>
            </w:r>
            <w:r w:rsidR="00167773" w:rsidRPr="00167773">
              <w:rPr>
                <w:rFonts w:hint="eastAsia"/>
                <w:lang w:eastAsia="zh-CN"/>
              </w:rPr>
              <w:t>.</w:t>
            </w:r>
          </w:p>
          <w:p w14:paraId="112C1D3C" w14:textId="51F6C578" w:rsidR="00BA1B01" w:rsidRPr="00BA1B01" w:rsidRDefault="008C5E4E" w:rsidP="00441B6F">
            <w:pPr>
              <w:pStyle w:val="Body"/>
              <w:spacing w:after="0"/>
              <w:rPr>
                <w:rFonts w:ascii="Arial" w:eastAsia="Calibri" w:hAnsi="Arial" w:cs="Arial"/>
                <w:szCs w:val="22"/>
              </w:rPr>
            </w:pPr>
            <w:r w:rsidRPr="00203597">
              <w:rPr>
                <w:rFonts w:hint="eastAsia"/>
                <w:b/>
                <w:bCs/>
                <w:lang w:eastAsia="zh-CN"/>
              </w:rPr>
              <w:t>Results</w:t>
            </w:r>
            <w:r w:rsidR="00BA1B01" w:rsidRPr="00BA1B01">
              <w:rPr>
                <w:rFonts w:ascii="Arial" w:eastAsia="Calibri" w:hAnsi="Arial" w:cs="Arial"/>
                <w:b/>
                <w:szCs w:val="22"/>
              </w:rPr>
              <w:t>:</w:t>
            </w:r>
            <w:r w:rsidR="00BA1B01" w:rsidRPr="00BA1B01">
              <w:rPr>
                <w:rFonts w:ascii="Arial" w:eastAsia="Calibri" w:hAnsi="Arial" w:cs="Arial"/>
                <w:szCs w:val="22"/>
              </w:rPr>
              <w:t xml:space="preserve"> </w:t>
            </w:r>
            <w:r>
              <w:t xml:space="preserve">Abdominal deep fat layer injection of HA35 effectively alleviated pain or discomfort (P&lt;.0001) and associated cough symptoms (P&lt;.0001). </w:t>
            </w:r>
            <w:r>
              <w:rPr>
                <w:rFonts w:hint="eastAsia"/>
                <w:lang w:eastAsia="zh-CN"/>
              </w:rPr>
              <w:t>C</w:t>
            </w:r>
            <w:r w:rsidRPr="008C5E4E">
              <w:t xml:space="preserve">hest </w:t>
            </w:r>
            <w:r>
              <w:rPr>
                <w:rFonts w:hint="eastAsia"/>
                <w:lang w:eastAsia="zh-CN"/>
              </w:rPr>
              <w:t>C</w:t>
            </w:r>
            <w:r w:rsidRPr="008C5E4E">
              <w:t xml:space="preserve">omputed </w:t>
            </w:r>
            <w:r>
              <w:rPr>
                <w:rFonts w:hint="eastAsia"/>
                <w:lang w:eastAsia="zh-CN"/>
              </w:rPr>
              <w:t>T</w:t>
            </w:r>
            <w:r w:rsidRPr="008C5E4E">
              <w:t xml:space="preserve">omography </w:t>
            </w:r>
            <w:r>
              <w:rPr>
                <w:rFonts w:hint="eastAsia"/>
                <w:lang w:eastAsia="zh-CN"/>
              </w:rPr>
              <w:t>(</w:t>
            </w:r>
            <w:r>
              <w:t>Chest CT</w:t>
            </w:r>
            <w:r>
              <w:rPr>
                <w:rFonts w:hint="eastAsia"/>
                <w:lang w:eastAsia="zh-CN"/>
              </w:rPr>
              <w:t>)</w:t>
            </w:r>
            <w:r>
              <w:t xml:space="preserve"> revealed that all lung tumor masses had no significant changes after 3 months of treatment. Interestingly, the treatment significantly improved the fatigue (P&lt;.0001) and facial skin brightness (P&lt;.001) of all patients</w:t>
            </w:r>
            <w:r w:rsidR="00BA1B01" w:rsidRPr="00BA1B01">
              <w:rPr>
                <w:rFonts w:ascii="Arial" w:eastAsia="Calibri" w:hAnsi="Arial" w:cs="Arial"/>
                <w:szCs w:val="22"/>
              </w:rPr>
              <w:t>.</w:t>
            </w:r>
          </w:p>
          <w:p w14:paraId="39A8C06D" w14:textId="1E177BF7" w:rsidR="00505F06" w:rsidRPr="008C5E4E" w:rsidRDefault="00654F3C" w:rsidP="00441B6F">
            <w:pPr>
              <w:pStyle w:val="Body"/>
              <w:spacing w:after="0"/>
              <w:rPr>
                <w:rFonts w:ascii="Arial" w:hAnsi="Arial" w:cs="Arial"/>
                <w:szCs w:val="22"/>
                <w:lang w:eastAsia="zh-CN"/>
              </w:rPr>
            </w:pPr>
            <w:r w:rsidRPr="00654F3C">
              <w:rPr>
                <w:b/>
                <w:bCs/>
                <w:highlight w:val="yellow"/>
                <w:lang w:eastAsia="zh-CN"/>
              </w:rPr>
              <w:t>Conclusion</w:t>
            </w:r>
            <w:r w:rsidR="00BA1B01" w:rsidRPr="00BA1B01">
              <w:rPr>
                <w:rFonts w:ascii="Arial" w:eastAsia="Calibri" w:hAnsi="Arial" w:cs="Arial"/>
                <w:b/>
                <w:bCs/>
                <w:szCs w:val="22"/>
              </w:rPr>
              <w:t>:</w:t>
            </w:r>
            <w:r w:rsidR="00BA1B01" w:rsidRPr="00BA1B01">
              <w:rPr>
                <w:rFonts w:ascii="Arial" w:eastAsia="Calibri" w:hAnsi="Arial" w:cs="Arial"/>
                <w:szCs w:val="22"/>
              </w:rPr>
              <w:t xml:space="preserve"> </w:t>
            </w:r>
            <w:r w:rsidR="00167773" w:rsidRPr="00167773">
              <w:t xml:space="preserve">HA35 injection may help alleviate pain, discomfort, and cough symptoms in patients with advanced lung cancer. </w:t>
            </w:r>
            <w:r w:rsidR="00167773" w:rsidRPr="00167773">
              <w:rPr>
                <w:highlight w:val="yellow"/>
              </w:rPr>
              <w:t>Furthermore, the improvements observed in fatigue and facial skin brightness suggest that HA35 might also contribute to enhancing the mental well-being of cancer patients</w:t>
            </w:r>
            <w:r w:rsidR="00BA1B01" w:rsidRPr="00167773">
              <w:rPr>
                <w:rFonts w:ascii="Arial" w:eastAsia="Calibri" w:hAnsi="Arial" w:cs="Arial"/>
                <w:szCs w:val="22"/>
                <w:highlight w:val="yellow"/>
              </w:rPr>
              <w:t>.</w:t>
            </w:r>
          </w:p>
        </w:tc>
      </w:tr>
    </w:tbl>
    <w:p w14:paraId="61FC6F5F" w14:textId="77777777" w:rsidR="00636EB2" w:rsidRDefault="00636EB2" w:rsidP="00441B6F">
      <w:pPr>
        <w:pStyle w:val="Body"/>
        <w:spacing w:after="0"/>
        <w:rPr>
          <w:rFonts w:ascii="Arial" w:hAnsi="Arial" w:cs="Arial"/>
          <w:i/>
        </w:rPr>
      </w:pPr>
    </w:p>
    <w:p w14:paraId="2C497292" w14:textId="79EB3217" w:rsidR="00A24E7E" w:rsidRDefault="00A24E7E" w:rsidP="00441B6F">
      <w:pPr>
        <w:pStyle w:val="Body"/>
        <w:spacing w:after="0"/>
        <w:rPr>
          <w:rFonts w:ascii="Arial" w:hAnsi="Arial" w:cs="Arial"/>
          <w:i/>
        </w:rPr>
      </w:pPr>
      <w:r>
        <w:rPr>
          <w:rFonts w:ascii="Arial" w:hAnsi="Arial" w:cs="Arial"/>
          <w:i/>
        </w:rPr>
        <w:t>Keywords:</w:t>
      </w:r>
      <w:r w:rsidR="008C5E4E" w:rsidRPr="008C5E4E">
        <w:t xml:space="preserve"> </w:t>
      </w:r>
      <w:r w:rsidR="008C5E4E" w:rsidRPr="008C5E4E">
        <w:rPr>
          <w:rFonts w:ascii="Arial" w:hAnsi="Arial" w:cs="Arial"/>
          <w:i/>
        </w:rPr>
        <w:t>35 kDa hyaluronan fragment; HA35; advanced lung cancer; palliative care; pain; cough; cosmetic therapy</w:t>
      </w:r>
    </w:p>
    <w:p w14:paraId="04FEBAD2" w14:textId="77777777" w:rsidR="0024282C" w:rsidRDefault="0024282C" w:rsidP="00441B6F">
      <w:pPr>
        <w:pStyle w:val="Body"/>
        <w:spacing w:after="0"/>
        <w:rPr>
          <w:rFonts w:ascii="Arial" w:hAnsi="Arial" w:cs="Arial"/>
          <w:i/>
          <w:sz w:val="18"/>
        </w:rPr>
      </w:pPr>
    </w:p>
    <w:p w14:paraId="3B51C509" w14:textId="77777777" w:rsidR="00505F06" w:rsidRPr="00A24E7E" w:rsidRDefault="00505F06" w:rsidP="00441B6F">
      <w:pPr>
        <w:pStyle w:val="Body"/>
        <w:spacing w:after="0"/>
        <w:rPr>
          <w:rFonts w:ascii="Arial" w:hAnsi="Arial" w:cs="Arial"/>
          <w:i/>
        </w:rPr>
      </w:pPr>
    </w:p>
    <w:p w14:paraId="4B00AD54" w14:textId="0B2A6E7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74065F28" w14:textId="77777777" w:rsidR="00790ADA" w:rsidRPr="00FB3A86" w:rsidRDefault="00790ADA" w:rsidP="00441B6F">
      <w:pPr>
        <w:pStyle w:val="AbstHead"/>
        <w:spacing w:after="0"/>
        <w:jc w:val="both"/>
        <w:rPr>
          <w:rFonts w:ascii="Arial" w:hAnsi="Arial" w:cs="Arial"/>
        </w:rPr>
      </w:pPr>
    </w:p>
    <w:p w14:paraId="1A2881C8" w14:textId="03F88A5A" w:rsidR="001A3AC4" w:rsidRPr="001A3AC4" w:rsidRDefault="001A3AC4" w:rsidP="001A3AC4">
      <w:pPr>
        <w:pStyle w:val="Body"/>
        <w:rPr>
          <w:rFonts w:ascii="Arial" w:hAnsi="Arial" w:cs="Arial"/>
        </w:rPr>
      </w:pPr>
      <w:r w:rsidRPr="001A3AC4">
        <w:rPr>
          <w:rFonts w:ascii="Arial" w:hAnsi="Arial" w:cs="Arial"/>
        </w:rPr>
        <w:t>Lung cancer is the most common cancer and the leading cause of cancer-related deaths worldwide</w:t>
      </w:r>
      <w:r w:rsidR="00F82DCD" w:rsidRPr="001A3AC4">
        <w:rPr>
          <w:rFonts w:ascii="Arial" w:hAnsi="Arial" w:cs="Arial"/>
        </w:rPr>
        <w:t xml:space="preserve"> </w:t>
      </w:r>
      <w:r w:rsidRPr="001A3AC4">
        <w:rPr>
          <w:rFonts w:ascii="Arial" w:hAnsi="Arial" w:cs="Arial"/>
        </w:rPr>
        <w:t>[1,2]</w:t>
      </w:r>
      <w:r w:rsidR="00F82DCD" w:rsidRPr="001A3AC4">
        <w:rPr>
          <w:rFonts w:ascii="Arial" w:hAnsi="Arial" w:cs="Arial"/>
        </w:rPr>
        <w:t>.</w:t>
      </w:r>
      <w:r w:rsidRPr="001A3AC4">
        <w:rPr>
          <w:rFonts w:ascii="Arial" w:hAnsi="Arial" w:cs="Arial"/>
        </w:rPr>
        <w:t xml:space="preserve"> The majority of patients have an advanced stage of the disease at diagnosis</w:t>
      </w:r>
      <w:r w:rsidR="00F82DCD">
        <w:rPr>
          <w:rFonts w:ascii="Arial" w:hAnsi="Arial" w:cs="Arial" w:hint="eastAsia"/>
          <w:lang w:eastAsia="zh-CN"/>
        </w:rPr>
        <w:t xml:space="preserve"> </w:t>
      </w:r>
      <w:r w:rsidRPr="001A3AC4">
        <w:rPr>
          <w:rFonts w:ascii="Arial" w:hAnsi="Arial" w:cs="Arial"/>
        </w:rPr>
        <w:t>[3]</w:t>
      </w:r>
      <w:r w:rsidR="00F82DCD">
        <w:rPr>
          <w:rFonts w:ascii="Arial" w:hAnsi="Arial" w:cs="Arial" w:hint="eastAsia"/>
          <w:lang w:eastAsia="zh-CN"/>
        </w:rPr>
        <w:t>.</w:t>
      </w:r>
      <w:r w:rsidRPr="001A3AC4">
        <w:rPr>
          <w:rFonts w:ascii="Arial" w:hAnsi="Arial" w:cs="Arial"/>
        </w:rPr>
        <w:t xml:space="preserve"> In advanced lung cancer, including small cell lung cancer (SCLC) and non-small cell lung cancer (NSCLC), pain and discomfort are the most common symptoms</w:t>
      </w:r>
      <w:r w:rsidR="00F82DCD">
        <w:rPr>
          <w:rFonts w:ascii="Arial" w:hAnsi="Arial" w:cs="Arial" w:hint="eastAsia"/>
          <w:lang w:eastAsia="zh-CN"/>
        </w:rPr>
        <w:t xml:space="preserve"> </w:t>
      </w:r>
      <w:r w:rsidRPr="001A3AC4">
        <w:rPr>
          <w:rFonts w:ascii="Arial" w:hAnsi="Arial" w:cs="Arial"/>
        </w:rPr>
        <w:t>[4]</w:t>
      </w:r>
      <w:r w:rsidR="00F82DCD">
        <w:rPr>
          <w:rFonts w:ascii="Arial" w:hAnsi="Arial" w:cs="Arial" w:hint="eastAsia"/>
          <w:lang w:eastAsia="zh-CN"/>
        </w:rPr>
        <w:t>.</w:t>
      </w:r>
      <w:r w:rsidRPr="001A3AC4">
        <w:rPr>
          <w:rFonts w:ascii="Arial" w:hAnsi="Arial" w:cs="Arial"/>
        </w:rPr>
        <w:t xml:space="preserve"> Approximately 75% of patients experience chronic pain</w:t>
      </w:r>
      <w:r w:rsidR="00F82DCD">
        <w:rPr>
          <w:rFonts w:ascii="Arial" w:hAnsi="Arial" w:cs="Arial" w:hint="eastAsia"/>
          <w:lang w:eastAsia="zh-CN"/>
        </w:rPr>
        <w:t xml:space="preserve"> </w:t>
      </w:r>
      <w:r w:rsidRPr="001A3AC4">
        <w:rPr>
          <w:rFonts w:ascii="Arial" w:hAnsi="Arial" w:cs="Arial"/>
        </w:rPr>
        <w:t>[5,6]</w:t>
      </w:r>
      <w:r w:rsidR="00F82DCD">
        <w:rPr>
          <w:rFonts w:ascii="Arial" w:hAnsi="Arial" w:cs="Arial" w:hint="eastAsia"/>
          <w:lang w:eastAsia="zh-CN"/>
        </w:rPr>
        <w:t>.</w:t>
      </w:r>
      <w:r w:rsidRPr="001A3AC4">
        <w:rPr>
          <w:rFonts w:ascii="Arial" w:hAnsi="Arial" w:cs="Arial"/>
        </w:rPr>
        <w:t xml:space="preserve"> Chronic pain and acute pain may be attributed to the same cause; however, longevity may differ. Chronic pain often persists for more than 12 h with a </w:t>
      </w:r>
      <w:r w:rsidRPr="001A3AC4">
        <w:rPr>
          <w:rFonts w:ascii="Arial" w:hAnsi="Arial" w:cs="Arial"/>
        </w:rPr>
        <w:lastRenderedPageBreak/>
        <w:t>gradual spread. Effective lung cancer treatment is crucial for relieving patients with advanced lung cancer, reducing the adverse effects of nonsteroidal anti-inflammatory drugs or transdermal opioids, and increasing patient comfort. Importantly, these are also the main objectives of advanced lung cancer palliative care.</w:t>
      </w:r>
    </w:p>
    <w:p w14:paraId="1F078A1C" w14:textId="7B0FA9FC" w:rsidR="001A3AC4" w:rsidRPr="001A3AC4" w:rsidRDefault="001A3AC4" w:rsidP="001A3AC4">
      <w:pPr>
        <w:pStyle w:val="Body"/>
        <w:rPr>
          <w:rFonts w:ascii="Arial" w:hAnsi="Arial" w:cs="Arial"/>
          <w:lang w:eastAsia="zh-CN"/>
        </w:rPr>
      </w:pPr>
      <w:r w:rsidRPr="001A3AC4">
        <w:rPr>
          <w:rFonts w:ascii="Arial" w:hAnsi="Arial" w:cs="Arial"/>
        </w:rPr>
        <w:t>Naked mole rats have a higher tissue content of hyaluronan and its fragments. It has been reported that the content of hyaluronan (HA) and its fragments in the tissue of African naked mole rats is as high as 6%. High levels of HA and its fragments make rats insensitive to acid-induced pain, and they do not suffer from cancer while alive</w:t>
      </w:r>
      <w:r w:rsidR="00F82DCD">
        <w:rPr>
          <w:rFonts w:ascii="Arial" w:hAnsi="Arial" w:cs="Arial" w:hint="eastAsia"/>
          <w:lang w:eastAsia="zh-CN"/>
        </w:rPr>
        <w:t xml:space="preserve"> </w:t>
      </w:r>
      <w:r w:rsidRPr="001A3AC4">
        <w:rPr>
          <w:rFonts w:ascii="Arial" w:hAnsi="Arial" w:cs="Arial"/>
        </w:rPr>
        <w:t>[7-9]</w:t>
      </w:r>
      <w:r w:rsidR="00F82DCD">
        <w:rPr>
          <w:rFonts w:ascii="Arial" w:hAnsi="Arial" w:cs="Arial" w:hint="eastAsia"/>
          <w:lang w:eastAsia="zh-CN"/>
        </w:rPr>
        <w:t>.</w:t>
      </w:r>
      <w:r w:rsidRPr="001A3AC4">
        <w:rPr>
          <w:rFonts w:ascii="Arial" w:hAnsi="Arial" w:cs="Arial"/>
        </w:rPr>
        <w:t xml:space="preserve"> Researchers have expressed the high-molecular-weight HA gene in African naked mole rats using a gene transfer method, demonstrating that HA and its fragments could improve the healthspan of mice and make mice insensitive to pain</w:t>
      </w:r>
      <w:r w:rsidR="00F82DCD">
        <w:rPr>
          <w:rFonts w:ascii="Arial" w:hAnsi="Arial" w:cs="Arial" w:hint="eastAsia"/>
          <w:lang w:eastAsia="zh-CN"/>
        </w:rPr>
        <w:t xml:space="preserve"> </w:t>
      </w:r>
      <w:r w:rsidRPr="001A3AC4">
        <w:rPr>
          <w:rFonts w:ascii="Arial" w:hAnsi="Arial" w:cs="Arial"/>
        </w:rPr>
        <w:t>[10]</w:t>
      </w:r>
      <w:r w:rsidR="00F82DCD">
        <w:rPr>
          <w:rFonts w:ascii="Arial" w:hAnsi="Arial" w:cs="Arial" w:hint="eastAsia"/>
          <w:lang w:eastAsia="zh-CN"/>
        </w:rPr>
        <w:t>.</w:t>
      </w:r>
      <w:r w:rsidRPr="001A3AC4">
        <w:rPr>
          <w:rFonts w:ascii="Arial" w:hAnsi="Arial" w:cs="Arial"/>
        </w:rPr>
        <w:t xml:space="preserve"> However, HA (MW&gt;1000 kDa) has a high molecular weight, high viscosity, low solubility in aqueous solution, and poor permeability in human tissues</w:t>
      </w:r>
      <w:r w:rsidR="00F82DCD">
        <w:rPr>
          <w:rFonts w:ascii="Arial" w:hAnsi="Arial" w:cs="Arial" w:hint="eastAsia"/>
          <w:lang w:eastAsia="zh-CN"/>
        </w:rPr>
        <w:t xml:space="preserve"> </w:t>
      </w:r>
      <w:r w:rsidRPr="001A3AC4">
        <w:rPr>
          <w:rFonts w:ascii="Arial" w:hAnsi="Arial" w:cs="Arial"/>
        </w:rPr>
        <w:t>[11-14]</w:t>
      </w:r>
      <w:r w:rsidR="00F82DCD">
        <w:rPr>
          <w:rFonts w:ascii="Arial" w:hAnsi="Arial" w:cs="Arial" w:hint="eastAsia"/>
          <w:lang w:eastAsia="zh-CN"/>
        </w:rPr>
        <w:t>.</w:t>
      </w:r>
      <w:r w:rsidRPr="001A3AC4">
        <w:rPr>
          <w:rFonts w:ascii="Arial" w:hAnsi="Arial" w:cs="Arial"/>
        </w:rPr>
        <w:t xml:space="preserve"> Therefore, for human disease treatment, HA is mainly used for local injection. HA35, known as bioactive HA or B-HA, is a 35 kDa HA fragment that has a bioactive effect on a variety of HA-binding proteins or receptors and can freely cross a filter with a 220 nm pore size</w:t>
      </w:r>
      <w:r w:rsidR="00F82DCD">
        <w:rPr>
          <w:rFonts w:ascii="Arial" w:hAnsi="Arial" w:cs="Arial" w:hint="eastAsia"/>
          <w:lang w:eastAsia="zh-CN"/>
        </w:rPr>
        <w:t xml:space="preserve"> </w:t>
      </w:r>
      <w:r w:rsidRPr="001A3AC4">
        <w:rPr>
          <w:rFonts w:ascii="Arial" w:hAnsi="Arial" w:cs="Arial"/>
        </w:rPr>
        <w:t>[10,15-21]</w:t>
      </w:r>
      <w:r w:rsidR="00F82DCD">
        <w:rPr>
          <w:rFonts w:ascii="Arial" w:hAnsi="Arial" w:cs="Arial" w:hint="eastAsia"/>
          <w:lang w:eastAsia="zh-CN"/>
        </w:rPr>
        <w:t>.</w:t>
      </w:r>
      <w:r w:rsidRPr="001A3AC4">
        <w:rPr>
          <w:rFonts w:ascii="Arial" w:hAnsi="Arial" w:cs="Arial"/>
        </w:rPr>
        <w:t xml:space="preserve"> Particles with a size of &lt;220 nm are usually called nanoparticles (NPs), which are tissue-permeable and particularly common in human venous or parenteral nutrition products. HA35 can be generated by mixing hyaluronidase PH20, also known as SPAM1 (sperm adhesion molecule 1) and injection-grade high-molecular-weight HA at room temperature for 4 h</w:t>
      </w:r>
      <w:r w:rsidR="00F82DCD">
        <w:rPr>
          <w:rFonts w:ascii="Arial" w:hAnsi="Arial" w:cs="Arial" w:hint="eastAsia"/>
          <w:lang w:eastAsia="zh-CN"/>
        </w:rPr>
        <w:t xml:space="preserve"> </w:t>
      </w:r>
      <w:r w:rsidRPr="001A3AC4">
        <w:rPr>
          <w:rFonts w:ascii="Arial" w:hAnsi="Arial" w:cs="Arial"/>
        </w:rPr>
        <w:t>[17]</w:t>
      </w:r>
      <w:r w:rsidR="00F82DCD">
        <w:rPr>
          <w:rFonts w:ascii="Arial" w:hAnsi="Arial" w:cs="Arial" w:hint="eastAsia"/>
          <w:lang w:eastAsia="zh-CN"/>
        </w:rPr>
        <w:t>,</w:t>
      </w:r>
      <w:r w:rsidRPr="001A3AC4">
        <w:rPr>
          <w:rFonts w:ascii="Arial" w:hAnsi="Arial" w:cs="Arial"/>
        </w:rPr>
        <w:t xml:space="preserve"> and several clinical studies have shown its efficacy in treating inflammatory and neuropathic pain (registration numbers NCT05756595 and NCT05764226), which is safe for human use</w:t>
      </w:r>
      <w:r w:rsidR="00F82DCD">
        <w:rPr>
          <w:rFonts w:ascii="Arial" w:hAnsi="Arial" w:cs="Arial" w:hint="eastAsia"/>
          <w:lang w:eastAsia="zh-CN"/>
        </w:rPr>
        <w:t xml:space="preserve"> </w:t>
      </w:r>
      <w:r w:rsidRPr="001A3AC4">
        <w:rPr>
          <w:rFonts w:ascii="Arial" w:hAnsi="Arial" w:cs="Arial"/>
        </w:rPr>
        <w:t>[22]</w:t>
      </w:r>
      <w:r w:rsidR="00F82DCD">
        <w:rPr>
          <w:rFonts w:ascii="Arial" w:hAnsi="Arial" w:cs="Arial" w:hint="eastAsia"/>
          <w:lang w:eastAsia="zh-CN"/>
        </w:rPr>
        <w:t>.</w:t>
      </w:r>
    </w:p>
    <w:p w14:paraId="7D5ECD40" w14:textId="339E309D" w:rsidR="00B01FCD" w:rsidRDefault="001A3AC4" w:rsidP="001A3AC4">
      <w:pPr>
        <w:pStyle w:val="Body"/>
        <w:spacing w:after="0"/>
        <w:rPr>
          <w:rFonts w:ascii="Arial" w:hAnsi="Arial" w:cs="Arial"/>
        </w:rPr>
      </w:pPr>
      <w:r w:rsidRPr="001A3AC4">
        <w:rPr>
          <w:rFonts w:ascii="Arial" w:hAnsi="Arial" w:cs="Arial"/>
        </w:rPr>
        <w:t>In this study, the clinical efficacy of HA35 or B-HA in the treatment of pain and cough associated with advanced lung cancer was investigated by conducting a short-term self-controlled clinical trial, i.e., an investigator-initiated trial (IIT) (registration number: NCT05852002)</w:t>
      </w:r>
      <w:r w:rsidR="00F82DCD">
        <w:rPr>
          <w:rFonts w:ascii="Arial" w:hAnsi="Arial" w:cs="Arial" w:hint="eastAsia"/>
          <w:lang w:eastAsia="zh-CN"/>
        </w:rPr>
        <w:t xml:space="preserve"> </w:t>
      </w:r>
      <w:r w:rsidRPr="001A3AC4">
        <w:rPr>
          <w:rFonts w:ascii="Arial" w:hAnsi="Arial" w:cs="Arial"/>
        </w:rPr>
        <w:t>[23-24]</w:t>
      </w:r>
      <w:r w:rsidR="00F82DCD">
        <w:rPr>
          <w:rFonts w:ascii="Arial" w:hAnsi="Arial" w:cs="Arial" w:hint="eastAsia"/>
          <w:lang w:eastAsia="zh-CN"/>
        </w:rPr>
        <w:t>.</w:t>
      </w:r>
      <w:r w:rsidRPr="001A3AC4">
        <w:rPr>
          <w:rFonts w:ascii="Arial" w:hAnsi="Arial" w:cs="Arial"/>
        </w:rPr>
        <w:t xml:space="preserve"> At the same time, this is also the first proof of concept clinical study for human body to relieve pain and cough associated with advanced lung cancer.</w:t>
      </w:r>
    </w:p>
    <w:p w14:paraId="38F50943" w14:textId="77777777" w:rsidR="00790ADA" w:rsidRPr="00FB3A86" w:rsidRDefault="00790ADA" w:rsidP="00441B6F">
      <w:pPr>
        <w:pStyle w:val="Body"/>
        <w:spacing w:after="0"/>
        <w:rPr>
          <w:rFonts w:ascii="Arial" w:hAnsi="Arial" w:cs="Arial"/>
        </w:rPr>
      </w:pPr>
    </w:p>
    <w:p w14:paraId="2B71104E" w14:textId="0592EEB5"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4E8959B4" w14:textId="77777777" w:rsidR="00790ADA" w:rsidRPr="001A3AC4" w:rsidRDefault="00790ADA" w:rsidP="00441B6F">
      <w:pPr>
        <w:pStyle w:val="Body"/>
        <w:spacing w:after="0"/>
        <w:rPr>
          <w:rFonts w:ascii="Arial" w:hAnsi="Arial" w:cs="Arial"/>
          <w:lang w:eastAsia="zh-CN"/>
        </w:rPr>
      </w:pPr>
    </w:p>
    <w:p w14:paraId="0643320D" w14:textId="2E6FC3C6" w:rsidR="00AA74E0" w:rsidRDefault="00AA74E0" w:rsidP="00441B6F">
      <w:pPr>
        <w:pStyle w:val="Body"/>
        <w:spacing w:after="0"/>
        <w:rPr>
          <w:rFonts w:ascii="Arial" w:hAnsi="Arial" w:cs="Arial"/>
        </w:rPr>
      </w:pPr>
      <w:r w:rsidRPr="00C30A0F">
        <w:rPr>
          <w:rFonts w:ascii="Arial" w:hAnsi="Arial" w:cs="Arial"/>
          <w:b/>
          <w:caps/>
          <w:sz w:val="22"/>
        </w:rPr>
        <w:t xml:space="preserve">2.1 </w:t>
      </w:r>
      <w:r w:rsidR="001A3AC4" w:rsidRPr="001A3AC4">
        <w:rPr>
          <w:rFonts w:ascii="Arial" w:hAnsi="Arial" w:cs="Arial"/>
          <w:b/>
          <w:sz w:val="22"/>
        </w:rPr>
        <w:t>Materials</w:t>
      </w:r>
      <w:r w:rsidRPr="00FB3A86">
        <w:rPr>
          <w:rFonts w:ascii="Arial" w:hAnsi="Arial" w:cs="Arial"/>
        </w:rPr>
        <w:t xml:space="preserve"> </w:t>
      </w:r>
    </w:p>
    <w:p w14:paraId="7E15EAAC" w14:textId="77777777" w:rsidR="00F82DCD" w:rsidRDefault="00F82DCD" w:rsidP="00441B6F">
      <w:pPr>
        <w:pStyle w:val="Body"/>
        <w:spacing w:after="0"/>
        <w:rPr>
          <w:rFonts w:ascii="Arial" w:hAnsi="Arial" w:cs="Arial"/>
        </w:rPr>
      </w:pPr>
    </w:p>
    <w:p w14:paraId="5AE3C02A" w14:textId="6A84D789" w:rsidR="00505F06" w:rsidRDefault="001A3AC4" w:rsidP="00441B6F">
      <w:pPr>
        <w:pStyle w:val="Body"/>
        <w:spacing w:after="0"/>
        <w:rPr>
          <w:rFonts w:ascii="Arial" w:hAnsi="Arial" w:cs="Arial"/>
        </w:rPr>
      </w:pPr>
      <w:r w:rsidRPr="001A3AC4">
        <w:rPr>
          <w:rFonts w:ascii="Arial" w:hAnsi="Arial" w:cs="Arial"/>
        </w:rPr>
        <w:t>HA35 or B-HA injection samples were obtained from the pharmaceutical company NAKHIA IMPEX, Ulaanbaatar, Mongolia. The recombinant human hyaluronidase PH20</w:t>
      </w:r>
      <w:r w:rsidR="00F82DCD">
        <w:rPr>
          <w:rFonts w:ascii="Arial" w:hAnsi="Arial" w:cs="Arial" w:hint="eastAsia"/>
          <w:lang w:eastAsia="zh-CN"/>
        </w:rPr>
        <w:t xml:space="preserve"> </w:t>
      </w:r>
      <w:r w:rsidRPr="001A3AC4">
        <w:rPr>
          <w:rFonts w:ascii="Arial" w:hAnsi="Arial" w:cs="Arial"/>
        </w:rPr>
        <w:t>[17] cleaves high-molecular-weight HA (Bloomage Biotech) into the 35 kDa HA fragment HA35 or B-HA (B-HA injection, Registration number L20200708MP07707; Ministry of Health).</w:t>
      </w:r>
    </w:p>
    <w:p w14:paraId="1C162CE5" w14:textId="77777777" w:rsidR="001A3AC4" w:rsidRDefault="001A3AC4" w:rsidP="00441B6F">
      <w:pPr>
        <w:pStyle w:val="Body"/>
        <w:spacing w:after="0"/>
        <w:rPr>
          <w:rFonts w:ascii="Arial" w:hAnsi="Arial" w:cs="Arial"/>
          <w:b/>
          <w:u w:val="single"/>
        </w:rPr>
      </w:pPr>
    </w:p>
    <w:p w14:paraId="000A9729" w14:textId="67634513" w:rsidR="001A3AC4" w:rsidRPr="00AD0274" w:rsidRDefault="001A3AC4" w:rsidP="001A3AC4">
      <w:pPr>
        <w:pStyle w:val="Body"/>
        <w:spacing w:after="0"/>
        <w:rPr>
          <w:rFonts w:ascii="Arial" w:hAnsi="Arial" w:cs="Arial"/>
        </w:rPr>
      </w:pPr>
      <w:r w:rsidRPr="00AD0274">
        <w:rPr>
          <w:rFonts w:ascii="Arial" w:hAnsi="Arial" w:cs="Arial"/>
          <w:b/>
          <w:caps/>
          <w:sz w:val="22"/>
        </w:rPr>
        <w:t>2.</w:t>
      </w:r>
      <w:r w:rsidRPr="00AD0274">
        <w:rPr>
          <w:rFonts w:ascii="Arial" w:hAnsi="Arial" w:cs="Arial" w:hint="eastAsia"/>
          <w:b/>
          <w:caps/>
          <w:sz w:val="22"/>
          <w:lang w:eastAsia="zh-CN"/>
        </w:rPr>
        <w:t>2</w:t>
      </w:r>
      <w:r w:rsidRPr="00AD0274">
        <w:rPr>
          <w:rFonts w:ascii="Arial" w:hAnsi="Arial" w:cs="Arial"/>
          <w:b/>
          <w:caps/>
          <w:sz w:val="22"/>
        </w:rPr>
        <w:t xml:space="preserve"> </w:t>
      </w:r>
      <w:r w:rsidRPr="00AD0274">
        <w:rPr>
          <w:rFonts w:ascii="Arial" w:hAnsi="Arial" w:cs="Arial"/>
          <w:b/>
          <w:sz w:val="22"/>
        </w:rPr>
        <w:t>Patients and study design</w:t>
      </w:r>
    </w:p>
    <w:p w14:paraId="3E998F4A" w14:textId="77777777" w:rsidR="00F82DCD" w:rsidRDefault="00F82DCD" w:rsidP="00441B6F">
      <w:pPr>
        <w:pStyle w:val="Body"/>
        <w:spacing w:after="0"/>
        <w:rPr>
          <w:rFonts w:ascii="Arial" w:hAnsi="Arial" w:cs="Arial"/>
        </w:rPr>
      </w:pPr>
    </w:p>
    <w:p w14:paraId="3A306CFE" w14:textId="028724CF" w:rsidR="001A3AC4" w:rsidRDefault="001A3AC4" w:rsidP="00441B6F">
      <w:pPr>
        <w:pStyle w:val="Body"/>
        <w:spacing w:after="0"/>
        <w:rPr>
          <w:rFonts w:ascii="Arial" w:hAnsi="Arial" w:cs="Arial"/>
        </w:rPr>
      </w:pPr>
      <w:r w:rsidRPr="001A3AC4">
        <w:rPr>
          <w:rFonts w:ascii="Arial" w:hAnsi="Arial" w:cs="Arial"/>
        </w:rPr>
        <w:t>This study was approved by a formally constituted review board (Ethics Committee of Tuya Amglan Hospital), and written informed consent was obtained from all 10 patient volunteers who were recruited by Tuya Amglan Hospital between January and June in 2023 in accordance with the guidelines of the Declaration of Helsinki. In fact, this study recruited 12 patients. 1 patient did not meet the inclusion criteria. Thus, a total of 11 patients was enrolled. 1 patient dropped out during the follow-up. Therefore, 10</w:t>
      </w:r>
      <w:r w:rsidRPr="001A3AC4">
        <w:rPr>
          <w:rFonts w:ascii="Arial" w:hAnsi="Arial" w:cs="Arial" w:hint="eastAsia"/>
        </w:rPr>
        <w:t xml:space="preserve"> patients completed the study protocol. The CONSORT diagram is shown in Fig 1. This study inclusion criteria were as follows: </w:t>
      </w:r>
      <w:r w:rsidR="006540B2" w:rsidRPr="006540B2">
        <w:rPr>
          <w:rFonts w:ascii="Arial" w:hAnsi="Arial" w:cs="Arial" w:hint="eastAsia"/>
          <w:highlight w:val="yellow"/>
        </w:rPr>
        <w:t xml:space="preserve">Age </w:t>
      </w:r>
      <w:r w:rsidR="006540B2" w:rsidRPr="006540B2">
        <w:rPr>
          <w:rFonts w:ascii="Arial" w:hAnsi="Arial" w:cs="Arial" w:hint="eastAsia"/>
          <w:highlight w:val="yellow"/>
        </w:rPr>
        <w:t>≥</w:t>
      </w:r>
      <w:r w:rsidR="006540B2" w:rsidRPr="006540B2">
        <w:rPr>
          <w:rFonts w:ascii="Arial" w:hAnsi="Arial" w:cs="Arial" w:hint="eastAsia"/>
          <w:highlight w:val="yellow"/>
        </w:rPr>
        <w:t>18 years (the enrolled patients ranged from 45 to 73 years)</w:t>
      </w:r>
      <w:r w:rsidRPr="001A3AC4">
        <w:rPr>
          <w:rFonts w:ascii="Arial" w:hAnsi="Arial" w:cs="Arial" w:hint="eastAsia"/>
        </w:rPr>
        <w:t xml:space="preserve">; Platelet count </w:t>
      </w:r>
      <w:r w:rsidRPr="001A3AC4">
        <w:rPr>
          <w:rFonts w:ascii="Arial" w:hAnsi="Arial" w:cs="Arial" w:hint="eastAsia"/>
        </w:rPr>
        <w:t>≥</w:t>
      </w:r>
      <w:r w:rsidRPr="001A3AC4">
        <w:rPr>
          <w:rFonts w:ascii="Arial" w:hAnsi="Arial" w:cs="Arial" w:hint="eastAsia"/>
        </w:rPr>
        <w:t xml:space="preserve"> (100-300) x109 /L; Patients who were diagnosed with advanced lung cancer accompanied by</w:t>
      </w:r>
      <w:r w:rsidRPr="001A3AC4">
        <w:rPr>
          <w:rFonts w:ascii="Arial" w:hAnsi="Arial" w:cs="Arial"/>
        </w:rPr>
        <w:t xml:space="preserve"> pain or discomfort and cough symptoms; At least 2 day since completion of chemotherapy or radiation therapy; Must have read, expressed understanding and signed an informed consent document. </w:t>
      </w:r>
      <w:r w:rsidR="006540B2" w:rsidRPr="006540B2">
        <w:rPr>
          <w:rFonts w:ascii="Arial" w:hAnsi="Arial" w:cs="Arial"/>
          <w:highlight w:val="yellow"/>
        </w:rPr>
        <w:t>The exclusion criteria included: a history of other malignancies; pregnancy or lactation in women; coagulation disorders or anemia; and uncontrolled systemic diseases such as diabetes mellitus, hypertension, cardiovascular disease, or chronic kidney disease, which may confound the treatment outcomes</w:t>
      </w:r>
      <w:r w:rsidRPr="006540B2">
        <w:rPr>
          <w:rFonts w:ascii="Arial" w:hAnsi="Arial" w:cs="Arial"/>
          <w:highlight w:val="yellow"/>
        </w:rPr>
        <w:t>.</w:t>
      </w:r>
    </w:p>
    <w:p w14:paraId="00BCECA1" w14:textId="1E566F33" w:rsidR="001A3AC4" w:rsidRDefault="001A3AC4" w:rsidP="001A3AC4">
      <w:pPr>
        <w:pStyle w:val="Body"/>
        <w:spacing w:after="0"/>
        <w:jc w:val="center"/>
        <w:rPr>
          <w:rFonts w:ascii="Arial" w:hAnsi="Arial" w:cs="Arial"/>
          <w:lang w:eastAsia="zh-CN"/>
        </w:rPr>
      </w:pPr>
      <w:r>
        <w:rPr>
          <w:noProof/>
          <w:sz w:val="22"/>
          <w:szCs w:val="22"/>
        </w:rPr>
        <w:lastRenderedPageBreak/>
        <w:drawing>
          <wp:inline distT="0" distB="0" distL="0" distR="0" wp14:anchorId="74F4C380" wp14:editId="6563E572">
            <wp:extent cx="2985863" cy="3654340"/>
            <wp:effectExtent l="0" t="0" r="5080" b="3810"/>
            <wp:docPr id="406368614" name="图片 1"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368614" name="图片 1" descr="图示&#10;&#10;AI 生成的内容可能不正确。"/>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99241" cy="3670712"/>
                    </a:xfrm>
                    <a:prstGeom prst="rect">
                      <a:avLst/>
                    </a:prstGeom>
                  </pic:spPr>
                </pic:pic>
              </a:graphicData>
            </a:graphic>
          </wp:inline>
        </w:drawing>
      </w:r>
    </w:p>
    <w:p w14:paraId="4B2C7B23" w14:textId="650C3636" w:rsidR="001A3AC4" w:rsidRDefault="001A3AC4" w:rsidP="002F4E65">
      <w:pPr>
        <w:autoSpaceDE w:val="0"/>
        <w:autoSpaceDN w:val="0"/>
        <w:adjustRightInd w:val="0"/>
        <w:jc w:val="both"/>
        <w:rPr>
          <w:rFonts w:ascii="Arial" w:hAnsi="Arial" w:cs="Arial"/>
          <w:b/>
          <w:bCs/>
          <w:szCs w:val="22"/>
        </w:rPr>
      </w:pPr>
      <w:r w:rsidRPr="002F4E65">
        <w:rPr>
          <w:rFonts w:ascii="Arial" w:hAnsi="Arial" w:cs="Arial"/>
          <w:b/>
          <w:bCs/>
          <w:szCs w:val="22"/>
        </w:rPr>
        <w:t>Fig</w:t>
      </w:r>
      <w:r w:rsidR="00BE4ECE">
        <w:rPr>
          <w:rFonts w:ascii="Arial" w:hAnsi="Arial" w:cs="Arial" w:hint="eastAsia"/>
          <w:b/>
          <w:bCs/>
          <w:szCs w:val="22"/>
          <w:lang w:eastAsia="zh-CN"/>
        </w:rPr>
        <w:t>.</w:t>
      </w:r>
      <w:r w:rsidRPr="002F4E65">
        <w:rPr>
          <w:rFonts w:ascii="Arial" w:hAnsi="Arial" w:cs="Arial"/>
          <w:b/>
          <w:bCs/>
          <w:szCs w:val="22"/>
        </w:rPr>
        <w:t xml:space="preserve"> 1. CONSORT flow diagram</w:t>
      </w:r>
    </w:p>
    <w:p w14:paraId="066B0B17" w14:textId="77777777" w:rsidR="002F4E65" w:rsidRPr="002F4E65" w:rsidRDefault="002F4E65" w:rsidP="002F4E65">
      <w:pPr>
        <w:autoSpaceDE w:val="0"/>
        <w:autoSpaceDN w:val="0"/>
        <w:adjustRightInd w:val="0"/>
        <w:jc w:val="both"/>
        <w:rPr>
          <w:rFonts w:ascii="Arial" w:hAnsi="Arial" w:cs="Arial"/>
          <w:b/>
          <w:bCs/>
          <w:szCs w:val="22"/>
        </w:rPr>
      </w:pPr>
    </w:p>
    <w:p w14:paraId="41C6AE37" w14:textId="2B254795" w:rsidR="001A3AC4" w:rsidRDefault="001A3AC4" w:rsidP="001A3AC4">
      <w:pPr>
        <w:pStyle w:val="Body"/>
        <w:spacing w:after="0"/>
        <w:rPr>
          <w:rFonts w:ascii="Arial" w:hAnsi="Arial" w:cs="Arial"/>
          <w:lang w:eastAsia="zh-CN"/>
        </w:rPr>
      </w:pPr>
      <w:r w:rsidRPr="001A3AC4">
        <w:rPr>
          <w:rFonts w:ascii="Arial" w:hAnsi="Arial" w:cs="Arial"/>
          <w:lang w:eastAsia="zh-CN"/>
        </w:rPr>
        <w:t xml:space="preserve">This single-arm, open-label clinical study investigated the curative effect and safety of 35 kDa hyaluronan fragment injection for the treatment of pain and cough associated with advanced lung cancer and intended to be a proof of concept only. The trial (registration number NCT05852002) was also registered at </w:t>
      </w:r>
      <w:hyperlink r:id="rId15" w:history="1">
        <w:r w:rsidRPr="001A3AC4">
          <w:rPr>
            <w:rStyle w:val="a7"/>
            <w:rFonts w:ascii="Arial" w:hAnsi="Arial" w:cs="Arial"/>
            <w:color w:val="000000" w:themeColor="text1"/>
            <w:u w:val="none"/>
            <w:lang w:eastAsia="zh-CN"/>
          </w:rPr>
          <w:t>www.clinicaltrials.gov</w:t>
        </w:r>
      </w:hyperlink>
      <w:r w:rsidRPr="001A3AC4">
        <w:rPr>
          <w:rFonts w:ascii="Arial" w:hAnsi="Arial" w:cs="Arial"/>
          <w:color w:val="000000" w:themeColor="text1"/>
          <w:lang w:eastAsia="zh-CN"/>
        </w:rPr>
        <w:t>.</w:t>
      </w:r>
    </w:p>
    <w:p w14:paraId="570D5819" w14:textId="77777777" w:rsidR="001A3AC4" w:rsidRDefault="001A3AC4" w:rsidP="001A3AC4">
      <w:pPr>
        <w:pStyle w:val="Body"/>
        <w:spacing w:after="0"/>
        <w:rPr>
          <w:rFonts w:ascii="Arial" w:hAnsi="Arial" w:cs="Arial"/>
          <w:b/>
          <w:caps/>
          <w:sz w:val="22"/>
        </w:rPr>
      </w:pPr>
    </w:p>
    <w:p w14:paraId="198F9760" w14:textId="7939BCFE" w:rsidR="001A3AC4" w:rsidRDefault="001A3AC4" w:rsidP="001A3AC4">
      <w:pPr>
        <w:pStyle w:val="Body"/>
        <w:spacing w:after="0"/>
        <w:rPr>
          <w:rFonts w:ascii="Arial" w:hAnsi="Arial" w:cs="Arial"/>
        </w:rPr>
      </w:pPr>
      <w:r w:rsidRPr="00C30A0F">
        <w:rPr>
          <w:rFonts w:ascii="Arial" w:hAnsi="Arial" w:cs="Arial"/>
          <w:b/>
          <w:caps/>
          <w:sz w:val="22"/>
        </w:rPr>
        <w:t>2.</w:t>
      </w:r>
      <w:r>
        <w:rPr>
          <w:rFonts w:ascii="Arial" w:hAnsi="Arial" w:cs="Arial" w:hint="eastAsia"/>
          <w:b/>
          <w:caps/>
          <w:sz w:val="22"/>
          <w:lang w:eastAsia="zh-CN"/>
        </w:rPr>
        <w:t>3</w:t>
      </w:r>
      <w:r w:rsidRPr="00C30A0F">
        <w:rPr>
          <w:rFonts w:ascii="Arial" w:hAnsi="Arial" w:cs="Arial"/>
          <w:b/>
          <w:caps/>
          <w:sz w:val="22"/>
        </w:rPr>
        <w:t xml:space="preserve"> </w:t>
      </w:r>
      <w:r w:rsidR="00654F3C" w:rsidRPr="00654F3C">
        <w:rPr>
          <w:rFonts w:ascii="Arial" w:hAnsi="Arial" w:cs="Arial"/>
          <w:b/>
          <w:sz w:val="22"/>
        </w:rPr>
        <w:t>Interventions</w:t>
      </w:r>
    </w:p>
    <w:p w14:paraId="7592C790" w14:textId="77777777" w:rsidR="00F82DCD" w:rsidRDefault="00F82DCD" w:rsidP="001A3AC4">
      <w:pPr>
        <w:pStyle w:val="Body"/>
        <w:spacing w:after="0"/>
        <w:rPr>
          <w:rFonts w:ascii="Arial" w:hAnsi="Arial" w:cs="Arial"/>
        </w:rPr>
      </w:pPr>
    </w:p>
    <w:p w14:paraId="1980E18D" w14:textId="31C53519" w:rsidR="001A3AC4" w:rsidRDefault="001A3AC4" w:rsidP="001A3AC4">
      <w:pPr>
        <w:pStyle w:val="Body"/>
        <w:spacing w:after="0"/>
        <w:rPr>
          <w:rFonts w:ascii="Arial" w:hAnsi="Arial" w:cs="Arial"/>
          <w:lang w:eastAsia="zh-CN"/>
        </w:rPr>
      </w:pPr>
      <w:r w:rsidRPr="001A3AC4">
        <w:rPr>
          <w:rFonts w:ascii="Arial" w:hAnsi="Arial" w:cs="Arial"/>
        </w:rPr>
        <w:t>HA35 or B-HA (L20200708MP07707) was injected into the abdominal deep fat layer by a registered nurse or a physician (100 mg per day for 1 week) to rapidly alleviate pain, discomfort, and associated cough symptoms. After the first week of treatment, the injection agent was continuously administered at a dose of 100 mg every 3 days for a period of 3 months. Then, pain or discomfort, cough, fatigue, facial skin brightness, and facial expression or spirit associated with advanced lung cancer and local growth of lung cancer masses were assessed using specific methods (described in the 'Primary outcome measures' section). The duration of treatment (days) and adverse events observed following treatment were assessed, and the results were compared with baseline data (before treatment)</w:t>
      </w:r>
      <w:r>
        <w:rPr>
          <w:rFonts w:ascii="Arial" w:hAnsi="Arial" w:cs="Arial" w:hint="eastAsia"/>
          <w:lang w:eastAsia="zh-CN"/>
        </w:rPr>
        <w:t>.</w:t>
      </w:r>
    </w:p>
    <w:p w14:paraId="644516C0" w14:textId="77777777" w:rsidR="001A3AC4" w:rsidRDefault="001A3AC4" w:rsidP="001A3AC4">
      <w:pPr>
        <w:pStyle w:val="Body"/>
        <w:spacing w:after="0"/>
        <w:rPr>
          <w:rFonts w:ascii="Arial" w:hAnsi="Arial" w:cs="Arial"/>
          <w:lang w:eastAsia="zh-CN"/>
        </w:rPr>
      </w:pPr>
    </w:p>
    <w:p w14:paraId="4AACCEC8" w14:textId="0867562E" w:rsidR="001A3AC4" w:rsidRDefault="001A3AC4" w:rsidP="001A3AC4">
      <w:pPr>
        <w:pStyle w:val="Body"/>
        <w:spacing w:after="0"/>
        <w:rPr>
          <w:rFonts w:ascii="Arial" w:hAnsi="Arial" w:cs="Arial"/>
        </w:rPr>
      </w:pPr>
      <w:r w:rsidRPr="00C30A0F">
        <w:rPr>
          <w:rFonts w:ascii="Arial" w:hAnsi="Arial" w:cs="Arial"/>
          <w:b/>
          <w:caps/>
          <w:sz w:val="22"/>
        </w:rPr>
        <w:t>2.</w:t>
      </w:r>
      <w:r>
        <w:rPr>
          <w:rFonts w:ascii="Arial" w:hAnsi="Arial" w:cs="Arial" w:hint="eastAsia"/>
          <w:b/>
          <w:caps/>
          <w:sz w:val="22"/>
          <w:lang w:eastAsia="zh-CN"/>
        </w:rPr>
        <w:t>4</w:t>
      </w:r>
      <w:r w:rsidRPr="00C30A0F">
        <w:rPr>
          <w:rFonts w:ascii="Arial" w:hAnsi="Arial" w:cs="Arial"/>
          <w:b/>
          <w:caps/>
          <w:sz w:val="22"/>
        </w:rPr>
        <w:t xml:space="preserve"> </w:t>
      </w:r>
      <w:r w:rsidRPr="001A3AC4">
        <w:rPr>
          <w:rFonts w:ascii="Arial" w:hAnsi="Arial" w:cs="Arial"/>
          <w:b/>
          <w:sz w:val="22"/>
        </w:rPr>
        <w:t>Outcome measurements</w:t>
      </w:r>
    </w:p>
    <w:p w14:paraId="1314BEDA" w14:textId="77777777" w:rsidR="00F82DCD" w:rsidRDefault="00F82DCD" w:rsidP="001A3AC4">
      <w:pPr>
        <w:pStyle w:val="Body"/>
        <w:spacing w:after="0"/>
        <w:rPr>
          <w:rFonts w:ascii="Arial" w:hAnsi="Arial" w:cs="Arial"/>
        </w:rPr>
      </w:pPr>
    </w:p>
    <w:p w14:paraId="6285A0C7" w14:textId="34A07141" w:rsidR="001A3AC4" w:rsidRDefault="001A3AC4" w:rsidP="001A3AC4">
      <w:pPr>
        <w:pStyle w:val="Body"/>
        <w:spacing w:after="0"/>
        <w:rPr>
          <w:rFonts w:ascii="Arial" w:hAnsi="Arial" w:cs="Arial"/>
          <w:lang w:eastAsia="zh-CN"/>
        </w:rPr>
      </w:pPr>
      <w:r w:rsidRPr="001A3AC4">
        <w:rPr>
          <w:rFonts w:ascii="Arial" w:hAnsi="Arial" w:cs="Arial"/>
        </w:rPr>
        <w:t>Primary outcomes were pain or discomfort scores on a 0–10 scale (0=no pain or discomfort, 10=worst possible pain or discomfort)</w:t>
      </w:r>
      <w:r w:rsidR="00F82DCD">
        <w:rPr>
          <w:rFonts w:ascii="Arial" w:hAnsi="Arial" w:cs="Arial" w:hint="eastAsia"/>
          <w:lang w:eastAsia="zh-CN"/>
        </w:rPr>
        <w:t xml:space="preserve"> </w:t>
      </w:r>
      <w:r w:rsidRPr="001A3AC4">
        <w:rPr>
          <w:rFonts w:ascii="Arial" w:hAnsi="Arial" w:cs="Arial"/>
        </w:rPr>
        <w:t>[25,26]</w:t>
      </w:r>
      <w:r w:rsidR="00F82DCD">
        <w:rPr>
          <w:rFonts w:ascii="Arial" w:hAnsi="Arial" w:cs="Arial" w:hint="eastAsia"/>
          <w:lang w:eastAsia="zh-CN"/>
        </w:rPr>
        <w:t>,</w:t>
      </w:r>
      <w:r w:rsidRPr="001A3AC4">
        <w:rPr>
          <w:rFonts w:ascii="Arial" w:hAnsi="Arial" w:cs="Arial"/>
        </w:rPr>
        <w:t xml:space="preserve"> cough scores on a 0–10 scale (0=no cough, 10=worst possible cough)</w:t>
      </w:r>
      <w:r w:rsidR="00F82DCD">
        <w:rPr>
          <w:rFonts w:ascii="Arial" w:hAnsi="Arial" w:cs="Arial" w:hint="eastAsia"/>
          <w:lang w:eastAsia="zh-CN"/>
        </w:rPr>
        <w:t xml:space="preserve"> </w:t>
      </w:r>
      <w:r w:rsidRPr="001A3AC4">
        <w:rPr>
          <w:rFonts w:ascii="Arial" w:hAnsi="Arial" w:cs="Arial"/>
        </w:rPr>
        <w:t>[25-27]</w:t>
      </w:r>
      <w:r w:rsidR="00F82DCD">
        <w:rPr>
          <w:rFonts w:ascii="Arial" w:hAnsi="Arial" w:cs="Arial" w:hint="eastAsia"/>
          <w:lang w:eastAsia="zh-CN"/>
        </w:rPr>
        <w:t>,</w:t>
      </w:r>
      <w:r w:rsidRPr="001A3AC4">
        <w:rPr>
          <w:rFonts w:ascii="Arial" w:hAnsi="Arial" w:cs="Arial"/>
        </w:rPr>
        <w:t xml:space="preserve"> fatigue scores on a 0–10 scale (0=no fatigue, 10=worst possible fatigue)</w:t>
      </w:r>
      <w:r w:rsidR="00F82DCD">
        <w:rPr>
          <w:rFonts w:ascii="Arial" w:hAnsi="Arial" w:cs="Arial" w:hint="eastAsia"/>
          <w:lang w:eastAsia="zh-CN"/>
        </w:rPr>
        <w:t xml:space="preserve"> </w:t>
      </w:r>
      <w:r w:rsidRPr="001A3AC4">
        <w:rPr>
          <w:rFonts w:ascii="Arial" w:hAnsi="Arial" w:cs="Arial"/>
        </w:rPr>
        <w:t>[28]</w:t>
      </w:r>
      <w:r w:rsidR="00F82DCD">
        <w:rPr>
          <w:rFonts w:ascii="Arial" w:hAnsi="Arial" w:cs="Arial" w:hint="eastAsia"/>
          <w:lang w:eastAsia="zh-CN"/>
        </w:rPr>
        <w:t>,</w:t>
      </w:r>
      <w:r w:rsidRPr="001A3AC4">
        <w:rPr>
          <w:rFonts w:ascii="Arial" w:hAnsi="Arial" w:cs="Arial"/>
        </w:rPr>
        <w:t xml:space="preserve"> and facial skin brightness and facial expression or spirit scores on a 0–10 scale (0=worst degree of facial skin brightness, 10=best degree of facial expression or spirit) after treatment. Each of these outcomes was scored as an individual item. The secondary outcome was the result of computed tomography (CT) of the chest after treatment for 3 months (end of the treatment) and the score of modified version Treatment Satisfaction Questionnaire for Medication (TSQM 1.4) after the treatment for 4 weeks and 3 months. The chest CT scans of all 10 patients were compared by clinical radiologists before and 3 months after the start of treatment. High-</w:t>
      </w:r>
      <w:r w:rsidRPr="001A3AC4">
        <w:rPr>
          <w:rFonts w:ascii="Arial" w:hAnsi="Arial" w:cs="Arial"/>
        </w:rPr>
        <w:lastRenderedPageBreak/>
        <w:t>resolution thin-layer images and volume multiplanar reconstruction scans were used to analyze the structure, size, density, and visual field of the scanned tissue lesion. The relative tumor proliferation rate (T/C%) was calculated as T/C% = TRTV/CRTV × 100, where TRTV is the relative tumor volume at the end of treatment, and CRTV is the relative tumor volume at baseline</w:t>
      </w:r>
      <w:r w:rsidR="00F82DCD">
        <w:rPr>
          <w:rFonts w:ascii="Arial" w:hAnsi="Arial" w:cs="Arial" w:hint="eastAsia"/>
          <w:lang w:eastAsia="zh-CN"/>
        </w:rPr>
        <w:t xml:space="preserve"> </w:t>
      </w:r>
      <w:r w:rsidRPr="001A3AC4">
        <w:rPr>
          <w:rFonts w:ascii="Arial" w:hAnsi="Arial" w:cs="Arial"/>
        </w:rPr>
        <w:t>[29]</w:t>
      </w:r>
      <w:r w:rsidR="00F82DCD">
        <w:rPr>
          <w:rFonts w:ascii="Arial" w:hAnsi="Arial" w:cs="Arial" w:hint="eastAsia"/>
          <w:lang w:eastAsia="zh-CN"/>
        </w:rPr>
        <w:t>.</w:t>
      </w:r>
      <w:r w:rsidRPr="001A3AC4">
        <w:rPr>
          <w:rFonts w:ascii="Arial" w:hAnsi="Arial" w:cs="Arial"/>
        </w:rPr>
        <w:t xml:space="preserve"> The TSQM 1.4 is a generic instrument developed to assess patient satisfaction with therapy</w:t>
      </w:r>
      <w:r w:rsidR="00F82DCD">
        <w:rPr>
          <w:rFonts w:ascii="Arial" w:hAnsi="Arial" w:cs="Arial" w:hint="eastAsia"/>
          <w:lang w:eastAsia="zh-CN"/>
        </w:rPr>
        <w:t xml:space="preserve"> </w:t>
      </w:r>
      <w:r w:rsidRPr="001A3AC4">
        <w:rPr>
          <w:rFonts w:ascii="Arial" w:hAnsi="Arial" w:cs="Arial"/>
        </w:rPr>
        <w:t>[30]</w:t>
      </w:r>
      <w:r w:rsidR="00F82DCD">
        <w:rPr>
          <w:rFonts w:ascii="Arial" w:hAnsi="Arial" w:cs="Arial" w:hint="eastAsia"/>
          <w:lang w:eastAsia="zh-CN"/>
        </w:rPr>
        <w:t>.</w:t>
      </w:r>
      <w:r w:rsidRPr="001A3AC4">
        <w:rPr>
          <w:rFonts w:ascii="Arial" w:hAnsi="Arial" w:cs="Arial"/>
        </w:rPr>
        <w:t xml:space="preserve"> It measures patients’ self-perceived satisfaction with treatment and care via 14 items, including 4 section: effectiveness, side effects, convenience,  and global satisfaction</w:t>
      </w:r>
      <w:r w:rsidR="00F82DCD">
        <w:rPr>
          <w:rFonts w:ascii="Arial" w:hAnsi="Arial" w:cs="Arial" w:hint="eastAsia"/>
          <w:lang w:eastAsia="zh-CN"/>
        </w:rPr>
        <w:t xml:space="preserve"> </w:t>
      </w:r>
      <w:r w:rsidRPr="001A3AC4">
        <w:rPr>
          <w:rFonts w:ascii="Arial" w:hAnsi="Arial" w:cs="Arial"/>
        </w:rPr>
        <w:t>[31]</w:t>
      </w:r>
      <w:r w:rsidR="00F82DCD">
        <w:rPr>
          <w:rFonts w:ascii="Arial" w:hAnsi="Arial" w:cs="Arial" w:hint="eastAsia"/>
          <w:lang w:eastAsia="zh-CN"/>
        </w:rPr>
        <w:t>.</w:t>
      </w:r>
      <w:r w:rsidRPr="001A3AC4">
        <w:rPr>
          <w:rFonts w:ascii="Arial" w:hAnsi="Arial" w:cs="Arial"/>
        </w:rPr>
        <w:t xml:space="preserve"> The modified version TSQM 1.4 overall satisfaction scores are calculated for related lung cancer care and pain relieve of the subscales, which range from 0 to10, with higher scores indicating higher patient satisfaction with medication</w:t>
      </w:r>
      <w:r>
        <w:rPr>
          <w:rFonts w:ascii="Arial" w:hAnsi="Arial" w:cs="Arial" w:hint="eastAsia"/>
          <w:lang w:eastAsia="zh-CN"/>
        </w:rPr>
        <w:t>.</w:t>
      </w:r>
    </w:p>
    <w:p w14:paraId="39186F17" w14:textId="77777777" w:rsidR="001A3AC4" w:rsidRPr="001A3AC4" w:rsidRDefault="001A3AC4" w:rsidP="001A3AC4">
      <w:pPr>
        <w:pStyle w:val="Body"/>
        <w:spacing w:after="0"/>
        <w:rPr>
          <w:rFonts w:ascii="Arial" w:hAnsi="Arial" w:cs="Arial"/>
          <w:lang w:eastAsia="zh-CN"/>
        </w:rPr>
      </w:pPr>
    </w:p>
    <w:p w14:paraId="5EAE4C6B" w14:textId="490DB352" w:rsidR="001A3AC4" w:rsidRPr="00AD0274" w:rsidRDefault="001A3AC4" w:rsidP="001A3AC4">
      <w:pPr>
        <w:pStyle w:val="Body"/>
        <w:spacing w:after="0"/>
        <w:rPr>
          <w:rFonts w:ascii="Arial" w:hAnsi="Arial" w:cs="Arial"/>
          <w:highlight w:val="yellow"/>
        </w:rPr>
      </w:pPr>
      <w:r w:rsidRPr="00AD0274">
        <w:rPr>
          <w:rFonts w:ascii="Arial" w:hAnsi="Arial" w:cs="Arial"/>
          <w:b/>
          <w:caps/>
          <w:sz w:val="22"/>
          <w:highlight w:val="yellow"/>
        </w:rPr>
        <w:t>2.</w:t>
      </w:r>
      <w:r w:rsidRPr="00AD0274">
        <w:rPr>
          <w:rFonts w:ascii="Arial" w:hAnsi="Arial" w:cs="Arial" w:hint="eastAsia"/>
          <w:b/>
          <w:caps/>
          <w:sz w:val="22"/>
          <w:highlight w:val="yellow"/>
          <w:lang w:eastAsia="zh-CN"/>
        </w:rPr>
        <w:t>5</w:t>
      </w:r>
      <w:r w:rsidRPr="00AD0274">
        <w:rPr>
          <w:rFonts w:ascii="Arial" w:hAnsi="Arial" w:cs="Arial"/>
          <w:b/>
          <w:caps/>
          <w:sz w:val="22"/>
          <w:highlight w:val="yellow"/>
        </w:rPr>
        <w:t xml:space="preserve"> </w:t>
      </w:r>
      <w:r w:rsidRPr="00AD0274">
        <w:rPr>
          <w:rFonts w:ascii="Arial" w:hAnsi="Arial" w:cs="Arial"/>
          <w:b/>
          <w:sz w:val="22"/>
          <w:highlight w:val="yellow"/>
        </w:rPr>
        <w:t>Adverse events and adverse reactions</w:t>
      </w:r>
    </w:p>
    <w:p w14:paraId="1DF9C0AD" w14:textId="77777777" w:rsidR="00F82DCD" w:rsidRPr="00AD0274" w:rsidRDefault="00F82DCD" w:rsidP="001A3AC4">
      <w:pPr>
        <w:pStyle w:val="Body"/>
        <w:spacing w:after="0"/>
        <w:rPr>
          <w:rFonts w:ascii="Arial" w:hAnsi="Arial" w:cs="Arial"/>
          <w:highlight w:val="yellow"/>
        </w:rPr>
      </w:pPr>
    </w:p>
    <w:p w14:paraId="0BB4EC7D" w14:textId="6E82157F" w:rsidR="001A3AC4" w:rsidRPr="00AD0274" w:rsidRDefault="00AD0274" w:rsidP="001A3AC4">
      <w:pPr>
        <w:pStyle w:val="Body"/>
        <w:spacing w:after="0"/>
        <w:rPr>
          <w:rFonts w:ascii="Arial" w:hAnsi="Arial" w:cs="Arial"/>
          <w:lang w:eastAsia="zh-CN"/>
        </w:rPr>
      </w:pPr>
      <w:r w:rsidRPr="00AD0274">
        <w:rPr>
          <w:rFonts w:ascii="Arial" w:hAnsi="Arial" w:cs="Arial"/>
          <w:highlight w:val="yellow"/>
        </w:rPr>
        <w:t>All adverse events (AEs) and adverse reactions were systematically monitored and recorded throughout the study. Investigators documented both spontaneously reported symptoms and clinically observed events at each follow-up visit. Laboratory parameters such as hemoglobin levels and platelet counts were assessed periodically to monitor for signs of anemia. Any adverse events were evaluated for severity, duration, and potential association with HA35 treatment. If any significant or persistent adverse reactions occurred, appropriate clinical measures, including symptomatic management or dose adjustment, were planned in accordance with standard clinical practice</w:t>
      </w:r>
      <w:r w:rsidR="001A3AC4" w:rsidRPr="00AD0274">
        <w:rPr>
          <w:rFonts w:ascii="Arial" w:hAnsi="Arial" w:cs="Arial" w:hint="eastAsia"/>
          <w:highlight w:val="yellow"/>
          <w:lang w:eastAsia="zh-CN"/>
        </w:rPr>
        <w:t>.</w:t>
      </w:r>
    </w:p>
    <w:p w14:paraId="2C7AC063" w14:textId="77777777" w:rsidR="001A3AC4" w:rsidRDefault="001A3AC4" w:rsidP="001A3AC4">
      <w:pPr>
        <w:pStyle w:val="Body"/>
        <w:spacing w:after="0"/>
        <w:rPr>
          <w:rFonts w:ascii="Arial" w:hAnsi="Arial" w:cs="Arial"/>
          <w:lang w:eastAsia="zh-CN"/>
        </w:rPr>
      </w:pPr>
    </w:p>
    <w:p w14:paraId="24DE4FD4" w14:textId="4689BCE6" w:rsidR="001A3AC4" w:rsidRDefault="001A3AC4" w:rsidP="001A3AC4">
      <w:pPr>
        <w:pStyle w:val="Body"/>
        <w:spacing w:after="0"/>
        <w:rPr>
          <w:rFonts w:ascii="Arial" w:hAnsi="Arial" w:cs="Arial"/>
        </w:rPr>
      </w:pPr>
      <w:r w:rsidRPr="00C30A0F">
        <w:rPr>
          <w:rFonts w:ascii="Arial" w:hAnsi="Arial" w:cs="Arial"/>
          <w:b/>
          <w:caps/>
          <w:sz w:val="22"/>
        </w:rPr>
        <w:t>2.</w:t>
      </w:r>
      <w:r>
        <w:rPr>
          <w:rFonts w:ascii="Arial" w:hAnsi="Arial" w:cs="Arial" w:hint="eastAsia"/>
          <w:b/>
          <w:caps/>
          <w:sz w:val="22"/>
          <w:lang w:eastAsia="zh-CN"/>
        </w:rPr>
        <w:t>6</w:t>
      </w:r>
      <w:r w:rsidRPr="00C30A0F">
        <w:rPr>
          <w:rFonts w:ascii="Arial" w:hAnsi="Arial" w:cs="Arial"/>
          <w:b/>
          <w:caps/>
          <w:sz w:val="22"/>
        </w:rPr>
        <w:t xml:space="preserve"> </w:t>
      </w:r>
      <w:r w:rsidRPr="001A3AC4">
        <w:rPr>
          <w:rFonts w:ascii="Arial" w:hAnsi="Arial" w:cs="Arial"/>
          <w:b/>
          <w:sz w:val="22"/>
        </w:rPr>
        <w:t>Statistical analysis</w:t>
      </w:r>
    </w:p>
    <w:p w14:paraId="5A150E6D" w14:textId="77777777" w:rsidR="00F82DCD" w:rsidRDefault="00F82DCD" w:rsidP="001A3AC4">
      <w:pPr>
        <w:pStyle w:val="Body"/>
        <w:spacing w:after="0"/>
        <w:rPr>
          <w:rFonts w:ascii="Arial" w:hAnsi="Arial" w:cs="Arial"/>
        </w:rPr>
      </w:pPr>
    </w:p>
    <w:p w14:paraId="7FA93022" w14:textId="2CEEA3F7" w:rsidR="001A3AC4" w:rsidRDefault="001A3AC4" w:rsidP="001A3AC4">
      <w:pPr>
        <w:pStyle w:val="Body"/>
        <w:spacing w:after="0"/>
        <w:rPr>
          <w:rFonts w:ascii="Arial" w:hAnsi="Arial" w:cs="Arial"/>
          <w:lang w:eastAsia="zh-CN"/>
        </w:rPr>
      </w:pPr>
      <w:r w:rsidRPr="001A3AC4">
        <w:rPr>
          <w:rFonts w:ascii="Arial" w:hAnsi="Arial" w:cs="Arial"/>
        </w:rPr>
        <w:t>All statistical analyses were conducted using SPSS v.24 (IBM Corp., Armonk, NY, USA) in the present study. Continuous data were evaluated for normality and homogeneity by Student's t-test. Normally distributed data are expressed as the mean (SD) or median (with interquartile range) and were analyzed by one way analysis of variance (ANOVA). Categorical data are presented as percentages. A P value &lt;.05 was considered to indicate statistical significance</w:t>
      </w:r>
      <w:r>
        <w:rPr>
          <w:rFonts w:ascii="Arial" w:hAnsi="Arial" w:cs="Arial" w:hint="eastAsia"/>
          <w:lang w:eastAsia="zh-CN"/>
        </w:rPr>
        <w:t>.</w:t>
      </w:r>
    </w:p>
    <w:p w14:paraId="5A84A43D" w14:textId="77777777" w:rsidR="00790ADA" w:rsidRPr="00FB3A86" w:rsidRDefault="00790ADA" w:rsidP="00441B6F">
      <w:pPr>
        <w:pStyle w:val="Body"/>
        <w:spacing w:after="0"/>
        <w:rPr>
          <w:rFonts w:ascii="Arial" w:hAnsi="Arial" w:cs="Arial"/>
        </w:rPr>
      </w:pPr>
    </w:p>
    <w:p w14:paraId="2D9DA422" w14:textId="26E61EA2"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w:t>
      </w:r>
    </w:p>
    <w:p w14:paraId="3516EE78" w14:textId="3D7B834F" w:rsidR="00A307FD" w:rsidRDefault="00A307FD" w:rsidP="00A307FD">
      <w:pPr>
        <w:pStyle w:val="Body"/>
        <w:spacing w:after="0"/>
        <w:rPr>
          <w:rFonts w:ascii="Arial" w:hAnsi="Arial" w:cs="Arial"/>
        </w:rPr>
      </w:pPr>
      <w:r>
        <w:rPr>
          <w:rFonts w:ascii="Arial" w:hAnsi="Arial" w:cs="Arial" w:hint="eastAsia"/>
          <w:b/>
          <w:caps/>
          <w:sz w:val="22"/>
          <w:lang w:eastAsia="zh-CN"/>
        </w:rPr>
        <w:t>3</w:t>
      </w:r>
      <w:r w:rsidRPr="00C30A0F">
        <w:rPr>
          <w:rFonts w:ascii="Arial" w:hAnsi="Arial" w:cs="Arial"/>
          <w:b/>
          <w:caps/>
          <w:sz w:val="22"/>
        </w:rPr>
        <w:t>.</w:t>
      </w:r>
      <w:r>
        <w:rPr>
          <w:rFonts w:ascii="Arial" w:hAnsi="Arial" w:cs="Arial" w:hint="eastAsia"/>
          <w:b/>
          <w:caps/>
          <w:sz w:val="22"/>
          <w:lang w:eastAsia="zh-CN"/>
        </w:rPr>
        <w:t>1</w:t>
      </w:r>
      <w:r w:rsidRPr="00C30A0F">
        <w:rPr>
          <w:rFonts w:ascii="Arial" w:hAnsi="Arial" w:cs="Arial"/>
          <w:b/>
          <w:caps/>
          <w:sz w:val="22"/>
        </w:rPr>
        <w:t xml:space="preserve"> </w:t>
      </w:r>
      <w:r w:rsidRPr="00A307FD">
        <w:rPr>
          <w:rFonts w:ascii="Arial" w:hAnsi="Arial" w:cs="Arial"/>
          <w:b/>
          <w:sz w:val="22"/>
        </w:rPr>
        <w:t>Demographic and clinical characteristics</w:t>
      </w:r>
    </w:p>
    <w:p w14:paraId="7D928263" w14:textId="77777777" w:rsidR="00F82DCD" w:rsidRDefault="00F82DCD" w:rsidP="00A307FD">
      <w:pPr>
        <w:pStyle w:val="Body"/>
        <w:spacing w:after="0"/>
        <w:rPr>
          <w:rFonts w:ascii="Arial" w:hAnsi="Arial" w:cs="Arial"/>
        </w:rPr>
      </w:pPr>
    </w:p>
    <w:p w14:paraId="4BC73481" w14:textId="74775652" w:rsidR="00A307FD" w:rsidRDefault="00A307FD" w:rsidP="00A307FD">
      <w:pPr>
        <w:pStyle w:val="Body"/>
        <w:spacing w:after="0"/>
        <w:rPr>
          <w:rFonts w:ascii="Arial" w:hAnsi="Arial" w:cs="Arial"/>
          <w:lang w:eastAsia="zh-CN"/>
        </w:rPr>
      </w:pPr>
      <w:r w:rsidRPr="00A307FD">
        <w:rPr>
          <w:rFonts w:ascii="Arial" w:hAnsi="Arial" w:cs="Arial"/>
        </w:rPr>
        <w:t>A total of 10 patients with advanced lung cancer accompanied by pain or discomfort and cough symptoms were examined at Tuya Amglan Hospital, Ulaanbaatar, Mongolia (Fig 1). The average age of the patients was 67±5 years, the maximum age was 73 years, and the minimum age was 58 years (Table 1). Among them, 7 (70%) patients were male, and 3 (30%) patients were female. All 10 patient volunteers had advanced lung cancer and lung cancer metastasis but no bone metastasis. All of the patient volunteers had varying degrees of pain and discomfort, cough, and fatigue (Table 1). All of the patient volunteers included in this study were allowed to use antibiotic compounds and corticosteroids on and off during treatment to prevent possible infection and reduce pain and discomfort associated with advanced lung cancer</w:t>
      </w:r>
      <w:r>
        <w:rPr>
          <w:rFonts w:ascii="Arial" w:hAnsi="Arial" w:cs="Arial" w:hint="eastAsia"/>
          <w:lang w:eastAsia="zh-CN"/>
        </w:rPr>
        <w:t>.</w:t>
      </w:r>
    </w:p>
    <w:p w14:paraId="562C3245" w14:textId="77777777" w:rsidR="00A307FD" w:rsidRDefault="00A307FD" w:rsidP="00441B6F">
      <w:pPr>
        <w:pStyle w:val="Body"/>
        <w:spacing w:after="0"/>
        <w:rPr>
          <w:rFonts w:ascii="Arial" w:hAnsi="Arial" w:cs="Arial"/>
          <w:lang w:eastAsia="zh-CN"/>
        </w:rPr>
      </w:pPr>
    </w:p>
    <w:p w14:paraId="3BCA89B3" w14:textId="3737FAEF" w:rsidR="00863BD3" w:rsidRDefault="009500A6" w:rsidP="00441B6F">
      <w:pPr>
        <w:tabs>
          <w:tab w:val="left" w:pos="1080"/>
        </w:tabs>
        <w:jc w:val="both"/>
        <w:rPr>
          <w:rFonts w:ascii="Arial" w:hAnsi="Arial"/>
          <w:b/>
        </w:rPr>
      </w:pPr>
      <w:r>
        <w:rPr>
          <w:rFonts w:ascii="Arial" w:hAnsi="Arial"/>
          <w:b/>
        </w:rPr>
        <w:t>Table 1.</w:t>
      </w:r>
      <w:r w:rsidR="00863BD3" w:rsidRPr="00DC3180">
        <w:rPr>
          <w:rFonts w:ascii="Arial" w:hAnsi="Arial"/>
          <w:b/>
        </w:rPr>
        <w:tab/>
      </w:r>
      <w:r w:rsidR="00A307FD" w:rsidRPr="00A307FD">
        <w:rPr>
          <w:rFonts w:ascii="Arial" w:hAnsi="Arial"/>
          <w:b/>
        </w:rPr>
        <w:t>Demographic and Clinical Characteristics of all Patient Volunteers</w:t>
      </w:r>
    </w:p>
    <w:p w14:paraId="64116893" w14:textId="77777777" w:rsidR="00863BD3" w:rsidRPr="00DC3180" w:rsidRDefault="00863BD3" w:rsidP="00441B6F">
      <w:pPr>
        <w:tabs>
          <w:tab w:val="left" w:pos="1080"/>
        </w:tabs>
        <w:jc w:val="both"/>
        <w:rPr>
          <w:rFonts w:ascii="Arial" w:hAnsi="Arial"/>
          <w:b/>
        </w:rPr>
      </w:pPr>
    </w:p>
    <w:tbl>
      <w:tblPr>
        <w:tblW w:w="7652"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3942"/>
        <w:gridCol w:w="3710"/>
      </w:tblGrid>
      <w:tr w:rsidR="00A307FD" w:rsidRPr="00DC3180" w14:paraId="1C3A4530" w14:textId="77777777" w:rsidTr="00A307FD">
        <w:trPr>
          <w:jc w:val="center"/>
        </w:trPr>
        <w:tc>
          <w:tcPr>
            <w:tcW w:w="3942" w:type="dxa"/>
            <w:tcBorders>
              <w:bottom w:val="single" w:sz="4" w:space="0" w:color="auto"/>
            </w:tcBorders>
          </w:tcPr>
          <w:p w14:paraId="0AE5B35C" w14:textId="61C0160F" w:rsidR="00A307FD" w:rsidRPr="00A307FD" w:rsidRDefault="00A307FD" w:rsidP="00A307FD">
            <w:pPr>
              <w:jc w:val="center"/>
              <w:rPr>
                <w:rFonts w:ascii="Arial" w:hAnsi="Arial"/>
                <w:b/>
                <w:bCs/>
              </w:rPr>
            </w:pPr>
            <w:r w:rsidRPr="00A307FD">
              <w:rPr>
                <w:b/>
                <w:bCs/>
              </w:rPr>
              <w:t>Characteristic</w:t>
            </w:r>
          </w:p>
        </w:tc>
        <w:tc>
          <w:tcPr>
            <w:tcW w:w="3710" w:type="dxa"/>
            <w:tcBorders>
              <w:bottom w:val="single" w:sz="4" w:space="0" w:color="auto"/>
            </w:tcBorders>
          </w:tcPr>
          <w:p w14:paraId="291E8FBD" w14:textId="277EA1E0" w:rsidR="00A307FD" w:rsidRPr="00A307FD" w:rsidRDefault="00A307FD" w:rsidP="00A307FD">
            <w:pPr>
              <w:jc w:val="center"/>
              <w:rPr>
                <w:rFonts w:ascii="Arial" w:hAnsi="Arial"/>
                <w:b/>
                <w:bCs/>
              </w:rPr>
            </w:pPr>
            <w:r w:rsidRPr="00A307FD">
              <w:rPr>
                <w:b/>
                <w:bCs/>
              </w:rPr>
              <w:t>Overall (N=10)</w:t>
            </w:r>
          </w:p>
        </w:tc>
      </w:tr>
      <w:tr w:rsidR="00A307FD" w:rsidRPr="00DC3180" w14:paraId="063105D5" w14:textId="77777777" w:rsidTr="00A307FD">
        <w:trPr>
          <w:trHeight w:val="773"/>
          <w:jc w:val="center"/>
        </w:trPr>
        <w:tc>
          <w:tcPr>
            <w:tcW w:w="3942" w:type="dxa"/>
            <w:tcBorders>
              <w:bottom w:val="nil"/>
            </w:tcBorders>
          </w:tcPr>
          <w:p w14:paraId="44442B6C" w14:textId="36965143" w:rsidR="00A307FD" w:rsidRPr="00DC3180" w:rsidRDefault="00A307FD" w:rsidP="00A307FD">
            <w:pPr>
              <w:jc w:val="both"/>
              <w:rPr>
                <w:rFonts w:ascii="Arial" w:hAnsi="Arial"/>
                <w:b/>
                <w:bCs/>
              </w:rPr>
            </w:pPr>
            <w:r w:rsidRPr="0061334D">
              <w:t>Age (ys)</w:t>
            </w:r>
          </w:p>
        </w:tc>
        <w:tc>
          <w:tcPr>
            <w:tcW w:w="3710" w:type="dxa"/>
            <w:tcBorders>
              <w:bottom w:val="nil"/>
            </w:tcBorders>
          </w:tcPr>
          <w:p w14:paraId="107DEB6E" w14:textId="3FB8506E" w:rsidR="00A307FD" w:rsidRPr="00DC3180" w:rsidRDefault="00A307FD" w:rsidP="00A307FD">
            <w:pPr>
              <w:jc w:val="both"/>
              <w:rPr>
                <w:rFonts w:ascii="Arial" w:hAnsi="Arial"/>
                <w:b/>
                <w:bCs/>
              </w:rPr>
            </w:pPr>
          </w:p>
        </w:tc>
      </w:tr>
      <w:tr w:rsidR="00A307FD" w:rsidRPr="00DC3180" w14:paraId="5E88CA72" w14:textId="77777777" w:rsidTr="00A307FD">
        <w:trPr>
          <w:jc w:val="center"/>
        </w:trPr>
        <w:tc>
          <w:tcPr>
            <w:tcW w:w="3942" w:type="dxa"/>
            <w:tcBorders>
              <w:top w:val="nil"/>
              <w:bottom w:val="nil"/>
            </w:tcBorders>
          </w:tcPr>
          <w:p w14:paraId="521900E2" w14:textId="1CF264AE" w:rsidR="00A307FD" w:rsidRPr="00DC3180" w:rsidRDefault="00A307FD" w:rsidP="00A307FD">
            <w:pPr>
              <w:ind w:firstLineChars="200" w:firstLine="400"/>
              <w:jc w:val="both"/>
              <w:rPr>
                <w:rFonts w:ascii="Arial" w:hAnsi="Arial" w:cs="Arial"/>
              </w:rPr>
            </w:pPr>
            <w:r w:rsidRPr="0061334D">
              <w:t>Mean (SD)</w:t>
            </w:r>
          </w:p>
        </w:tc>
        <w:tc>
          <w:tcPr>
            <w:tcW w:w="3710" w:type="dxa"/>
            <w:tcBorders>
              <w:top w:val="nil"/>
              <w:bottom w:val="nil"/>
            </w:tcBorders>
          </w:tcPr>
          <w:p w14:paraId="2443B03A" w14:textId="04219F7A" w:rsidR="00A307FD" w:rsidRPr="00DC3180" w:rsidRDefault="00A307FD" w:rsidP="00A307FD">
            <w:pPr>
              <w:jc w:val="center"/>
              <w:rPr>
                <w:rFonts w:ascii="Arial" w:hAnsi="Arial" w:cs="Arial"/>
              </w:rPr>
            </w:pPr>
            <w:r w:rsidRPr="0061334D">
              <w:t>67±5</w:t>
            </w:r>
          </w:p>
        </w:tc>
      </w:tr>
      <w:tr w:rsidR="00A307FD" w:rsidRPr="00DC3180" w14:paraId="3C72B00D" w14:textId="77777777" w:rsidTr="00A307FD">
        <w:trPr>
          <w:jc w:val="center"/>
        </w:trPr>
        <w:tc>
          <w:tcPr>
            <w:tcW w:w="3942" w:type="dxa"/>
            <w:tcBorders>
              <w:top w:val="nil"/>
              <w:bottom w:val="nil"/>
            </w:tcBorders>
          </w:tcPr>
          <w:p w14:paraId="52BF7EDF" w14:textId="18EFAD91" w:rsidR="00A307FD" w:rsidRPr="00DC3180" w:rsidRDefault="00A307FD" w:rsidP="00A307FD">
            <w:pPr>
              <w:ind w:firstLineChars="200" w:firstLine="400"/>
              <w:jc w:val="both"/>
              <w:rPr>
                <w:rFonts w:ascii="Arial" w:hAnsi="Arial"/>
              </w:rPr>
            </w:pPr>
            <w:r w:rsidRPr="0061334D">
              <w:t>Median (min, max)</w:t>
            </w:r>
          </w:p>
        </w:tc>
        <w:tc>
          <w:tcPr>
            <w:tcW w:w="3710" w:type="dxa"/>
            <w:tcBorders>
              <w:top w:val="nil"/>
              <w:bottom w:val="nil"/>
            </w:tcBorders>
          </w:tcPr>
          <w:p w14:paraId="17731019" w14:textId="2CDED432" w:rsidR="00A307FD" w:rsidRPr="00DC3180" w:rsidRDefault="00A307FD" w:rsidP="00A307FD">
            <w:pPr>
              <w:jc w:val="center"/>
              <w:rPr>
                <w:rFonts w:ascii="Arial" w:hAnsi="Arial"/>
              </w:rPr>
            </w:pPr>
            <w:r w:rsidRPr="0061334D">
              <w:t>67.5 (56,74)</w:t>
            </w:r>
          </w:p>
        </w:tc>
      </w:tr>
      <w:tr w:rsidR="00A307FD" w:rsidRPr="00DC3180" w14:paraId="2C9AE822" w14:textId="77777777" w:rsidTr="00A307FD">
        <w:trPr>
          <w:jc w:val="center"/>
        </w:trPr>
        <w:tc>
          <w:tcPr>
            <w:tcW w:w="3942" w:type="dxa"/>
            <w:tcBorders>
              <w:top w:val="nil"/>
              <w:bottom w:val="nil"/>
            </w:tcBorders>
          </w:tcPr>
          <w:p w14:paraId="5A87A221" w14:textId="7B7F46F2" w:rsidR="00A307FD" w:rsidRPr="00DC3180" w:rsidRDefault="00A307FD" w:rsidP="00A307FD">
            <w:pPr>
              <w:jc w:val="both"/>
              <w:rPr>
                <w:rFonts w:ascii="Arial" w:hAnsi="Arial"/>
              </w:rPr>
            </w:pPr>
            <w:r w:rsidRPr="0061334D">
              <w:t>Sex</w:t>
            </w:r>
          </w:p>
        </w:tc>
        <w:tc>
          <w:tcPr>
            <w:tcW w:w="3710" w:type="dxa"/>
            <w:tcBorders>
              <w:top w:val="nil"/>
              <w:bottom w:val="nil"/>
            </w:tcBorders>
          </w:tcPr>
          <w:p w14:paraId="2063B81D" w14:textId="77777777" w:rsidR="00A307FD" w:rsidRPr="00DC3180" w:rsidRDefault="00A307FD" w:rsidP="00A307FD">
            <w:pPr>
              <w:jc w:val="center"/>
              <w:rPr>
                <w:rFonts w:ascii="Arial" w:hAnsi="Arial"/>
              </w:rPr>
            </w:pPr>
          </w:p>
        </w:tc>
      </w:tr>
      <w:tr w:rsidR="00A307FD" w:rsidRPr="00DC3180" w14:paraId="53C998F7" w14:textId="77777777" w:rsidTr="00A307FD">
        <w:trPr>
          <w:jc w:val="center"/>
        </w:trPr>
        <w:tc>
          <w:tcPr>
            <w:tcW w:w="3942" w:type="dxa"/>
            <w:tcBorders>
              <w:top w:val="nil"/>
              <w:bottom w:val="nil"/>
            </w:tcBorders>
          </w:tcPr>
          <w:p w14:paraId="5677D3A5" w14:textId="5CD1A860" w:rsidR="00A307FD" w:rsidRPr="00DC3180" w:rsidRDefault="00A307FD" w:rsidP="00A307FD">
            <w:pPr>
              <w:ind w:firstLineChars="200" w:firstLine="400"/>
              <w:jc w:val="both"/>
              <w:rPr>
                <w:rFonts w:ascii="Arial" w:hAnsi="Arial"/>
              </w:rPr>
            </w:pPr>
            <w:r w:rsidRPr="0061334D">
              <w:t>Male, n (%)</w:t>
            </w:r>
          </w:p>
        </w:tc>
        <w:tc>
          <w:tcPr>
            <w:tcW w:w="3710" w:type="dxa"/>
            <w:tcBorders>
              <w:top w:val="nil"/>
              <w:bottom w:val="nil"/>
            </w:tcBorders>
          </w:tcPr>
          <w:p w14:paraId="4DFF3CBA" w14:textId="72354B74" w:rsidR="00A307FD" w:rsidRPr="00DC3180" w:rsidRDefault="00A307FD" w:rsidP="00A307FD">
            <w:pPr>
              <w:jc w:val="center"/>
              <w:rPr>
                <w:rFonts w:ascii="Arial" w:hAnsi="Arial"/>
              </w:rPr>
            </w:pPr>
            <w:r w:rsidRPr="0061334D">
              <w:t>7 (70%)</w:t>
            </w:r>
          </w:p>
        </w:tc>
      </w:tr>
      <w:tr w:rsidR="00A307FD" w:rsidRPr="00DC3180" w14:paraId="089DE248" w14:textId="77777777" w:rsidTr="00A307FD">
        <w:trPr>
          <w:jc w:val="center"/>
        </w:trPr>
        <w:tc>
          <w:tcPr>
            <w:tcW w:w="3942" w:type="dxa"/>
            <w:tcBorders>
              <w:top w:val="nil"/>
              <w:bottom w:val="nil"/>
            </w:tcBorders>
          </w:tcPr>
          <w:p w14:paraId="0D4AE7E4" w14:textId="019CA684" w:rsidR="00A307FD" w:rsidRPr="00DC3180" w:rsidRDefault="00A307FD" w:rsidP="00A307FD">
            <w:pPr>
              <w:ind w:firstLineChars="200" w:firstLine="400"/>
              <w:jc w:val="both"/>
              <w:rPr>
                <w:rFonts w:ascii="Arial" w:hAnsi="Arial"/>
              </w:rPr>
            </w:pPr>
            <w:r w:rsidRPr="0061334D">
              <w:t>Female, n (%)</w:t>
            </w:r>
          </w:p>
        </w:tc>
        <w:tc>
          <w:tcPr>
            <w:tcW w:w="3710" w:type="dxa"/>
            <w:tcBorders>
              <w:top w:val="nil"/>
              <w:bottom w:val="nil"/>
            </w:tcBorders>
          </w:tcPr>
          <w:p w14:paraId="0DAEDE96" w14:textId="71ACD5B7" w:rsidR="00A307FD" w:rsidRPr="00DC3180" w:rsidRDefault="00A307FD" w:rsidP="00A307FD">
            <w:pPr>
              <w:jc w:val="center"/>
              <w:rPr>
                <w:rFonts w:ascii="Arial" w:hAnsi="Arial"/>
              </w:rPr>
            </w:pPr>
            <w:r w:rsidRPr="0061334D">
              <w:t>3 (30%)</w:t>
            </w:r>
          </w:p>
        </w:tc>
      </w:tr>
      <w:tr w:rsidR="00A307FD" w:rsidRPr="00DC3180" w14:paraId="1313EF58" w14:textId="77777777" w:rsidTr="00A307FD">
        <w:trPr>
          <w:jc w:val="center"/>
        </w:trPr>
        <w:tc>
          <w:tcPr>
            <w:tcW w:w="3942" w:type="dxa"/>
            <w:tcBorders>
              <w:top w:val="nil"/>
              <w:bottom w:val="nil"/>
            </w:tcBorders>
          </w:tcPr>
          <w:p w14:paraId="4E6C3190" w14:textId="0E8FBD6E" w:rsidR="00A307FD" w:rsidRPr="00DC3180" w:rsidRDefault="00A307FD" w:rsidP="00A307FD">
            <w:pPr>
              <w:jc w:val="both"/>
              <w:rPr>
                <w:rFonts w:ascii="Arial" w:hAnsi="Arial"/>
              </w:rPr>
            </w:pPr>
            <w:r w:rsidRPr="0061334D">
              <w:t>Body weight (kg)</w:t>
            </w:r>
          </w:p>
        </w:tc>
        <w:tc>
          <w:tcPr>
            <w:tcW w:w="3710" w:type="dxa"/>
            <w:tcBorders>
              <w:top w:val="nil"/>
              <w:bottom w:val="nil"/>
            </w:tcBorders>
          </w:tcPr>
          <w:p w14:paraId="27B62E1E" w14:textId="77777777" w:rsidR="00A307FD" w:rsidRPr="00DC3180" w:rsidRDefault="00A307FD" w:rsidP="00A307FD">
            <w:pPr>
              <w:jc w:val="center"/>
              <w:rPr>
                <w:rFonts w:ascii="Arial" w:hAnsi="Arial"/>
              </w:rPr>
            </w:pPr>
          </w:p>
        </w:tc>
      </w:tr>
      <w:tr w:rsidR="00A307FD" w:rsidRPr="00DC3180" w14:paraId="5FAFD09E" w14:textId="77777777" w:rsidTr="00A307FD">
        <w:trPr>
          <w:jc w:val="center"/>
        </w:trPr>
        <w:tc>
          <w:tcPr>
            <w:tcW w:w="3942" w:type="dxa"/>
            <w:tcBorders>
              <w:top w:val="nil"/>
              <w:bottom w:val="nil"/>
            </w:tcBorders>
          </w:tcPr>
          <w:p w14:paraId="44063DDF" w14:textId="3B62CBD9" w:rsidR="00A307FD" w:rsidRPr="00DC3180" w:rsidRDefault="00A307FD" w:rsidP="00A307FD">
            <w:pPr>
              <w:jc w:val="both"/>
              <w:rPr>
                <w:rFonts w:ascii="Arial" w:hAnsi="Arial"/>
              </w:rPr>
            </w:pPr>
            <w:r w:rsidRPr="0061334D">
              <w:lastRenderedPageBreak/>
              <w:t xml:space="preserve">        Mean (SD)</w:t>
            </w:r>
          </w:p>
        </w:tc>
        <w:tc>
          <w:tcPr>
            <w:tcW w:w="3710" w:type="dxa"/>
            <w:tcBorders>
              <w:top w:val="nil"/>
              <w:bottom w:val="nil"/>
            </w:tcBorders>
          </w:tcPr>
          <w:p w14:paraId="3E806BAE" w14:textId="58332816" w:rsidR="00A307FD" w:rsidRPr="00DC3180" w:rsidRDefault="00A307FD" w:rsidP="00A307FD">
            <w:pPr>
              <w:jc w:val="center"/>
              <w:rPr>
                <w:rFonts w:ascii="Arial" w:hAnsi="Arial"/>
              </w:rPr>
            </w:pPr>
            <w:r w:rsidRPr="0061334D">
              <w:t>64±11</w:t>
            </w:r>
          </w:p>
        </w:tc>
      </w:tr>
      <w:tr w:rsidR="00A307FD" w:rsidRPr="00DC3180" w14:paraId="233D07D1" w14:textId="77777777" w:rsidTr="00A307FD">
        <w:trPr>
          <w:jc w:val="center"/>
        </w:trPr>
        <w:tc>
          <w:tcPr>
            <w:tcW w:w="3942" w:type="dxa"/>
            <w:tcBorders>
              <w:top w:val="nil"/>
              <w:bottom w:val="nil"/>
            </w:tcBorders>
          </w:tcPr>
          <w:p w14:paraId="204FA9F7" w14:textId="3D95AF2E" w:rsidR="00A307FD" w:rsidRPr="00DC3180" w:rsidRDefault="00A307FD" w:rsidP="00A307FD">
            <w:pPr>
              <w:jc w:val="both"/>
              <w:rPr>
                <w:rFonts w:ascii="Arial" w:hAnsi="Arial"/>
              </w:rPr>
            </w:pPr>
            <w:r w:rsidRPr="0061334D">
              <w:t>Lung cancer category</w:t>
            </w:r>
          </w:p>
        </w:tc>
        <w:tc>
          <w:tcPr>
            <w:tcW w:w="3710" w:type="dxa"/>
            <w:tcBorders>
              <w:top w:val="nil"/>
              <w:bottom w:val="nil"/>
            </w:tcBorders>
          </w:tcPr>
          <w:p w14:paraId="2B382054" w14:textId="77777777" w:rsidR="00A307FD" w:rsidRPr="00DC3180" w:rsidRDefault="00A307FD" w:rsidP="00A307FD">
            <w:pPr>
              <w:jc w:val="center"/>
              <w:rPr>
                <w:rFonts w:ascii="Arial" w:hAnsi="Arial"/>
              </w:rPr>
            </w:pPr>
          </w:p>
        </w:tc>
      </w:tr>
      <w:tr w:rsidR="00A307FD" w:rsidRPr="00DC3180" w14:paraId="143F38E3" w14:textId="77777777" w:rsidTr="00A307FD">
        <w:trPr>
          <w:jc w:val="center"/>
        </w:trPr>
        <w:tc>
          <w:tcPr>
            <w:tcW w:w="3942" w:type="dxa"/>
            <w:tcBorders>
              <w:top w:val="nil"/>
              <w:bottom w:val="nil"/>
            </w:tcBorders>
          </w:tcPr>
          <w:p w14:paraId="38DBB8CD" w14:textId="326E53B9" w:rsidR="00A307FD" w:rsidRPr="00DC3180" w:rsidRDefault="00A307FD" w:rsidP="00A307FD">
            <w:pPr>
              <w:ind w:firstLineChars="200" w:firstLine="400"/>
              <w:jc w:val="both"/>
              <w:rPr>
                <w:rFonts w:ascii="Arial" w:hAnsi="Arial"/>
              </w:rPr>
            </w:pPr>
            <w:r w:rsidRPr="0061334D">
              <w:t>small cell lung cancer (%)</w:t>
            </w:r>
          </w:p>
        </w:tc>
        <w:tc>
          <w:tcPr>
            <w:tcW w:w="3710" w:type="dxa"/>
            <w:tcBorders>
              <w:top w:val="nil"/>
              <w:bottom w:val="nil"/>
            </w:tcBorders>
          </w:tcPr>
          <w:p w14:paraId="604D6597" w14:textId="4D8EBC25" w:rsidR="00A307FD" w:rsidRPr="00DC3180" w:rsidRDefault="00A307FD" w:rsidP="00A307FD">
            <w:pPr>
              <w:jc w:val="center"/>
              <w:rPr>
                <w:rFonts w:ascii="Arial" w:hAnsi="Arial"/>
              </w:rPr>
            </w:pPr>
            <w:r w:rsidRPr="0061334D">
              <w:t>2 (20%)</w:t>
            </w:r>
          </w:p>
        </w:tc>
      </w:tr>
      <w:tr w:rsidR="00A307FD" w:rsidRPr="00DC3180" w14:paraId="74DF6263" w14:textId="77777777" w:rsidTr="00A307FD">
        <w:trPr>
          <w:jc w:val="center"/>
        </w:trPr>
        <w:tc>
          <w:tcPr>
            <w:tcW w:w="3942" w:type="dxa"/>
            <w:tcBorders>
              <w:top w:val="nil"/>
              <w:bottom w:val="nil"/>
            </w:tcBorders>
          </w:tcPr>
          <w:p w14:paraId="2D640BDB" w14:textId="77D4AC68" w:rsidR="00A307FD" w:rsidRPr="00DC3180" w:rsidRDefault="00A307FD" w:rsidP="00A307FD">
            <w:pPr>
              <w:ind w:firstLineChars="200" w:firstLine="400"/>
              <w:jc w:val="both"/>
              <w:rPr>
                <w:rFonts w:ascii="Arial" w:hAnsi="Arial"/>
              </w:rPr>
            </w:pPr>
            <w:r w:rsidRPr="0061334D">
              <w:t>non-small cell lung cancer (%)</w:t>
            </w:r>
          </w:p>
        </w:tc>
        <w:tc>
          <w:tcPr>
            <w:tcW w:w="3710" w:type="dxa"/>
            <w:tcBorders>
              <w:top w:val="nil"/>
              <w:bottom w:val="nil"/>
            </w:tcBorders>
          </w:tcPr>
          <w:p w14:paraId="72279DD8" w14:textId="34E7113C" w:rsidR="00A307FD" w:rsidRPr="00DC3180" w:rsidRDefault="00A307FD" w:rsidP="00A307FD">
            <w:pPr>
              <w:jc w:val="center"/>
              <w:rPr>
                <w:rFonts w:ascii="Arial" w:hAnsi="Arial"/>
              </w:rPr>
            </w:pPr>
            <w:r w:rsidRPr="0061334D">
              <w:t>8 (80%)</w:t>
            </w:r>
          </w:p>
        </w:tc>
      </w:tr>
      <w:tr w:rsidR="00A307FD" w:rsidRPr="00DC3180" w14:paraId="7C81200F" w14:textId="77777777" w:rsidTr="00A307FD">
        <w:trPr>
          <w:jc w:val="center"/>
        </w:trPr>
        <w:tc>
          <w:tcPr>
            <w:tcW w:w="3942" w:type="dxa"/>
            <w:tcBorders>
              <w:top w:val="nil"/>
              <w:bottom w:val="nil"/>
            </w:tcBorders>
          </w:tcPr>
          <w:p w14:paraId="659372C7" w14:textId="1F8D0397" w:rsidR="00A307FD" w:rsidRPr="00DC3180" w:rsidRDefault="00A307FD" w:rsidP="00A307FD">
            <w:pPr>
              <w:jc w:val="both"/>
              <w:rPr>
                <w:rFonts w:ascii="Arial" w:hAnsi="Arial"/>
              </w:rPr>
            </w:pPr>
            <w:r w:rsidRPr="0061334D">
              <w:t>Symptom</w:t>
            </w:r>
          </w:p>
        </w:tc>
        <w:tc>
          <w:tcPr>
            <w:tcW w:w="3710" w:type="dxa"/>
            <w:tcBorders>
              <w:top w:val="nil"/>
              <w:bottom w:val="nil"/>
            </w:tcBorders>
          </w:tcPr>
          <w:p w14:paraId="64A72D48" w14:textId="77777777" w:rsidR="00A307FD" w:rsidRPr="00DC3180" w:rsidRDefault="00A307FD" w:rsidP="00A307FD">
            <w:pPr>
              <w:jc w:val="center"/>
              <w:rPr>
                <w:rFonts w:ascii="Arial" w:hAnsi="Arial"/>
              </w:rPr>
            </w:pPr>
          </w:p>
        </w:tc>
      </w:tr>
      <w:tr w:rsidR="00A307FD" w:rsidRPr="00DC3180" w14:paraId="788C7E3A" w14:textId="77777777" w:rsidTr="00A307FD">
        <w:trPr>
          <w:jc w:val="center"/>
        </w:trPr>
        <w:tc>
          <w:tcPr>
            <w:tcW w:w="3942" w:type="dxa"/>
            <w:tcBorders>
              <w:top w:val="nil"/>
              <w:bottom w:val="nil"/>
            </w:tcBorders>
          </w:tcPr>
          <w:p w14:paraId="75847086" w14:textId="7FCF74B2" w:rsidR="00A307FD" w:rsidRPr="00DC3180" w:rsidRDefault="00A307FD" w:rsidP="00A307FD">
            <w:pPr>
              <w:ind w:firstLineChars="200" w:firstLine="400"/>
              <w:jc w:val="both"/>
              <w:rPr>
                <w:rFonts w:ascii="Arial" w:hAnsi="Arial"/>
              </w:rPr>
            </w:pPr>
            <w:r w:rsidRPr="0061334D">
              <w:t>Pain or discomfort, n (%)</w:t>
            </w:r>
          </w:p>
        </w:tc>
        <w:tc>
          <w:tcPr>
            <w:tcW w:w="3710" w:type="dxa"/>
            <w:tcBorders>
              <w:top w:val="nil"/>
              <w:bottom w:val="nil"/>
            </w:tcBorders>
          </w:tcPr>
          <w:p w14:paraId="74DDB598" w14:textId="54BCBD62" w:rsidR="00A307FD" w:rsidRPr="00DC3180" w:rsidRDefault="00A307FD" w:rsidP="00A307FD">
            <w:pPr>
              <w:jc w:val="center"/>
              <w:rPr>
                <w:rFonts w:ascii="Arial" w:hAnsi="Arial"/>
              </w:rPr>
            </w:pPr>
            <w:r w:rsidRPr="0061334D">
              <w:t>10 (100%)</w:t>
            </w:r>
          </w:p>
        </w:tc>
      </w:tr>
      <w:tr w:rsidR="00A307FD" w:rsidRPr="00DC3180" w14:paraId="43785D49" w14:textId="77777777" w:rsidTr="00A307FD">
        <w:trPr>
          <w:jc w:val="center"/>
        </w:trPr>
        <w:tc>
          <w:tcPr>
            <w:tcW w:w="3942" w:type="dxa"/>
            <w:tcBorders>
              <w:top w:val="nil"/>
              <w:bottom w:val="nil"/>
            </w:tcBorders>
          </w:tcPr>
          <w:p w14:paraId="64A98EEA" w14:textId="67BA4805" w:rsidR="00A307FD" w:rsidRPr="00DC3180" w:rsidRDefault="00A307FD" w:rsidP="00A307FD">
            <w:pPr>
              <w:ind w:firstLineChars="200" w:firstLine="400"/>
              <w:jc w:val="both"/>
              <w:rPr>
                <w:rFonts w:ascii="Arial" w:hAnsi="Arial"/>
              </w:rPr>
            </w:pPr>
            <w:r w:rsidRPr="0061334D">
              <w:t>Cough, n (%)</w:t>
            </w:r>
          </w:p>
        </w:tc>
        <w:tc>
          <w:tcPr>
            <w:tcW w:w="3710" w:type="dxa"/>
            <w:tcBorders>
              <w:top w:val="nil"/>
              <w:bottom w:val="nil"/>
            </w:tcBorders>
          </w:tcPr>
          <w:p w14:paraId="57DC8F75" w14:textId="7069C579" w:rsidR="00A307FD" w:rsidRPr="00DC3180" w:rsidRDefault="00A307FD" w:rsidP="00A307FD">
            <w:pPr>
              <w:jc w:val="center"/>
              <w:rPr>
                <w:rFonts w:ascii="Arial" w:hAnsi="Arial"/>
              </w:rPr>
            </w:pPr>
            <w:r w:rsidRPr="0061334D">
              <w:t>10 (100%)</w:t>
            </w:r>
          </w:p>
        </w:tc>
      </w:tr>
      <w:tr w:rsidR="00A307FD" w:rsidRPr="00DC3180" w14:paraId="140827CA" w14:textId="77777777" w:rsidTr="00A307FD">
        <w:trPr>
          <w:jc w:val="center"/>
        </w:trPr>
        <w:tc>
          <w:tcPr>
            <w:tcW w:w="3942" w:type="dxa"/>
            <w:tcBorders>
              <w:top w:val="nil"/>
              <w:bottom w:val="nil"/>
            </w:tcBorders>
          </w:tcPr>
          <w:p w14:paraId="7BB26144" w14:textId="24C9B51C" w:rsidR="00A307FD" w:rsidRPr="00DC3180" w:rsidRDefault="00A307FD" w:rsidP="00A307FD">
            <w:pPr>
              <w:ind w:firstLineChars="200" w:firstLine="400"/>
              <w:jc w:val="both"/>
              <w:rPr>
                <w:rFonts w:ascii="Arial" w:hAnsi="Arial"/>
              </w:rPr>
            </w:pPr>
            <w:r w:rsidRPr="0061334D">
              <w:t>Fatigue, n (%)</w:t>
            </w:r>
          </w:p>
        </w:tc>
        <w:tc>
          <w:tcPr>
            <w:tcW w:w="3710" w:type="dxa"/>
            <w:tcBorders>
              <w:top w:val="nil"/>
              <w:bottom w:val="nil"/>
            </w:tcBorders>
          </w:tcPr>
          <w:p w14:paraId="054A721B" w14:textId="6935BA47" w:rsidR="00A307FD" w:rsidRPr="00DC3180" w:rsidRDefault="00A307FD" w:rsidP="00A307FD">
            <w:pPr>
              <w:jc w:val="center"/>
              <w:rPr>
                <w:rFonts w:ascii="Arial" w:hAnsi="Arial"/>
              </w:rPr>
            </w:pPr>
            <w:r w:rsidRPr="0061334D">
              <w:t>10 (100%)</w:t>
            </w:r>
          </w:p>
        </w:tc>
      </w:tr>
      <w:tr w:rsidR="00A307FD" w:rsidRPr="00DC3180" w14:paraId="5690CC58" w14:textId="77777777" w:rsidTr="00A307FD">
        <w:trPr>
          <w:jc w:val="center"/>
        </w:trPr>
        <w:tc>
          <w:tcPr>
            <w:tcW w:w="3942" w:type="dxa"/>
            <w:tcBorders>
              <w:top w:val="nil"/>
              <w:bottom w:val="nil"/>
            </w:tcBorders>
          </w:tcPr>
          <w:p w14:paraId="31D6962E" w14:textId="4D381E18" w:rsidR="00A307FD" w:rsidRPr="00DC3180" w:rsidRDefault="00A307FD" w:rsidP="00A307FD">
            <w:pPr>
              <w:ind w:firstLineChars="200" w:firstLine="400"/>
              <w:jc w:val="both"/>
              <w:rPr>
                <w:rFonts w:ascii="Arial" w:hAnsi="Arial"/>
              </w:rPr>
            </w:pPr>
            <w:r w:rsidRPr="0061334D">
              <w:t>Bone metastasis, n (%)</w:t>
            </w:r>
          </w:p>
        </w:tc>
        <w:tc>
          <w:tcPr>
            <w:tcW w:w="3710" w:type="dxa"/>
            <w:tcBorders>
              <w:top w:val="nil"/>
              <w:bottom w:val="nil"/>
            </w:tcBorders>
          </w:tcPr>
          <w:p w14:paraId="104C34C3" w14:textId="7CE7528F" w:rsidR="00A307FD" w:rsidRPr="00DC3180" w:rsidRDefault="00A307FD" w:rsidP="00A307FD">
            <w:pPr>
              <w:jc w:val="center"/>
              <w:rPr>
                <w:rFonts w:ascii="Arial" w:hAnsi="Arial"/>
              </w:rPr>
            </w:pPr>
            <w:r w:rsidRPr="0061334D">
              <w:t>0 (0%)</w:t>
            </w:r>
          </w:p>
        </w:tc>
      </w:tr>
      <w:tr w:rsidR="00A307FD" w:rsidRPr="00DC3180" w14:paraId="38A79FE3" w14:textId="77777777" w:rsidTr="00A307FD">
        <w:trPr>
          <w:jc w:val="center"/>
        </w:trPr>
        <w:tc>
          <w:tcPr>
            <w:tcW w:w="3942" w:type="dxa"/>
            <w:tcBorders>
              <w:top w:val="nil"/>
              <w:bottom w:val="nil"/>
            </w:tcBorders>
          </w:tcPr>
          <w:p w14:paraId="2242E6C8" w14:textId="515741F7" w:rsidR="00A307FD" w:rsidRPr="00DC3180" w:rsidRDefault="00A307FD" w:rsidP="00A307FD">
            <w:pPr>
              <w:ind w:firstLineChars="200" w:firstLine="400"/>
              <w:jc w:val="both"/>
              <w:rPr>
                <w:rFonts w:ascii="Arial" w:hAnsi="Arial"/>
              </w:rPr>
            </w:pPr>
            <w:r w:rsidRPr="0061334D">
              <w:t>Metastasis, n (%)</w:t>
            </w:r>
          </w:p>
        </w:tc>
        <w:tc>
          <w:tcPr>
            <w:tcW w:w="3710" w:type="dxa"/>
            <w:tcBorders>
              <w:top w:val="nil"/>
              <w:bottom w:val="nil"/>
            </w:tcBorders>
          </w:tcPr>
          <w:p w14:paraId="7B9C5CF8" w14:textId="1B8A910D" w:rsidR="00A307FD" w:rsidRPr="00DC3180" w:rsidRDefault="00A307FD" w:rsidP="00A307FD">
            <w:pPr>
              <w:jc w:val="center"/>
              <w:rPr>
                <w:rFonts w:ascii="Arial" w:hAnsi="Arial"/>
              </w:rPr>
            </w:pPr>
            <w:r w:rsidRPr="0061334D">
              <w:t>10 (100%)</w:t>
            </w:r>
          </w:p>
        </w:tc>
      </w:tr>
      <w:tr w:rsidR="00A307FD" w:rsidRPr="00DC3180" w14:paraId="70FAC408" w14:textId="77777777" w:rsidTr="00A307FD">
        <w:trPr>
          <w:jc w:val="center"/>
        </w:trPr>
        <w:tc>
          <w:tcPr>
            <w:tcW w:w="3942" w:type="dxa"/>
            <w:tcBorders>
              <w:top w:val="nil"/>
              <w:bottom w:val="nil"/>
            </w:tcBorders>
          </w:tcPr>
          <w:p w14:paraId="1CBE04BF" w14:textId="2DEB5DEA" w:rsidR="00A307FD" w:rsidRPr="00DC3180" w:rsidRDefault="00A307FD" w:rsidP="00A307FD">
            <w:pPr>
              <w:jc w:val="both"/>
              <w:rPr>
                <w:rFonts w:ascii="Arial" w:hAnsi="Arial"/>
              </w:rPr>
            </w:pPr>
            <w:r w:rsidRPr="0061334D">
              <w:t>Therapy</w:t>
            </w:r>
          </w:p>
        </w:tc>
        <w:tc>
          <w:tcPr>
            <w:tcW w:w="3710" w:type="dxa"/>
            <w:tcBorders>
              <w:top w:val="nil"/>
              <w:bottom w:val="nil"/>
            </w:tcBorders>
          </w:tcPr>
          <w:p w14:paraId="40C8C357" w14:textId="77777777" w:rsidR="00A307FD" w:rsidRPr="00DC3180" w:rsidRDefault="00A307FD" w:rsidP="00A307FD">
            <w:pPr>
              <w:jc w:val="center"/>
              <w:rPr>
                <w:rFonts w:ascii="Arial" w:hAnsi="Arial"/>
              </w:rPr>
            </w:pPr>
          </w:p>
        </w:tc>
      </w:tr>
      <w:tr w:rsidR="00A307FD" w:rsidRPr="00DC3180" w14:paraId="13BD5D87" w14:textId="77777777" w:rsidTr="00A307FD">
        <w:trPr>
          <w:jc w:val="center"/>
        </w:trPr>
        <w:tc>
          <w:tcPr>
            <w:tcW w:w="3942" w:type="dxa"/>
            <w:tcBorders>
              <w:top w:val="nil"/>
              <w:bottom w:val="nil"/>
            </w:tcBorders>
          </w:tcPr>
          <w:p w14:paraId="16D8C482" w14:textId="4B67AD48" w:rsidR="00A307FD" w:rsidRPr="00DC3180" w:rsidRDefault="00A307FD" w:rsidP="00A307FD">
            <w:pPr>
              <w:ind w:firstLineChars="200" w:firstLine="400"/>
              <w:jc w:val="both"/>
              <w:rPr>
                <w:rFonts w:ascii="Arial" w:hAnsi="Arial"/>
              </w:rPr>
            </w:pPr>
            <w:r w:rsidRPr="0061334D">
              <w:t>Current radiotherapy, n (%)</w:t>
            </w:r>
          </w:p>
        </w:tc>
        <w:tc>
          <w:tcPr>
            <w:tcW w:w="3710" w:type="dxa"/>
            <w:tcBorders>
              <w:top w:val="nil"/>
              <w:bottom w:val="nil"/>
            </w:tcBorders>
          </w:tcPr>
          <w:p w14:paraId="14F76447" w14:textId="47A50E1A" w:rsidR="00A307FD" w:rsidRPr="00DC3180" w:rsidRDefault="00A307FD" w:rsidP="00A307FD">
            <w:pPr>
              <w:jc w:val="center"/>
              <w:rPr>
                <w:rFonts w:ascii="Arial" w:hAnsi="Arial"/>
              </w:rPr>
            </w:pPr>
            <w:r w:rsidRPr="0061334D">
              <w:t>0 (0%)</w:t>
            </w:r>
          </w:p>
        </w:tc>
      </w:tr>
      <w:tr w:rsidR="00A307FD" w:rsidRPr="00DC3180" w14:paraId="05E71733" w14:textId="77777777" w:rsidTr="00A307FD">
        <w:trPr>
          <w:jc w:val="center"/>
        </w:trPr>
        <w:tc>
          <w:tcPr>
            <w:tcW w:w="3942" w:type="dxa"/>
            <w:tcBorders>
              <w:top w:val="nil"/>
              <w:bottom w:val="nil"/>
            </w:tcBorders>
          </w:tcPr>
          <w:p w14:paraId="62B9BA24" w14:textId="797DEE4F" w:rsidR="00A307FD" w:rsidRPr="00DC3180" w:rsidRDefault="00A307FD" w:rsidP="00A307FD">
            <w:pPr>
              <w:ind w:firstLineChars="200" w:firstLine="400"/>
              <w:jc w:val="both"/>
              <w:rPr>
                <w:rFonts w:ascii="Arial" w:hAnsi="Arial"/>
              </w:rPr>
            </w:pPr>
            <w:r w:rsidRPr="0061334D">
              <w:t>Current chemotherapy, n (%)</w:t>
            </w:r>
          </w:p>
        </w:tc>
        <w:tc>
          <w:tcPr>
            <w:tcW w:w="3710" w:type="dxa"/>
            <w:tcBorders>
              <w:top w:val="nil"/>
              <w:bottom w:val="nil"/>
            </w:tcBorders>
          </w:tcPr>
          <w:p w14:paraId="0A26D677" w14:textId="12DC7CAB" w:rsidR="00A307FD" w:rsidRPr="00DC3180" w:rsidRDefault="00A307FD" w:rsidP="00A307FD">
            <w:pPr>
              <w:jc w:val="center"/>
              <w:rPr>
                <w:rFonts w:ascii="Arial" w:hAnsi="Arial"/>
              </w:rPr>
            </w:pPr>
            <w:r w:rsidRPr="0061334D">
              <w:t>0 (0%)</w:t>
            </w:r>
          </w:p>
        </w:tc>
      </w:tr>
      <w:tr w:rsidR="00A307FD" w:rsidRPr="00DC3180" w14:paraId="7A1D432C" w14:textId="77777777" w:rsidTr="00A307FD">
        <w:trPr>
          <w:jc w:val="center"/>
        </w:trPr>
        <w:tc>
          <w:tcPr>
            <w:tcW w:w="3942" w:type="dxa"/>
            <w:tcBorders>
              <w:top w:val="nil"/>
              <w:bottom w:val="nil"/>
            </w:tcBorders>
          </w:tcPr>
          <w:p w14:paraId="27ECE5C9" w14:textId="77777777" w:rsidR="00A307FD" w:rsidRDefault="00A307FD" w:rsidP="00A307FD">
            <w:pPr>
              <w:ind w:firstLineChars="200" w:firstLine="400"/>
              <w:jc w:val="both"/>
            </w:pPr>
            <w:r w:rsidRPr="00560424">
              <w:t>Current use of antibiotics n (%)</w:t>
            </w:r>
          </w:p>
          <w:p w14:paraId="183164E2" w14:textId="6C069382" w:rsidR="00A307FD" w:rsidRPr="0061334D" w:rsidRDefault="00A307FD" w:rsidP="00A307FD">
            <w:pPr>
              <w:ind w:firstLineChars="200" w:firstLine="400"/>
              <w:jc w:val="both"/>
            </w:pPr>
            <w:r w:rsidRPr="00A307FD">
              <w:t>name and dose</w:t>
            </w:r>
          </w:p>
        </w:tc>
        <w:tc>
          <w:tcPr>
            <w:tcW w:w="3710" w:type="dxa"/>
            <w:tcBorders>
              <w:top w:val="nil"/>
              <w:bottom w:val="nil"/>
            </w:tcBorders>
          </w:tcPr>
          <w:p w14:paraId="525FA35F" w14:textId="77777777" w:rsidR="00A307FD" w:rsidRDefault="00A307FD" w:rsidP="00A307FD">
            <w:pPr>
              <w:jc w:val="center"/>
            </w:pPr>
            <w:r w:rsidRPr="00A307FD">
              <w:t>7 (70%)</w:t>
            </w:r>
          </w:p>
          <w:p w14:paraId="39F7FFCE" w14:textId="344092FF" w:rsidR="00A307FD" w:rsidRPr="0061334D" w:rsidRDefault="00A307FD" w:rsidP="00A307FD">
            <w:pPr>
              <w:jc w:val="center"/>
            </w:pPr>
            <w:r w:rsidRPr="00A307FD">
              <w:t>sulfamethoxazole and 1.6 g per day</w:t>
            </w:r>
          </w:p>
        </w:tc>
      </w:tr>
      <w:tr w:rsidR="00A307FD" w:rsidRPr="00DC3180" w14:paraId="507793D2" w14:textId="77777777" w:rsidTr="00A307FD">
        <w:trPr>
          <w:jc w:val="center"/>
        </w:trPr>
        <w:tc>
          <w:tcPr>
            <w:tcW w:w="3942" w:type="dxa"/>
            <w:tcBorders>
              <w:top w:val="nil"/>
              <w:bottom w:val="single" w:sz="4" w:space="0" w:color="auto"/>
            </w:tcBorders>
          </w:tcPr>
          <w:p w14:paraId="48C635FC" w14:textId="77777777" w:rsidR="00A307FD" w:rsidRDefault="00A307FD" w:rsidP="00A307FD">
            <w:pPr>
              <w:ind w:firstLineChars="200" w:firstLine="400"/>
              <w:jc w:val="both"/>
            </w:pPr>
            <w:r>
              <w:t>Current use of corticosteroids n (%)</w:t>
            </w:r>
          </w:p>
          <w:p w14:paraId="597A41DD" w14:textId="7711DE62" w:rsidR="00A307FD" w:rsidRPr="0061334D" w:rsidRDefault="00A307FD" w:rsidP="00A307FD">
            <w:pPr>
              <w:ind w:firstLineChars="200" w:firstLine="400"/>
              <w:jc w:val="both"/>
            </w:pPr>
            <w:r>
              <w:t>name and dose</w:t>
            </w:r>
          </w:p>
        </w:tc>
        <w:tc>
          <w:tcPr>
            <w:tcW w:w="3710" w:type="dxa"/>
            <w:tcBorders>
              <w:top w:val="nil"/>
              <w:bottom w:val="single" w:sz="4" w:space="0" w:color="auto"/>
            </w:tcBorders>
          </w:tcPr>
          <w:p w14:paraId="0438E441" w14:textId="77777777" w:rsidR="00A307FD" w:rsidRDefault="00A307FD" w:rsidP="00A307FD">
            <w:pPr>
              <w:jc w:val="center"/>
            </w:pPr>
            <w:r w:rsidRPr="00560424">
              <w:t>7 (70%)</w:t>
            </w:r>
          </w:p>
          <w:p w14:paraId="423D9B32" w14:textId="7A661676" w:rsidR="00A307FD" w:rsidRPr="0061334D" w:rsidRDefault="00A307FD" w:rsidP="00A307FD">
            <w:pPr>
              <w:jc w:val="center"/>
            </w:pPr>
            <w:r w:rsidRPr="00A307FD">
              <w:t>dexamethasone and 0.75 mg per day</w:t>
            </w:r>
          </w:p>
        </w:tc>
      </w:tr>
    </w:tbl>
    <w:p w14:paraId="0D71ACDD" w14:textId="4857FAC4" w:rsidR="00863BD3" w:rsidRDefault="004A5A55" w:rsidP="00441B6F">
      <w:pPr>
        <w:pStyle w:val="3"/>
        <w:tabs>
          <w:tab w:val="left" w:pos="1080"/>
        </w:tabs>
        <w:spacing w:after="0"/>
        <w:ind w:left="1080" w:hanging="1080"/>
        <w:jc w:val="both"/>
        <w:rPr>
          <w:rFonts w:ascii="Arial" w:hAnsi="Arial"/>
          <w:b/>
          <w:sz w:val="20"/>
          <w:szCs w:val="20"/>
        </w:rPr>
      </w:pPr>
      <w:r>
        <w:rPr>
          <w:rFonts w:ascii="Arial" w:hAnsi="Arial" w:hint="eastAsia"/>
          <w:bCs/>
          <w:i/>
          <w:sz w:val="18"/>
          <w:lang w:eastAsia="zh-CN"/>
        </w:rPr>
        <w:t xml:space="preserve">Notes: </w:t>
      </w:r>
      <w:r w:rsidRPr="004A5A55">
        <w:rPr>
          <w:rFonts w:ascii="Arial" w:hAnsi="Arial"/>
          <w:bCs/>
          <w:i/>
          <w:sz w:val="18"/>
        </w:rPr>
        <w:t>values are expressed as n (%), Mean±SD</w:t>
      </w:r>
    </w:p>
    <w:p w14:paraId="726D87FE" w14:textId="77777777" w:rsidR="004B0994" w:rsidRDefault="004B0994" w:rsidP="00441B6F">
      <w:pPr>
        <w:pStyle w:val="Body"/>
        <w:spacing w:after="0"/>
        <w:rPr>
          <w:rFonts w:ascii="Arial" w:hAnsi="Arial" w:cs="Arial"/>
          <w:lang w:eastAsia="zh-CN"/>
        </w:rPr>
      </w:pPr>
    </w:p>
    <w:p w14:paraId="686FBC34" w14:textId="591EC0E0" w:rsidR="004B0994" w:rsidRDefault="004B0994" w:rsidP="004B0994">
      <w:pPr>
        <w:pStyle w:val="Body"/>
        <w:spacing w:after="0"/>
        <w:rPr>
          <w:rFonts w:ascii="Arial" w:hAnsi="Arial" w:cs="Arial"/>
        </w:rPr>
      </w:pPr>
      <w:r>
        <w:rPr>
          <w:rFonts w:ascii="Arial" w:hAnsi="Arial" w:cs="Arial" w:hint="eastAsia"/>
          <w:b/>
          <w:caps/>
          <w:sz w:val="22"/>
          <w:lang w:eastAsia="zh-CN"/>
        </w:rPr>
        <w:t>3</w:t>
      </w:r>
      <w:r w:rsidRPr="00C30A0F">
        <w:rPr>
          <w:rFonts w:ascii="Arial" w:hAnsi="Arial" w:cs="Arial"/>
          <w:b/>
          <w:caps/>
          <w:sz w:val="22"/>
        </w:rPr>
        <w:t>.</w:t>
      </w:r>
      <w:r>
        <w:rPr>
          <w:rFonts w:ascii="Arial" w:hAnsi="Arial" w:cs="Arial" w:hint="eastAsia"/>
          <w:b/>
          <w:caps/>
          <w:sz w:val="22"/>
          <w:lang w:eastAsia="zh-CN"/>
        </w:rPr>
        <w:t>2</w:t>
      </w:r>
      <w:r w:rsidRPr="00C30A0F">
        <w:rPr>
          <w:rFonts w:ascii="Arial" w:hAnsi="Arial" w:cs="Arial"/>
          <w:b/>
          <w:caps/>
          <w:sz w:val="22"/>
        </w:rPr>
        <w:t xml:space="preserve"> </w:t>
      </w:r>
      <w:r w:rsidRPr="004B0994">
        <w:rPr>
          <w:rFonts w:ascii="Arial" w:hAnsi="Arial" w:cs="Arial"/>
          <w:b/>
          <w:sz w:val="22"/>
        </w:rPr>
        <w:t>Primary outcome</w:t>
      </w:r>
    </w:p>
    <w:p w14:paraId="74A7B5FC" w14:textId="77777777" w:rsidR="00F82DCD" w:rsidRDefault="00F82DCD" w:rsidP="004B0994">
      <w:pPr>
        <w:pStyle w:val="Body"/>
        <w:spacing w:after="0"/>
        <w:rPr>
          <w:rFonts w:ascii="Arial" w:hAnsi="Arial" w:cs="Arial"/>
        </w:rPr>
      </w:pPr>
    </w:p>
    <w:p w14:paraId="1572EAA1" w14:textId="6ADCF7AE" w:rsidR="00902823" w:rsidRDefault="004B0994" w:rsidP="004B0994">
      <w:pPr>
        <w:pStyle w:val="Body"/>
        <w:spacing w:after="0"/>
        <w:rPr>
          <w:rFonts w:ascii="Arial" w:hAnsi="Arial" w:cs="Arial"/>
        </w:rPr>
      </w:pPr>
      <w:r w:rsidRPr="004B0994">
        <w:rPr>
          <w:rFonts w:ascii="Arial" w:hAnsi="Arial" w:cs="Arial"/>
        </w:rPr>
        <w:t xml:space="preserve">During the study, enrolled patients participated in the study for 3 months and underwent four clinical evaluations at before treatment, after 1 week, 2weeks, and 4 weeks, and the end of treatment. As shown in Table 2, the baseline mean score for pain or discomfort was 4.77±1.82, which was decreased to 0.60±0.31 at the end of treatment (P&lt;.0001). The baseline mean score for cough was 5.50±1.36, which was decreased to 0.82±0.41 at the end of treatment (P&lt;.0001). The baseline mean score for fatigue was 8.35 ±1.07, which was decreased to 1.09 ± 0.65 at the end of treatment (P&lt;.0001). The baseline mean score for facial skin brightness was 1.41±0.72, which was increased to 7.02±0.54 at the end of treatment (P&lt;.001). The baseline mean score for facial expression or spirit was 0.98±0.81, which was increased to 6.82±0.32 at the end of treatment (P&lt;.001). The remission rate scores were both greater than 85%. All differences were statistically significant. </w:t>
      </w:r>
      <w:r w:rsidRPr="00A307FD">
        <w:rPr>
          <w:rFonts w:ascii="Arial" w:hAnsi="Arial" w:cs="Arial"/>
        </w:rPr>
        <w:t xml:space="preserve"> </w:t>
      </w:r>
    </w:p>
    <w:p w14:paraId="1879ED1E" w14:textId="77777777" w:rsidR="004B0994" w:rsidRDefault="004B0994" w:rsidP="004B0994">
      <w:pPr>
        <w:pStyle w:val="Body"/>
        <w:spacing w:after="0"/>
        <w:rPr>
          <w:rFonts w:ascii="Arial" w:hAnsi="Arial" w:cs="Arial"/>
        </w:rPr>
      </w:pPr>
    </w:p>
    <w:p w14:paraId="602662C8" w14:textId="3963F404" w:rsidR="004B0994" w:rsidRPr="004B0994" w:rsidRDefault="004B0994" w:rsidP="004B0994">
      <w:pPr>
        <w:tabs>
          <w:tab w:val="left" w:pos="1080"/>
        </w:tabs>
        <w:jc w:val="both"/>
        <w:rPr>
          <w:rFonts w:ascii="Arial" w:hAnsi="Arial"/>
          <w:b/>
        </w:rPr>
      </w:pPr>
      <w:r w:rsidRPr="004B0994">
        <w:rPr>
          <w:rFonts w:ascii="Arial" w:hAnsi="Arial"/>
          <w:b/>
        </w:rPr>
        <w:t>Table 2. Scores of Outcomes at Baseline (Before Treatment) and at the End of Treatment</w:t>
      </w:r>
    </w:p>
    <w:tbl>
      <w:tblPr>
        <w:tblStyle w:val="a9"/>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275"/>
        <w:gridCol w:w="1418"/>
        <w:gridCol w:w="1417"/>
        <w:gridCol w:w="840"/>
        <w:gridCol w:w="1145"/>
      </w:tblGrid>
      <w:tr w:rsidR="004B0994" w:rsidRPr="004B0994" w14:paraId="042A8156" w14:textId="77777777" w:rsidTr="00436B22">
        <w:trPr>
          <w:jc w:val="center"/>
        </w:trPr>
        <w:tc>
          <w:tcPr>
            <w:tcW w:w="2694" w:type="dxa"/>
            <w:tcBorders>
              <w:top w:val="single" w:sz="4" w:space="0" w:color="auto"/>
              <w:bottom w:val="single" w:sz="4" w:space="0" w:color="auto"/>
            </w:tcBorders>
          </w:tcPr>
          <w:p w14:paraId="3BA86FB8" w14:textId="77777777" w:rsidR="004B0994" w:rsidRPr="004B0994" w:rsidRDefault="004B0994" w:rsidP="004B0994">
            <w:pPr>
              <w:jc w:val="center"/>
              <w:rPr>
                <w:rFonts w:eastAsiaTheme="minorEastAsia"/>
                <w:b/>
                <w:bCs/>
                <w:sz w:val="20"/>
                <w:szCs w:val="20"/>
              </w:rPr>
            </w:pPr>
            <w:bookmarkStart w:id="0" w:name="_Hlk164765450"/>
            <w:r w:rsidRPr="004B0994">
              <w:rPr>
                <w:rFonts w:eastAsiaTheme="minorEastAsia"/>
                <w:b/>
                <w:bCs/>
                <w:sz w:val="20"/>
                <w:szCs w:val="20"/>
              </w:rPr>
              <w:t>Index</w:t>
            </w:r>
          </w:p>
        </w:tc>
        <w:tc>
          <w:tcPr>
            <w:tcW w:w="1275" w:type="dxa"/>
            <w:tcBorders>
              <w:top w:val="single" w:sz="4" w:space="0" w:color="auto"/>
              <w:bottom w:val="single" w:sz="4" w:space="0" w:color="auto"/>
            </w:tcBorders>
          </w:tcPr>
          <w:p w14:paraId="47D2B03F" w14:textId="77777777" w:rsidR="004B0994" w:rsidRPr="004B0994" w:rsidRDefault="004B0994" w:rsidP="004B0994">
            <w:pPr>
              <w:jc w:val="center"/>
              <w:rPr>
                <w:rFonts w:eastAsiaTheme="minorEastAsia"/>
                <w:b/>
                <w:bCs/>
                <w:sz w:val="20"/>
                <w:szCs w:val="20"/>
              </w:rPr>
            </w:pPr>
            <w:r w:rsidRPr="004B0994">
              <w:rPr>
                <w:rFonts w:eastAsiaTheme="minorEastAsia"/>
                <w:b/>
                <w:bCs/>
                <w:sz w:val="20"/>
                <w:szCs w:val="20"/>
              </w:rPr>
              <w:t>Baseline</w:t>
            </w:r>
          </w:p>
        </w:tc>
        <w:tc>
          <w:tcPr>
            <w:tcW w:w="1418" w:type="dxa"/>
            <w:tcBorders>
              <w:top w:val="single" w:sz="4" w:space="0" w:color="auto"/>
              <w:bottom w:val="single" w:sz="4" w:space="0" w:color="auto"/>
            </w:tcBorders>
          </w:tcPr>
          <w:p w14:paraId="78C048E2" w14:textId="77777777" w:rsidR="004B0994" w:rsidRPr="004B0994" w:rsidRDefault="004B0994" w:rsidP="004B0994">
            <w:pPr>
              <w:jc w:val="center"/>
              <w:rPr>
                <w:rFonts w:eastAsiaTheme="minorEastAsia"/>
                <w:b/>
                <w:bCs/>
                <w:sz w:val="20"/>
                <w:szCs w:val="20"/>
              </w:rPr>
            </w:pPr>
            <w:r w:rsidRPr="004B0994">
              <w:rPr>
                <w:rFonts w:eastAsiaTheme="minorEastAsia"/>
                <w:b/>
                <w:bCs/>
                <w:sz w:val="20"/>
                <w:szCs w:val="20"/>
              </w:rPr>
              <w:t>End of treatment</w:t>
            </w:r>
          </w:p>
        </w:tc>
        <w:tc>
          <w:tcPr>
            <w:tcW w:w="1417" w:type="dxa"/>
            <w:tcBorders>
              <w:top w:val="single" w:sz="4" w:space="0" w:color="auto"/>
              <w:bottom w:val="single" w:sz="4" w:space="0" w:color="auto"/>
            </w:tcBorders>
          </w:tcPr>
          <w:p w14:paraId="03B90ACE" w14:textId="77777777" w:rsidR="004B0994" w:rsidRPr="004B0994" w:rsidRDefault="004B0994" w:rsidP="004B0994">
            <w:pPr>
              <w:jc w:val="center"/>
              <w:rPr>
                <w:rFonts w:eastAsiaTheme="minorEastAsia"/>
                <w:b/>
                <w:bCs/>
                <w:sz w:val="20"/>
                <w:szCs w:val="20"/>
              </w:rPr>
            </w:pPr>
            <w:bookmarkStart w:id="1" w:name="OLE_LINK4"/>
            <w:r w:rsidRPr="004B0994">
              <w:rPr>
                <w:rFonts w:eastAsiaTheme="minorEastAsia"/>
                <w:b/>
                <w:bCs/>
                <w:sz w:val="20"/>
                <w:szCs w:val="20"/>
              </w:rPr>
              <w:t>Remission rate (%)</w:t>
            </w:r>
            <w:bookmarkEnd w:id="1"/>
          </w:p>
        </w:tc>
        <w:tc>
          <w:tcPr>
            <w:tcW w:w="840" w:type="dxa"/>
            <w:tcBorders>
              <w:top w:val="single" w:sz="4" w:space="0" w:color="auto"/>
              <w:bottom w:val="single" w:sz="4" w:space="0" w:color="auto"/>
            </w:tcBorders>
          </w:tcPr>
          <w:p w14:paraId="6CE02852" w14:textId="77777777" w:rsidR="004B0994" w:rsidRPr="004B0994" w:rsidRDefault="004B0994" w:rsidP="004B0994">
            <w:pPr>
              <w:jc w:val="center"/>
              <w:rPr>
                <w:rFonts w:eastAsiaTheme="minorEastAsia"/>
                <w:b/>
                <w:bCs/>
                <w:sz w:val="20"/>
                <w:szCs w:val="20"/>
              </w:rPr>
            </w:pPr>
            <w:r w:rsidRPr="004B0994">
              <w:rPr>
                <w:rFonts w:eastAsiaTheme="minorEastAsia"/>
                <w:b/>
                <w:bCs/>
                <w:sz w:val="20"/>
                <w:szCs w:val="20"/>
              </w:rPr>
              <w:t>t</w:t>
            </w:r>
          </w:p>
        </w:tc>
        <w:tc>
          <w:tcPr>
            <w:tcW w:w="1145" w:type="dxa"/>
            <w:tcBorders>
              <w:top w:val="single" w:sz="4" w:space="0" w:color="auto"/>
              <w:bottom w:val="single" w:sz="4" w:space="0" w:color="auto"/>
            </w:tcBorders>
          </w:tcPr>
          <w:p w14:paraId="6E77C76D" w14:textId="77777777" w:rsidR="004B0994" w:rsidRPr="004B0994" w:rsidRDefault="004B0994" w:rsidP="004B0994">
            <w:pPr>
              <w:jc w:val="center"/>
              <w:rPr>
                <w:rFonts w:eastAsiaTheme="minorEastAsia"/>
                <w:b/>
                <w:bCs/>
                <w:sz w:val="20"/>
                <w:szCs w:val="20"/>
              </w:rPr>
            </w:pPr>
            <w:r w:rsidRPr="004B0994">
              <w:rPr>
                <w:rFonts w:eastAsiaTheme="minorEastAsia"/>
                <w:b/>
                <w:bCs/>
                <w:sz w:val="20"/>
                <w:szCs w:val="20"/>
              </w:rPr>
              <w:t>P value</w:t>
            </w:r>
          </w:p>
        </w:tc>
      </w:tr>
      <w:tr w:rsidR="004B0994" w:rsidRPr="004B0994" w14:paraId="772D5C69" w14:textId="77777777" w:rsidTr="00436B22">
        <w:trPr>
          <w:jc w:val="center"/>
        </w:trPr>
        <w:tc>
          <w:tcPr>
            <w:tcW w:w="2694" w:type="dxa"/>
          </w:tcPr>
          <w:p w14:paraId="6DB06089" w14:textId="77777777" w:rsidR="004B0994" w:rsidRPr="004B0994" w:rsidRDefault="004B0994" w:rsidP="004B0994">
            <w:pPr>
              <w:jc w:val="both"/>
              <w:rPr>
                <w:rFonts w:eastAsiaTheme="minorEastAsia"/>
                <w:sz w:val="20"/>
                <w:szCs w:val="20"/>
              </w:rPr>
            </w:pPr>
            <w:r w:rsidRPr="004B0994">
              <w:rPr>
                <w:rFonts w:eastAsiaTheme="minorEastAsia"/>
                <w:sz w:val="20"/>
                <w:szCs w:val="20"/>
              </w:rPr>
              <w:t xml:space="preserve">Pain or discomfort </w:t>
            </w:r>
          </w:p>
        </w:tc>
        <w:tc>
          <w:tcPr>
            <w:tcW w:w="1275" w:type="dxa"/>
          </w:tcPr>
          <w:p w14:paraId="22744CA0" w14:textId="77777777" w:rsidR="004B0994" w:rsidRPr="004B0994" w:rsidRDefault="004B0994" w:rsidP="004B0994">
            <w:pPr>
              <w:jc w:val="both"/>
              <w:rPr>
                <w:rFonts w:eastAsiaTheme="minorEastAsia"/>
                <w:sz w:val="20"/>
                <w:szCs w:val="20"/>
              </w:rPr>
            </w:pPr>
            <w:r w:rsidRPr="004B0994">
              <w:rPr>
                <w:rFonts w:eastAsiaTheme="minorEastAsia"/>
                <w:sz w:val="20"/>
                <w:szCs w:val="20"/>
              </w:rPr>
              <w:t>4.77±1.82</w:t>
            </w:r>
          </w:p>
        </w:tc>
        <w:tc>
          <w:tcPr>
            <w:tcW w:w="1418" w:type="dxa"/>
          </w:tcPr>
          <w:p w14:paraId="62AC5C7B" w14:textId="77777777" w:rsidR="004B0994" w:rsidRPr="004B0994" w:rsidRDefault="004B0994" w:rsidP="004B0994">
            <w:pPr>
              <w:jc w:val="both"/>
              <w:rPr>
                <w:rFonts w:eastAsiaTheme="minorEastAsia"/>
                <w:sz w:val="20"/>
                <w:szCs w:val="20"/>
              </w:rPr>
            </w:pPr>
            <w:r w:rsidRPr="004B0994">
              <w:rPr>
                <w:rFonts w:eastAsiaTheme="minorEastAsia"/>
                <w:sz w:val="20"/>
                <w:szCs w:val="20"/>
              </w:rPr>
              <w:t>0.60±0.31</w:t>
            </w:r>
          </w:p>
        </w:tc>
        <w:tc>
          <w:tcPr>
            <w:tcW w:w="1417" w:type="dxa"/>
          </w:tcPr>
          <w:p w14:paraId="0964CA08" w14:textId="77777777" w:rsidR="004B0994" w:rsidRPr="004B0994" w:rsidRDefault="004B0994" w:rsidP="004B0994">
            <w:pPr>
              <w:jc w:val="both"/>
              <w:rPr>
                <w:rFonts w:eastAsiaTheme="minorEastAsia"/>
                <w:sz w:val="20"/>
                <w:szCs w:val="20"/>
              </w:rPr>
            </w:pPr>
            <w:r w:rsidRPr="004B0994">
              <w:rPr>
                <w:rFonts w:eastAsiaTheme="minorEastAsia"/>
                <w:sz w:val="20"/>
                <w:szCs w:val="20"/>
              </w:rPr>
              <w:t>87.42</w:t>
            </w:r>
          </w:p>
        </w:tc>
        <w:tc>
          <w:tcPr>
            <w:tcW w:w="840" w:type="dxa"/>
          </w:tcPr>
          <w:p w14:paraId="7AA7453B" w14:textId="77777777" w:rsidR="004B0994" w:rsidRPr="004B0994" w:rsidRDefault="004B0994" w:rsidP="004B0994">
            <w:pPr>
              <w:jc w:val="both"/>
              <w:rPr>
                <w:rFonts w:eastAsiaTheme="minorEastAsia"/>
                <w:sz w:val="20"/>
                <w:szCs w:val="20"/>
              </w:rPr>
            </w:pPr>
            <w:r w:rsidRPr="004B0994">
              <w:rPr>
                <w:rFonts w:eastAsiaTheme="minorEastAsia"/>
                <w:sz w:val="20"/>
                <w:szCs w:val="20"/>
              </w:rPr>
              <w:t>6.96</w:t>
            </w:r>
          </w:p>
        </w:tc>
        <w:tc>
          <w:tcPr>
            <w:tcW w:w="1145" w:type="dxa"/>
          </w:tcPr>
          <w:p w14:paraId="7E17EEB4" w14:textId="77777777" w:rsidR="004B0994" w:rsidRPr="004B0994" w:rsidRDefault="004B0994" w:rsidP="004B0994">
            <w:pPr>
              <w:jc w:val="both"/>
              <w:rPr>
                <w:rFonts w:eastAsiaTheme="minorEastAsia"/>
                <w:sz w:val="20"/>
                <w:szCs w:val="20"/>
              </w:rPr>
            </w:pPr>
            <w:r w:rsidRPr="004B0994">
              <w:rPr>
                <w:rFonts w:eastAsiaTheme="minorEastAsia"/>
                <w:sz w:val="20"/>
                <w:szCs w:val="20"/>
              </w:rPr>
              <w:t>P&lt;.0001</w:t>
            </w:r>
          </w:p>
        </w:tc>
      </w:tr>
      <w:tr w:rsidR="004B0994" w:rsidRPr="004B0994" w14:paraId="7DE8539E" w14:textId="77777777" w:rsidTr="00436B22">
        <w:trPr>
          <w:jc w:val="center"/>
        </w:trPr>
        <w:tc>
          <w:tcPr>
            <w:tcW w:w="2694" w:type="dxa"/>
          </w:tcPr>
          <w:p w14:paraId="223F0D13" w14:textId="77777777" w:rsidR="004B0994" w:rsidRPr="004B0994" w:rsidRDefault="004B0994" w:rsidP="004B0994">
            <w:pPr>
              <w:jc w:val="both"/>
              <w:rPr>
                <w:rFonts w:eastAsiaTheme="minorEastAsia"/>
                <w:sz w:val="20"/>
                <w:szCs w:val="20"/>
              </w:rPr>
            </w:pPr>
            <w:r w:rsidRPr="004B0994">
              <w:rPr>
                <w:rFonts w:eastAsiaTheme="minorEastAsia"/>
                <w:sz w:val="20"/>
                <w:szCs w:val="20"/>
              </w:rPr>
              <w:t>Cough</w:t>
            </w:r>
          </w:p>
        </w:tc>
        <w:tc>
          <w:tcPr>
            <w:tcW w:w="1275" w:type="dxa"/>
          </w:tcPr>
          <w:p w14:paraId="67E55F27" w14:textId="77777777" w:rsidR="004B0994" w:rsidRPr="004B0994" w:rsidRDefault="004B0994" w:rsidP="004B0994">
            <w:pPr>
              <w:jc w:val="both"/>
              <w:rPr>
                <w:rFonts w:eastAsiaTheme="minorEastAsia"/>
                <w:sz w:val="20"/>
                <w:szCs w:val="20"/>
              </w:rPr>
            </w:pPr>
            <w:r w:rsidRPr="004B0994">
              <w:rPr>
                <w:rFonts w:eastAsiaTheme="minorEastAsia"/>
                <w:sz w:val="20"/>
                <w:szCs w:val="20"/>
              </w:rPr>
              <w:t>5.50±1.36</w:t>
            </w:r>
          </w:p>
        </w:tc>
        <w:tc>
          <w:tcPr>
            <w:tcW w:w="1418" w:type="dxa"/>
          </w:tcPr>
          <w:p w14:paraId="65803F6C" w14:textId="77777777" w:rsidR="004B0994" w:rsidRPr="004B0994" w:rsidRDefault="004B0994" w:rsidP="004B0994">
            <w:pPr>
              <w:jc w:val="both"/>
              <w:rPr>
                <w:rFonts w:eastAsiaTheme="minorEastAsia"/>
                <w:sz w:val="20"/>
                <w:szCs w:val="20"/>
              </w:rPr>
            </w:pPr>
            <w:r w:rsidRPr="004B0994">
              <w:rPr>
                <w:rFonts w:eastAsiaTheme="minorEastAsia"/>
                <w:sz w:val="20"/>
                <w:szCs w:val="20"/>
              </w:rPr>
              <w:t>0.82±0.41</w:t>
            </w:r>
          </w:p>
        </w:tc>
        <w:tc>
          <w:tcPr>
            <w:tcW w:w="1417" w:type="dxa"/>
          </w:tcPr>
          <w:p w14:paraId="040DED6D" w14:textId="77777777" w:rsidR="004B0994" w:rsidRPr="004B0994" w:rsidRDefault="004B0994" w:rsidP="004B0994">
            <w:pPr>
              <w:jc w:val="both"/>
              <w:rPr>
                <w:rFonts w:eastAsiaTheme="minorEastAsia"/>
                <w:sz w:val="20"/>
                <w:szCs w:val="20"/>
              </w:rPr>
            </w:pPr>
            <w:r w:rsidRPr="004B0994">
              <w:rPr>
                <w:rFonts w:eastAsiaTheme="minorEastAsia"/>
                <w:sz w:val="20"/>
                <w:szCs w:val="20"/>
              </w:rPr>
              <w:t>85.09</w:t>
            </w:r>
          </w:p>
        </w:tc>
        <w:tc>
          <w:tcPr>
            <w:tcW w:w="840" w:type="dxa"/>
          </w:tcPr>
          <w:p w14:paraId="255A2440" w14:textId="77777777" w:rsidR="004B0994" w:rsidRPr="004B0994" w:rsidRDefault="004B0994" w:rsidP="004B0994">
            <w:pPr>
              <w:jc w:val="both"/>
              <w:rPr>
                <w:rFonts w:eastAsiaTheme="minorEastAsia"/>
                <w:sz w:val="20"/>
                <w:szCs w:val="20"/>
              </w:rPr>
            </w:pPr>
            <w:r w:rsidRPr="004B0994">
              <w:rPr>
                <w:rFonts w:eastAsiaTheme="minorEastAsia"/>
                <w:sz w:val="20"/>
                <w:szCs w:val="20"/>
              </w:rPr>
              <w:t>10.29</w:t>
            </w:r>
          </w:p>
        </w:tc>
        <w:tc>
          <w:tcPr>
            <w:tcW w:w="1145" w:type="dxa"/>
          </w:tcPr>
          <w:p w14:paraId="0E2D60D4" w14:textId="77777777" w:rsidR="004B0994" w:rsidRPr="004B0994" w:rsidRDefault="004B0994" w:rsidP="004B0994">
            <w:pPr>
              <w:jc w:val="both"/>
              <w:rPr>
                <w:rFonts w:eastAsiaTheme="minorEastAsia"/>
                <w:sz w:val="20"/>
                <w:szCs w:val="20"/>
              </w:rPr>
            </w:pPr>
            <w:r w:rsidRPr="004B0994">
              <w:rPr>
                <w:rFonts w:eastAsiaTheme="minorEastAsia"/>
                <w:sz w:val="20"/>
                <w:szCs w:val="20"/>
              </w:rPr>
              <w:t>P&lt;.0001</w:t>
            </w:r>
          </w:p>
        </w:tc>
      </w:tr>
      <w:tr w:rsidR="004B0994" w:rsidRPr="004B0994" w14:paraId="07B9ACA6" w14:textId="77777777" w:rsidTr="00436B22">
        <w:trPr>
          <w:jc w:val="center"/>
        </w:trPr>
        <w:tc>
          <w:tcPr>
            <w:tcW w:w="2694" w:type="dxa"/>
          </w:tcPr>
          <w:p w14:paraId="54DCD3DA" w14:textId="77777777" w:rsidR="004B0994" w:rsidRPr="004B0994" w:rsidRDefault="004B0994" w:rsidP="004B0994">
            <w:pPr>
              <w:jc w:val="both"/>
              <w:rPr>
                <w:rFonts w:eastAsiaTheme="minorEastAsia"/>
                <w:sz w:val="20"/>
                <w:szCs w:val="20"/>
              </w:rPr>
            </w:pPr>
            <w:r w:rsidRPr="004B0994">
              <w:rPr>
                <w:rFonts w:eastAsiaTheme="minorEastAsia"/>
                <w:sz w:val="20"/>
                <w:szCs w:val="20"/>
              </w:rPr>
              <w:t>Fatigue</w:t>
            </w:r>
          </w:p>
        </w:tc>
        <w:tc>
          <w:tcPr>
            <w:tcW w:w="1275" w:type="dxa"/>
          </w:tcPr>
          <w:p w14:paraId="36B82AFC" w14:textId="77777777" w:rsidR="004B0994" w:rsidRPr="004B0994" w:rsidRDefault="004B0994" w:rsidP="004B0994">
            <w:pPr>
              <w:jc w:val="both"/>
              <w:rPr>
                <w:rFonts w:eastAsiaTheme="minorEastAsia"/>
                <w:sz w:val="20"/>
                <w:szCs w:val="20"/>
              </w:rPr>
            </w:pPr>
            <w:r w:rsidRPr="004B0994">
              <w:rPr>
                <w:rFonts w:eastAsiaTheme="minorEastAsia"/>
                <w:sz w:val="20"/>
                <w:szCs w:val="20"/>
              </w:rPr>
              <w:t>8.35 ±1.07</w:t>
            </w:r>
          </w:p>
        </w:tc>
        <w:tc>
          <w:tcPr>
            <w:tcW w:w="1418" w:type="dxa"/>
          </w:tcPr>
          <w:p w14:paraId="5255E8C0" w14:textId="77777777" w:rsidR="004B0994" w:rsidRPr="004B0994" w:rsidRDefault="004B0994" w:rsidP="004B0994">
            <w:pPr>
              <w:jc w:val="both"/>
              <w:rPr>
                <w:rFonts w:eastAsiaTheme="minorEastAsia"/>
                <w:sz w:val="20"/>
                <w:szCs w:val="20"/>
              </w:rPr>
            </w:pPr>
            <w:r w:rsidRPr="004B0994">
              <w:rPr>
                <w:rFonts w:eastAsiaTheme="minorEastAsia"/>
                <w:sz w:val="20"/>
                <w:szCs w:val="20"/>
              </w:rPr>
              <w:t>1.09 ± 0.65</w:t>
            </w:r>
          </w:p>
        </w:tc>
        <w:tc>
          <w:tcPr>
            <w:tcW w:w="1417" w:type="dxa"/>
          </w:tcPr>
          <w:p w14:paraId="44CEFA79" w14:textId="77777777" w:rsidR="004B0994" w:rsidRPr="004B0994" w:rsidRDefault="004B0994" w:rsidP="004B0994">
            <w:pPr>
              <w:jc w:val="both"/>
              <w:rPr>
                <w:rFonts w:eastAsiaTheme="minorEastAsia"/>
                <w:sz w:val="20"/>
                <w:szCs w:val="20"/>
              </w:rPr>
            </w:pPr>
            <w:r w:rsidRPr="004B0994">
              <w:rPr>
                <w:rFonts w:eastAsiaTheme="minorEastAsia"/>
                <w:sz w:val="20"/>
                <w:szCs w:val="20"/>
              </w:rPr>
              <w:t>86.95</w:t>
            </w:r>
          </w:p>
        </w:tc>
        <w:tc>
          <w:tcPr>
            <w:tcW w:w="840" w:type="dxa"/>
          </w:tcPr>
          <w:p w14:paraId="536BBCF0" w14:textId="77777777" w:rsidR="004B0994" w:rsidRPr="004B0994" w:rsidRDefault="004B0994" w:rsidP="004B0994">
            <w:pPr>
              <w:jc w:val="both"/>
              <w:rPr>
                <w:rFonts w:eastAsiaTheme="minorEastAsia"/>
                <w:sz w:val="20"/>
                <w:szCs w:val="20"/>
              </w:rPr>
            </w:pPr>
            <w:r w:rsidRPr="004B0994">
              <w:rPr>
                <w:rFonts w:eastAsiaTheme="minorEastAsia"/>
                <w:sz w:val="20"/>
                <w:szCs w:val="20"/>
              </w:rPr>
              <w:t>23.08</w:t>
            </w:r>
          </w:p>
        </w:tc>
        <w:tc>
          <w:tcPr>
            <w:tcW w:w="1145" w:type="dxa"/>
          </w:tcPr>
          <w:p w14:paraId="673C19E1" w14:textId="77777777" w:rsidR="004B0994" w:rsidRPr="004B0994" w:rsidRDefault="004B0994" w:rsidP="004B0994">
            <w:pPr>
              <w:jc w:val="both"/>
              <w:rPr>
                <w:rFonts w:eastAsiaTheme="minorEastAsia"/>
                <w:sz w:val="20"/>
                <w:szCs w:val="20"/>
              </w:rPr>
            </w:pPr>
            <w:r w:rsidRPr="004B0994">
              <w:rPr>
                <w:rFonts w:eastAsiaTheme="minorEastAsia"/>
                <w:sz w:val="20"/>
                <w:szCs w:val="20"/>
              </w:rPr>
              <w:t>P&lt;.0001</w:t>
            </w:r>
          </w:p>
        </w:tc>
      </w:tr>
      <w:tr w:rsidR="004B0994" w:rsidRPr="004B0994" w14:paraId="11C9E90F" w14:textId="77777777" w:rsidTr="00436B22">
        <w:trPr>
          <w:jc w:val="center"/>
        </w:trPr>
        <w:tc>
          <w:tcPr>
            <w:tcW w:w="2694" w:type="dxa"/>
          </w:tcPr>
          <w:p w14:paraId="792122F5" w14:textId="77777777" w:rsidR="004B0994" w:rsidRPr="004B0994" w:rsidRDefault="004B0994" w:rsidP="004B0994">
            <w:pPr>
              <w:jc w:val="both"/>
              <w:rPr>
                <w:rFonts w:eastAsiaTheme="minorEastAsia"/>
                <w:sz w:val="20"/>
                <w:szCs w:val="20"/>
              </w:rPr>
            </w:pPr>
            <w:r w:rsidRPr="004B0994">
              <w:rPr>
                <w:rFonts w:eastAsiaTheme="minorEastAsia"/>
                <w:sz w:val="20"/>
                <w:szCs w:val="20"/>
              </w:rPr>
              <w:t>Facial skin brightness</w:t>
            </w:r>
          </w:p>
        </w:tc>
        <w:tc>
          <w:tcPr>
            <w:tcW w:w="1275" w:type="dxa"/>
          </w:tcPr>
          <w:p w14:paraId="07471C39" w14:textId="77777777" w:rsidR="004B0994" w:rsidRPr="004B0994" w:rsidRDefault="004B0994" w:rsidP="004B0994">
            <w:pPr>
              <w:jc w:val="both"/>
              <w:rPr>
                <w:rFonts w:eastAsiaTheme="minorEastAsia"/>
                <w:sz w:val="20"/>
                <w:szCs w:val="20"/>
              </w:rPr>
            </w:pPr>
            <w:r w:rsidRPr="004B0994">
              <w:rPr>
                <w:rFonts w:eastAsiaTheme="minorEastAsia"/>
                <w:sz w:val="20"/>
                <w:szCs w:val="20"/>
              </w:rPr>
              <w:t>1.41±0.72</w:t>
            </w:r>
          </w:p>
        </w:tc>
        <w:tc>
          <w:tcPr>
            <w:tcW w:w="1418" w:type="dxa"/>
          </w:tcPr>
          <w:p w14:paraId="4E127D10" w14:textId="77777777" w:rsidR="004B0994" w:rsidRPr="004B0994" w:rsidRDefault="004B0994" w:rsidP="004B0994">
            <w:pPr>
              <w:jc w:val="both"/>
              <w:rPr>
                <w:rFonts w:eastAsiaTheme="minorEastAsia"/>
                <w:sz w:val="20"/>
                <w:szCs w:val="20"/>
              </w:rPr>
            </w:pPr>
            <w:r w:rsidRPr="004B0994">
              <w:rPr>
                <w:rFonts w:eastAsiaTheme="minorEastAsia"/>
                <w:sz w:val="20"/>
                <w:szCs w:val="20"/>
              </w:rPr>
              <w:t>7.02±0.54</w:t>
            </w:r>
          </w:p>
        </w:tc>
        <w:tc>
          <w:tcPr>
            <w:tcW w:w="1417" w:type="dxa"/>
          </w:tcPr>
          <w:p w14:paraId="3654BE28" w14:textId="77777777" w:rsidR="004B0994" w:rsidRPr="004B0994" w:rsidRDefault="004B0994" w:rsidP="004B0994">
            <w:pPr>
              <w:jc w:val="both"/>
              <w:rPr>
                <w:rFonts w:eastAsiaTheme="minorEastAsia"/>
                <w:sz w:val="20"/>
                <w:szCs w:val="20"/>
              </w:rPr>
            </w:pPr>
            <w:r w:rsidRPr="004B0994">
              <w:rPr>
                <w:rFonts w:eastAsiaTheme="minorEastAsia"/>
                <w:sz w:val="20"/>
                <w:szCs w:val="20"/>
              </w:rPr>
              <w:t>-</w:t>
            </w:r>
          </w:p>
        </w:tc>
        <w:tc>
          <w:tcPr>
            <w:tcW w:w="840" w:type="dxa"/>
          </w:tcPr>
          <w:p w14:paraId="6C0FDB39" w14:textId="77777777" w:rsidR="004B0994" w:rsidRPr="004B0994" w:rsidRDefault="004B0994" w:rsidP="004B0994">
            <w:pPr>
              <w:jc w:val="both"/>
              <w:rPr>
                <w:rFonts w:eastAsiaTheme="minorEastAsia"/>
                <w:sz w:val="20"/>
                <w:szCs w:val="20"/>
              </w:rPr>
            </w:pPr>
            <w:r w:rsidRPr="004B0994">
              <w:rPr>
                <w:rFonts w:eastAsiaTheme="minorEastAsia"/>
                <w:sz w:val="20"/>
                <w:szCs w:val="20"/>
              </w:rPr>
              <w:t>27.55</w:t>
            </w:r>
          </w:p>
        </w:tc>
        <w:tc>
          <w:tcPr>
            <w:tcW w:w="1145" w:type="dxa"/>
          </w:tcPr>
          <w:p w14:paraId="3759F99E" w14:textId="77777777" w:rsidR="004B0994" w:rsidRPr="004B0994" w:rsidRDefault="004B0994" w:rsidP="004B0994">
            <w:pPr>
              <w:jc w:val="both"/>
              <w:rPr>
                <w:rFonts w:eastAsiaTheme="minorEastAsia"/>
                <w:sz w:val="20"/>
                <w:szCs w:val="20"/>
              </w:rPr>
            </w:pPr>
            <w:r w:rsidRPr="004B0994">
              <w:rPr>
                <w:rFonts w:eastAsiaTheme="minorEastAsia"/>
                <w:sz w:val="20"/>
                <w:szCs w:val="20"/>
              </w:rPr>
              <w:t>P&lt;.001</w:t>
            </w:r>
          </w:p>
        </w:tc>
      </w:tr>
      <w:tr w:rsidR="004B0994" w:rsidRPr="004B0994" w14:paraId="66722EFC" w14:textId="77777777" w:rsidTr="00436B22">
        <w:trPr>
          <w:jc w:val="center"/>
        </w:trPr>
        <w:tc>
          <w:tcPr>
            <w:tcW w:w="2694" w:type="dxa"/>
            <w:tcBorders>
              <w:bottom w:val="single" w:sz="4" w:space="0" w:color="auto"/>
            </w:tcBorders>
          </w:tcPr>
          <w:p w14:paraId="09FEA2F1" w14:textId="77777777" w:rsidR="004B0994" w:rsidRPr="004B0994" w:rsidRDefault="004B0994" w:rsidP="004B0994">
            <w:pPr>
              <w:jc w:val="both"/>
              <w:rPr>
                <w:rFonts w:eastAsiaTheme="minorEastAsia"/>
                <w:sz w:val="20"/>
                <w:szCs w:val="20"/>
              </w:rPr>
            </w:pPr>
            <w:r w:rsidRPr="004B0994">
              <w:rPr>
                <w:rFonts w:eastAsiaTheme="minorEastAsia"/>
                <w:sz w:val="20"/>
                <w:szCs w:val="20"/>
              </w:rPr>
              <w:t>Facial expression or spirit</w:t>
            </w:r>
          </w:p>
        </w:tc>
        <w:tc>
          <w:tcPr>
            <w:tcW w:w="1275" w:type="dxa"/>
            <w:tcBorders>
              <w:bottom w:val="single" w:sz="4" w:space="0" w:color="auto"/>
            </w:tcBorders>
          </w:tcPr>
          <w:p w14:paraId="08BDBDC3" w14:textId="77777777" w:rsidR="004B0994" w:rsidRPr="004B0994" w:rsidRDefault="004B0994" w:rsidP="004B0994">
            <w:pPr>
              <w:jc w:val="both"/>
              <w:rPr>
                <w:rFonts w:eastAsiaTheme="minorEastAsia"/>
                <w:sz w:val="20"/>
                <w:szCs w:val="20"/>
              </w:rPr>
            </w:pPr>
            <w:r w:rsidRPr="004B0994">
              <w:rPr>
                <w:rFonts w:eastAsiaTheme="minorEastAsia"/>
                <w:sz w:val="20"/>
                <w:szCs w:val="20"/>
              </w:rPr>
              <w:t>0.98±0.81</w:t>
            </w:r>
          </w:p>
        </w:tc>
        <w:tc>
          <w:tcPr>
            <w:tcW w:w="1418" w:type="dxa"/>
            <w:tcBorders>
              <w:bottom w:val="single" w:sz="4" w:space="0" w:color="auto"/>
            </w:tcBorders>
          </w:tcPr>
          <w:p w14:paraId="72259CE1" w14:textId="77777777" w:rsidR="004B0994" w:rsidRPr="004B0994" w:rsidRDefault="004B0994" w:rsidP="004B0994">
            <w:pPr>
              <w:jc w:val="both"/>
              <w:rPr>
                <w:rFonts w:eastAsiaTheme="minorEastAsia"/>
                <w:sz w:val="20"/>
                <w:szCs w:val="20"/>
              </w:rPr>
            </w:pPr>
            <w:r w:rsidRPr="004B0994">
              <w:rPr>
                <w:rFonts w:eastAsiaTheme="minorEastAsia"/>
                <w:sz w:val="20"/>
                <w:szCs w:val="20"/>
              </w:rPr>
              <w:t>6.82±0.32</w:t>
            </w:r>
          </w:p>
        </w:tc>
        <w:tc>
          <w:tcPr>
            <w:tcW w:w="1417" w:type="dxa"/>
            <w:tcBorders>
              <w:bottom w:val="single" w:sz="4" w:space="0" w:color="auto"/>
            </w:tcBorders>
          </w:tcPr>
          <w:p w14:paraId="2800690A" w14:textId="77777777" w:rsidR="004B0994" w:rsidRPr="004B0994" w:rsidRDefault="004B0994" w:rsidP="004B0994">
            <w:pPr>
              <w:jc w:val="both"/>
              <w:rPr>
                <w:rFonts w:eastAsiaTheme="minorEastAsia"/>
                <w:sz w:val="20"/>
                <w:szCs w:val="20"/>
              </w:rPr>
            </w:pPr>
            <w:r w:rsidRPr="004B0994">
              <w:rPr>
                <w:rFonts w:eastAsiaTheme="minorEastAsia"/>
                <w:sz w:val="20"/>
                <w:szCs w:val="20"/>
              </w:rPr>
              <w:t>-</w:t>
            </w:r>
          </w:p>
        </w:tc>
        <w:tc>
          <w:tcPr>
            <w:tcW w:w="840" w:type="dxa"/>
            <w:tcBorders>
              <w:bottom w:val="single" w:sz="4" w:space="0" w:color="auto"/>
            </w:tcBorders>
          </w:tcPr>
          <w:p w14:paraId="32CA5D81" w14:textId="77777777" w:rsidR="004B0994" w:rsidRPr="004B0994" w:rsidRDefault="004B0994" w:rsidP="004B0994">
            <w:pPr>
              <w:jc w:val="both"/>
              <w:rPr>
                <w:rFonts w:eastAsiaTheme="minorEastAsia"/>
                <w:sz w:val="20"/>
                <w:szCs w:val="20"/>
              </w:rPr>
            </w:pPr>
            <w:r w:rsidRPr="004B0994">
              <w:rPr>
                <w:rFonts w:eastAsiaTheme="minorEastAsia"/>
                <w:sz w:val="20"/>
                <w:szCs w:val="20"/>
              </w:rPr>
              <w:t>23.10</w:t>
            </w:r>
          </w:p>
        </w:tc>
        <w:tc>
          <w:tcPr>
            <w:tcW w:w="1145" w:type="dxa"/>
            <w:tcBorders>
              <w:bottom w:val="single" w:sz="4" w:space="0" w:color="auto"/>
            </w:tcBorders>
          </w:tcPr>
          <w:p w14:paraId="1871F289" w14:textId="77777777" w:rsidR="004B0994" w:rsidRPr="004B0994" w:rsidRDefault="004B0994" w:rsidP="004B0994">
            <w:pPr>
              <w:jc w:val="both"/>
              <w:rPr>
                <w:rFonts w:eastAsiaTheme="minorEastAsia"/>
                <w:sz w:val="20"/>
                <w:szCs w:val="20"/>
              </w:rPr>
            </w:pPr>
            <w:r w:rsidRPr="004B0994">
              <w:rPr>
                <w:rFonts w:eastAsiaTheme="minorEastAsia"/>
                <w:sz w:val="20"/>
                <w:szCs w:val="20"/>
              </w:rPr>
              <w:t>P&lt;.001</w:t>
            </w:r>
          </w:p>
        </w:tc>
      </w:tr>
    </w:tbl>
    <w:bookmarkEnd w:id="0"/>
    <w:p w14:paraId="458162BF" w14:textId="77777777" w:rsidR="004B0994" w:rsidRPr="004B0994" w:rsidRDefault="004B0994" w:rsidP="004B0994">
      <w:pPr>
        <w:pStyle w:val="3"/>
        <w:tabs>
          <w:tab w:val="left" w:pos="1080"/>
        </w:tabs>
        <w:spacing w:after="0"/>
        <w:ind w:left="1080" w:hanging="1080"/>
        <w:jc w:val="both"/>
        <w:rPr>
          <w:rFonts w:ascii="Arial" w:hAnsi="Arial"/>
          <w:bCs/>
          <w:i/>
          <w:sz w:val="18"/>
          <w:lang w:eastAsia="zh-CN"/>
        </w:rPr>
      </w:pPr>
      <w:r w:rsidRPr="004B0994">
        <w:rPr>
          <w:rFonts w:ascii="Arial" w:hAnsi="Arial"/>
          <w:bCs/>
          <w:i/>
          <w:sz w:val="18"/>
          <w:lang w:eastAsia="zh-CN"/>
        </w:rPr>
        <w:t>Notes: values are expressed as Mean±SD.</w:t>
      </w:r>
    </w:p>
    <w:p w14:paraId="749FD1FD" w14:textId="77777777" w:rsidR="00376BBE" w:rsidRPr="004B0994" w:rsidRDefault="00376BBE" w:rsidP="00441B6F">
      <w:pPr>
        <w:pStyle w:val="Body"/>
        <w:spacing w:after="0"/>
        <w:rPr>
          <w:rFonts w:ascii="Arial" w:hAnsi="Arial" w:cs="Arial"/>
          <w:lang w:val="en-GB"/>
        </w:rPr>
      </w:pPr>
    </w:p>
    <w:p w14:paraId="3247DD42" w14:textId="5E20C1DC" w:rsidR="00376BBE" w:rsidRDefault="004B0994" w:rsidP="00441B6F">
      <w:pPr>
        <w:pStyle w:val="Body"/>
        <w:spacing w:after="0"/>
        <w:rPr>
          <w:rFonts w:ascii="Arial" w:hAnsi="Arial" w:cs="Arial"/>
        </w:rPr>
      </w:pPr>
      <w:r w:rsidRPr="004B0994">
        <w:rPr>
          <w:rFonts w:ascii="Arial" w:hAnsi="Arial" w:cs="Arial"/>
        </w:rPr>
        <w:t>As shown in Fig 2A and 2B, further analysis revealed that pain and discomfort scores were decreased by 73.58% (1.26±1.18) after 1 week, 79.45% (0.98±0.56) after 2 weeks, and 84.07% (0.76±0.62) after 4 weeks, and the patients showed an improvement from moderate pain to low pain or even painless. Cough scores also decreased by 81.09% (1.04±0.84) after 1 week, 86.18% (0.76±0.75) after 2 weeks and 80.18% (1.09±0.84) after 4 weeks, and the patients progressed from moderate cough to low cough, including no cough. Fatigue symptoms were alleviated after 1 week, and the scores were decreased by 65.75% (2.86±1.35) after 1 week, 60.96% (3.26±1.10) after 2 weeks, and 70.54% (2.46±1.09) after 4 weeks. There was no significant difference between 1 week, 2 weeks and 4 w</w:t>
      </w:r>
      <w:r w:rsidRPr="004B0994">
        <w:rPr>
          <w:rFonts w:ascii="Arial" w:hAnsi="Arial" w:cs="Arial" w:hint="eastAsia"/>
        </w:rPr>
        <w:t>eeks (P</w:t>
      </w:r>
      <w:r w:rsidRPr="004B0994">
        <w:rPr>
          <w:rFonts w:ascii="Arial" w:hAnsi="Arial" w:cs="Arial" w:hint="eastAsia"/>
        </w:rPr>
        <w:t>＞</w:t>
      </w:r>
      <w:r w:rsidRPr="004B0994">
        <w:rPr>
          <w:rFonts w:ascii="Arial" w:hAnsi="Arial" w:cs="Arial" w:hint="eastAsia"/>
        </w:rPr>
        <w:t>.05). All patients</w:t>
      </w:r>
      <w:r w:rsidRPr="004B0994">
        <w:rPr>
          <w:rFonts w:ascii="Arial" w:hAnsi="Arial" w:cs="Arial" w:hint="eastAsia"/>
        </w:rPr>
        <w:t>’</w:t>
      </w:r>
      <w:r w:rsidRPr="004B0994">
        <w:rPr>
          <w:rFonts w:ascii="Arial" w:hAnsi="Arial" w:cs="Arial" w:hint="eastAsia"/>
        </w:rPr>
        <w:t xml:space="preserve"> facial skin brightness (P&lt;.001) (Fig 2C) and facial expression or spirit (P&lt;.001) (Fig 2C) were improved gradually after 1</w:t>
      </w:r>
      <w:r w:rsidRPr="004B0994">
        <w:rPr>
          <w:rFonts w:ascii="Arial" w:hAnsi="Arial" w:cs="Arial" w:hint="eastAsia"/>
        </w:rPr>
        <w:t>–</w:t>
      </w:r>
      <w:r w:rsidRPr="004B0994">
        <w:rPr>
          <w:rFonts w:ascii="Arial" w:hAnsi="Arial" w:cs="Arial" w:hint="eastAsia"/>
        </w:rPr>
        <w:t>4 weeks, suggesting that HA35 may be a potential cosmetic therapeutic that warrants further clinica</w:t>
      </w:r>
      <w:r w:rsidRPr="004B0994">
        <w:rPr>
          <w:rFonts w:ascii="Arial" w:hAnsi="Arial" w:cs="Arial"/>
        </w:rPr>
        <w:t>l investigation.</w:t>
      </w:r>
    </w:p>
    <w:p w14:paraId="65AF75EC" w14:textId="77777777" w:rsidR="004B0994" w:rsidRDefault="004B0994" w:rsidP="00441B6F">
      <w:pPr>
        <w:pStyle w:val="Body"/>
        <w:spacing w:after="0"/>
        <w:rPr>
          <w:rFonts w:ascii="Arial" w:hAnsi="Arial" w:cs="Arial"/>
        </w:rPr>
      </w:pPr>
    </w:p>
    <w:p w14:paraId="09FFFAAE" w14:textId="6482E33B" w:rsidR="00927834" w:rsidRDefault="004B0994" w:rsidP="00441B6F">
      <w:pPr>
        <w:autoSpaceDE w:val="0"/>
        <w:autoSpaceDN w:val="0"/>
        <w:adjustRightInd w:val="0"/>
        <w:jc w:val="both"/>
        <w:rPr>
          <w:rFonts w:ascii="Arial" w:hAnsi="Arial" w:cs="Arial"/>
          <w:b/>
          <w:bCs/>
          <w:sz w:val="22"/>
          <w:szCs w:val="22"/>
        </w:rPr>
      </w:pPr>
      <w:r>
        <w:rPr>
          <w:noProof/>
        </w:rPr>
        <w:lastRenderedPageBreak/>
        <w:drawing>
          <wp:inline distT="0" distB="0" distL="0" distR="0" wp14:anchorId="0C543B3C" wp14:editId="6F82ACC5">
            <wp:extent cx="5212080" cy="3512029"/>
            <wp:effectExtent l="0" t="0" r="0" b="0"/>
            <wp:docPr id="1469990106"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90106" name="图片 2" descr="图表&#10;&#10;描述已自动生成"/>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12080" cy="3512029"/>
                    </a:xfrm>
                    <a:prstGeom prst="rect">
                      <a:avLst/>
                    </a:prstGeom>
                  </pic:spPr>
                </pic:pic>
              </a:graphicData>
            </a:graphic>
          </wp:inline>
        </w:drawing>
      </w:r>
    </w:p>
    <w:p w14:paraId="3C40A68D" w14:textId="77777777" w:rsidR="00927834" w:rsidRDefault="00927834" w:rsidP="00441B6F">
      <w:pPr>
        <w:autoSpaceDE w:val="0"/>
        <w:autoSpaceDN w:val="0"/>
        <w:adjustRightInd w:val="0"/>
        <w:jc w:val="both"/>
        <w:rPr>
          <w:rFonts w:ascii="Arial" w:hAnsi="Arial" w:cs="Arial"/>
          <w:b/>
          <w:bCs/>
          <w:szCs w:val="22"/>
        </w:rPr>
      </w:pPr>
    </w:p>
    <w:p w14:paraId="174231B0" w14:textId="180AA26D" w:rsidR="00927834" w:rsidRPr="008247A6" w:rsidRDefault="009E048A" w:rsidP="00441B6F">
      <w:pPr>
        <w:autoSpaceDE w:val="0"/>
        <w:autoSpaceDN w:val="0"/>
        <w:adjustRightInd w:val="0"/>
        <w:jc w:val="both"/>
        <w:rPr>
          <w:rFonts w:ascii="Arial" w:hAnsi="Arial" w:cs="Arial"/>
          <w:b/>
          <w:bCs/>
          <w:szCs w:val="22"/>
        </w:rPr>
      </w:pPr>
      <w:r>
        <w:rPr>
          <w:rFonts w:ascii="Arial" w:hAnsi="Arial" w:cs="Arial"/>
          <w:b/>
          <w:bCs/>
          <w:szCs w:val="22"/>
        </w:rPr>
        <w:t>Fig.</w:t>
      </w:r>
      <w:r w:rsidR="00927834" w:rsidRPr="008247A6">
        <w:rPr>
          <w:rFonts w:ascii="Arial" w:hAnsi="Arial" w:cs="Arial"/>
          <w:b/>
          <w:bCs/>
          <w:szCs w:val="22"/>
        </w:rPr>
        <w:t xml:space="preserve"> </w:t>
      </w:r>
      <w:r w:rsidR="002F4E65">
        <w:rPr>
          <w:rFonts w:ascii="Arial" w:hAnsi="Arial" w:cs="Arial" w:hint="eastAsia"/>
          <w:b/>
          <w:bCs/>
          <w:szCs w:val="22"/>
          <w:lang w:eastAsia="zh-CN"/>
        </w:rPr>
        <w:t>2</w:t>
      </w:r>
      <w:r>
        <w:rPr>
          <w:rFonts w:ascii="Arial" w:hAnsi="Arial" w:cs="Arial"/>
          <w:b/>
          <w:bCs/>
          <w:szCs w:val="22"/>
        </w:rPr>
        <w:t>.</w:t>
      </w:r>
      <w:r w:rsidR="00927834" w:rsidRPr="008247A6">
        <w:rPr>
          <w:rFonts w:ascii="Arial" w:hAnsi="Arial" w:cs="Arial"/>
          <w:b/>
          <w:bCs/>
          <w:szCs w:val="22"/>
        </w:rPr>
        <w:t xml:space="preserve"> </w:t>
      </w:r>
      <w:r w:rsidR="004B0994" w:rsidRPr="004B0994">
        <w:rPr>
          <w:rFonts w:ascii="Arial" w:hAnsi="Arial" w:cs="Arial"/>
          <w:b/>
          <w:bCs/>
          <w:szCs w:val="22"/>
        </w:rPr>
        <w:t>Advanced lung cancer symptom score and remission rate (%)</w:t>
      </w:r>
    </w:p>
    <w:p w14:paraId="06BB69A7" w14:textId="77777777" w:rsidR="00863BD3" w:rsidRPr="00FB3A86" w:rsidRDefault="00863BD3" w:rsidP="00441B6F">
      <w:pPr>
        <w:pStyle w:val="Body"/>
        <w:spacing w:after="0"/>
        <w:rPr>
          <w:rFonts w:ascii="Arial" w:hAnsi="Arial" w:cs="Arial"/>
        </w:rPr>
      </w:pPr>
    </w:p>
    <w:p w14:paraId="5ED0E9A2" w14:textId="20F5DE08" w:rsidR="00C30A0F" w:rsidRDefault="00C30A0F" w:rsidP="00441B6F">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sidR="002F4E65">
        <w:rPr>
          <w:rFonts w:ascii="Arial" w:hAnsi="Arial" w:cs="Arial" w:hint="eastAsia"/>
          <w:b/>
          <w:caps/>
          <w:sz w:val="22"/>
          <w:lang w:eastAsia="zh-CN"/>
        </w:rPr>
        <w:t>3</w:t>
      </w:r>
      <w:r w:rsidRPr="00C30A0F">
        <w:rPr>
          <w:rFonts w:ascii="Arial" w:hAnsi="Arial" w:cs="Arial"/>
          <w:b/>
          <w:caps/>
          <w:sz w:val="22"/>
        </w:rPr>
        <w:t xml:space="preserve"> </w:t>
      </w:r>
      <w:r w:rsidR="002F4E65" w:rsidRPr="002F4E65">
        <w:rPr>
          <w:rFonts w:ascii="Arial" w:hAnsi="Arial" w:cs="Arial"/>
          <w:b/>
          <w:sz w:val="22"/>
        </w:rPr>
        <w:t>Secondary outcome-Chest CT analysis</w:t>
      </w:r>
      <w:r w:rsidRPr="00FB3A86">
        <w:rPr>
          <w:rFonts w:ascii="Arial" w:hAnsi="Arial" w:cs="Arial"/>
        </w:rPr>
        <w:t xml:space="preserve"> </w:t>
      </w:r>
    </w:p>
    <w:p w14:paraId="176622FF" w14:textId="77777777" w:rsidR="00F82DCD" w:rsidRDefault="00F82DCD" w:rsidP="00441B6F">
      <w:pPr>
        <w:pStyle w:val="Body"/>
        <w:spacing w:after="0"/>
        <w:rPr>
          <w:rFonts w:ascii="Arial" w:hAnsi="Arial" w:cs="Arial"/>
        </w:rPr>
      </w:pPr>
    </w:p>
    <w:p w14:paraId="0F9FCE03" w14:textId="705643C2" w:rsidR="00505F06" w:rsidRDefault="002F4E65" w:rsidP="00441B6F">
      <w:pPr>
        <w:pStyle w:val="Body"/>
        <w:spacing w:after="0"/>
        <w:rPr>
          <w:rFonts w:ascii="Arial" w:hAnsi="Arial" w:cs="Arial"/>
        </w:rPr>
      </w:pPr>
      <w:r w:rsidRPr="002F4E65">
        <w:rPr>
          <w:rFonts w:ascii="Arial" w:hAnsi="Arial" w:cs="Arial" w:hint="eastAsia"/>
        </w:rPr>
        <w:t xml:space="preserve">According to the results of chest CT, the relative tumor proliferation rate of all patients was </w:t>
      </w:r>
      <w:r w:rsidRPr="002F4E65">
        <w:rPr>
          <w:rFonts w:ascii="Arial" w:hAnsi="Arial" w:cs="Arial" w:hint="eastAsia"/>
        </w:rPr>
        <w:t>≤</w:t>
      </w:r>
      <w:r w:rsidRPr="002F4E65">
        <w:rPr>
          <w:rFonts w:ascii="Arial" w:hAnsi="Arial" w:cs="Arial" w:hint="eastAsia"/>
        </w:rPr>
        <w:t>43%, which is the minimum level for antitumor activity according to National Cancer Institute standards (Fig 3)</w:t>
      </w:r>
      <w:r w:rsidR="00F82DCD">
        <w:rPr>
          <w:rFonts w:ascii="Arial" w:hAnsi="Arial" w:cs="Arial" w:hint="eastAsia"/>
          <w:lang w:eastAsia="zh-CN"/>
        </w:rPr>
        <w:t xml:space="preserve"> </w:t>
      </w:r>
      <w:r w:rsidRPr="002F4E65">
        <w:rPr>
          <w:rFonts w:ascii="Arial" w:hAnsi="Arial" w:cs="Arial" w:hint="eastAsia"/>
        </w:rPr>
        <w:t>[32]</w:t>
      </w:r>
      <w:r w:rsidR="00F82DCD">
        <w:rPr>
          <w:rFonts w:ascii="Arial" w:hAnsi="Arial" w:cs="Arial" w:hint="eastAsia"/>
          <w:lang w:eastAsia="zh-CN"/>
        </w:rPr>
        <w:t>.</w:t>
      </w:r>
      <w:r w:rsidRPr="002F4E65">
        <w:rPr>
          <w:rFonts w:ascii="Arial" w:hAnsi="Arial" w:cs="Arial" w:hint="eastAsia"/>
        </w:rPr>
        <w:t xml:space="preserve"> This finding indicated that the lung tu</w:t>
      </w:r>
      <w:r w:rsidRPr="002F4E65">
        <w:rPr>
          <w:rFonts w:ascii="Arial" w:hAnsi="Arial" w:cs="Arial"/>
        </w:rPr>
        <w:t>mor masses of all patients did not significantly progress at the end of treatment, suggesting that HA35 injection may exert antitumor activity. The modified version TSQM 1.4 overall satisfaction scores after treatment is shown in Table 3. Overall satisfaction  increased from 6.60±1.58 to 7.90±1.10 (P&lt;.001). Significant changes in overall scores were observed for relieve of pain, physical functioning, social functioning, and fatigue at the end of treatment. However, short-time treatment also got a high patients satification.</w:t>
      </w:r>
    </w:p>
    <w:p w14:paraId="30AC58A0" w14:textId="77777777" w:rsidR="00E053D0" w:rsidRDefault="00E053D0" w:rsidP="00441B6F">
      <w:pPr>
        <w:pStyle w:val="Body"/>
        <w:spacing w:after="0"/>
        <w:rPr>
          <w:rFonts w:ascii="Arial" w:hAnsi="Arial" w:cs="Arial"/>
          <w:lang w:eastAsia="zh-CN"/>
        </w:rPr>
      </w:pPr>
    </w:p>
    <w:p w14:paraId="6FB48F6A" w14:textId="7BAA57DC" w:rsidR="002F4E65" w:rsidRDefault="002F4E65" w:rsidP="002F4E65">
      <w:pPr>
        <w:pStyle w:val="Body"/>
        <w:spacing w:after="0"/>
        <w:jc w:val="center"/>
        <w:rPr>
          <w:rFonts w:ascii="Arial" w:hAnsi="Arial" w:cs="Arial"/>
          <w:lang w:eastAsia="zh-CN"/>
        </w:rPr>
      </w:pPr>
      <w:r>
        <w:rPr>
          <w:noProof/>
        </w:rPr>
        <w:drawing>
          <wp:inline distT="0" distB="0" distL="0" distR="0" wp14:anchorId="50F9997E" wp14:editId="76224215">
            <wp:extent cx="3752850" cy="2441003"/>
            <wp:effectExtent l="0" t="0" r="0" b="0"/>
            <wp:docPr id="1989536653" name="图片 3"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536653" name="图片 3" descr="图片包含 游戏机&#10;&#10;描述已自动生成"/>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760852" cy="2446208"/>
                    </a:xfrm>
                    <a:prstGeom prst="rect">
                      <a:avLst/>
                    </a:prstGeom>
                  </pic:spPr>
                </pic:pic>
              </a:graphicData>
            </a:graphic>
          </wp:inline>
        </w:drawing>
      </w:r>
    </w:p>
    <w:p w14:paraId="57D7E495" w14:textId="7AD592B8" w:rsidR="002F4E65" w:rsidRPr="008247A6" w:rsidRDefault="002F4E65" w:rsidP="002F4E65">
      <w:pPr>
        <w:autoSpaceDE w:val="0"/>
        <w:autoSpaceDN w:val="0"/>
        <w:adjustRightInd w:val="0"/>
        <w:jc w:val="both"/>
        <w:rPr>
          <w:rFonts w:ascii="Arial" w:hAnsi="Arial" w:cs="Arial"/>
          <w:b/>
          <w:bCs/>
          <w:szCs w:val="22"/>
        </w:rPr>
      </w:pPr>
      <w:r>
        <w:rPr>
          <w:rFonts w:ascii="Arial" w:hAnsi="Arial" w:cs="Arial"/>
          <w:b/>
          <w:bCs/>
          <w:szCs w:val="22"/>
        </w:rPr>
        <w:t>Fig.</w:t>
      </w:r>
      <w:r w:rsidRPr="008247A6">
        <w:rPr>
          <w:rFonts w:ascii="Arial" w:hAnsi="Arial" w:cs="Arial"/>
          <w:b/>
          <w:bCs/>
          <w:szCs w:val="22"/>
        </w:rPr>
        <w:t xml:space="preserve"> </w:t>
      </w:r>
      <w:r w:rsidR="00BE4ECE">
        <w:rPr>
          <w:rFonts w:ascii="Arial" w:hAnsi="Arial" w:cs="Arial" w:hint="eastAsia"/>
          <w:b/>
          <w:bCs/>
          <w:szCs w:val="22"/>
          <w:lang w:eastAsia="zh-CN"/>
        </w:rPr>
        <w:t>3</w:t>
      </w:r>
      <w:r>
        <w:rPr>
          <w:rFonts w:ascii="Arial" w:hAnsi="Arial" w:cs="Arial"/>
          <w:b/>
          <w:bCs/>
          <w:szCs w:val="22"/>
        </w:rPr>
        <w:t>.</w:t>
      </w:r>
      <w:r w:rsidRPr="008247A6">
        <w:rPr>
          <w:rFonts w:ascii="Arial" w:hAnsi="Arial" w:cs="Arial"/>
          <w:b/>
          <w:bCs/>
          <w:szCs w:val="22"/>
        </w:rPr>
        <w:t xml:space="preserve"> </w:t>
      </w:r>
      <w:r w:rsidRPr="002F4E65">
        <w:rPr>
          <w:rFonts w:ascii="Arial" w:hAnsi="Arial" w:cs="Arial"/>
          <w:b/>
          <w:bCs/>
          <w:szCs w:val="22"/>
        </w:rPr>
        <w:t>Analysis of the relative tumor proliferation rate with chest CT</w:t>
      </w:r>
    </w:p>
    <w:p w14:paraId="329E594E" w14:textId="77777777" w:rsidR="00BE4ECE" w:rsidRDefault="00BE4ECE" w:rsidP="00BE4ECE">
      <w:pPr>
        <w:tabs>
          <w:tab w:val="left" w:pos="1080"/>
        </w:tabs>
        <w:jc w:val="both"/>
        <w:rPr>
          <w:rFonts w:ascii="Arial" w:hAnsi="Arial"/>
          <w:b/>
        </w:rPr>
      </w:pPr>
    </w:p>
    <w:p w14:paraId="542093BC" w14:textId="32598A02" w:rsidR="00BE4ECE" w:rsidRPr="00BE4ECE" w:rsidRDefault="00BE4ECE" w:rsidP="00BE4ECE">
      <w:pPr>
        <w:tabs>
          <w:tab w:val="left" w:pos="1080"/>
        </w:tabs>
        <w:jc w:val="both"/>
        <w:rPr>
          <w:rFonts w:ascii="Arial" w:hAnsi="Arial"/>
          <w:b/>
        </w:rPr>
      </w:pPr>
      <w:r w:rsidRPr="00BE4ECE">
        <w:rPr>
          <w:rFonts w:ascii="Arial" w:hAnsi="Arial"/>
          <w:b/>
        </w:rPr>
        <w:t>Table 3. Overall Satisfaction Score after Treatment</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173"/>
        <w:gridCol w:w="2500"/>
        <w:gridCol w:w="2558"/>
      </w:tblGrid>
      <w:tr w:rsidR="00BE4ECE" w:rsidRPr="00BE4ECE" w14:paraId="0E7EFCBC" w14:textId="77777777" w:rsidTr="00436B22">
        <w:trPr>
          <w:jc w:val="center"/>
        </w:trPr>
        <w:tc>
          <w:tcPr>
            <w:tcW w:w="3441" w:type="dxa"/>
            <w:gridSpan w:val="2"/>
            <w:tcBorders>
              <w:top w:val="single" w:sz="4" w:space="0" w:color="auto"/>
              <w:bottom w:val="single" w:sz="4" w:space="0" w:color="auto"/>
            </w:tcBorders>
          </w:tcPr>
          <w:p w14:paraId="00D0777B" w14:textId="77777777" w:rsidR="00BE4ECE" w:rsidRPr="00BE4ECE" w:rsidRDefault="00BE4ECE" w:rsidP="00BE4ECE">
            <w:pPr>
              <w:jc w:val="center"/>
              <w:rPr>
                <w:rFonts w:eastAsiaTheme="minorEastAsia"/>
                <w:b/>
                <w:bCs/>
                <w:sz w:val="20"/>
                <w:szCs w:val="20"/>
              </w:rPr>
            </w:pPr>
            <w:r w:rsidRPr="00BE4ECE">
              <w:rPr>
                <w:rFonts w:eastAsiaTheme="minorEastAsia"/>
                <w:b/>
                <w:bCs/>
                <w:sz w:val="20"/>
                <w:szCs w:val="20"/>
              </w:rPr>
              <w:t>Index</w:t>
            </w:r>
          </w:p>
        </w:tc>
        <w:tc>
          <w:tcPr>
            <w:tcW w:w="2500" w:type="dxa"/>
            <w:tcBorders>
              <w:top w:val="single" w:sz="4" w:space="0" w:color="auto"/>
              <w:bottom w:val="single" w:sz="4" w:space="0" w:color="auto"/>
            </w:tcBorders>
          </w:tcPr>
          <w:p w14:paraId="5884578A" w14:textId="77777777" w:rsidR="00BE4ECE" w:rsidRPr="00BE4ECE" w:rsidRDefault="00BE4ECE" w:rsidP="00BE4ECE">
            <w:pPr>
              <w:jc w:val="center"/>
              <w:rPr>
                <w:rFonts w:eastAsiaTheme="minorEastAsia"/>
                <w:b/>
                <w:bCs/>
                <w:sz w:val="20"/>
                <w:szCs w:val="20"/>
              </w:rPr>
            </w:pPr>
            <w:r w:rsidRPr="00BE4ECE">
              <w:rPr>
                <w:rFonts w:eastAsiaTheme="minorEastAsia"/>
                <w:b/>
                <w:bCs/>
                <w:sz w:val="20"/>
                <w:szCs w:val="20"/>
              </w:rPr>
              <w:t>Overall satisfaction of treatment for 4 weeks</w:t>
            </w:r>
          </w:p>
        </w:tc>
        <w:tc>
          <w:tcPr>
            <w:tcW w:w="2558" w:type="dxa"/>
            <w:tcBorders>
              <w:top w:val="single" w:sz="4" w:space="0" w:color="auto"/>
              <w:bottom w:val="single" w:sz="4" w:space="0" w:color="auto"/>
            </w:tcBorders>
          </w:tcPr>
          <w:p w14:paraId="681F2944" w14:textId="77777777" w:rsidR="00BE4ECE" w:rsidRPr="00BE4ECE" w:rsidRDefault="00BE4ECE" w:rsidP="00BE4ECE">
            <w:pPr>
              <w:jc w:val="center"/>
              <w:rPr>
                <w:rFonts w:eastAsiaTheme="minorEastAsia"/>
                <w:b/>
                <w:bCs/>
                <w:sz w:val="20"/>
                <w:szCs w:val="20"/>
              </w:rPr>
            </w:pPr>
            <w:r w:rsidRPr="00BE4ECE">
              <w:rPr>
                <w:rFonts w:eastAsiaTheme="minorEastAsia"/>
                <w:b/>
                <w:bCs/>
                <w:sz w:val="20"/>
                <w:szCs w:val="20"/>
              </w:rPr>
              <w:t>Overall satisfaction of end of treatment</w:t>
            </w:r>
          </w:p>
        </w:tc>
      </w:tr>
      <w:tr w:rsidR="00BE4ECE" w:rsidRPr="00BE4ECE" w14:paraId="55CADD1F" w14:textId="77777777" w:rsidTr="00436B22">
        <w:trPr>
          <w:jc w:val="center"/>
        </w:trPr>
        <w:tc>
          <w:tcPr>
            <w:tcW w:w="3441" w:type="dxa"/>
            <w:gridSpan w:val="2"/>
            <w:tcBorders>
              <w:top w:val="single" w:sz="4" w:space="0" w:color="auto"/>
            </w:tcBorders>
            <w:vAlign w:val="center"/>
          </w:tcPr>
          <w:p w14:paraId="38B26268" w14:textId="77777777" w:rsidR="00BE4ECE" w:rsidRPr="00BE4ECE" w:rsidRDefault="00BE4ECE" w:rsidP="00BE4ECE">
            <w:pPr>
              <w:jc w:val="both"/>
              <w:rPr>
                <w:rFonts w:eastAsiaTheme="minorEastAsia"/>
                <w:sz w:val="20"/>
                <w:szCs w:val="20"/>
              </w:rPr>
            </w:pPr>
            <w:r w:rsidRPr="00BE4ECE">
              <w:rPr>
                <w:rFonts w:eastAsiaTheme="minorEastAsia"/>
                <w:sz w:val="20"/>
                <w:szCs w:val="20"/>
              </w:rPr>
              <w:t>Mean± SD</w:t>
            </w:r>
          </w:p>
        </w:tc>
        <w:tc>
          <w:tcPr>
            <w:tcW w:w="2500" w:type="dxa"/>
            <w:tcBorders>
              <w:top w:val="single" w:sz="4" w:space="0" w:color="auto"/>
            </w:tcBorders>
          </w:tcPr>
          <w:p w14:paraId="2E760CC5" w14:textId="77777777" w:rsidR="00BE4ECE" w:rsidRPr="00BE4ECE" w:rsidRDefault="00BE4ECE" w:rsidP="00BE4ECE">
            <w:pPr>
              <w:jc w:val="center"/>
              <w:rPr>
                <w:rFonts w:eastAsiaTheme="minorEastAsia"/>
                <w:sz w:val="20"/>
                <w:szCs w:val="20"/>
              </w:rPr>
            </w:pPr>
            <w:r w:rsidRPr="00BE4ECE">
              <w:rPr>
                <w:rFonts w:eastAsiaTheme="minorEastAsia"/>
                <w:sz w:val="20"/>
                <w:szCs w:val="20"/>
              </w:rPr>
              <w:t>6.60±1.58</w:t>
            </w:r>
          </w:p>
        </w:tc>
        <w:tc>
          <w:tcPr>
            <w:tcW w:w="2558" w:type="dxa"/>
            <w:tcBorders>
              <w:top w:val="single" w:sz="4" w:space="0" w:color="auto"/>
            </w:tcBorders>
          </w:tcPr>
          <w:p w14:paraId="01D4A502" w14:textId="77777777" w:rsidR="00BE4ECE" w:rsidRPr="00BE4ECE" w:rsidRDefault="00BE4ECE" w:rsidP="00BE4ECE">
            <w:pPr>
              <w:jc w:val="center"/>
              <w:rPr>
                <w:rFonts w:eastAsiaTheme="minorEastAsia"/>
                <w:sz w:val="20"/>
                <w:szCs w:val="20"/>
              </w:rPr>
            </w:pPr>
            <w:r w:rsidRPr="00BE4ECE">
              <w:rPr>
                <w:rFonts w:eastAsiaTheme="minorEastAsia"/>
                <w:sz w:val="20"/>
                <w:szCs w:val="20"/>
              </w:rPr>
              <w:t>7.90±1.10</w:t>
            </w:r>
          </w:p>
        </w:tc>
      </w:tr>
      <w:tr w:rsidR="00BE4ECE" w:rsidRPr="00BE4ECE" w14:paraId="409EABB2" w14:textId="77777777" w:rsidTr="00436B22">
        <w:trPr>
          <w:jc w:val="center"/>
        </w:trPr>
        <w:tc>
          <w:tcPr>
            <w:tcW w:w="3441" w:type="dxa"/>
            <w:gridSpan w:val="2"/>
            <w:vAlign w:val="center"/>
          </w:tcPr>
          <w:p w14:paraId="6291CC39" w14:textId="77777777" w:rsidR="00BE4ECE" w:rsidRPr="00BE4ECE" w:rsidRDefault="00BE4ECE" w:rsidP="00BE4ECE">
            <w:pPr>
              <w:jc w:val="both"/>
              <w:rPr>
                <w:rFonts w:eastAsiaTheme="minorEastAsia"/>
                <w:sz w:val="20"/>
                <w:szCs w:val="20"/>
              </w:rPr>
            </w:pPr>
            <w:r w:rsidRPr="00BE4ECE">
              <w:rPr>
                <w:rFonts w:eastAsiaTheme="minorEastAsia"/>
                <w:sz w:val="20"/>
                <w:szCs w:val="20"/>
              </w:rPr>
              <w:t>Median</w:t>
            </w:r>
          </w:p>
        </w:tc>
        <w:tc>
          <w:tcPr>
            <w:tcW w:w="2500" w:type="dxa"/>
          </w:tcPr>
          <w:p w14:paraId="0E548F03" w14:textId="77777777" w:rsidR="00BE4ECE" w:rsidRPr="00BE4ECE" w:rsidRDefault="00BE4ECE" w:rsidP="00BE4ECE">
            <w:pPr>
              <w:jc w:val="center"/>
              <w:rPr>
                <w:rFonts w:eastAsiaTheme="minorEastAsia"/>
                <w:sz w:val="20"/>
                <w:szCs w:val="20"/>
              </w:rPr>
            </w:pPr>
            <w:r w:rsidRPr="00BE4ECE">
              <w:rPr>
                <w:rFonts w:eastAsiaTheme="minorEastAsia"/>
                <w:sz w:val="20"/>
                <w:szCs w:val="20"/>
              </w:rPr>
              <w:t>7.00</w:t>
            </w:r>
          </w:p>
        </w:tc>
        <w:tc>
          <w:tcPr>
            <w:tcW w:w="2558" w:type="dxa"/>
          </w:tcPr>
          <w:p w14:paraId="5CFF1392" w14:textId="77777777" w:rsidR="00BE4ECE" w:rsidRPr="00BE4ECE" w:rsidRDefault="00BE4ECE" w:rsidP="00BE4ECE">
            <w:pPr>
              <w:jc w:val="center"/>
              <w:rPr>
                <w:rFonts w:eastAsiaTheme="minorEastAsia"/>
                <w:sz w:val="20"/>
                <w:szCs w:val="20"/>
              </w:rPr>
            </w:pPr>
            <w:r w:rsidRPr="00BE4ECE">
              <w:rPr>
                <w:rFonts w:eastAsiaTheme="minorEastAsia"/>
                <w:sz w:val="20"/>
                <w:szCs w:val="20"/>
              </w:rPr>
              <w:t>8.00</w:t>
            </w:r>
          </w:p>
        </w:tc>
      </w:tr>
      <w:tr w:rsidR="00BE4ECE" w:rsidRPr="00BE4ECE" w14:paraId="5DE633BA" w14:textId="77777777" w:rsidTr="00436B22">
        <w:trPr>
          <w:jc w:val="center"/>
        </w:trPr>
        <w:tc>
          <w:tcPr>
            <w:tcW w:w="3441" w:type="dxa"/>
            <w:gridSpan w:val="2"/>
            <w:vAlign w:val="center"/>
          </w:tcPr>
          <w:p w14:paraId="222D9578" w14:textId="77777777" w:rsidR="00BE4ECE" w:rsidRPr="00BE4ECE" w:rsidRDefault="00BE4ECE" w:rsidP="00BE4ECE">
            <w:pPr>
              <w:jc w:val="both"/>
              <w:rPr>
                <w:rFonts w:eastAsiaTheme="minorEastAsia"/>
                <w:sz w:val="20"/>
                <w:szCs w:val="20"/>
              </w:rPr>
            </w:pPr>
            <w:r w:rsidRPr="00BE4ECE">
              <w:rPr>
                <w:rFonts w:eastAsiaTheme="minorEastAsia"/>
                <w:sz w:val="20"/>
                <w:szCs w:val="20"/>
              </w:rPr>
              <w:t>Range</w:t>
            </w:r>
          </w:p>
        </w:tc>
        <w:tc>
          <w:tcPr>
            <w:tcW w:w="2500" w:type="dxa"/>
          </w:tcPr>
          <w:p w14:paraId="49CBF336" w14:textId="77777777" w:rsidR="00BE4ECE" w:rsidRPr="00BE4ECE" w:rsidRDefault="00BE4ECE" w:rsidP="00BE4ECE">
            <w:pPr>
              <w:jc w:val="center"/>
              <w:rPr>
                <w:rFonts w:eastAsiaTheme="minorEastAsia"/>
                <w:sz w:val="20"/>
                <w:szCs w:val="20"/>
              </w:rPr>
            </w:pPr>
            <w:r w:rsidRPr="00BE4ECE">
              <w:rPr>
                <w:rFonts w:eastAsiaTheme="minorEastAsia"/>
                <w:sz w:val="20"/>
                <w:szCs w:val="20"/>
              </w:rPr>
              <w:t>4-9</w:t>
            </w:r>
          </w:p>
        </w:tc>
        <w:tc>
          <w:tcPr>
            <w:tcW w:w="2558" w:type="dxa"/>
          </w:tcPr>
          <w:p w14:paraId="303E378F" w14:textId="77777777" w:rsidR="00BE4ECE" w:rsidRPr="00BE4ECE" w:rsidRDefault="00BE4ECE" w:rsidP="00BE4ECE">
            <w:pPr>
              <w:jc w:val="center"/>
              <w:rPr>
                <w:rFonts w:eastAsiaTheme="minorEastAsia"/>
                <w:sz w:val="20"/>
                <w:szCs w:val="20"/>
              </w:rPr>
            </w:pPr>
            <w:r w:rsidRPr="00BE4ECE">
              <w:rPr>
                <w:rFonts w:eastAsiaTheme="minorEastAsia"/>
                <w:sz w:val="20"/>
                <w:szCs w:val="20"/>
              </w:rPr>
              <w:t>6-9</w:t>
            </w:r>
          </w:p>
        </w:tc>
      </w:tr>
      <w:tr w:rsidR="00BE4ECE" w:rsidRPr="00BE4ECE" w14:paraId="3B9599F8" w14:textId="77777777" w:rsidTr="00436B22">
        <w:trPr>
          <w:jc w:val="center"/>
        </w:trPr>
        <w:tc>
          <w:tcPr>
            <w:tcW w:w="2268" w:type="dxa"/>
            <w:vMerge w:val="restart"/>
            <w:vAlign w:val="center"/>
          </w:tcPr>
          <w:p w14:paraId="635B4B0C" w14:textId="77777777" w:rsidR="00BE4ECE" w:rsidRPr="00BE4ECE" w:rsidRDefault="00BE4ECE" w:rsidP="00BE4ECE">
            <w:pPr>
              <w:jc w:val="both"/>
              <w:rPr>
                <w:rFonts w:eastAsiaTheme="minorEastAsia"/>
                <w:sz w:val="20"/>
                <w:szCs w:val="20"/>
              </w:rPr>
            </w:pPr>
            <w:r w:rsidRPr="00BE4ECE">
              <w:rPr>
                <w:rFonts w:eastAsiaTheme="minorEastAsia"/>
                <w:sz w:val="20"/>
                <w:szCs w:val="20"/>
              </w:rPr>
              <w:t>The patients number of score range, n(%)</w:t>
            </w:r>
          </w:p>
        </w:tc>
        <w:tc>
          <w:tcPr>
            <w:tcW w:w="1173" w:type="dxa"/>
          </w:tcPr>
          <w:p w14:paraId="405AFB74" w14:textId="77777777" w:rsidR="00BE4ECE" w:rsidRPr="00BE4ECE" w:rsidRDefault="00BE4ECE" w:rsidP="00BE4ECE">
            <w:pPr>
              <w:jc w:val="center"/>
              <w:rPr>
                <w:rFonts w:eastAsiaTheme="minorEastAsia"/>
                <w:sz w:val="20"/>
                <w:szCs w:val="20"/>
              </w:rPr>
            </w:pPr>
            <w:r w:rsidRPr="00BE4ECE">
              <w:rPr>
                <w:rFonts w:eastAsiaTheme="minorEastAsia"/>
                <w:sz w:val="20"/>
                <w:szCs w:val="20"/>
              </w:rPr>
              <w:t>0</w:t>
            </w:r>
          </w:p>
        </w:tc>
        <w:tc>
          <w:tcPr>
            <w:tcW w:w="2500" w:type="dxa"/>
          </w:tcPr>
          <w:p w14:paraId="7D6D60C9" w14:textId="77777777" w:rsidR="00BE4ECE" w:rsidRPr="00BE4ECE" w:rsidRDefault="00BE4ECE" w:rsidP="00BE4ECE">
            <w:pPr>
              <w:jc w:val="center"/>
              <w:rPr>
                <w:rFonts w:eastAsiaTheme="minorEastAsia"/>
                <w:sz w:val="20"/>
                <w:szCs w:val="20"/>
              </w:rPr>
            </w:pPr>
            <w:r w:rsidRPr="00BE4ECE">
              <w:rPr>
                <w:rFonts w:eastAsiaTheme="minorEastAsia"/>
                <w:sz w:val="20"/>
                <w:szCs w:val="20"/>
              </w:rPr>
              <w:t>0 (0)</w:t>
            </w:r>
          </w:p>
        </w:tc>
        <w:tc>
          <w:tcPr>
            <w:tcW w:w="2558" w:type="dxa"/>
          </w:tcPr>
          <w:p w14:paraId="68270271" w14:textId="77777777" w:rsidR="00BE4ECE" w:rsidRPr="00BE4ECE" w:rsidRDefault="00BE4ECE" w:rsidP="00BE4ECE">
            <w:pPr>
              <w:jc w:val="center"/>
              <w:rPr>
                <w:rFonts w:eastAsiaTheme="minorEastAsia"/>
                <w:sz w:val="20"/>
                <w:szCs w:val="20"/>
              </w:rPr>
            </w:pPr>
            <w:r w:rsidRPr="00BE4ECE">
              <w:rPr>
                <w:rFonts w:eastAsiaTheme="minorEastAsia"/>
                <w:sz w:val="20"/>
                <w:szCs w:val="20"/>
              </w:rPr>
              <w:t>0 (0)</w:t>
            </w:r>
          </w:p>
        </w:tc>
      </w:tr>
      <w:tr w:rsidR="00BE4ECE" w:rsidRPr="00BE4ECE" w14:paraId="372C7B28" w14:textId="77777777" w:rsidTr="00436B22">
        <w:trPr>
          <w:jc w:val="center"/>
        </w:trPr>
        <w:tc>
          <w:tcPr>
            <w:tcW w:w="2268" w:type="dxa"/>
            <w:vMerge/>
          </w:tcPr>
          <w:p w14:paraId="75408EAA" w14:textId="77777777" w:rsidR="00BE4ECE" w:rsidRPr="00BE4ECE" w:rsidRDefault="00BE4ECE" w:rsidP="00BE4ECE">
            <w:pPr>
              <w:jc w:val="both"/>
              <w:rPr>
                <w:rFonts w:eastAsiaTheme="minorEastAsia"/>
                <w:sz w:val="20"/>
                <w:szCs w:val="20"/>
              </w:rPr>
            </w:pPr>
          </w:p>
        </w:tc>
        <w:tc>
          <w:tcPr>
            <w:tcW w:w="1173" w:type="dxa"/>
          </w:tcPr>
          <w:p w14:paraId="48AE0C37" w14:textId="77777777" w:rsidR="00BE4ECE" w:rsidRPr="00BE4ECE" w:rsidRDefault="00BE4ECE" w:rsidP="00BE4ECE">
            <w:pPr>
              <w:jc w:val="center"/>
              <w:rPr>
                <w:rFonts w:eastAsiaTheme="minorEastAsia"/>
                <w:sz w:val="20"/>
                <w:szCs w:val="20"/>
              </w:rPr>
            </w:pPr>
            <w:r w:rsidRPr="00BE4ECE">
              <w:rPr>
                <w:rFonts w:eastAsiaTheme="minorEastAsia"/>
                <w:sz w:val="20"/>
                <w:szCs w:val="20"/>
              </w:rPr>
              <w:t>1-3</w:t>
            </w:r>
          </w:p>
        </w:tc>
        <w:tc>
          <w:tcPr>
            <w:tcW w:w="2500" w:type="dxa"/>
          </w:tcPr>
          <w:p w14:paraId="58176894" w14:textId="77777777" w:rsidR="00BE4ECE" w:rsidRPr="00BE4ECE" w:rsidRDefault="00BE4ECE" w:rsidP="00BE4ECE">
            <w:pPr>
              <w:jc w:val="center"/>
              <w:rPr>
                <w:rFonts w:eastAsiaTheme="minorEastAsia"/>
                <w:sz w:val="20"/>
                <w:szCs w:val="20"/>
              </w:rPr>
            </w:pPr>
            <w:r w:rsidRPr="00BE4ECE">
              <w:rPr>
                <w:rFonts w:eastAsiaTheme="minorEastAsia"/>
                <w:sz w:val="20"/>
                <w:szCs w:val="20"/>
              </w:rPr>
              <w:t>0 (0)</w:t>
            </w:r>
          </w:p>
        </w:tc>
        <w:tc>
          <w:tcPr>
            <w:tcW w:w="2558" w:type="dxa"/>
          </w:tcPr>
          <w:p w14:paraId="1513E45D" w14:textId="77777777" w:rsidR="00BE4ECE" w:rsidRPr="00BE4ECE" w:rsidRDefault="00BE4ECE" w:rsidP="00BE4ECE">
            <w:pPr>
              <w:jc w:val="center"/>
              <w:rPr>
                <w:rFonts w:eastAsiaTheme="minorEastAsia"/>
                <w:sz w:val="20"/>
                <w:szCs w:val="20"/>
              </w:rPr>
            </w:pPr>
            <w:r w:rsidRPr="00BE4ECE">
              <w:rPr>
                <w:rFonts w:eastAsiaTheme="minorEastAsia"/>
                <w:sz w:val="20"/>
                <w:szCs w:val="20"/>
              </w:rPr>
              <w:t>0 (0)</w:t>
            </w:r>
          </w:p>
        </w:tc>
      </w:tr>
      <w:tr w:rsidR="00BE4ECE" w:rsidRPr="00BE4ECE" w14:paraId="606B292A" w14:textId="77777777" w:rsidTr="00436B22">
        <w:trPr>
          <w:jc w:val="center"/>
        </w:trPr>
        <w:tc>
          <w:tcPr>
            <w:tcW w:w="2268" w:type="dxa"/>
            <w:vMerge/>
          </w:tcPr>
          <w:p w14:paraId="407D9049" w14:textId="77777777" w:rsidR="00BE4ECE" w:rsidRPr="00BE4ECE" w:rsidRDefault="00BE4ECE" w:rsidP="00BE4ECE">
            <w:pPr>
              <w:jc w:val="both"/>
              <w:rPr>
                <w:rFonts w:eastAsiaTheme="minorEastAsia"/>
                <w:sz w:val="20"/>
                <w:szCs w:val="20"/>
              </w:rPr>
            </w:pPr>
          </w:p>
        </w:tc>
        <w:tc>
          <w:tcPr>
            <w:tcW w:w="1173" w:type="dxa"/>
          </w:tcPr>
          <w:p w14:paraId="2C1529CC" w14:textId="77777777" w:rsidR="00BE4ECE" w:rsidRPr="00BE4ECE" w:rsidRDefault="00BE4ECE" w:rsidP="00BE4ECE">
            <w:pPr>
              <w:jc w:val="center"/>
              <w:rPr>
                <w:rFonts w:eastAsiaTheme="minorEastAsia"/>
                <w:sz w:val="20"/>
                <w:szCs w:val="20"/>
              </w:rPr>
            </w:pPr>
            <w:r w:rsidRPr="00BE4ECE">
              <w:rPr>
                <w:rFonts w:eastAsiaTheme="minorEastAsia"/>
                <w:sz w:val="20"/>
                <w:szCs w:val="20"/>
              </w:rPr>
              <w:t>4-6</w:t>
            </w:r>
          </w:p>
        </w:tc>
        <w:tc>
          <w:tcPr>
            <w:tcW w:w="2500" w:type="dxa"/>
          </w:tcPr>
          <w:p w14:paraId="42F13274" w14:textId="77777777" w:rsidR="00BE4ECE" w:rsidRPr="00BE4ECE" w:rsidRDefault="00BE4ECE" w:rsidP="00BE4ECE">
            <w:pPr>
              <w:jc w:val="center"/>
              <w:rPr>
                <w:rFonts w:eastAsiaTheme="minorEastAsia"/>
                <w:sz w:val="20"/>
                <w:szCs w:val="20"/>
              </w:rPr>
            </w:pPr>
            <w:r w:rsidRPr="00BE4ECE">
              <w:rPr>
                <w:rFonts w:eastAsiaTheme="minorEastAsia"/>
                <w:sz w:val="20"/>
                <w:szCs w:val="20"/>
              </w:rPr>
              <w:t>4 (40)</w:t>
            </w:r>
          </w:p>
        </w:tc>
        <w:tc>
          <w:tcPr>
            <w:tcW w:w="2558" w:type="dxa"/>
          </w:tcPr>
          <w:p w14:paraId="3A296096" w14:textId="77777777" w:rsidR="00BE4ECE" w:rsidRPr="00BE4ECE" w:rsidRDefault="00BE4ECE" w:rsidP="00BE4ECE">
            <w:pPr>
              <w:jc w:val="center"/>
              <w:rPr>
                <w:rFonts w:eastAsiaTheme="minorEastAsia"/>
                <w:sz w:val="20"/>
                <w:szCs w:val="20"/>
              </w:rPr>
            </w:pPr>
            <w:r w:rsidRPr="00BE4ECE">
              <w:rPr>
                <w:rFonts w:eastAsiaTheme="minorEastAsia"/>
                <w:sz w:val="20"/>
                <w:szCs w:val="20"/>
              </w:rPr>
              <w:t>1 (10)</w:t>
            </w:r>
          </w:p>
        </w:tc>
      </w:tr>
      <w:tr w:rsidR="00BE4ECE" w:rsidRPr="00BE4ECE" w14:paraId="5E4AE2A3" w14:textId="77777777" w:rsidTr="00436B22">
        <w:trPr>
          <w:jc w:val="center"/>
        </w:trPr>
        <w:tc>
          <w:tcPr>
            <w:tcW w:w="2268" w:type="dxa"/>
            <w:vMerge/>
          </w:tcPr>
          <w:p w14:paraId="0A1725D3" w14:textId="77777777" w:rsidR="00BE4ECE" w:rsidRPr="00BE4ECE" w:rsidRDefault="00BE4ECE" w:rsidP="00BE4ECE">
            <w:pPr>
              <w:jc w:val="both"/>
              <w:rPr>
                <w:rFonts w:eastAsiaTheme="minorEastAsia"/>
                <w:sz w:val="20"/>
                <w:szCs w:val="20"/>
              </w:rPr>
            </w:pPr>
          </w:p>
        </w:tc>
        <w:tc>
          <w:tcPr>
            <w:tcW w:w="1173" w:type="dxa"/>
          </w:tcPr>
          <w:p w14:paraId="3512C2E7" w14:textId="77777777" w:rsidR="00BE4ECE" w:rsidRPr="00BE4ECE" w:rsidRDefault="00BE4ECE" w:rsidP="00BE4ECE">
            <w:pPr>
              <w:jc w:val="center"/>
              <w:rPr>
                <w:rFonts w:eastAsiaTheme="minorEastAsia"/>
                <w:sz w:val="20"/>
                <w:szCs w:val="20"/>
              </w:rPr>
            </w:pPr>
            <w:r w:rsidRPr="00BE4ECE">
              <w:rPr>
                <w:rFonts w:eastAsiaTheme="minorEastAsia"/>
                <w:sz w:val="20"/>
                <w:szCs w:val="20"/>
              </w:rPr>
              <w:t>7-9</w:t>
            </w:r>
          </w:p>
        </w:tc>
        <w:tc>
          <w:tcPr>
            <w:tcW w:w="2500" w:type="dxa"/>
          </w:tcPr>
          <w:p w14:paraId="2BCBFB0D" w14:textId="77777777" w:rsidR="00BE4ECE" w:rsidRPr="00BE4ECE" w:rsidRDefault="00BE4ECE" w:rsidP="00BE4ECE">
            <w:pPr>
              <w:jc w:val="center"/>
              <w:rPr>
                <w:rFonts w:eastAsiaTheme="minorEastAsia"/>
                <w:sz w:val="20"/>
                <w:szCs w:val="20"/>
              </w:rPr>
            </w:pPr>
            <w:r w:rsidRPr="00BE4ECE">
              <w:rPr>
                <w:rFonts w:eastAsiaTheme="minorEastAsia"/>
                <w:sz w:val="20"/>
                <w:szCs w:val="20"/>
              </w:rPr>
              <w:t>6 (60)</w:t>
            </w:r>
          </w:p>
        </w:tc>
        <w:tc>
          <w:tcPr>
            <w:tcW w:w="2558" w:type="dxa"/>
          </w:tcPr>
          <w:p w14:paraId="4B6AE11D" w14:textId="77777777" w:rsidR="00BE4ECE" w:rsidRPr="00BE4ECE" w:rsidRDefault="00BE4ECE" w:rsidP="00BE4ECE">
            <w:pPr>
              <w:jc w:val="center"/>
              <w:rPr>
                <w:rFonts w:eastAsiaTheme="minorEastAsia"/>
                <w:sz w:val="20"/>
                <w:szCs w:val="20"/>
              </w:rPr>
            </w:pPr>
            <w:r w:rsidRPr="00BE4ECE">
              <w:rPr>
                <w:rFonts w:eastAsiaTheme="minorEastAsia"/>
                <w:sz w:val="20"/>
                <w:szCs w:val="20"/>
              </w:rPr>
              <w:t>9 (90)</w:t>
            </w:r>
          </w:p>
        </w:tc>
      </w:tr>
      <w:tr w:rsidR="00BE4ECE" w:rsidRPr="00BE4ECE" w14:paraId="1E26EC8C" w14:textId="77777777" w:rsidTr="00436B22">
        <w:trPr>
          <w:jc w:val="center"/>
        </w:trPr>
        <w:tc>
          <w:tcPr>
            <w:tcW w:w="2268" w:type="dxa"/>
            <w:vMerge/>
            <w:tcBorders>
              <w:bottom w:val="single" w:sz="4" w:space="0" w:color="auto"/>
            </w:tcBorders>
          </w:tcPr>
          <w:p w14:paraId="79E55D87" w14:textId="77777777" w:rsidR="00BE4ECE" w:rsidRPr="00BE4ECE" w:rsidRDefault="00BE4ECE" w:rsidP="00BE4ECE">
            <w:pPr>
              <w:jc w:val="both"/>
              <w:rPr>
                <w:rFonts w:eastAsiaTheme="minorEastAsia"/>
                <w:sz w:val="20"/>
                <w:szCs w:val="20"/>
              </w:rPr>
            </w:pPr>
          </w:p>
        </w:tc>
        <w:tc>
          <w:tcPr>
            <w:tcW w:w="1173" w:type="dxa"/>
            <w:tcBorders>
              <w:bottom w:val="single" w:sz="4" w:space="0" w:color="auto"/>
            </w:tcBorders>
          </w:tcPr>
          <w:p w14:paraId="6F420DD5" w14:textId="77777777" w:rsidR="00BE4ECE" w:rsidRPr="00BE4ECE" w:rsidRDefault="00BE4ECE" w:rsidP="00BE4ECE">
            <w:pPr>
              <w:jc w:val="center"/>
              <w:rPr>
                <w:rFonts w:eastAsiaTheme="minorEastAsia"/>
                <w:sz w:val="20"/>
                <w:szCs w:val="20"/>
              </w:rPr>
            </w:pPr>
            <w:r w:rsidRPr="00BE4ECE">
              <w:rPr>
                <w:rFonts w:eastAsiaTheme="minorEastAsia"/>
                <w:sz w:val="20"/>
                <w:szCs w:val="20"/>
              </w:rPr>
              <w:t>10</w:t>
            </w:r>
          </w:p>
        </w:tc>
        <w:tc>
          <w:tcPr>
            <w:tcW w:w="2500" w:type="dxa"/>
            <w:tcBorders>
              <w:bottom w:val="single" w:sz="4" w:space="0" w:color="auto"/>
            </w:tcBorders>
          </w:tcPr>
          <w:p w14:paraId="5419A614" w14:textId="77777777" w:rsidR="00BE4ECE" w:rsidRPr="00BE4ECE" w:rsidRDefault="00BE4ECE" w:rsidP="00BE4ECE">
            <w:pPr>
              <w:jc w:val="center"/>
              <w:rPr>
                <w:rFonts w:eastAsiaTheme="minorEastAsia"/>
                <w:sz w:val="20"/>
                <w:szCs w:val="20"/>
              </w:rPr>
            </w:pPr>
            <w:r w:rsidRPr="00BE4ECE">
              <w:rPr>
                <w:rFonts w:eastAsiaTheme="minorEastAsia"/>
                <w:sz w:val="20"/>
                <w:szCs w:val="20"/>
              </w:rPr>
              <w:t>0 (0)</w:t>
            </w:r>
          </w:p>
        </w:tc>
        <w:tc>
          <w:tcPr>
            <w:tcW w:w="2558" w:type="dxa"/>
            <w:tcBorders>
              <w:bottom w:val="single" w:sz="4" w:space="0" w:color="auto"/>
            </w:tcBorders>
          </w:tcPr>
          <w:p w14:paraId="77053749" w14:textId="77777777" w:rsidR="00BE4ECE" w:rsidRPr="00BE4ECE" w:rsidRDefault="00BE4ECE" w:rsidP="00BE4ECE">
            <w:pPr>
              <w:jc w:val="center"/>
              <w:rPr>
                <w:rFonts w:eastAsiaTheme="minorEastAsia"/>
                <w:sz w:val="20"/>
                <w:szCs w:val="20"/>
              </w:rPr>
            </w:pPr>
            <w:r w:rsidRPr="00BE4ECE">
              <w:rPr>
                <w:rFonts w:eastAsiaTheme="minorEastAsia"/>
                <w:sz w:val="20"/>
                <w:szCs w:val="20"/>
              </w:rPr>
              <w:t>0 (0)</w:t>
            </w:r>
          </w:p>
        </w:tc>
      </w:tr>
    </w:tbl>
    <w:p w14:paraId="3C6F7062" w14:textId="77777777" w:rsidR="002F4E65" w:rsidRPr="002F4E65" w:rsidRDefault="002F4E65" w:rsidP="002F4E65">
      <w:pPr>
        <w:pStyle w:val="Body"/>
        <w:spacing w:after="0"/>
        <w:jc w:val="center"/>
        <w:rPr>
          <w:rFonts w:ascii="Arial" w:hAnsi="Arial" w:cs="Arial"/>
          <w:lang w:eastAsia="zh-CN"/>
        </w:rPr>
      </w:pPr>
    </w:p>
    <w:p w14:paraId="2157D9B6" w14:textId="48F4A33E" w:rsidR="002F4E65" w:rsidRDefault="002F4E65" w:rsidP="002F4E65">
      <w:pPr>
        <w:pStyle w:val="Body"/>
        <w:spacing w:after="0"/>
        <w:rPr>
          <w:rFonts w:ascii="Arial" w:hAnsi="Arial" w:cs="Arial"/>
        </w:rPr>
      </w:pPr>
      <w:r>
        <w:rPr>
          <w:rFonts w:ascii="Arial" w:hAnsi="Arial" w:cs="Arial"/>
          <w:b/>
          <w:caps/>
          <w:sz w:val="22"/>
        </w:rPr>
        <w:t>3</w:t>
      </w:r>
      <w:r w:rsidRPr="00C30A0F">
        <w:rPr>
          <w:rFonts w:ascii="Arial" w:hAnsi="Arial" w:cs="Arial"/>
          <w:b/>
          <w:caps/>
          <w:sz w:val="22"/>
        </w:rPr>
        <w:t>.</w:t>
      </w:r>
      <w:r w:rsidR="007A2153">
        <w:rPr>
          <w:rFonts w:ascii="Arial" w:hAnsi="Arial" w:cs="Arial" w:hint="eastAsia"/>
          <w:b/>
          <w:caps/>
          <w:sz w:val="22"/>
          <w:lang w:eastAsia="zh-CN"/>
        </w:rPr>
        <w:t>4</w:t>
      </w:r>
      <w:r w:rsidRPr="00C30A0F">
        <w:rPr>
          <w:rFonts w:ascii="Arial" w:hAnsi="Arial" w:cs="Arial"/>
          <w:b/>
          <w:caps/>
          <w:sz w:val="22"/>
        </w:rPr>
        <w:t xml:space="preserve"> </w:t>
      </w:r>
      <w:r w:rsidR="002A2C15" w:rsidRPr="002A2C15">
        <w:rPr>
          <w:rFonts w:ascii="Arial" w:hAnsi="Arial" w:cs="Arial"/>
          <w:b/>
          <w:sz w:val="22"/>
        </w:rPr>
        <w:t>Safety data</w:t>
      </w:r>
    </w:p>
    <w:p w14:paraId="343A3C9D" w14:textId="77777777" w:rsidR="00972C8B" w:rsidRDefault="00972C8B" w:rsidP="002F4E65">
      <w:pPr>
        <w:pStyle w:val="Body"/>
        <w:spacing w:after="0"/>
        <w:rPr>
          <w:rFonts w:ascii="Arial" w:hAnsi="Arial" w:cs="Arial"/>
        </w:rPr>
      </w:pPr>
    </w:p>
    <w:p w14:paraId="5ED0C4B2" w14:textId="2CBB7126" w:rsidR="00790ADA" w:rsidRDefault="002A2C15" w:rsidP="002F4E65">
      <w:pPr>
        <w:pStyle w:val="Body"/>
        <w:spacing w:after="0"/>
        <w:rPr>
          <w:rFonts w:ascii="Arial" w:hAnsi="Arial" w:cs="Arial"/>
        </w:rPr>
      </w:pPr>
      <w:r w:rsidRPr="002A2C15">
        <w:rPr>
          <w:rFonts w:ascii="Arial" w:hAnsi="Arial" w:cs="Arial"/>
        </w:rPr>
        <w:t xml:space="preserve">The 35 kDa molecular weight HA35 injection was well tolerated and was safe for all 10 patients. </w:t>
      </w:r>
      <w:r w:rsidR="00AD0274" w:rsidRPr="00AD0274">
        <w:rPr>
          <w:rFonts w:ascii="Arial" w:hAnsi="Arial" w:cs="Arial"/>
        </w:rPr>
        <w:t>No serious adverse events (SAEs) or treatment-related deaths were reported.</w:t>
      </w:r>
      <w:r w:rsidR="00AD0274" w:rsidRPr="00AD0274">
        <w:rPr>
          <w:rFonts w:ascii="Arial" w:hAnsi="Arial" w:cs="Arial"/>
        </w:rPr>
        <w:t xml:space="preserve"> </w:t>
      </w:r>
      <w:r w:rsidRPr="002A2C15">
        <w:rPr>
          <w:rFonts w:ascii="Arial" w:hAnsi="Arial" w:cs="Arial"/>
        </w:rPr>
        <w:t>There was no significant difference in hemoglobin levels between the treatment follow-up period and before. However, one patient had platelet counts lower than normal number during treatment. But the platelet count returned to normal ranges without discontinuing or reducing the use of HA35 injection. Therefore, it was determined that the decrease was not related to the HA35 injection.</w:t>
      </w:r>
      <w:r w:rsidR="00AD0274" w:rsidRPr="00AD0274">
        <w:t xml:space="preserve"> </w:t>
      </w:r>
      <w:r w:rsidR="00AD0274" w:rsidRPr="00AD0274">
        <w:rPr>
          <w:rFonts w:ascii="Arial" w:hAnsi="Arial" w:cs="Arial"/>
        </w:rPr>
        <w:t>Additionally, no gastrointestinal side effects such as nausea or vomiting were observed</w:t>
      </w:r>
      <w:r w:rsidRPr="002A2C15">
        <w:rPr>
          <w:rFonts w:ascii="Arial" w:hAnsi="Arial" w:cs="Arial"/>
        </w:rPr>
        <w:t>.</w:t>
      </w:r>
    </w:p>
    <w:p w14:paraId="6648A0AA" w14:textId="77777777" w:rsidR="002A2C15" w:rsidRPr="00FB3A86" w:rsidRDefault="002A2C15" w:rsidP="002F4E65">
      <w:pPr>
        <w:pStyle w:val="Body"/>
        <w:spacing w:after="0"/>
        <w:rPr>
          <w:rFonts w:ascii="Arial" w:hAnsi="Arial" w:cs="Arial"/>
        </w:rPr>
      </w:pPr>
    </w:p>
    <w:p w14:paraId="0A16C0F3" w14:textId="584EA179" w:rsidR="00B01FCD" w:rsidRDefault="00000F8F" w:rsidP="00441B6F">
      <w:pPr>
        <w:pStyle w:val="ConcHead"/>
        <w:spacing w:after="0"/>
        <w:jc w:val="both"/>
        <w:rPr>
          <w:rFonts w:ascii="Arial" w:hAnsi="Arial" w:cs="Arial"/>
        </w:rPr>
      </w:pPr>
      <w:r>
        <w:rPr>
          <w:rFonts w:ascii="Arial" w:hAnsi="Arial" w:cs="Arial"/>
        </w:rPr>
        <w:t xml:space="preserve">4. </w:t>
      </w:r>
      <w:r w:rsidR="002A2C15" w:rsidRPr="002A2C15">
        <w:rPr>
          <w:rFonts w:ascii="Arial" w:hAnsi="Arial" w:cs="Arial"/>
        </w:rPr>
        <w:t>Discussion</w:t>
      </w:r>
    </w:p>
    <w:p w14:paraId="25F4ED6A" w14:textId="77777777" w:rsidR="00790ADA" w:rsidRPr="00FB3A86" w:rsidRDefault="00790ADA" w:rsidP="00441B6F">
      <w:pPr>
        <w:pStyle w:val="ConcHead"/>
        <w:spacing w:after="0"/>
        <w:jc w:val="both"/>
        <w:rPr>
          <w:rFonts w:ascii="Arial" w:hAnsi="Arial" w:cs="Arial"/>
        </w:rPr>
      </w:pPr>
    </w:p>
    <w:p w14:paraId="7ABE5D2F" w14:textId="5707901C" w:rsidR="002A2C15" w:rsidRPr="002A2C15" w:rsidRDefault="002A2C15" w:rsidP="002A2C15">
      <w:pPr>
        <w:pStyle w:val="Body"/>
        <w:rPr>
          <w:rFonts w:ascii="Arial" w:hAnsi="Arial" w:cs="Arial"/>
        </w:rPr>
      </w:pPr>
      <w:r w:rsidRPr="002A2C15">
        <w:rPr>
          <w:rFonts w:ascii="Arial" w:hAnsi="Arial" w:cs="Arial"/>
        </w:rPr>
        <w:t>Lung cancer pain leads to a decrease in the quality of life of patients and imposes an additional psychological burden. The three common causes of pain in patients with advanced lung cancer (https://lungcancer.net/symptoms/pain) are as follows: (1) location of the tumor at the top of the lung and close to several nerves, which accounts for approximately 31% of cases of lung cancer pain; (2) cancer spread to the chest wall, which accounts for approximately 21% of cases of lung cancer pain; (3) lung cancer metastasis to the bone, which accounts for approximately 34% of cases of lung cancer pain</w:t>
      </w:r>
      <w:r w:rsidR="00F82DCD">
        <w:rPr>
          <w:rFonts w:ascii="Arial" w:hAnsi="Arial" w:cs="Arial" w:hint="eastAsia"/>
          <w:lang w:eastAsia="zh-CN"/>
        </w:rPr>
        <w:t xml:space="preserve"> </w:t>
      </w:r>
      <w:r w:rsidRPr="002A2C15">
        <w:rPr>
          <w:rFonts w:ascii="Arial" w:hAnsi="Arial" w:cs="Arial"/>
        </w:rPr>
        <w:t>[33]</w:t>
      </w:r>
      <w:r w:rsidR="00F82DCD">
        <w:rPr>
          <w:rFonts w:ascii="Arial" w:hAnsi="Arial" w:cs="Arial" w:hint="eastAsia"/>
          <w:lang w:eastAsia="zh-CN"/>
        </w:rPr>
        <w:t>.</w:t>
      </w:r>
      <w:r w:rsidRPr="002A2C15">
        <w:rPr>
          <w:rFonts w:ascii="Arial" w:hAnsi="Arial" w:cs="Arial"/>
        </w:rPr>
        <w:t xml:space="preserve"> For lung cancer patients with pain, the World Health Organization provides a 3-step approach to relieve pain. Step 1 involves the use of paracetamol or a nonsteroidal anti-inflammatory drug. In step 2, patients are advised to use weak opioids. If pain is not well controlled, the appropriate strong opioids are used in step 3. However, some severe pain may not be satisfactorily controlled in step 3. Therefore, patients are asked to increase the opioid dose over time to relieve pain, which might cause constipation, sedation, nausea, or delirium</w:t>
      </w:r>
      <w:r w:rsidR="00F82DCD">
        <w:rPr>
          <w:rFonts w:ascii="Arial" w:hAnsi="Arial" w:cs="Arial" w:hint="eastAsia"/>
          <w:lang w:eastAsia="zh-CN"/>
        </w:rPr>
        <w:t xml:space="preserve"> </w:t>
      </w:r>
      <w:r w:rsidRPr="002A2C15">
        <w:rPr>
          <w:rFonts w:ascii="Arial" w:hAnsi="Arial" w:cs="Arial"/>
        </w:rPr>
        <w:t>[33]</w:t>
      </w:r>
      <w:r w:rsidR="00F82DCD">
        <w:rPr>
          <w:rFonts w:ascii="Arial" w:hAnsi="Arial" w:cs="Arial" w:hint="eastAsia"/>
          <w:lang w:eastAsia="zh-CN"/>
        </w:rPr>
        <w:t>.</w:t>
      </w:r>
      <w:r w:rsidRPr="002A2C15">
        <w:rPr>
          <w:rFonts w:ascii="Arial" w:hAnsi="Arial" w:cs="Arial"/>
        </w:rPr>
        <w:t xml:space="preserve"> Therefore, palliative care with no side-effect is rapidly becoming an important part of the care of advanced lung cancer patients. </w:t>
      </w:r>
      <w:r w:rsidRPr="00AD0274">
        <w:rPr>
          <w:rFonts w:ascii="Arial" w:hAnsi="Arial" w:cs="Arial"/>
          <w:highlight w:val="yellow"/>
        </w:rPr>
        <w:t xml:space="preserve">In this study, we discussed </w:t>
      </w:r>
      <w:r w:rsidR="00AD0274" w:rsidRPr="00AD0274">
        <w:rPr>
          <w:rFonts w:ascii="Arial" w:hAnsi="Arial" w:cs="Arial"/>
          <w:highlight w:val="yellow"/>
        </w:rPr>
        <w:t>the effectiveness</w:t>
      </w:r>
      <w:r w:rsidR="00AD0274" w:rsidRPr="00AD0274">
        <w:rPr>
          <w:rFonts w:ascii="Arial" w:hAnsi="Arial" w:cs="Arial" w:hint="eastAsia"/>
          <w:highlight w:val="yellow"/>
          <w:lang w:eastAsia="zh-CN"/>
        </w:rPr>
        <w:t xml:space="preserve"> of</w:t>
      </w:r>
      <w:r w:rsidRPr="00AD0274">
        <w:rPr>
          <w:rFonts w:ascii="Arial" w:hAnsi="Arial" w:cs="Arial"/>
          <w:highlight w:val="yellow"/>
        </w:rPr>
        <w:t xml:space="preserve"> 35 kDa hyaluronan for the treatment of pain and cough associated with advanced lung cancer.</w:t>
      </w:r>
      <w:r w:rsidR="00AD0274" w:rsidRPr="00AD0274">
        <w:t xml:space="preserve"> </w:t>
      </w:r>
    </w:p>
    <w:p w14:paraId="7409E043" w14:textId="780C844A" w:rsidR="002A2C15" w:rsidRPr="002A2C15" w:rsidRDefault="002A2C15" w:rsidP="002A2C15">
      <w:pPr>
        <w:pStyle w:val="Body"/>
        <w:rPr>
          <w:rFonts w:ascii="Arial" w:hAnsi="Arial" w:cs="Arial"/>
        </w:rPr>
      </w:pPr>
      <w:r w:rsidRPr="002A2C15">
        <w:rPr>
          <w:rFonts w:ascii="Arial" w:hAnsi="Arial" w:cs="Arial"/>
        </w:rPr>
        <w:t>Abundant high-molecular-weight HA and its fragments have been proven to contribute to cancer resistance and improve lifespan and healthspan</w:t>
      </w:r>
      <w:r w:rsidR="00F82DCD">
        <w:rPr>
          <w:rFonts w:ascii="Arial" w:hAnsi="Arial" w:cs="Arial" w:hint="eastAsia"/>
          <w:lang w:eastAsia="zh-CN"/>
        </w:rPr>
        <w:t xml:space="preserve"> </w:t>
      </w:r>
      <w:r w:rsidRPr="002A2C15">
        <w:rPr>
          <w:rFonts w:ascii="Arial" w:hAnsi="Arial" w:cs="Arial"/>
        </w:rPr>
        <w:t>[10]</w:t>
      </w:r>
      <w:r w:rsidR="00F82DCD">
        <w:rPr>
          <w:rFonts w:ascii="Arial" w:hAnsi="Arial" w:cs="Arial" w:hint="eastAsia"/>
          <w:lang w:eastAsia="zh-CN"/>
        </w:rPr>
        <w:t>.</w:t>
      </w:r>
      <w:r w:rsidRPr="002A2C15">
        <w:rPr>
          <w:rFonts w:ascii="Arial" w:hAnsi="Arial" w:cs="Arial"/>
        </w:rPr>
        <w:t xml:space="preserve"> A previously published study showed that HA could modulate pain-regulated TRPV1 channel opening, reducing peripheral nociceptor activity and pain</w:t>
      </w:r>
      <w:r w:rsidR="00F82DCD">
        <w:rPr>
          <w:rFonts w:ascii="Arial" w:hAnsi="Arial" w:cs="Arial" w:hint="eastAsia"/>
          <w:lang w:eastAsia="zh-CN"/>
        </w:rPr>
        <w:t xml:space="preserve"> </w:t>
      </w:r>
      <w:r w:rsidRPr="002A2C15">
        <w:rPr>
          <w:rFonts w:ascii="Arial" w:hAnsi="Arial" w:cs="Arial"/>
        </w:rPr>
        <w:t>[18]</w:t>
      </w:r>
      <w:r w:rsidR="00F82DCD">
        <w:rPr>
          <w:rFonts w:ascii="Arial" w:hAnsi="Arial" w:cs="Arial" w:hint="eastAsia"/>
          <w:lang w:eastAsia="zh-CN"/>
        </w:rPr>
        <w:t>.</w:t>
      </w:r>
      <w:r w:rsidRPr="002A2C15">
        <w:rPr>
          <w:rFonts w:ascii="Arial" w:hAnsi="Arial" w:cs="Arial"/>
        </w:rPr>
        <w:t xml:space="preserve"> Because of its high molecular weight, HA has poor tissue penetration ability and is mainly used for local injection for facial reshaping and treating knee osteoarthritis. Nevertheless, our previous study has shown that local injection of the 35 kDa HA fragment (HA35), which has good tissue penetration potential, is effective in treating inflammatory and neuropathic pain (Registration number NCT05756595). It is likely that the 35 kDa HA fragment (HA35 or B-HA) overcomes the poor tissue permeability of high-molecular-weight HA and is capable of entering lung tissue to bind to a variety of HA-binding proteins or receptors, exhibiting bioactivities such as analgesic effects</w:t>
      </w:r>
      <w:r w:rsidR="00F82DCD">
        <w:rPr>
          <w:rFonts w:ascii="Arial" w:hAnsi="Arial" w:cs="Arial" w:hint="eastAsia"/>
          <w:lang w:eastAsia="zh-CN"/>
        </w:rPr>
        <w:t xml:space="preserve"> </w:t>
      </w:r>
      <w:r w:rsidRPr="002A2C15">
        <w:rPr>
          <w:rFonts w:ascii="Arial" w:hAnsi="Arial" w:cs="Arial"/>
        </w:rPr>
        <w:t>[18]</w:t>
      </w:r>
      <w:r w:rsidR="00F82DCD">
        <w:rPr>
          <w:rFonts w:ascii="Arial" w:hAnsi="Arial" w:cs="Arial" w:hint="eastAsia"/>
          <w:lang w:eastAsia="zh-CN"/>
        </w:rPr>
        <w:t>.</w:t>
      </w:r>
      <w:r w:rsidRPr="002A2C15">
        <w:rPr>
          <w:rFonts w:ascii="Arial" w:hAnsi="Arial" w:cs="Arial"/>
        </w:rPr>
        <w:t xml:space="preserve"> As well known, common symptoms reported in advanced lung cancer include pain, cough, fatigue, and depression</w:t>
      </w:r>
      <w:r w:rsidR="00F82DCD">
        <w:rPr>
          <w:rFonts w:ascii="Arial" w:hAnsi="Arial" w:cs="Arial" w:hint="eastAsia"/>
          <w:lang w:eastAsia="zh-CN"/>
        </w:rPr>
        <w:t xml:space="preserve"> </w:t>
      </w:r>
      <w:r w:rsidRPr="002A2C15">
        <w:rPr>
          <w:rFonts w:ascii="Arial" w:hAnsi="Arial" w:cs="Arial"/>
        </w:rPr>
        <w:t>[34]</w:t>
      </w:r>
      <w:r w:rsidR="00F82DCD">
        <w:rPr>
          <w:rFonts w:ascii="Arial" w:hAnsi="Arial" w:cs="Arial" w:hint="eastAsia"/>
          <w:lang w:eastAsia="zh-CN"/>
        </w:rPr>
        <w:t>.</w:t>
      </w:r>
      <w:r w:rsidRPr="002A2C15">
        <w:rPr>
          <w:rFonts w:ascii="Arial" w:hAnsi="Arial" w:cs="Arial"/>
        </w:rPr>
        <w:t xml:space="preserve"> According to the study of Carol, even in patients who survive more than a year after diagnosis, more than half will report being afflicted with many of these symptoms</w:t>
      </w:r>
      <w:r w:rsidR="00F82DCD">
        <w:rPr>
          <w:rFonts w:ascii="Arial" w:hAnsi="Arial" w:cs="Arial" w:hint="eastAsia"/>
          <w:lang w:eastAsia="zh-CN"/>
        </w:rPr>
        <w:t xml:space="preserve"> </w:t>
      </w:r>
      <w:r w:rsidRPr="002A2C15">
        <w:rPr>
          <w:rFonts w:ascii="Arial" w:hAnsi="Arial" w:cs="Arial"/>
        </w:rPr>
        <w:t>[34,35]</w:t>
      </w:r>
      <w:r w:rsidR="00F82DCD">
        <w:rPr>
          <w:rFonts w:ascii="Arial" w:hAnsi="Arial" w:cs="Arial" w:hint="eastAsia"/>
          <w:lang w:eastAsia="zh-CN"/>
        </w:rPr>
        <w:t>.</w:t>
      </w:r>
      <w:r w:rsidRPr="002A2C15">
        <w:rPr>
          <w:rFonts w:ascii="Arial" w:hAnsi="Arial" w:cs="Arial"/>
        </w:rPr>
        <w:t xml:space="preserve"> This study evaluated the effect of HA35 </w:t>
      </w:r>
      <w:r w:rsidRPr="002A2C15">
        <w:rPr>
          <w:rFonts w:ascii="Arial" w:hAnsi="Arial" w:cs="Arial"/>
        </w:rPr>
        <w:lastRenderedPageBreak/>
        <w:t>injection (L20200708MP07707) on above index, such as pain and discomfort relief, cough symptoms, and a series of facial</w:t>
      </w:r>
      <w:r w:rsidR="00F82DCD">
        <w:rPr>
          <w:rFonts w:ascii="Arial" w:hAnsi="Arial" w:cs="Arial" w:hint="eastAsia"/>
          <w:lang w:eastAsia="zh-CN"/>
        </w:rPr>
        <w:t xml:space="preserve"> </w:t>
      </w:r>
      <w:r w:rsidRPr="002A2C15">
        <w:rPr>
          <w:rFonts w:ascii="Arial" w:hAnsi="Arial" w:cs="Arial"/>
        </w:rPr>
        <w:t>[23]</w:t>
      </w:r>
      <w:r w:rsidR="00F82DCD">
        <w:rPr>
          <w:rFonts w:ascii="Arial" w:hAnsi="Arial" w:cs="Arial" w:hint="eastAsia"/>
          <w:lang w:eastAsia="zh-CN"/>
        </w:rPr>
        <w:t>.</w:t>
      </w:r>
      <w:r w:rsidRPr="002A2C15">
        <w:rPr>
          <w:rFonts w:ascii="Arial" w:hAnsi="Arial" w:cs="Arial"/>
        </w:rPr>
        <w:t xml:space="preserve"> Pain and cough management are important aspects of palliative care for advanced lung cancer patients.</w:t>
      </w:r>
    </w:p>
    <w:p w14:paraId="39ED64D9" w14:textId="11840A8D" w:rsidR="002A2C15" w:rsidRPr="002A2C15" w:rsidRDefault="002A2C15" w:rsidP="002A2C15">
      <w:pPr>
        <w:pStyle w:val="Body"/>
        <w:rPr>
          <w:rFonts w:ascii="Arial" w:hAnsi="Arial" w:cs="Arial"/>
        </w:rPr>
      </w:pPr>
      <w:r w:rsidRPr="002A2C15">
        <w:rPr>
          <w:rFonts w:ascii="Arial" w:hAnsi="Arial" w:cs="Arial"/>
        </w:rPr>
        <w:t>Treatment with 100 mg of HA35 via abdominal deep fat layer injection led to a significant reduction in pain over time. The results indicated that HA35 injection once per day for 1 week effectively alleviated pain or discomfort (Fig 2A, P&lt;.0001) and associated cough symptoms (Fig 2A, P&lt;.0001), suggesting that symptoms associated with lung cancer may be relieved by HA35 in a short time. In most cases, pain was greatly relieved 3 h after the first injection, and cough was significantly relieved in the fi</w:t>
      </w:r>
      <w:r w:rsidRPr="002A2C15">
        <w:rPr>
          <w:rFonts w:ascii="Arial" w:hAnsi="Arial" w:cs="Arial" w:hint="eastAsia"/>
        </w:rPr>
        <w:t xml:space="preserve">rst 3 days after injection. At the end of treatment, chest CT indicated that none of the lung tumor masses exhibited significant changes. Based on chest CT, the relative tumor proliferation rate was </w:t>
      </w:r>
      <w:r w:rsidRPr="002A2C15">
        <w:rPr>
          <w:rFonts w:ascii="Arial" w:hAnsi="Arial" w:cs="Arial" w:hint="eastAsia"/>
        </w:rPr>
        <w:t>≤</w:t>
      </w:r>
      <w:r w:rsidRPr="002A2C15">
        <w:rPr>
          <w:rFonts w:ascii="Arial" w:hAnsi="Arial" w:cs="Arial" w:hint="eastAsia"/>
        </w:rPr>
        <w:t>43% in all patients. This finding demonstrated that lung</w:t>
      </w:r>
      <w:r w:rsidRPr="002A2C15">
        <w:rPr>
          <w:rFonts w:ascii="Arial" w:hAnsi="Arial" w:cs="Arial"/>
        </w:rPr>
        <w:t xml:space="preserve"> tumor masses did not significantly progress within 3 months of treatment. In other words, HA35 injection might have an inhibitory effect on lung tumor growth. Previous studies</w:t>
      </w:r>
      <w:r w:rsidR="00F82DCD">
        <w:rPr>
          <w:rFonts w:ascii="Arial" w:hAnsi="Arial" w:cs="Arial" w:hint="eastAsia"/>
          <w:lang w:eastAsia="zh-CN"/>
        </w:rPr>
        <w:t xml:space="preserve"> </w:t>
      </w:r>
      <w:r w:rsidRPr="002A2C15">
        <w:rPr>
          <w:rFonts w:ascii="Arial" w:hAnsi="Arial" w:cs="Arial"/>
        </w:rPr>
        <w:t>[8,10,16,36,37] have reported that high levels of HA and its fragments have anticancer effects, most likely through the regulation of lymphocyte homing</w:t>
      </w:r>
      <w:r w:rsidR="00F82DCD">
        <w:rPr>
          <w:rFonts w:ascii="Arial" w:hAnsi="Arial" w:cs="Arial" w:hint="eastAsia"/>
          <w:lang w:eastAsia="zh-CN"/>
        </w:rPr>
        <w:t xml:space="preserve"> </w:t>
      </w:r>
      <w:r w:rsidRPr="002A2C15">
        <w:rPr>
          <w:rFonts w:ascii="Arial" w:hAnsi="Arial" w:cs="Arial"/>
        </w:rPr>
        <w:t>[15,17,38]</w:t>
      </w:r>
      <w:r w:rsidR="00F82DCD">
        <w:rPr>
          <w:rFonts w:ascii="Arial" w:hAnsi="Arial" w:cs="Arial" w:hint="eastAsia"/>
          <w:lang w:eastAsia="zh-CN"/>
        </w:rPr>
        <w:t>.</w:t>
      </w:r>
      <w:r w:rsidRPr="002A2C15">
        <w:rPr>
          <w:rFonts w:ascii="Arial" w:hAnsi="Arial" w:cs="Arial"/>
        </w:rPr>
        <w:t xml:space="preserve"> In fact, the patient perspective is essential to evaluating HA35 injection therapy for the treatment of advanced lung cancer, especially when the treatment objectives are symptom relief. At the end of treatment, we demonstrated that most patients were satisfied with their treatment results.</w:t>
      </w:r>
    </w:p>
    <w:p w14:paraId="6342B212" w14:textId="1AE75268" w:rsidR="002A2C15" w:rsidRPr="002A2C15" w:rsidRDefault="002A2C15" w:rsidP="002A2C15">
      <w:pPr>
        <w:pStyle w:val="Body"/>
        <w:rPr>
          <w:rFonts w:ascii="Arial" w:hAnsi="Arial" w:cs="Arial"/>
        </w:rPr>
      </w:pPr>
      <w:r w:rsidRPr="002A2C15">
        <w:rPr>
          <w:rFonts w:ascii="Arial" w:hAnsi="Arial" w:cs="Arial"/>
        </w:rPr>
        <w:t>The findings support the use of HA35 or B-HA (L20200708MP07707) in palliative care therapy for advanced lung cancer</w:t>
      </w:r>
      <w:r w:rsidR="00F82DCD">
        <w:rPr>
          <w:rFonts w:ascii="Arial" w:hAnsi="Arial" w:cs="Arial" w:hint="eastAsia"/>
          <w:lang w:eastAsia="zh-CN"/>
        </w:rPr>
        <w:t xml:space="preserve"> </w:t>
      </w:r>
      <w:r w:rsidRPr="002A2C15">
        <w:rPr>
          <w:rFonts w:ascii="Arial" w:hAnsi="Arial" w:cs="Arial"/>
        </w:rPr>
        <w:t>[39,40]</w:t>
      </w:r>
      <w:r w:rsidR="00F82DCD">
        <w:rPr>
          <w:rFonts w:ascii="Arial" w:hAnsi="Arial" w:cs="Arial" w:hint="eastAsia"/>
          <w:lang w:eastAsia="zh-CN"/>
        </w:rPr>
        <w:t>.</w:t>
      </w:r>
      <w:r w:rsidRPr="002A2C15">
        <w:rPr>
          <w:rFonts w:ascii="Arial" w:hAnsi="Arial" w:cs="Arial"/>
        </w:rPr>
        <w:t xml:space="preserve"> HA35 can be safely extracted from human colostrum for human use</w:t>
      </w:r>
      <w:r w:rsidR="00F82DCD">
        <w:rPr>
          <w:rFonts w:ascii="Arial" w:hAnsi="Arial" w:cs="Arial" w:hint="eastAsia"/>
          <w:lang w:eastAsia="zh-CN"/>
        </w:rPr>
        <w:t xml:space="preserve"> </w:t>
      </w:r>
      <w:r w:rsidRPr="002A2C15">
        <w:rPr>
          <w:rFonts w:ascii="Arial" w:hAnsi="Arial" w:cs="Arial"/>
        </w:rPr>
        <w:t>[22]</w:t>
      </w:r>
      <w:r w:rsidR="00F82DCD">
        <w:rPr>
          <w:rFonts w:ascii="Arial" w:hAnsi="Arial" w:cs="Arial" w:hint="eastAsia"/>
          <w:lang w:eastAsia="zh-CN"/>
        </w:rPr>
        <w:t>.</w:t>
      </w:r>
      <w:r w:rsidRPr="002A2C15">
        <w:rPr>
          <w:rFonts w:ascii="Arial" w:hAnsi="Arial" w:cs="Arial"/>
        </w:rPr>
        <w:t xml:space="preserve"> In this study, no complaints of any side effects were reported. Interestingly, the treatment significantly improved the fatigue (Fig 2A) of all patients. In most cases, fatigue was significantly relieved after the first week of injection, demonstrating the relief of symptoms associated with lung cancer in a short time following HA35 injection. The results of this study also showed that HA35 significantly improved the facial skin brightness of patients (Fig 2C). These findings indicated that HA35 may be a potential cosmetic therapeutic that warrants further clinical investigation.</w:t>
      </w:r>
    </w:p>
    <w:p w14:paraId="2DD22FBF" w14:textId="16E458A9" w:rsidR="002A2C15" w:rsidRPr="00FB3A86" w:rsidRDefault="008D4EC7" w:rsidP="002A2C15">
      <w:pPr>
        <w:pStyle w:val="Body"/>
        <w:spacing w:after="0"/>
        <w:rPr>
          <w:rFonts w:ascii="Arial" w:hAnsi="Arial" w:cs="Arial"/>
          <w:lang w:eastAsia="zh-CN"/>
        </w:rPr>
      </w:pPr>
      <w:bookmarkStart w:id="2" w:name="_Hlk194913480"/>
      <w:r w:rsidRPr="008D4EC7">
        <w:rPr>
          <w:rFonts w:ascii="Arial" w:hAnsi="Arial" w:cs="Arial"/>
          <w:highlight w:val="yellow"/>
        </w:rPr>
        <w:t>However, this study has several limitations. First, it lacked a proper control group and included only a small number of participants. As a proof-of-concept study, it was difficult to obtain timely approval from the ethics committee to include a placebo or negative control group, which would have required the provision of a rescue medication. Second, pain assessment relied solely on the NPRS, which may not comprehensively reflect the multidimensional nature of cancer-related pain. In future clinical trials, a larger cohort will be enrolled, and a placebo or control group will be established to evaluate the optimal dosage and treatment duration of HA35 using multiple assessment tools. Finally, further analysis of clinical data (Table 1) showed that all patients received concurrent treatment with antibiotics and low-dose corticosteroids. Respiratory infections are common in advanced lung cancer and may be aggravated by tumor lesions. The antibiotic sulfamethoxazole and low-dose dexamethasone are commonly used to reduce inflammation and control infection; however, they are often associated with side effects such as nausea and vomiting. In contrast, multiple studies have shown that HA35 provides effective analgesia for inflammatory</w:t>
      </w:r>
      <w:r w:rsidR="00326FEB">
        <w:rPr>
          <w:rFonts w:ascii="Arial" w:hAnsi="Arial" w:cs="Arial" w:hint="eastAsia"/>
          <w:highlight w:val="yellow"/>
          <w:lang w:eastAsia="zh-CN"/>
        </w:rPr>
        <w:t xml:space="preserve"> </w:t>
      </w:r>
      <w:r w:rsidR="009647D7">
        <w:rPr>
          <w:rFonts w:ascii="Arial" w:hAnsi="Arial" w:cs="Arial" w:hint="eastAsia"/>
          <w:highlight w:val="yellow"/>
          <w:lang w:eastAsia="zh-CN"/>
        </w:rPr>
        <w:t>[41]</w:t>
      </w:r>
      <w:r w:rsidRPr="008D4EC7">
        <w:rPr>
          <w:rFonts w:ascii="Arial" w:hAnsi="Arial" w:cs="Arial"/>
          <w:highlight w:val="yellow"/>
        </w:rPr>
        <w:t>, neuropathic</w:t>
      </w:r>
      <w:r w:rsidR="00326FEB">
        <w:rPr>
          <w:rFonts w:ascii="Arial" w:hAnsi="Arial" w:cs="Arial" w:hint="eastAsia"/>
          <w:highlight w:val="yellow"/>
          <w:lang w:eastAsia="zh-CN"/>
        </w:rPr>
        <w:t xml:space="preserve"> </w:t>
      </w:r>
      <w:r w:rsidR="009647D7">
        <w:rPr>
          <w:rFonts w:ascii="Arial" w:hAnsi="Arial" w:cs="Arial" w:hint="eastAsia"/>
          <w:highlight w:val="yellow"/>
          <w:lang w:eastAsia="zh-CN"/>
        </w:rPr>
        <w:t>[42]</w:t>
      </w:r>
      <w:r w:rsidRPr="008D4EC7">
        <w:rPr>
          <w:rFonts w:ascii="Arial" w:hAnsi="Arial" w:cs="Arial"/>
          <w:highlight w:val="yellow"/>
        </w:rPr>
        <w:t>, cancer bone metastasis</w:t>
      </w:r>
      <w:r w:rsidR="00326FEB">
        <w:rPr>
          <w:rFonts w:ascii="Arial" w:hAnsi="Arial" w:cs="Arial" w:hint="eastAsia"/>
          <w:highlight w:val="yellow"/>
          <w:lang w:eastAsia="zh-CN"/>
        </w:rPr>
        <w:t xml:space="preserve"> </w:t>
      </w:r>
      <w:r w:rsidR="009647D7">
        <w:rPr>
          <w:rFonts w:ascii="Arial" w:hAnsi="Arial" w:cs="Arial" w:hint="eastAsia"/>
          <w:highlight w:val="yellow"/>
          <w:lang w:eastAsia="zh-CN"/>
        </w:rPr>
        <w:t>[43]</w:t>
      </w:r>
      <w:r w:rsidRPr="008D4EC7">
        <w:rPr>
          <w:rFonts w:ascii="Arial" w:hAnsi="Arial" w:cs="Arial"/>
          <w:highlight w:val="yellow"/>
        </w:rPr>
        <w:t>, and rheumatoid arthritis-related chronic pain</w:t>
      </w:r>
      <w:r w:rsidR="00326FEB">
        <w:rPr>
          <w:rFonts w:ascii="Arial" w:hAnsi="Arial" w:cs="Arial" w:hint="eastAsia"/>
          <w:highlight w:val="yellow"/>
          <w:lang w:eastAsia="zh-CN"/>
        </w:rPr>
        <w:t xml:space="preserve"> </w:t>
      </w:r>
      <w:r w:rsidR="009647D7">
        <w:rPr>
          <w:rFonts w:ascii="Arial" w:hAnsi="Arial" w:cs="Arial" w:hint="eastAsia"/>
          <w:highlight w:val="yellow"/>
          <w:lang w:eastAsia="zh-CN"/>
        </w:rPr>
        <w:t>[44]</w:t>
      </w:r>
      <w:r w:rsidRPr="008D4EC7">
        <w:rPr>
          <w:rFonts w:ascii="Arial" w:hAnsi="Arial" w:cs="Arial"/>
          <w:highlight w:val="yellow"/>
        </w:rPr>
        <w:t>—without causing notable side effects. Therefore, it is possible that the combination of antibiotics and corticosteroids enhanced the therapeutic effect of HA35 while HA35 helped mitigate some of their adverse effects. Given the clinical necessity of using these supportive medications in patients with advanced lung cancer, it is difficult to exclude them entirely from clinical trials. As such, the outcomes observed in this study may result from the synergistic effects of HA35 injections alongside antibiotics and corticosteroids</w:t>
      </w:r>
      <w:r w:rsidR="002A2C15" w:rsidRPr="008D4EC7">
        <w:rPr>
          <w:rFonts w:ascii="Arial" w:hAnsi="Arial" w:cs="Arial"/>
          <w:highlight w:val="yellow"/>
        </w:rPr>
        <w:t>.</w:t>
      </w:r>
    </w:p>
    <w:bookmarkEnd w:id="2"/>
    <w:p w14:paraId="5A3EC7F4" w14:textId="77777777" w:rsidR="005210F7" w:rsidRDefault="005210F7" w:rsidP="002A2C15">
      <w:pPr>
        <w:pStyle w:val="ConcHead"/>
        <w:spacing w:after="0"/>
        <w:jc w:val="both"/>
        <w:rPr>
          <w:rFonts w:ascii="Arial" w:hAnsi="Arial" w:cs="Arial"/>
          <w:lang w:eastAsia="zh-CN"/>
        </w:rPr>
      </w:pPr>
    </w:p>
    <w:p w14:paraId="52143810" w14:textId="7A6D9D77" w:rsidR="002A2C15" w:rsidRDefault="002A2C15" w:rsidP="002A2C15">
      <w:pPr>
        <w:pStyle w:val="ConcHead"/>
        <w:spacing w:after="0"/>
        <w:jc w:val="both"/>
        <w:rPr>
          <w:rFonts w:ascii="Arial" w:hAnsi="Arial" w:cs="Arial"/>
          <w:lang w:eastAsia="zh-CN"/>
        </w:rPr>
      </w:pPr>
      <w:r>
        <w:rPr>
          <w:rFonts w:ascii="Arial" w:hAnsi="Arial" w:cs="Arial" w:hint="eastAsia"/>
          <w:lang w:eastAsia="zh-CN"/>
        </w:rPr>
        <w:t>5</w:t>
      </w:r>
      <w:r>
        <w:rPr>
          <w:rFonts w:ascii="Arial" w:hAnsi="Arial" w:cs="Arial"/>
        </w:rPr>
        <w:t xml:space="preserve">. </w:t>
      </w:r>
      <w:r>
        <w:rPr>
          <w:rFonts w:ascii="Arial" w:hAnsi="Arial" w:cs="Arial" w:hint="eastAsia"/>
          <w:lang w:eastAsia="zh-CN"/>
        </w:rPr>
        <w:t>CONCLUSIONS</w:t>
      </w:r>
    </w:p>
    <w:p w14:paraId="6CB7A882" w14:textId="77777777" w:rsidR="002A2C15" w:rsidRPr="00FB3A86" w:rsidRDefault="002A2C15" w:rsidP="002A2C15">
      <w:pPr>
        <w:pStyle w:val="ConcHead"/>
        <w:spacing w:after="0"/>
        <w:jc w:val="both"/>
        <w:rPr>
          <w:rFonts w:ascii="Arial" w:hAnsi="Arial" w:cs="Arial"/>
        </w:rPr>
      </w:pPr>
    </w:p>
    <w:p w14:paraId="0E3F1D04" w14:textId="0BD648B1" w:rsidR="002A2C15" w:rsidRDefault="002A2C15" w:rsidP="002A2C15">
      <w:pPr>
        <w:pStyle w:val="AcknHead"/>
        <w:spacing w:after="0"/>
        <w:jc w:val="both"/>
        <w:rPr>
          <w:rFonts w:ascii="Arial" w:hAnsi="Arial" w:cs="Arial"/>
          <w:b w:val="0"/>
          <w:caps w:val="0"/>
          <w:sz w:val="20"/>
        </w:rPr>
      </w:pPr>
      <w:r w:rsidRPr="002A2C15">
        <w:rPr>
          <w:rFonts w:ascii="Arial" w:hAnsi="Arial" w:cs="Arial"/>
          <w:b w:val="0"/>
          <w:caps w:val="0"/>
          <w:sz w:val="20"/>
        </w:rPr>
        <w:t xml:space="preserve">HA35 injection may effectively alleviate pain or discomfort and cough symptoms associated with advanced lung cancer. HA35 injection may improve fatigue associated with advanced lung </w:t>
      </w:r>
      <w:r w:rsidRPr="002A2C15">
        <w:rPr>
          <w:rFonts w:ascii="Arial" w:hAnsi="Arial" w:cs="Arial"/>
          <w:b w:val="0"/>
          <w:caps w:val="0"/>
          <w:sz w:val="20"/>
        </w:rPr>
        <w:lastRenderedPageBreak/>
        <w:t>cancer, suggesting its importance in palliative care for patients with advanced lung cancer. HA35 injection may have a cosmetic therapeutic effect on the face, suggesting that HA35 may be a potential cosmetic therapeutic. HA35 injection may have an inhibitory effect on lung tumor growth.</w:t>
      </w:r>
    </w:p>
    <w:p w14:paraId="16B04B85" w14:textId="77777777" w:rsidR="007A2153" w:rsidRDefault="007A2153" w:rsidP="007A2153">
      <w:pPr>
        <w:pStyle w:val="AcknHead"/>
        <w:spacing w:after="0"/>
        <w:jc w:val="both"/>
        <w:rPr>
          <w:rFonts w:ascii="Arial" w:hAnsi="Arial" w:cs="Arial" w:hint="eastAsia"/>
          <w:lang w:eastAsia="zh-CN"/>
        </w:rPr>
        <w:sectPr w:rsidR="007A2153" w:rsidSect="00F1540C">
          <w:headerReference w:type="even" r:id="rId18"/>
          <w:headerReference w:type="default" r:id="rId19"/>
          <w:footerReference w:type="default" r:id="rId20"/>
          <w:headerReference w:type="first" r:id="rId21"/>
          <w:type w:val="continuous"/>
          <w:pgSz w:w="12240" w:h="15840"/>
          <w:pgMar w:top="1440" w:right="1800" w:bottom="1440" w:left="1800" w:header="720" w:footer="720" w:gutter="0"/>
          <w:cols w:space="720"/>
          <w:docGrid w:linePitch="360"/>
        </w:sectPr>
      </w:pPr>
    </w:p>
    <w:p w14:paraId="3E337ADA" w14:textId="77777777" w:rsidR="007A2153" w:rsidRDefault="007A2153" w:rsidP="00441B6F">
      <w:pPr>
        <w:pStyle w:val="ReferHead"/>
        <w:spacing w:after="0"/>
        <w:jc w:val="both"/>
        <w:rPr>
          <w:rFonts w:ascii="Arial" w:hAnsi="Arial" w:cs="Arial" w:hint="eastAsia"/>
          <w:bCs/>
          <w:lang w:eastAsia="zh-CN"/>
        </w:rPr>
      </w:pPr>
    </w:p>
    <w:p w14:paraId="5D9F922A" w14:textId="67AF767D" w:rsidR="002B685A" w:rsidRDefault="002B685A" w:rsidP="00441B6F">
      <w:pPr>
        <w:pStyle w:val="ReferHead"/>
        <w:spacing w:after="0"/>
        <w:jc w:val="both"/>
        <w:rPr>
          <w:rFonts w:ascii="Arial" w:hAnsi="Arial" w:cs="Arial"/>
          <w:bCs/>
        </w:rPr>
      </w:pPr>
      <w:r w:rsidRPr="002B685A">
        <w:rPr>
          <w:rFonts w:ascii="Arial" w:hAnsi="Arial" w:cs="Arial"/>
          <w:bCs/>
        </w:rPr>
        <w:t>Consent</w:t>
      </w:r>
    </w:p>
    <w:p w14:paraId="4DB74E31" w14:textId="77777777" w:rsidR="002B685A" w:rsidRPr="002B685A" w:rsidRDefault="002B685A" w:rsidP="00441B6F">
      <w:pPr>
        <w:pStyle w:val="ReferHead"/>
        <w:spacing w:after="0"/>
        <w:jc w:val="both"/>
        <w:rPr>
          <w:rFonts w:ascii="Arial" w:hAnsi="Arial" w:cs="Arial"/>
          <w:bCs/>
        </w:rPr>
      </w:pPr>
    </w:p>
    <w:p w14:paraId="3810E816" w14:textId="1EB72A4C" w:rsidR="001A29D8" w:rsidRDefault="001A29D8" w:rsidP="00441B6F">
      <w:pPr>
        <w:pStyle w:val="ReferHead"/>
        <w:spacing w:after="0"/>
        <w:jc w:val="both"/>
        <w:rPr>
          <w:rFonts w:ascii="Arial" w:hAnsi="Arial" w:cs="Arial"/>
          <w:b w:val="0"/>
          <w:caps w:val="0"/>
          <w:sz w:val="20"/>
          <w:lang w:eastAsia="zh-CN"/>
        </w:rPr>
      </w:pPr>
      <w:r w:rsidRPr="00947F37">
        <w:rPr>
          <w:rFonts w:ascii="Arial" w:hAnsi="Arial" w:cs="Arial"/>
          <w:b w:val="0"/>
          <w:caps w:val="0"/>
          <w:sz w:val="20"/>
        </w:rPr>
        <w:t>All authors declare that written informed consent was obtained from the patient</w:t>
      </w:r>
      <w:r w:rsidR="00947F37" w:rsidRPr="00947F37">
        <w:rPr>
          <w:rFonts w:ascii="Arial" w:hAnsi="Arial" w:cs="Arial" w:hint="eastAsia"/>
          <w:b w:val="0"/>
          <w:caps w:val="0"/>
          <w:sz w:val="20"/>
          <w:lang w:eastAsia="zh-CN"/>
        </w:rPr>
        <w:t xml:space="preserve">s </w:t>
      </w:r>
      <w:r w:rsidRPr="00947F37">
        <w:rPr>
          <w:rFonts w:ascii="Arial" w:hAnsi="Arial" w:cs="Arial"/>
          <w:b w:val="0"/>
          <w:caps w:val="0"/>
          <w:sz w:val="20"/>
        </w:rPr>
        <w:t xml:space="preserve">for publication of this </w:t>
      </w:r>
      <w:r w:rsidR="00947F37" w:rsidRPr="00947F37">
        <w:rPr>
          <w:rFonts w:ascii="Arial" w:hAnsi="Arial" w:cs="Arial" w:hint="eastAsia"/>
          <w:b w:val="0"/>
          <w:caps w:val="0"/>
          <w:sz w:val="20"/>
          <w:lang w:eastAsia="zh-CN"/>
        </w:rPr>
        <w:t>study</w:t>
      </w:r>
      <w:r w:rsidRPr="00947F37">
        <w:rPr>
          <w:rFonts w:ascii="Arial" w:hAnsi="Arial" w:cs="Arial"/>
          <w:b w:val="0"/>
          <w:caps w:val="0"/>
          <w:sz w:val="20"/>
        </w:rPr>
        <w:t xml:space="preserve">. </w:t>
      </w:r>
      <w:r w:rsidR="00947F37" w:rsidRPr="00947F37">
        <w:rPr>
          <w:rFonts w:ascii="Arial" w:hAnsi="Arial" w:cs="Arial"/>
          <w:b w:val="0"/>
          <w:caps w:val="0"/>
          <w:sz w:val="20"/>
        </w:rPr>
        <w:t>The study was conducted in accordance with the Declaration of Helsinki, and approved by the Ethics Committee of Tuya Amglan Hospital (approval number 05/20/2023)</w:t>
      </w:r>
      <w:r w:rsidRPr="00947F37">
        <w:rPr>
          <w:rFonts w:ascii="Arial" w:hAnsi="Arial" w:cs="Arial"/>
          <w:b w:val="0"/>
          <w:caps w:val="0"/>
          <w:sz w:val="20"/>
        </w:rPr>
        <w:t>.</w:t>
      </w:r>
    </w:p>
    <w:p w14:paraId="7BA46C41" w14:textId="77777777" w:rsidR="005C784C" w:rsidRDefault="005C784C" w:rsidP="00441B6F">
      <w:pPr>
        <w:pStyle w:val="ReferHead"/>
        <w:spacing w:after="0"/>
        <w:jc w:val="both"/>
        <w:rPr>
          <w:rFonts w:ascii="Arial" w:hAnsi="Arial" w:cs="Arial"/>
          <w:b w:val="0"/>
          <w:caps w:val="0"/>
          <w:sz w:val="20"/>
        </w:rPr>
      </w:pPr>
    </w:p>
    <w:p w14:paraId="6DD9F8C4" w14:textId="3BF4DD2E" w:rsidR="005C784C" w:rsidRDefault="005C784C" w:rsidP="00441B6F">
      <w:pPr>
        <w:pStyle w:val="ReferHead"/>
        <w:spacing w:after="0"/>
        <w:jc w:val="both"/>
        <w:rPr>
          <w:rFonts w:ascii="Arial" w:hAnsi="Arial" w:cs="Arial"/>
          <w:bCs/>
        </w:rPr>
      </w:pPr>
      <w:r>
        <w:rPr>
          <w:rFonts w:ascii="Arial" w:hAnsi="Arial" w:cs="Arial"/>
          <w:bCs/>
        </w:rPr>
        <w:t xml:space="preserve">Ethical approval </w:t>
      </w:r>
    </w:p>
    <w:p w14:paraId="5E295A7B" w14:textId="77777777" w:rsidR="005C784C" w:rsidRPr="002B685A" w:rsidRDefault="005C784C" w:rsidP="00441B6F">
      <w:pPr>
        <w:pStyle w:val="ReferHead"/>
        <w:spacing w:after="0"/>
        <w:jc w:val="both"/>
        <w:rPr>
          <w:rFonts w:ascii="Arial" w:hAnsi="Arial" w:cs="Arial"/>
          <w:bCs/>
        </w:rPr>
      </w:pPr>
    </w:p>
    <w:p w14:paraId="1FCF143F" w14:textId="1FEC262B" w:rsidR="00B47CD7" w:rsidRDefault="001A29D8" w:rsidP="007A2153">
      <w:pPr>
        <w:pStyle w:val="ReferHead"/>
        <w:jc w:val="both"/>
        <w:rPr>
          <w:rFonts w:hint="eastAsia"/>
          <w:lang w:eastAsia="zh-CN"/>
        </w:rPr>
      </w:pPr>
      <w:r w:rsidRPr="00947F37">
        <w:rPr>
          <w:rFonts w:ascii="Arial" w:hAnsi="Arial" w:cs="Arial"/>
          <w:b w:val="0"/>
          <w:caps w:val="0"/>
          <w:sz w:val="20"/>
        </w:rPr>
        <w:t>All authors hereby declare that a</w:t>
      </w:r>
      <w:r w:rsidR="0041027F" w:rsidRPr="00947F37">
        <w:rPr>
          <w:rFonts w:ascii="Arial" w:hAnsi="Arial" w:cs="Arial"/>
          <w:b w:val="0"/>
          <w:caps w:val="0"/>
          <w:sz w:val="20"/>
        </w:rPr>
        <w:t xml:space="preserve">ll </w:t>
      </w:r>
      <w:r w:rsidR="00F469F0" w:rsidRPr="00947F37">
        <w:rPr>
          <w:rFonts w:ascii="Arial" w:hAnsi="Arial" w:cs="Arial"/>
          <w:b w:val="0"/>
          <w:caps w:val="0"/>
          <w:sz w:val="20"/>
        </w:rPr>
        <w:t>experiments</w:t>
      </w:r>
      <w:r w:rsidR="0041027F" w:rsidRPr="00947F37">
        <w:rPr>
          <w:rFonts w:ascii="Arial" w:hAnsi="Arial" w:cs="Arial"/>
          <w:b w:val="0"/>
          <w:caps w:val="0"/>
          <w:sz w:val="20"/>
        </w:rPr>
        <w:t xml:space="preserve"> have been examined</w:t>
      </w:r>
      <w:r w:rsidRPr="00947F37">
        <w:rPr>
          <w:rFonts w:ascii="Arial" w:hAnsi="Arial" w:cs="Arial"/>
          <w:b w:val="0"/>
          <w:caps w:val="0"/>
          <w:sz w:val="20"/>
        </w:rPr>
        <w:t xml:space="preserve"> and approved</w:t>
      </w:r>
      <w:r w:rsidR="0041027F" w:rsidRPr="00947F37">
        <w:rPr>
          <w:rFonts w:ascii="Arial" w:hAnsi="Arial" w:cs="Arial"/>
          <w:b w:val="0"/>
          <w:caps w:val="0"/>
          <w:sz w:val="20"/>
        </w:rPr>
        <w:t xml:space="preserve"> by the appropriate ethics committee and have therefore been performed in accordance with the ethical standards laid down in the 1964 Declaration of Helsinki.</w:t>
      </w:r>
      <w:r w:rsidR="007A2153" w:rsidRPr="007A2153">
        <w:t xml:space="preserve"> </w:t>
      </w:r>
    </w:p>
    <w:p w14:paraId="41AFC793" w14:textId="77777777" w:rsidR="00B47CD7" w:rsidRPr="00B47CD7" w:rsidRDefault="00B47CD7" w:rsidP="00B47CD7">
      <w:pPr>
        <w:pStyle w:val="ReferHead"/>
        <w:jc w:val="both"/>
        <w:rPr>
          <w:rFonts w:ascii="Arial" w:hAnsi="Arial" w:cs="Arial"/>
          <w:b w:val="0"/>
          <w:caps w:val="0"/>
          <w:sz w:val="20"/>
          <w:lang w:eastAsia="zh-CN"/>
        </w:rPr>
      </w:pPr>
      <w:r w:rsidRPr="00B47CD7">
        <w:rPr>
          <w:rFonts w:ascii="Arial" w:hAnsi="Arial" w:cs="Arial"/>
          <w:b w:val="0"/>
          <w:caps w:val="0"/>
          <w:sz w:val="20"/>
          <w:lang w:eastAsia="zh-CN"/>
        </w:rPr>
        <w:t>DEFINITIONS, ACRONYMS, ABBREVIATIONS</w:t>
      </w:r>
    </w:p>
    <w:p w14:paraId="34F38D7A" w14:textId="54216352" w:rsidR="00281F45" w:rsidRDefault="00B47CD7" w:rsidP="00B47CD7">
      <w:pPr>
        <w:pStyle w:val="ReferHead"/>
        <w:jc w:val="both"/>
        <w:rPr>
          <w:rFonts w:ascii="Arial" w:hAnsi="Arial" w:cs="Arial" w:hint="eastAsia"/>
          <w:b w:val="0"/>
          <w:caps w:val="0"/>
          <w:sz w:val="20"/>
          <w:lang w:eastAsia="zh-CN"/>
        </w:rPr>
      </w:pPr>
      <w:r w:rsidRPr="00B47CD7">
        <w:rPr>
          <w:rFonts w:ascii="Arial" w:hAnsi="Arial" w:cs="Arial"/>
          <w:b w:val="0"/>
          <w:caps w:val="0"/>
          <w:sz w:val="20"/>
          <w:lang w:eastAsia="zh-CN"/>
        </w:rPr>
        <w:t>HA35=B-HA= 35 kDa molecular weight hyaluronan fragment; SCLC= small cell lung cancer; NSCLC= non-small cell lung cancer; HA= hyaluronan; NPs= nanoparticles; PH20= SPAM1= sperm adhesion molecule 1; IIT= investigator-initiated trial; TSQM= Treatment Satisfaction Questionnaire for Medication; ANOVA= analysis of variance.</w:t>
      </w:r>
    </w:p>
    <w:p w14:paraId="0E89EFF8" w14:textId="77777777" w:rsidR="00281F45" w:rsidRPr="00281F45" w:rsidRDefault="00281F45" w:rsidP="00281F45">
      <w:pPr>
        <w:pStyle w:val="ReferHead"/>
        <w:jc w:val="both"/>
        <w:rPr>
          <w:rFonts w:ascii="Arial" w:hAnsi="Arial" w:cs="Arial"/>
          <w:b w:val="0"/>
          <w:caps w:val="0"/>
          <w:sz w:val="20"/>
          <w:lang w:eastAsia="zh-CN"/>
        </w:rPr>
      </w:pPr>
      <w:r w:rsidRPr="00281F45">
        <w:rPr>
          <w:rFonts w:ascii="Arial" w:hAnsi="Arial" w:cs="Arial"/>
          <w:b w:val="0"/>
          <w:caps w:val="0"/>
          <w:sz w:val="20"/>
          <w:lang w:eastAsia="zh-CN"/>
        </w:rPr>
        <w:t>COMPETING INTERESTS DISCLAIMER:</w:t>
      </w:r>
    </w:p>
    <w:p w14:paraId="46217E94" w14:textId="3188473B" w:rsidR="00281F45" w:rsidRPr="007A2153" w:rsidRDefault="00281F45" w:rsidP="00B47CD7">
      <w:pPr>
        <w:pStyle w:val="ReferHead"/>
        <w:jc w:val="both"/>
        <w:rPr>
          <w:rFonts w:ascii="Arial" w:hAnsi="Arial" w:cs="Arial" w:hint="eastAsia"/>
          <w:b w:val="0"/>
          <w:caps w:val="0"/>
          <w:sz w:val="20"/>
          <w:lang w:eastAsia="zh-CN"/>
        </w:rPr>
      </w:pPr>
      <w:r w:rsidRPr="00281F45">
        <w:rPr>
          <w:rFonts w:ascii="Arial" w:hAnsi="Arial" w:cs="Arial"/>
          <w:b w:val="0"/>
          <w:caps w:val="0"/>
          <w:sz w:val="20"/>
          <w:lang w:eastAsia="zh-CN"/>
        </w:rPr>
        <w:t>Authors have declared that they have no known competing financial interests OR non-financial interests OR personal relationships that could have appeared to influence the work reported in this paper.</w:t>
      </w:r>
    </w:p>
    <w:p w14:paraId="567117A5" w14:textId="77777777" w:rsidR="00334401" w:rsidRPr="00334401" w:rsidRDefault="00334401" w:rsidP="00334401">
      <w:pPr>
        <w:pStyle w:val="ReferHead"/>
        <w:spacing w:after="0"/>
        <w:jc w:val="both"/>
        <w:rPr>
          <w:rFonts w:ascii="Arial" w:hAnsi="Arial" w:cs="Arial"/>
          <w:bCs/>
          <w:highlight w:val="yellow"/>
        </w:rPr>
      </w:pPr>
      <w:r w:rsidRPr="00334401">
        <w:rPr>
          <w:rFonts w:ascii="Arial" w:hAnsi="Arial" w:cs="Arial"/>
          <w:bCs/>
          <w:highlight w:val="yellow"/>
        </w:rPr>
        <w:t>DISCLAIMER (ARTIFICIAL INTELLIGENCE)</w:t>
      </w:r>
    </w:p>
    <w:p w14:paraId="4BA509C1" w14:textId="77777777" w:rsidR="00334401" w:rsidRPr="00334401" w:rsidRDefault="00334401" w:rsidP="00334401">
      <w:pPr>
        <w:pStyle w:val="ReferHead"/>
        <w:spacing w:after="0"/>
        <w:jc w:val="both"/>
        <w:rPr>
          <w:rFonts w:ascii="Arial" w:hAnsi="Arial" w:cs="Arial"/>
          <w:b w:val="0"/>
          <w:caps w:val="0"/>
          <w:sz w:val="20"/>
          <w:highlight w:val="yellow"/>
        </w:rPr>
      </w:pPr>
    </w:p>
    <w:p w14:paraId="157411C6" w14:textId="77777777" w:rsidR="00334401" w:rsidRDefault="00334401" w:rsidP="00334401">
      <w:pPr>
        <w:pStyle w:val="ReferHead"/>
        <w:spacing w:after="0"/>
        <w:jc w:val="both"/>
        <w:rPr>
          <w:rFonts w:ascii="Arial" w:hAnsi="Arial" w:cs="Arial"/>
          <w:b w:val="0"/>
          <w:caps w:val="0"/>
          <w:sz w:val="20"/>
        </w:rPr>
      </w:pPr>
      <w:r w:rsidRPr="00334401">
        <w:rPr>
          <w:rFonts w:ascii="Arial" w:hAnsi="Arial" w:cs="Arial"/>
          <w:b w:val="0"/>
          <w:caps w:val="0"/>
          <w:sz w:val="20"/>
          <w:highlight w:val="yellow"/>
        </w:rPr>
        <w:t>Authors hereby declare that NO generative AI technologies such as Large Language Models</w:t>
      </w:r>
      <w:r w:rsidRPr="00334401">
        <w:rPr>
          <w:rFonts w:ascii="Arial" w:hAnsi="Arial" w:cs="Arial" w:hint="eastAsia"/>
          <w:b w:val="0"/>
          <w:caps w:val="0"/>
          <w:sz w:val="20"/>
          <w:highlight w:val="yellow"/>
          <w:lang w:eastAsia="zh-CN"/>
        </w:rPr>
        <w:t xml:space="preserve"> </w:t>
      </w:r>
      <w:r w:rsidRPr="00334401">
        <w:rPr>
          <w:rFonts w:ascii="Arial" w:hAnsi="Arial" w:cs="Arial"/>
          <w:b w:val="0"/>
          <w:caps w:val="0"/>
          <w:sz w:val="20"/>
          <w:highlight w:val="yellow"/>
        </w:rPr>
        <w:t>(ChatGPT, COPILOT, etc) and text-to-image generators have been used during writing or editing of this manuscript.</w:t>
      </w:r>
      <w:r w:rsidRPr="007A2153">
        <w:rPr>
          <w:rFonts w:ascii="Arial" w:hAnsi="Arial" w:cs="Arial"/>
          <w:b w:val="0"/>
          <w:caps w:val="0"/>
          <w:sz w:val="20"/>
        </w:rPr>
        <w:t xml:space="preserve">  </w:t>
      </w:r>
    </w:p>
    <w:p w14:paraId="7C47ECA1" w14:textId="77777777" w:rsidR="00334401" w:rsidRPr="007A2153" w:rsidRDefault="00334401" w:rsidP="00334401">
      <w:pPr>
        <w:pStyle w:val="ReferHead"/>
        <w:spacing w:after="0"/>
        <w:jc w:val="both"/>
        <w:rPr>
          <w:rFonts w:ascii="Arial" w:hAnsi="Arial" w:cs="Arial"/>
          <w:b w:val="0"/>
          <w:caps w:val="0"/>
          <w:sz w:val="20"/>
        </w:rPr>
      </w:pPr>
    </w:p>
    <w:p w14:paraId="2F4D89ED"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51696653" w14:textId="77777777" w:rsidR="00284C4C" w:rsidRPr="00284C4C" w:rsidRDefault="00284C4C" w:rsidP="00441B6F">
      <w:pPr>
        <w:pStyle w:val="Body"/>
        <w:spacing w:after="0"/>
        <w:rPr>
          <w:rFonts w:ascii="Arial" w:hAnsi="Arial" w:cs="Arial"/>
          <w:i/>
          <w:u w:val="single"/>
        </w:rPr>
      </w:pPr>
    </w:p>
    <w:p w14:paraId="178F2C82"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1  </w:t>
      </w:r>
      <w:r w:rsidRPr="00864D18">
        <w:rPr>
          <w:rFonts w:ascii="Arial" w:hAnsi="Arial" w:cs="Arial"/>
        </w:rPr>
        <w:t>Leiter, A., Veluswamy, R. R., &amp; Wisnivesky, J. P. (2023). The global burden of lung cancer: current status and future trends. Nature Reviews Clinical Oncology, 20, 624–639.</w:t>
      </w:r>
    </w:p>
    <w:p w14:paraId="6AAB37AA"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2  </w:t>
      </w:r>
      <w:r w:rsidRPr="00864D18">
        <w:rPr>
          <w:rFonts w:ascii="Arial" w:hAnsi="Arial" w:cs="Arial"/>
        </w:rPr>
        <w:t>Siegel, R., Naishadham, D., &amp; Jemal, A. (2013). Cancer statistics 2013. CA: A Cancer Journal for Clinicians, 63(1), 11–30.</w:t>
      </w:r>
    </w:p>
    <w:p w14:paraId="458356B0"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3  </w:t>
      </w:r>
      <w:r w:rsidRPr="00864D18">
        <w:rPr>
          <w:rFonts w:ascii="Arial" w:hAnsi="Arial" w:cs="Arial"/>
        </w:rPr>
        <w:t xml:space="preserve">Blandin Knight, S., Crosbie, P. A., Balata, H., </w:t>
      </w:r>
      <w:r w:rsidRPr="0064524C">
        <w:rPr>
          <w:rFonts w:ascii="Arial" w:hAnsi="Arial" w:cs="Arial"/>
        </w:rPr>
        <w:t>Chudziak</w:t>
      </w:r>
      <w:r>
        <w:rPr>
          <w:rFonts w:ascii="Arial" w:hAnsi="Arial" w:cs="Arial" w:hint="eastAsia"/>
          <w:lang w:eastAsia="zh-CN"/>
        </w:rPr>
        <w:t>,</w:t>
      </w:r>
      <w:r w:rsidRPr="0064524C">
        <w:rPr>
          <w:rFonts w:ascii="Arial" w:hAnsi="Arial" w:cs="Arial"/>
        </w:rPr>
        <w:t xml:space="preserve"> J</w:t>
      </w:r>
      <w:r>
        <w:rPr>
          <w:rFonts w:ascii="Arial" w:hAnsi="Arial" w:cs="Arial" w:hint="eastAsia"/>
          <w:lang w:eastAsia="zh-CN"/>
        </w:rPr>
        <w:t>.</w:t>
      </w:r>
      <w:r w:rsidRPr="0064524C">
        <w:rPr>
          <w:rFonts w:ascii="Arial" w:hAnsi="Arial" w:cs="Arial"/>
        </w:rPr>
        <w:t>, Hussell</w:t>
      </w:r>
      <w:r>
        <w:rPr>
          <w:rFonts w:ascii="Arial" w:hAnsi="Arial" w:cs="Arial" w:hint="eastAsia"/>
          <w:lang w:eastAsia="zh-CN"/>
        </w:rPr>
        <w:t>,</w:t>
      </w:r>
      <w:r w:rsidRPr="0064524C">
        <w:rPr>
          <w:rFonts w:ascii="Arial" w:hAnsi="Arial" w:cs="Arial"/>
        </w:rPr>
        <w:t xml:space="preserve"> T</w:t>
      </w:r>
      <w:r>
        <w:rPr>
          <w:rFonts w:ascii="Arial" w:hAnsi="Arial" w:cs="Arial" w:hint="eastAsia"/>
          <w:lang w:eastAsia="zh-CN"/>
        </w:rPr>
        <w:t>.</w:t>
      </w:r>
      <w:r w:rsidRPr="0064524C">
        <w:rPr>
          <w:rFonts w:ascii="Arial" w:hAnsi="Arial" w:cs="Arial"/>
        </w:rPr>
        <w:t>, Dive</w:t>
      </w:r>
      <w:r>
        <w:rPr>
          <w:rFonts w:ascii="Arial" w:hAnsi="Arial" w:cs="Arial" w:hint="eastAsia"/>
          <w:lang w:eastAsia="zh-CN"/>
        </w:rPr>
        <w:t>,</w:t>
      </w:r>
      <w:r w:rsidRPr="0064524C">
        <w:rPr>
          <w:rFonts w:ascii="Arial" w:hAnsi="Arial" w:cs="Arial"/>
        </w:rPr>
        <w:t xml:space="preserve"> C</w:t>
      </w:r>
      <w:r w:rsidRPr="00864D18">
        <w:rPr>
          <w:rFonts w:ascii="Arial" w:hAnsi="Arial" w:cs="Arial"/>
        </w:rPr>
        <w:t>. (2017). Progress and prospects of early detection in lung cancer. Open Biology, 7(9), 170070.</w:t>
      </w:r>
    </w:p>
    <w:p w14:paraId="5AA18749"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4  </w:t>
      </w:r>
      <w:r w:rsidRPr="00864D18">
        <w:rPr>
          <w:rFonts w:ascii="Arial" w:hAnsi="Arial" w:cs="Arial"/>
        </w:rPr>
        <w:t>Caraceni, A., &amp; Portenoy, R. K. (1999). An international survey of cancer pain characteristics and syndromes. IASP Task Force on Cancer Pain. Pain, 82(32), 263–274.</w:t>
      </w:r>
    </w:p>
    <w:p w14:paraId="01CFE433"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5  </w:t>
      </w:r>
      <w:r w:rsidRPr="00864D18">
        <w:rPr>
          <w:rFonts w:ascii="Arial" w:hAnsi="Arial" w:cs="Arial"/>
        </w:rPr>
        <w:t>Portenoy, R. K. (2011). Treatment of cancer pain. The Lancet, 377(9784), 2236–2247.</w:t>
      </w:r>
    </w:p>
    <w:p w14:paraId="1F72227D"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6  </w:t>
      </w:r>
      <w:r w:rsidRPr="00864D18">
        <w:rPr>
          <w:rFonts w:ascii="Arial" w:hAnsi="Arial" w:cs="Arial"/>
        </w:rPr>
        <w:t xml:space="preserve">Portenoy, R. K., Bruns, D., Shoemaker, B., </w:t>
      </w:r>
      <w:r w:rsidRPr="0064524C">
        <w:rPr>
          <w:rFonts w:ascii="Arial" w:hAnsi="Arial" w:cs="Arial"/>
        </w:rPr>
        <w:t>Shoemaker</w:t>
      </w:r>
      <w:r>
        <w:rPr>
          <w:rFonts w:ascii="Arial" w:hAnsi="Arial" w:cs="Arial" w:hint="eastAsia"/>
          <w:lang w:eastAsia="zh-CN"/>
        </w:rPr>
        <w:t>,</w:t>
      </w:r>
      <w:r w:rsidRPr="0064524C">
        <w:rPr>
          <w:rFonts w:ascii="Arial" w:hAnsi="Arial" w:cs="Arial"/>
        </w:rPr>
        <w:t xml:space="preserve"> S</w:t>
      </w:r>
      <w:r>
        <w:rPr>
          <w:rFonts w:ascii="Arial" w:hAnsi="Arial" w:cs="Arial" w:hint="eastAsia"/>
          <w:lang w:eastAsia="zh-CN"/>
        </w:rPr>
        <w:t>.</w:t>
      </w:r>
      <w:r w:rsidRPr="0064524C">
        <w:rPr>
          <w:rFonts w:ascii="Arial" w:hAnsi="Arial" w:cs="Arial"/>
        </w:rPr>
        <w:t>A.</w:t>
      </w:r>
      <w:r w:rsidRPr="00864D18">
        <w:rPr>
          <w:rFonts w:ascii="Arial" w:hAnsi="Arial" w:cs="Arial"/>
        </w:rPr>
        <w:t xml:space="preserve"> (2010). Breakthrough pain in community-dwelling patients with cancer pain and noncancer pain, part 2: impact on function, mood, and quality of life. Journal of Opioid Management, 6(2), 109–116.</w:t>
      </w:r>
    </w:p>
    <w:p w14:paraId="78A1E475"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7  </w:t>
      </w:r>
      <w:r w:rsidRPr="00864D18">
        <w:rPr>
          <w:rFonts w:ascii="Arial" w:hAnsi="Arial" w:cs="Arial"/>
        </w:rPr>
        <w:t xml:space="preserve">Seluanov, A., Gladyshev, V. N., Vijg, J., </w:t>
      </w:r>
      <w:r w:rsidRPr="0064524C">
        <w:rPr>
          <w:rFonts w:ascii="Arial" w:hAnsi="Arial" w:cs="Arial"/>
        </w:rPr>
        <w:t>Gorbunova</w:t>
      </w:r>
      <w:r>
        <w:rPr>
          <w:rFonts w:ascii="Arial" w:hAnsi="Arial" w:cs="Arial" w:hint="eastAsia"/>
          <w:lang w:eastAsia="zh-CN"/>
        </w:rPr>
        <w:t>,</w:t>
      </w:r>
      <w:r w:rsidRPr="0064524C">
        <w:rPr>
          <w:rFonts w:ascii="Arial" w:hAnsi="Arial" w:cs="Arial"/>
        </w:rPr>
        <w:t xml:space="preserve"> V</w:t>
      </w:r>
      <w:r w:rsidRPr="00864D18">
        <w:rPr>
          <w:rFonts w:ascii="Arial" w:hAnsi="Arial" w:cs="Arial"/>
        </w:rPr>
        <w:t>. (2018). Mechanisms of cancer resistance in long-lived mammals. Nature Reviews Cancer, 18, 433–441.</w:t>
      </w:r>
    </w:p>
    <w:p w14:paraId="75C6658B"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8  </w:t>
      </w:r>
      <w:r w:rsidRPr="00864D18">
        <w:rPr>
          <w:rFonts w:ascii="Arial" w:hAnsi="Arial" w:cs="Arial"/>
        </w:rPr>
        <w:t xml:space="preserve">Tian, X., Azpurua, J., Hine, C., </w:t>
      </w:r>
      <w:r w:rsidRPr="0064524C">
        <w:rPr>
          <w:rFonts w:ascii="Arial" w:hAnsi="Arial" w:cs="Arial"/>
        </w:rPr>
        <w:t>Vaidya</w:t>
      </w:r>
      <w:r>
        <w:rPr>
          <w:rFonts w:ascii="Arial" w:hAnsi="Arial" w:cs="Arial" w:hint="eastAsia"/>
          <w:lang w:eastAsia="zh-CN"/>
        </w:rPr>
        <w:t>,</w:t>
      </w:r>
      <w:r w:rsidRPr="0064524C">
        <w:rPr>
          <w:rFonts w:ascii="Arial" w:hAnsi="Arial" w:cs="Arial"/>
        </w:rPr>
        <w:t xml:space="preserve"> A</w:t>
      </w:r>
      <w:r>
        <w:rPr>
          <w:rFonts w:ascii="Arial" w:hAnsi="Arial" w:cs="Arial" w:hint="eastAsia"/>
          <w:lang w:eastAsia="zh-CN"/>
        </w:rPr>
        <w:t>.</w:t>
      </w:r>
      <w:r w:rsidRPr="0064524C">
        <w:rPr>
          <w:rFonts w:ascii="Arial" w:hAnsi="Arial" w:cs="Arial"/>
        </w:rPr>
        <w:t>, Myakishev-Rempel</w:t>
      </w:r>
      <w:r>
        <w:rPr>
          <w:rFonts w:ascii="Arial" w:hAnsi="Arial" w:cs="Arial" w:hint="eastAsia"/>
          <w:lang w:eastAsia="zh-CN"/>
        </w:rPr>
        <w:t>,</w:t>
      </w:r>
      <w:r w:rsidRPr="0064524C">
        <w:rPr>
          <w:rFonts w:ascii="Arial" w:hAnsi="Arial" w:cs="Arial"/>
        </w:rPr>
        <w:t xml:space="preserve"> M</w:t>
      </w:r>
      <w:r>
        <w:rPr>
          <w:rFonts w:ascii="Arial" w:hAnsi="Arial" w:cs="Arial" w:hint="eastAsia"/>
          <w:lang w:eastAsia="zh-CN"/>
        </w:rPr>
        <w:t>.</w:t>
      </w:r>
      <w:r w:rsidRPr="0064524C">
        <w:rPr>
          <w:rFonts w:ascii="Arial" w:hAnsi="Arial" w:cs="Arial"/>
        </w:rPr>
        <w:t>, Ablaeva</w:t>
      </w:r>
      <w:r>
        <w:rPr>
          <w:rFonts w:ascii="Arial" w:hAnsi="Arial" w:cs="Arial" w:hint="eastAsia"/>
          <w:lang w:eastAsia="zh-CN"/>
        </w:rPr>
        <w:t>,</w:t>
      </w:r>
      <w:r w:rsidRPr="0064524C">
        <w:rPr>
          <w:rFonts w:ascii="Arial" w:hAnsi="Arial" w:cs="Arial"/>
        </w:rPr>
        <w:t xml:space="preserve"> J</w:t>
      </w:r>
      <w:r>
        <w:rPr>
          <w:rFonts w:ascii="Arial" w:hAnsi="Arial" w:cs="Arial" w:hint="eastAsia"/>
          <w:lang w:eastAsia="zh-CN"/>
        </w:rPr>
        <w:t>.</w:t>
      </w:r>
      <w:r w:rsidRPr="0064524C">
        <w:rPr>
          <w:rFonts w:ascii="Arial" w:hAnsi="Arial" w:cs="Arial"/>
        </w:rPr>
        <w:t xml:space="preserve">, </w:t>
      </w:r>
      <w:r w:rsidRPr="00864D18">
        <w:rPr>
          <w:rFonts w:ascii="Arial" w:hAnsi="Arial" w:cs="Arial"/>
        </w:rPr>
        <w:t>et al. (2013). High-molecular-mass hyaluronan mediates the cancer resistance of the naked mole rat. Nature, 499(7458), 346-349.</w:t>
      </w:r>
    </w:p>
    <w:p w14:paraId="57328E3D"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lastRenderedPageBreak/>
        <w:t xml:space="preserve">9  </w:t>
      </w:r>
      <w:r w:rsidRPr="00864D18">
        <w:rPr>
          <w:rFonts w:ascii="Arial" w:hAnsi="Arial" w:cs="Arial"/>
        </w:rPr>
        <w:t xml:space="preserve">Smith, E. S., Omerbašić, D., Lechner, S. G., </w:t>
      </w:r>
      <w:r w:rsidRPr="009E0206">
        <w:rPr>
          <w:rFonts w:ascii="Arial" w:hAnsi="Arial" w:cs="Arial"/>
        </w:rPr>
        <w:t>Anirudhan</w:t>
      </w:r>
      <w:r>
        <w:rPr>
          <w:rFonts w:ascii="Arial" w:hAnsi="Arial" w:cs="Arial" w:hint="eastAsia"/>
          <w:lang w:eastAsia="zh-CN"/>
        </w:rPr>
        <w:t>,</w:t>
      </w:r>
      <w:r w:rsidRPr="009E0206">
        <w:rPr>
          <w:rFonts w:ascii="Arial" w:hAnsi="Arial" w:cs="Arial"/>
        </w:rPr>
        <w:t xml:space="preserve"> G</w:t>
      </w:r>
      <w:r>
        <w:rPr>
          <w:rFonts w:ascii="Arial" w:hAnsi="Arial" w:cs="Arial" w:hint="eastAsia"/>
          <w:lang w:eastAsia="zh-CN"/>
        </w:rPr>
        <w:t>.</w:t>
      </w:r>
      <w:r w:rsidRPr="009E0206">
        <w:rPr>
          <w:rFonts w:ascii="Arial" w:hAnsi="Arial" w:cs="Arial"/>
        </w:rPr>
        <w:t>, Lapatsina</w:t>
      </w:r>
      <w:r>
        <w:rPr>
          <w:rFonts w:ascii="Arial" w:hAnsi="Arial" w:cs="Arial" w:hint="eastAsia"/>
          <w:lang w:eastAsia="zh-CN"/>
        </w:rPr>
        <w:t>,</w:t>
      </w:r>
      <w:r w:rsidRPr="009E0206">
        <w:rPr>
          <w:rFonts w:ascii="Arial" w:hAnsi="Arial" w:cs="Arial"/>
        </w:rPr>
        <w:t xml:space="preserve"> L</w:t>
      </w:r>
      <w:r>
        <w:rPr>
          <w:rFonts w:ascii="Arial" w:hAnsi="Arial" w:cs="Arial" w:hint="eastAsia"/>
          <w:lang w:eastAsia="zh-CN"/>
        </w:rPr>
        <w:t>.</w:t>
      </w:r>
      <w:r w:rsidRPr="009E0206">
        <w:rPr>
          <w:rFonts w:ascii="Arial" w:hAnsi="Arial" w:cs="Arial"/>
        </w:rPr>
        <w:t>, Lewin</w:t>
      </w:r>
      <w:r>
        <w:rPr>
          <w:rFonts w:ascii="Arial" w:hAnsi="Arial" w:cs="Arial" w:hint="eastAsia"/>
          <w:lang w:eastAsia="zh-CN"/>
        </w:rPr>
        <w:t>,</w:t>
      </w:r>
      <w:r w:rsidRPr="009E0206">
        <w:rPr>
          <w:rFonts w:ascii="Arial" w:hAnsi="Arial" w:cs="Arial"/>
        </w:rPr>
        <w:t xml:space="preserve"> G</w:t>
      </w:r>
      <w:r>
        <w:rPr>
          <w:rFonts w:ascii="Arial" w:hAnsi="Arial" w:cs="Arial" w:hint="eastAsia"/>
          <w:lang w:eastAsia="zh-CN"/>
        </w:rPr>
        <w:t>.</w:t>
      </w:r>
      <w:r w:rsidRPr="009E0206">
        <w:rPr>
          <w:rFonts w:ascii="Arial" w:hAnsi="Arial" w:cs="Arial"/>
        </w:rPr>
        <w:t>R</w:t>
      </w:r>
      <w:r w:rsidRPr="00864D18">
        <w:rPr>
          <w:rFonts w:ascii="Arial" w:hAnsi="Arial" w:cs="Arial"/>
        </w:rPr>
        <w:t>. (2011). The Molecular Basis of Acid Insensitivity in the African Naked Mole-Rat. Science, 334, 1557–1560.</w:t>
      </w:r>
    </w:p>
    <w:p w14:paraId="4987A708" w14:textId="77777777" w:rsidR="00E14B17" w:rsidRPr="00DC5A6E"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10  </w:t>
      </w:r>
      <w:r w:rsidRPr="00864D18">
        <w:rPr>
          <w:rFonts w:ascii="Arial" w:hAnsi="Arial" w:cs="Arial"/>
        </w:rPr>
        <w:t xml:space="preserve">Zhang, Z. H., Tian, X., Lu, J. Y., </w:t>
      </w:r>
      <w:r w:rsidRPr="009E0206">
        <w:rPr>
          <w:rFonts w:ascii="Arial" w:hAnsi="Arial" w:cs="Arial"/>
        </w:rPr>
        <w:t>Boit</w:t>
      </w:r>
      <w:r>
        <w:rPr>
          <w:rFonts w:ascii="Arial" w:hAnsi="Arial" w:cs="Arial" w:hint="eastAsia"/>
          <w:lang w:eastAsia="zh-CN"/>
        </w:rPr>
        <w:t>,</w:t>
      </w:r>
      <w:r w:rsidRPr="009E0206">
        <w:rPr>
          <w:rFonts w:ascii="Arial" w:hAnsi="Arial" w:cs="Arial"/>
        </w:rPr>
        <w:t xml:space="preserve"> K</w:t>
      </w:r>
      <w:r>
        <w:rPr>
          <w:rFonts w:ascii="Arial" w:hAnsi="Arial" w:cs="Arial" w:hint="eastAsia"/>
          <w:lang w:eastAsia="zh-CN"/>
        </w:rPr>
        <w:t>.</w:t>
      </w:r>
      <w:r w:rsidRPr="009E0206">
        <w:rPr>
          <w:rFonts w:ascii="Arial" w:hAnsi="Arial" w:cs="Arial"/>
        </w:rPr>
        <w:t>, Ablaeva</w:t>
      </w:r>
      <w:r>
        <w:rPr>
          <w:rFonts w:ascii="Arial" w:hAnsi="Arial" w:cs="Arial" w:hint="eastAsia"/>
          <w:lang w:eastAsia="zh-CN"/>
        </w:rPr>
        <w:t>,</w:t>
      </w:r>
      <w:r w:rsidRPr="009E0206">
        <w:rPr>
          <w:rFonts w:ascii="Arial" w:hAnsi="Arial" w:cs="Arial"/>
        </w:rPr>
        <w:t xml:space="preserve"> J</w:t>
      </w:r>
      <w:r>
        <w:rPr>
          <w:rFonts w:ascii="Arial" w:hAnsi="Arial" w:cs="Arial" w:hint="eastAsia"/>
          <w:lang w:eastAsia="zh-CN"/>
        </w:rPr>
        <w:t>.</w:t>
      </w:r>
      <w:r w:rsidRPr="009E0206">
        <w:rPr>
          <w:rFonts w:ascii="Arial" w:hAnsi="Arial" w:cs="Arial"/>
        </w:rPr>
        <w:t>, Zakusilo</w:t>
      </w:r>
      <w:r>
        <w:rPr>
          <w:rFonts w:ascii="Arial" w:hAnsi="Arial" w:cs="Arial" w:hint="eastAsia"/>
          <w:lang w:eastAsia="zh-CN"/>
        </w:rPr>
        <w:t>,</w:t>
      </w:r>
      <w:r w:rsidRPr="009E0206">
        <w:rPr>
          <w:rFonts w:ascii="Arial" w:hAnsi="Arial" w:cs="Arial"/>
        </w:rPr>
        <w:t xml:space="preserve"> F</w:t>
      </w:r>
      <w:r>
        <w:rPr>
          <w:rFonts w:ascii="Arial" w:hAnsi="Arial" w:cs="Arial" w:hint="eastAsia"/>
          <w:lang w:eastAsia="zh-CN"/>
        </w:rPr>
        <w:t>.</w:t>
      </w:r>
      <w:r w:rsidRPr="009E0206">
        <w:rPr>
          <w:rFonts w:ascii="Arial" w:hAnsi="Arial" w:cs="Arial"/>
        </w:rPr>
        <w:t>T</w:t>
      </w:r>
      <w:r>
        <w:rPr>
          <w:rFonts w:ascii="Arial" w:hAnsi="Arial" w:cs="Arial" w:hint="eastAsia"/>
          <w:lang w:eastAsia="zh-CN"/>
        </w:rPr>
        <w:t>.,</w:t>
      </w:r>
      <w:r w:rsidRPr="009E0206">
        <w:rPr>
          <w:rFonts w:ascii="Arial" w:hAnsi="Arial" w:cs="Arial"/>
        </w:rPr>
        <w:t xml:space="preserve"> </w:t>
      </w:r>
      <w:r w:rsidRPr="00864D18">
        <w:rPr>
          <w:rFonts w:ascii="Arial" w:hAnsi="Arial" w:cs="Arial"/>
        </w:rPr>
        <w:t>et al. (2023). Increased hyaluronan by naked mole-rat Has2 improves healthspan in mice. Nature, 621, 196-205</w:t>
      </w:r>
      <w:r w:rsidRPr="00DC5A6E">
        <w:rPr>
          <w:rFonts w:ascii="Arial" w:hAnsi="Arial" w:cs="Arial"/>
        </w:rPr>
        <w:t>.</w:t>
      </w:r>
    </w:p>
    <w:p w14:paraId="741FB4D2"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11 </w:t>
      </w:r>
      <w:r w:rsidRPr="00864D18">
        <w:rPr>
          <w:rFonts w:ascii="Arial" w:hAnsi="Arial" w:cs="Arial"/>
        </w:rPr>
        <w:t xml:space="preserve">Snetkov, P., Zakharova, K., Morozkina, S., </w:t>
      </w:r>
      <w:r w:rsidRPr="009E0206">
        <w:rPr>
          <w:rFonts w:ascii="Arial" w:hAnsi="Arial" w:cs="Arial"/>
        </w:rPr>
        <w:t>Olekhnovich</w:t>
      </w:r>
      <w:r>
        <w:rPr>
          <w:rFonts w:ascii="Arial" w:hAnsi="Arial" w:cs="Arial" w:hint="eastAsia"/>
          <w:lang w:eastAsia="zh-CN"/>
        </w:rPr>
        <w:t>,</w:t>
      </w:r>
      <w:r w:rsidRPr="009E0206">
        <w:rPr>
          <w:rFonts w:ascii="Arial" w:hAnsi="Arial" w:cs="Arial"/>
        </w:rPr>
        <w:t xml:space="preserve"> R</w:t>
      </w:r>
      <w:r>
        <w:rPr>
          <w:rFonts w:ascii="Arial" w:hAnsi="Arial" w:cs="Arial" w:hint="eastAsia"/>
          <w:lang w:eastAsia="zh-CN"/>
        </w:rPr>
        <w:t>.</w:t>
      </w:r>
      <w:r w:rsidRPr="009E0206">
        <w:rPr>
          <w:rFonts w:ascii="Arial" w:hAnsi="Arial" w:cs="Arial"/>
        </w:rPr>
        <w:t>, Uspenskaya</w:t>
      </w:r>
      <w:r>
        <w:rPr>
          <w:rFonts w:ascii="Arial" w:hAnsi="Arial" w:cs="Arial" w:hint="eastAsia"/>
          <w:lang w:eastAsia="zh-CN"/>
        </w:rPr>
        <w:t>,</w:t>
      </w:r>
      <w:r w:rsidRPr="009E0206">
        <w:rPr>
          <w:rFonts w:ascii="Arial" w:hAnsi="Arial" w:cs="Arial"/>
        </w:rPr>
        <w:t xml:space="preserve"> M</w:t>
      </w:r>
      <w:r w:rsidRPr="00864D18">
        <w:rPr>
          <w:rFonts w:ascii="Arial" w:hAnsi="Arial" w:cs="Arial"/>
        </w:rPr>
        <w:t>. (2020). Hyaluronic Acid: The Influence of Molecular Weight on Structural, Physical, Physico-Chemical, and Degradable Properties of Biopolymer. Polymers (Basel), 12(8), 1800.</w:t>
      </w:r>
    </w:p>
    <w:p w14:paraId="7F68D119"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12 </w:t>
      </w:r>
      <w:r w:rsidRPr="00864D18">
        <w:rPr>
          <w:rFonts w:ascii="Arial" w:hAnsi="Arial" w:cs="Arial"/>
        </w:rPr>
        <w:t>Zhu, J., Tang, X., Jia, Y., Ho, C. T., &amp; Huang, Q. (2020). Applications and delivery mechanisms of hyaluronic acid used for topical/transdermal delivery - A review. International Journal of Pharmaceutics, 578, 119127.</w:t>
      </w:r>
    </w:p>
    <w:p w14:paraId="732AB32D"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13 </w:t>
      </w:r>
      <w:r w:rsidRPr="00864D18">
        <w:rPr>
          <w:rFonts w:ascii="Arial" w:hAnsi="Arial" w:cs="Arial"/>
        </w:rPr>
        <w:t>Sander, C., Nielsen, H. M., &amp; Jacobsen, J. (2013). Buccal delivery of metformin: TR146 cell culture model evaluating the use of bioadhesive chitosan discs for drug permeability enhancement. International Journal of Pharmaceutics, 458, 254-261.</w:t>
      </w:r>
    </w:p>
    <w:p w14:paraId="4828B25E"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14 </w:t>
      </w:r>
      <w:r w:rsidRPr="00864D18">
        <w:rPr>
          <w:rFonts w:ascii="Arial" w:hAnsi="Arial" w:cs="Arial"/>
        </w:rPr>
        <w:t>Park, H. Y., Kweon, D. K., &amp; Kim, J. K. (2023). Molecular weight-dependent hyaluronic acid permeability and tight junction modulation in human buccal TR146 cell monolayers. International Journal of Biological Macromolecules, 227, 182-192.</w:t>
      </w:r>
    </w:p>
    <w:p w14:paraId="5C4FA513"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15 </w:t>
      </w:r>
      <w:r w:rsidRPr="00864D18">
        <w:rPr>
          <w:rFonts w:ascii="Arial" w:hAnsi="Arial" w:cs="Arial"/>
        </w:rPr>
        <w:t>Fraser, J. R. E., Laurent, T. C., &amp; Laurent, U. B. G. (1997). Hyaluronan: its nature, distribution, functions and turnover. Journal of Internal Medicine, 242(1), 27-33.</w:t>
      </w:r>
    </w:p>
    <w:p w14:paraId="767CBD70"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16 </w:t>
      </w:r>
      <w:r w:rsidRPr="00864D18">
        <w:rPr>
          <w:rFonts w:ascii="Arial" w:hAnsi="Arial" w:cs="Arial"/>
        </w:rPr>
        <w:t>Johnson, L. A., &amp; Jackson, D. G. (2021). Hyaluronan and Its Receptors: Key Mediators of Immune Cell Entry and Trafficking in the Lymphatic System. Cells, 10(8), 2061.</w:t>
      </w:r>
    </w:p>
    <w:p w14:paraId="2A7C7557"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17 </w:t>
      </w:r>
      <w:r w:rsidRPr="00864D18">
        <w:rPr>
          <w:rFonts w:ascii="Arial" w:hAnsi="Arial" w:cs="Arial"/>
        </w:rPr>
        <w:t xml:space="preserve">Jia, X., Shi, M., Wang, Q., </w:t>
      </w:r>
      <w:r w:rsidRPr="009E0206">
        <w:rPr>
          <w:rFonts w:ascii="Arial" w:hAnsi="Arial" w:cs="Arial"/>
        </w:rPr>
        <w:t>Hui</w:t>
      </w:r>
      <w:r>
        <w:rPr>
          <w:rFonts w:ascii="Arial" w:hAnsi="Arial" w:cs="Arial" w:hint="eastAsia"/>
          <w:lang w:eastAsia="zh-CN"/>
        </w:rPr>
        <w:t>,</w:t>
      </w:r>
      <w:r w:rsidRPr="009E0206">
        <w:rPr>
          <w:rFonts w:ascii="Arial" w:hAnsi="Arial" w:cs="Arial"/>
        </w:rPr>
        <w:t xml:space="preserve"> J</w:t>
      </w:r>
      <w:r>
        <w:rPr>
          <w:rFonts w:ascii="Arial" w:hAnsi="Arial" w:cs="Arial" w:hint="eastAsia"/>
          <w:lang w:eastAsia="zh-CN"/>
        </w:rPr>
        <w:t>.</w:t>
      </w:r>
      <w:r w:rsidRPr="009E0206">
        <w:rPr>
          <w:rFonts w:ascii="Arial" w:hAnsi="Arial" w:cs="Arial"/>
        </w:rPr>
        <w:t>, Shofaro</w:t>
      </w:r>
      <w:r>
        <w:rPr>
          <w:rFonts w:ascii="Arial" w:hAnsi="Arial" w:cs="Arial" w:hint="eastAsia"/>
          <w:lang w:eastAsia="zh-CN"/>
        </w:rPr>
        <w:t>,</w:t>
      </w:r>
      <w:r w:rsidRPr="009E0206">
        <w:rPr>
          <w:rFonts w:ascii="Arial" w:hAnsi="Arial" w:cs="Arial"/>
        </w:rPr>
        <w:t xml:space="preserve"> J</w:t>
      </w:r>
      <w:r>
        <w:rPr>
          <w:rFonts w:ascii="Arial" w:hAnsi="Arial" w:cs="Arial" w:hint="eastAsia"/>
          <w:lang w:eastAsia="zh-CN"/>
        </w:rPr>
        <w:t>.</w:t>
      </w:r>
      <w:r w:rsidRPr="009E0206">
        <w:rPr>
          <w:rFonts w:ascii="Arial" w:hAnsi="Arial" w:cs="Arial"/>
        </w:rPr>
        <w:t>H</w:t>
      </w:r>
      <w:r>
        <w:rPr>
          <w:rFonts w:ascii="Arial" w:hAnsi="Arial" w:cs="Arial" w:hint="eastAsia"/>
          <w:lang w:eastAsia="zh-CN"/>
        </w:rPr>
        <w:t>.</w:t>
      </w:r>
      <w:r w:rsidRPr="009E0206">
        <w:rPr>
          <w:rFonts w:ascii="Arial" w:hAnsi="Arial" w:cs="Arial"/>
        </w:rPr>
        <w:t>, Erkhembayar</w:t>
      </w:r>
      <w:r>
        <w:rPr>
          <w:rFonts w:ascii="Arial" w:hAnsi="Arial" w:cs="Arial" w:hint="eastAsia"/>
          <w:lang w:eastAsia="zh-CN"/>
        </w:rPr>
        <w:t>,</w:t>
      </w:r>
      <w:r w:rsidRPr="009E0206">
        <w:rPr>
          <w:rFonts w:ascii="Arial" w:hAnsi="Arial" w:cs="Arial"/>
        </w:rPr>
        <w:t xml:space="preserve"> R</w:t>
      </w:r>
      <w:r>
        <w:rPr>
          <w:rFonts w:ascii="Arial" w:hAnsi="Arial" w:cs="Arial" w:hint="eastAsia"/>
          <w:lang w:eastAsia="zh-CN"/>
        </w:rPr>
        <w:t xml:space="preserve">., </w:t>
      </w:r>
      <w:r w:rsidRPr="00864D18">
        <w:rPr>
          <w:rFonts w:ascii="Arial" w:hAnsi="Arial" w:cs="Arial"/>
        </w:rPr>
        <w:t>et al. (2023). Anti-Inflammatory Effects of the 35 kDa Hyaluronic Acid Fragment (B-HA/HA35). Journal of Inflammation Research, 16, 209-224.</w:t>
      </w:r>
    </w:p>
    <w:p w14:paraId="03AE43A1"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18 </w:t>
      </w:r>
      <w:r w:rsidRPr="00864D18">
        <w:rPr>
          <w:rFonts w:ascii="Arial" w:hAnsi="Arial" w:cs="Arial"/>
        </w:rPr>
        <w:t xml:space="preserve">Caires, R., Luis, E., Taberner, F. J., </w:t>
      </w:r>
      <w:r w:rsidRPr="00024AAF">
        <w:rPr>
          <w:rFonts w:ascii="Arial" w:hAnsi="Arial" w:cs="Arial"/>
        </w:rPr>
        <w:t>Fernandez-Ballester</w:t>
      </w:r>
      <w:r>
        <w:rPr>
          <w:rFonts w:ascii="Arial" w:hAnsi="Arial" w:cs="Arial" w:hint="eastAsia"/>
          <w:lang w:eastAsia="zh-CN"/>
        </w:rPr>
        <w:t>,</w:t>
      </w:r>
      <w:r w:rsidRPr="00024AAF">
        <w:rPr>
          <w:rFonts w:ascii="Arial" w:hAnsi="Arial" w:cs="Arial"/>
        </w:rPr>
        <w:t xml:space="preserve"> G</w:t>
      </w:r>
      <w:r>
        <w:rPr>
          <w:rFonts w:ascii="Arial" w:hAnsi="Arial" w:cs="Arial" w:hint="eastAsia"/>
          <w:lang w:eastAsia="zh-CN"/>
        </w:rPr>
        <w:t>.</w:t>
      </w:r>
      <w:r w:rsidRPr="00024AAF">
        <w:rPr>
          <w:rFonts w:ascii="Arial" w:hAnsi="Arial" w:cs="Arial"/>
        </w:rPr>
        <w:t>, Ferrer-Montiel</w:t>
      </w:r>
      <w:r>
        <w:rPr>
          <w:rFonts w:ascii="Arial" w:hAnsi="Arial" w:cs="Arial" w:hint="eastAsia"/>
          <w:lang w:eastAsia="zh-CN"/>
        </w:rPr>
        <w:t>,</w:t>
      </w:r>
      <w:r w:rsidRPr="00024AAF">
        <w:rPr>
          <w:rFonts w:ascii="Arial" w:hAnsi="Arial" w:cs="Arial"/>
        </w:rPr>
        <w:t xml:space="preserve"> A</w:t>
      </w:r>
      <w:r>
        <w:rPr>
          <w:rFonts w:ascii="Arial" w:hAnsi="Arial" w:cs="Arial" w:hint="eastAsia"/>
          <w:lang w:eastAsia="zh-CN"/>
        </w:rPr>
        <w:t>.</w:t>
      </w:r>
      <w:r w:rsidRPr="00024AAF">
        <w:rPr>
          <w:rFonts w:ascii="Arial" w:hAnsi="Arial" w:cs="Arial"/>
        </w:rPr>
        <w:t>, Balazs</w:t>
      </w:r>
      <w:r>
        <w:rPr>
          <w:rFonts w:ascii="Arial" w:hAnsi="Arial" w:cs="Arial" w:hint="eastAsia"/>
          <w:lang w:eastAsia="zh-CN"/>
        </w:rPr>
        <w:t>,</w:t>
      </w:r>
      <w:r w:rsidRPr="00024AAF">
        <w:rPr>
          <w:rFonts w:ascii="Arial" w:hAnsi="Arial" w:cs="Arial"/>
        </w:rPr>
        <w:t xml:space="preserve"> E</w:t>
      </w:r>
      <w:r>
        <w:rPr>
          <w:rFonts w:ascii="Arial" w:hAnsi="Arial" w:cs="Arial" w:hint="eastAsia"/>
          <w:lang w:eastAsia="zh-CN"/>
        </w:rPr>
        <w:t>.</w:t>
      </w:r>
      <w:r w:rsidRPr="00024AAF">
        <w:rPr>
          <w:rFonts w:ascii="Arial" w:hAnsi="Arial" w:cs="Arial"/>
        </w:rPr>
        <w:t>A</w:t>
      </w:r>
      <w:r>
        <w:rPr>
          <w:rFonts w:ascii="Arial" w:hAnsi="Arial" w:cs="Arial" w:hint="eastAsia"/>
          <w:lang w:eastAsia="zh-CN"/>
        </w:rPr>
        <w:t>.</w:t>
      </w:r>
      <w:r w:rsidRPr="00024AAF">
        <w:rPr>
          <w:rFonts w:ascii="Arial" w:hAnsi="Arial" w:cs="Arial"/>
        </w:rPr>
        <w:t xml:space="preserve">, </w:t>
      </w:r>
      <w:r w:rsidRPr="00864D18">
        <w:rPr>
          <w:rFonts w:ascii="Arial" w:hAnsi="Arial" w:cs="Arial"/>
        </w:rPr>
        <w:t>et al. (2015). Hyaluronan modulates TRPV1 channel opening, reducing peripheral nociceptor activity and pain. Nature Communications, 6, 8095.</w:t>
      </w:r>
    </w:p>
    <w:p w14:paraId="4F6533BB"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19 </w:t>
      </w:r>
      <w:r w:rsidRPr="00864D18">
        <w:rPr>
          <w:rFonts w:ascii="Arial" w:hAnsi="Arial" w:cs="Arial"/>
        </w:rPr>
        <w:t xml:space="preserve">Hill, D. R., Rho, H. K., Kessler, S. P., </w:t>
      </w:r>
      <w:r w:rsidRPr="00024AAF">
        <w:rPr>
          <w:rFonts w:ascii="Arial" w:hAnsi="Arial" w:cs="Arial"/>
        </w:rPr>
        <w:t>Amin</w:t>
      </w:r>
      <w:r>
        <w:rPr>
          <w:rFonts w:ascii="Arial" w:hAnsi="Arial" w:cs="Arial" w:hint="eastAsia"/>
          <w:lang w:eastAsia="zh-CN"/>
        </w:rPr>
        <w:t>,</w:t>
      </w:r>
      <w:r w:rsidRPr="00024AAF">
        <w:rPr>
          <w:rFonts w:ascii="Arial" w:hAnsi="Arial" w:cs="Arial"/>
        </w:rPr>
        <w:t xml:space="preserve"> R</w:t>
      </w:r>
      <w:r>
        <w:rPr>
          <w:rFonts w:ascii="Arial" w:hAnsi="Arial" w:cs="Arial" w:hint="eastAsia"/>
          <w:lang w:eastAsia="zh-CN"/>
        </w:rPr>
        <w:t>.</w:t>
      </w:r>
      <w:r w:rsidRPr="00024AAF">
        <w:rPr>
          <w:rFonts w:ascii="Arial" w:hAnsi="Arial" w:cs="Arial"/>
        </w:rPr>
        <w:t>, Homer</w:t>
      </w:r>
      <w:r>
        <w:rPr>
          <w:rFonts w:ascii="Arial" w:hAnsi="Arial" w:cs="Arial" w:hint="eastAsia"/>
          <w:lang w:eastAsia="zh-CN"/>
        </w:rPr>
        <w:t>,</w:t>
      </w:r>
      <w:r w:rsidRPr="00024AAF">
        <w:rPr>
          <w:rFonts w:ascii="Arial" w:hAnsi="Arial" w:cs="Arial"/>
        </w:rPr>
        <w:t xml:space="preserve"> C</w:t>
      </w:r>
      <w:r>
        <w:rPr>
          <w:rFonts w:ascii="Arial" w:hAnsi="Arial" w:cs="Arial" w:hint="eastAsia"/>
          <w:lang w:eastAsia="zh-CN"/>
        </w:rPr>
        <w:t>.</w:t>
      </w:r>
      <w:r w:rsidRPr="00024AAF">
        <w:rPr>
          <w:rFonts w:ascii="Arial" w:hAnsi="Arial" w:cs="Arial"/>
        </w:rPr>
        <w:t>R</w:t>
      </w:r>
      <w:r>
        <w:rPr>
          <w:rFonts w:ascii="Arial" w:hAnsi="Arial" w:cs="Arial" w:hint="eastAsia"/>
          <w:lang w:eastAsia="zh-CN"/>
        </w:rPr>
        <w:t>.</w:t>
      </w:r>
      <w:r w:rsidRPr="00024AAF">
        <w:rPr>
          <w:rFonts w:ascii="Arial" w:hAnsi="Arial" w:cs="Arial"/>
        </w:rPr>
        <w:t>, McDonald</w:t>
      </w:r>
      <w:r>
        <w:rPr>
          <w:rFonts w:ascii="Arial" w:hAnsi="Arial" w:cs="Arial" w:hint="eastAsia"/>
          <w:lang w:eastAsia="zh-CN"/>
        </w:rPr>
        <w:t>,</w:t>
      </w:r>
      <w:r w:rsidRPr="00024AAF">
        <w:rPr>
          <w:rFonts w:ascii="Arial" w:hAnsi="Arial" w:cs="Arial"/>
        </w:rPr>
        <w:t xml:space="preserve"> C</w:t>
      </w:r>
      <w:r>
        <w:rPr>
          <w:rFonts w:ascii="Arial" w:hAnsi="Arial" w:cs="Arial" w:hint="eastAsia"/>
          <w:lang w:eastAsia="zh-CN"/>
        </w:rPr>
        <w:t>.,</w:t>
      </w:r>
      <w:r w:rsidRPr="00024AAF">
        <w:rPr>
          <w:rFonts w:ascii="Arial" w:hAnsi="Arial" w:cs="Arial"/>
        </w:rPr>
        <w:t xml:space="preserve"> </w:t>
      </w:r>
      <w:r w:rsidRPr="00864D18">
        <w:rPr>
          <w:rFonts w:ascii="Arial" w:hAnsi="Arial" w:cs="Arial"/>
        </w:rPr>
        <w:t>et al. (2013). Human milk hyaluronan enhances innate defense of the intestinal epithelium. Journal of Biological Chemistry, 288(40), 29090-29104.</w:t>
      </w:r>
    </w:p>
    <w:p w14:paraId="787E6845"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20 </w:t>
      </w:r>
      <w:r w:rsidRPr="00864D18">
        <w:rPr>
          <w:rFonts w:ascii="Arial" w:hAnsi="Arial" w:cs="Arial"/>
        </w:rPr>
        <w:t>Marco, F., Nicola, G., &amp; Gianni, M. (2017). Efficacy and safety of hyaluronic acid (500-730 kDa) ultrasound-guided injections on painful tendinopathies: a prospective, open label, clinical study. Muscles Ligaments Tendons Journal, 7(2), 388-395.</w:t>
      </w:r>
    </w:p>
    <w:p w14:paraId="24730904"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21 </w:t>
      </w:r>
      <w:r w:rsidRPr="00864D18">
        <w:rPr>
          <w:rFonts w:ascii="Arial" w:hAnsi="Arial" w:cs="Arial"/>
        </w:rPr>
        <w:t xml:space="preserve">Seyed, A. R., Farshad, N., Mahtab, D., </w:t>
      </w:r>
      <w:r w:rsidRPr="00024AAF">
        <w:rPr>
          <w:rFonts w:ascii="Arial" w:hAnsi="Arial" w:cs="Arial"/>
        </w:rPr>
        <w:t>Esmaily</w:t>
      </w:r>
      <w:r>
        <w:rPr>
          <w:rFonts w:ascii="Arial" w:hAnsi="Arial" w:cs="Arial" w:hint="eastAsia"/>
          <w:lang w:eastAsia="zh-CN"/>
        </w:rPr>
        <w:t>,</w:t>
      </w:r>
      <w:r w:rsidRPr="00024AAF">
        <w:rPr>
          <w:rFonts w:ascii="Arial" w:hAnsi="Arial" w:cs="Arial"/>
        </w:rPr>
        <w:t xml:space="preserve"> H</w:t>
      </w:r>
      <w:r>
        <w:rPr>
          <w:rFonts w:ascii="Arial" w:hAnsi="Arial" w:cs="Arial" w:hint="eastAsia"/>
          <w:lang w:eastAsia="zh-CN"/>
        </w:rPr>
        <w:t>.</w:t>
      </w:r>
      <w:r w:rsidRPr="00024AAF">
        <w:rPr>
          <w:rFonts w:ascii="Arial" w:hAnsi="Arial" w:cs="Arial"/>
        </w:rPr>
        <w:t>, Ghazihosseini</w:t>
      </w:r>
      <w:r>
        <w:rPr>
          <w:rFonts w:ascii="Arial" w:hAnsi="Arial" w:cs="Arial" w:hint="eastAsia"/>
          <w:lang w:eastAsia="zh-CN"/>
        </w:rPr>
        <w:t>,</w:t>
      </w:r>
      <w:r w:rsidRPr="00024AAF">
        <w:rPr>
          <w:rFonts w:ascii="Arial" w:hAnsi="Arial" w:cs="Arial"/>
        </w:rPr>
        <w:t xml:space="preserve"> P</w:t>
      </w:r>
      <w:r w:rsidRPr="00864D18">
        <w:rPr>
          <w:rFonts w:ascii="Arial" w:hAnsi="Arial" w:cs="Arial"/>
        </w:rPr>
        <w:t>. (2020). Ultrasound-Guided Injection of High Molecular Weight Hyaluronic Acid versus Corticosteroid in Management of Plantar Fasciitis: A 24-Week Randomized Clinical Trial. Journal of Pain Research, 13, 109–121.</w:t>
      </w:r>
    </w:p>
    <w:p w14:paraId="6C2DB24C"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22 </w:t>
      </w:r>
      <w:r w:rsidRPr="00864D18">
        <w:rPr>
          <w:rFonts w:ascii="Arial" w:hAnsi="Arial" w:cs="Arial"/>
        </w:rPr>
        <w:t xml:space="preserve">Bellar, A., Kessler, S. P., Obery, D. R., </w:t>
      </w:r>
      <w:r w:rsidRPr="00024AAF">
        <w:rPr>
          <w:rFonts w:ascii="Arial" w:hAnsi="Arial" w:cs="Arial"/>
        </w:rPr>
        <w:t>Sangwan</w:t>
      </w:r>
      <w:r>
        <w:rPr>
          <w:rFonts w:ascii="Arial" w:hAnsi="Arial" w:cs="Arial" w:hint="eastAsia"/>
          <w:lang w:eastAsia="zh-CN"/>
        </w:rPr>
        <w:t>,</w:t>
      </w:r>
      <w:r w:rsidRPr="00024AAF">
        <w:rPr>
          <w:rFonts w:ascii="Arial" w:hAnsi="Arial" w:cs="Arial"/>
        </w:rPr>
        <w:t xml:space="preserve"> N</w:t>
      </w:r>
      <w:r>
        <w:rPr>
          <w:rFonts w:ascii="Arial" w:hAnsi="Arial" w:cs="Arial" w:hint="eastAsia"/>
          <w:lang w:eastAsia="zh-CN"/>
        </w:rPr>
        <w:t>.</w:t>
      </w:r>
      <w:r w:rsidRPr="00024AAF">
        <w:rPr>
          <w:rFonts w:ascii="Arial" w:hAnsi="Arial" w:cs="Arial"/>
        </w:rPr>
        <w:t>, Welch</w:t>
      </w:r>
      <w:r>
        <w:rPr>
          <w:rFonts w:ascii="Arial" w:hAnsi="Arial" w:cs="Arial" w:hint="eastAsia"/>
          <w:lang w:eastAsia="zh-CN"/>
        </w:rPr>
        <w:t>,</w:t>
      </w:r>
      <w:r w:rsidRPr="00024AAF">
        <w:rPr>
          <w:rFonts w:ascii="Arial" w:hAnsi="Arial" w:cs="Arial"/>
        </w:rPr>
        <w:t xml:space="preserve"> N</w:t>
      </w:r>
      <w:r>
        <w:rPr>
          <w:rFonts w:ascii="Arial" w:hAnsi="Arial" w:cs="Arial" w:hint="eastAsia"/>
          <w:lang w:eastAsia="zh-CN"/>
        </w:rPr>
        <w:t>.</w:t>
      </w:r>
      <w:r w:rsidRPr="00024AAF">
        <w:rPr>
          <w:rFonts w:ascii="Arial" w:hAnsi="Arial" w:cs="Arial"/>
        </w:rPr>
        <w:t>, Nagy</w:t>
      </w:r>
      <w:r>
        <w:rPr>
          <w:rFonts w:ascii="Arial" w:hAnsi="Arial" w:cs="Arial" w:hint="eastAsia"/>
          <w:lang w:eastAsia="zh-CN"/>
        </w:rPr>
        <w:t>,</w:t>
      </w:r>
      <w:r w:rsidRPr="00024AAF">
        <w:rPr>
          <w:rFonts w:ascii="Arial" w:hAnsi="Arial" w:cs="Arial"/>
        </w:rPr>
        <w:t xml:space="preserve"> L</w:t>
      </w:r>
      <w:r>
        <w:rPr>
          <w:rFonts w:ascii="Arial" w:hAnsi="Arial" w:cs="Arial" w:hint="eastAsia"/>
          <w:lang w:eastAsia="zh-CN"/>
        </w:rPr>
        <w:t>.</w:t>
      </w:r>
      <w:r w:rsidRPr="00024AAF">
        <w:rPr>
          <w:rFonts w:ascii="Arial" w:hAnsi="Arial" w:cs="Arial"/>
        </w:rPr>
        <w:t>E</w:t>
      </w:r>
      <w:r>
        <w:rPr>
          <w:rFonts w:ascii="Arial" w:hAnsi="Arial" w:cs="Arial" w:hint="eastAsia"/>
          <w:lang w:eastAsia="zh-CN"/>
        </w:rPr>
        <w:t xml:space="preserve">., </w:t>
      </w:r>
      <w:r w:rsidRPr="00864D18">
        <w:rPr>
          <w:rFonts w:ascii="Arial" w:hAnsi="Arial" w:cs="Arial"/>
        </w:rPr>
        <w:t>et al. (2019). Safety of Hyaluronan 35 in Healthy Human Subjects: A Pilot Study. Nutrients, 11(5), 1135.</w:t>
      </w:r>
    </w:p>
    <w:p w14:paraId="301DF144"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23 </w:t>
      </w:r>
      <w:r w:rsidRPr="00864D18">
        <w:rPr>
          <w:rFonts w:ascii="Arial" w:hAnsi="Arial" w:cs="Arial"/>
        </w:rPr>
        <w:t xml:space="preserve">Konwar, M., Bose, D., Gogtay, N. J., </w:t>
      </w:r>
      <w:r w:rsidRPr="00024AAF">
        <w:rPr>
          <w:rFonts w:ascii="Arial" w:hAnsi="Arial" w:cs="Arial"/>
        </w:rPr>
        <w:t>Thatte</w:t>
      </w:r>
      <w:r>
        <w:rPr>
          <w:rFonts w:ascii="Arial" w:hAnsi="Arial" w:cs="Arial" w:hint="eastAsia"/>
          <w:lang w:eastAsia="zh-CN"/>
        </w:rPr>
        <w:t>,</w:t>
      </w:r>
      <w:r w:rsidRPr="00024AAF">
        <w:rPr>
          <w:rFonts w:ascii="Arial" w:hAnsi="Arial" w:cs="Arial"/>
        </w:rPr>
        <w:t xml:space="preserve"> U</w:t>
      </w:r>
      <w:r>
        <w:rPr>
          <w:rFonts w:ascii="Arial" w:hAnsi="Arial" w:cs="Arial" w:hint="eastAsia"/>
          <w:lang w:eastAsia="zh-CN"/>
        </w:rPr>
        <w:t>.</w:t>
      </w:r>
      <w:r w:rsidRPr="00024AAF">
        <w:rPr>
          <w:rFonts w:ascii="Arial" w:hAnsi="Arial" w:cs="Arial"/>
        </w:rPr>
        <w:t>M</w:t>
      </w:r>
      <w:r w:rsidRPr="00864D18">
        <w:rPr>
          <w:rFonts w:ascii="Arial" w:hAnsi="Arial" w:cs="Arial"/>
        </w:rPr>
        <w:t>. (2018). Investigator-initiated studies: Challenges and solutions. Perspectives in Clinical Research, 9(4), 179-183.</w:t>
      </w:r>
    </w:p>
    <w:p w14:paraId="07BD87A9"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24 </w:t>
      </w:r>
      <w:r w:rsidRPr="00864D18">
        <w:rPr>
          <w:rFonts w:ascii="Arial" w:hAnsi="Arial" w:cs="Arial"/>
        </w:rPr>
        <w:t>Simmons, C. P. L., MacLeod, N., &amp; Laird, B. J. A. (2012). Clinical management of pain in advanced lung cancer. Clinical Medicine Insights: Oncology, 6, 331-346.</w:t>
      </w:r>
    </w:p>
    <w:p w14:paraId="0D0A1C97"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25 </w:t>
      </w:r>
      <w:r w:rsidRPr="00864D18">
        <w:rPr>
          <w:rFonts w:ascii="Arial" w:hAnsi="Arial" w:cs="Arial"/>
        </w:rPr>
        <w:t>Cleland, J. A., Childs, J. D., &amp; Whitman, J. M. (2008). Psychometric properties of the Neck Disability Index and Numeric Pain Rating Scale in patients with mechanical neck pain. Archives of Physical Medicine and Rehabilitation, 89(1), 69-74.</w:t>
      </w:r>
    </w:p>
    <w:p w14:paraId="57F77730"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26 </w:t>
      </w:r>
      <w:r w:rsidRPr="00864D18">
        <w:rPr>
          <w:rFonts w:ascii="Arial" w:hAnsi="Arial" w:cs="Arial"/>
        </w:rPr>
        <w:t>Vernon, H., &amp; Mior, S. (1991). The Neck Disability Index: a study of reliability and validity. Journal of Manipulative and Physiological Therapeutics, 14(7), 409-415.</w:t>
      </w:r>
    </w:p>
    <w:p w14:paraId="4BA45E54"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27 </w:t>
      </w:r>
      <w:r w:rsidRPr="00864D18">
        <w:rPr>
          <w:rFonts w:ascii="Arial" w:hAnsi="Arial" w:cs="Arial"/>
        </w:rPr>
        <w:t xml:space="preserve">Harle, A. S., Blackhall, F. H., Smith, J. A., </w:t>
      </w:r>
      <w:r w:rsidRPr="00024AAF">
        <w:rPr>
          <w:rFonts w:ascii="Arial" w:hAnsi="Arial" w:cs="Arial"/>
        </w:rPr>
        <w:t>Molassiotis</w:t>
      </w:r>
      <w:r>
        <w:rPr>
          <w:rFonts w:ascii="Arial" w:hAnsi="Arial" w:cs="Arial" w:hint="eastAsia"/>
          <w:lang w:eastAsia="zh-CN"/>
        </w:rPr>
        <w:t>,</w:t>
      </w:r>
      <w:r w:rsidRPr="00024AAF">
        <w:rPr>
          <w:rFonts w:ascii="Arial" w:hAnsi="Arial" w:cs="Arial"/>
        </w:rPr>
        <w:t xml:space="preserve"> A</w:t>
      </w:r>
      <w:r w:rsidRPr="00864D18">
        <w:rPr>
          <w:rFonts w:ascii="Arial" w:hAnsi="Arial" w:cs="Arial"/>
        </w:rPr>
        <w:t>. (2012). Understanding cough and its management in lung cancer. Current Opinion in Supportive and Palliative Care, 6(2), 153-162.</w:t>
      </w:r>
    </w:p>
    <w:p w14:paraId="7BC399F3"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28 </w:t>
      </w:r>
      <w:r w:rsidRPr="00864D18">
        <w:rPr>
          <w:rFonts w:ascii="Arial" w:hAnsi="Arial" w:cs="Arial"/>
        </w:rPr>
        <w:t>Donovan, K. A., &amp; Jacobsen, P. B. (2010). The Fatigue Symptom Inventory: a systematic review of its psychometric properties. Supportive Care in Cancer, 19(2), 169-185.</w:t>
      </w:r>
    </w:p>
    <w:p w14:paraId="19F5EC87"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29 </w:t>
      </w:r>
      <w:r w:rsidRPr="00864D18">
        <w:rPr>
          <w:rFonts w:ascii="Arial" w:hAnsi="Arial" w:cs="Arial"/>
        </w:rPr>
        <w:t xml:space="preserve">Yu, X., Lin, X. J., Wang, S., </w:t>
      </w:r>
      <w:r w:rsidRPr="00024AAF">
        <w:rPr>
          <w:rFonts w:ascii="Arial" w:hAnsi="Arial" w:cs="Arial"/>
        </w:rPr>
        <w:t>Liu</w:t>
      </w:r>
      <w:r>
        <w:rPr>
          <w:rFonts w:ascii="Arial" w:hAnsi="Arial" w:cs="Arial" w:hint="eastAsia"/>
          <w:lang w:eastAsia="zh-CN"/>
        </w:rPr>
        <w:t>,</w:t>
      </w:r>
      <w:r w:rsidRPr="00024AAF">
        <w:rPr>
          <w:rFonts w:ascii="Arial" w:hAnsi="Arial" w:cs="Arial"/>
        </w:rPr>
        <w:t xml:space="preserve"> X</w:t>
      </w:r>
      <w:r>
        <w:rPr>
          <w:rFonts w:ascii="Arial" w:hAnsi="Arial" w:cs="Arial" w:hint="eastAsia"/>
          <w:lang w:eastAsia="zh-CN"/>
        </w:rPr>
        <w:t>.</w:t>
      </w:r>
      <w:r w:rsidRPr="00024AAF">
        <w:rPr>
          <w:rFonts w:ascii="Arial" w:hAnsi="Arial" w:cs="Arial"/>
        </w:rPr>
        <w:t>, Li</w:t>
      </w:r>
      <w:r>
        <w:rPr>
          <w:rFonts w:ascii="Arial" w:hAnsi="Arial" w:cs="Arial" w:hint="eastAsia"/>
          <w:lang w:eastAsia="zh-CN"/>
        </w:rPr>
        <w:t>,</w:t>
      </w:r>
      <w:r w:rsidRPr="00024AAF">
        <w:rPr>
          <w:rFonts w:ascii="Arial" w:hAnsi="Arial" w:cs="Arial"/>
        </w:rPr>
        <w:t xml:space="preserve"> W</w:t>
      </w:r>
      <w:r>
        <w:rPr>
          <w:rFonts w:ascii="Arial" w:hAnsi="Arial" w:cs="Arial" w:hint="eastAsia"/>
          <w:lang w:eastAsia="zh-CN"/>
        </w:rPr>
        <w:t>.</w:t>
      </w:r>
      <w:r w:rsidRPr="00024AAF">
        <w:rPr>
          <w:rFonts w:ascii="Arial" w:hAnsi="Arial" w:cs="Arial"/>
        </w:rPr>
        <w:t>, Kou</w:t>
      </w:r>
      <w:r>
        <w:rPr>
          <w:rFonts w:ascii="Arial" w:hAnsi="Arial" w:cs="Arial" w:hint="eastAsia"/>
          <w:lang w:eastAsia="zh-CN"/>
        </w:rPr>
        <w:t>,</w:t>
      </w:r>
      <w:r w:rsidRPr="00024AAF">
        <w:rPr>
          <w:rFonts w:ascii="Arial" w:hAnsi="Arial" w:cs="Arial"/>
        </w:rPr>
        <w:t xml:space="preserve"> B</w:t>
      </w:r>
      <w:r>
        <w:rPr>
          <w:rFonts w:ascii="Arial" w:hAnsi="Arial" w:cs="Arial" w:hint="eastAsia"/>
          <w:lang w:eastAsia="zh-CN"/>
        </w:rPr>
        <w:t>.</w:t>
      </w:r>
      <w:r w:rsidRPr="00024AAF">
        <w:rPr>
          <w:rFonts w:ascii="Arial" w:hAnsi="Arial" w:cs="Arial"/>
        </w:rPr>
        <w:t>X</w:t>
      </w:r>
      <w:r>
        <w:rPr>
          <w:rFonts w:ascii="Arial" w:hAnsi="Arial" w:cs="Arial" w:hint="eastAsia"/>
          <w:lang w:eastAsia="zh-CN"/>
        </w:rPr>
        <w:t>.,</w:t>
      </w:r>
      <w:r w:rsidRPr="00024AAF">
        <w:rPr>
          <w:rFonts w:ascii="Arial" w:hAnsi="Arial" w:cs="Arial"/>
        </w:rPr>
        <w:t xml:space="preserve"> </w:t>
      </w:r>
      <w:r w:rsidRPr="00864D18">
        <w:rPr>
          <w:rFonts w:ascii="Arial" w:hAnsi="Arial" w:cs="Arial"/>
        </w:rPr>
        <w:t>et al. (2018). Antitumor Efficacy of Huqizhengxiao (HQZX) Decoction Based on Inhibition of Telomerase Activity in Nude Mice of Hepatocarcinoma Xenograft. Integrative Cancer Therapies, 17(4), 1216-1224.</w:t>
      </w:r>
    </w:p>
    <w:p w14:paraId="0A7FA43A"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lastRenderedPageBreak/>
        <w:t xml:space="preserve">30 </w:t>
      </w:r>
      <w:r w:rsidRPr="00864D18">
        <w:rPr>
          <w:rFonts w:ascii="Arial" w:hAnsi="Arial" w:cs="Arial"/>
        </w:rPr>
        <w:t xml:space="preserve">Trask, P. C., Tellefsen, C., Espindle, D., </w:t>
      </w:r>
      <w:r w:rsidRPr="00C64B81">
        <w:rPr>
          <w:rFonts w:ascii="Arial" w:hAnsi="Arial" w:cs="Arial"/>
        </w:rPr>
        <w:t>Getter</w:t>
      </w:r>
      <w:r>
        <w:rPr>
          <w:rFonts w:ascii="Arial" w:hAnsi="Arial" w:cs="Arial" w:hint="eastAsia"/>
          <w:lang w:eastAsia="zh-CN"/>
        </w:rPr>
        <w:t>,</w:t>
      </w:r>
      <w:r w:rsidRPr="00C64B81">
        <w:rPr>
          <w:rFonts w:ascii="Arial" w:hAnsi="Arial" w:cs="Arial"/>
        </w:rPr>
        <w:t xml:space="preserve"> C</w:t>
      </w:r>
      <w:r>
        <w:rPr>
          <w:rFonts w:ascii="Arial" w:hAnsi="Arial" w:cs="Arial" w:hint="eastAsia"/>
          <w:lang w:eastAsia="zh-CN"/>
        </w:rPr>
        <w:t>.</w:t>
      </w:r>
      <w:r w:rsidRPr="00C64B81">
        <w:rPr>
          <w:rFonts w:ascii="Arial" w:hAnsi="Arial" w:cs="Arial"/>
        </w:rPr>
        <w:t>, Hsu</w:t>
      </w:r>
      <w:r>
        <w:rPr>
          <w:rFonts w:ascii="Arial" w:hAnsi="Arial" w:cs="Arial" w:hint="eastAsia"/>
          <w:lang w:eastAsia="zh-CN"/>
        </w:rPr>
        <w:t>,</w:t>
      </w:r>
      <w:r w:rsidRPr="00C64B81">
        <w:rPr>
          <w:rFonts w:ascii="Arial" w:hAnsi="Arial" w:cs="Arial"/>
        </w:rPr>
        <w:t xml:space="preserve"> M</w:t>
      </w:r>
      <w:r>
        <w:rPr>
          <w:rFonts w:ascii="Arial" w:hAnsi="Arial" w:cs="Arial" w:hint="eastAsia"/>
          <w:lang w:eastAsia="zh-CN"/>
        </w:rPr>
        <w:t>.</w:t>
      </w:r>
      <w:r w:rsidRPr="00C64B81">
        <w:rPr>
          <w:rFonts w:ascii="Arial" w:hAnsi="Arial" w:cs="Arial"/>
        </w:rPr>
        <w:t>A</w:t>
      </w:r>
      <w:r w:rsidRPr="00864D18">
        <w:rPr>
          <w:rFonts w:ascii="Arial" w:hAnsi="Arial" w:cs="Arial"/>
        </w:rPr>
        <w:t>. (2008). Psychometric validation of the cancer therapy satisfaction questionnaire. Value in Health, 11(4), 669-679.</w:t>
      </w:r>
    </w:p>
    <w:p w14:paraId="5DCC0CDA"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31 </w:t>
      </w:r>
      <w:r w:rsidRPr="00864D18">
        <w:rPr>
          <w:rFonts w:ascii="Arial" w:hAnsi="Arial" w:cs="Arial"/>
        </w:rPr>
        <w:t xml:space="preserve">Liberato, A. C. S., São João, T. M., Jannuzzi, F. F., </w:t>
      </w:r>
      <w:r w:rsidRPr="00C64B81">
        <w:rPr>
          <w:rFonts w:ascii="Arial" w:hAnsi="Arial" w:cs="Arial"/>
        </w:rPr>
        <w:t>Landaas</w:t>
      </w:r>
      <w:r>
        <w:rPr>
          <w:rFonts w:ascii="Arial" w:hAnsi="Arial" w:cs="Arial" w:hint="eastAsia"/>
          <w:lang w:eastAsia="zh-CN"/>
        </w:rPr>
        <w:t>,</w:t>
      </w:r>
      <w:r w:rsidRPr="00C64B81">
        <w:rPr>
          <w:rFonts w:ascii="Arial" w:hAnsi="Arial" w:cs="Arial"/>
        </w:rPr>
        <w:t xml:space="preserve"> E</w:t>
      </w:r>
      <w:r>
        <w:rPr>
          <w:rFonts w:ascii="Arial" w:hAnsi="Arial" w:cs="Arial" w:hint="eastAsia"/>
          <w:lang w:eastAsia="zh-CN"/>
        </w:rPr>
        <w:t>.</w:t>
      </w:r>
      <w:r w:rsidRPr="00C64B81">
        <w:rPr>
          <w:rFonts w:ascii="Arial" w:hAnsi="Arial" w:cs="Arial"/>
        </w:rPr>
        <w:t>J</w:t>
      </w:r>
      <w:r>
        <w:rPr>
          <w:rFonts w:ascii="Arial" w:hAnsi="Arial" w:cs="Arial" w:hint="eastAsia"/>
          <w:lang w:eastAsia="zh-CN"/>
        </w:rPr>
        <w:t>.</w:t>
      </w:r>
      <w:r w:rsidRPr="00C64B81">
        <w:rPr>
          <w:rFonts w:ascii="Arial" w:hAnsi="Arial" w:cs="Arial"/>
        </w:rPr>
        <w:t>, Wongchareon</w:t>
      </w:r>
      <w:r>
        <w:rPr>
          <w:rFonts w:ascii="Arial" w:hAnsi="Arial" w:cs="Arial" w:hint="eastAsia"/>
          <w:lang w:eastAsia="zh-CN"/>
        </w:rPr>
        <w:t>,</w:t>
      </w:r>
      <w:r w:rsidRPr="00C64B81">
        <w:rPr>
          <w:rFonts w:ascii="Arial" w:hAnsi="Arial" w:cs="Arial"/>
        </w:rPr>
        <w:t xml:space="preserve"> K</w:t>
      </w:r>
      <w:r>
        <w:rPr>
          <w:rFonts w:ascii="Arial" w:hAnsi="Arial" w:cs="Arial" w:hint="eastAsia"/>
          <w:lang w:eastAsia="zh-CN"/>
        </w:rPr>
        <w:t>.</w:t>
      </w:r>
      <w:r w:rsidRPr="00C64B81">
        <w:rPr>
          <w:rFonts w:ascii="Arial" w:hAnsi="Arial" w:cs="Arial"/>
        </w:rPr>
        <w:t>, Rodrigues</w:t>
      </w:r>
      <w:r>
        <w:rPr>
          <w:rFonts w:ascii="Arial" w:hAnsi="Arial" w:cs="Arial" w:hint="eastAsia"/>
          <w:lang w:eastAsia="zh-CN"/>
        </w:rPr>
        <w:t>,</w:t>
      </w:r>
      <w:r w:rsidRPr="00C64B81">
        <w:rPr>
          <w:rFonts w:ascii="Arial" w:hAnsi="Arial" w:cs="Arial"/>
        </w:rPr>
        <w:t xml:space="preserve"> R</w:t>
      </w:r>
      <w:r>
        <w:rPr>
          <w:rFonts w:ascii="Arial" w:hAnsi="Arial" w:cs="Arial" w:hint="eastAsia"/>
          <w:lang w:eastAsia="zh-CN"/>
        </w:rPr>
        <w:t>.</w:t>
      </w:r>
      <w:r w:rsidRPr="00C64B81">
        <w:rPr>
          <w:rFonts w:ascii="Arial" w:hAnsi="Arial" w:cs="Arial"/>
        </w:rPr>
        <w:t>C</w:t>
      </w:r>
      <w:r>
        <w:rPr>
          <w:rFonts w:ascii="Arial" w:hAnsi="Arial" w:cs="Arial" w:hint="eastAsia"/>
          <w:lang w:eastAsia="zh-CN"/>
        </w:rPr>
        <w:t>.</w:t>
      </w:r>
      <w:r w:rsidRPr="00C64B81">
        <w:rPr>
          <w:rFonts w:ascii="Arial" w:hAnsi="Arial" w:cs="Arial"/>
        </w:rPr>
        <w:t>M</w:t>
      </w:r>
      <w:r w:rsidRPr="00864D18">
        <w:rPr>
          <w:rFonts w:ascii="Arial" w:hAnsi="Arial" w:cs="Arial"/>
        </w:rPr>
        <w:t>. (2020). Treatment Satisfaction Questionnaire for Medication (TSQM version 1.4): Ceiling and Floor Effects, Reliability, and Known-Group Validity in Brazilian Outpatients With Hypertension. Value in Health: Regional Issues, 23, 150-156.</w:t>
      </w:r>
    </w:p>
    <w:p w14:paraId="7815E17B"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32 </w:t>
      </w:r>
      <w:r w:rsidRPr="00864D18">
        <w:rPr>
          <w:rFonts w:ascii="Arial" w:hAnsi="Arial" w:cs="Arial"/>
        </w:rPr>
        <w:t xml:space="preserve">Park, R., Chang, C. C., Liang, Y. C., </w:t>
      </w:r>
      <w:r w:rsidRPr="00C64B81">
        <w:rPr>
          <w:rFonts w:ascii="Arial" w:hAnsi="Arial" w:cs="Arial"/>
        </w:rPr>
        <w:t>Chung</w:t>
      </w:r>
      <w:r>
        <w:rPr>
          <w:rFonts w:ascii="Arial" w:hAnsi="Arial" w:cs="Arial" w:hint="eastAsia"/>
          <w:lang w:eastAsia="zh-CN"/>
        </w:rPr>
        <w:t>,</w:t>
      </w:r>
      <w:r w:rsidRPr="00C64B81">
        <w:rPr>
          <w:rFonts w:ascii="Arial" w:hAnsi="Arial" w:cs="Arial"/>
        </w:rPr>
        <w:t xml:space="preserve"> Y</w:t>
      </w:r>
      <w:r>
        <w:rPr>
          <w:rFonts w:ascii="Arial" w:hAnsi="Arial" w:cs="Arial" w:hint="eastAsia"/>
          <w:lang w:eastAsia="zh-CN"/>
        </w:rPr>
        <w:t>.</w:t>
      </w:r>
      <w:r w:rsidRPr="00C64B81">
        <w:rPr>
          <w:rFonts w:ascii="Arial" w:hAnsi="Arial" w:cs="Arial"/>
        </w:rPr>
        <w:t>, Henry</w:t>
      </w:r>
      <w:r>
        <w:rPr>
          <w:rFonts w:ascii="Arial" w:hAnsi="Arial" w:cs="Arial" w:hint="eastAsia"/>
          <w:lang w:eastAsia="zh-CN"/>
        </w:rPr>
        <w:t>,</w:t>
      </w:r>
      <w:r w:rsidRPr="00C64B81">
        <w:rPr>
          <w:rFonts w:ascii="Arial" w:hAnsi="Arial" w:cs="Arial"/>
        </w:rPr>
        <w:t xml:space="preserve"> R</w:t>
      </w:r>
      <w:r>
        <w:rPr>
          <w:rFonts w:ascii="Arial" w:hAnsi="Arial" w:cs="Arial" w:hint="eastAsia"/>
          <w:lang w:eastAsia="zh-CN"/>
        </w:rPr>
        <w:t>.</w:t>
      </w:r>
      <w:r w:rsidRPr="00C64B81">
        <w:rPr>
          <w:rFonts w:ascii="Arial" w:hAnsi="Arial" w:cs="Arial"/>
        </w:rPr>
        <w:t>A</w:t>
      </w:r>
      <w:r>
        <w:rPr>
          <w:rFonts w:ascii="Arial" w:hAnsi="Arial" w:cs="Arial" w:hint="eastAsia"/>
          <w:lang w:eastAsia="zh-CN"/>
        </w:rPr>
        <w:t>.</w:t>
      </w:r>
      <w:r w:rsidRPr="00C64B81">
        <w:rPr>
          <w:rFonts w:ascii="Arial" w:hAnsi="Arial" w:cs="Arial"/>
        </w:rPr>
        <w:t>, Lin</w:t>
      </w:r>
      <w:r>
        <w:rPr>
          <w:rFonts w:ascii="Arial" w:hAnsi="Arial" w:cs="Arial" w:hint="eastAsia"/>
          <w:lang w:eastAsia="zh-CN"/>
        </w:rPr>
        <w:t>,</w:t>
      </w:r>
      <w:r w:rsidRPr="00C64B81">
        <w:rPr>
          <w:rFonts w:ascii="Arial" w:hAnsi="Arial" w:cs="Arial"/>
        </w:rPr>
        <w:t xml:space="preserve"> E</w:t>
      </w:r>
      <w:r>
        <w:rPr>
          <w:rFonts w:ascii="Arial" w:hAnsi="Arial" w:cs="Arial" w:hint="eastAsia"/>
          <w:lang w:eastAsia="zh-CN"/>
        </w:rPr>
        <w:t>.,</w:t>
      </w:r>
      <w:r w:rsidRPr="00C64B81">
        <w:rPr>
          <w:rFonts w:ascii="Arial" w:hAnsi="Arial" w:cs="Arial"/>
        </w:rPr>
        <w:t xml:space="preserve"> </w:t>
      </w:r>
      <w:r w:rsidRPr="00864D18">
        <w:rPr>
          <w:rFonts w:ascii="Arial" w:hAnsi="Arial" w:cs="Arial"/>
        </w:rPr>
        <w:t>et al. (2005). Systemic treatment with tetra-O-methyl nordihydroguaiaretic acid suppresses the growth of human xenograft tumors. Clinical Cancer Research, 11(12), 4601-4609.</w:t>
      </w:r>
    </w:p>
    <w:p w14:paraId="7A78272A"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33 </w:t>
      </w:r>
      <w:r w:rsidRPr="00864D18">
        <w:rPr>
          <w:rFonts w:ascii="Arial" w:hAnsi="Arial" w:cs="Arial"/>
        </w:rPr>
        <w:t>Simmons, C. P., Macleod, N., &amp; Laird, B. J. (2012). Clinical management of pain in advanced lung cancer. Clinical Medicine Insights: Oncology, 6, 331-346.</w:t>
      </w:r>
    </w:p>
    <w:p w14:paraId="6E835D48"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34 </w:t>
      </w:r>
      <w:r w:rsidRPr="00864D18">
        <w:rPr>
          <w:rFonts w:ascii="Arial" w:hAnsi="Arial" w:cs="Arial"/>
        </w:rPr>
        <w:t>Tan, I., &amp; Ramchandran, K. (2020). The role of palliative care in the management of patients with lung cancer. Lung Cancer Management, 9(4), LMT39.</w:t>
      </w:r>
    </w:p>
    <w:p w14:paraId="409E8A11"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35 </w:t>
      </w:r>
      <w:r w:rsidRPr="00864D18">
        <w:rPr>
          <w:rFonts w:ascii="Arial" w:hAnsi="Arial" w:cs="Arial"/>
        </w:rPr>
        <w:t xml:space="preserve">Tishelman, C., Petersson, L.-M., Degner, L. F., </w:t>
      </w:r>
      <w:r w:rsidRPr="00C64B81">
        <w:rPr>
          <w:rFonts w:ascii="Arial" w:hAnsi="Arial" w:cs="Arial"/>
        </w:rPr>
        <w:t>Sprangers</w:t>
      </w:r>
      <w:r>
        <w:rPr>
          <w:rFonts w:ascii="Arial" w:hAnsi="Arial" w:cs="Arial" w:hint="eastAsia"/>
          <w:lang w:eastAsia="zh-CN"/>
        </w:rPr>
        <w:t>,</w:t>
      </w:r>
      <w:r w:rsidRPr="00C64B81">
        <w:rPr>
          <w:rFonts w:ascii="Arial" w:hAnsi="Arial" w:cs="Arial"/>
        </w:rPr>
        <w:t xml:space="preserve"> M</w:t>
      </w:r>
      <w:r>
        <w:rPr>
          <w:rFonts w:ascii="Arial" w:hAnsi="Arial" w:cs="Arial" w:hint="eastAsia"/>
          <w:lang w:eastAsia="zh-CN"/>
        </w:rPr>
        <w:t>.</w:t>
      </w:r>
      <w:r w:rsidRPr="00C64B81">
        <w:rPr>
          <w:rFonts w:ascii="Arial" w:hAnsi="Arial" w:cs="Arial"/>
        </w:rPr>
        <w:t>A</w:t>
      </w:r>
      <w:r w:rsidRPr="00864D18">
        <w:rPr>
          <w:rFonts w:ascii="Arial" w:hAnsi="Arial" w:cs="Arial"/>
        </w:rPr>
        <w:t>. (2007). Symptom prevalence, intensity, and distress in patients with inoperable lung cancer in relation to time of death. Journal of Clinical Oncology, 25(34), 5381–5389.</w:t>
      </w:r>
    </w:p>
    <w:p w14:paraId="1D239235"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36 </w:t>
      </w:r>
      <w:r w:rsidRPr="00864D18">
        <w:rPr>
          <w:rFonts w:ascii="Arial" w:hAnsi="Arial" w:cs="Arial"/>
        </w:rPr>
        <w:t xml:space="preserve">Seluanov, A., </w:t>
      </w:r>
      <w:r w:rsidRPr="00C64B81">
        <w:rPr>
          <w:rFonts w:ascii="Arial" w:hAnsi="Arial" w:cs="Arial"/>
        </w:rPr>
        <w:t>Gladyshev</w:t>
      </w:r>
      <w:r>
        <w:rPr>
          <w:rFonts w:ascii="Arial" w:hAnsi="Arial" w:cs="Arial" w:hint="eastAsia"/>
          <w:lang w:eastAsia="zh-CN"/>
        </w:rPr>
        <w:t>,</w:t>
      </w:r>
      <w:r w:rsidRPr="00C64B81">
        <w:rPr>
          <w:rFonts w:ascii="Arial" w:hAnsi="Arial" w:cs="Arial"/>
        </w:rPr>
        <w:t xml:space="preserve"> V</w:t>
      </w:r>
      <w:r>
        <w:rPr>
          <w:rFonts w:ascii="Arial" w:hAnsi="Arial" w:cs="Arial" w:hint="eastAsia"/>
          <w:lang w:eastAsia="zh-CN"/>
        </w:rPr>
        <w:t>.</w:t>
      </w:r>
      <w:r w:rsidRPr="00C64B81">
        <w:rPr>
          <w:rFonts w:ascii="Arial" w:hAnsi="Arial" w:cs="Arial"/>
        </w:rPr>
        <w:t>N</w:t>
      </w:r>
      <w:r>
        <w:rPr>
          <w:rFonts w:ascii="Arial" w:hAnsi="Arial" w:cs="Arial" w:hint="eastAsia"/>
          <w:lang w:eastAsia="zh-CN"/>
        </w:rPr>
        <w:t>.</w:t>
      </w:r>
      <w:r w:rsidRPr="00C64B81">
        <w:rPr>
          <w:rFonts w:ascii="Arial" w:hAnsi="Arial" w:cs="Arial"/>
        </w:rPr>
        <w:t>, Vijg</w:t>
      </w:r>
      <w:r>
        <w:rPr>
          <w:rFonts w:ascii="Arial" w:hAnsi="Arial" w:cs="Arial" w:hint="eastAsia"/>
          <w:lang w:eastAsia="zh-CN"/>
        </w:rPr>
        <w:t>,</w:t>
      </w:r>
      <w:r w:rsidRPr="00C64B81">
        <w:rPr>
          <w:rFonts w:ascii="Arial" w:hAnsi="Arial" w:cs="Arial"/>
        </w:rPr>
        <w:t xml:space="preserve"> J</w:t>
      </w:r>
      <w:r>
        <w:rPr>
          <w:rFonts w:ascii="Arial" w:hAnsi="Arial" w:cs="Arial" w:hint="eastAsia"/>
          <w:lang w:eastAsia="zh-CN"/>
        </w:rPr>
        <w:t>.</w:t>
      </w:r>
      <w:r w:rsidRPr="00C64B81">
        <w:rPr>
          <w:rFonts w:ascii="Arial" w:hAnsi="Arial" w:cs="Arial"/>
        </w:rPr>
        <w:t>, Gorbunova</w:t>
      </w:r>
      <w:r>
        <w:rPr>
          <w:rFonts w:ascii="Arial" w:hAnsi="Arial" w:cs="Arial" w:hint="eastAsia"/>
          <w:lang w:eastAsia="zh-CN"/>
        </w:rPr>
        <w:t>,</w:t>
      </w:r>
      <w:r w:rsidRPr="00C64B81">
        <w:rPr>
          <w:rFonts w:ascii="Arial" w:hAnsi="Arial" w:cs="Arial"/>
        </w:rPr>
        <w:t xml:space="preserve"> V</w:t>
      </w:r>
      <w:r w:rsidRPr="00864D18">
        <w:rPr>
          <w:rFonts w:ascii="Arial" w:hAnsi="Arial" w:cs="Arial"/>
        </w:rPr>
        <w:t>. (2018). Mechanisms of cancer resistance in long-lived mammals. Nature Reviews Cancer, 18, 433–441.</w:t>
      </w:r>
    </w:p>
    <w:p w14:paraId="78ACC189"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37 </w:t>
      </w:r>
      <w:r w:rsidRPr="00864D18">
        <w:rPr>
          <w:rFonts w:ascii="Arial" w:hAnsi="Arial" w:cs="Arial"/>
        </w:rPr>
        <w:t xml:space="preserve">Smith, E. S. J., </w:t>
      </w:r>
      <w:r w:rsidRPr="00C64B81">
        <w:rPr>
          <w:rFonts w:ascii="Arial" w:hAnsi="Arial" w:cs="Arial"/>
        </w:rPr>
        <w:t>Omerbašić</w:t>
      </w:r>
      <w:r>
        <w:rPr>
          <w:rFonts w:ascii="Arial" w:hAnsi="Arial" w:cs="Arial" w:hint="eastAsia"/>
          <w:lang w:eastAsia="zh-CN"/>
        </w:rPr>
        <w:t>,</w:t>
      </w:r>
      <w:r w:rsidRPr="00C64B81">
        <w:rPr>
          <w:rFonts w:ascii="Arial" w:hAnsi="Arial" w:cs="Arial"/>
        </w:rPr>
        <w:t xml:space="preserve"> D</w:t>
      </w:r>
      <w:r>
        <w:rPr>
          <w:rFonts w:ascii="Arial" w:hAnsi="Arial" w:cs="Arial" w:hint="eastAsia"/>
          <w:lang w:eastAsia="zh-CN"/>
        </w:rPr>
        <w:t>.</w:t>
      </w:r>
      <w:r w:rsidRPr="00C64B81">
        <w:rPr>
          <w:rFonts w:ascii="Arial" w:hAnsi="Arial" w:cs="Arial"/>
        </w:rPr>
        <w:t>, Lechner</w:t>
      </w:r>
      <w:r>
        <w:rPr>
          <w:rFonts w:ascii="Arial" w:hAnsi="Arial" w:cs="Arial" w:hint="eastAsia"/>
          <w:lang w:eastAsia="zh-CN"/>
        </w:rPr>
        <w:t>,</w:t>
      </w:r>
      <w:r w:rsidRPr="00C64B81">
        <w:rPr>
          <w:rFonts w:ascii="Arial" w:hAnsi="Arial" w:cs="Arial"/>
        </w:rPr>
        <w:t xml:space="preserve"> S</w:t>
      </w:r>
      <w:r>
        <w:rPr>
          <w:rFonts w:ascii="Arial" w:hAnsi="Arial" w:cs="Arial" w:hint="eastAsia"/>
          <w:lang w:eastAsia="zh-CN"/>
        </w:rPr>
        <w:t>.</w:t>
      </w:r>
      <w:r w:rsidRPr="00C64B81">
        <w:rPr>
          <w:rFonts w:ascii="Arial" w:hAnsi="Arial" w:cs="Arial"/>
        </w:rPr>
        <w:t>G</w:t>
      </w:r>
      <w:r>
        <w:rPr>
          <w:rFonts w:ascii="Arial" w:hAnsi="Arial" w:cs="Arial" w:hint="eastAsia"/>
          <w:lang w:eastAsia="zh-CN"/>
        </w:rPr>
        <w:t>.</w:t>
      </w:r>
      <w:r w:rsidRPr="00C64B81">
        <w:rPr>
          <w:rFonts w:ascii="Arial" w:hAnsi="Arial" w:cs="Arial"/>
        </w:rPr>
        <w:t>, Anirudhan</w:t>
      </w:r>
      <w:r>
        <w:rPr>
          <w:rFonts w:ascii="Arial" w:hAnsi="Arial" w:cs="Arial" w:hint="eastAsia"/>
          <w:lang w:eastAsia="zh-CN"/>
        </w:rPr>
        <w:t>,</w:t>
      </w:r>
      <w:r w:rsidRPr="00C64B81">
        <w:rPr>
          <w:rFonts w:ascii="Arial" w:hAnsi="Arial" w:cs="Arial"/>
        </w:rPr>
        <w:t xml:space="preserve"> G</w:t>
      </w:r>
      <w:r>
        <w:rPr>
          <w:rFonts w:ascii="Arial" w:hAnsi="Arial" w:cs="Arial" w:hint="eastAsia"/>
          <w:lang w:eastAsia="zh-CN"/>
        </w:rPr>
        <w:t>.</w:t>
      </w:r>
      <w:r w:rsidRPr="00C64B81">
        <w:rPr>
          <w:rFonts w:ascii="Arial" w:hAnsi="Arial" w:cs="Arial"/>
        </w:rPr>
        <w:t>, Lapatsina</w:t>
      </w:r>
      <w:r>
        <w:rPr>
          <w:rFonts w:ascii="Arial" w:hAnsi="Arial" w:cs="Arial" w:hint="eastAsia"/>
          <w:lang w:eastAsia="zh-CN"/>
        </w:rPr>
        <w:t>,</w:t>
      </w:r>
      <w:r w:rsidRPr="00C64B81">
        <w:rPr>
          <w:rFonts w:ascii="Arial" w:hAnsi="Arial" w:cs="Arial"/>
        </w:rPr>
        <w:t xml:space="preserve"> L</w:t>
      </w:r>
      <w:r>
        <w:rPr>
          <w:rFonts w:ascii="Arial" w:hAnsi="Arial" w:cs="Arial" w:hint="eastAsia"/>
          <w:lang w:eastAsia="zh-CN"/>
        </w:rPr>
        <w:t>.</w:t>
      </w:r>
      <w:r w:rsidRPr="00C64B81">
        <w:rPr>
          <w:rFonts w:ascii="Arial" w:hAnsi="Arial" w:cs="Arial"/>
        </w:rPr>
        <w:t>, Lewin</w:t>
      </w:r>
      <w:r>
        <w:rPr>
          <w:rFonts w:ascii="Arial" w:hAnsi="Arial" w:cs="Arial" w:hint="eastAsia"/>
          <w:lang w:eastAsia="zh-CN"/>
        </w:rPr>
        <w:t>,</w:t>
      </w:r>
      <w:r w:rsidRPr="00C64B81">
        <w:rPr>
          <w:rFonts w:ascii="Arial" w:hAnsi="Arial" w:cs="Arial"/>
        </w:rPr>
        <w:t xml:space="preserve"> G</w:t>
      </w:r>
      <w:r>
        <w:rPr>
          <w:rFonts w:ascii="Arial" w:hAnsi="Arial" w:cs="Arial" w:hint="eastAsia"/>
          <w:lang w:eastAsia="zh-CN"/>
        </w:rPr>
        <w:t>.</w:t>
      </w:r>
      <w:r w:rsidRPr="00C64B81">
        <w:rPr>
          <w:rFonts w:ascii="Arial" w:hAnsi="Arial" w:cs="Arial"/>
        </w:rPr>
        <w:t>R</w:t>
      </w:r>
      <w:r w:rsidRPr="00864D18">
        <w:rPr>
          <w:rFonts w:ascii="Arial" w:hAnsi="Arial" w:cs="Arial"/>
        </w:rPr>
        <w:t>. (2011). The Molecular Basis of Acid Insensitivity in the African Naked Mole-Rat. Science, 334, 1557–1560.</w:t>
      </w:r>
    </w:p>
    <w:p w14:paraId="16898D26"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38 </w:t>
      </w:r>
      <w:r w:rsidRPr="00864D18">
        <w:rPr>
          <w:rFonts w:ascii="Arial" w:hAnsi="Arial" w:cs="Arial"/>
        </w:rPr>
        <w:t>Sackstein, R., Schatton, T., &amp; Barthel, S. R. (2017). T-lymphocyte homing: an underappreciated yet critical hurdle for successful cancer immunotherapy. Laboratory Investigation, 97(6), 669-697.</w:t>
      </w:r>
    </w:p>
    <w:p w14:paraId="35F89F55" w14:textId="77777777" w:rsidR="00E14B17" w:rsidRPr="00864D18" w:rsidRDefault="00E14B17" w:rsidP="00E14B17">
      <w:pPr>
        <w:pStyle w:val="Body"/>
        <w:spacing w:after="0"/>
        <w:ind w:left="400" w:hangingChars="200" w:hanging="400"/>
        <w:rPr>
          <w:rFonts w:ascii="Arial" w:hAnsi="Arial" w:cs="Arial"/>
        </w:rPr>
      </w:pPr>
      <w:r>
        <w:rPr>
          <w:rFonts w:ascii="Arial" w:hAnsi="Arial" w:cs="Arial" w:hint="eastAsia"/>
          <w:lang w:eastAsia="zh-CN"/>
        </w:rPr>
        <w:t xml:space="preserve">39 </w:t>
      </w:r>
      <w:r w:rsidRPr="00864D18">
        <w:rPr>
          <w:rFonts w:ascii="Arial" w:hAnsi="Arial" w:cs="Arial"/>
        </w:rPr>
        <w:t xml:space="preserve">Grond, S., Zech, D., Diefenbach, C., </w:t>
      </w:r>
      <w:r w:rsidRPr="00C64B81">
        <w:rPr>
          <w:rFonts w:ascii="Arial" w:hAnsi="Arial" w:cs="Arial"/>
        </w:rPr>
        <w:t>Radbruch</w:t>
      </w:r>
      <w:r>
        <w:rPr>
          <w:rFonts w:ascii="Arial" w:hAnsi="Arial" w:cs="Arial" w:hint="eastAsia"/>
          <w:lang w:eastAsia="zh-CN"/>
        </w:rPr>
        <w:t>,</w:t>
      </w:r>
      <w:r w:rsidRPr="00C64B81">
        <w:rPr>
          <w:rFonts w:ascii="Arial" w:hAnsi="Arial" w:cs="Arial"/>
        </w:rPr>
        <w:t xml:space="preserve"> L</w:t>
      </w:r>
      <w:r>
        <w:rPr>
          <w:rFonts w:ascii="Arial" w:hAnsi="Arial" w:cs="Arial" w:hint="eastAsia"/>
          <w:lang w:eastAsia="zh-CN"/>
        </w:rPr>
        <w:t>.</w:t>
      </w:r>
      <w:r w:rsidRPr="00C64B81">
        <w:rPr>
          <w:rFonts w:ascii="Arial" w:hAnsi="Arial" w:cs="Arial"/>
        </w:rPr>
        <w:t>, Lehmann</w:t>
      </w:r>
      <w:r>
        <w:rPr>
          <w:rFonts w:ascii="Arial" w:hAnsi="Arial" w:cs="Arial" w:hint="eastAsia"/>
          <w:lang w:eastAsia="zh-CN"/>
        </w:rPr>
        <w:t>,</w:t>
      </w:r>
      <w:r w:rsidRPr="00C64B81">
        <w:rPr>
          <w:rFonts w:ascii="Arial" w:hAnsi="Arial" w:cs="Arial"/>
        </w:rPr>
        <w:t xml:space="preserve"> K</w:t>
      </w:r>
      <w:r>
        <w:rPr>
          <w:rFonts w:ascii="Arial" w:hAnsi="Arial" w:cs="Arial" w:hint="eastAsia"/>
          <w:lang w:eastAsia="zh-CN"/>
        </w:rPr>
        <w:t>.</w:t>
      </w:r>
      <w:r w:rsidRPr="00C64B81">
        <w:rPr>
          <w:rFonts w:ascii="Arial" w:hAnsi="Arial" w:cs="Arial"/>
        </w:rPr>
        <w:t>A</w:t>
      </w:r>
      <w:r w:rsidRPr="00864D18">
        <w:rPr>
          <w:rFonts w:ascii="Arial" w:hAnsi="Arial" w:cs="Arial"/>
        </w:rPr>
        <w:t>. (1996). Assessment of cancer pain: a prospective evaluation in 2266 cancer patients referred to a pain service. Pain, 64(1), 107-114.</w:t>
      </w:r>
    </w:p>
    <w:p w14:paraId="57AD85C0" w14:textId="125DE2F3" w:rsidR="00441B6F" w:rsidRDefault="00E14B17" w:rsidP="007A2153">
      <w:pPr>
        <w:pStyle w:val="Body"/>
        <w:spacing w:after="0"/>
        <w:ind w:left="400" w:hangingChars="200" w:hanging="400"/>
        <w:rPr>
          <w:rFonts w:ascii="Arial" w:hAnsi="Arial" w:cs="Arial"/>
        </w:rPr>
      </w:pPr>
      <w:r>
        <w:rPr>
          <w:rFonts w:ascii="Arial" w:hAnsi="Arial" w:cs="Arial" w:hint="eastAsia"/>
          <w:lang w:eastAsia="zh-CN"/>
        </w:rPr>
        <w:t xml:space="preserve">40 </w:t>
      </w:r>
      <w:r w:rsidRPr="00864D18">
        <w:rPr>
          <w:rFonts w:ascii="Arial" w:hAnsi="Arial" w:cs="Arial"/>
        </w:rPr>
        <w:t>Chandrasekar, D., Tribett, E., &amp; Ramchandran, K. (2016). Integrated palliative care and oncologic care in non-small cell lung cancer. Current Treatment Options in Oncology, 17(5), 23.</w:t>
      </w:r>
    </w:p>
    <w:p w14:paraId="7AD75F9F" w14:textId="078328EA" w:rsidR="009647D7" w:rsidRPr="00E17DD6" w:rsidRDefault="009647D7" w:rsidP="007A2153">
      <w:pPr>
        <w:pStyle w:val="Body"/>
        <w:spacing w:after="0"/>
        <w:ind w:left="400" w:hangingChars="200" w:hanging="400"/>
        <w:rPr>
          <w:rFonts w:ascii="Arial" w:hAnsi="Arial" w:cs="Arial"/>
          <w:highlight w:val="yellow"/>
          <w:lang w:eastAsia="zh-CN"/>
        </w:rPr>
      </w:pPr>
      <w:r>
        <w:rPr>
          <w:rFonts w:ascii="Arial" w:hAnsi="Arial" w:cs="Arial" w:hint="eastAsia"/>
          <w:lang w:eastAsia="zh-CN"/>
        </w:rPr>
        <w:t>41</w:t>
      </w:r>
      <w:r>
        <w:rPr>
          <w:rFonts w:ascii="Arial" w:hAnsi="Arial" w:cs="Arial"/>
          <w:lang w:eastAsia="zh-CN"/>
        </w:rPr>
        <w:tab/>
      </w:r>
      <w:r w:rsidR="00D57990" w:rsidRPr="00E17DD6">
        <w:rPr>
          <w:rFonts w:ascii="Arial" w:hAnsi="Arial" w:cs="Arial"/>
          <w:highlight w:val="yellow"/>
          <w:lang w:eastAsia="zh-CN"/>
        </w:rPr>
        <w:t>Xu, F. H., Treger, D., Ma, X., Jia, X., Shofaro, J. H., Ganbaatar, T.,</w:t>
      </w:r>
      <w:r w:rsidR="00D57990" w:rsidRPr="00E17DD6">
        <w:rPr>
          <w:rFonts w:ascii="Arial" w:hAnsi="Arial" w:cs="Arial" w:hint="eastAsia"/>
          <w:highlight w:val="yellow"/>
          <w:lang w:eastAsia="zh-CN"/>
        </w:rPr>
        <w:t xml:space="preserve"> et al</w:t>
      </w:r>
      <w:r w:rsidR="00D57990" w:rsidRPr="00E17DD6">
        <w:rPr>
          <w:rFonts w:ascii="Arial" w:hAnsi="Arial" w:cs="Arial"/>
          <w:highlight w:val="yellow"/>
          <w:lang w:eastAsia="zh-CN"/>
        </w:rPr>
        <w:t>. (2024). Local injection of a freshly manufactured 35 kDa hyaluronan fragment reduces neuropathic and inflammatory pain: A clinical study. European Journal of Inflammation, 22</w:t>
      </w:r>
      <w:r w:rsidRPr="00E17DD6">
        <w:rPr>
          <w:rFonts w:ascii="Arial" w:hAnsi="Arial" w:cs="Arial" w:hint="eastAsia"/>
          <w:highlight w:val="yellow"/>
          <w:lang w:eastAsia="zh-CN"/>
        </w:rPr>
        <w:t>.</w:t>
      </w:r>
    </w:p>
    <w:p w14:paraId="2E64AA7D" w14:textId="3EFF047F" w:rsidR="009647D7" w:rsidRPr="00E17DD6" w:rsidRDefault="009647D7" w:rsidP="007A2153">
      <w:pPr>
        <w:pStyle w:val="Body"/>
        <w:spacing w:after="0"/>
        <w:ind w:left="400" w:hangingChars="200" w:hanging="400"/>
        <w:rPr>
          <w:rFonts w:ascii="Arial" w:hAnsi="Arial" w:cs="Arial" w:hint="eastAsia"/>
          <w:highlight w:val="yellow"/>
          <w:lang w:eastAsia="zh-CN"/>
        </w:rPr>
      </w:pPr>
      <w:r w:rsidRPr="00E17DD6">
        <w:rPr>
          <w:rFonts w:ascii="Arial" w:hAnsi="Arial" w:cs="Arial" w:hint="eastAsia"/>
          <w:highlight w:val="yellow"/>
          <w:lang w:eastAsia="zh-CN"/>
        </w:rPr>
        <w:t>42</w:t>
      </w:r>
      <w:r w:rsidRPr="00E17DD6">
        <w:rPr>
          <w:rFonts w:ascii="Arial" w:hAnsi="Arial" w:cs="Arial"/>
          <w:highlight w:val="yellow"/>
          <w:lang w:eastAsia="zh-CN"/>
        </w:rPr>
        <w:t xml:space="preserve"> </w:t>
      </w:r>
      <w:r w:rsidR="00D57990" w:rsidRPr="00E17DD6">
        <w:rPr>
          <w:rFonts w:ascii="Arial" w:hAnsi="Arial" w:cs="Arial"/>
          <w:highlight w:val="yellow"/>
          <w:lang w:eastAsia="zh-CN"/>
        </w:rPr>
        <w:tab/>
      </w:r>
      <w:r w:rsidR="00D57990" w:rsidRPr="00E17DD6">
        <w:rPr>
          <w:rFonts w:ascii="Arial" w:hAnsi="Arial" w:cs="Arial"/>
          <w:highlight w:val="yellow"/>
          <w:lang w:eastAsia="zh-CN"/>
        </w:rPr>
        <w:t xml:space="preserve">Xu, F., Treger, D., Jia, X., Hui, M., &amp; Ma, Z. (2025). Analgesic and curative effects of 35 kDa hyaluronan fragment on zoster-associated pain: A case report of two patients. </w:t>
      </w:r>
      <w:r w:rsidR="00D57990" w:rsidRPr="00E17DD6">
        <w:rPr>
          <w:rFonts w:ascii="Arial" w:hAnsi="Arial" w:cs="Arial"/>
          <w:i/>
          <w:iCs/>
          <w:highlight w:val="yellow"/>
          <w:lang w:eastAsia="zh-CN"/>
        </w:rPr>
        <w:t>Pain Medicine Case Reports, 9</w:t>
      </w:r>
      <w:r w:rsidR="00D57990" w:rsidRPr="00E17DD6">
        <w:rPr>
          <w:rFonts w:ascii="Arial" w:hAnsi="Arial" w:cs="Arial"/>
          <w:highlight w:val="yellow"/>
          <w:lang w:eastAsia="zh-CN"/>
        </w:rPr>
        <w:t>(1), 51–54.</w:t>
      </w:r>
    </w:p>
    <w:p w14:paraId="36F10AAA" w14:textId="4393BE59" w:rsidR="00B01FCD" w:rsidRPr="00E17DD6" w:rsidRDefault="009647D7" w:rsidP="009647D7">
      <w:pPr>
        <w:pStyle w:val="Body"/>
        <w:spacing w:after="0"/>
        <w:ind w:left="400" w:hangingChars="200" w:hanging="400"/>
        <w:rPr>
          <w:rFonts w:ascii="Arial" w:hAnsi="Arial" w:cs="Arial"/>
          <w:highlight w:val="yellow"/>
        </w:rPr>
      </w:pPr>
      <w:r w:rsidRPr="00E17DD6">
        <w:rPr>
          <w:rFonts w:ascii="Arial" w:hAnsi="Arial" w:cs="Arial" w:hint="eastAsia"/>
          <w:highlight w:val="yellow"/>
        </w:rPr>
        <w:t>43</w:t>
      </w:r>
      <w:r w:rsidRPr="00E17DD6">
        <w:rPr>
          <w:rFonts w:ascii="Arial" w:hAnsi="Arial" w:cs="Arial"/>
          <w:highlight w:val="yellow"/>
        </w:rPr>
        <w:t xml:space="preserve"> </w:t>
      </w:r>
      <w:r w:rsidR="00D57990" w:rsidRPr="00E17DD6">
        <w:rPr>
          <w:rFonts w:ascii="Arial" w:hAnsi="Arial" w:cs="Arial"/>
          <w:highlight w:val="yellow"/>
        </w:rPr>
        <w:tab/>
      </w:r>
      <w:r w:rsidR="00D57990" w:rsidRPr="00E17DD6">
        <w:rPr>
          <w:rFonts w:ascii="Arial" w:hAnsi="Arial" w:cs="Arial"/>
          <w:highlight w:val="yellow"/>
        </w:rPr>
        <w:t xml:space="preserve">Zhang, Z., Jia, X., Treger, D., &amp; Hui, M. (2024). Low molecular weight 35 kDa hyaluronan fragment HA35 in the treatment of bone metastasis pain: A case report. </w:t>
      </w:r>
      <w:r w:rsidR="00D57990" w:rsidRPr="00E17DD6">
        <w:rPr>
          <w:rFonts w:ascii="Arial" w:hAnsi="Arial" w:cs="Arial"/>
          <w:i/>
          <w:iCs/>
          <w:highlight w:val="yellow"/>
        </w:rPr>
        <w:t>Medicine (Baltimore), 103</w:t>
      </w:r>
      <w:r w:rsidR="00D57990" w:rsidRPr="00E17DD6">
        <w:rPr>
          <w:rFonts w:ascii="Arial" w:hAnsi="Arial" w:cs="Arial"/>
          <w:highlight w:val="yellow"/>
        </w:rPr>
        <w:t>(31), e39145.</w:t>
      </w:r>
    </w:p>
    <w:p w14:paraId="214F1C56" w14:textId="24A3E7C4" w:rsidR="009647D7" w:rsidRPr="00FB3A86" w:rsidRDefault="009647D7" w:rsidP="009647D7">
      <w:pPr>
        <w:pStyle w:val="Body"/>
        <w:spacing w:after="0"/>
        <w:ind w:left="400" w:hangingChars="200" w:hanging="400"/>
        <w:rPr>
          <w:rFonts w:ascii="Arial" w:hAnsi="Arial" w:cs="Arial" w:hint="eastAsia"/>
        </w:rPr>
      </w:pPr>
      <w:r w:rsidRPr="00E17DD6">
        <w:rPr>
          <w:rFonts w:ascii="Arial" w:hAnsi="Arial" w:cs="Arial" w:hint="eastAsia"/>
          <w:highlight w:val="yellow"/>
        </w:rPr>
        <w:t>44</w:t>
      </w:r>
      <w:r w:rsidRPr="00E17DD6">
        <w:rPr>
          <w:rFonts w:ascii="Arial" w:hAnsi="Arial" w:cs="Arial"/>
          <w:highlight w:val="yellow"/>
        </w:rPr>
        <w:t xml:space="preserve"> </w:t>
      </w:r>
      <w:r w:rsidR="00D57990" w:rsidRPr="00E17DD6">
        <w:rPr>
          <w:rFonts w:ascii="Arial" w:hAnsi="Arial" w:cs="Arial"/>
          <w:highlight w:val="yellow"/>
        </w:rPr>
        <w:tab/>
      </w:r>
      <w:r w:rsidR="00D57990" w:rsidRPr="00E17DD6">
        <w:rPr>
          <w:rFonts w:ascii="Arial" w:hAnsi="Arial" w:cs="Arial"/>
          <w:highlight w:val="yellow"/>
        </w:rPr>
        <w:t xml:space="preserve">Liu, L., Ma, X., Jia, X., Hui, J. H., &amp; Hui, M. (2025). Application of 35 kDa hyaluronic acid fragment in managing persistent localized pain in rheumatoid arthritis: A case report. </w:t>
      </w:r>
      <w:r w:rsidR="00D57990" w:rsidRPr="00E17DD6">
        <w:rPr>
          <w:rFonts w:ascii="Arial" w:hAnsi="Arial" w:cs="Arial"/>
          <w:i/>
          <w:iCs/>
          <w:highlight w:val="yellow"/>
        </w:rPr>
        <w:t>Clinical Case Reports, 13</w:t>
      </w:r>
      <w:r w:rsidR="00D57990" w:rsidRPr="00E17DD6">
        <w:rPr>
          <w:rFonts w:ascii="Arial" w:hAnsi="Arial" w:cs="Arial"/>
          <w:highlight w:val="yellow"/>
        </w:rPr>
        <w:t>, e70361.</w:t>
      </w:r>
    </w:p>
    <w:sectPr w:rsidR="009647D7" w:rsidRPr="00FB3A86" w:rsidSect="00F1540C">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61DC94" w14:textId="77777777" w:rsidR="00483E68" w:rsidRDefault="00483E68" w:rsidP="00C37E61">
      <w:r>
        <w:separator/>
      </w:r>
    </w:p>
  </w:endnote>
  <w:endnote w:type="continuationSeparator" w:id="0">
    <w:p w14:paraId="78CB2549" w14:textId="77777777" w:rsidR="00483E68" w:rsidRDefault="00483E6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02EAC" w14:textId="77777777" w:rsidR="00F1540C" w:rsidRDefault="00F1540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E598B" w14:textId="77777777" w:rsidR="00F1540C" w:rsidRDefault="00F1540C">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BFD8B" w14:textId="5FBB2A0C" w:rsidR="00754C9A" w:rsidRPr="00307F63" w:rsidRDefault="00754C9A" w:rsidP="00307F63">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8962E" w14:textId="77777777" w:rsidR="00C37E61" w:rsidRPr="00C37E61" w:rsidRDefault="00C37E61" w:rsidP="00C37E6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806B7" w14:textId="77777777" w:rsidR="00483E68" w:rsidRDefault="00483E68" w:rsidP="00C37E61">
      <w:r>
        <w:separator/>
      </w:r>
    </w:p>
  </w:footnote>
  <w:footnote w:type="continuationSeparator" w:id="0">
    <w:p w14:paraId="4E8D4E00" w14:textId="77777777" w:rsidR="00483E68" w:rsidRDefault="00483E68"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EB7FA" w14:textId="07E86CBF" w:rsidR="00F1540C" w:rsidRDefault="00000000">
    <w:pPr>
      <w:pStyle w:val="a5"/>
    </w:pPr>
    <w:r>
      <w:rPr>
        <w:noProof/>
      </w:rPr>
      <w:pict w14:anchorId="33F2E2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341594" o:spid="_x0000_s1026"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1C0B9" w14:textId="55057F90" w:rsidR="00F1540C" w:rsidRDefault="00000000">
    <w:pPr>
      <w:pStyle w:val="a5"/>
    </w:pPr>
    <w:r>
      <w:rPr>
        <w:noProof/>
      </w:rPr>
      <w:pict w14:anchorId="756F97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341595" o:spid="_x0000_s1027"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D6144" w14:textId="18FFB6D9" w:rsidR="00296529" w:rsidRPr="00296529" w:rsidRDefault="00000000" w:rsidP="00296529">
    <w:pPr>
      <w:ind w:left="2160"/>
      <w:jc w:val="center"/>
      <w:rPr>
        <w:rFonts w:ascii="Times New Roman" w:eastAsia="Calibri" w:hAnsi="Times New Roman"/>
        <w:i/>
        <w:sz w:val="18"/>
        <w:szCs w:val="22"/>
      </w:rPr>
    </w:pPr>
    <w:r>
      <w:rPr>
        <w:noProof/>
      </w:rPr>
      <w:pict w14:anchorId="7102F1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341593" o:spid="_x0000_s1025" type="#_x0000_t136" style="position:absolute;left:0;text-align:left;margin-left:0;margin-top:0;width:548.1pt;height:60.9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5694BE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39129A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2F855A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BFB651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6616F9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3026D57" w14:textId="77777777" w:rsidR="00296529" w:rsidRDefault="00754C9A">
    <w:pPr>
      <w:pStyle w:val="a5"/>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15DFB" w14:textId="785F0098" w:rsidR="00F1540C" w:rsidRDefault="00000000">
    <w:pPr>
      <w:pStyle w:val="a5"/>
    </w:pPr>
    <w:r>
      <w:rPr>
        <w:noProof/>
      </w:rPr>
      <w:pict w14:anchorId="278D7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341597" o:spid="_x0000_s1029" type="#_x0000_t136" style="position:absolute;margin-left:0;margin-top:0;width:548.1pt;height:60.9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341A2" w14:textId="4331503A" w:rsidR="00F1540C" w:rsidRDefault="00000000">
    <w:pPr>
      <w:pStyle w:val="a5"/>
    </w:pPr>
    <w:r>
      <w:rPr>
        <w:noProof/>
      </w:rPr>
      <w:pict w14:anchorId="78F0A6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341598" o:spid="_x0000_s1030" type="#_x0000_t136" style="position:absolute;margin-left:0;margin-top:0;width:548.1pt;height:60.9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7D2E7E" w14:textId="19F1910D" w:rsidR="00F1540C" w:rsidRDefault="00000000">
    <w:pPr>
      <w:pStyle w:val="a5"/>
    </w:pPr>
    <w:r>
      <w:rPr>
        <w:noProof/>
      </w:rPr>
      <w:pict w14:anchorId="3D8106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341596" o:spid="_x0000_s1028" type="#_x0000_t136" style="position:absolute;margin-left:0;margin-top:0;width:548.1pt;height:60.9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97972070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355039515">
    <w:abstractNumId w:val="15"/>
  </w:num>
  <w:num w:numId="3" w16cid:durableId="1966960786">
    <w:abstractNumId w:val="23"/>
  </w:num>
  <w:num w:numId="4" w16cid:durableId="476144387">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104565627">
    <w:abstractNumId w:val="7"/>
  </w:num>
  <w:num w:numId="6" w16cid:durableId="1181165423">
    <w:abstractNumId w:val="6"/>
  </w:num>
  <w:num w:numId="7" w16cid:durableId="1753817459">
    <w:abstractNumId w:val="1"/>
  </w:num>
  <w:num w:numId="8" w16cid:durableId="557546930">
    <w:abstractNumId w:val="12"/>
  </w:num>
  <w:num w:numId="9" w16cid:durableId="1146319804">
    <w:abstractNumId w:val="25"/>
  </w:num>
  <w:num w:numId="10" w16cid:durableId="1156914438">
    <w:abstractNumId w:val="2"/>
  </w:num>
  <w:num w:numId="11" w16cid:durableId="1584022570">
    <w:abstractNumId w:val="18"/>
  </w:num>
  <w:num w:numId="12" w16cid:durableId="1598057642">
    <w:abstractNumId w:val="3"/>
  </w:num>
  <w:num w:numId="13" w16cid:durableId="1850410648">
    <w:abstractNumId w:val="17"/>
  </w:num>
  <w:num w:numId="14" w16cid:durableId="1765758719">
    <w:abstractNumId w:val="8"/>
  </w:num>
  <w:num w:numId="15" w16cid:durableId="2060282348">
    <w:abstractNumId w:val="21"/>
  </w:num>
  <w:num w:numId="16" w16cid:durableId="1850481460">
    <w:abstractNumId w:val="5"/>
  </w:num>
  <w:num w:numId="17" w16cid:durableId="822887756">
    <w:abstractNumId w:val="22"/>
  </w:num>
  <w:num w:numId="18" w16cid:durableId="41559922">
    <w:abstractNumId w:val="14"/>
  </w:num>
  <w:num w:numId="19" w16cid:durableId="1458714802">
    <w:abstractNumId w:val="28"/>
  </w:num>
  <w:num w:numId="20" w16cid:durableId="1982031598">
    <w:abstractNumId w:val="11"/>
  </w:num>
  <w:num w:numId="21" w16cid:durableId="485245688">
    <w:abstractNumId w:val="9"/>
  </w:num>
  <w:num w:numId="22" w16cid:durableId="1956207221">
    <w:abstractNumId w:val="13"/>
  </w:num>
  <w:num w:numId="23" w16cid:durableId="1959216820">
    <w:abstractNumId w:val="19"/>
  </w:num>
  <w:num w:numId="24" w16cid:durableId="923031550">
    <w:abstractNumId w:val="26"/>
  </w:num>
  <w:num w:numId="25" w16cid:durableId="1974947669">
    <w:abstractNumId w:val="4"/>
  </w:num>
  <w:num w:numId="26" w16cid:durableId="1822431072">
    <w:abstractNumId w:val="16"/>
  </w:num>
  <w:num w:numId="27" w16cid:durableId="865101333">
    <w:abstractNumId w:val="20"/>
  </w:num>
  <w:num w:numId="28" w16cid:durableId="674767636">
    <w:abstractNumId w:val="27"/>
  </w:num>
  <w:num w:numId="29" w16cid:durableId="1053188250">
    <w:abstractNumId w:val="24"/>
  </w:num>
  <w:num w:numId="30" w16cid:durableId="3696444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A6219"/>
    <w:rsid w:val="00000F8F"/>
    <w:rsid w:val="00024AAF"/>
    <w:rsid w:val="00030174"/>
    <w:rsid w:val="0004579C"/>
    <w:rsid w:val="00074899"/>
    <w:rsid w:val="000A47FA"/>
    <w:rsid w:val="000A65D3"/>
    <w:rsid w:val="000B1E33"/>
    <w:rsid w:val="000D689F"/>
    <w:rsid w:val="000E7B7B"/>
    <w:rsid w:val="000E7D62"/>
    <w:rsid w:val="00103357"/>
    <w:rsid w:val="00123C9F"/>
    <w:rsid w:val="00126190"/>
    <w:rsid w:val="00130F17"/>
    <w:rsid w:val="001320BF"/>
    <w:rsid w:val="00132AC8"/>
    <w:rsid w:val="00133705"/>
    <w:rsid w:val="00146EEF"/>
    <w:rsid w:val="0015272E"/>
    <w:rsid w:val="00163BC4"/>
    <w:rsid w:val="00167773"/>
    <w:rsid w:val="00191062"/>
    <w:rsid w:val="00192B72"/>
    <w:rsid w:val="001A29D8"/>
    <w:rsid w:val="001A3AC4"/>
    <w:rsid w:val="001A5CAA"/>
    <w:rsid w:val="001B0427"/>
    <w:rsid w:val="001D3A51"/>
    <w:rsid w:val="001E10D2"/>
    <w:rsid w:val="001E25B4"/>
    <w:rsid w:val="001E44FE"/>
    <w:rsid w:val="001F186F"/>
    <w:rsid w:val="00200595"/>
    <w:rsid w:val="00204835"/>
    <w:rsid w:val="00223326"/>
    <w:rsid w:val="00231920"/>
    <w:rsid w:val="0023195C"/>
    <w:rsid w:val="0024282C"/>
    <w:rsid w:val="002460DC"/>
    <w:rsid w:val="00250985"/>
    <w:rsid w:val="002556F6"/>
    <w:rsid w:val="00281F45"/>
    <w:rsid w:val="00283105"/>
    <w:rsid w:val="00284C4C"/>
    <w:rsid w:val="00287E68"/>
    <w:rsid w:val="00296529"/>
    <w:rsid w:val="002A2C15"/>
    <w:rsid w:val="002B27FB"/>
    <w:rsid w:val="002B685A"/>
    <w:rsid w:val="002C5534"/>
    <w:rsid w:val="002C57D2"/>
    <w:rsid w:val="002E0D56"/>
    <w:rsid w:val="002F4E65"/>
    <w:rsid w:val="00307F63"/>
    <w:rsid w:val="00315186"/>
    <w:rsid w:val="00326FEB"/>
    <w:rsid w:val="0033343E"/>
    <w:rsid w:val="00334401"/>
    <w:rsid w:val="003512C2"/>
    <w:rsid w:val="00371FB6"/>
    <w:rsid w:val="003763C1"/>
    <w:rsid w:val="00376BBE"/>
    <w:rsid w:val="0039224F"/>
    <w:rsid w:val="003A43A4"/>
    <w:rsid w:val="003A7E18"/>
    <w:rsid w:val="003B29AE"/>
    <w:rsid w:val="003C4C86"/>
    <w:rsid w:val="003C6258"/>
    <w:rsid w:val="003E2904"/>
    <w:rsid w:val="00401927"/>
    <w:rsid w:val="0041027F"/>
    <w:rsid w:val="00412475"/>
    <w:rsid w:val="00423789"/>
    <w:rsid w:val="004303B1"/>
    <w:rsid w:val="00440F43"/>
    <w:rsid w:val="00441B6F"/>
    <w:rsid w:val="00446221"/>
    <w:rsid w:val="00450E62"/>
    <w:rsid w:val="004539DB"/>
    <w:rsid w:val="00471A80"/>
    <w:rsid w:val="00483E68"/>
    <w:rsid w:val="004A5A55"/>
    <w:rsid w:val="004B0994"/>
    <w:rsid w:val="004C408E"/>
    <w:rsid w:val="004D305E"/>
    <w:rsid w:val="004D4277"/>
    <w:rsid w:val="00502516"/>
    <w:rsid w:val="00505F06"/>
    <w:rsid w:val="00506828"/>
    <w:rsid w:val="005210F7"/>
    <w:rsid w:val="0053056E"/>
    <w:rsid w:val="00540BDE"/>
    <w:rsid w:val="0054751E"/>
    <w:rsid w:val="00554FDA"/>
    <w:rsid w:val="005C784C"/>
    <w:rsid w:val="005D17F6"/>
    <w:rsid w:val="005E5539"/>
    <w:rsid w:val="00600A42"/>
    <w:rsid w:val="00602BF5"/>
    <w:rsid w:val="00617FDD"/>
    <w:rsid w:val="00633614"/>
    <w:rsid w:val="00633F68"/>
    <w:rsid w:val="00636EB2"/>
    <w:rsid w:val="006375B8"/>
    <w:rsid w:val="0064524C"/>
    <w:rsid w:val="006540B2"/>
    <w:rsid w:val="00654F3C"/>
    <w:rsid w:val="0066510A"/>
    <w:rsid w:val="00673F9F"/>
    <w:rsid w:val="00686953"/>
    <w:rsid w:val="00687DEA"/>
    <w:rsid w:val="00687E67"/>
    <w:rsid w:val="006967F7"/>
    <w:rsid w:val="006A250C"/>
    <w:rsid w:val="006B21D3"/>
    <w:rsid w:val="006B57D0"/>
    <w:rsid w:val="006D30FF"/>
    <w:rsid w:val="006D5E66"/>
    <w:rsid w:val="006D6940"/>
    <w:rsid w:val="006F11EC"/>
    <w:rsid w:val="0070082C"/>
    <w:rsid w:val="00726804"/>
    <w:rsid w:val="007305F6"/>
    <w:rsid w:val="007367DF"/>
    <w:rsid w:val="007369E6"/>
    <w:rsid w:val="00740EFB"/>
    <w:rsid w:val="00744AEA"/>
    <w:rsid w:val="00746E59"/>
    <w:rsid w:val="00754C9A"/>
    <w:rsid w:val="0075599A"/>
    <w:rsid w:val="00761D52"/>
    <w:rsid w:val="00761D8B"/>
    <w:rsid w:val="0077749E"/>
    <w:rsid w:val="00790ADA"/>
    <w:rsid w:val="007A2153"/>
    <w:rsid w:val="007B33AD"/>
    <w:rsid w:val="007C713E"/>
    <w:rsid w:val="007D2288"/>
    <w:rsid w:val="007E088F"/>
    <w:rsid w:val="007F7B32"/>
    <w:rsid w:val="00804BC2"/>
    <w:rsid w:val="0081431A"/>
    <w:rsid w:val="0082262D"/>
    <w:rsid w:val="0083216F"/>
    <w:rsid w:val="00834A41"/>
    <w:rsid w:val="008453FD"/>
    <w:rsid w:val="00860000"/>
    <w:rsid w:val="00862815"/>
    <w:rsid w:val="00863BD3"/>
    <w:rsid w:val="008641ED"/>
    <w:rsid w:val="00864D18"/>
    <w:rsid w:val="00866D66"/>
    <w:rsid w:val="008671C6"/>
    <w:rsid w:val="00875803"/>
    <w:rsid w:val="008B459E"/>
    <w:rsid w:val="008C4B28"/>
    <w:rsid w:val="008C5E4E"/>
    <w:rsid w:val="008D4EC7"/>
    <w:rsid w:val="008E13AE"/>
    <w:rsid w:val="008E1506"/>
    <w:rsid w:val="008E710C"/>
    <w:rsid w:val="008E7BA0"/>
    <w:rsid w:val="008F69D6"/>
    <w:rsid w:val="00902823"/>
    <w:rsid w:val="00915CA6"/>
    <w:rsid w:val="009255D9"/>
    <w:rsid w:val="00927834"/>
    <w:rsid w:val="00947F37"/>
    <w:rsid w:val="009500A6"/>
    <w:rsid w:val="00957C18"/>
    <w:rsid w:val="00960134"/>
    <w:rsid w:val="009647D7"/>
    <w:rsid w:val="009659BA"/>
    <w:rsid w:val="00971F4E"/>
    <w:rsid w:val="00972C8B"/>
    <w:rsid w:val="00983040"/>
    <w:rsid w:val="009858B6"/>
    <w:rsid w:val="009B3FB9"/>
    <w:rsid w:val="009C2465"/>
    <w:rsid w:val="009D35A0"/>
    <w:rsid w:val="009D7EB7"/>
    <w:rsid w:val="009E0206"/>
    <w:rsid w:val="009E048A"/>
    <w:rsid w:val="009E08E9"/>
    <w:rsid w:val="009E3DB9"/>
    <w:rsid w:val="009E6E35"/>
    <w:rsid w:val="009F0EDA"/>
    <w:rsid w:val="00A03B96"/>
    <w:rsid w:val="00A05B19"/>
    <w:rsid w:val="00A1134E"/>
    <w:rsid w:val="00A16FA8"/>
    <w:rsid w:val="00A24E7E"/>
    <w:rsid w:val="00A258C3"/>
    <w:rsid w:val="00A26C4B"/>
    <w:rsid w:val="00A307FD"/>
    <w:rsid w:val="00A32A24"/>
    <w:rsid w:val="00A347C0"/>
    <w:rsid w:val="00A46798"/>
    <w:rsid w:val="00A51431"/>
    <w:rsid w:val="00A539AD"/>
    <w:rsid w:val="00A94063"/>
    <w:rsid w:val="00AA6219"/>
    <w:rsid w:val="00AA74E0"/>
    <w:rsid w:val="00AB703F"/>
    <w:rsid w:val="00AC6BB8"/>
    <w:rsid w:val="00AD0274"/>
    <w:rsid w:val="00AE008F"/>
    <w:rsid w:val="00B01FCD"/>
    <w:rsid w:val="00B1776C"/>
    <w:rsid w:val="00B17D70"/>
    <w:rsid w:val="00B248C7"/>
    <w:rsid w:val="00B47CD7"/>
    <w:rsid w:val="00B52583"/>
    <w:rsid w:val="00B52896"/>
    <w:rsid w:val="00B53377"/>
    <w:rsid w:val="00B95236"/>
    <w:rsid w:val="00B96BD9"/>
    <w:rsid w:val="00BA1B01"/>
    <w:rsid w:val="00BA2641"/>
    <w:rsid w:val="00BB37AA"/>
    <w:rsid w:val="00BC53A0"/>
    <w:rsid w:val="00BD29CF"/>
    <w:rsid w:val="00BE4ECE"/>
    <w:rsid w:val="00BE62AD"/>
    <w:rsid w:val="00BF121F"/>
    <w:rsid w:val="00BF1F80"/>
    <w:rsid w:val="00BF2121"/>
    <w:rsid w:val="00C166EF"/>
    <w:rsid w:val="00C17EB0"/>
    <w:rsid w:val="00C27F5F"/>
    <w:rsid w:val="00C30A0F"/>
    <w:rsid w:val="00C37E61"/>
    <w:rsid w:val="00C64B81"/>
    <w:rsid w:val="00C70F1B"/>
    <w:rsid w:val="00C71A47"/>
    <w:rsid w:val="00C7464C"/>
    <w:rsid w:val="00C85588"/>
    <w:rsid w:val="00C85B5F"/>
    <w:rsid w:val="00CD3F7D"/>
    <w:rsid w:val="00CD6755"/>
    <w:rsid w:val="00CD6856"/>
    <w:rsid w:val="00CE0089"/>
    <w:rsid w:val="00CE20C5"/>
    <w:rsid w:val="00CE793C"/>
    <w:rsid w:val="00CF193C"/>
    <w:rsid w:val="00D029DA"/>
    <w:rsid w:val="00D173F1"/>
    <w:rsid w:val="00D57990"/>
    <w:rsid w:val="00D74CB0"/>
    <w:rsid w:val="00D809C8"/>
    <w:rsid w:val="00D8295D"/>
    <w:rsid w:val="00DC2A65"/>
    <w:rsid w:val="00DC5A6E"/>
    <w:rsid w:val="00DE15F0"/>
    <w:rsid w:val="00DE5663"/>
    <w:rsid w:val="00DE78AA"/>
    <w:rsid w:val="00DF747C"/>
    <w:rsid w:val="00E053D0"/>
    <w:rsid w:val="00E14B17"/>
    <w:rsid w:val="00E15994"/>
    <w:rsid w:val="00E17DD6"/>
    <w:rsid w:val="00E3114E"/>
    <w:rsid w:val="00E31A70"/>
    <w:rsid w:val="00E35B02"/>
    <w:rsid w:val="00E66496"/>
    <w:rsid w:val="00E66B35"/>
    <w:rsid w:val="00E66E10"/>
    <w:rsid w:val="00E769F6"/>
    <w:rsid w:val="00E8407C"/>
    <w:rsid w:val="00E84F3C"/>
    <w:rsid w:val="00EA012C"/>
    <w:rsid w:val="00EC472E"/>
    <w:rsid w:val="00EC6A55"/>
    <w:rsid w:val="00ED0288"/>
    <w:rsid w:val="00EE52CB"/>
    <w:rsid w:val="00EF581D"/>
    <w:rsid w:val="00EF7FD8"/>
    <w:rsid w:val="00F06F59"/>
    <w:rsid w:val="00F1540C"/>
    <w:rsid w:val="00F17988"/>
    <w:rsid w:val="00F26905"/>
    <w:rsid w:val="00F34C1D"/>
    <w:rsid w:val="00F469F0"/>
    <w:rsid w:val="00F53273"/>
    <w:rsid w:val="00F755E4"/>
    <w:rsid w:val="00F77D02"/>
    <w:rsid w:val="00F82DCD"/>
    <w:rsid w:val="00FB3A86"/>
    <w:rsid w:val="00FD36C8"/>
    <w:rsid w:val="00FE0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1F6F3A0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F4E65"/>
    <w:rPr>
      <w:rFonts w:ascii="Helvetica" w:hAnsi="Helvetica"/>
    </w:rPr>
  </w:style>
  <w:style w:type="paragraph" w:styleId="1">
    <w:name w:val="heading 1"/>
    <w:basedOn w:val="a"/>
    <w:next w:val="a"/>
    <w:qFormat/>
    <w:rsid w:val="00423789"/>
    <w:pPr>
      <w:keepNext/>
      <w:spacing w:before="240" w:after="60"/>
      <w:outlineLvl w:val="0"/>
    </w:pPr>
    <w:rPr>
      <w:rFonts w:ascii="Arial" w:hAnsi="Arial"/>
      <w:b/>
      <w:kern w:val="28"/>
      <w:sz w:val="28"/>
    </w:rPr>
  </w:style>
  <w:style w:type="paragraph" w:styleId="2">
    <w:name w:val="heading 2"/>
    <w:basedOn w:val="a"/>
    <w:next w:val="a"/>
    <w:link w:val="20"/>
    <w:semiHidden/>
    <w:unhideWhenUsed/>
    <w:qFormat/>
    <w:rsid w:val="001A3AC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
    <w:name w:val="Author"/>
    <w:basedOn w:val="a"/>
    <w:rsid w:val="00423789"/>
    <w:pPr>
      <w:spacing w:line="280" w:lineRule="exact"/>
      <w:jc w:val="right"/>
    </w:pPr>
    <w:rPr>
      <w:b/>
      <w:sz w:val="24"/>
    </w:rPr>
  </w:style>
  <w:style w:type="paragraph" w:customStyle="1" w:styleId="Affiliation">
    <w:name w:val="Affiliation"/>
    <w:basedOn w:val="a"/>
    <w:rsid w:val="00423789"/>
    <w:pPr>
      <w:spacing w:after="240" w:line="240" w:lineRule="exact"/>
      <w:jc w:val="right"/>
    </w:pPr>
  </w:style>
  <w:style w:type="paragraph" w:customStyle="1" w:styleId="Body">
    <w:name w:val="Body"/>
    <w:basedOn w:val="a"/>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a"/>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a"/>
    <w:rsid w:val="00423789"/>
    <w:pPr>
      <w:spacing w:after="960" w:line="200" w:lineRule="exact"/>
    </w:pPr>
    <w:rPr>
      <w:sz w:val="16"/>
    </w:rPr>
  </w:style>
  <w:style w:type="paragraph" w:styleId="a3">
    <w:name w:val="Title"/>
    <w:basedOn w:val="a"/>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a"/>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a"/>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a4">
    <w:name w:val="footer"/>
    <w:basedOn w:val="a"/>
    <w:rsid w:val="00423789"/>
    <w:pPr>
      <w:tabs>
        <w:tab w:val="center" w:pos="4320"/>
        <w:tab w:val="right" w:pos="8640"/>
      </w:tabs>
    </w:pPr>
  </w:style>
  <w:style w:type="paragraph" w:customStyle="1" w:styleId="Head40">
    <w:name w:val="Head 4"/>
    <w:basedOn w:val="Head3"/>
    <w:rsid w:val="00423789"/>
    <w:rPr>
      <w:u w:val="none"/>
    </w:rPr>
  </w:style>
  <w:style w:type="paragraph" w:styleId="a5">
    <w:name w:val="header"/>
    <w:basedOn w:val="a"/>
    <w:rsid w:val="00423789"/>
    <w:pPr>
      <w:tabs>
        <w:tab w:val="center" w:pos="4320"/>
        <w:tab w:val="right" w:pos="8640"/>
      </w:tabs>
    </w:pPr>
  </w:style>
  <w:style w:type="paragraph" w:customStyle="1" w:styleId="Paper">
    <w:name w:val="Paper"/>
    <w:basedOn w:val="a"/>
    <w:rsid w:val="00423789"/>
    <w:pPr>
      <w:spacing w:after="360" w:line="440" w:lineRule="exact"/>
      <w:jc w:val="right"/>
    </w:pPr>
    <w:rPr>
      <w:b/>
      <w:sz w:val="36"/>
    </w:rPr>
  </w:style>
  <w:style w:type="paragraph" w:styleId="a6">
    <w:name w:val="Signature"/>
    <w:basedOn w:val="a"/>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a0"/>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a7">
    <w:name w:val="Hyperlink"/>
    <w:basedOn w:val="a0"/>
    <w:rsid w:val="00030174"/>
    <w:rPr>
      <w:color w:val="FF0080"/>
      <w:u w:val="single"/>
    </w:rPr>
  </w:style>
  <w:style w:type="character" w:styleId="a8">
    <w:name w:val="FollowedHyperlink"/>
    <w:basedOn w:val="a0"/>
    <w:rsid w:val="00FB3A86"/>
    <w:rPr>
      <w:color w:val="800080"/>
      <w:u w:val="single"/>
    </w:rPr>
  </w:style>
  <w:style w:type="table" w:styleId="a9">
    <w:name w:val="Table Grid"/>
    <w:basedOn w:val="a1"/>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2"/>
    <w:basedOn w:val="a"/>
    <w:link w:val="22"/>
    <w:rsid w:val="00EF7FD8"/>
    <w:pPr>
      <w:spacing w:after="120" w:line="480" w:lineRule="auto"/>
    </w:pPr>
  </w:style>
  <w:style w:type="character" w:customStyle="1" w:styleId="22">
    <w:name w:val="正文文本 2 字符"/>
    <w:basedOn w:val="a0"/>
    <w:link w:val="21"/>
    <w:rsid w:val="00EF7FD8"/>
    <w:rPr>
      <w:rFonts w:ascii="Helvetica" w:hAnsi="Helvetica"/>
    </w:rPr>
  </w:style>
  <w:style w:type="character" w:styleId="aa">
    <w:name w:val="annotation reference"/>
    <w:basedOn w:val="a0"/>
    <w:uiPriority w:val="99"/>
    <w:unhideWhenUsed/>
    <w:rsid w:val="00746E59"/>
    <w:rPr>
      <w:sz w:val="16"/>
      <w:szCs w:val="16"/>
    </w:rPr>
  </w:style>
  <w:style w:type="paragraph" w:styleId="ab">
    <w:name w:val="annotation text"/>
    <w:basedOn w:val="a"/>
    <w:link w:val="ac"/>
    <w:uiPriority w:val="99"/>
    <w:unhideWhenUsed/>
    <w:rsid w:val="00746E59"/>
    <w:rPr>
      <w:rFonts w:ascii="Times New Roman" w:hAnsi="Times New Roman"/>
      <w:lang w:val="nb-NO" w:eastAsia="nb-NO"/>
    </w:rPr>
  </w:style>
  <w:style w:type="character" w:customStyle="1" w:styleId="ac">
    <w:name w:val="批注文字 字符"/>
    <w:basedOn w:val="a0"/>
    <w:link w:val="ab"/>
    <w:uiPriority w:val="99"/>
    <w:rsid w:val="00746E59"/>
    <w:rPr>
      <w:lang w:val="nb-NO" w:eastAsia="nb-NO"/>
    </w:rPr>
  </w:style>
  <w:style w:type="paragraph" w:styleId="ad">
    <w:name w:val="Balloon Text"/>
    <w:basedOn w:val="a"/>
    <w:link w:val="ae"/>
    <w:rsid w:val="00746E59"/>
    <w:rPr>
      <w:rFonts w:ascii="Tahoma" w:hAnsi="Tahoma" w:cs="Tahoma"/>
      <w:sz w:val="16"/>
      <w:szCs w:val="16"/>
    </w:rPr>
  </w:style>
  <w:style w:type="character" w:customStyle="1" w:styleId="ae">
    <w:name w:val="批注框文本 字符"/>
    <w:basedOn w:val="a0"/>
    <w:link w:val="ad"/>
    <w:rsid w:val="00746E59"/>
    <w:rPr>
      <w:rFonts w:ascii="Tahoma" w:hAnsi="Tahoma" w:cs="Tahoma"/>
      <w:sz w:val="16"/>
      <w:szCs w:val="16"/>
    </w:rPr>
  </w:style>
  <w:style w:type="paragraph" w:styleId="3">
    <w:name w:val="Body Text 3"/>
    <w:basedOn w:val="a"/>
    <w:link w:val="30"/>
    <w:rsid w:val="00231920"/>
    <w:pPr>
      <w:spacing w:after="120"/>
    </w:pPr>
    <w:rPr>
      <w:sz w:val="16"/>
      <w:szCs w:val="16"/>
    </w:rPr>
  </w:style>
  <w:style w:type="character" w:customStyle="1" w:styleId="30">
    <w:name w:val="正文文本 3 字符"/>
    <w:basedOn w:val="a0"/>
    <w:link w:val="3"/>
    <w:rsid w:val="00231920"/>
    <w:rPr>
      <w:rFonts w:ascii="Helvetica" w:hAnsi="Helvetica"/>
      <w:sz w:val="16"/>
      <w:szCs w:val="16"/>
    </w:rPr>
  </w:style>
  <w:style w:type="character" w:styleId="af">
    <w:name w:val="line number"/>
    <w:basedOn w:val="a0"/>
    <w:rsid w:val="00412475"/>
  </w:style>
  <w:style w:type="character" w:styleId="af0">
    <w:name w:val="Emphasis"/>
    <w:basedOn w:val="a0"/>
    <w:uiPriority w:val="20"/>
    <w:qFormat/>
    <w:rsid w:val="0024282C"/>
    <w:rPr>
      <w:i/>
      <w:iCs/>
    </w:rPr>
  </w:style>
  <w:style w:type="character" w:styleId="af1">
    <w:name w:val="Unresolved Mention"/>
    <w:basedOn w:val="a0"/>
    <w:uiPriority w:val="99"/>
    <w:semiHidden/>
    <w:unhideWhenUsed/>
    <w:rsid w:val="00287E68"/>
    <w:rPr>
      <w:color w:val="605E5C"/>
      <w:shd w:val="clear" w:color="auto" w:fill="E1DFDD"/>
    </w:rPr>
  </w:style>
  <w:style w:type="character" w:customStyle="1" w:styleId="20">
    <w:name w:val="标题 2 字符"/>
    <w:basedOn w:val="a0"/>
    <w:link w:val="2"/>
    <w:semiHidden/>
    <w:rsid w:val="001A3AC4"/>
    <w:rPr>
      <w:rFonts w:asciiTheme="majorHAnsi" w:eastAsiaTheme="majorEastAsia" w:hAnsiTheme="majorHAnsi" w:cstheme="majorBidi"/>
      <w:b/>
      <w:bCs/>
      <w:sz w:val="32"/>
      <w:szCs w:val="32"/>
    </w:rPr>
  </w:style>
  <w:style w:type="paragraph" w:styleId="af2">
    <w:name w:val="annotation subject"/>
    <w:basedOn w:val="ab"/>
    <w:next w:val="ab"/>
    <w:link w:val="af3"/>
    <w:semiHidden/>
    <w:unhideWhenUsed/>
    <w:rsid w:val="00F26905"/>
    <w:rPr>
      <w:rFonts w:ascii="Helvetica" w:hAnsi="Helvetica"/>
      <w:b/>
      <w:bCs/>
      <w:lang w:val="en-US" w:eastAsia="en-US"/>
    </w:rPr>
  </w:style>
  <w:style w:type="character" w:customStyle="1" w:styleId="af3">
    <w:name w:val="批注主题 字符"/>
    <w:basedOn w:val="ac"/>
    <w:link w:val="af2"/>
    <w:semiHidden/>
    <w:rsid w:val="00F26905"/>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tiff"/><Relationship Id="rId2" Type="http://schemas.openxmlformats.org/officeDocument/2006/relationships/numbering" Target="numbering.xml"/><Relationship Id="rId16" Type="http://schemas.openxmlformats.org/officeDocument/2006/relationships/image" Target="media/image2.tif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linicaltrials.gov"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tiff"/><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30FED-167A-4AED-B8A1-347F89463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401</TotalTime>
  <Pages>11</Pages>
  <Words>5214</Words>
  <Characters>29721</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34866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Lucky J</cp:lastModifiedBy>
  <cp:revision>67</cp:revision>
  <cp:lastPrinted>1999-07-06T11:00:00Z</cp:lastPrinted>
  <dcterms:created xsi:type="dcterms:W3CDTF">2014-10-25T14:34:00Z</dcterms:created>
  <dcterms:modified xsi:type="dcterms:W3CDTF">2025-04-07T05:58:00Z</dcterms:modified>
</cp:coreProperties>
</file>