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27E6" w:rsidRDefault="00B827E6">
      <w:pPr>
        <w:spacing w:after="0" w:line="240" w:lineRule="auto"/>
        <w:jc w:val="center"/>
        <w:rPr>
          <w:rFonts w:ascii="Times New Roman" w:hAnsi="Times New Roman" w:cs="Times New Roman"/>
          <w:b/>
          <w:color w:val="000000"/>
          <w:sz w:val="24"/>
          <w:szCs w:val="24"/>
        </w:rPr>
      </w:pPr>
      <w:bookmarkStart w:id="0" w:name="_Toc377301140"/>
    </w:p>
    <w:p w:rsidR="00B827E6" w:rsidRDefault="00A54D81">
      <w:pPr>
        <w:spacing w:after="0" w:line="24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Effect of Aqueous </w:t>
      </w:r>
      <w:r>
        <w:rPr>
          <w:rFonts w:ascii="Times New Roman" w:hAnsi="Times New Roman" w:cs="Times New Roman"/>
          <w:b/>
          <w:i/>
          <w:color w:val="000000"/>
          <w:sz w:val="24"/>
          <w:szCs w:val="24"/>
        </w:rPr>
        <w:t>Allium Sativum</w:t>
      </w:r>
      <w:r>
        <w:rPr>
          <w:rFonts w:ascii="Times New Roman" w:hAnsi="Times New Roman" w:cs="Times New Roman"/>
          <w:b/>
          <w:color w:val="000000"/>
          <w:sz w:val="24"/>
          <w:szCs w:val="24"/>
        </w:rPr>
        <w:t xml:space="preserve"> Bulb Extract on Lead Acetate </w:t>
      </w:r>
      <w:r>
        <w:rPr>
          <w:rFonts w:ascii="Times New Roman" w:hAnsi="Times New Roman" w:cs="Times New Roman"/>
          <w:bCs/>
          <w:color w:val="000000"/>
          <w:sz w:val="24"/>
          <w:szCs w:val="24"/>
        </w:rPr>
        <w:t>-</w:t>
      </w:r>
      <w:r>
        <w:rPr>
          <w:rFonts w:ascii="Times New Roman" w:hAnsi="Times New Roman" w:cs="Times New Roman"/>
          <w:b/>
          <w:color w:val="000000"/>
          <w:sz w:val="24"/>
          <w:szCs w:val="24"/>
        </w:rPr>
        <w:t>Induced Testicular Toxicity in Male Wistar Rats</w:t>
      </w:r>
    </w:p>
    <w:p w:rsidR="00B827E6" w:rsidRDefault="00B827E6">
      <w:pPr>
        <w:spacing w:after="0" w:line="240" w:lineRule="auto"/>
        <w:jc w:val="center"/>
        <w:rPr>
          <w:rFonts w:ascii="Times New Roman" w:hAnsi="Times New Roman" w:cs="Times New Roman"/>
          <w:b/>
          <w:color w:val="000000"/>
          <w:sz w:val="24"/>
          <w:szCs w:val="24"/>
        </w:rPr>
      </w:pPr>
    </w:p>
    <w:p w:rsidR="00B827E6" w:rsidRDefault="00B827E6">
      <w:pPr>
        <w:spacing w:after="0" w:line="240" w:lineRule="auto"/>
        <w:jc w:val="center"/>
        <w:rPr>
          <w:rFonts w:ascii="Times New Roman" w:hAnsi="Times New Roman" w:cs="Times New Roman"/>
          <w:b/>
          <w:color w:val="000000"/>
          <w:sz w:val="24"/>
          <w:szCs w:val="24"/>
        </w:rPr>
      </w:pPr>
    </w:p>
    <w:p w:rsidR="00B827E6" w:rsidRDefault="00B827E6">
      <w:pPr>
        <w:spacing w:line="480" w:lineRule="auto"/>
        <w:jc w:val="both"/>
        <w:rPr>
          <w:rFonts w:ascii="Times New Roman" w:hAnsi="Times New Roman" w:cs="Times New Roman"/>
          <w:b/>
          <w:bCs/>
          <w:color w:val="000000"/>
          <w:sz w:val="24"/>
          <w:szCs w:val="24"/>
        </w:rPr>
      </w:pP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ABSTRACT</w:t>
      </w:r>
      <w:bookmarkEnd w:id="0"/>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Introduction:</w:t>
      </w:r>
      <w:r>
        <w:rPr>
          <w:rFonts w:ascii="Times New Roman" w:hAnsi="Times New Roman" w:cs="Times New Roman"/>
          <w:bCs/>
          <w:color w:val="000000"/>
          <w:sz w:val="24"/>
          <w:szCs w:val="24"/>
        </w:rPr>
        <w:t xml:space="preserve"> Infertility is one of the global public health concerns as it affects 15% of couples of reproductive ages. It was observed that lead exposure has been considered to adversely affect spermatogenesis and reduced fertility with the accumulation in the organ by inducing oxidative stress and inflammation in the testes.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Aim:</w:t>
      </w:r>
      <w:r>
        <w:rPr>
          <w:rFonts w:ascii="Times New Roman" w:hAnsi="Times New Roman" w:cs="Times New Roman"/>
          <w:bCs/>
          <w:color w:val="000000"/>
          <w:sz w:val="24"/>
          <w:szCs w:val="24"/>
        </w:rPr>
        <w:t xml:space="preserve"> This study aimed to determine the effect of </w:t>
      </w:r>
      <w:bookmarkStart w:id="1" w:name="_Hlk190535424"/>
      <w:r>
        <w:rPr>
          <w:rFonts w:ascii="Times New Roman" w:hAnsi="Times New Roman" w:cs="Times New Roman"/>
          <w:bCs/>
          <w:color w:val="000000"/>
          <w:sz w:val="24"/>
          <w:szCs w:val="24"/>
        </w:rPr>
        <w:t xml:space="preserve">aqueous </w:t>
      </w:r>
      <w:r>
        <w:rPr>
          <w:rFonts w:ascii="Times New Roman" w:hAnsi="Times New Roman" w:cs="Times New Roman"/>
          <w:bCs/>
          <w:i/>
          <w:iCs/>
          <w:color w:val="000000"/>
          <w:sz w:val="24"/>
          <w:szCs w:val="24"/>
        </w:rPr>
        <w:t>Allium savitum</w:t>
      </w:r>
      <w:r>
        <w:rPr>
          <w:rFonts w:ascii="Times New Roman" w:hAnsi="Times New Roman" w:cs="Times New Roman"/>
          <w:bCs/>
          <w:color w:val="000000"/>
          <w:sz w:val="24"/>
          <w:szCs w:val="24"/>
        </w:rPr>
        <w:t xml:space="preserve"> bulb extract </w:t>
      </w:r>
      <w:bookmarkEnd w:id="1"/>
      <w:r>
        <w:rPr>
          <w:rFonts w:ascii="Times New Roman" w:hAnsi="Times New Roman" w:cs="Times New Roman"/>
          <w:bCs/>
          <w:color w:val="000000"/>
          <w:sz w:val="24"/>
          <w:szCs w:val="24"/>
        </w:rPr>
        <w:t xml:space="preserve">on lead induced testicular </w:t>
      </w:r>
      <w:bookmarkStart w:id="2" w:name="_Hlk190536058"/>
      <w:r>
        <w:rPr>
          <w:rFonts w:ascii="Times New Roman" w:hAnsi="Times New Roman" w:cs="Times New Roman"/>
          <w:bCs/>
          <w:color w:val="000000"/>
          <w:sz w:val="24"/>
          <w:szCs w:val="24"/>
        </w:rPr>
        <w:t>toxicity</w:t>
      </w:r>
      <w:bookmarkEnd w:id="2"/>
      <w:r>
        <w:rPr>
          <w:rFonts w:ascii="Times New Roman" w:hAnsi="Times New Roman" w:cs="Times New Roman"/>
          <w:bCs/>
          <w:color w:val="000000"/>
          <w:sz w:val="24"/>
          <w:szCs w:val="24"/>
        </w:rPr>
        <w:t xml:space="preserve"> in male wistar rat.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Methodology:</w:t>
      </w:r>
      <w:r>
        <w:rPr>
          <w:rFonts w:ascii="Times New Roman" w:hAnsi="Times New Roman" w:cs="Times New Roman"/>
          <w:bCs/>
          <w:color w:val="000000"/>
          <w:sz w:val="24"/>
          <w:szCs w:val="24"/>
        </w:rPr>
        <w:t xml:space="preserve"> Male wistar rats were divided into 6 groups with six rats each</w:t>
      </w:r>
      <w:r>
        <w:rPr>
          <w:rFonts w:ascii="Times New Roman" w:hAnsi="Times New Roman" w:cs="Times New Roman"/>
          <w:b/>
          <w:bCs/>
          <w:color w:val="000000"/>
          <w:sz w:val="24"/>
          <w:szCs w:val="24"/>
        </w:rPr>
        <w:t>,</w:t>
      </w:r>
      <w:r>
        <w:rPr>
          <w:rFonts w:ascii="Times New Roman" w:hAnsi="Times New Roman" w:cs="Times New Roman"/>
          <w:bCs/>
          <w:color w:val="000000"/>
          <w:sz w:val="24"/>
          <w:szCs w:val="24"/>
        </w:rPr>
        <w:t xml:space="preserve"> the normal control, the positive group received lead acetate alone </w:t>
      </w:r>
      <w:bookmarkStart w:id="3" w:name="_Hlk194249791"/>
      <w:r>
        <w:rPr>
          <w:rFonts w:ascii="Times New Roman" w:hAnsi="Times New Roman" w:cs="Times New Roman"/>
          <w:bCs/>
          <w:color w:val="000000"/>
          <w:sz w:val="24"/>
          <w:szCs w:val="24"/>
        </w:rPr>
        <w:t xml:space="preserve">15 mg/kg/day via interperitoneally route daily for ten consecutive days </w:t>
      </w:r>
      <w:bookmarkEnd w:id="3"/>
      <w:r>
        <w:rPr>
          <w:rFonts w:ascii="Times New Roman" w:hAnsi="Times New Roman" w:cs="Times New Roman"/>
          <w:bCs/>
          <w:color w:val="000000"/>
          <w:sz w:val="24"/>
          <w:szCs w:val="24"/>
        </w:rPr>
        <w:t xml:space="preserve">while </w:t>
      </w:r>
      <w:bookmarkStart w:id="4" w:name="_Hlk190535433"/>
      <w:r>
        <w:rPr>
          <w:rFonts w:ascii="Times New Roman" w:hAnsi="Times New Roman" w:cs="Times New Roman"/>
          <w:bCs/>
          <w:color w:val="000000"/>
          <w:sz w:val="24"/>
          <w:szCs w:val="24"/>
        </w:rPr>
        <w:t xml:space="preserve">treatment groups </w:t>
      </w:r>
      <w:bookmarkEnd w:id="4"/>
      <w:r>
        <w:rPr>
          <w:rFonts w:ascii="Times New Roman" w:hAnsi="Times New Roman" w:cs="Times New Roman"/>
          <w:bCs/>
          <w:color w:val="000000"/>
          <w:sz w:val="24"/>
          <w:szCs w:val="24"/>
        </w:rPr>
        <w:t xml:space="preserve">were pretreated with </w:t>
      </w:r>
      <w:bookmarkStart w:id="5" w:name="_Hlk190535258"/>
      <w:r>
        <w:rPr>
          <w:rFonts w:ascii="Times New Roman" w:hAnsi="Times New Roman" w:cs="Times New Roman"/>
          <w:bCs/>
          <w:color w:val="000000"/>
          <w:sz w:val="24"/>
          <w:szCs w:val="24"/>
        </w:rPr>
        <w:t xml:space="preserve">lead-acetate </w:t>
      </w:r>
      <w:bookmarkEnd w:id="5"/>
      <w:r>
        <w:rPr>
          <w:rFonts w:ascii="Times New Roman" w:hAnsi="Times New Roman" w:cs="Times New Roman"/>
          <w:bCs/>
          <w:color w:val="000000"/>
          <w:sz w:val="24"/>
          <w:szCs w:val="24"/>
        </w:rPr>
        <w:t xml:space="preserve">as the positive control after which they received graded doses of the extract at 100, 200 and 400 mg/kg/day via oral route for 40 days.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Results:</w:t>
      </w:r>
      <w:r>
        <w:rPr>
          <w:rFonts w:ascii="Times New Roman" w:hAnsi="Times New Roman" w:cs="Times New Roman"/>
          <w:bCs/>
          <w:color w:val="000000"/>
          <w:sz w:val="24"/>
          <w:szCs w:val="24"/>
        </w:rPr>
        <w:t xml:space="preserve"> The results demonstrated that </w:t>
      </w:r>
      <w:r>
        <w:rPr>
          <w:rFonts w:ascii="Times New Roman" w:hAnsi="Times New Roman" w:cs="Times New Roman"/>
          <w:bCs/>
          <w:i/>
          <w:iCs/>
          <w:color w:val="000000"/>
          <w:sz w:val="24"/>
          <w:szCs w:val="24"/>
        </w:rPr>
        <w:t xml:space="preserve">Allium sativum </w:t>
      </w:r>
      <w:r>
        <w:rPr>
          <w:rFonts w:ascii="Times New Roman" w:hAnsi="Times New Roman" w:cs="Times New Roman"/>
          <w:bCs/>
          <w:color w:val="000000"/>
          <w:sz w:val="24"/>
          <w:szCs w:val="24"/>
        </w:rPr>
        <w:t xml:space="preserve">extract treatment induced a negative energy balance, as evidenced by significant reduction in body weight similar to the positive control group.  Lead acetate administration </w:t>
      </w:r>
      <w:bookmarkStart w:id="6" w:name="_Hlk190536046"/>
      <w:r>
        <w:rPr>
          <w:rFonts w:ascii="Times New Roman" w:hAnsi="Times New Roman" w:cs="Times New Roman"/>
          <w:bCs/>
          <w:color w:val="000000"/>
          <w:sz w:val="24"/>
          <w:szCs w:val="24"/>
        </w:rPr>
        <w:t xml:space="preserve">induced </w:t>
      </w:r>
      <w:bookmarkEnd w:id="6"/>
      <w:r>
        <w:rPr>
          <w:rFonts w:ascii="Times New Roman" w:hAnsi="Times New Roman" w:cs="Times New Roman"/>
          <w:bCs/>
          <w:color w:val="000000"/>
          <w:sz w:val="24"/>
          <w:szCs w:val="24"/>
        </w:rPr>
        <w:t xml:space="preserve">significant deletions alterations in the serum Testosterone, body weight, testis weight and sperm characteristics (counts, motility and viability) of exposed rats </w:t>
      </w:r>
      <w:bookmarkStart w:id="7" w:name="_Hlk190535458"/>
      <w:r>
        <w:rPr>
          <w:rFonts w:ascii="Times New Roman" w:hAnsi="Times New Roman" w:cs="Times New Roman"/>
          <w:bCs/>
          <w:color w:val="000000"/>
          <w:sz w:val="24"/>
          <w:szCs w:val="24"/>
        </w:rPr>
        <w:t xml:space="preserve">(p&lt;0.05). </w:t>
      </w:r>
      <w:bookmarkEnd w:id="7"/>
      <w:r>
        <w:rPr>
          <w:rFonts w:ascii="Times New Roman" w:hAnsi="Times New Roman" w:cs="Times New Roman"/>
          <w:bCs/>
          <w:color w:val="000000"/>
          <w:sz w:val="24"/>
          <w:szCs w:val="24"/>
        </w:rPr>
        <w:t xml:space="preserve">These were significantly reversed in the aqueous </w:t>
      </w:r>
      <w:r>
        <w:rPr>
          <w:rFonts w:ascii="Times New Roman" w:hAnsi="Times New Roman" w:cs="Times New Roman"/>
          <w:bCs/>
          <w:i/>
          <w:iCs/>
          <w:color w:val="000000"/>
          <w:sz w:val="24"/>
          <w:szCs w:val="24"/>
        </w:rPr>
        <w:t>Allium savitum</w:t>
      </w:r>
      <w:r>
        <w:rPr>
          <w:rFonts w:ascii="Times New Roman" w:hAnsi="Times New Roman" w:cs="Times New Roman"/>
          <w:bCs/>
          <w:color w:val="000000"/>
          <w:sz w:val="24"/>
          <w:szCs w:val="24"/>
        </w:rPr>
        <w:t xml:space="preserve"> bulb extract-treated groups (p&lt;0.05). Also, they were marked improvement in the observed lead acetate induced</w:t>
      </w:r>
      <w:r>
        <w:rPr>
          <w:rFonts w:ascii="Times New Roman" w:hAnsi="Times New Roman" w:cs="Times New Roman"/>
          <w:color w:val="000000"/>
          <w:sz w:val="24"/>
          <w:szCs w:val="24"/>
        </w:rPr>
        <w:t xml:space="preserve"> atrophy of the interstitial Leydig cells and reduction in intraluminal spermatids observed </w:t>
      </w:r>
      <w:r>
        <w:rPr>
          <w:rFonts w:ascii="Times New Roman" w:hAnsi="Times New Roman" w:cs="Times New Roman"/>
          <w:bCs/>
          <w:color w:val="000000"/>
          <w:sz w:val="24"/>
          <w:szCs w:val="24"/>
        </w:rPr>
        <w:t xml:space="preserve">was </w:t>
      </w:r>
      <w:r>
        <w:rPr>
          <w:rFonts w:ascii="Times New Roman" w:hAnsi="Times New Roman" w:cs="Times New Roman"/>
          <w:bCs/>
          <w:color w:val="000000"/>
          <w:sz w:val="24"/>
          <w:szCs w:val="24"/>
        </w:rPr>
        <w:lastRenderedPageBreak/>
        <w:t xml:space="preserve">significantly reversed in the representative photomicrographs, following administration of the extract.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color w:val="000000"/>
          <w:sz w:val="24"/>
          <w:szCs w:val="24"/>
        </w:rPr>
        <w:t>Conclusion:</w:t>
      </w:r>
      <w:r>
        <w:rPr>
          <w:rFonts w:ascii="Times New Roman" w:hAnsi="Times New Roman" w:cs="Times New Roman"/>
          <w:bCs/>
          <w:color w:val="000000"/>
          <w:sz w:val="24"/>
          <w:szCs w:val="24"/>
        </w:rPr>
        <w:t xml:space="preserve"> The administrative of aqueous </w:t>
      </w:r>
      <w:r>
        <w:rPr>
          <w:rFonts w:ascii="Times New Roman" w:hAnsi="Times New Roman" w:cs="Times New Roman"/>
          <w:bCs/>
          <w:i/>
          <w:iCs/>
          <w:color w:val="000000"/>
          <w:sz w:val="24"/>
          <w:szCs w:val="24"/>
        </w:rPr>
        <w:t>Allium savitum</w:t>
      </w:r>
      <w:r>
        <w:rPr>
          <w:rFonts w:ascii="Times New Roman" w:hAnsi="Times New Roman" w:cs="Times New Roman"/>
          <w:bCs/>
          <w:color w:val="000000"/>
          <w:sz w:val="24"/>
          <w:szCs w:val="24"/>
        </w:rPr>
        <w:t xml:space="preserve"> bulb extract exhibits beneficial effects on metabolic health and shows promise as a protective agent against lead-acetate induced toxicity. </w:t>
      </w:r>
      <w:bookmarkStart w:id="8" w:name="_Toc377301142"/>
    </w:p>
    <w:p w:rsidR="00B827E6" w:rsidRPr="00A54D81" w:rsidRDefault="00A54D81">
      <w:pPr>
        <w:spacing w:line="480" w:lineRule="auto"/>
        <w:jc w:val="both"/>
        <w:rPr>
          <w:rFonts w:ascii="Times New Roman" w:hAnsi="Times New Roman" w:cs="Times New Roman"/>
          <w:bCs/>
          <w:i/>
          <w:color w:val="000000"/>
          <w:sz w:val="24"/>
          <w:szCs w:val="24"/>
        </w:rPr>
      </w:pPr>
      <w:r w:rsidRPr="00A54D81">
        <w:rPr>
          <w:rFonts w:ascii="Times New Roman" w:hAnsi="Times New Roman" w:cs="Times New Roman"/>
          <w:b/>
          <w:bCs/>
          <w:color w:val="000000"/>
          <w:sz w:val="24"/>
          <w:szCs w:val="24"/>
        </w:rPr>
        <w:t>Keywords:</w:t>
      </w:r>
      <w:r>
        <w:rPr>
          <w:rFonts w:ascii="Times New Roman" w:hAnsi="Times New Roman" w:cs="Times New Roman"/>
          <w:bCs/>
          <w:color w:val="000000"/>
          <w:sz w:val="24"/>
          <w:szCs w:val="24"/>
        </w:rPr>
        <w:t xml:space="preserve"> </w:t>
      </w:r>
      <w:r w:rsidRPr="00A54D81">
        <w:rPr>
          <w:rFonts w:ascii="Times New Roman" w:hAnsi="Times New Roman" w:cs="Times New Roman"/>
          <w:bCs/>
          <w:i/>
          <w:color w:val="000000"/>
          <w:sz w:val="24"/>
          <w:szCs w:val="24"/>
        </w:rPr>
        <w:t>Allium Sativum</w:t>
      </w:r>
      <w:r>
        <w:rPr>
          <w:rFonts w:ascii="Times New Roman" w:hAnsi="Times New Roman" w:cs="Times New Roman"/>
          <w:bCs/>
          <w:i/>
          <w:color w:val="000000"/>
          <w:sz w:val="24"/>
          <w:szCs w:val="24"/>
        </w:rPr>
        <w:t xml:space="preserve">, </w:t>
      </w:r>
      <w:r w:rsidRPr="00A54D81">
        <w:rPr>
          <w:rFonts w:ascii="Times New Roman" w:hAnsi="Times New Roman" w:cs="Times New Roman"/>
          <w:bCs/>
          <w:color w:val="000000"/>
          <w:sz w:val="24"/>
          <w:szCs w:val="24"/>
        </w:rPr>
        <w:t xml:space="preserve">Wistar Rat, Infertility, </w:t>
      </w:r>
      <w:r w:rsidR="00441248">
        <w:rPr>
          <w:rFonts w:ascii="Times New Roman" w:hAnsi="Times New Roman" w:cs="Times New Roman"/>
          <w:bCs/>
          <w:color w:val="000000"/>
          <w:sz w:val="24"/>
          <w:szCs w:val="24"/>
        </w:rPr>
        <w:t>S</w:t>
      </w:r>
      <w:r w:rsidRPr="00A54D81">
        <w:rPr>
          <w:rFonts w:ascii="Times New Roman" w:hAnsi="Times New Roman" w:cs="Times New Roman"/>
          <w:bCs/>
          <w:color w:val="000000"/>
          <w:sz w:val="24"/>
          <w:szCs w:val="24"/>
        </w:rPr>
        <w:t>permatogenesis, Testicular Toxicity</w:t>
      </w:r>
    </w:p>
    <w:p w:rsidR="00B827E6" w:rsidRDefault="00B827E6">
      <w:pPr>
        <w:spacing w:line="480" w:lineRule="auto"/>
        <w:jc w:val="both"/>
        <w:rPr>
          <w:rFonts w:ascii="Times New Roman" w:hAnsi="Times New Roman" w:cs="Times New Roman"/>
          <w:b/>
          <w:bCs/>
          <w:color w:val="000000"/>
          <w:sz w:val="24"/>
          <w:szCs w:val="24"/>
        </w:rPr>
      </w:pP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INTRODUCTION</w:t>
      </w:r>
      <w:bookmarkEnd w:id="8"/>
    </w:p>
    <w:p w:rsidR="00B827E6" w:rsidRDefault="008E3FC3">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Human exposure to lead continues to be a serious public health </w:t>
      </w:r>
      <w:proofErr w:type="gramStart"/>
      <w:r w:rsidR="00EB2CCA">
        <w:rPr>
          <w:rFonts w:ascii="Times New Roman" w:hAnsi="Times New Roman" w:cs="Times New Roman"/>
          <w:bCs/>
          <w:color w:val="000000"/>
          <w:sz w:val="24"/>
          <w:szCs w:val="24"/>
        </w:rPr>
        <w:t>problem</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w:t>
      </w:r>
      <w:proofErr w:type="gramEnd"/>
      <w:r w:rsidR="00EB2CCA">
        <w:rPr>
          <w:rFonts w:ascii="Times New Roman" w:hAnsi="Times New Roman" w:cs="Times New Roman"/>
          <w:bCs/>
          <w:color w:val="000000"/>
          <w:sz w:val="24"/>
          <w:szCs w:val="24"/>
        </w:rPr>
        <w:t xml:space="preserve">                                                (43). </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It has been proven that daily intake of lead above 0.3 mg for a long period is toxic to man</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(48). </w:t>
      </w:r>
      <w:r w:rsidR="00F96FB1">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Reproduction dysfunction by lead has distinct morphological and biochemical features such as disorganized epithelia, decrease sperm quality, alteration of sperm morphology and low androgen level</w:t>
      </w:r>
      <w:r w:rsidR="00F96FB1">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(3, 18).</w:t>
      </w:r>
    </w:p>
    <w:p w:rsidR="00B827E6" w:rsidRDefault="008E3FC3">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Lead (Pb) is a heavy metal present in both organic (tetraethyl lead) and inorganic                           </w:t>
      </w:r>
      <w:proofErr w:type="gramStart"/>
      <w:r w:rsidR="00EB2CCA">
        <w:rPr>
          <w:rFonts w:ascii="Times New Roman" w:hAnsi="Times New Roman" w:cs="Times New Roman"/>
          <w:bCs/>
          <w:color w:val="000000"/>
          <w:sz w:val="24"/>
          <w:szCs w:val="24"/>
        </w:rPr>
        <w:t xml:space="preserve">   (</w:t>
      </w:r>
      <w:proofErr w:type="gramEnd"/>
      <w:r w:rsidR="00EB2CCA">
        <w:rPr>
          <w:rFonts w:ascii="Times New Roman" w:hAnsi="Times New Roman" w:cs="Times New Roman"/>
          <w:bCs/>
          <w:color w:val="000000"/>
          <w:sz w:val="24"/>
          <w:szCs w:val="24"/>
        </w:rPr>
        <w:t>lead acetate, lead chloride) forms in the environment</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(39). </w:t>
      </w:r>
      <w:r>
        <w:rPr>
          <w:rFonts w:ascii="Times New Roman" w:hAnsi="Times New Roman" w:cs="Times New Roman"/>
          <w:bCs/>
          <w:color w:val="000000"/>
          <w:sz w:val="24"/>
          <w:szCs w:val="24"/>
        </w:rPr>
        <w:t>“It’s</w:t>
      </w:r>
      <w:r w:rsidR="00EB2CCA">
        <w:rPr>
          <w:rFonts w:ascii="Times New Roman" w:hAnsi="Times New Roman" w:cs="Times New Roman"/>
          <w:bCs/>
          <w:color w:val="000000"/>
          <w:sz w:val="24"/>
          <w:szCs w:val="24"/>
        </w:rPr>
        <w:t xml:space="preserve"> prolonged persistence in the environment results from its non-biodegradable nature</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(8,30), thus making it a potent environmental and occupational toxin. It is reputed for its wide range of toxic physiological, biochemical and histological effects on the brain (12), kidney (28), liver (29), blood (38), the endocrine system (3) and testis (</w:t>
      </w:r>
      <w:r w:rsidR="00EB2CCA">
        <w:rPr>
          <w:rFonts w:ascii="Times New Roman" w:hAnsi="Times New Roman" w:cs="Times New Roman"/>
          <w:bCs/>
          <w:iCs/>
          <w:color w:val="000000"/>
          <w:sz w:val="24"/>
          <w:szCs w:val="24"/>
        </w:rPr>
        <w:t>6,13</w:t>
      </w:r>
      <w:r w:rsidR="00EB2CCA">
        <w:rPr>
          <w:rFonts w:ascii="Times New Roman" w:hAnsi="Times New Roman" w:cs="Times New Roman"/>
          <w:bCs/>
          <w:color w:val="000000"/>
          <w:sz w:val="24"/>
          <w:szCs w:val="24"/>
        </w:rPr>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Lead -induced testicular toxicity is linked with its accumulation in the organ by inducing oxidative stress and inflammation in the testis. (11). It was observed that lead exposure has been considered to adversely affect spermatogenesis and reduced fertility (2).  </w:t>
      </w:r>
      <w:r w:rsidR="008E3FC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The mechanism of lead-induced </w:t>
      </w:r>
      <w:r>
        <w:rPr>
          <w:rFonts w:ascii="Times New Roman" w:hAnsi="Times New Roman" w:cs="Times New Roman"/>
          <w:bCs/>
          <w:color w:val="000000"/>
          <w:sz w:val="24"/>
          <w:szCs w:val="24"/>
        </w:rPr>
        <w:lastRenderedPageBreak/>
        <w:t>oxidative stress involves an imbalance between generation and removal of ROS (reactive oxygen species) in tissues and cellular components causing damage to membranes, DNA and proteins</w:t>
      </w:r>
      <w:r w:rsidR="008E3FC3">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(36).</w:t>
      </w:r>
    </w:p>
    <w:p w:rsidR="00B827E6" w:rsidRDefault="008E3FC3">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Even in the light of recent advancement in the field of scientific research, there seem to be no “safe” level of exposure to Pb neither has there been any report of a level that is positively beneficial in biological systems. Ethnobotanical approaches in ameliorating its toxic effect should become an area of scientific interest since established therapy, such as the use of dimercaptosuccinic acid (DMSA), are often burdened with undesirable side effects</w:t>
      </w:r>
      <w:r>
        <w:rPr>
          <w:rFonts w:ascii="Times New Roman" w:hAnsi="Times New Roman" w:cs="Times New Roman"/>
          <w:bCs/>
          <w:color w:val="000000"/>
          <w:sz w:val="24"/>
          <w:szCs w:val="24"/>
        </w:rPr>
        <w:t>”</w:t>
      </w:r>
      <w:r w:rsidR="00EB2CCA">
        <w:rPr>
          <w:rFonts w:ascii="Times New Roman" w:hAnsi="Times New Roman" w:cs="Times New Roman"/>
          <w:bCs/>
          <w:color w:val="000000"/>
          <w:sz w:val="24"/>
          <w:szCs w:val="24"/>
        </w:rPr>
        <w:t xml:space="preserve"> (9</w:t>
      </w:r>
      <w:r>
        <w:rPr>
          <w:rFonts w:ascii="Times New Roman" w:hAnsi="Times New Roman" w:cs="Times New Roman"/>
          <w:bCs/>
          <w:color w:val="000000"/>
          <w:sz w:val="24"/>
          <w:szCs w:val="24"/>
        </w:rPr>
        <w:t>,6</w:t>
      </w:r>
      <w:r w:rsidR="00EB2CCA">
        <w:rPr>
          <w:rFonts w:ascii="Times New Roman" w:hAnsi="Times New Roman" w:cs="Times New Roman"/>
          <w:bCs/>
          <w:color w:val="000000"/>
          <w:sz w:val="24"/>
          <w:szCs w:val="24"/>
        </w:rPr>
        <w:t xml:space="preserve">).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increased interest in developing phytotherapeutic agents like </w:t>
      </w:r>
      <w:r>
        <w:rPr>
          <w:rFonts w:ascii="Times New Roman" w:hAnsi="Times New Roman" w:cs="Times New Roman"/>
          <w:bCs/>
          <w:i/>
          <w:color w:val="000000"/>
          <w:sz w:val="24"/>
          <w:szCs w:val="24"/>
        </w:rPr>
        <w:t>Allium sativum</w:t>
      </w:r>
      <w:r>
        <w:rPr>
          <w:rFonts w:ascii="Times New Roman" w:hAnsi="Times New Roman" w:cs="Times New Roman"/>
          <w:bCs/>
          <w:color w:val="000000"/>
          <w:sz w:val="24"/>
          <w:szCs w:val="24"/>
        </w:rPr>
        <w:t xml:space="preserve"> has gain popularity due to perception that they are safer, cost-effective and available offer a promising alternative (16,46).</w:t>
      </w:r>
      <w:r>
        <w:rPr>
          <w:rFonts w:ascii="Times New Roman" w:hAnsi="Times New Roman" w:cs="Times New Roman"/>
          <w:color w:val="000000"/>
          <w:sz w:val="24"/>
          <w:szCs w:val="24"/>
        </w:rPr>
        <w:t xml:space="preserve"> </w:t>
      </w:r>
      <w:bookmarkStart w:id="9" w:name="_Hlk193425037"/>
    </w:p>
    <w:bookmarkEnd w:id="9"/>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i/>
          <w:color w:val="000000"/>
          <w:sz w:val="24"/>
          <w:szCs w:val="24"/>
        </w:rPr>
        <w:t>Allium sativum</w:t>
      </w:r>
      <w:r>
        <w:rPr>
          <w:rFonts w:ascii="Times New Roman" w:hAnsi="Times New Roman" w:cs="Times New Roman"/>
          <w:color w:val="000000"/>
          <w:sz w:val="24"/>
          <w:szCs w:val="24"/>
        </w:rPr>
        <w:t xml:space="preserve">, commonly called garlic belongs to the Amaryllidaceae family. </w:t>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 xml:space="preserve">It is a medicinal plant credited to have remarkable pharmacological properties; its active agent being allicin which imparts its characteristic </w:t>
      </w:r>
      <w:proofErr w:type="spellStart"/>
      <w:r>
        <w:rPr>
          <w:rFonts w:ascii="Times New Roman" w:hAnsi="Times New Roman" w:cs="Times New Roman"/>
          <w:color w:val="000000"/>
          <w:sz w:val="24"/>
          <w:szCs w:val="24"/>
        </w:rPr>
        <w:t>odour</w:t>
      </w:r>
      <w:proofErr w:type="spellEnd"/>
      <w:r w:rsidR="008E3FC3">
        <w:rPr>
          <w:rFonts w:ascii="Times New Roman" w:hAnsi="Times New Roman" w:cs="Times New Roman"/>
          <w:color w:val="000000"/>
          <w:sz w:val="24"/>
          <w:szCs w:val="24"/>
        </w:rPr>
        <w:t>”</w:t>
      </w:r>
      <w:r>
        <w:rPr>
          <w:rFonts w:ascii="Times New Roman" w:hAnsi="Times New Roman" w:cs="Times New Roman"/>
          <w:color w:val="000000"/>
          <w:sz w:val="24"/>
          <w:szCs w:val="24"/>
        </w:rPr>
        <w:t xml:space="preserve"> (17,34,50</w:t>
      </w:r>
      <w:r w:rsidR="008E3FC3">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8E3FC3">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Its</w:t>
      </w:r>
      <w:proofErr w:type="spellEnd"/>
      <w:r>
        <w:rPr>
          <w:rFonts w:ascii="Times New Roman" w:hAnsi="Times New Roman" w:cs="Times New Roman"/>
          <w:color w:val="000000"/>
          <w:sz w:val="24"/>
          <w:szCs w:val="24"/>
        </w:rPr>
        <w:t xml:space="preserve"> antibiotic, antioxidant, anti-inflammatory antimicrobial and antithrombotic potentials have been proven over different disease conditions such as prostate cancer and stroke</w:t>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 xml:space="preserve"> (5</w:t>
      </w:r>
      <w:r w:rsidR="008E3FC3">
        <w:rPr>
          <w:rFonts w:ascii="Times New Roman" w:hAnsi="Times New Roman" w:cs="Times New Roman"/>
          <w:color w:val="000000"/>
          <w:sz w:val="24"/>
          <w:szCs w:val="24"/>
        </w:rPr>
        <w:t>,6</w:t>
      </w:r>
      <w:r>
        <w:rPr>
          <w:rFonts w:ascii="Times New Roman" w:hAnsi="Times New Roman" w:cs="Times New Roman"/>
          <w:color w:val="000000"/>
          <w:sz w:val="24"/>
          <w:szCs w:val="24"/>
        </w:rPr>
        <w:t xml:space="preserve">) to mention a few. Despite these remarkable medicinal benefits, there is a dearth of literature on its effects on Pb-induced testicular injury.  </w:t>
      </w:r>
      <w:r>
        <w:rPr>
          <w:rFonts w:ascii="Times New Roman" w:hAnsi="Times New Roman" w:cs="Times New Roman"/>
          <w:bCs/>
          <w:color w:val="000000"/>
          <w:sz w:val="24"/>
          <w:szCs w:val="24"/>
        </w:rPr>
        <w:t xml:space="preserve">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However, investigation into </w:t>
      </w:r>
      <w:r>
        <w:rPr>
          <w:rFonts w:ascii="Times New Roman" w:hAnsi="Times New Roman" w:cs="Times New Roman"/>
          <w:bCs/>
          <w:i/>
          <w:color w:val="000000"/>
          <w:sz w:val="24"/>
          <w:szCs w:val="24"/>
        </w:rPr>
        <w:t>Allium sativum</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 xml:space="preserve">potential may inform the development of novel, safer and more effective treatment strategies for male infertility.   </w:t>
      </w: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 MATERIALS AND METHOD</w:t>
      </w: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2.1 Study Location</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The study was carried out in Chemical pathology laboratory, Microbiology laboratory, </w:t>
      </w:r>
      <w:bookmarkStart w:id="10" w:name="_Hlk193452190"/>
      <w:r>
        <w:rPr>
          <w:rFonts w:ascii="Times New Roman" w:hAnsi="Times New Roman" w:cs="Times New Roman"/>
          <w:bCs/>
          <w:color w:val="000000"/>
          <w:sz w:val="24"/>
          <w:szCs w:val="24"/>
        </w:rPr>
        <w:t xml:space="preserve">Pharmacognosy and Ethnopharmacy </w:t>
      </w:r>
      <w:bookmarkEnd w:id="10"/>
      <w:r>
        <w:rPr>
          <w:rFonts w:ascii="Times New Roman" w:hAnsi="Times New Roman" w:cs="Times New Roman"/>
          <w:bCs/>
          <w:color w:val="000000"/>
          <w:sz w:val="24"/>
          <w:szCs w:val="24"/>
        </w:rPr>
        <w:t>laboratory, Pharmacology and Toxicology laboratory,  Usmanu Danfodiyo University, Sokoto.</w:t>
      </w:r>
    </w:p>
    <w:p w:rsidR="00B827E6" w:rsidRDefault="00EB2CCA">
      <w:pPr>
        <w:spacing w:line="480" w:lineRule="auto"/>
        <w:jc w:val="both"/>
        <w:rPr>
          <w:rFonts w:ascii="Times New Roman" w:eastAsia="+mn-ea" w:hAnsi="Times New Roman" w:cs="Times New Roman"/>
          <w:color w:val="000000"/>
          <w:kern w:val="24"/>
          <w:sz w:val="24"/>
          <w:szCs w:val="24"/>
        </w:rPr>
      </w:pPr>
      <w:r>
        <w:rPr>
          <w:rFonts w:ascii="Times New Roman" w:eastAsia="+mn-ea" w:hAnsi="Times New Roman" w:cs="Times New Roman"/>
          <w:b/>
          <w:bCs/>
          <w:color w:val="000000"/>
          <w:kern w:val="24"/>
          <w:sz w:val="24"/>
          <w:szCs w:val="24"/>
        </w:rPr>
        <w:t>2.2 Plant: Source, Identification and Authentication</w:t>
      </w:r>
    </w:p>
    <w:p w:rsidR="00B827E6" w:rsidRDefault="00EB2CCA">
      <w:pPr>
        <w:spacing w:line="480" w:lineRule="auto"/>
        <w:jc w:val="both"/>
        <w:rPr>
          <w:rFonts w:ascii="Times New Roman" w:hAnsi="Times New Roman" w:cs="Times New Roman"/>
          <w:color w:val="000000"/>
          <w:sz w:val="24"/>
          <w:szCs w:val="24"/>
        </w:rPr>
      </w:pPr>
      <w:r>
        <w:rPr>
          <w:rFonts w:ascii="Times New Roman" w:eastAsia="+mn-ea" w:hAnsi="Times New Roman" w:cs="Times New Roman"/>
          <w:color w:val="000000"/>
          <w:kern w:val="24"/>
          <w:sz w:val="24"/>
          <w:szCs w:val="24"/>
        </w:rPr>
        <w:t xml:space="preserve">The fresh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 xml:space="preserve">bulb plants were purchased from the Central Market, Sokoto. The sample of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bulb was identified and authenticated at the Herbarium unit, Department of Pharmacology and Ethnomedicine, Faculty of Pharmaceutical Sciences, Usmanu Danfodiyo University, Sokoto, Nigeria. The specimen voucher number was assigned as PCG/UDUS/AMARY/0002 and deposited in the Herbarium unit of the Department.</w:t>
      </w:r>
      <w:r>
        <w:rPr>
          <w:rFonts w:ascii="Times New Roman" w:hAnsi="Times New Roman" w:cs="Times New Roman"/>
          <w:color w:val="000000"/>
          <w:sz w:val="24"/>
          <w:szCs w:val="24"/>
        </w:rPr>
        <w:t xml:space="preserve"> </w:t>
      </w:r>
    </w:p>
    <w:p w:rsidR="00B827E6" w:rsidRDefault="00EB2CCA">
      <w:pPr>
        <w:rPr>
          <w:rFonts w:ascii="Times New Roman" w:hAnsi="Times New Roman" w:cs="Times New Roman"/>
          <w:b/>
          <w:color w:val="000000"/>
          <w:sz w:val="24"/>
          <w:szCs w:val="24"/>
        </w:rPr>
      </w:pPr>
      <w:r>
        <w:rPr>
          <w:rFonts w:ascii="Times New Roman" w:hAnsi="Times New Roman" w:cs="Times New Roman"/>
          <w:b/>
          <w:color w:val="000000"/>
          <w:sz w:val="24"/>
          <w:szCs w:val="24"/>
        </w:rPr>
        <w:t>2.3 Plant Extraction</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extraction process was described as follows; Fresh bulbs of </w:t>
      </w:r>
      <w:r>
        <w:rPr>
          <w:rFonts w:ascii="Times New Roman" w:hAnsi="Times New Roman" w:cs="Times New Roman"/>
          <w:i/>
          <w:color w:val="000000"/>
          <w:sz w:val="24"/>
          <w:szCs w:val="24"/>
        </w:rPr>
        <w:t>Allium sativum</w:t>
      </w:r>
      <w:r>
        <w:rPr>
          <w:rFonts w:ascii="Times New Roman" w:hAnsi="Times New Roman" w:cs="Times New Roman"/>
          <w:color w:val="000000"/>
          <w:sz w:val="24"/>
          <w:szCs w:val="24"/>
        </w:rPr>
        <w:t xml:space="preserve"> was peeled and washed with distilled water. It was then chopped into pieces with a mortar and pestle and shed dried. These were thereafter pulverized into powder form with an aid of a blender (Binatone BLG 450, London, United Kingdom) and sieved with mesh cloth (0.4mm). 500 g of the </w:t>
      </w:r>
      <w:r>
        <w:rPr>
          <w:rFonts w:ascii="Times New Roman" w:hAnsi="Times New Roman" w:cs="Times New Roman"/>
          <w:i/>
          <w:color w:val="000000"/>
          <w:sz w:val="24"/>
          <w:szCs w:val="24"/>
        </w:rPr>
        <w:t xml:space="preserve">Allium sativum </w:t>
      </w:r>
      <w:r>
        <w:rPr>
          <w:rFonts w:ascii="Times New Roman" w:hAnsi="Times New Roman" w:cs="Times New Roman"/>
          <w:color w:val="000000"/>
          <w:sz w:val="24"/>
          <w:szCs w:val="24"/>
        </w:rPr>
        <w:t xml:space="preserve">powder were weighed and dissolved into 3000 ml of distilled water, it was then allowed to macerated at room temperature for 24 hours. Afterward it was filtered with Whatman No 1 filter paper, (Whatman PLC, Middlesex, UK). The solution rich filtrate was then allowed to evaporate to dryness in water bath at 55ºC. Dried Brown paste extract was obtained and stored in refrigerator at 4ºC. The percentage (%) yield of aqueous </w:t>
      </w:r>
      <w:r>
        <w:rPr>
          <w:rFonts w:ascii="Times New Roman" w:hAnsi="Times New Roman" w:cs="Times New Roman"/>
          <w:i/>
          <w:iCs/>
          <w:color w:val="000000"/>
          <w:sz w:val="24"/>
          <w:szCs w:val="24"/>
        </w:rPr>
        <w:t>Allium sativum</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bulb extract was calculated based on the formula;</w:t>
      </w:r>
    </w:p>
    <w:p w:rsidR="00B827E6" w:rsidRDefault="00EB2CCA">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yield = </w:t>
      </w:r>
      <w:r>
        <w:rPr>
          <w:rFonts w:ascii="Times New Roman" w:hAnsi="Times New Roman" w:cs="Times New Roman"/>
          <w:color w:val="000000"/>
          <w:sz w:val="24"/>
          <w:szCs w:val="24"/>
          <w:u w:val="single"/>
        </w:rPr>
        <w:t>Weight of crude extract   × 100</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Weight of powdered plant material</w:t>
      </w:r>
    </w:p>
    <w:p w:rsidR="00B827E6" w:rsidRDefault="00EB2CCA">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2.4 Experimental Animals Procurement and Management</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A total of fifty-six (56) male wistar rats weighing 150-170 g was purchased from the Animal house, Faculty of Veterinary Medicine, Ahmadu Bello University (ABU) Zaria. The rats were housed in conventional well-ventilated wire cages under standard laboratory conditions in the animal house, </w:t>
      </w:r>
      <w:bookmarkStart w:id="11" w:name="_Hlk193452299"/>
      <w:r>
        <w:rPr>
          <w:rFonts w:ascii="Times New Roman" w:hAnsi="Times New Roman" w:cs="Times New Roman"/>
          <w:color w:val="000000"/>
          <w:sz w:val="24"/>
          <w:szCs w:val="24"/>
        </w:rPr>
        <w:t xml:space="preserve">Faculty of Pharmaceutical Sciences, Usmanu Danfodiyo University, Sokoto </w:t>
      </w:r>
      <w:bookmarkEnd w:id="11"/>
      <w:r>
        <w:rPr>
          <w:rFonts w:ascii="Times New Roman" w:hAnsi="Times New Roman" w:cs="Times New Roman"/>
          <w:color w:val="000000"/>
          <w:sz w:val="24"/>
          <w:szCs w:val="24"/>
        </w:rPr>
        <w:t xml:space="preserve">in an environment of ambient temperature (± 30.5ºC) and the lighting period of about 12 hours daily, then allowed to acclimatized for two weeks before commencing the experiment. They were fed standard commercial pelletized grower’s feed and drinking water </w:t>
      </w:r>
      <w:r>
        <w:rPr>
          <w:rFonts w:ascii="Times New Roman" w:hAnsi="Times New Roman" w:cs="Times New Roman"/>
          <w:i/>
          <w:color w:val="000000"/>
          <w:sz w:val="24"/>
          <w:szCs w:val="24"/>
        </w:rPr>
        <w:t>libitum</w:t>
      </w:r>
      <w:r>
        <w:rPr>
          <w:rFonts w:ascii="Times New Roman" w:hAnsi="Times New Roman" w:cs="Times New Roman"/>
          <w:color w:val="000000"/>
          <w:sz w:val="24"/>
          <w:szCs w:val="24"/>
        </w:rPr>
        <w:t>. All the experimental protocols followed institutional animal ethics committee guidelines.</w:t>
      </w:r>
    </w:p>
    <w:p w:rsidR="00B827E6" w:rsidRDefault="00EB2CCA">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2.5 Phytochemical Screening</w:t>
      </w:r>
    </w:p>
    <w:p w:rsidR="00B827E6" w:rsidRDefault="00EB2CCA">
      <w:pPr>
        <w:spacing w:line="480" w:lineRule="auto"/>
        <w:jc w:val="both"/>
        <w:rPr>
          <w:rFonts w:ascii="Times New Roman" w:eastAsia="+mn-ea" w:hAnsi="Times New Roman" w:cs="Times New Roman"/>
          <w:color w:val="000000"/>
          <w:kern w:val="24"/>
          <w:sz w:val="24"/>
          <w:szCs w:val="24"/>
        </w:rPr>
      </w:pPr>
      <w:r>
        <w:rPr>
          <w:rFonts w:ascii="Times New Roman" w:hAnsi="Times New Roman" w:cs="Times New Roman"/>
          <w:color w:val="000000"/>
          <w:sz w:val="24"/>
          <w:szCs w:val="24"/>
        </w:rPr>
        <w:t>Phytochemical analysis was carried out in department of Pharmacognosy and Ethnopharmacy, Faculty of Pharmaceutical Sciences, Usmanu Danfodiyo University, Sokoto.</w:t>
      </w:r>
      <w:r>
        <w:rPr>
          <w:rFonts w:ascii="Times New Roman" w:eastAsia="+mn-ea" w:hAnsi="Times New Roman" w:cs="Times New Roman"/>
          <w:color w:val="000000"/>
          <w:kern w:val="24"/>
          <w:sz w:val="24"/>
          <w:szCs w:val="24"/>
        </w:rPr>
        <w:t xml:space="preserve"> using standard procedures to identify the phytochemical constituents as described by Harbone (15), Trease and Evans (47), Sofowora (45).</w:t>
      </w:r>
    </w:p>
    <w:p w:rsidR="00B827E6" w:rsidRDefault="00EB2CCA">
      <w:pPr>
        <w:spacing w:line="480" w:lineRule="auto"/>
        <w:jc w:val="both"/>
        <w:rPr>
          <w:rFonts w:ascii="Times New Roman" w:eastAsia="+mn-ea" w:hAnsi="Times New Roman" w:cs="Times New Roman"/>
          <w:b/>
          <w:bCs/>
          <w:color w:val="000000"/>
          <w:kern w:val="24"/>
          <w:sz w:val="24"/>
          <w:szCs w:val="24"/>
        </w:rPr>
      </w:pPr>
      <w:r>
        <w:rPr>
          <w:rFonts w:ascii="Times New Roman" w:eastAsia="+mn-ea" w:hAnsi="Times New Roman" w:cs="Times New Roman"/>
          <w:b/>
          <w:bCs/>
          <w:color w:val="000000"/>
          <w:kern w:val="24"/>
          <w:sz w:val="24"/>
          <w:szCs w:val="24"/>
        </w:rPr>
        <w:t>2.6 Acute Toxicity Study</w:t>
      </w:r>
    </w:p>
    <w:p w:rsidR="00B827E6" w:rsidRDefault="00EB2CCA">
      <w:pPr>
        <w:spacing w:line="480" w:lineRule="auto"/>
        <w:jc w:val="both"/>
        <w:rPr>
          <w:rFonts w:ascii="Times New Roman" w:eastAsia="+mn-ea" w:hAnsi="Times New Roman" w:cs="Times New Roman"/>
          <w:color w:val="000000"/>
          <w:kern w:val="24"/>
          <w:sz w:val="24"/>
          <w:szCs w:val="24"/>
        </w:rPr>
      </w:pPr>
      <w:r>
        <w:rPr>
          <w:rFonts w:ascii="Times New Roman" w:eastAsia="+mn-ea" w:hAnsi="Times New Roman" w:cs="Times New Roman"/>
          <w:color w:val="000000"/>
          <w:kern w:val="24"/>
          <w:sz w:val="24"/>
          <w:szCs w:val="24"/>
        </w:rPr>
        <w:t xml:space="preserve">Acute toxicity testing was conducted using Lorke’s method, (27). In phase 1: nine (9) rats were used and randomly assigned into three (3) groups of rats each. The aqueous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bulb extract was dissolved in distilled water and administered at doses of 10 mg/kg, 100 mg/kg and 1000 mg/kg respectively.</w:t>
      </w:r>
      <w:r>
        <w:rPr>
          <w:rFonts w:ascii="Times New Roman" w:hAnsi="Times New Roman" w:cs="Times New Roman"/>
          <w:b/>
          <w:color w:val="000000"/>
          <w:sz w:val="24"/>
          <w:szCs w:val="24"/>
        </w:rPr>
        <w:t xml:space="preserve"> </w:t>
      </w:r>
      <w:r>
        <w:rPr>
          <w:rFonts w:ascii="Times New Roman" w:eastAsia="+mn-ea" w:hAnsi="Times New Roman" w:cs="Times New Roman"/>
          <w:color w:val="000000"/>
          <w:kern w:val="24"/>
          <w:sz w:val="24"/>
          <w:szCs w:val="24"/>
        </w:rPr>
        <w:t>In phase 11: three (3) groups of an animal each. The animals were administered high doses of 1600 mg/kg, 2900 mg/kg and 5000 mg/kg respectively. The rats were observed for 24hrs for clinicals signs of toxicity and mortality.</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2.7 Induction of Testicular Toxicity</w:t>
      </w:r>
      <w:r>
        <w:rPr>
          <w:rFonts w:ascii="Times New Roman" w:hAnsi="Times New Roman" w:cs="Times New Roman"/>
          <w:color w:val="000000"/>
          <w:sz w:val="24"/>
          <w:szCs w:val="24"/>
        </w:rPr>
        <w:t xml:space="preserve"> </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Testicular toxicity was induced via intraperitoneal route with Pb- acetate (15 mg/kg body weight), dissolved daily in distilled water for 10 consecutive days and 24 hours after the last administration, the rats were then sacrificed and blood sample taken through cardiac puncture. The rat’s testosterone levels were tested to see if testicular toxicity has been successfully induced (4). The grouping of the animal is presented in Table 1.</w:t>
      </w:r>
    </w:p>
    <w:p w:rsidR="00B827E6" w:rsidRDefault="00B827E6">
      <w:pPr>
        <w:spacing w:line="480" w:lineRule="auto"/>
        <w:jc w:val="both"/>
        <w:rPr>
          <w:rFonts w:ascii="Times New Roman" w:hAnsi="Times New Roman" w:cs="Times New Roman"/>
          <w:b/>
          <w:color w:val="000000"/>
          <w:sz w:val="24"/>
          <w:szCs w:val="24"/>
        </w:rPr>
      </w:pPr>
    </w:p>
    <w:p w:rsidR="00B827E6" w:rsidRDefault="00EB2CCA">
      <w:pPr>
        <w:spacing w:line="48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t xml:space="preserve">Table 1: </w:t>
      </w:r>
      <w:r w:rsidR="00D90B99">
        <w:rPr>
          <w:rFonts w:ascii="Times New Roman" w:hAnsi="Times New Roman" w:cs="Times New Roman"/>
          <w:b/>
          <w:bCs/>
          <w:color w:val="000000"/>
          <w:sz w:val="24"/>
          <w:szCs w:val="24"/>
        </w:rPr>
        <w:t xml:space="preserve"> List of </w:t>
      </w:r>
      <w:r>
        <w:rPr>
          <w:rFonts w:ascii="Times New Roman" w:hAnsi="Times New Roman" w:cs="Times New Roman"/>
          <w:b/>
          <w:bCs/>
          <w:color w:val="000000"/>
          <w:sz w:val="24"/>
          <w:szCs w:val="24"/>
        </w:rPr>
        <w:t>Experimental design</w:t>
      </w:r>
    </w:p>
    <w:p w:rsidR="00B827E6" w:rsidRDefault="00EB2CCA">
      <w:pPr>
        <w:spacing w:line="480" w:lineRule="auto"/>
        <w:jc w:val="both"/>
        <w:rPr>
          <w:rFonts w:ascii="Times New Roman" w:hAnsi="Times New Roman" w:cs="Times New Roman"/>
          <w:bCs/>
          <w:color w:val="000000"/>
          <w:sz w:val="24"/>
          <w:szCs w:val="24"/>
        </w:rPr>
      </w:pPr>
      <w:bookmarkStart w:id="12" w:name="_Hlk194249294"/>
      <w:r>
        <w:rPr>
          <w:rFonts w:ascii="Times New Roman" w:hAnsi="Times New Roman" w:cs="Times New Roman"/>
          <w:b/>
          <w:bCs/>
          <w:color w:val="000000"/>
          <w:sz w:val="24"/>
          <w:szCs w:val="24"/>
        </w:rPr>
        <w:t xml:space="preserve">Group 1: </w:t>
      </w:r>
      <w:r>
        <w:rPr>
          <w:rFonts w:ascii="Times New Roman" w:hAnsi="Times New Roman" w:cs="Times New Roman"/>
          <w:bCs/>
          <w:color w:val="000000"/>
          <w:sz w:val="24"/>
          <w:szCs w:val="24"/>
        </w:rPr>
        <w:t xml:space="preserve"> Normal rats fed with vital feeds and water (Normal control).</w:t>
      </w: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Group 2: </w:t>
      </w:r>
      <w:r>
        <w:rPr>
          <w:rFonts w:ascii="Times New Roman" w:hAnsi="Times New Roman" w:cs="Times New Roman"/>
          <w:bCs/>
          <w:color w:val="000000"/>
          <w:sz w:val="24"/>
          <w:szCs w:val="24"/>
        </w:rPr>
        <w:t>Rat induced with Pb (15 mg/kg) (Positive control).</w:t>
      </w:r>
      <w:r>
        <w:rPr>
          <w:rFonts w:ascii="Times New Roman" w:hAnsi="Times New Roman" w:cs="Times New Roman"/>
          <w:b/>
          <w:bCs/>
          <w:color w:val="000000"/>
          <w:sz w:val="24"/>
          <w:szCs w:val="24"/>
        </w:rPr>
        <w:t xml:space="preserve">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Group 3: </w:t>
      </w:r>
      <w:r>
        <w:rPr>
          <w:rFonts w:ascii="Times New Roman" w:hAnsi="Times New Roman" w:cs="Times New Roman"/>
          <w:bCs/>
          <w:color w:val="000000"/>
          <w:sz w:val="24"/>
          <w:szCs w:val="24"/>
        </w:rPr>
        <w:t>Rat induced with Pb + 500mg/kg Vitamin E.</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Group 4: </w:t>
      </w:r>
      <w:r>
        <w:rPr>
          <w:rFonts w:ascii="Times New Roman" w:hAnsi="Times New Roman" w:cs="Times New Roman"/>
          <w:bCs/>
          <w:color w:val="000000"/>
          <w:sz w:val="24"/>
          <w:szCs w:val="24"/>
        </w:rPr>
        <w:t>Rat induced with Pb + 100mg/kg plant extract.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Group 5: </w:t>
      </w:r>
      <w:r>
        <w:rPr>
          <w:rFonts w:ascii="Times New Roman" w:hAnsi="Times New Roman" w:cs="Times New Roman"/>
          <w:bCs/>
          <w:color w:val="000000"/>
          <w:sz w:val="24"/>
          <w:szCs w:val="24"/>
        </w:rPr>
        <w:t>Rat induced with Pb + 200mg/kg plant extract.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Group 6: </w:t>
      </w:r>
      <w:r>
        <w:rPr>
          <w:rFonts w:ascii="Times New Roman" w:hAnsi="Times New Roman" w:cs="Times New Roman"/>
          <w:bCs/>
          <w:color w:val="000000"/>
          <w:sz w:val="24"/>
          <w:szCs w:val="24"/>
        </w:rPr>
        <w:t>Rat induced with Pb + 400mg/kg plant extract.</w:t>
      </w:r>
    </w:p>
    <w:bookmarkEnd w:id="12"/>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All animals were fed with rat chow and allowed assess to water throughout the period of the experiment for 40 days. Plant extract = Aqueous </w:t>
      </w:r>
      <w:r>
        <w:rPr>
          <w:rFonts w:ascii="Times New Roman" w:hAnsi="Times New Roman" w:cs="Times New Roman"/>
          <w:bCs/>
          <w:i/>
          <w:iCs/>
          <w:color w:val="000000"/>
          <w:sz w:val="24"/>
          <w:szCs w:val="24"/>
        </w:rPr>
        <w:t xml:space="preserve">Allium sativum </w:t>
      </w:r>
      <w:r>
        <w:rPr>
          <w:rFonts w:ascii="Times New Roman" w:hAnsi="Times New Roman" w:cs="Times New Roman"/>
          <w:bCs/>
          <w:color w:val="000000"/>
          <w:sz w:val="24"/>
          <w:szCs w:val="24"/>
        </w:rPr>
        <w:t>bulb.</w:t>
      </w:r>
    </w:p>
    <w:p w:rsidR="00B827E6" w:rsidRDefault="00EB2CCA">
      <w:pPr>
        <w:spacing w:line="480" w:lineRule="auto"/>
        <w:jc w:val="both"/>
        <w:rPr>
          <w:rFonts w:ascii="Times New Roman" w:hAnsi="Times New Roman" w:cs="Times New Roman"/>
          <w:bCs/>
          <w:color w:val="000000"/>
          <w:sz w:val="24"/>
          <w:szCs w:val="24"/>
        </w:rPr>
      </w:pPr>
      <w:r>
        <w:rPr>
          <w:rFonts w:ascii="Times New Roman" w:eastAsia="Times New Roman" w:hAnsi="Times New Roman" w:cs="Times New Roman"/>
          <w:b/>
          <w:bCs/>
          <w:color w:val="000000"/>
          <w:sz w:val="24"/>
          <w:szCs w:val="24"/>
          <w:lang w:val="en-GB"/>
        </w:rPr>
        <w:t xml:space="preserve">2.8 Animals and sample collection </w:t>
      </w:r>
    </w:p>
    <w:p w:rsidR="00B827E6" w:rsidRDefault="00EB2CCA">
      <w:pPr>
        <w:spacing w:line="480" w:lineRule="auto"/>
        <w:jc w:val="both"/>
        <w:rPr>
          <w:rFonts w:ascii="Times New Roman" w:eastAsia="+mn-ea" w:hAnsi="Times New Roman" w:cs="Times New Roman"/>
          <w:color w:val="000000"/>
          <w:kern w:val="24"/>
          <w:sz w:val="24"/>
          <w:szCs w:val="24"/>
        </w:rPr>
      </w:pPr>
      <w:r>
        <w:rPr>
          <w:rFonts w:ascii="Times New Roman" w:hAnsi="Times New Roman" w:cs="Times New Roman"/>
          <w:bCs/>
          <w:color w:val="000000"/>
          <w:sz w:val="24"/>
          <w:szCs w:val="24"/>
        </w:rPr>
        <w:t xml:space="preserve">At the end of the experiment blood sample was collected according to the method described by </w:t>
      </w:r>
      <w:r>
        <w:rPr>
          <w:rFonts w:ascii="Times New Roman" w:hAnsi="Times New Roman" w:cs="Times New Roman"/>
          <w:color w:val="000000"/>
          <w:sz w:val="24"/>
          <w:szCs w:val="24"/>
        </w:rPr>
        <w:t>Ayoka (</w:t>
      </w:r>
      <w:r>
        <w:rPr>
          <w:rFonts w:ascii="Times New Roman" w:hAnsi="Times New Roman" w:cs="Times New Roman"/>
          <w:iCs/>
          <w:color w:val="000000"/>
          <w:sz w:val="24"/>
          <w:szCs w:val="24"/>
        </w:rPr>
        <w:t>4</w:t>
      </w:r>
      <w:r>
        <w:rPr>
          <w:rFonts w:ascii="Times New Roman" w:hAnsi="Times New Roman" w:cs="Times New Roman"/>
          <w:color w:val="000000"/>
          <w:sz w:val="24"/>
          <w:szCs w:val="24"/>
        </w:rPr>
        <w:t xml:space="preserve">). </w:t>
      </w:r>
      <w:r>
        <w:rPr>
          <w:rFonts w:ascii="Times New Roman" w:hAnsi="Times New Roman" w:cs="Times New Roman"/>
          <w:bCs/>
          <w:color w:val="000000"/>
          <w:sz w:val="24"/>
          <w:szCs w:val="24"/>
        </w:rPr>
        <w:t xml:space="preserve">Each rat was anaesthetized with ketamine: xylazine (50: 10 mg/kg) in a desiccator </w:t>
      </w:r>
      <w:r>
        <w:rPr>
          <w:rFonts w:ascii="Times New Roman" w:hAnsi="Times New Roman" w:cs="Times New Roman"/>
          <w:color w:val="000000"/>
          <w:sz w:val="24"/>
          <w:szCs w:val="24"/>
        </w:rPr>
        <w:t xml:space="preserve">and the blood samples of each animal collected through cardiac puncture method for biochemical assay. The blood samples are collected into appropriate plain sample bottles. Testes of the rats are </w:t>
      </w:r>
      <w:r>
        <w:rPr>
          <w:rFonts w:ascii="Times New Roman" w:hAnsi="Times New Roman" w:cs="Times New Roman"/>
          <w:color w:val="000000"/>
          <w:sz w:val="24"/>
          <w:szCs w:val="24"/>
        </w:rPr>
        <w:lastRenderedPageBreak/>
        <w:t>harvested into universal bottles containing 10% formalin for histological test using hematoxylin and eosin stain.</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excised testis tissues of the rats were weighed to determine the relative testicular weight (23). </w:t>
      </w:r>
    </w:p>
    <w:p w:rsidR="00B827E6" w:rsidRDefault="00EB2CCA">
      <w:pPr>
        <w:rPr>
          <w:rFonts w:ascii="Times New Roman" w:hAnsi="Times New Roman" w:cs="Times New Roman"/>
          <w:b/>
          <w:color w:val="000000"/>
          <w:sz w:val="24"/>
          <w:szCs w:val="24"/>
        </w:rPr>
      </w:pPr>
      <w:r>
        <w:rPr>
          <w:rFonts w:ascii="Times New Roman" w:hAnsi="Times New Roman" w:cs="Times New Roman"/>
          <w:b/>
          <w:color w:val="000000"/>
          <w:sz w:val="24"/>
          <w:szCs w:val="24"/>
        </w:rPr>
        <w:br w:type="page"/>
      </w:r>
      <w:r>
        <w:rPr>
          <w:rFonts w:ascii="Times New Roman" w:hAnsi="Times New Roman" w:cs="Times New Roman"/>
          <w:b/>
          <w:color w:val="000000"/>
          <w:sz w:val="24"/>
          <w:szCs w:val="24"/>
        </w:rPr>
        <w:lastRenderedPageBreak/>
        <w:t>2.9 Laboratory Analysis</w:t>
      </w:r>
    </w:p>
    <w:p w:rsidR="00B827E6" w:rsidRDefault="00EB2CCA">
      <w:pPr>
        <w:spacing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2.9.1 Biochemical assays </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Serum Testosterone levels were determined by Odell and Parlow method (39),</w:t>
      </w:r>
      <w:r>
        <w:rPr>
          <w:rFonts w:ascii="Times New Roman" w:hAnsi="Times New Roman" w:cs="Times New Roman"/>
          <w:color w:val="000000"/>
          <w:sz w:val="24"/>
          <w:szCs w:val="24"/>
        </w:rPr>
        <w:t xml:space="preserve"> Monobind Inc., Lake Forest CA 92630, USA (Accu-Bind ELIZA Microwells).</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b/>
          <w:bCs/>
          <w:color w:val="000000"/>
          <w:sz w:val="24"/>
          <w:szCs w:val="24"/>
        </w:rPr>
        <w:t>2.9.2 S</w:t>
      </w:r>
      <w:r>
        <w:rPr>
          <w:rFonts w:ascii="Times New Roman" w:eastAsia="Times New Roman" w:hAnsi="Times New Roman" w:cs="Times New Roman"/>
          <w:b/>
          <w:color w:val="000000"/>
          <w:sz w:val="24"/>
          <w:szCs w:val="24"/>
        </w:rPr>
        <w:t>perm characterization</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Sperm fluid from the caudal epididymis was squeezed onto a microscope slide and epididymal sperm counts were made using haemocytometer and expressed as million/ml of suspension. Epididymal sperm motility was assessed by calculating motile spermatozoa per unit area and expressed as motility in percentage. Using Eosin-Nigrosin stain, the sperm viability was determined by preparing uniform smear spermatozoa on the slides by the method of Bloom and as described by WHO (53).</w:t>
      </w:r>
    </w:p>
    <w:p w:rsidR="00B827E6" w:rsidRDefault="00EB2CCA">
      <w:pPr>
        <w:keepNext/>
        <w:keepLines/>
        <w:spacing w:before="240" w:after="0" w:line="480" w:lineRule="auto"/>
        <w:outlineLvl w:val="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2.9.3 Histopathological Examination</w:t>
      </w:r>
      <w:r>
        <w:rPr>
          <w:rFonts w:ascii="Times New Roman" w:eastAsia="Times New Roman" w:hAnsi="Times New Roman" w:cs="Times New Roman"/>
          <w:color w:val="000000"/>
          <w:sz w:val="24"/>
          <w:szCs w:val="24"/>
        </w:rPr>
        <w:t xml:space="preserve"> </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Samples of the testis were dehydrated in graded alcohol and embedded in paraffin wax. Sections &gt; 4 μm thick were stained with Hematoxylin-Eosin and viewed under a Leica DM750 Camera Microscope which was used to take the photomicrographs at a magnification of x 200.</w:t>
      </w:r>
    </w:p>
    <w:p w:rsidR="00B827E6" w:rsidRDefault="00EB2CCA">
      <w:pPr>
        <w:keepNext/>
        <w:keepLines/>
        <w:spacing w:before="240" w:after="0" w:line="480" w:lineRule="auto"/>
        <w:outlineLvl w:val="0"/>
        <w:rPr>
          <w:rFonts w:ascii="Times New Roman" w:eastAsia="Times New Roman" w:hAnsi="Times New Roman" w:cs="Times New Roman"/>
          <w:bCs/>
          <w:color w:val="000000"/>
          <w:sz w:val="24"/>
          <w:szCs w:val="24"/>
        </w:rPr>
      </w:pPr>
      <w:r>
        <w:rPr>
          <w:rFonts w:ascii="Times New Roman" w:eastAsia="Times New Roman" w:hAnsi="Times New Roman" w:cs="Times New Roman"/>
          <w:b/>
          <w:bCs/>
          <w:color w:val="000000"/>
          <w:sz w:val="24"/>
          <w:szCs w:val="24"/>
        </w:rPr>
        <w:t>2.9.4 Data Analysis</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The data was statistically analyzed using one-way analysis of variance (ANOVA) with Tukey’s </w:t>
      </w:r>
      <w:r>
        <w:rPr>
          <w:rFonts w:ascii="Times New Roman" w:hAnsi="Times New Roman" w:cs="Times New Roman"/>
          <w:bCs/>
          <w:i/>
          <w:iCs/>
          <w:color w:val="000000"/>
          <w:sz w:val="24"/>
          <w:szCs w:val="24"/>
        </w:rPr>
        <w:t>post-hoc</w:t>
      </w:r>
      <w:r>
        <w:rPr>
          <w:rFonts w:ascii="Times New Roman" w:hAnsi="Times New Roman" w:cs="Times New Roman"/>
          <w:bCs/>
          <w:color w:val="000000"/>
          <w:sz w:val="24"/>
          <w:szCs w:val="24"/>
        </w:rPr>
        <w:t xml:space="preserve"> to compare the levels of significant between the control and experimental rats. The values were expressed as mean ± SEM. All statistical analysis was evaluated using the computer software Statistical Package for Social Sciences (SPSS) version 25.0. Data was analyzed at a 95% confidence interval. Significance differences among means were considered significant at p &lt; 0.05.</w:t>
      </w:r>
    </w:p>
    <w:p w:rsidR="00B827E6" w:rsidRDefault="00B827E6">
      <w:pPr>
        <w:spacing w:line="480" w:lineRule="auto"/>
        <w:jc w:val="both"/>
        <w:rPr>
          <w:rFonts w:ascii="Times New Roman" w:hAnsi="Times New Roman" w:cs="Times New Roman"/>
          <w:b/>
          <w:bCs/>
          <w:color w:val="000000"/>
          <w:sz w:val="24"/>
          <w:szCs w:val="24"/>
        </w:rPr>
      </w:pP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 RESULTS</w:t>
      </w:r>
      <w:r w:rsidR="00020983">
        <w:rPr>
          <w:rFonts w:ascii="Times New Roman" w:hAnsi="Times New Roman" w:cs="Times New Roman"/>
          <w:b/>
          <w:bCs/>
          <w:color w:val="000000"/>
          <w:sz w:val="24"/>
          <w:szCs w:val="24"/>
        </w:rPr>
        <w:t xml:space="preserve"> and DISCUSSION: </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The result of phytochemical study is presented in Table 2. The results of phytochemical screening studied were carbohydrates, saponins, tannins, alkaloids, cardiac glycosides, steroids and flavonoids. The result of acute toxicity study is presented in Table 3. The acute toxicity after 24 hours ≥5000 mg/kg shows no adverse effect.</w:t>
      </w:r>
    </w:p>
    <w:p w:rsidR="00B827E6" w:rsidRDefault="00EB2CCA">
      <w:pPr>
        <w:spacing w:line="480" w:lineRule="auto"/>
        <w:jc w:val="both"/>
        <w:rPr>
          <w:rFonts w:ascii="Times New Roman" w:hAnsi="Times New Roman" w:cs="Times New Roman"/>
          <w:b/>
          <w:bCs/>
          <w:color w:val="000000"/>
          <w:sz w:val="24"/>
          <w:szCs w:val="24"/>
        </w:rPr>
      </w:pPr>
      <w:bookmarkStart w:id="13" w:name="_Hlk193561386"/>
      <w:r>
        <w:rPr>
          <w:rFonts w:ascii="Times New Roman" w:hAnsi="Times New Roman" w:cs="Times New Roman"/>
          <w:b/>
          <w:bCs/>
          <w:color w:val="000000"/>
          <w:sz w:val="24"/>
          <w:szCs w:val="24"/>
        </w:rPr>
        <w:t xml:space="preserve">Table 2: Phytochemical Constituents of aqueous </w:t>
      </w:r>
      <w:r>
        <w:rPr>
          <w:rFonts w:ascii="Times New Roman" w:hAnsi="Times New Roman" w:cs="Times New Roman"/>
          <w:b/>
          <w:bCs/>
          <w:i/>
          <w:iCs/>
          <w:color w:val="000000"/>
          <w:sz w:val="24"/>
          <w:szCs w:val="24"/>
        </w:rPr>
        <w:t>Allium sativum</w:t>
      </w:r>
      <w:r>
        <w:rPr>
          <w:rFonts w:ascii="Times New Roman" w:hAnsi="Times New Roman" w:cs="Times New Roman"/>
          <w:b/>
          <w:bCs/>
          <w:color w:val="000000"/>
          <w:sz w:val="24"/>
          <w:szCs w:val="24"/>
        </w:rPr>
        <w:t xml:space="preserve"> bulb extract</w:t>
      </w:r>
      <w:r>
        <w:rPr>
          <w:rFonts w:ascii="Times New Roman" w:hAnsi="Times New Roman" w:cs="Times New Roman"/>
          <w:b/>
          <w:bCs/>
          <w:noProof/>
          <w:color w:val="000000"/>
          <w:sz w:val="24"/>
          <w:szCs w:val="24"/>
        </w:rPr>
        <mc:AlternateContent>
          <mc:Choice Requires="wps">
            <w:drawing>
              <wp:anchor distT="0" distB="0" distL="0" distR="0" simplePos="0" relativeHeight="2" behindDoc="0" locked="0" layoutInCell="1" allowOverlap="1">
                <wp:simplePos x="0" y="0"/>
                <wp:positionH relativeFrom="column">
                  <wp:posOffset>7620</wp:posOffset>
                </wp:positionH>
                <wp:positionV relativeFrom="paragraph">
                  <wp:posOffset>269875</wp:posOffset>
                </wp:positionV>
                <wp:extent cx="5398770" cy="0"/>
                <wp:effectExtent l="0" t="0" r="0" b="0"/>
                <wp:wrapNone/>
                <wp:docPr id="1026"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8770"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26" filled="f" stroked="t" from="0.6pt,21.25pt" to="425.7pt,21.25pt" style="position:absolute;z-index:2;mso-position-horizontal-relative:text;mso-position-vertical-relative:text;mso-width-relative:page;mso-height-relative:page;mso-wrap-distance-left:0.0pt;mso-wrap-distance-right:0.0pt;visibility:visible;">
                <v:stroke joinstyle="miter" weight="0.5pt"/>
                <v:fill/>
              </v:line>
            </w:pict>
          </mc:Fallback>
        </mc:AlternateContent>
      </w:r>
      <w:bookmarkStart w:id="14" w:name="_Hlk182396255"/>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mc:AlternateContent>
          <mc:Choice Requires="wps">
            <w:drawing>
              <wp:anchor distT="0" distB="0" distL="0" distR="0" simplePos="0" relativeHeight="3" behindDoc="0" locked="0" layoutInCell="1" allowOverlap="1">
                <wp:simplePos x="0" y="0"/>
                <wp:positionH relativeFrom="column">
                  <wp:posOffset>0</wp:posOffset>
                </wp:positionH>
                <wp:positionV relativeFrom="paragraph">
                  <wp:posOffset>225425</wp:posOffset>
                </wp:positionV>
                <wp:extent cx="5407025" cy="0"/>
                <wp:effectExtent l="0" t="0" r="0" b="0"/>
                <wp:wrapNone/>
                <wp:docPr id="1027"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7025"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27" filled="f" stroked="t" from="0.0pt,17.75pt" to="425.75pt,17.75pt" style="position:absolute;z-index:3;mso-position-horizontal-relative:text;mso-position-vertical-relative:text;mso-width-relative:page;mso-height-relative:page;mso-wrap-distance-left:0.0pt;mso-wrap-distance-right:0.0pt;visibility:visible;">
                <v:stroke joinstyle="miter" weight="0.5pt"/>
                <v:fill/>
              </v:line>
            </w:pict>
          </mc:Fallback>
        </mc:AlternateContent>
      </w:r>
      <w:r>
        <w:rPr>
          <w:rFonts w:ascii="Times New Roman" w:hAnsi="Times New Roman" w:cs="Times New Roman"/>
          <w:bCs/>
          <w:color w:val="000000"/>
          <w:sz w:val="24"/>
          <w:szCs w:val="24"/>
        </w:rPr>
        <w:t>Compound</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Test</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Observation</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Result</w:t>
      </w:r>
      <w:r>
        <w:rPr>
          <w:rFonts w:ascii="Times New Roman" w:hAnsi="Times New Roman" w:cs="Times New Roman"/>
          <w:bCs/>
          <w:color w:val="000000"/>
          <w:sz w:val="24"/>
          <w:szCs w:val="24"/>
        </w:rPr>
        <w:tab/>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Alkaloids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Wagner’s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Reddish-brown colour</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Carbohydrates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Molisch’s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Purple colour</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t>
      </w:r>
      <w:r>
        <w:rPr>
          <w:rFonts w:ascii="Times New Roman" w:hAnsi="Times New Roman" w:cs="Times New Roman"/>
          <w:bCs/>
          <w:color w:val="000000"/>
          <w:sz w:val="24"/>
          <w:szCs w:val="24"/>
        </w:rPr>
        <w:tab/>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Cardiac Glycosides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Keller-Kilanis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Green-blue colour</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Flavonoids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Ferric chloride</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Dark green</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Saponins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Froth’s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Persistent frothing</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Steroids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Salkwaskis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Reddish-brown interface</w:t>
      </w:r>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mc:AlternateContent>
          <mc:Choice Requires="wps">
            <w:drawing>
              <wp:anchor distT="0" distB="0" distL="0" distR="0" simplePos="0" relativeHeight="4" behindDoc="0" locked="0" layoutInCell="1" allowOverlap="1">
                <wp:simplePos x="0" y="0"/>
                <wp:positionH relativeFrom="column">
                  <wp:posOffset>-7620</wp:posOffset>
                </wp:positionH>
                <wp:positionV relativeFrom="paragraph">
                  <wp:posOffset>266065</wp:posOffset>
                </wp:positionV>
                <wp:extent cx="5454650" cy="0"/>
                <wp:effectExtent l="0" t="0" r="0" b="0"/>
                <wp:wrapNone/>
                <wp:docPr id="102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54650"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28" filled="f" stroked="t" from="-0.6pt,20.95pt" to="428.9pt,20.95pt" style="position:absolute;z-index:4;mso-position-horizontal-relative:text;mso-position-vertical-relative:text;mso-width-relative:page;mso-height-relative:page;mso-wrap-distance-left:0.0pt;mso-wrap-distance-right:0.0pt;visibility:visible;">
                <v:stroke joinstyle="miter" weight="0.5pt"/>
                <v:fill/>
              </v:line>
            </w:pict>
          </mc:Fallback>
        </mc:AlternateContent>
      </w:r>
      <w:r>
        <w:rPr>
          <w:rFonts w:ascii="Times New Roman" w:hAnsi="Times New Roman" w:cs="Times New Roman"/>
          <w:bCs/>
          <w:color w:val="000000"/>
          <w:sz w:val="24"/>
          <w:szCs w:val="24"/>
        </w:rPr>
        <w:t>Tannins</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Lead acetate</w:t>
      </w:r>
      <w:r>
        <w:rPr>
          <w:rFonts w:ascii="Times New Roman" w:hAnsi="Times New Roman" w:cs="Times New Roman"/>
          <w:bCs/>
          <w:color w:val="000000"/>
          <w:sz w:val="24"/>
          <w:szCs w:val="24"/>
        </w:rPr>
        <w:tab/>
      </w:r>
      <w:r>
        <w:rPr>
          <w:rFonts w:ascii="Times New Roman" w:hAnsi="Times New Roman" w:cs="Times New Roman"/>
          <w:bCs/>
          <w:color w:val="000000"/>
          <w:sz w:val="24"/>
          <w:szCs w:val="24"/>
        </w:rPr>
        <w:tab/>
        <w:t>Blue-greenish colour</w:t>
      </w:r>
      <w:r>
        <w:rPr>
          <w:rFonts w:ascii="Times New Roman" w:hAnsi="Times New Roman" w:cs="Times New Roman"/>
          <w:bCs/>
          <w:color w:val="000000"/>
          <w:sz w:val="24"/>
          <w:szCs w:val="24"/>
        </w:rPr>
        <w:tab/>
      </w:r>
      <w:bookmarkEnd w:id="14"/>
      <w:r>
        <w:rPr>
          <w:rFonts w:ascii="Times New Roman" w:hAnsi="Times New Roman" w:cs="Times New Roman"/>
          <w:bCs/>
          <w:color w:val="000000"/>
          <w:sz w:val="24"/>
          <w:szCs w:val="24"/>
        </w:rPr>
        <w:tab/>
        <w:t>++</w:t>
      </w:r>
    </w:p>
    <w:p w:rsidR="00B827E6" w:rsidRDefault="00EB2CCA">
      <w:pPr>
        <w:spacing w:line="480" w:lineRule="auto"/>
        <w:jc w:val="both"/>
        <w:rPr>
          <w:rFonts w:ascii="Times New Roman" w:hAnsi="Times New Roman" w:cs="Times New Roman"/>
          <w:bCs/>
          <w:color w:val="000000"/>
          <w:sz w:val="20"/>
          <w:szCs w:val="20"/>
        </w:rPr>
      </w:pPr>
      <w:r>
        <w:rPr>
          <w:rFonts w:ascii="Times New Roman" w:hAnsi="Times New Roman" w:cs="Times New Roman"/>
          <w:bCs/>
          <w:color w:val="000000"/>
          <w:sz w:val="20"/>
          <w:szCs w:val="20"/>
        </w:rPr>
        <w:t>(++) Abundant; (+) trace</w:t>
      </w:r>
    </w:p>
    <w:bookmarkEnd w:id="13"/>
    <w:p w:rsidR="00B827E6" w:rsidRDefault="00B827E6">
      <w:pPr>
        <w:rPr>
          <w:rFonts w:ascii="Times New Roman" w:hAnsi="Times New Roman" w:cs="Times New Roman"/>
          <w:b/>
          <w:bCs/>
          <w:color w:val="000000"/>
          <w:sz w:val="24"/>
          <w:szCs w:val="24"/>
        </w:rPr>
      </w:pPr>
    </w:p>
    <w:p w:rsidR="00B827E6" w:rsidRDefault="00B827E6">
      <w:pPr>
        <w:rPr>
          <w:rFonts w:ascii="Times New Roman" w:hAnsi="Times New Roman" w:cs="Times New Roman"/>
          <w:b/>
          <w:bCs/>
          <w:color w:val="000000"/>
          <w:sz w:val="24"/>
          <w:szCs w:val="24"/>
        </w:rPr>
      </w:pPr>
    </w:p>
    <w:p w:rsidR="00B827E6" w:rsidRDefault="00B827E6">
      <w:pPr>
        <w:rPr>
          <w:rFonts w:ascii="Times New Roman" w:hAnsi="Times New Roman" w:cs="Times New Roman"/>
          <w:b/>
          <w:bCs/>
          <w:color w:val="000000"/>
          <w:sz w:val="24"/>
          <w:szCs w:val="24"/>
        </w:rPr>
      </w:pPr>
    </w:p>
    <w:p w:rsidR="00B827E6" w:rsidRDefault="00B827E6">
      <w:pPr>
        <w:rPr>
          <w:rFonts w:ascii="Times New Roman" w:hAnsi="Times New Roman" w:cs="Times New Roman"/>
          <w:b/>
          <w:bCs/>
          <w:color w:val="000000"/>
          <w:sz w:val="24"/>
          <w:szCs w:val="24"/>
        </w:rPr>
      </w:pPr>
    </w:p>
    <w:p w:rsidR="00B827E6" w:rsidRDefault="00B827E6">
      <w:pPr>
        <w:rPr>
          <w:rFonts w:ascii="Times New Roman" w:hAnsi="Times New Roman" w:cs="Times New Roman"/>
          <w:b/>
          <w:bCs/>
          <w:color w:val="000000"/>
          <w:sz w:val="24"/>
          <w:szCs w:val="24"/>
        </w:rPr>
      </w:pPr>
    </w:p>
    <w:p w:rsidR="00B827E6" w:rsidRDefault="00B827E6">
      <w:pPr>
        <w:rPr>
          <w:rFonts w:ascii="Times New Roman" w:hAnsi="Times New Roman" w:cs="Times New Roman"/>
          <w:b/>
          <w:bCs/>
          <w:color w:val="000000"/>
          <w:sz w:val="24"/>
          <w:szCs w:val="24"/>
        </w:rPr>
      </w:pPr>
    </w:p>
    <w:p w:rsidR="00B827E6" w:rsidRDefault="00EB2CCA">
      <w:pPr>
        <w:rPr>
          <w:rFonts w:ascii="Times New Roman" w:hAnsi="Times New Roman" w:cs="Times New Roman"/>
          <w:color w:val="000000"/>
          <w:sz w:val="24"/>
          <w:szCs w:val="24"/>
        </w:rPr>
      </w:pPr>
      <w:r>
        <w:rPr>
          <w:rFonts w:ascii="Times New Roman" w:hAnsi="Times New Roman" w:cs="Times New Roman"/>
          <w:b/>
          <w:bCs/>
          <w:color w:val="000000"/>
          <w:sz w:val="24"/>
          <w:szCs w:val="24"/>
        </w:rPr>
        <w:lastRenderedPageBreak/>
        <w:t>Table 3</w:t>
      </w:r>
      <w:r>
        <w:rPr>
          <w:rFonts w:ascii="Times New Roman" w:hAnsi="Times New Roman" w:cs="Times New Roman"/>
          <w:color w:val="000000"/>
          <w:sz w:val="24"/>
          <w:szCs w:val="24"/>
        </w:rPr>
        <w:t>: Acute toxicity study of the bulb extract.</w:t>
      </w:r>
    </w:p>
    <w:p w:rsidR="00B827E6" w:rsidRDefault="00EB2CCA">
      <w:pPr>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0" distR="0" simplePos="0" relativeHeight="5" behindDoc="0" locked="0" layoutInCell="1" allowOverlap="1">
                <wp:simplePos x="0" y="0"/>
                <wp:positionH relativeFrom="column">
                  <wp:posOffset>-39370</wp:posOffset>
                </wp:positionH>
                <wp:positionV relativeFrom="paragraph">
                  <wp:posOffset>264160</wp:posOffset>
                </wp:positionV>
                <wp:extent cx="5685155" cy="0"/>
                <wp:effectExtent l="0" t="0" r="0" b="0"/>
                <wp:wrapNone/>
                <wp:docPr id="1029"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85155"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29" filled="f" stroked="t" from="-3.1000001pt,20.800001pt" to="444.55pt,20.800001pt" style="position:absolute;z-index:5;mso-position-horizontal-relative:text;mso-position-vertical-relative:text;mso-width-relative:page;mso-height-relative:page;mso-wrap-distance-left:0.0pt;mso-wrap-distance-right:0.0pt;visibility:visible;">
                <v:stroke joinstyle="miter" weight="0.5pt"/>
                <v:fill/>
              </v:line>
            </w:pict>
          </mc:Fallback>
        </mc:AlternateContent>
      </w:r>
    </w:p>
    <w:p w:rsidR="00B827E6" w:rsidRDefault="00EB2CCA">
      <w:pPr>
        <w:rPr>
          <w:rFonts w:ascii="Times New Roman" w:hAnsi="Times New Roman" w:cs="Times New Roman"/>
          <w:b/>
          <w:color w:val="000000"/>
          <w:sz w:val="24"/>
          <w:szCs w:val="24"/>
        </w:rPr>
      </w:pPr>
      <w:r>
        <w:rPr>
          <w:rFonts w:ascii="Times New Roman" w:hAnsi="Times New Roman" w:cs="Times New Roman"/>
          <w:b/>
          <w:noProof/>
          <w:color w:val="000000"/>
          <w:sz w:val="24"/>
          <w:szCs w:val="24"/>
        </w:rPr>
        <mc:AlternateContent>
          <mc:Choice Requires="wps">
            <w:drawing>
              <wp:anchor distT="0" distB="0" distL="0" distR="0" simplePos="0" relativeHeight="6" behindDoc="0" locked="0" layoutInCell="1" allowOverlap="1">
                <wp:simplePos x="0" y="0"/>
                <wp:positionH relativeFrom="column">
                  <wp:posOffset>-47625</wp:posOffset>
                </wp:positionH>
                <wp:positionV relativeFrom="paragraph">
                  <wp:posOffset>219710</wp:posOffset>
                </wp:positionV>
                <wp:extent cx="5709285" cy="0"/>
                <wp:effectExtent l="0" t="0" r="0" b="0"/>
                <wp:wrapNone/>
                <wp:docPr id="1030"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09285"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30" filled="f" stroked="t" from="-3.75pt,17.300001pt" to="445.80002pt,17.300001pt" style="position:absolute;z-index:6;mso-position-horizontal-relative:text;mso-position-vertical-relative:text;mso-width-relative:page;mso-height-relative:page;mso-wrap-distance-left:0.0pt;mso-wrap-distance-right:0.0pt;visibility:visible;">
                <v:stroke joinstyle="miter" weight="0.5pt"/>
                <v:fill/>
              </v:line>
            </w:pict>
          </mc:Fallback>
        </mc:AlternateContent>
      </w:r>
      <w:r>
        <w:rPr>
          <w:rFonts w:ascii="Times New Roman" w:hAnsi="Times New Roman" w:cs="Times New Roman"/>
          <w:b/>
          <w:color w:val="000000"/>
          <w:sz w:val="24"/>
          <w:szCs w:val="24"/>
        </w:rPr>
        <w:t>S/N</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Dose (mg)</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Observation</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First Phase</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Second Phase</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1</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1000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0/3</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1600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0/1</w:t>
      </w: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t>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2900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0/1</w:t>
      </w:r>
    </w:p>
    <w:p w:rsidR="00B827E6" w:rsidRDefault="00EB2CCA">
      <w:pPr>
        <w:rPr>
          <w:rFonts w:ascii="Times New Roman" w:hAnsi="Times New Roman" w:cs="Times New Roman"/>
          <w:color w:val="000000"/>
          <w:sz w:val="24"/>
          <w:szCs w:val="24"/>
        </w:rPr>
      </w:pPr>
      <w:r>
        <w:rPr>
          <w:rFonts w:ascii="Times New Roman" w:hAnsi="Times New Roman" w:cs="Times New Roman"/>
          <w:noProof/>
          <w:color w:val="000000"/>
          <w:sz w:val="24"/>
          <w:szCs w:val="24"/>
        </w:rPr>
        <mc:AlternateContent>
          <mc:Choice Requires="wps">
            <w:drawing>
              <wp:anchor distT="0" distB="0" distL="0" distR="0" simplePos="0" relativeHeight="7" behindDoc="0" locked="0" layoutInCell="1" allowOverlap="1">
                <wp:simplePos x="0" y="0"/>
                <wp:positionH relativeFrom="column">
                  <wp:posOffset>-15875</wp:posOffset>
                </wp:positionH>
                <wp:positionV relativeFrom="paragraph">
                  <wp:posOffset>252094</wp:posOffset>
                </wp:positionV>
                <wp:extent cx="5764530" cy="0"/>
                <wp:effectExtent l="0" t="0" r="0" b="0"/>
                <wp:wrapNone/>
                <wp:docPr id="1031"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64530" cy="0"/>
                        </a:xfrm>
                        <a:prstGeom prst="line">
                          <a:avLst/>
                        </a:prstGeom>
                        <a:ln w="6350" cap="flat" cmpd="sng">
                          <a:solidFill>
                            <a:srgbClr val="000000"/>
                          </a:solidFill>
                          <a:prstDash val="solid"/>
                          <a:miter/>
                          <a:headEnd/>
                          <a:tailEnd/>
                        </a:ln>
                      </wps:spPr>
                      <wps:bodyPr/>
                    </wps:wsp>
                  </a:graphicData>
                </a:graphic>
              </wp:anchor>
            </w:drawing>
          </mc:Choice>
          <mc:Fallback xmlns:wpsCustomData="http://www.wps.cn/officeDocument/2013/wpsCustomData">
            <w:pict>
              <v:line id="1031" filled="f" stroked="t" from="-1.25pt,19.849998pt" to="452.65002pt,19.849998pt" style="position:absolute;z-index:7;mso-position-horizontal-relative:text;mso-position-vertical-relative:text;mso-width-relative:page;mso-height-relative:page;mso-wrap-distance-left:0.0pt;mso-wrap-distance-right:0.0pt;visibility:visible;">
                <v:stroke joinstyle="miter" weight="0.5pt"/>
                <v:fill/>
              </v:line>
            </w:pict>
          </mc:Fallback>
        </mc:AlternateContent>
      </w:r>
      <w:r>
        <w:rPr>
          <w:rFonts w:ascii="Times New Roman" w:hAnsi="Times New Roman" w:cs="Times New Roman"/>
          <w:color w:val="000000"/>
          <w:sz w:val="24"/>
          <w:szCs w:val="24"/>
        </w:rPr>
        <w:t>6</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5000</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0/1</w:t>
      </w:r>
    </w:p>
    <w:p w:rsidR="00B827E6" w:rsidRDefault="00EB2CCA">
      <w:pPr>
        <w:rPr>
          <w:rFonts w:ascii="Times New Roman" w:hAnsi="Times New Roman" w:cs="Times New Roman"/>
          <w:color w:val="000000"/>
          <w:sz w:val="20"/>
          <w:szCs w:val="20"/>
        </w:rPr>
      </w:pPr>
      <w:bookmarkStart w:id="15" w:name="_Hlk194250485"/>
      <w:r>
        <w:rPr>
          <w:rFonts w:ascii="Times New Roman" w:hAnsi="Times New Roman" w:cs="Times New Roman"/>
          <w:color w:val="000000"/>
          <w:sz w:val="20"/>
          <w:szCs w:val="20"/>
        </w:rPr>
        <w:t>Acute toxicity test after 24 hours was ≥ 5000 mg/kg</w:t>
      </w:r>
      <w:bookmarkEnd w:id="15"/>
      <w:r>
        <w:rPr>
          <w:rFonts w:ascii="Times New Roman" w:hAnsi="Times New Roman" w:cs="Times New Roman"/>
          <w:color w:val="000000"/>
          <w:sz w:val="20"/>
          <w:szCs w:val="20"/>
        </w:rPr>
        <w:t xml:space="preserve">, 0: No death: </w:t>
      </w:r>
    </w:p>
    <w:p w:rsidR="00B827E6" w:rsidRDefault="00B827E6">
      <w:pPr>
        <w:spacing w:line="480" w:lineRule="auto"/>
        <w:jc w:val="both"/>
        <w:rPr>
          <w:rFonts w:ascii="Times New Roman" w:hAnsi="Times New Roman" w:cs="Times New Roman"/>
          <w:bCs/>
          <w:color w:val="000000"/>
          <w:sz w:val="24"/>
          <w:szCs w:val="24"/>
        </w:rPr>
      </w:pPr>
    </w:p>
    <w:p w:rsidR="00B827E6" w:rsidRDefault="00EB2CCA">
      <w:pPr>
        <w:spacing w:line="480" w:lineRule="auto"/>
        <w:jc w:val="both"/>
        <w:rPr>
          <w:rFonts w:ascii="Times New Roman" w:hAnsi="Times New Roman" w:cs="Times New Roman"/>
          <w:bCs/>
          <w:color w:val="000000"/>
          <w:sz w:val="24"/>
          <w:szCs w:val="24"/>
        </w:rPr>
      </w:pPr>
      <w:r>
        <w:rPr>
          <w:rFonts w:ascii="Times New Roman" w:hAnsi="Times New Roman" w:cs="Times New Roman"/>
          <w:bCs/>
          <w:noProof/>
          <w:color w:val="000000"/>
          <w:sz w:val="24"/>
          <w:szCs w:val="24"/>
        </w:rPr>
        <w:drawing>
          <wp:inline distT="0" distB="0" distL="0" distR="0">
            <wp:extent cx="5736590" cy="4481195"/>
            <wp:effectExtent l="0" t="0" r="0" b="0"/>
            <wp:docPr id="103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pic:blipFill>
                  <pic:spPr>
                    <a:xfrm>
                      <a:off x="0" y="0"/>
                      <a:ext cx="5736590" cy="4481195"/>
                    </a:xfrm>
                    <a:prstGeom prst="rect">
                      <a:avLst/>
                    </a:prstGeom>
                  </pic:spPr>
                </pic:pic>
              </a:graphicData>
            </a:graphic>
          </wp:inline>
        </w:drawing>
      </w:r>
    </w:p>
    <w:p w:rsidR="00B827E6" w:rsidRDefault="00EB2CCA">
      <w:pPr>
        <w:jc w:val="both"/>
        <w:rPr>
          <w:rFonts w:ascii="Times New Roman" w:hAnsi="Times New Roman" w:cs="Times New Roman"/>
          <w:b/>
          <w:bCs/>
          <w:color w:val="000000"/>
          <w:sz w:val="20"/>
          <w:szCs w:val="20"/>
        </w:rPr>
      </w:pPr>
      <w:r>
        <w:rPr>
          <w:rFonts w:ascii="Times New Roman" w:hAnsi="Times New Roman" w:cs="Times New Roman"/>
          <w:b/>
          <w:bCs/>
          <w:color w:val="000000"/>
          <w:sz w:val="24"/>
          <w:szCs w:val="24"/>
        </w:rPr>
        <w:lastRenderedPageBreak/>
        <w:t>Figure 1</w:t>
      </w:r>
      <w:r>
        <w:rPr>
          <w:rFonts w:ascii="Times New Roman" w:hAnsi="Times New Roman" w:cs="Times New Roman"/>
          <w:color w:val="000000"/>
          <w:sz w:val="24"/>
          <w:szCs w:val="24"/>
        </w:rPr>
        <w:t xml:space="preserve">: Effects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on the testosterone levels in lead acetate induced testicular toxicity in male wistar rats. </w:t>
      </w:r>
      <w:r>
        <w:rPr>
          <w:rFonts w:ascii="Times New Roman" w:hAnsi="Times New Roman" w:cs="Times New Roman"/>
          <w:color w:val="000000"/>
          <w:sz w:val="20"/>
          <w:szCs w:val="20"/>
        </w:rPr>
        <w:t>Values are expressed as mean ± SEM. Charts with different superscripts differ significantly (P&lt;0.05).</w:t>
      </w:r>
    </w:p>
    <w:p w:rsidR="00B827E6" w:rsidRDefault="00B827E6">
      <w:pPr>
        <w:rPr>
          <w:rFonts w:ascii="Times New Roman" w:hAnsi="Times New Roman" w:cs="Times New Roman"/>
          <w:color w:val="000000"/>
          <w:sz w:val="24"/>
          <w:szCs w:val="24"/>
        </w:rPr>
      </w:pPr>
    </w:p>
    <w:p w:rsidR="00B827E6" w:rsidRDefault="00EB2CCA">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827E6" w:rsidRDefault="00EB2CCA">
      <w:pPr>
        <w:jc w:val="both"/>
        <w:rPr>
          <w:rFonts w:ascii="Times New Roman" w:hAnsi="Times New Roman" w:cs="Times New Roman"/>
          <w:color w:val="000000"/>
          <w:sz w:val="20"/>
          <w:szCs w:val="20"/>
        </w:rPr>
      </w:pPr>
      <w:r>
        <w:rPr>
          <w:rFonts w:ascii="Times New Roman" w:hAnsi="Times New Roman" w:cs="Times New Roman"/>
          <w:noProof/>
          <w:color w:val="000000"/>
          <w:sz w:val="24"/>
          <w:szCs w:val="24"/>
        </w:rPr>
        <w:lastRenderedPageBreak/>
        <w:drawing>
          <wp:inline distT="0" distB="0" distL="0" distR="0">
            <wp:extent cx="5736590" cy="4425950"/>
            <wp:effectExtent l="0" t="0" r="0" b="0"/>
            <wp:docPr id="1033"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10" cstate="print"/>
                    <a:srcRect/>
                    <a:stretch/>
                  </pic:blipFill>
                  <pic:spPr>
                    <a:xfrm>
                      <a:off x="0" y="0"/>
                      <a:ext cx="5736590" cy="4425950"/>
                    </a:xfrm>
                    <a:prstGeom prst="rect">
                      <a:avLst/>
                    </a:prstGeom>
                  </pic:spPr>
                </pic:pic>
              </a:graphicData>
            </a:graphic>
          </wp:inline>
        </w:drawing>
      </w:r>
    </w:p>
    <w:p w:rsidR="00B827E6" w:rsidRDefault="00B827E6">
      <w:pPr>
        <w:jc w:val="both"/>
        <w:rPr>
          <w:rFonts w:ascii="Times New Roman" w:hAnsi="Times New Roman" w:cs="Times New Roman"/>
          <w:color w:val="000000"/>
          <w:sz w:val="24"/>
          <w:szCs w:val="24"/>
        </w:rPr>
      </w:pPr>
    </w:p>
    <w:p w:rsidR="00B827E6" w:rsidRDefault="00EB2CCA">
      <w:pPr>
        <w:jc w:val="both"/>
        <w:rPr>
          <w:rFonts w:ascii="Times New Roman" w:hAnsi="Times New Roman" w:cs="Times New Roman"/>
          <w:color w:val="000000"/>
          <w:sz w:val="20"/>
          <w:szCs w:val="20"/>
        </w:rPr>
      </w:pPr>
      <w:r>
        <w:rPr>
          <w:rFonts w:ascii="Times New Roman" w:hAnsi="Times New Roman" w:cs="Times New Roman"/>
          <w:b/>
          <w:bCs/>
          <w:color w:val="000000"/>
          <w:sz w:val="24"/>
          <w:szCs w:val="24"/>
        </w:rPr>
        <w:t>Figure 2</w:t>
      </w:r>
      <w:r>
        <w:rPr>
          <w:rFonts w:ascii="Times New Roman" w:hAnsi="Times New Roman" w:cs="Times New Roman"/>
          <w:color w:val="000000"/>
          <w:sz w:val="24"/>
          <w:szCs w:val="24"/>
        </w:rPr>
        <w:t xml:space="preserve">: Effects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on the sperm count in lead acetate induced testicular toxicity in male wistar rats. </w:t>
      </w:r>
      <w:r>
        <w:rPr>
          <w:rFonts w:ascii="Times New Roman" w:hAnsi="Times New Roman" w:cs="Times New Roman"/>
          <w:color w:val="000000"/>
          <w:sz w:val="20"/>
          <w:szCs w:val="20"/>
        </w:rPr>
        <w:t>Values are expressed as mean ± SEM. Charts with different superscripts differ significantly (P&lt;0.05).</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736590" cy="4572635"/>
            <wp:effectExtent l="0" t="0" r="0" b="0"/>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1" cstate="print"/>
                    <a:srcRect/>
                    <a:stretch/>
                  </pic:blipFill>
                  <pic:spPr>
                    <a:xfrm>
                      <a:off x="0" y="0"/>
                      <a:ext cx="5736590" cy="4572635"/>
                    </a:xfrm>
                    <a:prstGeom prst="rect">
                      <a:avLst/>
                    </a:prstGeom>
                  </pic:spPr>
                </pic:pic>
              </a:graphicData>
            </a:graphic>
          </wp:inline>
        </w:drawing>
      </w:r>
    </w:p>
    <w:p w:rsidR="00B827E6" w:rsidRDefault="00EB2CCA">
      <w:pPr>
        <w:jc w:val="both"/>
        <w:rPr>
          <w:rFonts w:ascii="Times New Roman" w:hAnsi="Times New Roman" w:cs="Times New Roman"/>
          <w:color w:val="000000"/>
          <w:sz w:val="20"/>
          <w:szCs w:val="20"/>
        </w:rPr>
      </w:pPr>
      <w:r>
        <w:rPr>
          <w:rFonts w:ascii="Times New Roman" w:hAnsi="Times New Roman" w:cs="Times New Roman"/>
          <w:b/>
          <w:bCs/>
          <w:color w:val="000000"/>
          <w:sz w:val="24"/>
          <w:szCs w:val="24"/>
        </w:rPr>
        <w:t>Figure 3</w:t>
      </w:r>
      <w:r>
        <w:rPr>
          <w:rFonts w:ascii="Times New Roman" w:hAnsi="Times New Roman" w:cs="Times New Roman"/>
          <w:color w:val="000000"/>
          <w:sz w:val="24"/>
          <w:szCs w:val="24"/>
        </w:rPr>
        <w:t xml:space="preserve">: Effects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on sperm motility in lead </w:t>
      </w:r>
      <w:bookmarkStart w:id="16" w:name="_Hlk182903676"/>
      <w:r>
        <w:rPr>
          <w:rFonts w:ascii="Times New Roman" w:hAnsi="Times New Roman" w:cs="Times New Roman"/>
          <w:color w:val="000000"/>
          <w:sz w:val="24"/>
          <w:szCs w:val="24"/>
        </w:rPr>
        <w:t>acetate</w:t>
      </w:r>
      <w:bookmarkEnd w:id="16"/>
      <w:r>
        <w:rPr>
          <w:rFonts w:ascii="Times New Roman" w:hAnsi="Times New Roman" w:cs="Times New Roman"/>
          <w:color w:val="000000"/>
          <w:sz w:val="24"/>
          <w:szCs w:val="24"/>
        </w:rPr>
        <w:t xml:space="preserve"> induced testicular toxicity in male wistar rats. </w:t>
      </w:r>
      <w:r>
        <w:rPr>
          <w:rFonts w:ascii="Times New Roman" w:hAnsi="Times New Roman" w:cs="Times New Roman"/>
          <w:color w:val="000000"/>
          <w:sz w:val="20"/>
          <w:szCs w:val="20"/>
        </w:rPr>
        <w:t>Values are expressed as mean ± SEM. Charts with different superscripts differ significantly (P&lt;0.05).</w:t>
      </w:r>
    </w:p>
    <w:p w:rsidR="00B827E6" w:rsidRDefault="00B827E6">
      <w:pPr>
        <w:jc w:val="both"/>
        <w:rPr>
          <w:rFonts w:ascii="Times New Roman" w:hAnsi="Times New Roman" w:cs="Times New Roman"/>
          <w:color w:val="000000"/>
          <w:sz w:val="20"/>
          <w:szCs w:val="20"/>
        </w:rPr>
      </w:pPr>
    </w:p>
    <w:p w:rsidR="00B827E6" w:rsidRDefault="00EB2CCA">
      <w:pPr>
        <w:jc w:val="both"/>
        <w:rPr>
          <w:rFonts w:ascii="Times New Roman" w:hAnsi="Times New Roman" w:cs="Times New Roman"/>
          <w:color w:val="000000"/>
          <w:sz w:val="20"/>
          <w:szCs w:val="20"/>
        </w:rPr>
      </w:pPr>
      <w:r>
        <w:rPr>
          <w:rFonts w:ascii="Times New Roman" w:hAnsi="Times New Roman" w:cs="Times New Roman"/>
          <w:noProof/>
          <w:color w:val="000000"/>
          <w:sz w:val="20"/>
          <w:szCs w:val="20"/>
        </w:rPr>
        <w:lastRenderedPageBreak/>
        <w:drawing>
          <wp:inline distT="0" distB="0" distL="0" distR="0">
            <wp:extent cx="5736590" cy="4389755"/>
            <wp:effectExtent l="0" t="0" r="0" b="0"/>
            <wp:docPr id="103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2" cstate="print"/>
                    <a:srcRect/>
                    <a:stretch/>
                  </pic:blipFill>
                  <pic:spPr>
                    <a:xfrm>
                      <a:off x="0" y="0"/>
                      <a:ext cx="5736590" cy="4389755"/>
                    </a:xfrm>
                    <a:prstGeom prst="rect">
                      <a:avLst/>
                    </a:prstGeom>
                  </pic:spPr>
                </pic:pic>
              </a:graphicData>
            </a:graphic>
          </wp:inline>
        </w:drawing>
      </w:r>
    </w:p>
    <w:p w:rsidR="00B827E6" w:rsidRDefault="00EB2CCA">
      <w:pPr>
        <w:jc w:val="both"/>
        <w:rPr>
          <w:rFonts w:ascii="Times New Roman" w:hAnsi="Times New Roman" w:cs="Times New Roman"/>
          <w:b/>
          <w:bCs/>
          <w:color w:val="000000"/>
          <w:sz w:val="20"/>
          <w:szCs w:val="20"/>
        </w:rPr>
      </w:pPr>
      <w:r>
        <w:rPr>
          <w:rFonts w:ascii="Times New Roman" w:hAnsi="Times New Roman" w:cs="Times New Roman"/>
          <w:b/>
          <w:bCs/>
          <w:color w:val="000000"/>
          <w:sz w:val="24"/>
          <w:szCs w:val="24"/>
        </w:rPr>
        <w:t>Figure 4</w:t>
      </w:r>
      <w:r>
        <w:rPr>
          <w:rFonts w:ascii="Times New Roman" w:hAnsi="Times New Roman" w:cs="Times New Roman"/>
          <w:color w:val="000000"/>
          <w:sz w:val="24"/>
          <w:szCs w:val="24"/>
        </w:rPr>
        <w:t xml:space="preserve">: Effects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on sperm viability in lead acetate induced testicular toxicity in male wistar rats. </w:t>
      </w:r>
      <w:r>
        <w:rPr>
          <w:rFonts w:ascii="Times New Roman" w:hAnsi="Times New Roman" w:cs="Times New Roman"/>
          <w:color w:val="000000"/>
          <w:sz w:val="20"/>
          <w:szCs w:val="20"/>
        </w:rPr>
        <w:t>Values are expressed as mean ± SEM. Charts with different superscripts differ significantly (P&lt;0.05).</w:t>
      </w:r>
    </w:p>
    <w:p w:rsidR="00B827E6" w:rsidRDefault="00EB2CCA">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lastRenderedPageBreak/>
        <mc:AlternateContent>
          <mc:Choice Requires="wpg">
            <w:drawing>
              <wp:inline distT="0" distB="0" distL="0" distR="0">
                <wp:extent cx="5337175" cy="3168015"/>
                <wp:effectExtent l="0" t="0" r="0" b="0"/>
                <wp:docPr id="1036"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175" cy="3168015"/>
                          <a:chOff x="-2" y="0"/>
                          <a:chExt cx="8511821" cy="6029049"/>
                        </a:xfrm>
                      </wpg:grpSpPr>
                      <pic:pic xmlns:pic="http://schemas.openxmlformats.org/drawingml/2006/picture">
                        <pic:nvPicPr>
                          <pic:cNvPr id="4" name="Image"/>
                          <pic:cNvPicPr/>
                        </pic:nvPicPr>
                        <pic:blipFill>
                          <a:blip r:embed="rId13" cstate="print"/>
                          <a:srcRect t="655"/>
                          <a:stretch/>
                        </pic:blipFill>
                        <pic:spPr>
                          <a:xfrm>
                            <a:off x="5914977" y="0"/>
                            <a:ext cx="2596842" cy="2656070"/>
                          </a:xfrm>
                          <a:prstGeom prst="rect">
                            <a:avLst/>
                          </a:prstGeom>
                        </pic:spPr>
                      </pic:pic>
                      <pic:pic xmlns:pic="http://schemas.openxmlformats.org/drawingml/2006/picture">
                        <pic:nvPicPr>
                          <pic:cNvPr id="1" name="Image"/>
                          <pic:cNvPicPr/>
                        </pic:nvPicPr>
                        <pic:blipFill>
                          <a:blip r:embed="rId13" cstate="print"/>
                          <a:srcRect t="1012"/>
                          <a:stretch/>
                        </pic:blipFill>
                        <pic:spPr>
                          <a:xfrm>
                            <a:off x="116947" y="2996159"/>
                            <a:ext cx="2596842" cy="2646544"/>
                          </a:xfrm>
                          <a:prstGeom prst="rect">
                            <a:avLst/>
                          </a:prstGeom>
                        </pic:spPr>
                      </pic:pic>
                      <pic:pic xmlns:pic="http://schemas.openxmlformats.org/drawingml/2006/picture">
                        <pic:nvPicPr>
                          <pic:cNvPr id="2" name="Image"/>
                          <pic:cNvPicPr/>
                        </pic:nvPicPr>
                        <pic:blipFill>
                          <a:blip r:embed="rId13" cstate="print"/>
                          <a:srcRect t="774"/>
                          <a:stretch/>
                        </pic:blipFill>
                        <pic:spPr>
                          <a:xfrm>
                            <a:off x="2981277" y="2989808"/>
                            <a:ext cx="2596842" cy="2652895"/>
                          </a:xfrm>
                          <a:prstGeom prst="rect">
                            <a:avLst/>
                          </a:prstGeom>
                        </pic:spPr>
                      </pic:pic>
                      <pic:pic xmlns:pic="http://schemas.openxmlformats.org/drawingml/2006/picture">
                        <pic:nvPicPr>
                          <pic:cNvPr id="3" name="Image"/>
                          <pic:cNvPicPr/>
                        </pic:nvPicPr>
                        <pic:blipFill>
                          <a:blip r:embed="rId13" cstate="print"/>
                          <a:srcRect t="655"/>
                          <a:stretch/>
                        </pic:blipFill>
                        <pic:spPr>
                          <a:xfrm>
                            <a:off x="5914977" y="2986634"/>
                            <a:ext cx="2596842" cy="2656070"/>
                          </a:xfrm>
                          <a:prstGeom prst="rect">
                            <a:avLst/>
                          </a:prstGeom>
                        </pic:spPr>
                      </pic:pic>
                      <wps:wsp>
                        <wps:cNvPr id="5" name="Rectangle 5"/>
                        <wps:cNvSpPr/>
                        <wps:spPr>
                          <a:xfrm>
                            <a:off x="5822894" y="2572826"/>
                            <a:ext cx="637741" cy="480137"/>
                          </a:xfrm>
                          <a:prstGeom prst="rect">
                            <a:avLst/>
                          </a:prstGeom>
                        </wps:spPr>
                        <wps:txbx>
                          <w:txbxContent>
                            <w:p w:rsidR="00B827E6" w:rsidRDefault="00EB2CCA">
                              <w:pPr>
                                <w:pStyle w:val="NormalWeb"/>
                                <w:spacing w:before="0" w:beforeAutospacing="0" w:after="0" w:afterAutospacing="0"/>
                              </w:pPr>
                              <w:r>
                                <w:rPr>
                                  <w:b/>
                                  <w:bCs/>
                                  <w:color w:val="000000"/>
                                  <w:kern w:val="24"/>
                                </w:rPr>
                                <w:t>G3</w:t>
                              </w:r>
                            </w:p>
                          </w:txbxContent>
                        </wps:txbx>
                        <wps:bodyPr wrap="square">
                          <a:prstTxWarp prst="textNoShape">
                            <a:avLst/>
                          </a:prstTxWarp>
                          <a:noAutofit/>
                        </wps:bodyPr>
                      </wps:wsp>
                      <wps:wsp>
                        <wps:cNvPr id="6" name="Rectangle 6"/>
                        <wps:cNvSpPr/>
                        <wps:spPr>
                          <a:xfrm>
                            <a:off x="36841" y="5548912"/>
                            <a:ext cx="692258" cy="480137"/>
                          </a:xfrm>
                          <a:prstGeom prst="rect">
                            <a:avLst/>
                          </a:prstGeom>
                        </wps:spPr>
                        <wps:txbx>
                          <w:txbxContent>
                            <w:p w:rsidR="00B827E6" w:rsidRDefault="00EB2CCA">
                              <w:pPr>
                                <w:pStyle w:val="NormalWeb"/>
                                <w:spacing w:before="0" w:beforeAutospacing="0" w:after="0" w:afterAutospacing="0"/>
                                <w:jc w:val="center"/>
                              </w:pPr>
                              <w:r>
                                <w:rPr>
                                  <w:b/>
                                  <w:bCs/>
                                  <w:color w:val="000000"/>
                                  <w:kern w:val="24"/>
                                </w:rPr>
                                <w:t>G4</w:t>
                              </w:r>
                            </w:p>
                          </w:txbxContent>
                        </wps:txbx>
                        <wps:bodyPr wrap="square">
                          <a:prstTxWarp prst="textNoShape">
                            <a:avLst/>
                          </a:prstTxWarp>
                          <a:noAutofit/>
                        </wps:bodyPr>
                      </wps:wsp>
                      <wps:wsp>
                        <wps:cNvPr id="7" name="Rectangle 7"/>
                        <wps:cNvSpPr/>
                        <wps:spPr>
                          <a:xfrm>
                            <a:off x="2910423" y="5548358"/>
                            <a:ext cx="724949" cy="480137"/>
                          </a:xfrm>
                          <a:prstGeom prst="rect">
                            <a:avLst/>
                          </a:prstGeom>
                        </wps:spPr>
                        <wps:txbx>
                          <w:txbxContent>
                            <w:p w:rsidR="00B827E6" w:rsidRDefault="00EB2CCA">
                              <w:pPr>
                                <w:pStyle w:val="NormalWeb"/>
                                <w:spacing w:before="0" w:beforeAutospacing="0" w:after="0" w:afterAutospacing="0"/>
                                <w:jc w:val="center"/>
                              </w:pPr>
                              <w:r>
                                <w:rPr>
                                  <w:b/>
                                  <w:bCs/>
                                  <w:color w:val="000000"/>
                                  <w:kern w:val="24"/>
                                </w:rPr>
                                <w:t>G5</w:t>
                              </w:r>
                            </w:p>
                          </w:txbxContent>
                        </wps:txbx>
                        <wps:bodyPr wrap="square">
                          <a:prstTxWarp prst="textNoShape">
                            <a:avLst/>
                          </a:prstTxWarp>
                          <a:noAutofit/>
                        </wps:bodyPr>
                      </wps:wsp>
                      <wps:wsp>
                        <wps:cNvPr id="8" name="Rectangle 8"/>
                        <wps:cNvSpPr/>
                        <wps:spPr>
                          <a:xfrm>
                            <a:off x="5844962" y="5531152"/>
                            <a:ext cx="625800" cy="480137"/>
                          </a:xfrm>
                          <a:prstGeom prst="rect">
                            <a:avLst/>
                          </a:prstGeom>
                        </wps:spPr>
                        <wps:txbx>
                          <w:txbxContent>
                            <w:p w:rsidR="00B827E6" w:rsidRDefault="00EB2CCA">
                              <w:pPr>
                                <w:pStyle w:val="NormalWeb"/>
                                <w:spacing w:before="0" w:beforeAutospacing="0" w:after="0" w:afterAutospacing="0"/>
                                <w:jc w:val="center"/>
                              </w:pPr>
                              <w:r>
                                <w:rPr>
                                  <w:b/>
                                  <w:bCs/>
                                  <w:color w:val="000000"/>
                                  <w:kern w:val="24"/>
                                </w:rPr>
                                <w:t>G6</w:t>
                              </w:r>
                            </w:p>
                          </w:txbxContent>
                        </wps:txbx>
                        <wps:bodyPr wrap="square">
                          <a:prstTxWarp prst="textNoShape">
                            <a:avLst/>
                          </a:prstTxWarp>
                          <a:noAutofit/>
                        </wps:bodyPr>
                      </wps:wsp>
                      <pic:pic xmlns:pic="http://schemas.openxmlformats.org/drawingml/2006/picture">
                        <pic:nvPicPr>
                          <pic:cNvPr id="9" name="Image"/>
                          <pic:cNvPicPr/>
                        </pic:nvPicPr>
                        <pic:blipFill>
                          <a:blip r:embed="rId14" cstate="print"/>
                          <a:srcRect t="997"/>
                          <a:stretch/>
                        </pic:blipFill>
                        <pic:spPr>
                          <a:xfrm>
                            <a:off x="2981277" y="0"/>
                            <a:ext cx="2596843" cy="2694270"/>
                          </a:xfrm>
                          <a:prstGeom prst="rect">
                            <a:avLst/>
                          </a:prstGeom>
                        </pic:spPr>
                      </pic:pic>
                      <pic:pic xmlns:pic="http://schemas.openxmlformats.org/drawingml/2006/picture">
                        <pic:nvPicPr>
                          <pic:cNvPr id="10" name="Image"/>
                          <pic:cNvPicPr/>
                        </pic:nvPicPr>
                        <pic:blipFill>
                          <a:blip r:embed="rId15" cstate="print"/>
                          <a:srcRect t="887"/>
                          <a:stretch/>
                        </pic:blipFill>
                        <pic:spPr>
                          <a:xfrm flipH="1">
                            <a:off x="93836" y="0"/>
                            <a:ext cx="2619953" cy="2694269"/>
                          </a:xfrm>
                          <a:prstGeom prst="rect">
                            <a:avLst/>
                          </a:prstGeom>
                        </pic:spPr>
                      </pic:pic>
                      <wps:wsp>
                        <wps:cNvPr id="11" name="Rectangle 11"/>
                        <wps:cNvSpPr/>
                        <wps:spPr>
                          <a:xfrm>
                            <a:off x="2865870" y="2572567"/>
                            <a:ext cx="637860" cy="480137"/>
                          </a:xfrm>
                          <a:prstGeom prst="rect">
                            <a:avLst/>
                          </a:prstGeom>
                        </wps:spPr>
                        <wps:txbx>
                          <w:txbxContent>
                            <w:p w:rsidR="00B827E6" w:rsidRDefault="00EB2CCA">
                              <w:pPr>
                                <w:pStyle w:val="NormalWeb"/>
                                <w:spacing w:before="0" w:beforeAutospacing="0" w:after="0" w:afterAutospacing="0"/>
                              </w:pPr>
                              <w:r>
                                <w:rPr>
                                  <w:b/>
                                  <w:bCs/>
                                  <w:color w:val="000000"/>
                                  <w:kern w:val="24"/>
                                </w:rPr>
                                <w:t>G2</w:t>
                              </w:r>
                            </w:p>
                          </w:txbxContent>
                        </wps:txbx>
                        <wps:bodyPr wrap="square">
                          <a:prstTxWarp prst="textNoShape">
                            <a:avLst/>
                          </a:prstTxWarp>
                          <a:noAutofit/>
                        </wps:bodyPr>
                      </wps:wsp>
                      <wps:wsp>
                        <wps:cNvPr id="12" name="Rectangle 12"/>
                        <wps:cNvSpPr/>
                        <wps:spPr>
                          <a:xfrm>
                            <a:off x="-2" y="2616979"/>
                            <a:ext cx="729047" cy="480137"/>
                          </a:xfrm>
                          <a:prstGeom prst="rect">
                            <a:avLst/>
                          </a:prstGeom>
                        </wps:spPr>
                        <wps:txbx>
                          <w:txbxContent>
                            <w:p w:rsidR="00B827E6" w:rsidRDefault="00EB2CCA">
                              <w:pPr>
                                <w:pStyle w:val="NormalWeb"/>
                                <w:spacing w:before="0" w:beforeAutospacing="0" w:after="0" w:afterAutospacing="0"/>
                              </w:pPr>
                              <w:r>
                                <w:rPr>
                                  <w:b/>
                                  <w:bCs/>
                                  <w:color w:val="000000"/>
                                  <w:kern w:val="24"/>
                                </w:rPr>
                                <w:t>G1</w:t>
                              </w:r>
                            </w:p>
                          </w:txbxContent>
                        </wps:txbx>
                        <wps:bodyPr wrap="square">
                          <a:prstTxWarp prst="textNoShape">
                            <a:avLst/>
                          </a:prstTxWarp>
                          <a:noAutofit/>
                        </wps:bodyPr>
                      </wps:wsp>
                    </wpg:wgp>
                  </a:graphicData>
                </a:graphic>
              </wp:inline>
            </w:drawing>
          </mc:Choice>
          <mc:Fallback xmlns:wpsCustomData="http://www.wps.cn/officeDocument/2013/wpsCustomData">
            <w:pict>
              <v:group id="1036" filled="f" stroked="f" style="margin-left:0.0pt;margin-top:0.0pt;width:420.25pt;height:249.45pt;mso-wrap-distance-left:0.0pt;mso-wrap-distance-right:0.0pt;visibility:visible;" coordsize="8511821,6029049" coordorigin="-2,0">
                <v:shape id="1037" type="#_x0000_t75" filled="f" stroked="f" style="position:absolute;left:5914977;top:0;width:2596842;height:2656070;z-index:2;mso-position-horizontal-relative:page;mso-position-vertical-relative:page;mso-width-relative:page;mso-height-relative:page;visibility:visible;">
                  <v:imagedata r:id="rId16" croptop="429f" embosscolor="white" o:title=""/>
                  <v:fill/>
                </v:shape>
                <v:shape id="1038" type="#_x0000_t75" filled="f" stroked="f" style="position:absolute;left:116947;top:2996159;width:2596842;height:2646544;z-index:3;mso-position-horizontal-relative:page;mso-position-vertical-relative:page;mso-width-relative:page;mso-height-relative:page;visibility:visible;">
                  <v:imagedata r:id="rId16" croptop="663f" embosscolor="white" o:title=""/>
                  <v:fill/>
                </v:shape>
                <v:shape id="1039" type="#_x0000_t75" filled="f" stroked="f" style="position:absolute;left:2981277;top:2989808;width:2596842;height:2652895;z-index:4;mso-position-horizontal-relative:page;mso-position-vertical-relative:page;mso-width-relative:page;mso-height-relative:page;visibility:visible;">
                  <v:imagedata r:id="rId16" croptop="507f" embosscolor="white" o:title=""/>
                  <v:fill/>
                </v:shape>
                <v:shape id="1040" type="#_x0000_t75" filled="f" stroked="f" style="position:absolute;left:5914977;top:2986634;width:2596842;height:2656070;z-index:5;mso-position-horizontal-relative:page;mso-position-vertical-relative:page;mso-width-relative:page;mso-height-relative:page;visibility:visible;">
                  <v:imagedata r:id="rId16" croptop="429f" embosscolor="white" o:title=""/>
                  <v:fill/>
                </v:shape>
                <v:rect id="1041" filled="f" stroked="f" style="position:absolute;left:5822894;top:2572826;width:637741;height:480137;z-index:6;mso-position-horizontal-relative:page;mso-position-vertical-relative:page;mso-width-relative:page;mso-height-relative:page;visibility:visible;">
                  <v:fill/>
                  <v:textbox>
                    <w:txbxContent>
                      <w:p>
                        <w:pPr>
                          <w:pStyle w:val="style94"/>
                          <w:spacing w:before="0" w:beforeAutospacing="false" w:after="0" w:afterAutospacing="false"/>
                          <w:rPr/>
                        </w:pPr>
                        <w:r>
                          <w:rPr>
                            <w:b/>
                            <w:bCs/>
                            <w:color w:val="000000"/>
                            <w:kern w:val="24"/>
                          </w:rPr>
                          <w:t>G3</w:t>
                        </w:r>
                      </w:p>
                    </w:txbxContent>
                  </v:textbox>
                </v:rect>
                <v:rect id="1042" filled="f" stroked="f" style="position:absolute;left:36841;top:5548912;width:692258;height:480137;z-index:7;mso-position-horizontal-relative:page;mso-position-vertical-relative:page;mso-width-relative:page;mso-height-relative:page;visibility:visible;">
                  <v:fill/>
                  <v:textbox>
                    <w:txbxContent>
                      <w:p>
                        <w:pPr>
                          <w:pStyle w:val="style94"/>
                          <w:spacing w:before="0" w:beforeAutospacing="false" w:after="0" w:afterAutospacing="false"/>
                          <w:jc w:val="center"/>
                          <w:rPr/>
                        </w:pPr>
                        <w:r>
                          <w:rPr>
                            <w:b/>
                            <w:bCs/>
                            <w:color w:val="000000"/>
                            <w:kern w:val="24"/>
                          </w:rPr>
                          <w:t>G4</w:t>
                        </w:r>
                      </w:p>
                    </w:txbxContent>
                  </v:textbox>
                </v:rect>
                <v:rect id="1043" filled="f" stroked="f" style="position:absolute;left:2910423;top:5548358;width:724949;height:480137;z-index:8;mso-position-horizontal-relative:page;mso-position-vertical-relative:page;mso-width-relative:page;mso-height-relative:page;visibility:visible;">
                  <v:fill/>
                  <v:textbox>
                    <w:txbxContent>
                      <w:p>
                        <w:pPr>
                          <w:pStyle w:val="style94"/>
                          <w:spacing w:before="0" w:beforeAutospacing="false" w:after="0" w:afterAutospacing="false"/>
                          <w:jc w:val="center"/>
                          <w:rPr/>
                        </w:pPr>
                        <w:r>
                          <w:rPr>
                            <w:b/>
                            <w:bCs/>
                            <w:color w:val="000000"/>
                            <w:kern w:val="24"/>
                          </w:rPr>
                          <w:t>G5</w:t>
                        </w:r>
                      </w:p>
                    </w:txbxContent>
                  </v:textbox>
                </v:rect>
                <v:rect id="1044" filled="f" stroked="f" style="position:absolute;left:5844962;top:5531152;width:625800;height:480137;z-index:9;mso-position-horizontal-relative:page;mso-position-vertical-relative:page;mso-width-relative:page;mso-height-relative:page;visibility:visible;">
                  <v:fill/>
                  <v:textbox>
                    <w:txbxContent>
                      <w:p>
                        <w:pPr>
                          <w:pStyle w:val="style94"/>
                          <w:spacing w:before="0" w:beforeAutospacing="false" w:after="0" w:afterAutospacing="false"/>
                          <w:jc w:val="center"/>
                          <w:rPr/>
                        </w:pPr>
                        <w:r>
                          <w:rPr>
                            <w:b/>
                            <w:bCs/>
                            <w:color w:val="000000"/>
                            <w:kern w:val="24"/>
                          </w:rPr>
                          <w:t>G6</w:t>
                        </w:r>
                      </w:p>
                    </w:txbxContent>
                  </v:textbox>
                </v:rect>
                <v:shape id="1045" type="#_x0000_t75" filled="f" stroked="f" style="position:absolute;left:2981277;top:0;width:2596843;height:2694270;z-index:10;mso-position-horizontal-relative:page;mso-position-vertical-relative:page;mso-width-relative:page;mso-height-relative:page;visibility:visible;">
                  <v:imagedata r:id="rId17" croptop="652f" embosscolor="white" o:title=""/>
                  <v:fill/>
                </v:shape>
                <v:shape id="1046" type="#_x0000_t75" filled="f" stroked="f" style="position:absolute;left:93836;top:0;width:2619953;height:2694269;z-index:11;mso-position-horizontal-relative:page;mso-position-vertical-relative:page;mso-width-relative:page;mso-height-relative:page;visibility:visible;flip:x;">
                  <v:imagedata r:id="rId18" croptop="580f" embosscolor="white" o:title=""/>
                  <v:fill/>
                </v:shape>
                <v:rect id="1047" filled="f" stroked="f" style="position:absolute;left:2865870;top:2572567;width:637860;height:480137;z-index:12;mso-position-horizontal-relative:page;mso-position-vertical-relative:page;mso-width-relative:page;mso-height-relative:page;visibility:visible;">
                  <v:fill/>
                  <v:textbox>
                    <w:txbxContent>
                      <w:p>
                        <w:pPr>
                          <w:pStyle w:val="style94"/>
                          <w:spacing w:before="0" w:beforeAutospacing="false" w:after="0" w:afterAutospacing="false"/>
                          <w:rPr/>
                        </w:pPr>
                        <w:r>
                          <w:rPr>
                            <w:b/>
                            <w:bCs/>
                            <w:color w:val="000000"/>
                            <w:kern w:val="24"/>
                          </w:rPr>
                          <w:t>G2</w:t>
                        </w:r>
                      </w:p>
                    </w:txbxContent>
                  </v:textbox>
                </v:rect>
                <v:rect id="1048" filled="f" stroked="f" style="position:absolute;left:-2;top:2616979;width:729047;height:480137;z-index:13;mso-position-horizontal-relative:page;mso-position-vertical-relative:page;mso-width-relative:page;mso-height-relative:page;visibility:visible;">
                  <v:fill/>
                  <v:textbox>
                    <w:txbxContent>
                      <w:p>
                        <w:pPr>
                          <w:pStyle w:val="style94"/>
                          <w:spacing w:before="0" w:beforeAutospacing="false" w:after="0" w:afterAutospacing="false"/>
                          <w:rPr/>
                        </w:pPr>
                        <w:r>
                          <w:rPr>
                            <w:b/>
                            <w:bCs/>
                            <w:color w:val="000000"/>
                            <w:kern w:val="24"/>
                          </w:rPr>
                          <w:t>G1</w:t>
                        </w:r>
                      </w:p>
                    </w:txbxContent>
                  </v:textbox>
                </v:rect>
                <w10:anchorlock/>
                <v:fill rotate="true"/>
              </v:group>
            </w:pict>
          </mc:Fallback>
        </mc:AlternateContent>
      </w:r>
    </w:p>
    <w:p w:rsidR="00B827E6" w:rsidRDefault="00EB2CCA">
      <w:pPr>
        <w:spacing w:after="0"/>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Plate 1: </w:t>
      </w:r>
      <w:r>
        <w:rPr>
          <w:rFonts w:ascii="Times New Roman" w:hAnsi="Times New Roman" w:cs="Times New Roman"/>
          <w:bCs/>
          <w:color w:val="000000"/>
          <w:sz w:val="24"/>
          <w:szCs w:val="24"/>
        </w:rPr>
        <w:t xml:space="preserve">Photomicrograph of the testis showing effects of aqueous </w:t>
      </w:r>
      <w:r>
        <w:rPr>
          <w:rFonts w:ascii="Times New Roman" w:hAnsi="Times New Roman" w:cs="Times New Roman"/>
          <w:bCs/>
          <w:i/>
          <w:iCs/>
          <w:color w:val="000000"/>
          <w:sz w:val="24"/>
          <w:szCs w:val="24"/>
        </w:rPr>
        <w:t>Allium sativum</w:t>
      </w:r>
      <w:r>
        <w:rPr>
          <w:rFonts w:ascii="Times New Roman" w:hAnsi="Times New Roman" w:cs="Times New Roman"/>
          <w:bCs/>
          <w:color w:val="000000"/>
          <w:sz w:val="24"/>
          <w:szCs w:val="24"/>
        </w:rPr>
        <w:t xml:space="preserve"> bulb extract on Lead acetate induced Testicular Toxicity in Male Wistar Rats. H&amp;E × 200 </w:t>
      </w:r>
    </w:p>
    <w:p w:rsidR="00B827E6" w:rsidRDefault="00EB2CCA">
      <w:pPr>
        <w:spacing w:after="0"/>
        <w:jc w:val="both"/>
        <w:rPr>
          <w:rFonts w:ascii="Times New Roman" w:hAnsi="Times New Roman" w:cs="Times New Roman"/>
          <w:bCs/>
          <w:color w:val="000000"/>
          <w:sz w:val="20"/>
          <w:szCs w:val="20"/>
        </w:rPr>
      </w:pPr>
      <w:r>
        <w:rPr>
          <w:rFonts w:ascii="Times New Roman" w:hAnsi="Times New Roman" w:cs="Times New Roman"/>
          <w:b/>
          <w:bCs/>
          <w:color w:val="000000"/>
          <w:sz w:val="20"/>
          <w:szCs w:val="20"/>
        </w:rPr>
        <w:t>G1</w:t>
      </w:r>
      <w:r>
        <w:rPr>
          <w:rFonts w:ascii="Times New Roman" w:hAnsi="Times New Roman" w:cs="Times New Roman"/>
          <w:bCs/>
          <w:color w:val="000000"/>
          <w:sz w:val="20"/>
          <w:szCs w:val="20"/>
        </w:rPr>
        <w:t xml:space="preserve">: showing regular seminiferous tubules lined by spermatogenic series in varying degrees of differentiation up to spermatids (red arrow). The interstitium contains regular Leydig cells (green arrow). </w:t>
      </w:r>
      <w:r>
        <w:rPr>
          <w:rFonts w:ascii="Times New Roman" w:hAnsi="Times New Roman" w:cs="Times New Roman"/>
          <w:b/>
          <w:bCs/>
          <w:color w:val="000000"/>
          <w:sz w:val="20"/>
          <w:szCs w:val="20"/>
        </w:rPr>
        <w:t>G2</w:t>
      </w:r>
      <w:r>
        <w:rPr>
          <w:rFonts w:ascii="Times New Roman" w:hAnsi="Times New Roman" w:cs="Times New Roman"/>
          <w:bCs/>
          <w:color w:val="000000"/>
          <w:sz w:val="20"/>
          <w:szCs w:val="20"/>
        </w:rPr>
        <w:t xml:space="preserve">: showing atrophy of interstitial Leydig cells (green arrow) and reduction in intraluminal spermatids (red arrow).  </w:t>
      </w:r>
      <w:r>
        <w:rPr>
          <w:rFonts w:ascii="Times New Roman" w:hAnsi="Times New Roman" w:cs="Times New Roman"/>
          <w:b/>
          <w:bCs/>
          <w:color w:val="000000"/>
          <w:sz w:val="20"/>
          <w:szCs w:val="20"/>
        </w:rPr>
        <w:t>G3, G4, G5 &amp; G6:</w:t>
      </w:r>
      <w:r>
        <w:rPr>
          <w:rFonts w:ascii="Times New Roman" w:hAnsi="Times New Roman" w:cs="Times New Roman"/>
          <w:bCs/>
          <w:color w:val="000000"/>
          <w:sz w:val="20"/>
          <w:szCs w:val="20"/>
        </w:rPr>
        <w:t xml:space="preserve"> showing restoration of spermatogenesis (red arrow) and Leydig cell atrophy has reversed (green arrow) compared to G2.</w:t>
      </w:r>
    </w:p>
    <w:p w:rsidR="00B827E6" w:rsidRDefault="00EB2CCA">
      <w:pPr>
        <w:rPr>
          <w:rFonts w:ascii="Times New Roman" w:hAnsi="Times New Roman" w:cs="Times New Roman"/>
          <w:b/>
          <w:bCs/>
          <w:color w:val="000000"/>
          <w:sz w:val="24"/>
          <w:szCs w:val="24"/>
        </w:rPr>
      </w:pPr>
      <w:r>
        <w:rPr>
          <w:rFonts w:ascii="Times New Roman" w:hAnsi="Times New Roman" w:cs="Times New Roman"/>
          <w:b/>
          <w:bCs/>
          <w:color w:val="000000"/>
          <w:sz w:val="24"/>
          <w:szCs w:val="24"/>
        </w:rPr>
        <w:br w:type="page"/>
      </w:r>
    </w:p>
    <w:p w:rsidR="00B827E6" w:rsidRDefault="00EB2CC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study investigated the effects of administration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on the testis of rats that was exposed to lead acetate toxicity.  </w:t>
      </w:r>
    </w:p>
    <w:p w:rsidR="00B827E6" w:rsidRDefault="00EB2CC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Lead exposure has been reported to result in decreased body weight and testis weight (6,10,24,32,37,54) this could be attributed to appetite suppression, metabolic disruption and testicular atrophy.</w:t>
      </w:r>
    </w:p>
    <w:p w:rsidR="00B827E6" w:rsidRDefault="00EB2CC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Our findings are in line that of the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treated groups partially mitigated weight loss which may not be sufficient to completely prevent weight loss associated with lead exposure. This was in agreement with Kahalerras (20) and Ola-Mudathir (35) who reported garlic extract improved reproductive health but it   did not completely prevent weight loss associated with lead exposure. </w:t>
      </w:r>
    </w:p>
    <w:p w:rsidR="00B827E6" w:rsidRDefault="00EB2CC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findings of this study also showed decrease in Relative Testicular Weight (RTW) of rats that were exposed to lead-toxicity, could be as a </w:t>
      </w:r>
      <w:bookmarkStart w:id="17" w:name="_Hlk193707337"/>
      <w:r>
        <w:rPr>
          <w:rFonts w:ascii="Times New Roman" w:hAnsi="Times New Roman" w:cs="Times New Roman"/>
          <w:color w:val="000000"/>
          <w:sz w:val="24"/>
          <w:szCs w:val="24"/>
        </w:rPr>
        <w:t xml:space="preserve">result of atrophy of the interstitial Leydig cells and reduction in intraluminal spermatids observed in </w:t>
      </w:r>
      <w:bookmarkEnd w:id="17"/>
      <w:r>
        <w:rPr>
          <w:rFonts w:ascii="Times New Roman" w:hAnsi="Times New Roman" w:cs="Times New Roman"/>
          <w:color w:val="000000"/>
          <w:sz w:val="24"/>
          <w:szCs w:val="24"/>
        </w:rPr>
        <w:t xml:space="preserve">the representative photomicrograph of (plate 1) which are indicative of testicular atrophy (22,24). </w:t>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This was corroborated by a significant declined in plasma testosterone levels; the hormone responsible for differentiation of male sexual characteristics</w:t>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 xml:space="preserve"> (41</w:t>
      </w:r>
      <w:r w:rsidR="008E3FC3">
        <w:rPr>
          <w:rFonts w:ascii="Times New Roman" w:hAnsi="Times New Roman" w:cs="Times New Roman"/>
          <w:color w:val="000000"/>
          <w:sz w:val="24"/>
          <w:szCs w:val="24"/>
        </w:rPr>
        <w:t>,6</w:t>
      </w:r>
      <w:r>
        <w:rPr>
          <w:rFonts w:ascii="Times New Roman" w:hAnsi="Times New Roman" w:cs="Times New Roman"/>
          <w:color w:val="000000"/>
          <w:sz w:val="24"/>
          <w:szCs w:val="24"/>
        </w:rPr>
        <w:t xml:space="preserve">).  The administration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to lead-acetate treated group significantly increases testicular weight in a dose-dependent manner which is in agreement with Singh (42) reported garlic extract reverses lead-induced testicular apoptosis and improves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sperm quality in rats.   </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The highest dose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demonstrated                                                (14,19,23,31 ) exhibited the most pronounced improvements in testicular histology, surpassing the protective effects of Vitamin E (49). </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b/>
        <w:t xml:space="preserve">The significant decrease in plasma testosterone hormones observed agreed with findings as recorded in this of (1,55,57). This might be as a result of disruption hypothalamic-pituitary gonadal axis, inhibition of steroidogenesis and damage to the Leydig cells. </w:t>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 xml:space="preserve">It is worthy of note to state that the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treated groups at higher doses produces a better attenuating testosterone level in the testis of rats when compared with the group that received vitamin E treatment</w:t>
      </w:r>
      <w:r w:rsidR="008E3FC3">
        <w:rPr>
          <w:rFonts w:ascii="Times New Roman" w:hAnsi="Times New Roman" w:cs="Times New Roman"/>
          <w:color w:val="000000"/>
          <w:sz w:val="24"/>
          <w:szCs w:val="24"/>
        </w:rPr>
        <w:t>” (6)</w:t>
      </w:r>
      <w:r>
        <w:rPr>
          <w:rFonts w:ascii="Times New Roman" w:hAnsi="Times New Roman" w:cs="Times New Roman"/>
          <w:color w:val="000000"/>
          <w:sz w:val="24"/>
          <w:szCs w:val="24"/>
        </w:rPr>
        <w:t>.</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The protective effect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has been reported by                                                 (21,26,40,56) that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possess antioxidant and testosterone-boosting potentials in rat models exposed to lead-acetate testicular toxicity. This may have been enhanced by the presence of alkaloids and tannin in the extract. This important potentials of the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phytochemicals are essential for reversing the deletions effect of lead on testicular functions.</w:t>
      </w:r>
    </w:p>
    <w:p w:rsidR="00B827E6" w:rsidRDefault="00EB2CCA" w:rsidP="00FF31D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008E3FC3">
        <w:rPr>
          <w:rFonts w:ascii="Times New Roman" w:hAnsi="Times New Roman" w:cs="Times New Roman"/>
          <w:color w:val="000000"/>
          <w:sz w:val="24"/>
          <w:szCs w:val="24"/>
        </w:rPr>
        <w:t>“</w:t>
      </w:r>
      <w:r>
        <w:rPr>
          <w:rFonts w:ascii="Times New Roman" w:hAnsi="Times New Roman" w:cs="Times New Roman"/>
          <w:color w:val="000000"/>
          <w:sz w:val="24"/>
          <w:szCs w:val="24"/>
        </w:rPr>
        <w:t>The fact that sperm analysis correlated with fertility makes it one of the most sensitive tests for spermatogenesis. This makes it one of the most reliable tests for spermatogenesis</w:t>
      </w:r>
      <w:r w:rsidR="00FF31DA">
        <w:rPr>
          <w:rFonts w:ascii="Times New Roman" w:hAnsi="Times New Roman" w:cs="Times New Roman"/>
          <w:color w:val="000000"/>
          <w:sz w:val="24"/>
          <w:szCs w:val="24"/>
        </w:rPr>
        <w:t>”</w:t>
      </w:r>
      <w:r>
        <w:rPr>
          <w:rFonts w:ascii="Times New Roman" w:hAnsi="Times New Roman" w:cs="Times New Roman"/>
          <w:color w:val="000000"/>
          <w:sz w:val="24"/>
          <w:szCs w:val="24"/>
        </w:rPr>
        <w:t xml:space="preserve"> (52</w:t>
      </w:r>
      <w:r w:rsidR="00FF31DA">
        <w:rPr>
          <w:rFonts w:ascii="Times New Roman" w:hAnsi="Times New Roman" w:cs="Times New Roman"/>
          <w:color w:val="000000"/>
          <w:sz w:val="24"/>
          <w:szCs w:val="24"/>
        </w:rPr>
        <w:t>,6</w:t>
      </w:r>
      <w:r>
        <w:rPr>
          <w:rFonts w:ascii="Times New Roman" w:hAnsi="Times New Roman" w:cs="Times New Roman"/>
          <w:color w:val="000000"/>
          <w:sz w:val="24"/>
          <w:szCs w:val="24"/>
        </w:rPr>
        <w:t xml:space="preserve">). </w:t>
      </w:r>
      <w:r w:rsidR="00FF31DA">
        <w:rPr>
          <w:rFonts w:ascii="Times New Roman" w:hAnsi="Times New Roman" w:cs="Times New Roman"/>
          <w:color w:val="000000"/>
          <w:sz w:val="24"/>
          <w:szCs w:val="24"/>
        </w:rPr>
        <w:t>“</w:t>
      </w:r>
      <w:r>
        <w:rPr>
          <w:rFonts w:ascii="Times New Roman" w:hAnsi="Times New Roman" w:cs="Times New Roman"/>
          <w:color w:val="000000"/>
          <w:sz w:val="24"/>
          <w:szCs w:val="24"/>
        </w:rPr>
        <w:t xml:space="preserve">The lead acetate reduced induction in sperm count is indicative of testicular function was compromised. The lead acetate induced decrease sperm motility that was recorded might be functional or structural in origin. The decline in Relative Testicular Weight and testosterone levels in the testes, as recorded in this study supports the fact. These indices show evidence of assault to the testicular </w:t>
      </w:r>
      <w:bookmarkStart w:id="18" w:name="_Hlk183258201"/>
      <w:r>
        <w:rPr>
          <w:rFonts w:ascii="Times New Roman" w:hAnsi="Times New Roman" w:cs="Times New Roman"/>
          <w:color w:val="000000"/>
          <w:sz w:val="24"/>
          <w:szCs w:val="24"/>
        </w:rPr>
        <w:t xml:space="preserve">tissue that was observed in the representative photomicrographs (plate 1). </w:t>
      </w:r>
      <w:bookmarkEnd w:id="18"/>
      <w:r>
        <w:rPr>
          <w:rFonts w:ascii="Times New Roman" w:hAnsi="Times New Roman" w:cs="Times New Roman"/>
          <w:color w:val="000000"/>
          <w:sz w:val="24"/>
          <w:szCs w:val="24"/>
        </w:rPr>
        <w:t>Also, a significant decrease in sperm motility and viability may occur if chemical agents permeate the blood-testis barrier</w:t>
      </w:r>
      <w:r w:rsidR="00FF31DA">
        <w:rPr>
          <w:rFonts w:ascii="Times New Roman" w:hAnsi="Times New Roman" w:cs="Times New Roman"/>
          <w:color w:val="000000"/>
          <w:sz w:val="24"/>
          <w:szCs w:val="24"/>
        </w:rPr>
        <w:t>” (6)</w:t>
      </w:r>
      <w:r>
        <w:rPr>
          <w:rFonts w:ascii="Times New Roman" w:hAnsi="Times New Roman" w:cs="Times New Roman"/>
          <w:color w:val="000000"/>
          <w:sz w:val="24"/>
          <w:szCs w:val="24"/>
        </w:rPr>
        <w:t xml:space="preserve">. </w:t>
      </w:r>
    </w:p>
    <w:p w:rsidR="00B827E6" w:rsidRDefault="00EB2CC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This study revealed that administration of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bulb extract in a dose-dependent manner successfully reversed the lead- induced alterations in sperm characteristic. This </w:t>
      </w:r>
      <w:r>
        <w:rPr>
          <w:rFonts w:ascii="Times New Roman" w:hAnsi="Times New Roman" w:cs="Times New Roman"/>
          <w:color w:val="000000"/>
          <w:sz w:val="24"/>
          <w:szCs w:val="24"/>
        </w:rPr>
        <w:lastRenderedPageBreak/>
        <w:t xml:space="preserve">finding is consistent with the results reported by Ola-Mudathir (35) who demonstrated that the spermatogenic enhancing effects of garlic extract are dose-dependent. Thus, the results further showed that the beneficial effects were more pronounced in the group treated with aqueous </w:t>
      </w:r>
      <w:r>
        <w:rPr>
          <w:rFonts w:ascii="Times New Roman" w:hAnsi="Times New Roman" w:cs="Times New Roman"/>
          <w:i/>
          <w:iCs/>
          <w:color w:val="000000"/>
          <w:sz w:val="24"/>
          <w:szCs w:val="24"/>
        </w:rPr>
        <w:t>Allium sativum</w:t>
      </w:r>
      <w:r>
        <w:rPr>
          <w:rFonts w:ascii="Times New Roman" w:hAnsi="Times New Roman" w:cs="Times New Roman"/>
          <w:color w:val="000000"/>
          <w:sz w:val="24"/>
          <w:szCs w:val="24"/>
        </w:rPr>
        <w:t xml:space="preserve"> extract, compared to the group received vitamin E treatment, indicating higher degree of efficacy. </w:t>
      </w:r>
    </w:p>
    <w:p w:rsidR="00B827E6" w:rsidRDefault="00FF31DA">
      <w:pPr>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00EB2CCA">
        <w:rPr>
          <w:rFonts w:ascii="Times New Roman" w:hAnsi="Times New Roman" w:cs="Times New Roman"/>
          <w:color w:val="000000"/>
          <w:sz w:val="24"/>
          <w:szCs w:val="24"/>
        </w:rPr>
        <w:t xml:space="preserve">Based on the result of this study, the suggested mechanism of action of aqueous </w:t>
      </w:r>
      <w:r w:rsidR="00EB2CCA">
        <w:rPr>
          <w:rFonts w:ascii="Times New Roman" w:hAnsi="Times New Roman" w:cs="Times New Roman"/>
          <w:i/>
          <w:iCs/>
          <w:color w:val="000000"/>
          <w:sz w:val="24"/>
          <w:szCs w:val="24"/>
        </w:rPr>
        <w:t>Allium sativum</w:t>
      </w:r>
      <w:r w:rsidR="00EB2CCA">
        <w:rPr>
          <w:rFonts w:ascii="Times New Roman" w:hAnsi="Times New Roman" w:cs="Times New Roman"/>
          <w:color w:val="000000"/>
          <w:sz w:val="24"/>
          <w:szCs w:val="24"/>
        </w:rPr>
        <w:t xml:space="preserve"> extract in the reversal of lead induced alteration in sperm characteristic could be in its antioxidant and anti-inflammatory potentials enhance by the presence of phytochemicals such as alkaloids, tannins and flavonoids in its extract</w:t>
      </w:r>
      <w:r>
        <w:rPr>
          <w:rFonts w:ascii="Times New Roman" w:hAnsi="Times New Roman" w:cs="Times New Roman"/>
          <w:color w:val="000000"/>
          <w:sz w:val="24"/>
          <w:szCs w:val="24"/>
        </w:rPr>
        <w:t>”</w:t>
      </w:r>
      <w:bookmarkStart w:id="19" w:name="_GoBack"/>
      <w:bookmarkEnd w:id="19"/>
      <w:r w:rsidR="00EB2CCA">
        <w:rPr>
          <w:rFonts w:ascii="Times New Roman" w:hAnsi="Times New Roman" w:cs="Times New Roman"/>
          <w:color w:val="000000"/>
          <w:sz w:val="24"/>
          <w:szCs w:val="24"/>
        </w:rPr>
        <w:t xml:space="preserve"> (25,26,51,57</w:t>
      </w:r>
      <w:r>
        <w:rPr>
          <w:rFonts w:ascii="Times New Roman" w:hAnsi="Times New Roman" w:cs="Times New Roman"/>
          <w:color w:val="000000"/>
          <w:sz w:val="24"/>
          <w:szCs w:val="24"/>
        </w:rPr>
        <w:t>,6</w:t>
      </w:r>
      <w:r w:rsidR="00EB2CCA">
        <w:rPr>
          <w:rFonts w:ascii="Times New Roman" w:hAnsi="Times New Roman" w:cs="Times New Roman"/>
          <w:color w:val="000000"/>
          <w:sz w:val="24"/>
          <w:szCs w:val="24"/>
        </w:rPr>
        <w:t>). The study demonstrated that the activities of these important phytochemicals have secondary beneficial effects for improving reproductive health.</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cumulative data from this study suggest that therapeutic administration of vitamin E alone may be insufficient to effectively mitigate lead-induced testicular toxicity in a rat model, indicating the need for adjunctive treatments.  </w:t>
      </w:r>
    </w:p>
    <w:p w:rsidR="00B827E6" w:rsidRDefault="00EB2CCA">
      <w:pPr>
        <w:keepNext/>
        <w:keepLines/>
        <w:spacing w:before="240" w:after="0" w:line="480" w:lineRule="auto"/>
        <w:outlineLvl w:val="0"/>
        <w:rPr>
          <w:rFonts w:ascii="Times New Roman" w:hAnsi="Times New Roman" w:cs="Times New Roman"/>
          <w:b/>
          <w:bCs/>
          <w:color w:val="000000"/>
          <w:sz w:val="24"/>
          <w:szCs w:val="24"/>
        </w:rPr>
      </w:pPr>
      <w:r>
        <w:rPr>
          <w:rFonts w:ascii="Times New Roman" w:hAnsi="Times New Roman" w:cs="Times New Roman"/>
          <w:b/>
          <w:bCs/>
          <w:color w:val="000000"/>
          <w:sz w:val="24"/>
          <w:szCs w:val="24"/>
        </w:rPr>
        <w:t>5. CONCLUSION</w:t>
      </w:r>
    </w:p>
    <w:p w:rsidR="00B827E6" w:rsidRDefault="00EB2CCA">
      <w:pPr>
        <w:spacing w:line="480" w:lineRule="auto"/>
        <w:jc w:val="both"/>
        <w:rPr>
          <w:rFonts w:ascii="Times New Roman" w:eastAsia="+mn-ea" w:hAnsi="Times New Roman" w:cs="Times New Roman"/>
          <w:color w:val="000000"/>
          <w:kern w:val="24"/>
          <w:sz w:val="24"/>
          <w:szCs w:val="24"/>
        </w:rPr>
      </w:pPr>
      <w:bookmarkStart w:id="20" w:name="_Hlk193263852"/>
      <w:r>
        <w:rPr>
          <w:rFonts w:ascii="Times New Roman" w:eastAsia="+mn-ea" w:hAnsi="Times New Roman" w:cs="Times New Roman"/>
          <w:color w:val="000000"/>
          <w:kern w:val="24"/>
          <w:sz w:val="24"/>
          <w:szCs w:val="24"/>
        </w:rPr>
        <w:t xml:space="preserve">The protective effects of aqueous </w:t>
      </w:r>
      <w:r>
        <w:rPr>
          <w:rFonts w:ascii="Times New Roman" w:eastAsia="+mn-ea" w:hAnsi="Times New Roman" w:cs="Times New Roman"/>
          <w:i/>
          <w:iCs/>
          <w:color w:val="000000"/>
          <w:kern w:val="24"/>
          <w:sz w:val="24"/>
          <w:szCs w:val="24"/>
        </w:rPr>
        <w:t>Allium sativum</w:t>
      </w:r>
      <w:r>
        <w:rPr>
          <w:rFonts w:ascii="Times New Roman" w:eastAsia="+mn-ea" w:hAnsi="Times New Roman" w:cs="Times New Roman"/>
          <w:color w:val="000000"/>
          <w:kern w:val="24"/>
          <w:sz w:val="24"/>
          <w:szCs w:val="24"/>
        </w:rPr>
        <w:t xml:space="preserve"> bulb extract on testicular function may be attributed to its antioxidant and anti-inflammatory properties, which help restore homeostasis and promote overall health testicular health. Therefore, aqueous </w:t>
      </w:r>
      <w:r>
        <w:rPr>
          <w:rFonts w:ascii="Times New Roman" w:eastAsia="+mn-ea" w:hAnsi="Times New Roman" w:cs="Times New Roman"/>
          <w:i/>
          <w:iCs/>
          <w:color w:val="000000"/>
          <w:kern w:val="24"/>
          <w:sz w:val="24"/>
          <w:szCs w:val="24"/>
        </w:rPr>
        <w:t xml:space="preserve">Allium sativum </w:t>
      </w:r>
      <w:r>
        <w:rPr>
          <w:rFonts w:ascii="Times New Roman" w:eastAsia="+mn-ea" w:hAnsi="Times New Roman" w:cs="Times New Roman"/>
          <w:color w:val="000000"/>
          <w:kern w:val="24"/>
          <w:sz w:val="24"/>
          <w:szCs w:val="24"/>
        </w:rPr>
        <w:t xml:space="preserve">extract bulb represents a potential therapeutic strategy for mitigating lead-induced testicular toxicity and preserving testicular function in exposed subject.   </w:t>
      </w:r>
    </w:p>
    <w:p w:rsidR="00B827E6" w:rsidRDefault="00B827E6">
      <w:pPr>
        <w:spacing w:line="480" w:lineRule="auto"/>
        <w:jc w:val="both"/>
        <w:rPr>
          <w:rFonts w:ascii="Times New Roman" w:eastAsia="+mn-ea" w:hAnsi="Times New Roman" w:cs="Times New Roman"/>
          <w:color w:val="000000"/>
          <w:kern w:val="24"/>
          <w:sz w:val="24"/>
          <w:szCs w:val="24"/>
        </w:rPr>
      </w:pPr>
    </w:p>
    <w:bookmarkEnd w:id="20"/>
    <w:p w:rsidR="00B827E6" w:rsidRDefault="00EB2CCA">
      <w:pPr>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DISCLAIMER (ARTIFICIAL INTELLIGENCE)</w:t>
      </w:r>
    </w:p>
    <w:p w:rsidR="00B827E6" w:rsidRDefault="00EB2CCA">
      <w:pPr>
        <w:spacing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Author(s) hereby declare that NO generative AI technologies such as Large Language Models (ChatGPT, COPILOT, etc) and text-to-image generators have been used during writing or editing of manuscripts.</w:t>
      </w:r>
    </w:p>
    <w:p w:rsidR="00B827E6" w:rsidRDefault="00B827E6">
      <w:pPr>
        <w:spacing w:line="480" w:lineRule="auto"/>
        <w:jc w:val="both"/>
        <w:rPr>
          <w:rFonts w:ascii="Times New Roman" w:hAnsi="Times New Roman" w:cs="Times New Roman"/>
          <w:color w:val="000000"/>
          <w:sz w:val="24"/>
          <w:szCs w:val="24"/>
        </w:rPr>
      </w:pPr>
    </w:p>
    <w:p w:rsidR="00B827E6" w:rsidRDefault="00EB2CCA">
      <w:pPr>
        <w:rPr>
          <w:rFonts w:ascii="Times New Roman" w:hAnsi="Times New Roman" w:cs="Times New Roman"/>
          <w:b/>
          <w:bCs/>
          <w:sz w:val="24"/>
          <w:szCs w:val="24"/>
        </w:rPr>
      </w:pPr>
      <w:r>
        <w:rPr>
          <w:rFonts w:ascii="Times New Roman" w:hAnsi="Times New Roman" w:cs="Times New Roman"/>
          <w:b/>
          <w:bCs/>
          <w:sz w:val="24"/>
          <w:szCs w:val="24"/>
        </w:rPr>
        <w:t>REFERENCES</w:t>
      </w:r>
    </w:p>
    <w:p w:rsidR="00B827E6" w:rsidRDefault="00B827E6">
      <w:pPr>
        <w:pStyle w:val="ListParagraph"/>
        <w:numPr>
          <w:ilvl w:val="0"/>
          <w:numId w:val="1"/>
        </w:numPr>
        <w:jc w:val="both"/>
        <w:rPr>
          <w:rFonts w:ascii="Times New Roman" w:hAnsi="Times New Roman" w:cs="Times New Roman"/>
          <w:color w:val="000000"/>
          <w:sz w:val="24"/>
          <w:szCs w:val="24"/>
        </w:rPr>
      </w:pPr>
    </w:p>
    <w:p w:rsidR="00B827E6" w:rsidRDefault="00EB2CCA">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 xml:space="preserve">Acharya, S., Mehta, K., Chaudhary, A. &amp; Ralpuria, A. (2018). Toxic effects of lead on male reproductive system. </w:t>
      </w:r>
      <w:r>
        <w:rPr>
          <w:rFonts w:ascii="Times New Roman" w:hAnsi="Times New Roman" w:cs="Times New Roman"/>
          <w:i/>
          <w:iCs/>
          <w:color w:val="000000"/>
          <w:sz w:val="24"/>
          <w:szCs w:val="24"/>
        </w:rPr>
        <w:t>Andrology</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63(3)</w:t>
      </w:r>
      <w:r>
        <w:rPr>
          <w:rFonts w:ascii="Times New Roman" w:hAnsi="Times New Roman" w:cs="Times New Roman"/>
          <w:color w:val="000000"/>
          <w:sz w:val="24"/>
          <w:szCs w:val="24"/>
        </w:rPr>
        <w:t xml:space="preserve">,439-446.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Alexander, B. H., Checkoway, H., Van Netten, C., Muller, C. H. &amp; Kaufman, J. D. (1996). Semen quality of men employed at a lead smelter.</w:t>
      </w:r>
      <w:r>
        <w:rPr>
          <w:rFonts w:ascii="Times New Roman" w:hAnsi="Times New Roman" w:cs="Times New Roman"/>
          <w:i/>
          <w:iCs/>
          <w:color w:val="000000"/>
          <w:sz w:val="24"/>
          <w:szCs w:val="24"/>
        </w:rPr>
        <w:t xml:space="preserve"> Annual of Occupational Environmental Medicine,</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53(6):</w:t>
      </w:r>
      <w:r>
        <w:rPr>
          <w:rFonts w:ascii="Times New Roman" w:hAnsi="Times New Roman" w:cs="Times New Roman"/>
          <w:color w:val="000000"/>
          <w:sz w:val="24"/>
          <w:szCs w:val="24"/>
        </w:rPr>
        <w:t xml:space="preserve"> 411 – 416.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Amadi, C. N., Offor, S. J., Frazzoli, C. &amp; Orisakwe, O. E. (2019). Natural antidotes and management of metal toxicity. </w:t>
      </w:r>
      <w:r>
        <w:rPr>
          <w:rFonts w:ascii="Times New Roman" w:hAnsi="Times New Roman" w:cs="Times New Roman"/>
          <w:i/>
          <w:color w:val="000000"/>
          <w:sz w:val="24"/>
          <w:szCs w:val="24"/>
        </w:rPr>
        <w:t>Environmental Science and Pollution</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Research</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 </w:t>
      </w:r>
      <w:r>
        <w:rPr>
          <w:rFonts w:ascii="Times New Roman" w:hAnsi="Times New Roman" w:cs="Times New Roman"/>
          <w:color w:val="000000"/>
          <w:sz w:val="24"/>
          <w:szCs w:val="24"/>
        </w:rPr>
        <w:t>1–21.</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Ashfaq, F., Ali, Q., Haider, M. A., Hafeez, M. M. &amp; Malik, A. (2021). ‘Therapeutic activities of garlic constituent phytochemicals’, </w:t>
      </w:r>
      <w:r>
        <w:rPr>
          <w:rFonts w:ascii="Times New Roman" w:hAnsi="Times New Roman" w:cs="Times New Roman"/>
          <w:i/>
          <w:iCs/>
          <w:color w:val="000000"/>
          <w:sz w:val="24"/>
          <w:szCs w:val="24"/>
        </w:rPr>
        <w:t>Journal of Biological and Clinical Science Research,</w:t>
      </w:r>
      <w:r>
        <w:rPr>
          <w:rFonts w:ascii="Times New Roman" w:hAnsi="Times New Roman" w:cs="Times New Roman"/>
          <w:color w:val="000000"/>
          <w:sz w:val="24"/>
          <w:szCs w:val="24"/>
        </w:rPr>
        <w:t xml:space="preserve"> 12-345.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Ayoka, A.O., Ademoye, A.K., Imafidon, E.C., Ojo, O. E. &amp; Oladele, A.A. (2016). ‘Aqueous extract of </w:t>
      </w:r>
      <w:r>
        <w:rPr>
          <w:rFonts w:ascii="Times New Roman" w:hAnsi="Times New Roman" w:cs="Times New Roman"/>
          <w:i/>
          <w:color w:val="000000"/>
          <w:sz w:val="24"/>
          <w:szCs w:val="24"/>
        </w:rPr>
        <w:t>Allium sativum</w:t>
      </w:r>
      <w:r>
        <w:rPr>
          <w:rFonts w:ascii="Times New Roman" w:hAnsi="Times New Roman" w:cs="Times New Roman"/>
          <w:color w:val="000000"/>
          <w:sz w:val="24"/>
          <w:szCs w:val="24"/>
        </w:rPr>
        <w:t xml:space="preserve"> (Linn.) bulbs ameliorated pituitary-testicular injury and dysfunction in wistar rats with Pb-induced reproductive disturbances’, </w:t>
      </w:r>
      <w:r>
        <w:rPr>
          <w:rFonts w:ascii="Times New Roman" w:hAnsi="Times New Roman" w:cs="Times New Roman"/>
          <w:i/>
          <w:iCs/>
          <w:color w:val="000000"/>
          <w:sz w:val="24"/>
          <w:szCs w:val="24"/>
        </w:rPr>
        <w:t>Journal of Medical Sciences,</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4</w:t>
      </w:r>
      <w:r>
        <w:rPr>
          <w:rFonts w:ascii="Times New Roman" w:hAnsi="Times New Roman" w:cs="Times New Roman"/>
          <w:color w:val="000000"/>
          <w:sz w:val="24"/>
          <w:szCs w:val="24"/>
        </w:rPr>
        <w:t>(</w:t>
      </w:r>
      <w:r>
        <w:rPr>
          <w:rFonts w:ascii="Times New Roman" w:hAnsi="Times New Roman" w:cs="Times New Roman"/>
          <w:b/>
          <w:color w:val="000000"/>
          <w:sz w:val="24"/>
          <w:szCs w:val="24"/>
        </w:rPr>
        <w:t>2</w:t>
      </w:r>
      <w:r>
        <w:rPr>
          <w:rFonts w:ascii="Times New Roman" w:hAnsi="Times New Roman" w:cs="Times New Roman"/>
          <w:color w:val="000000"/>
          <w:sz w:val="24"/>
          <w:szCs w:val="24"/>
        </w:rPr>
        <w:t>): 200-212.</w:t>
      </w:r>
    </w:p>
    <w:p w:rsidR="00B827E6" w:rsidRDefault="00EB2CCA">
      <w:pPr>
        <w:pStyle w:val="ListParagraph"/>
        <w:numPr>
          <w:ilvl w:val="0"/>
          <w:numId w:val="1"/>
        </w:numPr>
        <w:jc w:val="both"/>
        <w:rPr>
          <w:rFonts w:ascii="Times New Roman" w:eastAsia="Times New Roman" w:hAnsi="Times New Roman" w:cs="Times New Roman"/>
          <w:color w:val="000000"/>
          <w:kern w:val="2"/>
          <w:sz w:val="24"/>
          <w:szCs w:val="24"/>
          <w14:ligatures w14:val="standardContextual"/>
        </w:rPr>
      </w:pPr>
      <w:r>
        <w:rPr>
          <w:rFonts w:ascii="Times New Roman" w:eastAsia="Times New Roman" w:hAnsi="Times New Roman" w:cs="Times New Roman"/>
          <w:color w:val="000000"/>
          <w:kern w:val="2"/>
          <w:sz w:val="24"/>
          <w:szCs w:val="24"/>
          <w14:ligatures w14:val="standardContextual"/>
        </w:rPr>
        <w:t xml:space="preserve">Batra, N., Nehru, B. &amp; Bansal, M. P. (2016). ‘Influence of lead exposure on testicular function in rats’, </w:t>
      </w:r>
      <w:r>
        <w:rPr>
          <w:rFonts w:ascii="Times New Roman" w:eastAsia="Times New Roman" w:hAnsi="Times New Roman" w:cs="Times New Roman"/>
          <w:i/>
          <w:iCs/>
          <w:color w:val="000000"/>
          <w:kern w:val="2"/>
          <w:sz w:val="24"/>
          <w:szCs w:val="24"/>
          <w14:ligatures w14:val="standardContextual"/>
        </w:rPr>
        <w:t>Toxicology and Industrial Health,</w:t>
      </w:r>
      <w:r>
        <w:rPr>
          <w:rFonts w:ascii="Times New Roman" w:eastAsia="Times New Roman" w:hAnsi="Times New Roman" w:cs="Times New Roman"/>
          <w:color w:val="000000"/>
          <w:kern w:val="2"/>
          <w:sz w:val="24"/>
          <w:szCs w:val="24"/>
          <w14:ligatures w14:val="standardContextual"/>
        </w:rPr>
        <w:t xml:space="preserve"> </w:t>
      </w:r>
      <w:r>
        <w:rPr>
          <w:rFonts w:ascii="Times New Roman" w:eastAsia="Times New Roman" w:hAnsi="Times New Roman" w:cs="Times New Roman"/>
          <w:b/>
          <w:bCs/>
          <w:color w:val="000000"/>
          <w:kern w:val="2"/>
          <w:sz w:val="24"/>
          <w:szCs w:val="24"/>
          <w14:ligatures w14:val="standardContextual"/>
        </w:rPr>
        <w:t>32</w:t>
      </w:r>
      <w:r>
        <w:rPr>
          <w:rFonts w:ascii="Times New Roman" w:eastAsia="Times New Roman" w:hAnsi="Times New Roman" w:cs="Times New Roman"/>
          <w:color w:val="000000"/>
          <w:kern w:val="2"/>
          <w:sz w:val="24"/>
          <w:szCs w:val="24"/>
          <w14:ligatures w14:val="standardContextual"/>
        </w:rPr>
        <w:t>(</w:t>
      </w:r>
      <w:r>
        <w:rPr>
          <w:rFonts w:ascii="Times New Roman" w:eastAsia="Times New Roman" w:hAnsi="Times New Roman" w:cs="Times New Roman"/>
          <w:b/>
          <w:bCs/>
          <w:color w:val="000000"/>
          <w:kern w:val="2"/>
          <w:sz w:val="24"/>
          <w:szCs w:val="24"/>
          <w14:ligatures w14:val="standardContextual"/>
        </w:rPr>
        <w:t>5</w:t>
      </w:r>
      <w:r>
        <w:rPr>
          <w:rFonts w:ascii="Times New Roman" w:eastAsia="Times New Roman" w:hAnsi="Times New Roman" w:cs="Times New Roman"/>
          <w:color w:val="000000"/>
          <w:kern w:val="2"/>
          <w:sz w:val="24"/>
          <w:szCs w:val="24"/>
          <w14:ligatures w14:val="standardContextual"/>
        </w:rPr>
        <w:t>): 931-938.</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Benoff, S., Centola, G. M., Millan, C., Napolitano, B., Marmar, J. L. &amp; Hurley, I. R. (2003). ‘Increased seminal plasma lead levels adversely affect the fertility potential of sperm in IVF’, </w:t>
      </w:r>
      <w:r>
        <w:rPr>
          <w:rFonts w:ascii="Times New Roman" w:hAnsi="Times New Roman" w:cs="Times New Roman"/>
          <w:i/>
          <w:color w:val="000000"/>
          <w:sz w:val="24"/>
          <w:szCs w:val="24"/>
        </w:rPr>
        <w:t>Human Reproduction,</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18: </w:t>
      </w:r>
      <w:r>
        <w:rPr>
          <w:rFonts w:ascii="Times New Roman" w:hAnsi="Times New Roman" w:cs="Times New Roman"/>
          <w:color w:val="000000"/>
          <w:sz w:val="24"/>
          <w:szCs w:val="24"/>
        </w:rPr>
        <w:t xml:space="preserve">374- 383.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Berrahal, A. A., Nehdi, A., Hajjaji, N., Gharbi, N. &amp; El-Fazâa, S. (2007). ‘Antioxidant enzymes activities and bilirubin level in adult rat treated with lead’, </w:t>
      </w:r>
      <w:r>
        <w:rPr>
          <w:rFonts w:ascii="Times New Roman" w:hAnsi="Times New Roman" w:cs="Times New Roman"/>
          <w:i/>
          <w:color w:val="000000"/>
          <w:sz w:val="24"/>
          <w:szCs w:val="24"/>
        </w:rPr>
        <w:t xml:space="preserve">Competes Rendus Biologies, </w:t>
      </w:r>
      <w:r>
        <w:rPr>
          <w:rFonts w:ascii="Times New Roman" w:hAnsi="Times New Roman" w:cs="Times New Roman"/>
          <w:b/>
          <w:color w:val="000000"/>
          <w:sz w:val="24"/>
          <w:szCs w:val="24"/>
        </w:rPr>
        <w:t xml:space="preserve">330: </w:t>
      </w:r>
      <w:r>
        <w:rPr>
          <w:rFonts w:ascii="Times New Roman" w:hAnsi="Times New Roman" w:cs="Times New Roman"/>
          <w:color w:val="000000"/>
          <w:sz w:val="24"/>
          <w:szCs w:val="24"/>
        </w:rPr>
        <w:t xml:space="preserve">581-588.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Doaa El- Nager, M. &amp; Badr, A. A. (2013). ‘Effect of corn oil, flax seed oil and black seed oil on testicular damage induced by lead acetate in Albino Mice: A histological study’, </w:t>
      </w:r>
      <w:r>
        <w:rPr>
          <w:rFonts w:ascii="Times New Roman" w:hAnsi="Times New Roman" w:cs="Times New Roman"/>
          <w:i/>
          <w:color w:val="000000"/>
          <w:sz w:val="24"/>
          <w:szCs w:val="24"/>
        </w:rPr>
        <w:t>Pakistan Journal of Zoology,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45: </w:t>
      </w:r>
      <w:r>
        <w:rPr>
          <w:rFonts w:ascii="Times New Roman" w:hAnsi="Times New Roman" w:cs="Times New Roman"/>
          <w:color w:val="000000"/>
          <w:sz w:val="24"/>
          <w:szCs w:val="24"/>
        </w:rPr>
        <w:t>1083– 1089.</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El-Nekeety, A. A., El-Kady, A. A., Soliman, M. S., Hassan, N. S. &amp; Abdel-Wahhab, M. A. (2015). ‘Protective effect of garlic oil against lead-induced hepatic and renal toxicity in rats’, </w:t>
      </w:r>
      <w:r>
        <w:rPr>
          <w:rFonts w:ascii="Times New Roman" w:hAnsi="Times New Roman" w:cs="Times New Roman"/>
          <w:i/>
          <w:iCs/>
          <w:color w:val="000000"/>
          <w:sz w:val="24"/>
          <w:szCs w:val="24"/>
        </w:rPr>
        <w:t>Environmental Science and Pollution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22</w:t>
      </w:r>
      <w:r>
        <w:rPr>
          <w:rFonts w:ascii="Times New Roman" w:hAnsi="Times New Roman" w:cs="Times New Roman"/>
          <w:color w:val="000000"/>
          <w:sz w:val="24"/>
          <w:szCs w:val="24"/>
        </w:rPr>
        <w:t>(</w:t>
      </w:r>
      <w:r>
        <w:rPr>
          <w:rFonts w:ascii="Times New Roman" w:hAnsi="Times New Roman" w:cs="Times New Roman"/>
          <w:b/>
          <w:bCs/>
          <w:color w:val="000000"/>
          <w:sz w:val="24"/>
          <w:szCs w:val="24"/>
        </w:rPr>
        <w:t>10</w:t>
      </w:r>
      <w:r>
        <w:rPr>
          <w:rFonts w:ascii="Times New Roman" w:hAnsi="Times New Roman" w:cs="Times New Roman"/>
          <w:color w:val="000000"/>
          <w:sz w:val="24"/>
          <w:szCs w:val="24"/>
        </w:rPr>
        <w:t>):7611-7621.</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Elsheik, N. A. H., Omer, N. A., Li-lian, G. &amp; Wang, G. L. (2022). ‘Lead induced oxidative stress and affected the expression of steroidgenesis-related genes in testis of male mice, Indian,’ </w:t>
      </w:r>
      <w:r>
        <w:rPr>
          <w:rFonts w:ascii="Times New Roman" w:hAnsi="Times New Roman" w:cs="Times New Roman"/>
          <w:i/>
          <w:color w:val="000000"/>
          <w:sz w:val="24"/>
          <w:szCs w:val="24"/>
        </w:rPr>
        <w:t>Journal of Forensic Medicine and 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16(3):</w:t>
      </w:r>
      <w:r>
        <w:rPr>
          <w:rFonts w:ascii="Times New Roman" w:hAnsi="Times New Roman" w:cs="Times New Roman"/>
          <w:color w:val="000000"/>
          <w:sz w:val="24"/>
          <w:szCs w:val="24"/>
        </w:rPr>
        <w:t xml:space="preserve"> 248-254.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Galleano, M. &amp; Puntarulo, S. (1997). ‘Dietary alpha-tocopherol supplementation on antioxidant defenses after in vivo iron overload in rats’, </w:t>
      </w:r>
      <w:r>
        <w:rPr>
          <w:rFonts w:ascii="Times New Roman" w:hAnsi="Times New Roman" w:cs="Times New Roman"/>
          <w:i/>
          <w:color w:val="000000"/>
          <w:sz w:val="24"/>
          <w:szCs w:val="24"/>
        </w:rPr>
        <w:t xml:space="preserve">Toxicology, </w:t>
      </w:r>
      <w:r>
        <w:rPr>
          <w:rFonts w:ascii="Times New Roman" w:hAnsi="Times New Roman" w:cs="Times New Roman"/>
          <w:b/>
          <w:color w:val="000000"/>
          <w:sz w:val="24"/>
          <w:szCs w:val="24"/>
        </w:rPr>
        <w:t>124</w:t>
      </w:r>
      <w:r>
        <w:rPr>
          <w:rFonts w:ascii="Times New Roman" w:hAnsi="Times New Roman" w:cs="Times New Roman"/>
          <w:color w:val="000000"/>
          <w:sz w:val="24"/>
          <w:szCs w:val="24"/>
        </w:rPr>
        <w:t xml:space="preserve">:73-81.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Gorbel, F., Boujelbene, M., Makni, A. F., Guermazi, F., Croute, F., Soleilhavoup, J. P. &amp; El-Feki, A. (2002). ‘Exploration des effets cytotoxiques du plomb sur la fonction sexuelle endocrine et exocrine chez le rat pubere male et femelle. Mise en evidence d'une action apoptotique. [Cytotoxic effects of lead on the endocrine and exocrine sexual function of pubescent male and female rats. Demonstration of apoptotic activity],’ </w:t>
      </w:r>
      <w:r>
        <w:rPr>
          <w:rFonts w:ascii="Times New Roman" w:hAnsi="Times New Roman" w:cs="Times New Roman"/>
          <w:i/>
          <w:color w:val="000000"/>
          <w:sz w:val="24"/>
          <w:szCs w:val="24"/>
        </w:rPr>
        <w:t>Comptes Rendus Biology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325: </w:t>
      </w:r>
      <w:r>
        <w:rPr>
          <w:rFonts w:ascii="Times New Roman" w:hAnsi="Times New Roman" w:cs="Times New Roman"/>
          <w:color w:val="000000"/>
          <w:sz w:val="24"/>
          <w:szCs w:val="24"/>
        </w:rPr>
        <w:t xml:space="preserve">927-940.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Gupta, R. S., Yadav, R. S. &amp; Singh, A. K. (2017). ‘Garlic protects against testicular damage in rats’, </w:t>
      </w:r>
      <w:r>
        <w:rPr>
          <w:rFonts w:ascii="Times New Roman" w:hAnsi="Times New Roman" w:cs="Times New Roman"/>
          <w:i/>
          <w:iCs/>
          <w:color w:val="000000"/>
          <w:sz w:val="24"/>
          <w:szCs w:val="24"/>
        </w:rPr>
        <w:t>Journal of Environmental Science and Health</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35: </w:t>
      </w:r>
      <w:r>
        <w:rPr>
          <w:rFonts w:ascii="Times New Roman" w:hAnsi="Times New Roman" w:cs="Times New Roman"/>
          <w:color w:val="000000"/>
          <w:sz w:val="24"/>
          <w:szCs w:val="24"/>
        </w:rPr>
        <w:t>137-144.</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Harborne, J. B. (1980) </w:t>
      </w:r>
      <w:r>
        <w:rPr>
          <w:rFonts w:ascii="Times New Roman" w:hAnsi="Times New Roman" w:cs="Times New Roman"/>
          <w:i/>
          <w:color w:val="000000"/>
          <w:sz w:val="24"/>
          <w:szCs w:val="24"/>
        </w:rPr>
        <w:t>Phytochemical Methods</w:t>
      </w:r>
      <w:r>
        <w:rPr>
          <w:rFonts w:ascii="Times New Roman" w:hAnsi="Times New Roman" w:cs="Times New Roman"/>
          <w:color w:val="000000"/>
          <w:sz w:val="24"/>
          <w:szCs w:val="24"/>
        </w:rPr>
        <w:t xml:space="preserve">, Chapman and Hall, London.  2nd edition: 288-293.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Hayat, S. U., Ali, R., Khan, A. H., Din, I., Khan, S., Ullah, F., Hussain, W., Shahzadi, F. &amp; Khan, R. A. (2022). ‘Effect of garlic (Allium Sativum) supplementation on growth performance and serum biochemistry of broiler chicks’, </w:t>
      </w:r>
      <w:r>
        <w:rPr>
          <w:rFonts w:ascii="Times New Roman" w:hAnsi="Times New Roman" w:cs="Times New Roman"/>
          <w:i/>
          <w:iCs/>
          <w:color w:val="000000"/>
          <w:sz w:val="24"/>
          <w:szCs w:val="24"/>
        </w:rPr>
        <w:t>American Academy of Science Research Journal of Engineering and Technology Science,</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85</w:t>
      </w:r>
      <w:r>
        <w:rPr>
          <w:rFonts w:ascii="Times New Roman" w:hAnsi="Times New Roman" w:cs="Times New Roman"/>
          <w:color w:val="000000"/>
          <w:sz w:val="24"/>
          <w:szCs w:val="24"/>
        </w:rPr>
        <w:t>(</w:t>
      </w:r>
      <w:r>
        <w:rPr>
          <w:rFonts w:ascii="Times New Roman" w:hAnsi="Times New Roman" w:cs="Times New Roman"/>
          <w:b/>
          <w:bCs/>
          <w:color w:val="000000"/>
          <w:sz w:val="24"/>
          <w:szCs w:val="24"/>
        </w:rPr>
        <w:t>1</w:t>
      </w:r>
      <w:r>
        <w:rPr>
          <w:rFonts w:ascii="Times New Roman" w:hAnsi="Times New Roman" w:cs="Times New Roman"/>
          <w:color w:val="000000"/>
          <w:sz w:val="24"/>
          <w:szCs w:val="24"/>
        </w:rPr>
        <w:t>): 287–300.</w:t>
      </w:r>
    </w:p>
    <w:p w:rsidR="00B827E6" w:rsidRDefault="00EB2CCA">
      <w:pPr>
        <w:pStyle w:val="ListParagraph"/>
        <w:numPr>
          <w:ilvl w:val="0"/>
          <w:numId w:val="1"/>
        </w:numPr>
        <w:jc w:val="both"/>
        <w:rPr>
          <w:rFonts w:ascii="Times New Roman" w:hAnsi="Times New Roman" w:cs="Times New Roman"/>
          <w:color w:val="000000"/>
          <w:sz w:val="24"/>
          <w:szCs w:val="24"/>
        </w:rPr>
      </w:pPr>
      <w:bookmarkStart w:id="21" w:name="_Hlk176180076"/>
      <w:r>
        <w:rPr>
          <w:rFonts w:ascii="Times New Roman" w:hAnsi="Times New Roman" w:cs="Times New Roman"/>
          <w:color w:val="000000"/>
          <w:sz w:val="24"/>
          <w:szCs w:val="24"/>
        </w:rPr>
        <w:t xml:space="preserve">Hilderbrand, D. C., Der, R., Griffin, W. T. &amp; Fahim, M. S. (1973). ‘Effect of lead acetate on reproduction’, </w:t>
      </w:r>
      <w:r>
        <w:rPr>
          <w:rFonts w:ascii="Times New Roman" w:hAnsi="Times New Roman" w:cs="Times New Roman"/>
          <w:i/>
          <w:color w:val="000000"/>
          <w:sz w:val="24"/>
          <w:szCs w:val="24"/>
        </w:rPr>
        <w:t>American Journal of Obstetrics Gynecology,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115: </w:t>
      </w:r>
      <w:r>
        <w:rPr>
          <w:rFonts w:ascii="Times New Roman" w:hAnsi="Times New Roman" w:cs="Times New Roman"/>
          <w:color w:val="000000"/>
          <w:sz w:val="24"/>
          <w:szCs w:val="24"/>
        </w:rPr>
        <w:t xml:space="preserve">1058- 1065. </w:t>
      </w:r>
    </w:p>
    <w:bookmarkEnd w:id="21"/>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Hsu, P. C., Liu, M. Y., Hsu, C. C., Chen, L. Y. &amp; Leon, G. Y. (1997). Lead exposure causes generation of reactive oxygen species and functional impairment in rat sperm. </w:t>
      </w:r>
      <w:r>
        <w:rPr>
          <w:rFonts w:ascii="Times New Roman" w:hAnsi="Times New Roman" w:cs="Times New Roman"/>
          <w:i/>
          <w:iCs/>
          <w:color w:val="000000"/>
          <w:sz w:val="24"/>
          <w:szCs w:val="24"/>
        </w:rPr>
        <w:t>Journal of 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122(2):</w:t>
      </w:r>
      <w:r>
        <w:rPr>
          <w:rFonts w:ascii="Times New Roman" w:hAnsi="Times New Roman" w:cs="Times New Roman"/>
          <w:color w:val="000000"/>
          <w:sz w:val="24"/>
          <w:szCs w:val="24"/>
        </w:rPr>
        <w:t xml:space="preserve"> 133 – 143.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Ige, O. F., Oyediran, O. O., Bakare, A. A. &amp; Oyewole, O. E. (2017). ‘Protective effect of garlic extract on testicular damage in rats’, </w:t>
      </w:r>
      <w:r>
        <w:rPr>
          <w:rFonts w:ascii="Times New Roman" w:hAnsi="Times New Roman" w:cs="Times New Roman"/>
          <w:i/>
          <w:iCs/>
          <w:color w:val="000000"/>
          <w:sz w:val="24"/>
          <w:szCs w:val="24"/>
        </w:rPr>
        <w:t xml:space="preserve">Journal of Basic and Clinical Physiology and Pharmacology, </w:t>
      </w:r>
      <w:r>
        <w:rPr>
          <w:rFonts w:ascii="Times New Roman" w:hAnsi="Times New Roman" w:cs="Times New Roman"/>
          <w:b/>
          <w:bCs/>
          <w:color w:val="000000"/>
          <w:sz w:val="24"/>
          <w:szCs w:val="24"/>
        </w:rPr>
        <w:t>28</w:t>
      </w:r>
      <w:r>
        <w:rPr>
          <w:rFonts w:ascii="Times New Roman" w:hAnsi="Times New Roman" w:cs="Times New Roman"/>
          <w:color w:val="000000"/>
          <w:sz w:val="24"/>
          <w:szCs w:val="24"/>
        </w:rPr>
        <w:t>(</w:t>
      </w:r>
      <w:r>
        <w:rPr>
          <w:rFonts w:ascii="Times New Roman" w:hAnsi="Times New Roman" w:cs="Times New Roman"/>
          <w:b/>
          <w:bCs/>
          <w:color w:val="000000"/>
          <w:sz w:val="24"/>
          <w:szCs w:val="24"/>
        </w:rPr>
        <w:t>3</w:t>
      </w:r>
      <w:r>
        <w:rPr>
          <w:rFonts w:ascii="Times New Roman" w:hAnsi="Times New Roman" w:cs="Times New Roman"/>
          <w:color w:val="000000"/>
          <w:sz w:val="24"/>
          <w:szCs w:val="24"/>
        </w:rPr>
        <w:t xml:space="preserve">): 257-264.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Kahalerras, L., Otmani, I. &amp; Abdennour, C. (2021). ‘Wild garlic Allium triquetrum L. alleviates lead acetate-induced testicular injuries in rats,’ </w:t>
      </w:r>
      <w:r>
        <w:rPr>
          <w:rFonts w:ascii="Times New Roman" w:hAnsi="Times New Roman" w:cs="Times New Roman"/>
          <w:i/>
          <w:iCs/>
          <w:color w:val="000000"/>
          <w:sz w:val="24"/>
          <w:szCs w:val="24"/>
        </w:rPr>
        <w:t>Biological Trace Element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200</w:t>
      </w:r>
      <w:r>
        <w:rPr>
          <w:rFonts w:ascii="Times New Roman" w:hAnsi="Times New Roman" w:cs="Times New Roman"/>
          <w:color w:val="000000"/>
          <w:sz w:val="24"/>
          <w:szCs w:val="24"/>
        </w:rPr>
        <w:t>(</w:t>
      </w:r>
      <w:r>
        <w:rPr>
          <w:rFonts w:ascii="Times New Roman" w:hAnsi="Times New Roman" w:cs="Times New Roman"/>
          <w:b/>
          <w:bCs/>
          <w:color w:val="000000"/>
          <w:sz w:val="24"/>
          <w:szCs w:val="24"/>
        </w:rPr>
        <w:t>5</w:t>
      </w:r>
      <w:r>
        <w:rPr>
          <w:rFonts w:ascii="Times New Roman" w:hAnsi="Times New Roman" w:cs="Times New Roman"/>
          <w:color w:val="000000"/>
          <w:sz w:val="24"/>
          <w:szCs w:val="24"/>
        </w:rPr>
        <w:t xml:space="preserve">): 2205-2222.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Kim, H. C., Jang, T. W., Chae, H. J., Choi, W. J., Ha, M. N., Ye, B. J., Kim, B. G., Jeon, M. J., Kim, S. Y. &amp; Hong, Y. S. (2015). ‘Evaluation and management of lead exposure’, </w:t>
      </w:r>
      <w:bookmarkStart w:id="22" w:name="_Hlk185495001"/>
      <w:r>
        <w:rPr>
          <w:rFonts w:ascii="Times New Roman" w:hAnsi="Times New Roman" w:cs="Times New Roman"/>
          <w:i/>
          <w:iCs/>
          <w:color w:val="000000"/>
          <w:sz w:val="24"/>
          <w:szCs w:val="24"/>
        </w:rPr>
        <w:t>Annals of Occupational Environmental Medicine,</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27</w:t>
      </w:r>
      <w:r>
        <w:rPr>
          <w:rFonts w:ascii="Times New Roman" w:hAnsi="Times New Roman" w:cs="Times New Roman"/>
          <w:color w:val="000000"/>
          <w:sz w:val="24"/>
          <w:szCs w:val="24"/>
        </w:rPr>
        <w:t>(</w:t>
      </w:r>
      <w:r>
        <w:rPr>
          <w:rFonts w:ascii="Times New Roman" w:hAnsi="Times New Roman" w:cs="Times New Roman"/>
          <w:b/>
          <w:color w:val="000000"/>
          <w:sz w:val="24"/>
          <w:szCs w:val="24"/>
        </w:rPr>
        <w:t>1</w:t>
      </w:r>
      <w:r>
        <w:rPr>
          <w:rFonts w:ascii="Times New Roman" w:hAnsi="Times New Roman" w:cs="Times New Roman"/>
          <w:color w:val="000000"/>
          <w:sz w:val="24"/>
          <w:szCs w:val="24"/>
        </w:rPr>
        <w:t>)</w:t>
      </w:r>
      <w:r>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30.</w:t>
      </w:r>
      <w:bookmarkEnd w:id="22"/>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Kim, J.H. &amp; Kang, J.C. (2015). ‘The lead accumulation and haematological findings in juvenile rockfish Sebastes schlegelii exposed to the dietary lead (II) concentrations’, </w:t>
      </w:r>
      <w:r>
        <w:rPr>
          <w:rFonts w:ascii="Times New Roman" w:hAnsi="Times New Roman" w:cs="Times New Roman"/>
          <w:i/>
          <w:iCs/>
          <w:color w:val="000000"/>
          <w:sz w:val="24"/>
          <w:szCs w:val="24"/>
        </w:rPr>
        <w:t>Ecotoxicology and Environmental Safety,</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115</w:t>
      </w:r>
      <w:r>
        <w:rPr>
          <w:rFonts w:ascii="Times New Roman" w:hAnsi="Times New Roman" w:cs="Times New Roman"/>
          <w:color w:val="000000"/>
          <w:sz w:val="24"/>
          <w:szCs w:val="24"/>
        </w:rPr>
        <w:t xml:space="preserve">: 33-39.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Kumar, P., Kumar, N. &amp; Thakur, S. (2011). ‘Protective effect of garlic extract against lead-induced testicular damage in rats’, </w:t>
      </w:r>
      <w:r>
        <w:rPr>
          <w:rFonts w:ascii="Times New Roman" w:hAnsi="Times New Roman" w:cs="Times New Roman"/>
          <w:i/>
          <w:iCs/>
          <w:color w:val="000000"/>
          <w:sz w:val="24"/>
          <w:szCs w:val="24"/>
        </w:rPr>
        <w:t>Journal Reproductive Toxicology,</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31(3):</w:t>
      </w:r>
      <w:r>
        <w:rPr>
          <w:rFonts w:ascii="Times New Roman" w:hAnsi="Times New Roman" w:cs="Times New Roman"/>
          <w:color w:val="000000"/>
          <w:sz w:val="24"/>
          <w:szCs w:val="24"/>
        </w:rPr>
        <w:t xml:space="preserve"> 255-261.</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Kumar, S., Kumar, V., Mahapatra, S. K. &amp; Varalakshmi, C. (2014). ‘Lead-induced oxidative stress and apoptosis in testicular tissue of rats’, </w:t>
      </w:r>
      <w:r>
        <w:rPr>
          <w:rFonts w:ascii="Times New Roman" w:hAnsi="Times New Roman" w:cs="Times New Roman"/>
          <w:i/>
          <w:iCs/>
          <w:color w:val="000000"/>
          <w:sz w:val="24"/>
          <w:szCs w:val="24"/>
        </w:rPr>
        <w:t xml:space="preserve">Journal of Environmental Biology, </w:t>
      </w:r>
      <w:r>
        <w:rPr>
          <w:rFonts w:ascii="Times New Roman" w:hAnsi="Times New Roman" w:cs="Times New Roman"/>
          <w:b/>
          <w:bCs/>
          <w:color w:val="000000"/>
          <w:sz w:val="24"/>
          <w:szCs w:val="24"/>
        </w:rPr>
        <w:t>35</w:t>
      </w:r>
      <w:r>
        <w:rPr>
          <w:rFonts w:ascii="Times New Roman" w:hAnsi="Times New Roman" w:cs="Times New Roman"/>
          <w:color w:val="000000"/>
          <w:sz w:val="24"/>
          <w:szCs w:val="24"/>
        </w:rPr>
        <w:t>(</w:t>
      </w:r>
      <w:r>
        <w:rPr>
          <w:rFonts w:ascii="Times New Roman" w:hAnsi="Times New Roman" w:cs="Times New Roman"/>
          <w:b/>
          <w:bCs/>
          <w:color w:val="000000"/>
          <w:sz w:val="24"/>
          <w:szCs w:val="24"/>
        </w:rPr>
        <w:t>3</w:t>
      </w:r>
      <w:r>
        <w:rPr>
          <w:rFonts w:ascii="Times New Roman" w:hAnsi="Times New Roman" w:cs="Times New Roman"/>
          <w:color w:val="000000"/>
          <w:sz w:val="24"/>
          <w:szCs w:val="24"/>
        </w:rPr>
        <w:t>): 537-544.</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Kumar, V.M., Henley, A.K., Nelson, C.J., Indumati, O., Rao, Y.P., Rajanna, S. &amp; Rajanna, B. (2016). ‘Protective effect of Allium sativum (garlic) aqueous extract against lead-induced oxidative stress in the rat brain, liver, and kidney. </w:t>
      </w:r>
      <w:r>
        <w:rPr>
          <w:rFonts w:ascii="Times New Roman" w:hAnsi="Times New Roman" w:cs="Times New Roman"/>
          <w:i/>
          <w:iCs/>
          <w:color w:val="000000"/>
          <w:sz w:val="24"/>
          <w:szCs w:val="24"/>
        </w:rPr>
        <w:t>Environmental Science and Pollution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24</w:t>
      </w:r>
      <w:r>
        <w:rPr>
          <w:rFonts w:ascii="Times New Roman" w:hAnsi="Times New Roman" w:cs="Times New Roman"/>
          <w:color w:val="000000"/>
          <w:sz w:val="24"/>
          <w:szCs w:val="24"/>
        </w:rPr>
        <w:t>(</w:t>
      </w:r>
      <w:r>
        <w:rPr>
          <w:rFonts w:ascii="Times New Roman" w:hAnsi="Times New Roman" w:cs="Times New Roman"/>
          <w:b/>
          <w:bCs/>
          <w:color w:val="000000"/>
          <w:sz w:val="24"/>
          <w:szCs w:val="24"/>
        </w:rPr>
        <w:t>2</w:t>
      </w:r>
      <w:r>
        <w:rPr>
          <w:rFonts w:ascii="Times New Roman" w:hAnsi="Times New Roman" w:cs="Times New Roman"/>
          <w:color w:val="000000"/>
          <w:sz w:val="24"/>
          <w:szCs w:val="24"/>
        </w:rPr>
        <w:t xml:space="preserve">): 1544-1552.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Lee, J., Lee, Y., Kim, J., Park, J. &amp; Lee, S. (2018). ‘Allicin, a garlic compound, stimulates testosterone production in vitro’, </w:t>
      </w:r>
      <w:r>
        <w:rPr>
          <w:rFonts w:ascii="Times New Roman" w:hAnsi="Times New Roman" w:cs="Times New Roman"/>
          <w:i/>
          <w:iCs/>
          <w:color w:val="000000"/>
          <w:sz w:val="24"/>
          <w:szCs w:val="24"/>
        </w:rPr>
        <w:t xml:space="preserve">European Journal of Pharmacology, </w:t>
      </w:r>
      <w:r>
        <w:rPr>
          <w:rFonts w:ascii="Times New Roman" w:hAnsi="Times New Roman" w:cs="Times New Roman"/>
          <w:b/>
          <w:color w:val="000000"/>
          <w:sz w:val="24"/>
          <w:szCs w:val="24"/>
        </w:rPr>
        <w:t>833:</w:t>
      </w:r>
      <w:r>
        <w:rPr>
          <w:rFonts w:ascii="Times New Roman" w:hAnsi="Times New Roman" w:cs="Times New Roman"/>
          <w:color w:val="000000"/>
          <w:sz w:val="24"/>
          <w:szCs w:val="24"/>
        </w:rPr>
        <w:t xml:space="preserve"> 158-165.</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Lorke, D. A. (1983). ‘New approach to practical Acute Toxicity testing’, </w:t>
      </w:r>
      <w:r>
        <w:rPr>
          <w:rFonts w:ascii="Times New Roman" w:hAnsi="Times New Roman" w:cs="Times New Roman"/>
          <w:i/>
          <w:color w:val="000000"/>
          <w:sz w:val="24"/>
          <w:szCs w:val="24"/>
        </w:rPr>
        <w:t>Archives of 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54: </w:t>
      </w:r>
      <w:r>
        <w:rPr>
          <w:rFonts w:ascii="Times New Roman" w:hAnsi="Times New Roman" w:cs="Times New Roman"/>
          <w:color w:val="000000"/>
          <w:sz w:val="24"/>
          <w:szCs w:val="24"/>
        </w:rPr>
        <w:t xml:space="preserve">275-285.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Loumbourdis, N. S. (2003). ‘Nephrotoxic effects of lead nitrate in Rana ridibunda’, </w:t>
      </w:r>
      <w:r>
        <w:rPr>
          <w:rFonts w:ascii="Times New Roman" w:hAnsi="Times New Roman" w:cs="Times New Roman"/>
          <w:i/>
          <w:color w:val="000000"/>
          <w:sz w:val="24"/>
          <w:szCs w:val="24"/>
        </w:rPr>
        <w:t xml:space="preserve">Archives of Toxicology, </w:t>
      </w:r>
      <w:r>
        <w:rPr>
          <w:rFonts w:ascii="Times New Roman" w:hAnsi="Times New Roman" w:cs="Times New Roman"/>
          <w:b/>
          <w:color w:val="000000"/>
          <w:sz w:val="24"/>
          <w:szCs w:val="24"/>
        </w:rPr>
        <w:t>77</w:t>
      </w:r>
      <w:r>
        <w:rPr>
          <w:rFonts w:ascii="Times New Roman" w:hAnsi="Times New Roman" w:cs="Times New Roman"/>
          <w:color w:val="000000"/>
          <w:sz w:val="24"/>
          <w:szCs w:val="24"/>
        </w:rPr>
        <w:t>: 527-532.</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Mishra, K. P., Singh, V. K., Rani, R., Yadav, V. S., Chandran, V., Srivastava, S. P. &amp; Seth, P. K. (2003). ‘Effect of lead exposure on the immune response of some occupationally exposed individuals’, </w:t>
      </w:r>
      <w:r>
        <w:rPr>
          <w:rFonts w:ascii="Times New Roman" w:hAnsi="Times New Roman" w:cs="Times New Roman"/>
          <w:i/>
          <w:color w:val="000000"/>
          <w:sz w:val="24"/>
          <w:szCs w:val="24"/>
        </w:rPr>
        <w:t>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188: </w:t>
      </w:r>
      <w:r>
        <w:rPr>
          <w:rFonts w:ascii="Times New Roman" w:hAnsi="Times New Roman" w:cs="Times New Roman"/>
          <w:color w:val="000000"/>
          <w:sz w:val="24"/>
          <w:szCs w:val="24"/>
        </w:rPr>
        <w:t xml:space="preserve">251-259.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Mudgal, V., Madaan, N., Mudgal, A., Singh, R. B., Mishra, S. (2010). Effects of toxic metals on human health. </w:t>
      </w:r>
      <w:r>
        <w:rPr>
          <w:rFonts w:ascii="Times New Roman" w:hAnsi="Times New Roman" w:cs="Times New Roman"/>
          <w:i/>
          <w:color w:val="000000"/>
          <w:sz w:val="24"/>
          <w:szCs w:val="24"/>
        </w:rPr>
        <w:t>Open Nutrition. Journal,</w:t>
      </w:r>
      <w:r>
        <w:rPr>
          <w:rFonts w:ascii="Times New Roman" w:hAnsi="Times New Roman" w:cs="Times New Roman"/>
          <w:b/>
          <w:color w:val="000000"/>
          <w:sz w:val="24"/>
          <w:szCs w:val="24"/>
        </w:rPr>
        <w:t xml:space="preserve"> 3</w:t>
      </w:r>
      <w:r>
        <w:rPr>
          <w:rFonts w:ascii="Times New Roman" w:hAnsi="Times New Roman" w:cs="Times New Roman"/>
          <w:color w:val="000000"/>
          <w:sz w:val="24"/>
          <w:szCs w:val="24"/>
        </w:rPr>
        <w:t>(</w:t>
      </w:r>
      <w:r>
        <w:rPr>
          <w:rFonts w:ascii="Times New Roman" w:hAnsi="Times New Roman" w:cs="Times New Roman"/>
          <w:b/>
          <w:color w:val="000000"/>
          <w:sz w:val="24"/>
          <w:szCs w:val="24"/>
        </w:rPr>
        <w:t>2</w:t>
      </w:r>
      <w:r>
        <w:rPr>
          <w:rFonts w:ascii="Times New Roman" w:hAnsi="Times New Roman" w:cs="Times New Roman"/>
          <w:color w:val="000000"/>
          <w:sz w:val="24"/>
          <w:szCs w:val="24"/>
        </w:rPr>
        <w:t>)</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94–99.</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Mumtaz, S., Ali, S., Khan, R., Shakir, H.A., Tahir, H.M., Mumtaz, S. &amp; others. (2020). ‘Therapeutic role of garlic and vitamins C and E against toxicity induced by lead on various organs. </w:t>
      </w:r>
      <w:r>
        <w:rPr>
          <w:rFonts w:ascii="Times New Roman" w:hAnsi="Times New Roman" w:cs="Times New Roman"/>
          <w:i/>
          <w:iCs/>
          <w:color w:val="000000"/>
          <w:sz w:val="24"/>
          <w:szCs w:val="24"/>
        </w:rPr>
        <w:t>Environmental Science and Pollution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27</w:t>
      </w:r>
      <w:r>
        <w:rPr>
          <w:rFonts w:ascii="Times New Roman" w:hAnsi="Times New Roman" w:cs="Times New Roman"/>
          <w:color w:val="000000"/>
          <w:sz w:val="24"/>
          <w:szCs w:val="24"/>
        </w:rPr>
        <w:t>(</w:t>
      </w:r>
      <w:r>
        <w:rPr>
          <w:rFonts w:ascii="Times New Roman" w:hAnsi="Times New Roman" w:cs="Times New Roman"/>
          <w:b/>
          <w:bCs/>
          <w:color w:val="000000"/>
          <w:sz w:val="24"/>
          <w:szCs w:val="24"/>
        </w:rPr>
        <w:t>9</w:t>
      </w:r>
      <w:r>
        <w:rPr>
          <w:rFonts w:ascii="Times New Roman" w:hAnsi="Times New Roman" w:cs="Times New Roman"/>
          <w:color w:val="000000"/>
          <w:sz w:val="24"/>
          <w:szCs w:val="24"/>
        </w:rPr>
        <w:t>): 8953-8964.</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Nimse, S.B. &amp; Pal, D. (2015). ‘Free radicals, natural antioxidants, and their reaction mechanisms. </w:t>
      </w:r>
      <w:r>
        <w:rPr>
          <w:rFonts w:ascii="Times New Roman" w:hAnsi="Times New Roman" w:cs="Times New Roman"/>
          <w:i/>
          <w:iCs/>
          <w:color w:val="000000"/>
          <w:sz w:val="24"/>
          <w:szCs w:val="24"/>
        </w:rPr>
        <w:t>RSC Advances</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5</w:t>
      </w:r>
      <w:r>
        <w:rPr>
          <w:rFonts w:ascii="Times New Roman" w:hAnsi="Times New Roman" w:cs="Times New Roman"/>
          <w:color w:val="000000"/>
          <w:sz w:val="24"/>
          <w:szCs w:val="24"/>
        </w:rPr>
        <w:t>(</w:t>
      </w:r>
      <w:r>
        <w:rPr>
          <w:rFonts w:ascii="Times New Roman" w:hAnsi="Times New Roman" w:cs="Times New Roman"/>
          <w:b/>
          <w:bCs/>
          <w:color w:val="000000"/>
          <w:sz w:val="24"/>
          <w:szCs w:val="24"/>
        </w:rPr>
        <w:t>35</w:t>
      </w:r>
      <w:r>
        <w:rPr>
          <w:rFonts w:ascii="Times New Roman" w:hAnsi="Times New Roman" w:cs="Times New Roman"/>
          <w:color w:val="000000"/>
          <w:sz w:val="24"/>
          <w:szCs w:val="24"/>
        </w:rPr>
        <w:t xml:space="preserve">): 27986-28006.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Odell, W. D. &amp; Parlow, A. F. (1981). Follicle stimulating and Leutinizing Hormone. </w:t>
      </w:r>
      <w:r>
        <w:rPr>
          <w:rFonts w:ascii="Times New Roman" w:hAnsi="Times New Roman" w:cs="Times New Roman"/>
          <w:i/>
          <w:color w:val="000000"/>
          <w:sz w:val="24"/>
          <w:szCs w:val="24"/>
        </w:rPr>
        <w:t>Journal of Clinical Investigation,</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47:</w:t>
      </w:r>
      <w:r>
        <w:rPr>
          <w:rFonts w:ascii="Times New Roman" w:hAnsi="Times New Roman" w:cs="Times New Roman"/>
          <w:color w:val="000000"/>
          <w:sz w:val="24"/>
          <w:szCs w:val="24"/>
        </w:rPr>
        <w:t xml:space="preserve"> 2551.</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Oladimeji, S. T., Omotade, I. O. &amp; Olusola, B. A. (2014). ‘Dietary protection of Garlic extract against lead-induced oxidative stress and genetic birth defects’, </w:t>
      </w:r>
      <w:r>
        <w:rPr>
          <w:rFonts w:ascii="Times New Roman" w:hAnsi="Times New Roman" w:cs="Times New Roman"/>
          <w:i/>
          <w:color w:val="000000"/>
          <w:sz w:val="24"/>
          <w:szCs w:val="24"/>
        </w:rPr>
        <w:t>Oxidative Antioxidants Medical Science,</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3: </w:t>
      </w:r>
      <w:r>
        <w:rPr>
          <w:rFonts w:ascii="Times New Roman" w:hAnsi="Times New Roman" w:cs="Times New Roman"/>
          <w:color w:val="000000"/>
          <w:sz w:val="24"/>
          <w:szCs w:val="24"/>
        </w:rPr>
        <w:t xml:space="preserve">79–82.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Ola-Mudathir, K. F., Akomolafe, R. O., Oladele, O. O. &amp; Adebayo, A. O. (2018). ‘Ameliorative effects of garlic extract on reproductive toxicity induced by lead exposure in male rats’, </w:t>
      </w:r>
      <w:r>
        <w:rPr>
          <w:rFonts w:ascii="Times New Roman" w:hAnsi="Times New Roman" w:cs="Times New Roman"/>
          <w:i/>
          <w:iCs/>
          <w:color w:val="000000"/>
          <w:sz w:val="24"/>
          <w:szCs w:val="24"/>
        </w:rPr>
        <w:t xml:space="preserve">Journal of </w:t>
      </w:r>
      <w:bookmarkStart w:id="23" w:name="_Hlk184482516"/>
      <w:r>
        <w:rPr>
          <w:rFonts w:ascii="Times New Roman" w:hAnsi="Times New Roman" w:cs="Times New Roman"/>
          <w:i/>
          <w:iCs/>
          <w:color w:val="000000"/>
          <w:sz w:val="24"/>
          <w:szCs w:val="24"/>
        </w:rPr>
        <w:t>Reproductive Health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7</w:t>
      </w:r>
      <w:r>
        <w:rPr>
          <w:rFonts w:ascii="Times New Roman" w:hAnsi="Times New Roman" w:cs="Times New Roman"/>
          <w:color w:val="000000"/>
          <w:sz w:val="24"/>
          <w:szCs w:val="24"/>
        </w:rPr>
        <w:t>(</w:t>
      </w:r>
      <w:r>
        <w:rPr>
          <w:rFonts w:ascii="Times New Roman" w:hAnsi="Times New Roman" w:cs="Times New Roman"/>
          <w:b/>
          <w:bCs/>
          <w:color w:val="000000"/>
          <w:sz w:val="24"/>
          <w:szCs w:val="24"/>
        </w:rPr>
        <w:t>2</w:t>
      </w:r>
      <w:r>
        <w:rPr>
          <w:rFonts w:ascii="Times New Roman" w:hAnsi="Times New Roman" w:cs="Times New Roman"/>
          <w:color w:val="000000"/>
          <w:sz w:val="24"/>
          <w:szCs w:val="24"/>
        </w:rPr>
        <w:t>): 1-9</w:t>
      </w:r>
      <w:bookmarkEnd w:id="23"/>
      <w:r>
        <w:rPr>
          <w:rFonts w:ascii="Times New Roman" w:hAnsi="Times New Roman" w:cs="Times New Roman"/>
          <w:color w:val="000000"/>
          <w:sz w:val="24"/>
          <w:szCs w:val="24"/>
        </w:rPr>
        <w:t>.</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Patra, R. C., Rautray, A. K. &amp; Swarup, D. (2011). ‘Oxidative stress in lead and cadmium toxicity and its amelioration’, </w:t>
      </w:r>
      <w:r>
        <w:rPr>
          <w:rFonts w:ascii="Times New Roman" w:hAnsi="Times New Roman" w:cs="Times New Roman"/>
          <w:i/>
          <w:color w:val="000000"/>
          <w:sz w:val="24"/>
          <w:szCs w:val="24"/>
        </w:rPr>
        <w:t>Veterinary Medicine Inter</w:t>
      </w:r>
      <w:r>
        <w:rPr>
          <w:rFonts w:ascii="Times New Roman" w:hAnsi="Times New Roman" w:cs="Times New Roman"/>
          <w:color w:val="000000"/>
          <w:sz w:val="24"/>
          <w:szCs w:val="24"/>
        </w:rPr>
        <w:t xml:space="preserve">. 1–9.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Rani, R. &amp; Sinha, P. (2022). ‘Toxic effect of lead nitrate on testicular functions in male Swiss albino mice,’ </w:t>
      </w:r>
      <w:r>
        <w:rPr>
          <w:rFonts w:ascii="Times New Roman" w:hAnsi="Times New Roman" w:cs="Times New Roman"/>
          <w:i/>
          <w:iCs/>
          <w:color w:val="000000"/>
          <w:sz w:val="24"/>
          <w:szCs w:val="24"/>
        </w:rPr>
        <w:t>Journal of Applied and Natural Science,</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14</w:t>
      </w:r>
      <w:r>
        <w:rPr>
          <w:rFonts w:ascii="Times New Roman" w:hAnsi="Times New Roman" w:cs="Times New Roman"/>
          <w:color w:val="000000"/>
          <w:sz w:val="24"/>
          <w:szCs w:val="24"/>
        </w:rPr>
        <w:t>(</w:t>
      </w:r>
      <w:r>
        <w:rPr>
          <w:rFonts w:ascii="Times New Roman" w:hAnsi="Times New Roman" w:cs="Times New Roman"/>
          <w:b/>
          <w:bCs/>
          <w:color w:val="000000"/>
          <w:sz w:val="24"/>
          <w:szCs w:val="24"/>
        </w:rPr>
        <w:t>4</w:t>
      </w:r>
      <w:r>
        <w:rPr>
          <w:rFonts w:ascii="Times New Roman" w:hAnsi="Times New Roman" w:cs="Times New Roman"/>
          <w:color w:val="000000"/>
          <w:sz w:val="24"/>
          <w:szCs w:val="24"/>
        </w:rPr>
        <w:t xml:space="preserve">): 1183-1189.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Schwartz, B.S., Stewart, W. &amp; Hu, H. (2002). ‘Neurobehavioral testing in workers occupationally exposed to lead’, </w:t>
      </w:r>
      <w:r>
        <w:rPr>
          <w:rFonts w:ascii="Times New Roman" w:hAnsi="Times New Roman" w:cs="Times New Roman"/>
          <w:i/>
          <w:color w:val="000000"/>
          <w:sz w:val="24"/>
          <w:szCs w:val="24"/>
        </w:rPr>
        <w:t>Occupational and Environmental Medicine,</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59: </w:t>
      </w:r>
      <w:r>
        <w:rPr>
          <w:rFonts w:ascii="Times New Roman" w:hAnsi="Times New Roman" w:cs="Times New Roman"/>
          <w:color w:val="000000"/>
          <w:sz w:val="24"/>
          <w:szCs w:val="24"/>
        </w:rPr>
        <w:t xml:space="preserve">648 – 649.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Shalan, M. G., Mostafa, M. S., Hassouna, M. M., Nabi, S. E. &amp; Rafie, A. (2005). ‘Amelioration of lead toxicity on rat liver with vitamin C and silymarin supplements’, </w:t>
      </w:r>
      <w:r>
        <w:rPr>
          <w:rFonts w:ascii="Times New Roman" w:hAnsi="Times New Roman" w:cs="Times New Roman"/>
          <w:i/>
          <w:color w:val="000000"/>
          <w:sz w:val="24"/>
          <w:szCs w:val="24"/>
        </w:rPr>
        <w:t>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20: </w:t>
      </w:r>
      <w:r>
        <w:rPr>
          <w:rFonts w:ascii="Times New Roman" w:hAnsi="Times New Roman" w:cs="Times New Roman"/>
          <w:color w:val="000000"/>
          <w:sz w:val="24"/>
          <w:szCs w:val="24"/>
        </w:rPr>
        <w:t>61 - 15.</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Sharma, A., Sharma, V. &amp; Kansal, L. (2010). ‘Amelioration of lead-induced hepatotoxicity by Allium sativum’, </w:t>
      </w:r>
      <w:r>
        <w:rPr>
          <w:rFonts w:ascii="Times New Roman" w:hAnsi="Times New Roman" w:cs="Times New Roman"/>
          <w:i/>
          <w:iCs/>
          <w:color w:val="000000"/>
          <w:sz w:val="24"/>
          <w:szCs w:val="24"/>
        </w:rPr>
        <w:t>Libyan Journal of Medicine</w:t>
      </w:r>
      <w:r>
        <w:rPr>
          <w:rFonts w:ascii="Times New Roman" w:hAnsi="Times New Roman" w:cs="Times New Roman"/>
          <w:color w:val="000000"/>
          <w:sz w:val="24"/>
          <w:szCs w:val="24"/>
        </w:rPr>
        <w:t xml:space="preserve">, 5.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Singh, A., Kumar, P. &amp; Sharma, N. (2018). ‘Testosterone replacement therapy improves body composition in lead-exposed rats’, </w:t>
      </w:r>
      <w:r>
        <w:rPr>
          <w:rFonts w:ascii="Times New Roman" w:hAnsi="Times New Roman" w:cs="Times New Roman"/>
          <w:i/>
          <w:iCs/>
          <w:color w:val="000000"/>
          <w:sz w:val="24"/>
          <w:szCs w:val="24"/>
        </w:rPr>
        <w:t xml:space="preserve">Toxicology, </w:t>
      </w:r>
      <w:r>
        <w:rPr>
          <w:rFonts w:ascii="Times New Roman" w:hAnsi="Times New Roman" w:cs="Times New Roman"/>
          <w:color w:val="000000"/>
          <w:sz w:val="24"/>
          <w:szCs w:val="24"/>
        </w:rPr>
        <w:t>12-21, 406-407.</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Singh, R., Kumar, P., Kumar, V. &amp; Mahapatra, S. K. (2019). ‘Lead-induced oxidative stress damages tissues, reducing body weight in rats’, </w:t>
      </w:r>
      <w:r>
        <w:rPr>
          <w:rFonts w:ascii="Times New Roman" w:hAnsi="Times New Roman" w:cs="Times New Roman"/>
          <w:i/>
          <w:iCs/>
          <w:color w:val="000000"/>
          <w:sz w:val="24"/>
          <w:szCs w:val="24"/>
        </w:rPr>
        <w:t>Toxicology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8</w:t>
      </w:r>
      <w:r>
        <w:rPr>
          <w:rFonts w:ascii="Times New Roman" w:hAnsi="Times New Roman" w:cs="Times New Roman"/>
          <w:color w:val="000000"/>
          <w:sz w:val="24"/>
          <w:szCs w:val="24"/>
        </w:rPr>
        <w:t>(</w:t>
      </w:r>
      <w:r>
        <w:rPr>
          <w:rFonts w:ascii="Times New Roman" w:hAnsi="Times New Roman" w:cs="Times New Roman"/>
          <w:b/>
          <w:bCs/>
          <w:color w:val="000000"/>
          <w:sz w:val="24"/>
          <w:szCs w:val="24"/>
        </w:rPr>
        <w:t>2</w:t>
      </w:r>
      <w:r>
        <w:rPr>
          <w:rFonts w:ascii="Times New Roman" w:hAnsi="Times New Roman" w:cs="Times New Roman"/>
          <w:color w:val="000000"/>
          <w:sz w:val="24"/>
          <w:szCs w:val="24"/>
        </w:rPr>
        <w:t>): 257-266.</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Sinisa, F. (2023). ‘Infertility is one of the leading public health problems in the world’ </w:t>
      </w:r>
      <w:r>
        <w:rPr>
          <w:rFonts w:ascii="Times New Roman" w:hAnsi="Times New Roman" w:cs="Times New Roman"/>
          <w:i/>
          <w:iCs/>
          <w:color w:val="000000"/>
          <w:sz w:val="24"/>
          <w:szCs w:val="24"/>
        </w:rPr>
        <w:t>Journal of Gynecology Obstetrics Research,</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1(1): </w:t>
      </w:r>
      <w:r>
        <w:rPr>
          <w:rFonts w:ascii="Times New Roman" w:hAnsi="Times New Roman" w:cs="Times New Roman"/>
          <w:color w:val="000000"/>
          <w:sz w:val="24"/>
          <w:szCs w:val="24"/>
        </w:rPr>
        <w:t>1-5.</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Smith, John M., Emily, J. W., David, M. T., Lisa, N. N., Michael, T. G. &amp; Jennifer, L. T. (2018). ‘Toxicity of Chemical X on Rat Testicular Weight’, </w:t>
      </w:r>
      <w:r>
        <w:rPr>
          <w:rFonts w:ascii="Times New Roman" w:hAnsi="Times New Roman" w:cs="Times New Roman"/>
          <w:i/>
          <w:iCs/>
          <w:color w:val="000000"/>
          <w:sz w:val="24"/>
          <w:szCs w:val="24"/>
        </w:rPr>
        <w:t>Journal of Toxicology,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20</w:t>
      </w:r>
      <w:r>
        <w:rPr>
          <w:rFonts w:ascii="Times New Roman" w:hAnsi="Times New Roman" w:cs="Times New Roman"/>
          <w:color w:val="000000"/>
          <w:sz w:val="24"/>
          <w:szCs w:val="24"/>
        </w:rPr>
        <w:t>(</w:t>
      </w:r>
      <w:r>
        <w:rPr>
          <w:rFonts w:ascii="Times New Roman" w:hAnsi="Times New Roman" w:cs="Times New Roman"/>
          <w:b/>
          <w:bCs/>
          <w:color w:val="000000"/>
          <w:sz w:val="24"/>
          <w:szCs w:val="24"/>
        </w:rPr>
        <w:t>1</w:t>
      </w:r>
      <w:r>
        <w:rPr>
          <w:rFonts w:ascii="Times New Roman" w:hAnsi="Times New Roman" w:cs="Times New Roman"/>
          <w:color w:val="000000"/>
          <w:sz w:val="24"/>
          <w:szCs w:val="24"/>
        </w:rPr>
        <w:t>)</w:t>
      </w:r>
      <w:r>
        <w:rPr>
          <w:rFonts w:ascii="Times New Roman" w:hAnsi="Times New Roman" w:cs="Times New Roman"/>
          <w:b/>
          <w:bCs/>
          <w:color w:val="000000"/>
          <w:sz w:val="24"/>
          <w:szCs w:val="24"/>
        </w:rPr>
        <w:t xml:space="preserve">: </w:t>
      </w:r>
      <w:r>
        <w:rPr>
          <w:rFonts w:ascii="Times New Roman" w:hAnsi="Times New Roman" w:cs="Times New Roman"/>
          <w:color w:val="000000"/>
          <w:sz w:val="24"/>
          <w:szCs w:val="24"/>
        </w:rPr>
        <w:t>12-20.</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Sofowora, A. (1993). Medicinal plants and traditional medicine in African. Spectrum Books Ltd. (2</w:t>
      </w:r>
      <w:r>
        <w:rPr>
          <w:rFonts w:ascii="Times New Roman" w:hAnsi="Times New Roman" w:cs="Times New Roman"/>
          <w:color w:val="000000"/>
          <w:sz w:val="24"/>
          <w:szCs w:val="24"/>
          <w:vertAlign w:val="superscript"/>
        </w:rPr>
        <w:t xml:space="preserve">nd  </w:t>
      </w:r>
      <w:r>
        <w:rPr>
          <w:rFonts w:ascii="Times New Roman" w:hAnsi="Times New Roman" w:cs="Times New Roman"/>
          <w:color w:val="000000"/>
          <w:sz w:val="24"/>
          <w:szCs w:val="24"/>
        </w:rPr>
        <w:t xml:space="preserve">ed) 26-100.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Trease, G. E. &amp; Evans, W. C. (2002). Phytochemicals. In: Pharmacognosy. (15</w:t>
      </w:r>
      <w:r>
        <w:rPr>
          <w:rFonts w:ascii="Times New Roman" w:hAnsi="Times New Roman" w:cs="Times New Roman"/>
          <w:color w:val="000000"/>
          <w:sz w:val="24"/>
          <w:szCs w:val="24"/>
          <w:vertAlign w:val="superscript"/>
        </w:rPr>
        <w:t>th</w:t>
      </w:r>
      <w:r>
        <w:rPr>
          <w:rFonts w:ascii="Times New Roman" w:hAnsi="Times New Roman" w:cs="Times New Roman"/>
          <w:color w:val="000000"/>
          <w:sz w:val="24"/>
          <w:szCs w:val="24"/>
        </w:rPr>
        <w:t xml:space="preserve"> ed). 246-249.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Udefa, A. L., Amama, E. A., Archibong, E. A, Nwangwa, J. N., Adama, S., Inyang, V. U., Inyaka, G. U., Aju, G. J., Okpa, S. &amp; Inah, I. O. (2020). ‘Antioxidant, Anti-inflammatory and Anti-apoptotic effect of hydro-ethanolic extract of Cyperus esculentus L. (tigernut) on Lead Acetate-Induced Testicular Dysfunction in Wistar rats’, </w:t>
      </w:r>
      <w:r>
        <w:rPr>
          <w:rFonts w:ascii="Times New Roman" w:hAnsi="Times New Roman" w:cs="Times New Roman"/>
          <w:i/>
          <w:iCs/>
          <w:color w:val="000000"/>
          <w:sz w:val="24"/>
          <w:szCs w:val="24"/>
        </w:rPr>
        <w:t>Biomedicine and</w:t>
      </w:r>
      <w:r>
        <w:rPr>
          <w:rFonts w:ascii="Times New Roman" w:hAnsi="Times New Roman" w:cs="Times New Roman"/>
          <w:color w:val="000000"/>
          <w:sz w:val="24"/>
          <w:szCs w:val="24"/>
        </w:rPr>
        <w:t xml:space="preserve"> </w:t>
      </w:r>
      <w:r>
        <w:rPr>
          <w:rFonts w:ascii="Times New Roman" w:hAnsi="Times New Roman" w:cs="Times New Roman"/>
          <w:i/>
          <w:color w:val="000000"/>
          <w:sz w:val="24"/>
          <w:szCs w:val="24"/>
        </w:rPr>
        <w:t>Pharmacotherapy,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129: </w:t>
      </w:r>
      <w:r>
        <w:rPr>
          <w:rFonts w:ascii="Times New Roman" w:hAnsi="Times New Roman" w:cs="Times New Roman"/>
          <w:color w:val="000000"/>
          <w:sz w:val="24"/>
          <w:szCs w:val="24"/>
        </w:rPr>
        <w:t xml:space="preserve">110491. </w:t>
      </w:r>
    </w:p>
    <w:p w:rsidR="00B827E6" w:rsidRDefault="00EB2CCA">
      <w:pPr>
        <w:pStyle w:val="ListParagraph"/>
        <w:numPr>
          <w:ilvl w:val="0"/>
          <w:numId w:val="1"/>
        </w:numPr>
        <w:jc w:val="both"/>
        <w:rPr>
          <w:rFonts w:ascii="Times New Roman" w:hAnsi="Times New Roman" w:cs="Times New Roman"/>
          <w:color w:val="000000"/>
          <w:sz w:val="24"/>
          <w:szCs w:val="24"/>
        </w:rPr>
      </w:pPr>
      <w:bookmarkStart w:id="24" w:name="_Hlk193611988"/>
      <w:r>
        <w:rPr>
          <w:rFonts w:ascii="Times New Roman" w:hAnsi="Times New Roman" w:cs="Times New Roman"/>
          <w:color w:val="000000"/>
          <w:sz w:val="24"/>
          <w:szCs w:val="24"/>
        </w:rPr>
        <w:t>Ursini, M. V., Parrella, P., Festa, M., Rosso, E., D</w:t>
      </w:r>
      <w:r>
        <w:rPr>
          <w:rFonts w:ascii="Times New Roman" w:hAnsi="Times New Roman" w:cs="Times New Roman" w:hint="eastAsia"/>
          <w:color w:val="000000"/>
          <w:sz w:val="24"/>
          <w:szCs w:val="24"/>
        </w:rPr>
        <w:t>’</w:t>
      </w:r>
      <w:r>
        <w:rPr>
          <w:rFonts w:ascii="Times New Roman" w:hAnsi="Times New Roman" w:cs="Times New Roman"/>
          <w:color w:val="000000"/>
          <w:sz w:val="24"/>
          <w:szCs w:val="24"/>
        </w:rPr>
        <w:t xml:space="preserve">Uva, M. &amp; Pacchiano, F. (2016). ‘Vitamin E and reproductive health’, </w:t>
      </w:r>
      <w:r>
        <w:rPr>
          <w:rFonts w:ascii="Times New Roman" w:hAnsi="Times New Roman" w:cs="Times New Roman"/>
          <w:i/>
          <w:iCs/>
          <w:color w:val="000000"/>
          <w:sz w:val="24"/>
          <w:szCs w:val="24"/>
        </w:rPr>
        <w:t>Journal of Reproductive Medicine,</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62</w:t>
      </w:r>
      <w:r>
        <w:rPr>
          <w:rFonts w:ascii="Times New Roman" w:hAnsi="Times New Roman" w:cs="Times New Roman"/>
          <w:color w:val="000000"/>
          <w:sz w:val="24"/>
          <w:szCs w:val="24"/>
        </w:rPr>
        <w:t>(</w:t>
      </w:r>
      <w:r>
        <w:rPr>
          <w:rFonts w:ascii="Times New Roman" w:hAnsi="Times New Roman" w:cs="Times New Roman"/>
          <w:b/>
          <w:bCs/>
          <w:color w:val="000000"/>
          <w:sz w:val="24"/>
          <w:szCs w:val="24"/>
        </w:rPr>
        <w:t>2-2,2-8</w:t>
      </w:r>
      <w:r>
        <w:rPr>
          <w:rFonts w:ascii="Times New Roman" w:hAnsi="Times New Roman" w:cs="Times New Roman"/>
          <w:color w:val="000000"/>
          <w:sz w:val="24"/>
          <w:szCs w:val="24"/>
        </w:rPr>
        <w:t>).</w:t>
      </w:r>
    </w:p>
    <w:bookmarkEnd w:id="24"/>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Verma, T., Aggarwal, A., Dey, P., Chauhan, A.K., Rashid, S., Chen, K.T. &amp; others. (2023). ‘Medicinal and therapeutic properties of garlic, garlic essential oil, and garlic-based snack food: an updated review’, </w:t>
      </w:r>
      <w:r>
        <w:rPr>
          <w:rFonts w:ascii="Times New Roman" w:hAnsi="Times New Roman" w:cs="Times New Roman"/>
          <w:i/>
          <w:iCs/>
          <w:color w:val="000000"/>
          <w:sz w:val="24"/>
          <w:szCs w:val="24"/>
        </w:rPr>
        <w:t>Frontiers in Nutrition</w:t>
      </w:r>
      <w:r>
        <w:rPr>
          <w:rFonts w:ascii="Times New Roman" w:hAnsi="Times New Roman" w:cs="Times New Roman"/>
          <w:color w:val="000000"/>
          <w:sz w:val="24"/>
          <w:szCs w:val="24"/>
        </w:rPr>
        <w:t xml:space="preserve">, vol. 10.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Vijaya, P., Kaur, H., Garg, N. </w:t>
      </w:r>
      <w:bookmarkStart w:id="25" w:name="_Hlk195458515"/>
      <w:r>
        <w:rPr>
          <w:rFonts w:ascii="Times New Roman" w:hAnsi="Times New Roman" w:cs="Times New Roman"/>
          <w:color w:val="000000"/>
          <w:sz w:val="24"/>
          <w:szCs w:val="24"/>
        </w:rPr>
        <w:t>&amp;</w:t>
      </w:r>
      <w:bookmarkEnd w:id="25"/>
      <w:r>
        <w:rPr>
          <w:rFonts w:ascii="Times New Roman" w:hAnsi="Times New Roman" w:cs="Times New Roman"/>
          <w:color w:val="000000"/>
          <w:sz w:val="24"/>
          <w:szCs w:val="24"/>
        </w:rPr>
        <w:t xml:space="preserve"> Sharma, S. (2020). ‘Protective and therapeutic effects of garlic and tomato on cadmium-induced neuropathology in mice’, </w:t>
      </w:r>
      <w:r>
        <w:rPr>
          <w:rFonts w:ascii="Times New Roman" w:hAnsi="Times New Roman" w:cs="Times New Roman"/>
          <w:i/>
          <w:iCs/>
          <w:color w:val="000000"/>
          <w:sz w:val="24"/>
          <w:szCs w:val="24"/>
        </w:rPr>
        <w:t>Journal of Basic and Applied Zoology</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81</w:t>
      </w:r>
      <w:r>
        <w:rPr>
          <w:rFonts w:ascii="Times New Roman" w:hAnsi="Times New Roman" w:cs="Times New Roman"/>
          <w:color w:val="000000"/>
          <w:sz w:val="24"/>
          <w:szCs w:val="24"/>
        </w:rPr>
        <w:t>(</w:t>
      </w:r>
      <w:r>
        <w:rPr>
          <w:rFonts w:ascii="Times New Roman" w:hAnsi="Times New Roman" w:cs="Times New Roman"/>
          <w:b/>
          <w:bCs/>
          <w:color w:val="000000"/>
          <w:sz w:val="24"/>
          <w:szCs w:val="24"/>
        </w:rPr>
        <w:t>1</w:t>
      </w:r>
      <w:r>
        <w:rPr>
          <w:rFonts w:ascii="Times New Roman" w:hAnsi="Times New Roman" w:cs="Times New Roman"/>
          <w:color w:val="000000"/>
          <w:sz w:val="24"/>
          <w:szCs w:val="24"/>
        </w:rPr>
        <w:t xml:space="preserve">). </w:t>
      </w:r>
    </w:p>
    <w:p w:rsidR="00B827E6" w:rsidRDefault="00EB2CCA">
      <w:pPr>
        <w:pStyle w:val="ListParagraph"/>
        <w:numPr>
          <w:ilvl w:val="0"/>
          <w:numId w:val="1"/>
        </w:numPr>
        <w:rPr>
          <w:rFonts w:ascii="Times New Roman" w:hAnsi="Times New Roman" w:cs="Times New Roman"/>
          <w:color w:val="000000"/>
          <w:sz w:val="24"/>
          <w:szCs w:val="24"/>
        </w:rPr>
      </w:pPr>
      <w:r>
        <w:rPr>
          <w:rFonts w:ascii="Times New Roman" w:hAnsi="Times New Roman" w:cs="Times New Roman"/>
          <w:color w:val="000000"/>
          <w:sz w:val="24"/>
          <w:szCs w:val="24"/>
        </w:rPr>
        <w:t>World Health Organization. (2010). ‘WHO laboratory manual for the examination and processing of human semen’, 5th edition.</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WHO Expanded Programme on Immunization. (2012). ‘Manual for the laboratory diagnosis of Measles and Rubella virus infection’, 2nd ed. Geneva.  </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Yadav, S. S., Singh, R. K., Singh, A. K., Singh, V. K. &amp; Gupta, R. C. (2020). ‘Lead-induced reproductive toxicity in male rats’, </w:t>
      </w:r>
      <w:r>
        <w:rPr>
          <w:rFonts w:ascii="Times New Roman" w:hAnsi="Times New Roman" w:cs="Times New Roman"/>
          <w:i/>
          <w:iCs/>
          <w:color w:val="000000"/>
          <w:sz w:val="24"/>
          <w:szCs w:val="24"/>
        </w:rPr>
        <w:t>Journal of Toxicology,</w:t>
      </w:r>
      <w:r>
        <w:rPr>
          <w:rFonts w:ascii="Times New Roman" w:hAnsi="Times New Roman" w:cs="Times New Roman"/>
          <w:color w:val="000000"/>
          <w:sz w:val="24"/>
          <w:szCs w:val="24"/>
        </w:rPr>
        <w:t xml:space="preserve"> 1–12</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Yang, J., Wang, H., Zhang, Y. &amp; Liu, X. (2011). ‘Garlic oil increases testosterone levels in rats’, </w:t>
      </w:r>
      <w:r>
        <w:rPr>
          <w:rFonts w:ascii="Times New Roman" w:hAnsi="Times New Roman" w:cs="Times New Roman"/>
          <w:i/>
          <w:iCs/>
          <w:color w:val="000000"/>
          <w:sz w:val="24"/>
          <w:szCs w:val="24"/>
        </w:rPr>
        <w:t>Journal of Ethnopharmacology,</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133</w:t>
      </w:r>
      <w:r>
        <w:rPr>
          <w:rFonts w:ascii="Times New Roman" w:hAnsi="Times New Roman" w:cs="Times New Roman"/>
          <w:color w:val="000000"/>
          <w:sz w:val="24"/>
          <w:szCs w:val="24"/>
        </w:rPr>
        <w:t>(</w:t>
      </w:r>
      <w:r>
        <w:rPr>
          <w:rFonts w:ascii="Times New Roman" w:hAnsi="Times New Roman" w:cs="Times New Roman"/>
          <w:b/>
          <w:bCs/>
          <w:color w:val="000000"/>
          <w:sz w:val="24"/>
          <w:szCs w:val="24"/>
        </w:rPr>
        <w:t>2</w:t>
      </w:r>
      <w:r>
        <w:rPr>
          <w:rFonts w:ascii="Times New Roman" w:hAnsi="Times New Roman" w:cs="Times New Roman"/>
          <w:color w:val="000000"/>
          <w:sz w:val="24"/>
          <w:szCs w:val="24"/>
        </w:rPr>
        <w:t>): 455-459.</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Yang, Y., Zhang, Y., Chen, L., Wang, X. &amp; Liu, J. (2019). ‘Garlic extract increases testosterone levels and improves spermatogenesis in rats’, </w:t>
      </w:r>
      <w:r>
        <w:rPr>
          <w:rFonts w:ascii="Times New Roman" w:hAnsi="Times New Roman" w:cs="Times New Roman"/>
          <w:i/>
          <w:color w:val="000000"/>
          <w:sz w:val="24"/>
          <w:szCs w:val="24"/>
        </w:rPr>
        <w:t>Journal of</w:t>
      </w:r>
      <w:r>
        <w:rPr>
          <w:rFonts w:ascii="Times New Roman" w:hAnsi="Times New Roman" w:cs="Times New Roman"/>
          <w:i/>
          <w:iCs/>
          <w:color w:val="000000"/>
          <w:sz w:val="24"/>
          <w:szCs w:val="24"/>
        </w:rPr>
        <w:t xml:space="preserve"> Ethnopharmacology,</w:t>
      </w:r>
      <w:r>
        <w:rPr>
          <w:rFonts w:ascii="Times New Roman" w:hAnsi="Times New Roman" w:cs="Times New Roman"/>
          <w:color w:val="000000"/>
          <w:sz w:val="24"/>
          <w:szCs w:val="24"/>
        </w:rPr>
        <w:t xml:space="preserve"> </w:t>
      </w:r>
      <w:r>
        <w:rPr>
          <w:rFonts w:ascii="Times New Roman" w:hAnsi="Times New Roman" w:cs="Times New Roman"/>
          <w:b/>
          <w:color w:val="000000"/>
          <w:sz w:val="24"/>
          <w:szCs w:val="24"/>
        </w:rPr>
        <w:t xml:space="preserve">231: </w:t>
      </w:r>
      <w:r>
        <w:rPr>
          <w:rFonts w:ascii="Times New Roman" w:hAnsi="Times New Roman" w:cs="Times New Roman"/>
          <w:color w:val="000000"/>
          <w:sz w:val="24"/>
          <w:szCs w:val="24"/>
        </w:rPr>
        <w:t>145-153.</w:t>
      </w:r>
    </w:p>
    <w:p w:rsidR="00B827E6" w:rsidRDefault="00EB2CCA">
      <w:pPr>
        <w:pStyle w:val="ListParagraph"/>
        <w:numPr>
          <w:ilvl w:val="0"/>
          <w:numId w:val="1"/>
        </w:num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Zhang, Y., Li, X., Zhao, Y., Zhang, L. &amp; Chen, Z. (2019). ‘Effects of lead exposure on testicular damage and reproductive hormones in male rats’, </w:t>
      </w:r>
      <w:r>
        <w:rPr>
          <w:rFonts w:ascii="Times New Roman" w:hAnsi="Times New Roman" w:cs="Times New Roman"/>
          <w:i/>
          <w:iCs/>
          <w:color w:val="000000"/>
          <w:sz w:val="24"/>
          <w:szCs w:val="24"/>
        </w:rPr>
        <w:t>Biological Trace Element Research,</w:t>
      </w:r>
      <w:r>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rPr>
        <w:t>188</w:t>
      </w:r>
      <w:r>
        <w:rPr>
          <w:rFonts w:ascii="Times New Roman" w:hAnsi="Times New Roman" w:cs="Times New Roman"/>
          <w:color w:val="000000"/>
          <w:sz w:val="24"/>
          <w:szCs w:val="24"/>
        </w:rPr>
        <w:t>(</w:t>
      </w:r>
      <w:r>
        <w:rPr>
          <w:rFonts w:ascii="Times New Roman" w:hAnsi="Times New Roman" w:cs="Times New Roman"/>
          <w:b/>
          <w:bCs/>
          <w:color w:val="000000"/>
          <w:sz w:val="24"/>
          <w:szCs w:val="24"/>
        </w:rPr>
        <w:t>2</w:t>
      </w:r>
      <w:r>
        <w:rPr>
          <w:rFonts w:ascii="Times New Roman" w:hAnsi="Times New Roman" w:cs="Times New Roman"/>
          <w:color w:val="000000"/>
          <w:sz w:val="24"/>
          <w:szCs w:val="24"/>
        </w:rPr>
        <w:t xml:space="preserve">): 287–297. </w:t>
      </w:r>
      <w:bookmarkStart w:id="26" w:name="_Hlk195459349"/>
      <w:r>
        <w:rPr>
          <w:rFonts w:ascii="Times New Roman" w:hAnsi="Times New Roman" w:cs="Times New Roman"/>
          <w:color w:val="000000"/>
          <w:sz w:val="24"/>
          <w:szCs w:val="24"/>
        </w:rPr>
        <w:t xml:space="preserve">Tesfaye, A. (2021). ‘Revealing the therapeutic uses of garlic (Allium sativum) and its potential for drug discovery’, </w:t>
      </w:r>
      <w:r>
        <w:rPr>
          <w:rFonts w:ascii="Times New Roman" w:hAnsi="Times New Roman" w:cs="Times New Roman"/>
          <w:i/>
          <w:iCs/>
          <w:color w:val="000000"/>
          <w:sz w:val="24"/>
          <w:szCs w:val="24"/>
        </w:rPr>
        <w:t>Scientific World Journal</w:t>
      </w:r>
      <w:r>
        <w:rPr>
          <w:rFonts w:ascii="Times New Roman" w:hAnsi="Times New Roman" w:cs="Times New Roman"/>
          <w:color w:val="000000"/>
          <w:sz w:val="24"/>
          <w:szCs w:val="24"/>
        </w:rPr>
        <w:t xml:space="preserve">, 1-7. </w:t>
      </w:r>
    </w:p>
    <w:bookmarkEnd w:id="26"/>
    <w:p w:rsidR="00B827E6" w:rsidRDefault="00B827E6">
      <w:pPr>
        <w:pStyle w:val="ListParagraph"/>
        <w:jc w:val="both"/>
        <w:rPr>
          <w:rFonts w:ascii="Times New Roman" w:hAnsi="Times New Roman" w:cs="Times New Roman"/>
          <w:color w:val="000000"/>
          <w:sz w:val="24"/>
          <w:szCs w:val="24"/>
        </w:rPr>
      </w:pPr>
    </w:p>
    <w:p w:rsidR="00B827E6" w:rsidRDefault="00B827E6">
      <w:pPr>
        <w:ind w:left="720" w:hanging="720"/>
        <w:jc w:val="both"/>
        <w:rPr>
          <w:rFonts w:ascii="Times New Roman" w:hAnsi="Times New Roman" w:cs="Times New Roman"/>
          <w:color w:val="000000"/>
          <w:sz w:val="24"/>
          <w:szCs w:val="24"/>
        </w:rPr>
      </w:pPr>
    </w:p>
    <w:p w:rsidR="00B827E6" w:rsidRDefault="00B827E6"/>
    <w:sectPr w:rsidR="00B827E6">
      <w:headerReference w:type="even" r:id="rId19"/>
      <w:headerReference w:type="default" r:id="rId20"/>
      <w:footerReference w:type="even" r:id="rId21"/>
      <w:footerReference w:type="default" r:id="rId22"/>
      <w:headerReference w:type="first" r:id="rId2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6613" w:rsidRDefault="00C06613">
      <w:pPr>
        <w:spacing w:after="0" w:line="240" w:lineRule="auto"/>
      </w:pPr>
      <w:r>
        <w:separator/>
      </w:r>
    </w:p>
  </w:endnote>
  <w:endnote w:type="continuationSeparator" w:id="0">
    <w:p w:rsidR="00C06613" w:rsidRDefault="00C06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7E6" w:rsidRDefault="00B827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7E6" w:rsidRDefault="00B827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6613" w:rsidRDefault="00C06613">
      <w:pPr>
        <w:spacing w:after="0" w:line="240" w:lineRule="auto"/>
      </w:pPr>
      <w:r>
        <w:separator/>
      </w:r>
    </w:p>
  </w:footnote>
  <w:footnote w:type="continuationSeparator" w:id="0">
    <w:p w:rsidR="00C06613" w:rsidRDefault="00C06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7E6" w:rsidRDefault="00C06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7E6" w:rsidRDefault="00C06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7E6" w:rsidRDefault="00C0661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D5F1C48"/>
    <w:multiLevelType w:val="multilevel"/>
    <w:tmpl w:val="1ECA557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7E6"/>
    <w:rsid w:val="00020983"/>
    <w:rsid w:val="00441248"/>
    <w:rsid w:val="008E3FC3"/>
    <w:rsid w:val="00A54D81"/>
    <w:rsid w:val="00B827E6"/>
    <w:rsid w:val="00C06613"/>
    <w:rsid w:val="00D90B99"/>
    <w:rsid w:val="00EB2CCA"/>
    <w:rsid w:val="00F96FB1"/>
    <w:rsid w:val="00FF31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C9B57E"/>
  <w15:docId w15:val="{77D263DE-1B06-4FBD-B79D-48191AEE2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pPr>
      <w:spacing w:before="100" w:beforeAutospacing="1" w:after="100" w:afterAutospacing="1" w:line="240" w:lineRule="auto"/>
    </w:pPr>
    <w:rPr>
      <w:rFonts w:ascii="Times New Roman" w:eastAsia="DengXian" w:hAnsi="Times New Roman" w:cs="Times New Roman"/>
      <w:sz w:val="24"/>
      <w:szCs w:val="24"/>
    </w:rPr>
  </w:style>
  <w:style w:type="paragraph" w:customStyle="1" w:styleId="Heading11">
    <w:name w:val="Heading 11"/>
    <w:basedOn w:val="Normal"/>
    <w:next w:val="Normal"/>
    <w:uiPriority w:val="9"/>
    <w:qFormat/>
    <w:pPr>
      <w:keepNext/>
      <w:keepLines/>
      <w:spacing w:before="240" w:after="0"/>
      <w:outlineLvl w:val="0"/>
    </w:pPr>
    <w:rPr>
      <w:rFonts w:ascii="Calibri Light" w:eastAsia="Times New Roman" w:hAnsi="Calibri Light" w:cs="Times New Roman"/>
      <w:color w:val="2E74B5"/>
      <w:sz w:val="32"/>
      <w:szCs w:val="32"/>
    </w:rPr>
  </w:style>
  <w:style w:type="table" w:customStyle="1" w:styleId="PlainTable21">
    <w:name w:val="Plain Table 21"/>
    <w:basedOn w:val="TableNormal"/>
    <w:uiPriority w:val="42"/>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563C1"/>
      <w:u w:val="single"/>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sz w:val="22"/>
      <w:szCs w:val="22"/>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5DDE5D8-7DB7-47BC-B17F-F0307D83B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4617</Words>
  <Characters>26321</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SDI 1183</cp:lastModifiedBy>
  <cp:revision>34</cp:revision>
  <dcterms:created xsi:type="dcterms:W3CDTF">2025-04-13T19:01:00Z</dcterms:created>
  <dcterms:modified xsi:type="dcterms:W3CDTF">2025-04-15T05:36:00Z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1033-12.2.0.20326</vt:lpwstr>
  </property>
  <property fmtid="{D5CDD505-2E9C-101B-9397-08002B2CF9AE}" pid="3" name="ICV">
    <vt:lpwstr>d23580ef3ab0452e83f5a90541515a61</vt:lpwstr>
  </property>
</Properties>
</file>